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14:paraId="1997FDE1" w14:textId="77777777" w:rsidR="006D0D8A" w:rsidRPr="000643FE" w:rsidRDefault="006D0D8A" w:rsidP="000368F9">
      <w:pPr>
        <w:spacing w:line="360" w:lineRule="auto"/>
        <w:rPr>
          <w:rFonts w:ascii="Book Antiqua" w:hAnsi="Book Antiqua"/>
          <w:b/>
          <w:sz w:val="24"/>
        </w:rPr>
      </w:pPr>
      <w:r w:rsidRPr="000643FE">
        <w:rPr>
          <w:rFonts w:ascii="Book Antiqua" w:hAnsi="Book Antiqua"/>
          <w:b/>
          <w:sz w:val="24"/>
        </w:rPr>
        <w:t>Name of Journal:</w:t>
      </w:r>
      <w:r w:rsidRPr="000643FE">
        <w:rPr>
          <w:rFonts w:ascii="Book Antiqua" w:hAnsi="Book Antiqua"/>
          <w:i/>
          <w:sz w:val="24"/>
        </w:rPr>
        <w:t xml:space="preserve"> World Journal of Clinical Cases</w:t>
      </w:r>
    </w:p>
    <w:p w14:paraId="76F35363" w14:textId="77777777" w:rsidR="006D0D8A" w:rsidRPr="000643FE" w:rsidRDefault="006D0D8A" w:rsidP="000368F9">
      <w:pPr>
        <w:spacing w:line="360" w:lineRule="auto"/>
        <w:rPr>
          <w:rFonts w:ascii="Book Antiqua" w:hAnsi="Book Antiqua"/>
          <w:b/>
          <w:sz w:val="24"/>
        </w:rPr>
      </w:pPr>
      <w:r w:rsidRPr="000643FE">
        <w:rPr>
          <w:rFonts w:ascii="Book Antiqua" w:hAnsi="Book Antiqua"/>
          <w:b/>
          <w:sz w:val="24"/>
        </w:rPr>
        <w:t xml:space="preserve">Manuscript NO: </w:t>
      </w:r>
      <w:r w:rsidRPr="000643FE">
        <w:rPr>
          <w:rFonts w:ascii="Book Antiqua" w:hAnsi="Book Antiqua"/>
          <w:sz w:val="24"/>
        </w:rPr>
        <w:t>47283</w:t>
      </w:r>
    </w:p>
    <w:p w14:paraId="6FD2F513" w14:textId="77777777" w:rsidR="006D0D8A" w:rsidRPr="000643FE" w:rsidRDefault="006D0D8A" w:rsidP="000368F9">
      <w:pPr>
        <w:spacing w:line="360" w:lineRule="auto"/>
        <w:rPr>
          <w:rFonts w:ascii="Book Antiqua" w:hAnsi="Book Antiqua"/>
          <w:b/>
          <w:kern w:val="0"/>
          <w:sz w:val="24"/>
        </w:rPr>
      </w:pPr>
      <w:r w:rsidRPr="000643FE">
        <w:rPr>
          <w:rFonts w:ascii="Book Antiqua" w:hAnsi="Book Antiqua"/>
          <w:b/>
          <w:kern w:val="0"/>
          <w:sz w:val="24"/>
        </w:rPr>
        <w:t>Manuscript Type:</w:t>
      </w:r>
      <w:r w:rsidRPr="000643FE">
        <w:rPr>
          <w:rFonts w:ascii="Book Antiqua" w:hAnsi="Book Antiqua"/>
          <w:sz w:val="24"/>
        </w:rPr>
        <w:t xml:space="preserve"> </w:t>
      </w:r>
      <w:r w:rsidRPr="000643FE">
        <w:rPr>
          <w:rFonts w:ascii="Book Antiqua" w:hAnsi="Book Antiqua"/>
          <w:kern w:val="0"/>
          <w:sz w:val="24"/>
        </w:rPr>
        <w:t>CASE REPORT</w:t>
      </w:r>
    </w:p>
    <w:p w14:paraId="0B10BA57" w14:textId="77777777" w:rsidR="006D0D8A" w:rsidRPr="000643FE" w:rsidRDefault="006D0D8A" w:rsidP="000368F9">
      <w:pPr>
        <w:spacing w:line="360" w:lineRule="auto"/>
        <w:rPr>
          <w:rFonts w:ascii="Book Antiqua" w:hAnsi="Book Antiqua"/>
          <w:b/>
          <w:kern w:val="0"/>
          <w:sz w:val="24"/>
        </w:rPr>
      </w:pPr>
    </w:p>
    <w:p w14:paraId="1BC94664" w14:textId="77777777" w:rsidR="00C61444" w:rsidRPr="000643FE" w:rsidRDefault="004C44A9" w:rsidP="000368F9">
      <w:pPr>
        <w:spacing w:line="360" w:lineRule="auto"/>
        <w:rPr>
          <w:rFonts w:ascii="Book Antiqua" w:hAnsi="Book Antiqua"/>
          <w:b/>
          <w:sz w:val="24"/>
        </w:rPr>
      </w:pPr>
      <w:r w:rsidRPr="000643FE">
        <w:rPr>
          <w:rFonts w:ascii="Book Antiqua" w:hAnsi="Book Antiqua" w:cs="Book Antiqua"/>
          <w:b/>
          <w:bCs/>
          <w:sz w:val="24"/>
        </w:rPr>
        <w:t xml:space="preserve">Liver failure associated with benzbromarone: </w:t>
      </w:r>
      <w:r w:rsidR="00C61444" w:rsidRPr="000643FE">
        <w:rPr>
          <w:rFonts w:ascii="Book Antiqua" w:hAnsi="Book Antiqua"/>
          <w:b/>
          <w:sz w:val="24"/>
        </w:rPr>
        <w:t xml:space="preserve">A case report and review of </w:t>
      </w:r>
      <w:r w:rsidR="005C0930" w:rsidRPr="000643FE">
        <w:rPr>
          <w:rFonts w:ascii="Book Antiqua" w:hAnsi="Book Antiqua"/>
          <w:b/>
          <w:sz w:val="24"/>
        </w:rPr>
        <w:t xml:space="preserve">the </w:t>
      </w:r>
      <w:r w:rsidR="00C61444" w:rsidRPr="000643FE">
        <w:rPr>
          <w:rFonts w:ascii="Book Antiqua" w:hAnsi="Book Antiqua"/>
          <w:b/>
          <w:sz w:val="24"/>
        </w:rPr>
        <w:t>literature</w:t>
      </w:r>
    </w:p>
    <w:p w14:paraId="139E394E" w14:textId="77777777" w:rsidR="001F4CE6" w:rsidRPr="000643FE" w:rsidRDefault="001F4CE6" w:rsidP="000368F9">
      <w:pPr>
        <w:spacing w:line="360" w:lineRule="auto"/>
        <w:rPr>
          <w:rFonts w:ascii="Book Antiqua" w:hAnsi="Book Antiqua" w:cs="Book Antiqua"/>
          <w:sz w:val="24"/>
        </w:rPr>
      </w:pPr>
    </w:p>
    <w:p w14:paraId="38092A0C" w14:textId="77777777" w:rsidR="001F4CE6" w:rsidRPr="000643FE" w:rsidRDefault="003921AC" w:rsidP="000368F9">
      <w:pPr>
        <w:spacing w:line="360" w:lineRule="auto"/>
        <w:rPr>
          <w:rFonts w:ascii="Book Antiqua" w:hAnsi="Book Antiqua" w:cs="Book Antiqua"/>
          <w:sz w:val="24"/>
        </w:rPr>
      </w:pPr>
      <w:r w:rsidRPr="000643FE">
        <w:rPr>
          <w:rFonts w:ascii="Book Antiqua" w:hAnsi="Book Antiqua" w:cs="Book Antiqua"/>
          <w:bCs/>
          <w:sz w:val="24"/>
        </w:rPr>
        <w:t xml:space="preserve">Zhang MY </w:t>
      </w:r>
      <w:r w:rsidRPr="000643FE">
        <w:rPr>
          <w:rFonts w:ascii="Book Antiqua" w:hAnsi="Book Antiqua" w:cs="Book Antiqua"/>
          <w:bCs/>
          <w:i/>
          <w:sz w:val="24"/>
        </w:rPr>
        <w:t>et al.</w:t>
      </w:r>
      <w:r w:rsidR="004C44A9" w:rsidRPr="000643FE">
        <w:rPr>
          <w:rFonts w:ascii="Book Antiqua" w:hAnsi="Book Antiqua" w:cs="Book Antiqua"/>
          <w:sz w:val="24"/>
        </w:rPr>
        <w:t xml:space="preserve"> Liver failure associated with benzbromarone</w:t>
      </w:r>
    </w:p>
    <w:p w14:paraId="529ED77D" w14:textId="77777777" w:rsidR="003921AC" w:rsidRPr="000643FE" w:rsidRDefault="003921AC" w:rsidP="000368F9">
      <w:pPr>
        <w:spacing w:line="360" w:lineRule="auto"/>
        <w:rPr>
          <w:rFonts w:ascii="Book Antiqua" w:hAnsi="Book Antiqua" w:cs="Book Antiqua"/>
          <w:sz w:val="24"/>
        </w:rPr>
      </w:pPr>
    </w:p>
    <w:p w14:paraId="32BDBB0A" w14:textId="77777777" w:rsidR="001F4CE6" w:rsidRPr="000643FE" w:rsidRDefault="004C44A9" w:rsidP="000368F9">
      <w:pPr>
        <w:spacing w:line="360" w:lineRule="auto"/>
        <w:rPr>
          <w:rFonts w:ascii="Book Antiqua" w:hAnsi="Book Antiqua" w:cs="Book Antiqua"/>
          <w:bCs/>
          <w:sz w:val="24"/>
        </w:rPr>
      </w:pPr>
      <w:r w:rsidRPr="000643FE">
        <w:rPr>
          <w:rFonts w:ascii="Book Antiqua" w:hAnsi="Book Antiqua" w:cs="Book Antiqua"/>
          <w:bCs/>
          <w:sz w:val="24"/>
        </w:rPr>
        <w:t>Ming-</w:t>
      </w:r>
      <w:r w:rsidR="0065063C" w:rsidRPr="000643FE">
        <w:rPr>
          <w:rFonts w:ascii="Book Antiqua" w:hAnsi="Book Antiqua" w:cs="Book Antiqua"/>
          <w:bCs/>
          <w:sz w:val="24"/>
        </w:rPr>
        <w:t xml:space="preserve">Yuan </w:t>
      </w:r>
      <w:r w:rsidRPr="000643FE">
        <w:rPr>
          <w:rFonts w:ascii="Book Antiqua" w:hAnsi="Book Antiqua" w:cs="Book Antiqua"/>
          <w:bCs/>
          <w:sz w:val="24"/>
        </w:rPr>
        <w:t>Zhang, Jun-</w:t>
      </w:r>
      <w:r w:rsidR="0065063C" w:rsidRPr="000643FE">
        <w:rPr>
          <w:rFonts w:ascii="Book Antiqua" w:hAnsi="Book Antiqua" w:cs="Book Antiqua"/>
          <w:bCs/>
          <w:sz w:val="24"/>
        </w:rPr>
        <w:t xml:space="preserve">Qi </w:t>
      </w:r>
      <w:proofErr w:type="spellStart"/>
      <w:r w:rsidRPr="000643FE">
        <w:rPr>
          <w:rFonts w:ascii="Book Antiqua" w:hAnsi="Book Antiqua" w:cs="Book Antiqua"/>
          <w:bCs/>
          <w:sz w:val="24"/>
        </w:rPr>
        <w:t>Niu</w:t>
      </w:r>
      <w:proofErr w:type="spellEnd"/>
      <w:r w:rsidRPr="000643FE">
        <w:rPr>
          <w:rFonts w:ascii="Book Antiqua" w:hAnsi="Book Antiqua" w:cs="Book Antiqua"/>
          <w:bCs/>
          <w:sz w:val="24"/>
        </w:rPr>
        <w:t>, Xiao-</w:t>
      </w:r>
      <w:r w:rsidR="0065063C" w:rsidRPr="000643FE">
        <w:rPr>
          <w:rFonts w:ascii="Book Antiqua" w:hAnsi="Book Antiqua" w:cs="Book Antiqua"/>
          <w:bCs/>
          <w:sz w:val="24"/>
        </w:rPr>
        <w:t xml:space="preserve">Yu </w:t>
      </w:r>
      <w:r w:rsidRPr="000643FE">
        <w:rPr>
          <w:rFonts w:ascii="Book Antiqua" w:hAnsi="Book Antiqua" w:cs="Book Antiqua"/>
          <w:bCs/>
          <w:sz w:val="24"/>
        </w:rPr>
        <w:t>Wen, Qing-</w:t>
      </w:r>
      <w:r w:rsidR="0065063C" w:rsidRPr="000643FE">
        <w:rPr>
          <w:rFonts w:ascii="Book Antiqua" w:hAnsi="Book Antiqua" w:cs="Book Antiqua"/>
          <w:bCs/>
          <w:sz w:val="24"/>
        </w:rPr>
        <w:t xml:space="preserve">Long </w:t>
      </w:r>
      <w:proofErr w:type="spellStart"/>
      <w:r w:rsidRPr="000643FE">
        <w:rPr>
          <w:rFonts w:ascii="Book Antiqua" w:hAnsi="Book Antiqua" w:cs="Book Antiqua"/>
          <w:bCs/>
          <w:sz w:val="24"/>
        </w:rPr>
        <w:t>Jin</w:t>
      </w:r>
      <w:proofErr w:type="spellEnd"/>
    </w:p>
    <w:p w14:paraId="33BD464D" w14:textId="77777777" w:rsidR="0065063C" w:rsidRPr="000643FE" w:rsidRDefault="0065063C" w:rsidP="000368F9">
      <w:pPr>
        <w:spacing w:line="360" w:lineRule="auto"/>
        <w:rPr>
          <w:rFonts w:ascii="Book Antiqua" w:hAnsi="Book Antiqua" w:cs="Book Antiqua"/>
          <w:sz w:val="24"/>
        </w:rPr>
      </w:pPr>
    </w:p>
    <w:p w14:paraId="7F3EBF60" w14:textId="77777777" w:rsidR="001F4CE6" w:rsidRPr="000643FE" w:rsidRDefault="003921AC" w:rsidP="000368F9">
      <w:pPr>
        <w:spacing w:line="360" w:lineRule="auto"/>
        <w:rPr>
          <w:rFonts w:ascii="Book Antiqua" w:hAnsi="Book Antiqua" w:cs="Book Antiqua"/>
          <w:bCs/>
          <w:sz w:val="24"/>
        </w:rPr>
      </w:pPr>
      <w:r w:rsidRPr="000643FE">
        <w:rPr>
          <w:rFonts w:ascii="Book Antiqua" w:hAnsi="Book Antiqua" w:cs="Book Antiqua"/>
          <w:b/>
          <w:bCs/>
          <w:sz w:val="24"/>
        </w:rPr>
        <w:t xml:space="preserve">Ming-Yuan Zhang, Jun-Qi </w:t>
      </w:r>
      <w:proofErr w:type="spellStart"/>
      <w:r w:rsidRPr="000643FE">
        <w:rPr>
          <w:rFonts w:ascii="Book Antiqua" w:hAnsi="Book Antiqua" w:cs="Book Antiqua"/>
          <w:b/>
          <w:bCs/>
          <w:sz w:val="24"/>
        </w:rPr>
        <w:t>Niu</w:t>
      </w:r>
      <w:proofErr w:type="spellEnd"/>
      <w:r w:rsidRPr="000643FE">
        <w:rPr>
          <w:rFonts w:ascii="Book Antiqua" w:hAnsi="Book Antiqua" w:cs="Book Antiqua"/>
          <w:b/>
          <w:bCs/>
          <w:sz w:val="24"/>
        </w:rPr>
        <w:t xml:space="preserve">, Xiao-Yu Wen, Qing-Long </w:t>
      </w:r>
      <w:proofErr w:type="spellStart"/>
      <w:r w:rsidRPr="000643FE">
        <w:rPr>
          <w:rFonts w:ascii="Book Antiqua" w:hAnsi="Book Antiqua" w:cs="Book Antiqua"/>
          <w:b/>
          <w:bCs/>
          <w:sz w:val="24"/>
        </w:rPr>
        <w:t>Jin</w:t>
      </w:r>
      <w:proofErr w:type="spellEnd"/>
      <w:r w:rsidR="004C44A9" w:rsidRPr="000643FE">
        <w:rPr>
          <w:rFonts w:ascii="Book Antiqua" w:hAnsi="Book Antiqua" w:cs="Book Antiqua"/>
          <w:b/>
          <w:sz w:val="24"/>
        </w:rPr>
        <w:t xml:space="preserve">, </w:t>
      </w:r>
      <w:r w:rsidR="004C44A9" w:rsidRPr="000643FE">
        <w:rPr>
          <w:rFonts w:ascii="Book Antiqua" w:hAnsi="Book Antiqua" w:cs="Book Antiqua"/>
          <w:sz w:val="24"/>
        </w:rPr>
        <w:t xml:space="preserve">Department of </w:t>
      </w:r>
      <w:r w:rsidR="00355BDC" w:rsidRPr="000643FE">
        <w:rPr>
          <w:rFonts w:ascii="Book Antiqua" w:hAnsi="Book Antiqua" w:cs="Book Antiqua"/>
          <w:sz w:val="24"/>
        </w:rPr>
        <w:t>Hepatology</w:t>
      </w:r>
      <w:r w:rsidR="004C44A9" w:rsidRPr="000643FE">
        <w:rPr>
          <w:rFonts w:ascii="Book Antiqua" w:hAnsi="Book Antiqua" w:cs="Book Antiqua"/>
          <w:sz w:val="24"/>
        </w:rPr>
        <w:t>, First Hospital of Jilin University, Changchun 130021, Jilin Province, China</w:t>
      </w:r>
    </w:p>
    <w:p w14:paraId="2540CA0D" w14:textId="77777777" w:rsidR="001F4CE6" w:rsidRPr="000643FE" w:rsidRDefault="001F4CE6" w:rsidP="000368F9">
      <w:pPr>
        <w:spacing w:line="360" w:lineRule="auto"/>
        <w:rPr>
          <w:rFonts w:ascii="Book Antiqua" w:hAnsi="Book Antiqua" w:cs="Book Antiqua"/>
          <w:b/>
          <w:bCs/>
          <w:sz w:val="24"/>
        </w:rPr>
      </w:pPr>
    </w:p>
    <w:p w14:paraId="41941815"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b/>
          <w:bCs/>
          <w:sz w:val="24"/>
        </w:rPr>
        <w:t>ORCID number:</w:t>
      </w:r>
      <w:r w:rsidR="003921AC" w:rsidRPr="000643FE">
        <w:rPr>
          <w:rFonts w:ascii="Book Antiqua" w:hAnsi="Book Antiqua" w:cs="Book Antiqua"/>
          <w:sz w:val="24"/>
        </w:rPr>
        <w:t xml:space="preserve"> </w:t>
      </w:r>
      <w:r w:rsidR="003921AC" w:rsidRPr="000643FE">
        <w:rPr>
          <w:rFonts w:ascii="Book Antiqua" w:hAnsi="Book Antiqua" w:cs="Book Antiqua"/>
          <w:bCs/>
          <w:sz w:val="24"/>
        </w:rPr>
        <w:t>Ming-Yuan</w:t>
      </w:r>
      <w:r w:rsidRPr="000643FE">
        <w:rPr>
          <w:rFonts w:ascii="Book Antiqua" w:hAnsi="Book Antiqua" w:cs="Book Antiqua"/>
          <w:sz w:val="24"/>
        </w:rPr>
        <w:t xml:space="preserve"> Zhang (0000-0003-0744-5945); </w:t>
      </w:r>
      <w:r w:rsidR="003921AC" w:rsidRPr="000643FE">
        <w:rPr>
          <w:rFonts w:ascii="Book Antiqua" w:hAnsi="Book Antiqua" w:cs="Book Antiqua"/>
          <w:bCs/>
          <w:sz w:val="24"/>
        </w:rPr>
        <w:t>Jun-Qi</w:t>
      </w:r>
      <w:r w:rsidRPr="000643FE">
        <w:rPr>
          <w:rFonts w:ascii="Book Antiqua" w:hAnsi="Book Antiqua" w:cs="Book Antiqua"/>
          <w:sz w:val="24"/>
        </w:rPr>
        <w:t xml:space="preserve"> </w:t>
      </w:r>
      <w:proofErr w:type="spellStart"/>
      <w:r w:rsidRPr="000643FE">
        <w:rPr>
          <w:rFonts w:ascii="Book Antiqua" w:hAnsi="Book Antiqua" w:cs="Book Antiqua"/>
          <w:sz w:val="24"/>
        </w:rPr>
        <w:t>Niu</w:t>
      </w:r>
      <w:proofErr w:type="spellEnd"/>
      <w:r w:rsidRPr="000643FE">
        <w:rPr>
          <w:rFonts w:ascii="Book Antiqua" w:hAnsi="Book Antiqua" w:cs="Book Antiqua"/>
          <w:sz w:val="24"/>
        </w:rPr>
        <w:t xml:space="preserve"> (0000-0002-2418-1526); </w:t>
      </w:r>
      <w:r w:rsidR="003921AC" w:rsidRPr="000643FE">
        <w:rPr>
          <w:rFonts w:ascii="Book Antiqua" w:hAnsi="Book Antiqua" w:cs="Book Antiqua"/>
          <w:bCs/>
          <w:sz w:val="24"/>
        </w:rPr>
        <w:t>Xiao-Yu</w:t>
      </w:r>
      <w:r w:rsidRPr="000643FE">
        <w:rPr>
          <w:rFonts w:ascii="Book Antiqua" w:hAnsi="Book Antiqua" w:cs="Book Antiqua"/>
          <w:sz w:val="24"/>
        </w:rPr>
        <w:t xml:space="preserve"> Wen (0000-0002-9037-8693); </w:t>
      </w:r>
      <w:r w:rsidR="003921AC" w:rsidRPr="000643FE">
        <w:rPr>
          <w:rFonts w:ascii="Book Antiqua" w:hAnsi="Book Antiqua" w:cs="Book Antiqua"/>
          <w:bCs/>
          <w:sz w:val="24"/>
        </w:rPr>
        <w:t>Qing-Long</w:t>
      </w:r>
      <w:r w:rsidRPr="000643FE">
        <w:rPr>
          <w:rFonts w:ascii="Book Antiqua" w:hAnsi="Book Antiqua" w:cs="Book Antiqua"/>
          <w:sz w:val="24"/>
        </w:rPr>
        <w:t xml:space="preserve"> </w:t>
      </w:r>
      <w:proofErr w:type="spellStart"/>
      <w:r w:rsidRPr="000643FE">
        <w:rPr>
          <w:rFonts w:ascii="Book Antiqua" w:hAnsi="Book Antiqua" w:cs="Book Antiqua"/>
          <w:sz w:val="24"/>
        </w:rPr>
        <w:t>Jin</w:t>
      </w:r>
      <w:proofErr w:type="spellEnd"/>
      <w:r w:rsidR="003921AC" w:rsidRPr="000643FE">
        <w:rPr>
          <w:rFonts w:ascii="Book Antiqua" w:hAnsi="Book Antiqua" w:cs="Book Antiqua"/>
          <w:sz w:val="24"/>
        </w:rPr>
        <w:t xml:space="preserve"> </w:t>
      </w:r>
      <w:r w:rsidRPr="000643FE">
        <w:rPr>
          <w:rFonts w:ascii="Book Antiqua" w:hAnsi="Book Antiqua" w:cs="Book Antiqua"/>
          <w:sz w:val="24"/>
        </w:rPr>
        <w:t>(0000-0003-3486-2795).</w:t>
      </w:r>
    </w:p>
    <w:p w14:paraId="696CC2C8" w14:textId="77777777" w:rsidR="001F4CE6" w:rsidRPr="000643FE" w:rsidRDefault="001F4CE6" w:rsidP="000368F9">
      <w:pPr>
        <w:spacing w:line="360" w:lineRule="auto"/>
        <w:rPr>
          <w:rFonts w:ascii="Book Antiqua" w:hAnsi="Book Antiqua" w:cs="Book Antiqua"/>
          <w:b/>
          <w:sz w:val="24"/>
        </w:rPr>
      </w:pPr>
    </w:p>
    <w:p w14:paraId="0C7954BE" w14:textId="77777777" w:rsidR="001F4CE6" w:rsidRPr="000643FE" w:rsidRDefault="003921AC" w:rsidP="000368F9">
      <w:pPr>
        <w:spacing w:line="360" w:lineRule="auto"/>
        <w:rPr>
          <w:rFonts w:ascii="Book Antiqua" w:hAnsi="Book Antiqua" w:cs="Book Antiqua"/>
          <w:sz w:val="24"/>
        </w:rPr>
      </w:pPr>
      <w:r w:rsidRPr="000643FE">
        <w:rPr>
          <w:rFonts w:ascii="Book Antiqua" w:hAnsi="Book Antiqua"/>
          <w:b/>
          <w:kern w:val="0"/>
          <w:sz w:val="24"/>
        </w:rPr>
        <w:t>Author contributions:</w:t>
      </w:r>
      <w:r w:rsidRPr="000643FE">
        <w:rPr>
          <w:rFonts w:ascii="Book Antiqua" w:hAnsi="Book Antiqua" w:cs="Book Antiqua"/>
          <w:sz w:val="24"/>
        </w:rPr>
        <w:t xml:space="preserve"> </w:t>
      </w:r>
      <w:r w:rsidR="004C44A9" w:rsidRPr="000643FE">
        <w:rPr>
          <w:rFonts w:ascii="Book Antiqua" w:hAnsi="Book Antiqua" w:cs="Book Antiqua"/>
          <w:sz w:val="24"/>
        </w:rPr>
        <w:t>Zhang MY was the patient’s attending physician, and she contributed to the manuscript drafting and reviewed the literature</w:t>
      </w:r>
      <w:r w:rsidRPr="000643FE">
        <w:rPr>
          <w:rFonts w:ascii="Book Antiqua" w:hAnsi="Book Antiqua" w:cs="Book Antiqua"/>
          <w:sz w:val="24"/>
        </w:rPr>
        <w:t>;</w:t>
      </w:r>
      <w:r w:rsidR="004C44A9" w:rsidRPr="000643FE">
        <w:rPr>
          <w:rFonts w:ascii="Book Antiqua" w:hAnsi="Book Antiqua" w:cs="Book Antiqua"/>
          <w:sz w:val="24"/>
        </w:rPr>
        <w:t xml:space="preserve"> </w:t>
      </w:r>
      <w:proofErr w:type="spellStart"/>
      <w:r w:rsidR="004C44A9" w:rsidRPr="000643FE">
        <w:rPr>
          <w:rFonts w:ascii="Book Antiqua" w:hAnsi="Book Antiqua" w:cs="Book Antiqua"/>
          <w:sz w:val="24"/>
        </w:rPr>
        <w:t>Niu</w:t>
      </w:r>
      <w:proofErr w:type="spellEnd"/>
      <w:r w:rsidR="004C44A9" w:rsidRPr="000643FE">
        <w:rPr>
          <w:rFonts w:ascii="Book Antiqua" w:hAnsi="Book Antiqua" w:cs="Book Antiqua"/>
          <w:sz w:val="24"/>
        </w:rPr>
        <w:t xml:space="preserve"> JQ was responsible for the revision of the manuscript</w:t>
      </w:r>
      <w:r w:rsidRPr="000643FE">
        <w:rPr>
          <w:rFonts w:ascii="Book Antiqua" w:hAnsi="Book Antiqua" w:cs="Book Antiqua"/>
          <w:sz w:val="24"/>
        </w:rPr>
        <w:t>;</w:t>
      </w:r>
      <w:r w:rsidR="004C44A9" w:rsidRPr="000643FE">
        <w:rPr>
          <w:rFonts w:ascii="Book Antiqua" w:hAnsi="Book Antiqua" w:cs="Book Antiqua"/>
          <w:sz w:val="24"/>
        </w:rPr>
        <w:t xml:space="preserve"> Wen XY collected the patient’s clinical data and contributed to the manuscript drafting</w:t>
      </w:r>
      <w:r w:rsidRPr="000643FE">
        <w:rPr>
          <w:rFonts w:ascii="Book Antiqua" w:hAnsi="Book Antiqua" w:cs="Book Antiqua"/>
          <w:sz w:val="24"/>
        </w:rPr>
        <w:t>;</w:t>
      </w:r>
      <w:r w:rsidR="004C44A9" w:rsidRPr="000643FE">
        <w:rPr>
          <w:rFonts w:ascii="Book Antiqua" w:hAnsi="Book Antiqua" w:cs="Book Antiqua"/>
          <w:sz w:val="24"/>
        </w:rPr>
        <w:t xml:space="preserve"> </w:t>
      </w:r>
      <w:proofErr w:type="spellStart"/>
      <w:r w:rsidR="004C44A9" w:rsidRPr="000643FE">
        <w:rPr>
          <w:rFonts w:ascii="Book Antiqua" w:hAnsi="Book Antiqua" w:cs="Book Antiqua"/>
          <w:sz w:val="24"/>
        </w:rPr>
        <w:t>Jin</w:t>
      </w:r>
      <w:proofErr w:type="spellEnd"/>
      <w:r w:rsidR="004C44A9" w:rsidRPr="000643FE">
        <w:rPr>
          <w:rFonts w:ascii="Book Antiqua" w:hAnsi="Book Antiqua" w:cs="Book Antiqua"/>
          <w:sz w:val="24"/>
        </w:rPr>
        <w:t xml:space="preserve"> QL designed the report and revised the manuscript</w:t>
      </w:r>
      <w:r w:rsidRPr="000643FE">
        <w:rPr>
          <w:rFonts w:ascii="Book Antiqua" w:hAnsi="Book Antiqua" w:cs="Book Antiqua"/>
          <w:sz w:val="24"/>
        </w:rPr>
        <w:t>;</w:t>
      </w:r>
      <w:r w:rsidR="004C44A9" w:rsidRPr="000643FE">
        <w:rPr>
          <w:rFonts w:ascii="Book Antiqua" w:hAnsi="Book Antiqua" w:cs="Book Antiqua"/>
          <w:sz w:val="24"/>
        </w:rPr>
        <w:t xml:space="preserve"> Wen </w:t>
      </w:r>
      <w:r w:rsidRPr="000643FE">
        <w:rPr>
          <w:rFonts w:ascii="Book Antiqua" w:hAnsi="Book Antiqua" w:cs="Book Antiqua"/>
          <w:sz w:val="24"/>
        </w:rPr>
        <w:t xml:space="preserve">XY </w:t>
      </w:r>
      <w:r w:rsidR="004C44A9" w:rsidRPr="000643FE">
        <w:rPr>
          <w:rFonts w:ascii="Book Antiqua" w:hAnsi="Book Antiqua" w:cs="Book Antiqua"/>
          <w:sz w:val="24"/>
        </w:rPr>
        <w:t xml:space="preserve">and </w:t>
      </w:r>
      <w:proofErr w:type="spellStart"/>
      <w:r w:rsidR="004C44A9" w:rsidRPr="000643FE">
        <w:rPr>
          <w:rFonts w:ascii="Book Antiqua" w:hAnsi="Book Antiqua" w:cs="Book Antiqua"/>
          <w:sz w:val="24"/>
        </w:rPr>
        <w:t>Jin</w:t>
      </w:r>
      <w:proofErr w:type="spellEnd"/>
      <w:r w:rsidR="004C44A9" w:rsidRPr="000643FE">
        <w:rPr>
          <w:rFonts w:ascii="Book Antiqua" w:hAnsi="Book Antiqua" w:cs="Book Antiqua"/>
          <w:sz w:val="24"/>
        </w:rPr>
        <w:t xml:space="preserve"> </w:t>
      </w:r>
      <w:r w:rsidRPr="000643FE">
        <w:rPr>
          <w:rFonts w:ascii="Book Antiqua" w:hAnsi="Book Antiqua" w:cs="Book Antiqua"/>
          <w:sz w:val="24"/>
        </w:rPr>
        <w:t xml:space="preserve">QL </w:t>
      </w:r>
      <w:r w:rsidR="004C44A9" w:rsidRPr="000643FE">
        <w:rPr>
          <w:rFonts w:ascii="Book Antiqua" w:hAnsi="Book Antiqua" w:cs="Book Antiqua"/>
          <w:sz w:val="24"/>
        </w:rPr>
        <w:t>are co-corresponding authors</w:t>
      </w:r>
      <w:r w:rsidRPr="000643FE">
        <w:rPr>
          <w:rFonts w:ascii="Book Antiqua" w:hAnsi="Book Antiqua" w:cs="Book Antiqua"/>
          <w:sz w:val="24"/>
        </w:rPr>
        <w:t>; a</w:t>
      </w:r>
      <w:r w:rsidR="004C44A9" w:rsidRPr="000643FE">
        <w:rPr>
          <w:rFonts w:ascii="Book Antiqua" w:hAnsi="Book Antiqua" w:cs="Book Antiqua"/>
          <w:sz w:val="24"/>
        </w:rPr>
        <w:t>ll authors issued final approval for the version to be submitted.</w:t>
      </w:r>
    </w:p>
    <w:p w14:paraId="25B4A796" w14:textId="77777777" w:rsidR="003921AC" w:rsidRPr="000643FE" w:rsidRDefault="003921AC" w:rsidP="000368F9">
      <w:pPr>
        <w:spacing w:line="360" w:lineRule="auto"/>
        <w:rPr>
          <w:rFonts w:ascii="Book Antiqua" w:hAnsi="Book Antiqua" w:cs="Book Antiqua"/>
          <w:sz w:val="24"/>
        </w:rPr>
      </w:pPr>
    </w:p>
    <w:p w14:paraId="1E8DDF90" w14:textId="77777777" w:rsidR="00355BDC" w:rsidRPr="000643FE" w:rsidRDefault="00355BDC" w:rsidP="000368F9">
      <w:pPr>
        <w:spacing w:line="360" w:lineRule="auto"/>
        <w:rPr>
          <w:rFonts w:ascii="Book Antiqua" w:hAnsi="Book Antiqua" w:cs="Book Antiqua"/>
          <w:sz w:val="24"/>
        </w:rPr>
      </w:pPr>
      <w:r w:rsidRPr="000643FE">
        <w:rPr>
          <w:rFonts w:ascii="Book Antiqua" w:hAnsi="Book Antiqua"/>
          <w:b/>
          <w:sz w:val="24"/>
        </w:rPr>
        <w:t>Informed consent statement</w:t>
      </w:r>
      <w:r w:rsidRPr="000643FE">
        <w:rPr>
          <w:rFonts w:ascii="Book Antiqua" w:hAnsi="Book Antiqua"/>
          <w:b/>
          <w:iCs/>
          <w:sz w:val="24"/>
        </w:rPr>
        <w:t>:</w:t>
      </w:r>
      <w:r w:rsidRPr="000643FE">
        <w:rPr>
          <w:rFonts w:ascii="Book Antiqua" w:hAnsi="Book Antiqua"/>
          <w:b/>
          <w:iCs/>
          <w:kern w:val="0"/>
          <w:sz w:val="24"/>
        </w:rPr>
        <w:t xml:space="preserve"> </w:t>
      </w:r>
      <w:r w:rsidRPr="000643FE">
        <w:rPr>
          <w:rFonts w:ascii="Book Antiqua" w:hAnsi="Book Antiqua" w:cs="Book Antiqua"/>
          <w:sz w:val="24"/>
        </w:rPr>
        <w:t>The study was reviewed and approved by the First Hospital of Jilin University Institutional Review Board. The patient and his family were offered written explanations prior to the start of treatment, and they provided consent.</w:t>
      </w:r>
    </w:p>
    <w:p w14:paraId="43C66863" w14:textId="77777777" w:rsidR="00355BDC" w:rsidRPr="000643FE" w:rsidRDefault="00355BDC" w:rsidP="000368F9">
      <w:pPr>
        <w:spacing w:line="360" w:lineRule="auto"/>
        <w:rPr>
          <w:rFonts w:ascii="Book Antiqua" w:hAnsi="Book Antiqua"/>
          <w:b/>
          <w:sz w:val="24"/>
        </w:rPr>
      </w:pPr>
    </w:p>
    <w:p w14:paraId="2D9F65F9" w14:textId="77777777" w:rsidR="00355BDC" w:rsidRPr="000643FE" w:rsidRDefault="00355BDC" w:rsidP="000368F9">
      <w:pPr>
        <w:spacing w:line="360" w:lineRule="auto"/>
        <w:rPr>
          <w:rFonts w:ascii="Book Antiqua" w:hAnsi="Book Antiqua"/>
          <w:b/>
          <w:sz w:val="24"/>
        </w:rPr>
      </w:pPr>
      <w:r w:rsidRPr="000643FE">
        <w:rPr>
          <w:rFonts w:ascii="Book Antiqua" w:hAnsi="Book Antiqua"/>
          <w:b/>
          <w:sz w:val="24"/>
        </w:rPr>
        <w:t>Conflict-of-interest statement</w:t>
      </w:r>
      <w:r w:rsidRPr="000643FE">
        <w:rPr>
          <w:rFonts w:ascii="Book Antiqua" w:hAnsi="Book Antiqua" w:cs="TimesNewRomanPS-BoldItalicMT"/>
          <w:b/>
          <w:iCs/>
          <w:sz w:val="24"/>
        </w:rPr>
        <w:t xml:space="preserve">: </w:t>
      </w:r>
      <w:r w:rsidRPr="000643FE">
        <w:rPr>
          <w:rFonts w:ascii="Book Antiqua" w:hAnsi="Book Antiqua" w:cs="Book Antiqua"/>
          <w:sz w:val="24"/>
        </w:rPr>
        <w:t>The authors declare that they have no conflicts of interest, and no additional data are available.</w:t>
      </w:r>
    </w:p>
    <w:p w14:paraId="5717CA49" w14:textId="77777777" w:rsidR="00355BDC" w:rsidRPr="000643FE" w:rsidRDefault="00355BDC" w:rsidP="000368F9">
      <w:pPr>
        <w:snapToGrid w:val="0"/>
        <w:spacing w:line="360" w:lineRule="auto"/>
        <w:rPr>
          <w:rFonts w:ascii="Book Antiqua" w:hAnsi="Book Antiqua" w:cs="Book Antiqua"/>
          <w:sz w:val="24"/>
        </w:rPr>
      </w:pPr>
    </w:p>
    <w:p w14:paraId="46B841A3" w14:textId="77777777" w:rsidR="00355BDC" w:rsidRPr="000643FE" w:rsidRDefault="00355BDC" w:rsidP="000368F9">
      <w:pPr>
        <w:spacing w:line="360" w:lineRule="auto"/>
        <w:rPr>
          <w:rFonts w:ascii="Book Antiqua" w:hAnsi="Book Antiqua" w:cstheme="minorBidi"/>
          <w:b/>
          <w:sz w:val="24"/>
        </w:rPr>
      </w:pPr>
      <w:r w:rsidRPr="000643FE">
        <w:rPr>
          <w:rFonts w:ascii="Book Antiqua" w:hAnsi="Book Antiqua"/>
          <w:b/>
          <w:sz w:val="24"/>
        </w:rPr>
        <w:t>CARE Checklist (2016) statement:</w:t>
      </w:r>
      <w:r w:rsidRPr="000643FE">
        <w:rPr>
          <w:rFonts w:ascii="Book Antiqua" w:hAnsi="Book Antiqua" w:cs="Book Antiqua"/>
          <w:sz w:val="24"/>
        </w:rPr>
        <w:t xml:space="preserve"> The authors have read the CARE Checklist (2016), and the manuscript was prepared and revised accordingly.</w:t>
      </w:r>
    </w:p>
    <w:p w14:paraId="25BAF25E" w14:textId="77777777" w:rsidR="00355BDC" w:rsidRPr="000643FE" w:rsidRDefault="00355BDC" w:rsidP="000368F9">
      <w:pPr>
        <w:adjustRightInd w:val="0"/>
        <w:snapToGrid w:val="0"/>
        <w:spacing w:line="360" w:lineRule="auto"/>
        <w:rPr>
          <w:rFonts w:ascii="Book Antiqua" w:hAnsi="Book Antiqua"/>
          <w:sz w:val="24"/>
        </w:rPr>
      </w:pPr>
    </w:p>
    <w:p w14:paraId="0FF0C60F" w14:textId="77777777" w:rsidR="00355BDC" w:rsidRPr="000643FE" w:rsidRDefault="00355BDC" w:rsidP="000368F9">
      <w:pPr>
        <w:widowControl/>
        <w:adjustRightInd w:val="0"/>
        <w:snapToGrid w:val="0"/>
        <w:spacing w:line="360" w:lineRule="auto"/>
        <w:rPr>
          <w:rFonts w:ascii="Book Antiqua" w:hAnsi="Book Antiqua"/>
          <w:sz w:val="24"/>
        </w:rPr>
      </w:pPr>
      <w:r w:rsidRPr="000643FE">
        <w:rPr>
          <w:rFonts w:ascii="Book Antiqua" w:hAnsi="Book Antiqua"/>
          <w:b/>
          <w:kern w:val="0"/>
          <w:sz w:val="24"/>
        </w:rPr>
        <w:t xml:space="preserve">Open-Access: </w:t>
      </w:r>
      <w:r w:rsidRPr="000643FE">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0643FE">
          <w:rPr>
            <w:rStyle w:val="af"/>
            <w:rFonts w:ascii="Book Antiqua" w:hAnsi="Book Antiqua"/>
            <w:color w:val="auto"/>
            <w:sz w:val="24"/>
          </w:rPr>
          <w:t>http://creativecommons.org/licenses/by-nc/4.0/</w:t>
        </w:r>
      </w:hyperlink>
    </w:p>
    <w:p w14:paraId="22EAF2FC" w14:textId="77777777" w:rsidR="00355BDC" w:rsidRPr="000643FE" w:rsidRDefault="00355BDC" w:rsidP="000368F9">
      <w:pPr>
        <w:spacing w:line="360" w:lineRule="auto"/>
        <w:rPr>
          <w:rFonts w:ascii="Book Antiqua" w:hAnsi="Book Antiqua"/>
          <w:b/>
          <w:kern w:val="0"/>
          <w:sz w:val="24"/>
        </w:rPr>
      </w:pPr>
    </w:p>
    <w:p w14:paraId="2A78769B" w14:textId="77777777" w:rsidR="00355BDC" w:rsidRPr="000643FE" w:rsidRDefault="00355BDC" w:rsidP="000368F9">
      <w:pPr>
        <w:spacing w:line="360" w:lineRule="auto"/>
        <w:rPr>
          <w:rFonts w:ascii="Book Antiqua" w:hAnsi="Book Antiqua" w:cs="宋体"/>
          <w:kern w:val="0"/>
          <w:sz w:val="24"/>
        </w:rPr>
      </w:pPr>
      <w:r w:rsidRPr="000643FE">
        <w:rPr>
          <w:rFonts w:ascii="Book Antiqua" w:hAnsi="Book Antiqua" w:cs="宋体"/>
          <w:b/>
          <w:kern w:val="0"/>
          <w:sz w:val="24"/>
        </w:rPr>
        <w:t>Manuscript source:</w:t>
      </w:r>
      <w:r w:rsidRPr="000643FE">
        <w:rPr>
          <w:rFonts w:ascii="Book Antiqua" w:hAnsi="Book Antiqua" w:cs="宋体"/>
          <w:kern w:val="0"/>
          <w:sz w:val="24"/>
        </w:rPr>
        <w:t> Unsolicited manuscript</w:t>
      </w:r>
    </w:p>
    <w:p w14:paraId="6A6ACF9A" w14:textId="77777777" w:rsidR="00355BDC" w:rsidRPr="000643FE" w:rsidRDefault="00355BDC" w:rsidP="000368F9">
      <w:pPr>
        <w:spacing w:line="360" w:lineRule="auto"/>
        <w:rPr>
          <w:rFonts w:ascii="Book Antiqua" w:hAnsi="Book Antiqua"/>
          <w:b/>
          <w:kern w:val="0"/>
          <w:sz w:val="24"/>
        </w:rPr>
      </w:pPr>
      <w:r w:rsidRPr="000643FE">
        <w:rPr>
          <w:rFonts w:ascii="Book Antiqua" w:hAnsi="Book Antiqua"/>
          <w:b/>
          <w:kern w:val="0"/>
          <w:sz w:val="24"/>
        </w:rPr>
        <w:t xml:space="preserve"> </w:t>
      </w:r>
    </w:p>
    <w:p w14:paraId="1EAB4919" w14:textId="77777777" w:rsidR="00355BDC" w:rsidRPr="000643FE" w:rsidRDefault="003921AC" w:rsidP="000368F9">
      <w:pPr>
        <w:spacing w:line="360" w:lineRule="auto"/>
        <w:rPr>
          <w:rFonts w:ascii="Book Antiqua" w:hAnsi="Book Antiqua" w:cs="Book Antiqua"/>
          <w:b/>
          <w:sz w:val="24"/>
        </w:rPr>
      </w:pPr>
      <w:r w:rsidRPr="000643FE">
        <w:rPr>
          <w:rFonts w:ascii="Book Antiqua" w:hAnsi="Book Antiqua"/>
          <w:b/>
          <w:kern w:val="0"/>
          <w:sz w:val="24"/>
        </w:rPr>
        <w:t>Corresponding author:</w:t>
      </w:r>
      <w:r w:rsidRPr="000643FE">
        <w:rPr>
          <w:rFonts w:ascii="Book Antiqua" w:hAnsi="Book Antiqua" w:cs="Book Antiqua"/>
          <w:b/>
          <w:sz w:val="24"/>
        </w:rPr>
        <w:t xml:space="preserve"> </w:t>
      </w:r>
      <w:r w:rsidR="00355BDC" w:rsidRPr="000643FE">
        <w:rPr>
          <w:rFonts w:ascii="Book Antiqua" w:hAnsi="Book Antiqua" w:cs="Book Antiqua"/>
          <w:b/>
          <w:sz w:val="24"/>
        </w:rPr>
        <w:t xml:space="preserve">Qing-Long </w:t>
      </w:r>
      <w:proofErr w:type="spellStart"/>
      <w:r w:rsidR="00355BDC" w:rsidRPr="000643FE">
        <w:rPr>
          <w:rFonts w:ascii="Book Antiqua" w:hAnsi="Book Antiqua" w:cs="Book Antiqua"/>
          <w:b/>
          <w:sz w:val="24"/>
        </w:rPr>
        <w:t>Jin</w:t>
      </w:r>
      <w:proofErr w:type="spellEnd"/>
      <w:r w:rsidR="00355BDC" w:rsidRPr="000643FE">
        <w:rPr>
          <w:rFonts w:ascii="Book Antiqua" w:hAnsi="Book Antiqua" w:cs="Book Antiqua"/>
          <w:b/>
          <w:sz w:val="24"/>
        </w:rPr>
        <w:t xml:space="preserve">, MD, PhD, Professor, </w:t>
      </w:r>
      <w:r w:rsidR="00355BDC" w:rsidRPr="000643FE">
        <w:rPr>
          <w:rFonts w:ascii="Book Antiqua" w:hAnsi="Book Antiqua" w:cs="Book Antiqua"/>
          <w:sz w:val="24"/>
        </w:rPr>
        <w:t xml:space="preserve">Department of Hepatology, First Hospital of Jilin University, </w:t>
      </w:r>
      <w:r w:rsidR="005C0930" w:rsidRPr="000643FE">
        <w:rPr>
          <w:rFonts w:ascii="Book Antiqua" w:hAnsi="Book Antiqua" w:cs="Book Antiqua"/>
          <w:sz w:val="24"/>
        </w:rPr>
        <w:t xml:space="preserve">No. 71, </w:t>
      </w:r>
      <w:r w:rsidR="00355BDC" w:rsidRPr="000643FE">
        <w:rPr>
          <w:rFonts w:ascii="Book Antiqua" w:hAnsi="Book Antiqua" w:cs="Book Antiqua"/>
          <w:sz w:val="24"/>
        </w:rPr>
        <w:t>Xinmin Street, Changchun 130021, Jilin Province, China. jinql@jlu.edu.cn</w:t>
      </w:r>
    </w:p>
    <w:p w14:paraId="2C200B1E" w14:textId="77777777" w:rsidR="001F4CE6" w:rsidRPr="000643FE" w:rsidRDefault="004C44A9" w:rsidP="000368F9">
      <w:pPr>
        <w:spacing w:line="360" w:lineRule="auto"/>
        <w:rPr>
          <w:rFonts w:ascii="Book Antiqua" w:hAnsi="Book Antiqua"/>
          <w:b/>
          <w:sz w:val="24"/>
        </w:rPr>
      </w:pPr>
      <w:r w:rsidRPr="000643FE">
        <w:rPr>
          <w:rFonts w:ascii="Book Antiqua" w:hAnsi="Book Antiqua"/>
          <w:b/>
          <w:sz w:val="24"/>
        </w:rPr>
        <w:t>Fax:</w:t>
      </w:r>
      <w:r w:rsidR="00355BDC" w:rsidRPr="000643FE">
        <w:rPr>
          <w:rFonts w:ascii="Book Antiqua" w:hAnsi="Book Antiqua"/>
          <w:b/>
          <w:sz w:val="24"/>
        </w:rPr>
        <w:t xml:space="preserve"> </w:t>
      </w:r>
      <w:r w:rsidRPr="000643FE">
        <w:rPr>
          <w:rFonts w:ascii="Book Antiqua" w:hAnsi="Book Antiqua"/>
          <w:sz w:val="24"/>
        </w:rPr>
        <w:t>+86</w:t>
      </w:r>
      <w:r w:rsidR="00355BDC" w:rsidRPr="000643FE">
        <w:rPr>
          <w:rFonts w:ascii="Book Antiqua" w:hAnsi="Book Antiqua"/>
          <w:sz w:val="24"/>
        </w:rPr>
        <w:t>-</w:t>
      </w:r>
      <w:r w:rsidRPr="000643FE">
        <w:rPr>
          <w:rFonts w:ascii="Book Antiqua" w:hAnsi="Book Antiqua"/>
          <w:sz w:val="24"/>
        </w:rPr>
        <w:t>431-88786006</w:t>
      </w:r>
    </w:p>
    <w:p w14:paraId="645738DD" w14:textId="77777777" w:rsidR="001F4CE6" w:rsidRPr="000643FE" w:rsidRDefault="001F4CE6" w:rsidP="000368F9">
      <w:pPr>
        <w:spacing w:line="360" w:lineRule="auto"/>
        <w:rPr>
          <w:rFonts w:ascii="Book Antiqua" w:hAnsi="Book Antiqua" w:cs="Book Antiqua"/>
          <w:bCs/>
          <w:sz w:val="24"/>
        </w:rPr>
      </w:pPr>
    </w:p>
    <w:p w14:paraId="012D749E" w14:textId="77777777" w:rsidR="00355BDC" w:rsidRPr="000643FE" w:rsidRDefault="00355BDC" w:rsidP="000368F9">
      <w:pPr>
        <w:spacing w:line="360" w:lineRule="auto"/>
        <w:rPr>
          <w:rFonts w:ascii="Book Antiqua" w:hAnsi="Book Antiqua"/>
          <w:b/>
          <w:sz w:val="24"/>
        </w:rPr>
      </w:pPr>
      <w:r w:rsidRPr="000643FE">
        <w:rPr>
          <w:rFonts w:ascii="Book Antiqua" w:hAnsi="Book Antiqua"/>
          <w:b/>
          <w:sz w:val="24"/>
        </w:rPr>
        <w:t xml:space="preserve">Received: </w:t>
      </w:r>
      <w:r w:rsidR="00073C1E" w:rsidRPr="000643FE">
        <w:rPr>
          <w:rFonts w:ascii="Book Antiqua" w:hAnsi="Book Antiqua"/>
          <w:sz w:val="24"/>
        </w:rPr>
        <w:t>March 15, 2019</w:t>
      </w:r>
      <w:r w:rsidR="006F4CF1" w:rsidRPr="000643FE">
        <w:rPr>
          <w:rFonts w:ascii="Book Antiqua" w:hAnsi="Book Antiqua"/>
          <w:sz w:val="24"/>
        </w:rPr>
        <w:t xml:space="preserve"> </w:t>
      </w:r>
    </w:p>
    <w:p w14:paraId="47DF8E51" w14:textId="77777777" w:rsidR="00355BDC" w:rsidRPr="000643FE" w:rsidRDefault="00355BDC" w:rsidP="000368F9">
      <w:pPr>
        <w:spacing w:line="360" w:lineRule="auto"/>
        <w:rPr>
          <w:rFonts w:ascii="Book Antiqua" w:hAnsi="Book Antiqua"/>
          <w:b/>
          <w:sz w:val="24"/>
        </w:rPr>
      </w:pPr>
      <w:r w:rsidRPr="000643FE">
        <w:rPr>
          <w:rFonts w:ascii="Book Antiqua" w:hAnsi="Book Antiqua"/>
          <w:b/>
          <w:sz w:val="24"/>
        </w:rPr>
        <w:t>Peer-review started:</w:t>
      </w:r>
      <w:r w:rsidR="00073C1E" w:rsidRPr="000643FE">
        <w:rPr>
          <w:rFonts w:ascii="Book Antiqua" w:hAnsi="Book Antiqua"/>
          <w:sz w:val="24"/>
        </w:rPr>
        <w:t xml:space="preserve"> March 15, 2019</w:t>
      </w:r>
      <w:r w:rsidR="006F4CF1" w:rsidRPr="000643FE">
        <w:rPr>
          <w:rFonts w:ascii="Book Antiqua" w:hAnsi="Book Antiqua"/>
          <w:sz w:val="24"/>
        </w:rPr>
        <w:t xml:space="preserve"> </w:t>
      </w:r>
    </w:p>
    <w:p w14:paraId="666386C0" w14:textId="77777777" w:rsidR="00355BDC" w:rsidRPr="000643FE" w:rsidRDefault="00355BDC" w:rsidP="000368F9">
      <w:pPr>
        <w:spacing w:line="360" w:lineRule="auto"/>
        <w:rPr>
          <w:rFonts w:ascii="Book Antiqua" w:hAnsi="Book Antiqua"/>
          <w:b/>
          <w:sz w:val="24"/>
        </w:rPr>
      </w:pPr>
      <w:r w:rsidRPr="000643FE">
        <w:rPr>
          <w:rFonts w:ascii="Book Antiqua" w:hAnsi="Book Antiqua"/>
          <w:b/>
          <w:sz w:val="24"/>
        </w:rPr>
        <w:t>First decision:</w:t>
      </w:r>
      <w:r w:rsidR="00073C1E" w:rsidRPr="000643FE">
        <w:rPr>
          <w:rFonts w:ascii="Book Antiqua" w:hAnsi="Book Antiqua"/>
          <w:sz w:val="24"/>
        </w:rPr>
        <w:t xml:space="preserve"> April 18, 2019</w:t>
      </w:r>
      <w:r w:rsidR="006F4CF1" w:rsidRPr="000643FE">
        <w:rPr>
          <w:rFonts w:ascii="Book Antiqua" w:hAnsi="Book Antiqua"/>
          <w:sz w:val="24"/>
        </w:rPr>
        <w:t xml:space="preserve"> </w:t>
      </w:r>
    </w:p>
    <w:p w14:paraId="13356A71" w14:textId="77777777" w:rsidR="00355BDC" w:rsidRPr="000643FE" w:rsidRDefault="00355BDC" w:rsidP="000368F9">
      <w:pPr>
        <w:spacing w:line="360" w:lineRule="auto"/>
        <w:rPr>
          <w:rFonts w:ascii="Book Antiqua" w:hAnsi="Book Antiqua"/>
          <w:b/>
          <w:sz w:val="24"/>
        </w:rPr>
      </w:pPr>
      <w:r w:rsidRPr="000643FE">
        <w:rPr>
          <w:rFonts w:ascii="Book Antiqua" w:hAnsi="Book Antiqua"/>
          <w:b/>
          <w:sz w:val="24"/>
        </w:rPr>
        <w:t xml:space="preserve">Revised: </w:t>
      </w:r>
      <w:r w:rsidR="00073C1E" w:rsidRPr="000643FE">
        <w:rPr>
          <w:rFonts w:ascii="Book Antiqua" w:hAnsi="Book Antiqua"/>
          <w:sz w:val="24"/>
        </w:rPr>
        <w:t>April 22, 2019</w:t>
      </w:r>
      <w:r w:rsidR="000368F9" w:rsidRPr="000643FE">
        <w:rPr>
          <w:rFonts w:ascii="Book Antiqua" w:hAnsi="Book Antiqua"/>
          <w:sz w:val="24"/>
        </w:rPr>
        <w:t xml:space="preserve"> </w:t>
      </w:r>
    </w:p>
    <w:p w14:paraId="034119BE" w14:textId="77777777" w:rsidR="00355BDC" w:rsidRPr="000643FE" w:rsidRDefault="00355BDC" w:rsidP="000368F9">
      <w:pPr>
        <w:spacing w:line="360" w:lineRule="auto"/>
        <w:rPr>
          <w:rFonts w:ascii="Book Antiqua" w:hAnsi="Book Antiqua"/>
          <w:b/>
          <w:sz w:val="24"/>
        </w:rPr>
      </w:pPr>
      <w:r w:rsidRPr="000643FE">
        <w:rPr>
          <w:rFonts w:ascii="Book Antiqua" w:hAnsi="Book Antiqua"/>
          <w:b/>
          <w:sz w:val="24"/>
        </w:rPr>
        <w:t>Accepted:</w:t>
      </w:r>
      <w:r w:rsidR="00BE0ECD" w:rsidRPr="000643FE">
        <w:t xml:space="preserve"> </w:t>
      </w:r>
      <w:r w:rsidR="00BE0ECD" w:rsidRPr="000643FE">
        <w:rPr>
          <w:rFonts w:ascii="Book Antiqua" w:hAnsi="Book Antiqua"/>
          <w:sz w:val="24"/>
        </w:rPr>
        <w:t>May 2, 2019</w:t>
      </w:r>
      <w:r w:rsidR="006F4CF1" w:rsidRPr="000643FE">
        <w:rPr>
          <w:rFonts w:ascii="Book Antiqua" w:hAnsi="Book Antiqua"/>
          <w:b/>
          <w:sz w:val="24"/>
        </w:rPr>
        <w:t xml:space="preserve"> </w:t>
      </w:r>
    </w:p>
    <w:p w14:paraId="73853356" w14:textId="65E7BA80" w:rsidR="00355BDC" w:rsidRPr="000643FE" w:rsidRDefault="00355BDC" w:rsidP="000368F9">
      <w:pPr>
        <w:spacing w:line="360" w:lineRule="auto"/>
        <w:rPr>
          <w:rFonts w:ascii="Book Antiqua" w:hAnsi="Book Antiqua"/>
          <w:sz w:val="24"/>
        </w:rPr>
      </w:pPr>
      <w:r w:rsidRPr="000643FE">
        <w:rPr>
          <w:rFonts w:ascii="Book Antiqua" w:hAnsi="Book Antiqua"/>
          <w:b/>
          <w:sz w:val="24"/>
        </w:rPr>
        <w:t>Article in press:</w:t>
      </w:r>
      <w:r w:rsidR="000368F9" w:rsidRPr="000643FE">
        <w:rPr>
          <w:rFonts w:ascii="Book Antiqua" w:hAnsi="Book Antiqua"/>
          <w:sz w:val="24"/>
        </w:rPr>
        <w:t xml:space="preserve"> </w:t>
      </w:r>
      <w:r w:rsidR="000643FE" w:rsidRPr="000643FE">
        <w:rPr>
          <w:rFonts w:ascii="Book Antiqua" w:hAnsi="Book Antiqua"/>
          <w:sz w:val="24"/>
        </w:rPr>
        <w:t xml:space="preserve">May </w:t>
      </w:r>
      <w:r w:rsidR="000643FE">
        <w:rPr>
          <w:rFonts w:ascii="Book Antiqua" w:hAnsi="Book Antiqua" w:hint="eastAsia"/>
          <w:sz w:val="24"/>
        </w:rPr>
        <w:t>3</w:t>
      </w:r>
      <w:r w:rsidR="000643FE" w:rsidRPr="000643FE">
        <w:rPr>
          <w:rFonts w:ascii="Book Antiqua" w:hAnsi="Book Antiqua"/>
          <w:sz w:val="24"/>
        </w:rPr>
        <w:t>, 2019</w:t>
      </w:r>
    </w:p>
    <w:p w14:paraId="580F559E" w14:textId="1A7D6F30" w:rsidR="00355BDC" w:rsidRPr="000643FE" w:rsidRDefault="00355BDC" w:rsidP="000368F9">
      <w:pPr>
        <w:spacing w:line="360" w:lineRule="auto"/>
        <w:rPr>
          <w:rFonts w:ascii="Book Antiqua" w:hAnsi="Book Antiqua"/>
          <w:b/>
          <w:sz w:val="24"/>
        </w:rPr>
      </w:pPr>
      <w:r w:rsidRPr="000643FE">
        <w:rPr>
          <w:rFonts w:ascii="Book Antiqua" w:hAnsi="Book Antiqua"/>
          <w:b/>
          <w:sz w:val="24"/>
        </w:rPr>
        <w:t xml:space="preserve">Published online: </w:t>
      </w:r>
      <w:r w:rsidR="000643FE" w:rsidRPr="000643FE">
        <w:rPr>
          <w:rFonts w:ascii="Book Antiqua" w:hAnsi="Book Antiqua"/>
          <w:sz w:val="24"/>
        </w:rPr>
        <w:t>July 6, 2019</w:t>
      </w:r>
    </w:p>
    <w:p w14:paraId="5F54640A" w14:textId="77777777" w:rsidR="00073C1E" w:rsidRPr="000643FE" w:rsidRDefault="00073C1E" w:rsidP="000368F9">
      <w:pPr>
        <w:widowControl/>
        <w:spacing w:line="360" w:lineRule="auto"/>
        <w:rPr>
          <w:rFonts w:ascii="Book Antiqua" w:hAnsi="Book Antiqua" w:cs="Book Antiqua"/>
          <w:bCs/>
          <w:sz w:val="24"/>
        </w:rPr>
      </w:pPr>
      <w:r w:rsidRPr="000643FE">
        <w:rPr>
          <w:rFonts w:ascii="Book Antiqua" w:hAnsi="Book Antiqua" w:cs="Book Antiqua"/>
          <w:bCs/>
          <w:sz w:val="24"/>
        </w:rPr>
        <w:br w:type="page"/>
      </w:r>
    </w:p>
    <w:p w14:paraId="438EC513" w14:textId="77777777" w:rsidR="001F4CE6" w:rsidRPr="000643FE" w:rsidRDefault="004C44A9" w:rsidP="000368F9">
      <w:pPr>
        <w:spacing w:line="360" w:lineRule="auto"/>
        <w:rPr>
          <w:rFonts w:ascii="Book Antiqua" w:hAnsi="Book Antiqua" w:cs="Book Antiqua"/>
          <w:b/>
          <w:bCs/>
          <w:sz w:val="24"/>
        </w:rPr>
      </w:pPr>
      <w:r w:rsidRPr="000643FE">
        <w:rPr>
          <w:rFonts w:ascii="Book Antiqua" w:hAnsi="Book Antiqua" w:cs="Book Antiqua"/>
          <w:b/>
          <w:bCs/>
          <w:sz w:val="24"/>
        </w:rPr>
        <w:t>Abstract</w:t>
      </w:r>
    </w:p>
    <w:p w14:paraId="572B43E4" w14:textId="77777777" w:rsidR="001F4CE6" w:rsidRPr="000643FE" w:rsidRDefault="004C44A9" w:rsidP="000368F9">
      <w:pPr>
        <w:spacing w:line="360" w:lineRule="auto"/>
        <w:rPr>
          <w:rFonts w:ascii="Book Antiqua" w:hAnsi="Book Antiqua" w:cs="Book Antiqua"/>
          <w:b/>
          <w:bCs/>
          <w:i/>
          <w:iCs/>
          <w:sz w:val="24"/>
        </w:rPr>
      </w:pPr>
      <w:r w:rsidRPr="000643FE">
        <w:rPr>
          <w:rFonts w:ascii="Book Antiqua" w:hAnsi="Book Antiqua" w:cs="Book Antiqua"/>
          <w:b/>
          <w:bCs/>
          <w:i/>
          <w:iCs/>
          <w:sz w:val="24"/>
        </w:rPr>
        <w:t>BACKGROUND</w:t>
      </w:r>
    </w:p>
    <w:p w14:paraId="31D86170"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 xml:space="preserve">Benzbromarone is a uricosuric agent that reduces proximal tubular reabsorption of uric acid. Because of hepatotoxicity, it has been withdrawn from the market in Europe. Recently, some benefit-risk assessments of benzbromarone suggest that benzbromarone has greater benefits than risks, and the application of benzbromarone in the treatment of gout and hyperuricemia is still under debate. </w:t>
      </w:r>
    </w:p>
    <w:p w14:paraId="551ED6D5" w14:textId="77777777" w:rsidR="001F4CE6" w:rsidRPr="000643FE" w:rsidRDefault="001F4CE6" w:rsidP="000368F9">
      <w:pPr>
        <w:spacing w:line="360" w:lineRule="auto"/>
        <w:rPr>
          <w:rFonts w:ascii="Book Antiqua" w:hAnsi="Book Antiqua" w:cs="Book Antiqua"/>
          <w:sz w:val="24"/>
        </w:rPr>
      </w:pPr>
    </w:p>
    <w:p w14:paraId="1B249EB8" w14:textId="77777777" w:rsidR="001F4CE6" w:rsidRPr="000643FE" w:rsidRDefault="004C44A9" w:rsidP="000368F9">
      <w:pPr>
        <w:spacing w:line="360" w:lineRule="auto"/>
        <w:rPr>
          <w:rFonts w:ascii="Book Antiqua" w:hAnsi="Book Antiqua" w:cs="Book Antiqua"/>
          <w:b/>
          <w:bCs/>
          <w:i/>
          <w:iCs/>
          <w:sz w:val="24"/>
        </w:rPr>
      </w:pPr>
      <w:r w:rsidRPr="000643FE">
        <w:rPr>
          <w:rFonts w:ascii="Book Antiqua" w:hAnsi="Book Antiqua" w:cs="Book Antiqua"/>
          <w:b/>
          <w:bCs/>
          <w:i/>
          <w:iCs/>
          <w:sz w:val="24"/>
        </w:rPr>
        <w:t>CASE SUMMARY</w:t>
      </w:r>
    </w:p>
    <w:p w14:paraId="66E9BD8D"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A 39-year-old man was admitted to the hospital for icterus and nausea, and he was treated with benzbromarone</w:t>
      </w:r>
      <w:r w:rsidR="002220B9" w:rsidRPr="000643FE">
        <w:rPr>
          <w:rFonts w:ascii="Book Antiqua" w:hAnsi="Book Antiqua" w:cs="Book Antiqua"/>
          <w:sz w:val="24"/>
        </w:rPr>
        <w:t xml:space="preserve"> </w:t>
      </w:r>
      <w:r w:rsidRPr="000643FE">
        <w:rPr>
          <w:rFonts w:ascii="Book Antiqua" w:hAnsi="Book Antiqua" w:cs="Book Antiqua"/>
          <w:sz w:val="24"/>
        </w:rPr>
        <w:t xml:space="preserve">(100 mg/d) for 4 </w:t>
      </w:r>
      <w:proofErr w:type="spellStart"/>
      <w:r w:rsidRPr="000643FE">
        <w:rPr>
          <w:rFonts w:ascii="Book Antiqua" w:hAnsi="Book Antiqua" w:cs="Book Antiqua"/>
          <w:sz w:val="24"/>
        </w:rPr>
        <w:t>mo</w:t>
      </w:r>
      <w:proofErr w:type="spellEnd"/>
      <w:r w:rsidRPr="000643FE">
        <w:rPr>
          <w:rFonts w:ascii="Book Antiqua" w:hAnsi="Book Antiqua" w:cs="Book Antiqua"/>
          <w:sz w:val="24"/>
        </w:rPr>
        <w:t xml:space="preserve"> because of hyperuricemia. He had a 10-year history of beer drinking (alcohol: about 28 g/d). Laboratory data showed severe liver injury and serious coagulation dysfunction; tests for autoimmune antibodies, viral hepatitis</w:t>
      </w:r>
      <w:r w:rsidR="005C0930" w:rsidRPr="000643FE">
        <w:rPr>
          <w:rFonts w:ascii="Book Antiqua" w:hAnsi="Book Antiqua" w:cs="Book Antiqua"/>
          <w:sz w:val="24"/>
        </w:rPr>
        <w:t>,</w:t>
      </w:r>
      <w:r w:rsidRPr="000643FE">
        <w:rPr>
          <w:rFonts w:ascii="Book Antiqua" w:hAnsi="Book Antiqua" w:cs="Book Antiqua"/>
          <w:sz w:val="24"/>
        </w:rPr>
        <w:t xml:space="preserve"> and human immunodeficiency virus were negative. Despite administration of liver function-protecting drugs and efficient supportive treatment, the patient deteriorated quickly after hospitalization and developed grade II encephalopathy within a few days. The patient accepted continuous plasma exchange </w:t>
      </w:r>
      <w:r w:rsidR="005C0930" w:rsidRPr="000643FE">
        <w:rPr>
          <w:rFonts w:ascii="Book Antiqua" w:hAnsi="Book Antiqua" w:cs="Book Antiqua"/>
          <w:sz w:val="24"/>
        </w:rPr>
        <w:t xml:space="preserve">six </w:t>
      </w:r>
      <w:r w:rsidRPr="000643FE">
        <w:rPr>
          <w:rFonts w:ascii="Book Antiqua" w:hAnsi="Book Antiqua" w:cs="Book Antiqua"/>
          <w:sz w:val="24"/>
        </w:rPr>
        <w:t>times; however, his condition did not improve. Based on suggestions from multidisciplinary consultation, the patient underwent liver transplantation 26 d after admission. Liver specimen pathology results showed massive necrosis consistent with drug-induced liver injury, supporting the diagnosis of acute liver failure associated with benzbromarone. The patient recovered quickly thereafter.</w:t>
      </w:r>
    </w:p>
    <w:p w14:paraId="3019B9B8" w14:textId="77777777" w:rsidR="002220B9" w:rsidRPr="000643FE" w:rsidRDefault="002220B9" w:rsidP="000368F9">
      <w:pPr>
        <w:spacing w:line="360" w:lineRule="auto"/>
        <w:rPr>
          <w:rFonts w:ascii="Book Antiqua" w:hAnsi="Book Antiqua" w:cs="Book Antiqua"/>
          <w:sz w:val="24"/>
        </w:rPr>
      </w:pPr>
    </w:p>
    <w:p w14:paraId="65F6861B" w14:textId="77777777" w:rsidR="001F4CE6" w:rsidRPr="000643FE" w:rsidRDefault="004C44A9" w:rsidP="000368F9">
      <w:pPr>
        <w:spacing w:line="360" w:lineRule="auto"/>
        <w:rPr>
          <w:rFonts w:ascii="Book Antiqua" w:hAnsi="Book Antiqua" w:cs="Book Antiqua"/>
          <w:b/>
          <w:bCs/>
          <w:i/>
          <w:iCs/>
          <w:sz w:val="24"/>
        </w:rPr>
      </w:pPr>
      <w:r w:rsidRPr="000643FE">
        <w:rPr>
          <w:rFonts w:ascii="Book Antiqua" w:hAnsi="Book Antiqua" w:cs="Book Antiqua"/>
          <w:b/>
          <w:bCs/>
          <w:i/>
          <w:iCs/>
          <w:sz w:val="24"/>
        </w:rPr>
        <w:t>CONCLUSION</w:t>
      </w:r>
    </w:p>
    <w:p w14:paraId="3D83B7D7"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This case highlights that clinicians should be on the alert for the severe hepatotoxicity of benzbromarone. Before prescribing benzbromarone, physicians should evaluate the high-risk factors that may lead to liver injury and provide suggestions for monitoring benzbromarone's hepatotoxicity during treatment.</w:t>
      </w:r>
    </w:p>
    <w:p w14:paraId="01307A84" w14:textId="77777777" w:rsidR="002220B9" w:rsidRPr="000643FE" w:rsidRDefault="002220B9" w:rsidP="000368F9">
      <w:pPr>
        <w:spacing w:line="360" w:lineRule="auto"/>
        <w:rPr>
          <w:rFonts w:ascii="Book Antiqua" w:hAnsi="Book Antiqua" w:cs="Book Antiqua"/>
          <w:sz w:val="24"/>
        </w:rPr>
      </w:pPr>
    </w:p>
    <w:p w14:paraId="3BD8D167"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b/>
          <w:bCs/>
          <w:sz w:val="24"/>
        </w:rPr>
        <w:t>Key words:</w:t>
      </w:r>
      <w:r w:rsidR="002220B9" w:rsidRPr="000643FE">
        <w:rPr>
          <w:rFonts w:ascii="Book Antiqua" w:hAnsi="Book Antiqua" w:cs="Book Antiqua"/>
          <w:b/>
          <w:bCs/>
          <w:sz w:val="24"/>
        </w:rPr>
        <w:t xml:space="preserve"> </w:t>
      </w:r>
      <w:r w:rsidRPr="000643FE">
        <w:rPr>
          <w:rFonts w:ascii="Book Antiqua" w:hAnsi="Book Antiqua" w:cs="Book Antiqua"/>
          <w:sz w:val="24"/>
        </w:rPr>
        <w:t>Benzbromarone; Hepatotoxicity; Liver failure; Liver transplantation; Case report</w:t>
      </w:r>
    </w:p>
    <w:p w14:paraId="07E61FC9" w14:textId="77777777" w:rsidR="002220B9" w:rsidRPr="000643FE" w:rsidRDefault="002220B9" w:rsidP="000368F9">
      <w:pPr>
        <w:spacing w:line="360" w:lineRule="auto"/>
        <w:rPr>
          <w:rFonts w:ascii="Book Antiqua" w:hAnsi="Book Antiqua" w:cs="Book Antiqua"/>
          <w:b/>
          <w:bCs/>
          <w:sz w:val="24"/>
        </w:rPr>
      </w:pPr>
    </w:p>
    <w:p w14:paraId="225E05EA" w14:textId="77777777" w:rsidR="002220B9" w:rsidRPr="000643FE" w:rsidRDefault="002220B9" w:rsidP="000368F9">
      <w:pPr>
        <w:spacing w:line="360" w:lineRule="auto"/>
        <w:rPr>
          <w:rFonts w:ascii="Book Antiqua" w:hAnsi="Book Antiqua" w:cs="Arial"/>
          <w:sz w:val="24"/>
        </w:rPr>
      </w:pPr>
      <w:r w:rsidRPr="000643FE">
        <w:rPr>
          <w:rFonts w:ascii="Book Antiqua" w:hAnsi="Book Antiqua"/>
          <w:b/>
          <w:sz w:val="24"/>
        </w:rPr>
        <w:t xml:space="preserve">© </w:t>
      </w:r>
      <w:r w:rsidRPr="000643FE">
        <w:rPr>
          <w:rFonts w:ascii="Book Antiqua" w:hAnsi="Book Antiqua" w:cs="Arial"/>
          <w:b/>
          <w:sz w:val="24"/>
        </w:rPr>
        <w:t>The Author(s) 2019.</w:t>
      </w:r>
      <w:r w:rsidRPr="000643FE">
        <w:rPr>
          <w:rFonts w:ascii="Book Antiqua" w:hAnsi="Book Antiqua" w:cs="Arial"/>
          <w:sz w:val="24"/>
        </w:rPr>
        <w:t xml:space="preserve"> Published by </w:t>
      </w:r>
      <w:proofErr w:type="spellStart"/>
      <w:r w:rsidRPr="000643FE">
        <w:rPr>
          <w:rFonts w:ascii="Book Antiqua" w:hAnsi="Book Antiqua" w:cs="Arial"/>
          <w:sz w:val="24"/>
        </w:rPr>
        <w:t>Baishideng</w:t>
      </w:r>
      <w:proofErr w:type="spellEnd"/>
      <w:r w:rsidRPr="000643FE">
        <w:rPr>
          <w:rFonts w:ascii="Book Antiqua" w:hAnsi="Book Antiqua" w:cs="Arial"/>
          <w:sz w:val="24"/>
        </w:rPr>
        <w:t xml:space="preserve"> Publishing Group Inc. All rights reserved.</w:t>
      </w:r>
    </w:p>
    <w:p w14:paraId="0C1595B6" w14:textId="77777777" w:rsidR="001F4CE6" w:rsidRPr="000643FE" w:rsidRDefault="001F4CE6" w:rsidP="000368F9">
      <w:pPr>
        <w:spacing w:line="360" w:lineRule="auto"/>
        <w:rPr>
          <w:rFonts w:ascii="Book Antiqua" w:hAnsi="Book Antiqua" w:cs="Book Antiqua"/>
          <w:sz w:val="24"/>
        </w:rPr>
      </w:pPr>
    </w:p>
    <w:p w14:paraId="331D2755"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b/>
          <w:bCs/>
          <w:sz w:val="24"/>
        </w:rPr>
        <w:t>Core tip:</w:t>
      </w:r>
      <w:r w:rsidR="002220B9" w:rsidRPr="000643FE">
        <w:rPr>
          <w:rFonts w:ascii="Book Antiqua" w:hAnsi="Book Antiqua" w:cs="Book Antiqua"/>
          <w:b/>
          <w:bCs/>
          <w:sz w:val="24"/>
        </w:rPr>
        <w:t xml:space="preserve"> </w:t>
      </w:r>
      <w:r w:rsidRPr="000643FE">
        <w:rPr>
          <w:rFonts w:ascii="Book Antiqua" w:hAnsi="Book Antiqua" w:cs="Book Antiqua"/>
          <w:sz w:val="24"/>
        </w:rPr>
        <w:t xml:space="preserve">Here, we present a case of liver failure associated with benzbromarone. This is the ninth reported case associated with benzbromarone hepatotoxicity to date. We recommend that before prescribing, the benefits and risks of benzbromarone should be carefully evaluated. Additionally, an in-depth understanding of the relevant high-risk factors that may lead to liver injury and the prompt monitoring of </w:t>
      </w:r>
      <w:r w:rsidR="006E1D1A" w:rsidRPr="000643FE">
        <w:rPr>
          <w:rFonts w:ascii="Book Antiqua" w:hAnsi="Book Antiqua" w:cs="Book Antiqua"/>
          <w:sz w:val="24"/>
        </w:rPr>
        <w:t xml:space="preserve">hepatotoxicity of </w:t>
      </w:r>
      <w:r w:rsidR="005C0930" w:rsidRPr="000643FE">
        <w:rPr>
          <w:rFonts w:ascii="Book Antiqua" w:hAnsi="Book Antiqua" w:cs="Book Antiqua"/>
          <w:sz w:val="24"/>
        </w:rPr>
        <w:t>benzbromarone</w:t>
      </w:r>
      <w:r w:rsidR="006E1D1A" w:rsidRPr="000643FE">
        <w:rPr>
          <w:rFonts w:ascii="Book Antiqua" w:hAnsi="Book Antiqua" w:cs="Book Antiqua"/>
          <w:sz w:val="24"/>
        </w:rPr>
        <w:t xml:space="preserve"> </w:t>
      </w:r>
      <w:r w:rsidRPr="000643FE">
        <w:rPr>
          <w:rFonts w:ascii="Book Antiqua" w:hAnsi="Book Antiqua" w:cs="Book Antiqua"/>
          <w:sz w:val="24"/>
        </w:rPr>
        <w:t>are essential.</w:t>
      </w:r>
    </w:p>
    <w:p w14:paraId="007AB4E9" w14:textId="77777777" w:rsidR="006F4CF1" w:rsidRPr="000643FE" w:rsidRDefault="006F4CF1" w:rsidP="000368F9">
      <w:pPr>
        <w:spacing w:line="360" w:lineRule="auto"/>
        <w:rPr>
          <w:rFonts w:ascii="Book Antiqua" w:hAnsi="Book Antiqua" w:cs="Book Antiqua"/>
          <w:b/>
          <w:bCs/>
          <w:sz w:val="24"/>
        </w:rPr>
      </w:pPr>
    </w:p>
    <w:p w14:paraId="7E7AF7A0" w14:textId="665EE6AC" w:rsidR="006F4CF1" w:rsidRDefault="000643FE" w:rsidP="000368F9">
      <w:pPr>
        <w:spacing w:line="360" w:lineRule="auto"/>
        <w:rPr>
          <w:rFonts w:ascii="Book Antiqua" w:hAnsi="Book Antiqua" w:hint="eastAsia"/>
          <w:iCs/>
          <w:sz w:val="24"/>
        </w:rPr>
      </w:pPr>
      <w:r w:rsidRPr="000643FE">
        <w:rPr>
          <w:rFonts w:ascii="Book Antiqua" w:hAnsi="Book Antiqua" w:cs="Book Antiqua"/>
          <w:b/>
          <w:sz w:val="24"/>
        </w:rPr>
        <w:t>Citation:</w:t>
      </w:r>
      <w:r>
        <w:rPr>
          <w:rFonts w:ascii="Book Antiqua" w:hAnsi="Book Antiqua" w:cs="Book Antiqua" w:hint="eastAsia"/>
          <w:b/>
          <w:sz w:val="24"/>
        </w:rPr>
        <w:t xml:space="preserve"> </w:t>
      </w:r>
      <w:r w:rsidR="004C44A9" w:rsidRPr="000643FE">
        <w:rPr>
          <w:rFonts w:ascii="Book Antiqua" w:hAnsi="Book Antiqua" w:cs="Book Antiqua"/>
          <w:sz w:val="24"/>
        </w:rPr>
        <w:t xml:space="preserve">Zhang MY, </w:t>
      </w:r>
      <w:proofErr w:type="spellStart"/>
      <w:r w:rsidR="004C44A9" w:rsidRPr="000643FE">
        <w:rPr>
          <w:rFonts w:ascii="Book Antiqua" w:hAnsi="Book Antiqua" w:cs="Book Antiqua"/>
          <w:sz w:val="24"/>
        </w:rPr>
        <w:t>Niu</w:t>
      </w:r>
      <w:proofErr w:type="spellEnd"/>
      <w:r w:rsidR="004C44A9" w:rsidRPr="000643FE">
        <w:rPr>
          <w:rFonts w:ascii="Book Antiqua" w:hAnsi="Book Antiqua" w:cs="Book Antiqua"/>
          <w:sz w:val="24"/>
        </w:rPr>
        <w:t xml:space="preserve"> JQ, Wen XY, </w:t>
      </w:r>
      <w:proofErr w:type="spellStart"/>
      <w:r w:rsidR="004C44A9" w:rsidRPr="000643FE">
        <w:rPr>
          <w:rFonts w:ascii="Book Antiqua" w:hAnsi="Book Antiqua" w:cs="Book Antiqua"/>
          <w:sz w:val="24"/>
        </w:rPr>
        <w:t>Jin</w:t>
      </w:r>
      <w:proofErr w:type="spellEnd"/>
      <w:r w:rsidR="004C44A9" w:rsidRPr="000643FE">
        <w:rPr>
          <w:rFonts w:ascii="Book Antiqua" w:hAnsi="Book Antiqua" w:cs="Book Antiqua"/>
          <w:sz w:val="24"/>
        </w:rPr>
        <w:t xml:space="preserve"> QL. </w:t>
      </w:r>
      <w:r w:rsidR="006F4CF1" w:rsidRPr="000643FE">
        <w:rPr>
          <w:rFonts w:ascii="Book Antiqua" w:hAnsi="Book Antiqua" w:cs="Book Antiqua"/>
          <w:bCs/>
          <w:sz w:val="24"/>
        </w:rPr>
        <w:t xml:space="preserve">Liver failure associated with benzbromarone: </w:t>
      </w:r>
      <w:r w:rsidR="006F4CF1" w:rsidRPr="000643FE">
        <w:rPr>
          <w:rFonts w:ascii="Book Antiqua" w:hAnsi="Book Antiqua"/>
          <w:sz w:val="24"/>
        </w:rPr>
        <w:t xml:space="preserve">A case report and review of </w:t>
      </w:r>
      <w:r w:rsidR="005C0930" w:rsidRPr="000643FE">
        <w:rPr>
          <w:rFonts w:ascii="Book Antiqua" w:hAnsi="Book Antiqua"/>
          <w:sz w:val="24"/>
        </w:rPr>
        <w:t xml:space="preserve">the </w:t>
      </w:r>
      <w:r w:rsidR="006F4CF1" w:rsidRPr="000643FE">
        <w:rPr>
          <w:rFonts w:ascii="Book Antiqua" w:hAnsi="Book Antiqua"/>
          <w:sz w:val="24"/>
        </w:rPr>
        <w:t xml:space="preserve">literature. </w:t>
      </w:r>
      <w:r w:rsidR="006F4CF1" w:rsidRPr="000643FE">
        <w:rPr>
          <w:rFonts w:ascii="Book Antiqua" w:hAnsi="Book Antiqua"/>
          <w:i/>
          <w:iCs/>
          <w:sz w:val="24"/>
        </w:rPr>
        <w:t xml:space="preserve">World J </w:t>
      </w:r>
      <w:proofErr w:type="spellStart"/>
      <w:r w:rsidR="006F4CF1" w:rsidRPr="000643FE">
        <w:rPr>
          <w:rFonts w:ascii="Book Antiqua" w:hAnsi="Book Antiqua"/>
          <w:i/>
          <w:iCs/>
          <w:sz w:val="24"/>
        </w:rPr>
        <w:t>Clin</w:t>
      </w:r>
      <w:proofErr w:type="spellEnd"/>
      <w:r w:rsidR="006F4CF1" w:rsidRPr="000643FE">
        <w:rPr>
          <w:rFonts w:ascii="Book Antiqua" w:hAnsi="Book Antiqua"/>
          <w:i/>
          <w:iCs/>
          <w:sz w:val="24"/>
        </w:rPr>
        <w:t xml:space="preserve"> Cases </w:t>
      </w:r>
      <w:r w:rsidR="006F4CF1" w:rsidRPr="000643FE">
        <w:rPr>
          <w:rFonts w:ascii="Book Antiqua" w:hAnsi="Book Antiqua"/>
          <w:iCs/>
          <w:sz w:val="24"/>
        </w:rPr>
        <w:t xml:space="preserve">2019; </w:t>
      </w:r>
      <w:r w:rsidRPr="000643FE">
        <w:rPr>
          <w:rFonts w:ascii="Book Antiqua" w:hAnsi="Book Antiqua"/>
          <w:iCs/>
          <w:sz w:val="24"/>
        </w:rPr>
        <w:t>7(13): 1</w:t>
      </w:r>
      <w:r>
        <w:rPr>
          <w:rFonts w:ascii="Book Antiqua" w:hAnsi="Book Antiqua" w:hint="eastAsia"/>
          <w:iCs/>
          <w:sz w:val="24"/>
        </w:rPr>
        <w:t>717</w:t>
      </w:r>
      <w:r w:rsidRPr="000643FE">
        <w:rPr>
          <w:rFonts w:ascii="Book Antiqua" w:hAnsi="Book Antiqua"/>
          <w:iCs/>
          <w:sz w:val="24"/>
        </w:rPr>
        <w:t>-</w:t>
      </w:r>
      <w:r>
        <w:rPr>
          <w:rFonts w:ascii="Book Antiqua" w:hAnsi="Book Antiqua" w:hint="eastAsia"/>
          <w:iCs/>
          <w:sz w:val="24"/>
        </w:rPr>
        <w:t>1725</w:t>
      </w:r>
    </w:p>
    <w:p w14:paraId="553C0AF8" w14:textId="5690D016" w:rsidR="000643FE" w:rsidRPr="000643FE" w:rsidRDefault="000643FE" w:rsidP="000643FE">
      <w:pPr>
        <w:spacing w:line="360" w:lineRule="auto"/>
        <w:rPr>
          <w:rFonts w:ascii="Book Antiqua" w:hAnsi="Book Antiqua"/>
          <w:sz w:val="24"/>
        </w:rPr>
      </w:pPr>
      <w:r w:rsidRPr="000643FE">
        <w:rPr>
          <w:rFonts w:ascii="Book Antiqua" w:hAnsi="Book Antiqua"/>
          <w:b/>
          <w:sz w:val="24"/>
        </w:rPr>
        <w:t>URL:</w:t>
      </w:r>
      <w:r w:rsidRPr="000643FE">
        <w:rPr>
          <w:rFonts w:ascii="Book Antiqua" w:hAnsi="Book Antiqua"/>
          <w:sz w:val="24"/>
        </w:rPr>
        <w:t xml:space="preserve"> https://www.wjgnet.com/2307-8960/full/v7/i13/1</w:t>
      </w:r>
      <w:r>
        <w:rPr>
          <w:rFonts w:ascii="Book Antiqua" w:hAnsi="Book Antiqua" w:hint="eastAsia"/>
          <w:sz w:val="24"/>
        </w:rPr>
        <w:t>717</w:t>
      </w:r>
      <w:r w:rsidRPr="000643FE">
        <w:rPr>
          <w:rFonts w:ascii="Book Antiqua" w:hAnsi="Book Antiqua"/>
          <w:sz w:val="24"/>
        </w:rPr>
        <w:t xml:space="preserve">.htm  </w:t>
      </w:r>
    </w:p>
    <w:p w14:paraId="0DBB52A9" w14:textId="111F5047" w:rsidR="000643FE" w:rsidRPr="000643FE" w:rsidRDefault="000643FE" w:rsidP="000643FE">
      <w:pPr>
        <w:spacing w:line="360" w:lineRule="auto"/>
        <w:rPr>
          <w:rFonts w:ascii="Book Antiqua" w:hAnsi="Book Antiqua"/>
          <w:sz w:val="24"/>
        </w:rPr>
      </w:pPr>
      <w:r w:rsidRPr="000643FE">
        <w:rPr>
          <w:rFonts w:ascii="Book Antiqua" w:hAnsi="Book Antiqua"/>
          <w:b/>
          <w:sz w:val="24"/>
        </w:rPr>
        <w:t>DOI:</w:t>
      </w:r>
      <w:r w:rsidRPr="000643FE">
        <w:rPr>
          <w:rFonts w:ascii="Book Antiqua" w:hAnsi="Book Antiqua"/>
          <w:sz w:val="24"/>
        </w:rPr>
        <w:t xml:space="preserve"> https://dx.doi.org/10.12998/wjcc.v7.i13.1</w:t>
      </w:r>
      <w:r>
        <w:rPr>
          <w:rFonts w:ascii="Book Antiqua" w:hAnsi="Book Antiqua" w:hint="eastAsia"/>
          <w:sz w:val="24"/>
        </w:rPr>
        <w:t>717</w:t>
      </w:r>
    </w:p>
    <w:p w14:paraId="4E7AC30A" w14:textId="77777777" w:rsidR="006F4CF1" w:rsidRPr="000643FE" w:rsidRDefault="006F4CF1" w:rsidP="000368F9">
      <w:pPr>
        <w:widowControl/>
        <w:spacing w:line="360" w:lineRule="auto"/>
        <w:rPr>
          <w:rFonts w:ascii="Book Antiqua" w:hAnsi="Book Antiqua" w:cs="Book Antiqua"/>
          <w:sz w:val="24"/>
        </w:rPr>
      </w:pPr>
      <w:r w:rsidRPr="000643FE">
        <w:rPr>
          <w:rFonts w:ascii="Book Antiqua" w:hAnsi="Book Antiqua" w:cs="Book Antiqua"/>
          <w:sz w:val="24"/>
        </w:rPr>
        <w:br w:type="page"/>
      </w:r>
    </w:p>
    <w:p w14:paraId="56993D0F" w14:textId="77777777" w:rsidR="001F4CE6" w:rsidRPr="000643FE" w:rsidRDefault="004C44A9" w:rsidP="000368F9">
      <w:pPr>
        <w:spacing w:line="360" w:lineRule="auto"/>
        <w:rPr>
          <w:rFonts w:ascii="Book Antiqua" w:hAnsi="Book Antiqua" w:cs="Book Antiqua"/>
          <w:b/>
          <w:bCs/>
          <w:sz w:val="24"/>
        </w:rPr>
      </w:pPr>
      <w:r w:rsidRPr="000643FE">
        <w:rPr>
          <w:rFonts w:ascii="Book Antiqua" w:hAnsi="Book Antiqua" w:cs="Book Antiqua"/>
          <w:b/>
          <w:bCs/>
          <w:sz w:val="24"/>
        </w:rPr>
        <w:t>INTRODUCTION</w:t>
      </w:r>
    </w:p>
    <w:p w14:paraId="4FC84DE7"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 xml:space="preserve">Benzbromarone is a uricosuric agent that reduces proximal tubular reabsorption of uric acid. Due to reports of severe hepatotoxicity, the use of benzbromarone </w:t>
      </w:r>
      <w:r w:rsidR="005C0930" w:rsidRPr="000643FE">
        <w:rPr>
          <w:rFonts w:ascii="Book Antiqua" w:hAnsi="Book Antiqua" w:cs="Book Antiqua"/>
          <w:sz w:val="24"/>
        </w:rPr>
        <w:t xml:space="preserve">has been </w:t>
      </w:r>
      <w:r w:rsidRPr="000643FE">
        <w:rPr>
          <w:rFonts w:ascii="Book Antiqua" w:hAnsi="Book Antiqua" w:cs="Book Antiqua"/>
          <w:sz w:val="24"/>
        </w:rPr>
        <w:t xml:space="preserve">prohibited in European and American </w:t>
      </w:r>
      <w:proofErr w:type="gramStart"/>
      <w:r w:rsidRPr="000643FE">
        <w:rPr>
          <w:rFonts w:ascii="Book Antiqua" w:hAnsi="Book Antiqua" w:cs="Book Antiqua"/>
          <w:sz w:val="24"/>
        </w:rPr>
        <w:t>countries</w:t>
      </w:r>
      <w:r w:rsidRPr="000643FE">
        <w:rPr>
          <w:rFonts w:ascii="Book Antiqua" w:hAnsi="Book Antiqua" w:cs="Book Antiqua"/>
          <w:sz w:val="24"/>
          <w:vertAlign w:val="superscript"/>
        </w:rPr>
        <w:t>[</w:t>
      </w:r>
      <w:proofErr w:type="gramEnd"/>
      <w:r w:rsidRPr="000643FE">
        <w:rPr>
          <w:rFonts w:ascii="Book Antiqua" w:hAnsi="Book Antiqua" w:cs="Book Antiqua"/>
          <w:sz w:val="24"/>
          <w:vertAlign w:val="superscript"/>
        </w:rPr>
        <w:t>1]</w:t>
      </w:r>
      <w:r w:rsidRPr="000643FE">
        <w:rPr>
          <w:rFonts w:ascii="Book Antiqua" w:hAnsi="Book Antiqua" w:cs="Book Antiqua"/>
          <w:sz w:val="24"/>
        </w:rPr>
        <w:t>; however, the use of benzbromarone is still allowed and frequently occurs in Asian countries</w:t>
      </w:r>
      <w:r w:rsidRPr="000643FE">
        <w:rPr>
          <w:rFonts w:ascii="Book Antiqua" w:hAnsi="Book Antiqua" w:cs="Book Antiqua"/>
          <w:sz w:val="24"/>
          <w:vertAlign w:val="superscript"/>
        </w:rPr>
        <w:t>[2]</w:t>
      </w:r>
      <w:r w:rsidRPr="000643FE">
        <w:rPr>
          <w:rFonts w:ascii="Book Antiqua" w:hAnsi="Book Antiqua" w:cs="Book Antiqua"/>
          <w:sz w:val="24"/>
        </w:rPr>
        <w:t xml:space="preserve">. In general, reports regarding its potentially severe hepatoxicity are rare. Here, we report a case of liver failure associated with the use of benzbromarone followed by a comprehensive literature review. The search strategy involved searching for the keywords </w:t>
      </w:r>
      <w:r w:rsidR="00F93349" w:rsidRPr="000643FE">
        <w:rPr>
          <w:rFonts w:ascii="Book Antiqua" w:hAnsi="Book Antiqua" w:cs="Book Antiqua"/>
          <w:sz w:val="24"/>
        </w:rPr>
        <w:t>“</w:t>
      </w:r>
      <w:r w:rsidRPr="000643FE">
        <w:rPr>
          <w:rFonts w:ascii="Book Antiqua" w:hAnsi="Book Antiqua" w:cs="Book Antiqua"/>
          <w:sz w:val="24"/>
        </w:rPr>
        <w:t>benzbromarone</w:t>
      </w:r>
      <w:r w:rsidR="00F93349" w:rsidRPr="000643FE">
        <w:rPr>
          <w:rFonts w:ascii="Book Antiqua" w:hAnsi="Book Antiqua" w:cs="Book Antiqua"/>
          <w:sz w:val="24"/>
        </w:rPr>
        <w:t>”</w:t>
      </w:r>
      <w:r w:rsidRPr="000643FE">
        <w:rPr>
          <w:rFonts w:ascii="Book Antiqua" w:hAnsi="Book Antiqua" w:cs="Book Antiqua"/>
          <w:sz w:val="24"/>
        </w:rPr>
        <w:t xml:space="preserve">, </w:t>
      </w:r>
      <w:r w:rsidR="00F93349" w:rsidRPr="000643FE">
        <w:rPr>
          <w:rFonts w:ascii="Book Antiqua" w:hAnsi="Book Antiqua" w:cs="Book Antiqua"/>
          <w:sz w:val="24"/>
        </w:rPr>
        <w:t>“</w:t>
      </w:r>
      <w:r w:rsidRPr="000643FE">
        <w:rPr>
          <w:rFonts w:ascii="Book Antiqua" w:hAnsi="Book Antiqua" w:cs="Book Antiqua"/>
          <w:sz w:val="24"/>
        </w:rPr>
        <w:t>liver injury</w:t>
      </w:r>
      <w:r w:rsidR="00F93349" w:rsidRPr="000643FE">
        <w:rPr>
          <w:rFonts w:ascii="Book Antiqua" w:hAnsi="Book Antiqua" w:cs="Book Antiqua"/>
          <w:sz w:val="24"/>
        </w:rPr>
        <w:t>”</w:t>
      </w:r>
      <w:r w:rsidR="005C0930" w:rsidRPr="000643FE">
        <w:rPr>
          <w:rFonts w:ascii="Book Antiqua" w:hAnsi="Book Antiqua" w:cs="Book Antiqua"/>
          <w:sz w:val="24"/>
        </w:rPr>
        <w:t>,</w:t>
      </w:r>
      <w:r w:rsidRPr="000643FE">
        <w:rPr>
          <w:rFonts w:ascii="Book Antiqua" w:hAnsi="Book Antiqua" w:cs="Book Antiqua"/>
          <w:sz w:val="24"/>
        </w:rPr>
        <w:t xml:space="preserve"> and </w:t>
      </w:r>
      <w:r w:rsidR="00F93349" w:rsidRPr="000643FE">
        <w:rPr>
          <w:rFonts w:ascii="Book Antiqua" w:hAnsi="Book Antiqua" w:cs="Book Antiqua"/>
          <w:sz w:val="24"/>
        </w:rPr>
        <w:t>“</w:t>
      </w:r>
      <w:r w:rsidRPr="000643FE">
        <w:rPr>
          <w:rFonts w:ascii="Book Antiqua" w:hAnsi="Book Antiqua" w:cs="Book Antiqua"/>
          <w:sz w:val="24"/>
        </w:rPr>
        <w:t>liver failure</w:t>
      </w:r>
      <w:r w:rsidR="00F93349" w:rsidRPr="000643FE">
        <w:rPr>
          <w:rFonts w:ascii="Book Antiqua" w:hAnsi="Book Antiqua" w:cs="Book Antiqua"/>
          <w:sz w:val="24"/>
        </w:rPr>
        <w:t>”</w:t>
      </w:r>
      <w:r w:rsidRPr="000643FE">
        <w:rPr>
          <w:rFonts w:ascii="Book Antiqua" w:hAnsi="Book Antiqua" w:cs="Book Antiqua"/>
          <w:sz w:val="24"/>
        </w:rPr>
        <w:t xml:space="preserve"> in various databases; 33 results were retrieved from PubMed and Web of Science (the dates were from the launch of the databases to December 30, 2018). Additionally, we used the terms </w:t>
      </w:r>
      <w:r w:rsidR="00F93349" w:rsidRPr="000643FE">
        <w:rPr>
          <w:rFonts w:ascii="Book Antiqua" w:hAnsi="Book Antiqua" w:cs="Book Antiqua"/>
          <w:sz w:val="24"/>
        </w:rPr>
        <w:t>“</w:t>
      </w:r>
      <w:r w:rsidRPr="000643FE">
        <w:rPr>
          <w:rFonts w:ascii="Book Antiqua" w:hAnsi="Book Antiqua" w:cs="Book Antiqua"/>
          <w:sz w:val="24"/>
        </w:rPr>
        <w:t>benzbromarone</w:t>
      </w:r>
      <w:r w:rsidR="00F93349" w:rsidRPr="000643FE">
        <w:rPr>
          <w:rFonts w:ascii="Book Antiqua" w:hAnsi="Book Antiqua" w:cs="Book Antiqua"/>
          <w:sz w:val="24"/>
        </w:rPr>
        <w:t>”</w:t>
      </w:r>
      <w:r w:rsidRPr="000643FE">
        <w:rPr>
          <w:rFonts w:ascii="Book Antiqua" w:hAnsi="Book Antiqua" w:cs="Book Antiqua"/>
          <w:sz w:val="24"/>
        </w:rPr>
        <w:t xml:space="preserve">, </w:t>
      </w:r>
      <w:r w:rsidR="00F93349" w:rsidRPr="000643FE">
        <w:rPr>
          <w:rFonts w:ascii="Book Antiqua" w:hAnsi="Book Antiqua" w:cs="Book Antiqua"/>
          <w:sz w:val="24"/>
        </w:rPr>
        <w:t>“</w:t>
      </w:r>
      <w:r w:rsidRPr="000643FE">
        <w:rPr>
          <w:rFonts w:ascii="Book Antiqua" w:hAnsi="Book Antiqua" w:cs="Book Antiqua"/>
          <w:sz w:val="24"/>
        </w:rPr>
        <w:t>liver failure</w:t>
      </w:r>
      <w:r w:rsidR="00F93349" w:rsidRPr="000643FE">
        <w:rPr>
          <w:rFonts w:ascii="Book Antiqua" w:hAnsi="Book Antiqua" w:cs="Book Antiqua"/>
          <w:sz w:val="24"/>
        </w:rPr>
        <w:t>”</w:t>
      </w:r>
      <w:r w:rsidR="005C0930" w:rsidRPr="000643FE">
        <w:rPr>
          <w:rFonts w:ascii="Book Antiqua" w:hAnsi="Book Antiqua" w:cs="Book Antiqua"/>
          <w:sz w:val="24"/>
        </w:rPr>
        <w:t>,</w:t>
      </w:r>
      <w:r w:rsidRPr="000643FE">
        <w:rPr>
          <w:rFonts w:ascii="Book Antiqua" w:hAnsi="Book Antiqua" w:cs="Book Antiqua"/>
          <w:sz w:val="24"/>
        </w:rPr>
        <w:t xml:space="preserve"> and </w:t>
      </w:r>
      <w:r w:rsidR="00F93349" w:rsidRPr="000643FE">
        <w:rPr>
          <w:rFonts w:ascii="Book Antiqua" w:hAnsi="Book Antiqua" w:cs="Book Antiqua"/>
          <w:sz w:val="24"/>
        </w:rPr>
        <w:t>“</w:t>
      </w:r>
      <w:r w:rsidRPr="000643FE">
        <w:rPr>
          <w:rFonts w:ascii="Book Antiqua" w:hAnsi="Book Antiqua" w:cs="Book Antiqua"/>
          <w:sz w:val="24"/>
        </w:rPr>
        <w:t>liver injury</w:t>
      </w:r>
      <w:r w:rsidR="00F93349" w:rsidRPr="000643FE">
        <w:rPr>
          <w:rFonts w:ascii="Book Antiqua" w:hAnsi="Book Antiqua" w:cs="Book Antiqua"/>
          <w:sz w:val="24"/>
        </w:rPr>
        <w:t>”</w:t>
      </w:r>
      <w:r w:rsidRPr="000643FE">
        <w:rPr>
          <w:rFonts w:ascii="Book Antiqua" w:hAnsi="Book Antiqua" w:cs="Book Antiqua"/>
          <w:sz w:val="24"/>
        </w:rPr>
        <w:t xml:space="preserve"> in Chinese to search the China National Knowledge Infrastructure website, and </w:t>
      </w:r>
      <w:r w:rsidR="005C0930" w:rsidRPr="000643FE">
        <w:rPr>
          <w:rFonts w:ascii="Book Antiqua" w:hAnsi="Book Antiqua" w:cs="Book Antiqua"/>
          <w:sz w:val="24"/>
        </w:rPr>
        <w:t xml:space="preserve">three </w:t>
      </w:r>
      <w:r w:rsidRPr="000643FE">
        <w:rPr>
          <w:rFonts w:ascii="Book Antiqua" w:hAnsi="Book Antiqua" w:cs="Book Antiqua"/>
          <w:sz w:val="24"/>
        </w:rPr>
        <w:t>research studies (published between the launch of the database and December 30</w:t>
      </w:r>
      <w:r w:rsidRPr="000643FE">
        <w:rPr>
          <w:rFonts w:ascii="Book Antiqua" w:hAnsi="Book Antiqua" w:cs="Book Antiqua"/>
          <w:sz w:val="24"/>
          <w:vertAlign w:val="superscript"/>
        </w:rPr>
        <w:t>th</w:t>
      </w:r>
      <w:r w:rsidRPr="000643FE">
        <w:rPr>
          <w:rFonts w:ascii="Book Antiqua" w:hAnsi="Book Antiqua" w:cs="Book Antiqua"/>
          <w:sz w:val="24"/>
        </w:rPr>
        <w:t xml:space="preserve">, 2018) were retrieved. Further selection was performed by searching for reports that directly described the hepatotoxicity of benzbromarone, with </w:t>
      </w:r>
      <w:r w:rsidR="005C0930" w:rsidRPr="000643FE">
        <w:rPr>
          <w:rFonts w:ascii="Book Antiqua" w:hAnsi="Book Antiqua" w:cs="Book Antiqua"/>
          <w:sz w:val="24"/>
        </w:rPr>
        <w:t xml:space="preserve">eight </w:t>
      </w:r>
      <w:r w:rsidRPr="000643FE">
        <w:rPr>
          <w:rFonts w:ascii="Book Antiqua" w:hAnsi="Book Antiqua" w:cs="Book Antiqua"/>
          <w:sz w:val="24"/>
        </w:rPr>
        <w:t>studies selected</w:t>
      </w:r>
      <w:r w:rsidR="00F93349" w:rsidRPr="000643FE">
        <w:rPr>
          <w:rFonts w:ascii="Book Antiqua" w:hAnsi="Book Antiqua" w:cs="Book Antiqua"/>
          <w:sz w:val="24"/>
        </w:rPr>
        <w:t xml:space="preserve"> </w:t>
      </w:r>
      <w:r w:rsidRPr="000643FE">
        <w:rPr>
          <w:rFonts w:ascii="Book Antiqua" w:hAnsi="Book Antiqua" w:cs="Book Antiqua"/>
          <w:sz w:val="24"/>
        </w:rPr>
        <w:t>(</w:t>
      </w:r>
      <w:r w:rsidR="005C0930" w:rsidRPr="000643FE">
        <w:rPr>
          <w:rFonts w:ascii="Book Antiqua" w:hAnsi="Book Antiqua" w:cs="Book Antiqua"/>
          <w:sz w:val="24"/>
        </w:rPr>
        <w:t xml:space="preserve">five </w:t>
      </w:r>
      <w:r w:rsidRPr="000643FE">
        <w:rPr>
          <w:rFonts w:ascii="Book Antiqua" w:hAnsi="Book Antiqua" w:cs="Book Antiqua"/>
          <w:sz w:val="24"/>
        </w:rPr>
        <w:t xml:space="preserve">in English, </w:t>
      </w:r>
      <w:r w:rsidR="005C0930" w:rsidRPr="000643FE">
        <w:rPr>
          <w:rFonts w:ascii="Book Antiqua" w:hAnsi="Book Antiqua" w:cs="Book Antiqua"/>
          <w:sz w:val="24"/>
        </w:rPr>
        <w:t xml:space="preserve">two </w:t>
      </w:r>
      <w:r w:rsidRPr="000643FE">
        <w:rPr>
          <w:rFonts w:ascii="Book Antiqua" w:hAnsi="Book Antiqua" w:cs="Book Antiqua"/>
          <w:sz w:val="24"/>
        </w:rPr>
        <w:t xml:space="preserve">in Chinese, and </w:t>
      </w:r>
      <w:r w:rsidR="005C0930" w:rsidRPr="000643FE">
        <w:rPr>
          <w:rFonts w:ascii="Book Antiqua" w:hAnsi="Book Antiqua" w:cs="Book Antiqua"/>
          <w:sz w:val="24"/>
        </w:rPr>
        <w:t xml:space="preserve">one </w:t>
      </w:r>
      <w:r w:rsidRPr="000643FE">
        <w:rPr>
          <w:rFonts w:ascii="Book Antiqua" w:hAnsi="Book Antiqua" w:cs="Book Antiqua"/>
          <w:sz w:val="24"/>
        </w:rPr>
        <w:t>in Japanese). In our literature review, we describe patient clinical features related to benzbromarone hepatotoxicity, combined with a benefit-risk assessment of benzbromarone. The results will provide additional evidence for evaluating the risk of selecting benzbromarone as a uricosuric drug and for monitoring hepatotoxicity during treatment in clinical practice.</w:t>
      </w:r>
    </w:p>
    <w:p w14:paraId="52616E82" w14:textId="77777777" w:rsidR="001F4CE6" w:rsidRPr="000643FE" w:rsidRDefault="001F4CE6" w:rsidP="000368F9">
      <w:pPr>
        <w:spacing w:line="360" w:lineRule="auto"/>
        <w:rPr>
          <w:rFonts w:ascii="Book Antiqua" w:hAnsi="Book Antiqua" w:cs="Book Antiqua"/>
          <w:sz w:val="24"/>
        </w:rPr>
      </w:pPr>
    </w:p>
    <w:p w14:paraId="7ED95806" w14:textId="77777777" w:rsidR="001F4CE6" w:rsidRPr="000643FE" w:rsidRDefault="004C44A9" w:rsidP="000368F9">
      <w:pPr>
        <w:spacing w:line="360" w:lineRule="auto"/>
        <w:rPr>
          <w:rFonts w:ascii="Book Antiqua" w:hAnsi="Book Antiqua" w:cs="Book Antiqua"/>
          <w:b/>
          <w:bCs/>
          <w:sz w:val="24"/>
        </w:rPr>
      </w:pPr>
      <w:r w:rsidRPr="000643FE">
        <w:rPr>
          <w:rFonts w:ascii="Book Antiqua" w:hAnsi="Book Antiqua" w:cs="Book Antiqua"/>
          <w:b/>
          <w:bCs/>
          <w:sz w:val="24"/>
        </w:rPr>
        <w:t>CASE PRESENTATION</w:t>
      </w:r>
    </w:p>
    <w:p w14:paraId="7312E679" w14:textId="77777777" w:rsidR="001F4CE6" w:rsidRPr="000643FE" w:rsidRDefault="004C44A9" w:rsidP="000368F9">
      <w:pPr>
        <w:spacing w:line="360" w:lineRule="auto"/>
        <w:rPr>
          <w:rFonts w:ascii="Book Antiqua" w:hAnsi="Book Antiqua" w:cs="Book Antiqua"/>
          <w:b/>
          <w:bCs/>
          <w:i/>
          <w:iCs/>
          <w:sz w:val="24"/>
        </w:rPr>
      </w:pPr>
      <w:r w:rsidRPr="000643FE">
        <w:rPr>
          <w:rFonts w:ascii="Book Antiqua" w:hAnsi="Book Antiqua" w:cs="Book Antiqua"/>
          <w:b/>
          <w:bCs/>
          <w:i/>
          <w:iCs/>
          <w:sz w:val="24"/>
        </w:rPr>
        <w:t>Chief complaints</w:t>
      </w:r>
    </w:p>
    <w:p w14:paraId="37209962"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 xml:space="preserve">A 39-year-old man was admitted to the hospital for icterus and nausea on July 3, 2018. </w:t>
      </w:r>
    </w:p>
    <w:p w14:paraId="78A90DF4" w14:textId="77777777" w:rsidR="001F4CE6" w:rsidRPr="000643FE" w:rsidRDefault="001F4CE6" w:rsidP="000368F9">
      <w:pPr>
        <w:spacing w:line="360" w:lineRule="auto"/>
        <w:rPr>
          <w:rFonts w:ascii="Book Antiqua" w:hAnsi="Book Antiqua" w:cs="Book Antiqua"/>
          <w:sz w:val="24"/>
        </w:rPr>
      </w:pPr>
    </w:p>
    <w:p w14:paraId="0889432E" w14:textId="77777777" w:rsidR="001F4CE6" w:rsidRPr="000643FE" w:rsidRDefault="004C44A9" w:rsidP="000368F9">
      <w:pPr>
        <w:spacing w:line="360" w:lineRule="auto"/>
        <w:rPr>
          <w:rFonts w:ascii="Book Antiqua" w:hAnsi="Book Antiqua" w:cs="Book Antiqua"/>
          <w:b/>
          <w:bCs/>
          <w:i/>
          <w:iCs/>
          <w:sz w:val="24"/>
        </w:rPr>
      </w:pPr>
      <w:r w:rsidRPr="000643FE">
        <w:rPr>
          <w:rFonts w:ascii="Book Antiqua" w:hAnsi="Book Antiqua" w:cs="Book Antiqua"/>
          <w:b/>
          <w:bCs/>
          <w:i/>
          <w:iCs/>
          <w:sz w:val="24"/>
        </w:rPr>
        <w:t>History of present illness</w:t>
      </w:r>
    </w:p>
    <w:p w14:paraId="14E2E0CE"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Seven days before, he suffered from headache and vomiting and was deeply jaundiced.</w:t>
      </w:r>
    </w:p>
    <w:p w14:paraId="5ED6EEF0" w14:textId="77777777" w:rsidR="001F4CE6" w:rsidRPr="000643FE" w:rsidRDefault="001F4CE6" w:rsidP="000368F9">
      <w:pPr>
        <w:spacing w:line="360" w:lineRule="auto"/>
        <w:rPr>
          <w:rFonts w:ascii="Book Antiqua" w:hAnsi="Book Antiqua" w:cs="Book Antiqua"/>
          <w:sz w:val="24"/>
        </w:rPr>
      </w:pPr>
    </w:p>
    <w:p w14:paraId="76995E8D" w14:textId="77777777" w:rsidR="001F4CE6" w:rsidRPr="000643FE" w:rsidRDefault="004C44A9" w:rsidP="000368F9">
      <w:pPr>
        <w:spacing w:line="360" w:lineRule="auto"/>
        <w:rPr>
          <w:rFonts w:ascii="Book Antiqua" w:hAnsi="Book Antiqua" w:cs="Book Antiqua"/>
          <w:b/>
          <w:bCs/>
          <w:i/>
          <w:iCs/>
          <w:sz w:val="24"/>
        </w:rPr>
      </w:pPr>
      <w:r w:rsidRPr="000643FE">
        <w:rPr>
          <w:rFonts w:ascii="Book Antiqua" w:hAnsi="Book Antiqua" w:cs="Book Antiqua"/>
          <w:b/>
          <w:bCs/>
          <w:i/>
          <w:iCs/>
          <w:sz w:val="24"/>
        </w:rPr>
        <w:t>History of past illness</w:t>
      </w:r>
    </w:p>
    <w:p w14:paraId="74CD409B"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 xml:space="preserve">Four months before admission, he started treatment with benzbromarone (100 mg/d) due to hyperuricemia, but he stopped taking the drug because of the recent jaundice. He had no history of liver disease or other diseases. </w:t>
      </w:r>
    </w:p>
    <w:p w14:paraId="01345E0B" w14:textId="77777777" w:rsidR="001F4CE6" w:rsidRPr="000643FE" w:rsidRDefault="001F4CE6" w:rsidP="000368F9">
      <w:pPr>
        <w:spacing w:line="360" w:lineRule="auto"/>
        <w:rPr>
          <w:rFonts w:ascii="Book Antiqua" w:hAnsi="Book Antiqua" w:cs="Book Antiqua"/>
          <w:sz w:val="24"/>
        </w:rPr>
      </w:pPr>
    </w:p>
    <w:p w14:paraId="5108767B" w14:textId="77777777" w:rsidR="001F4CE6" w:rsidRPr="000643FE" w:rsidRDefault="004C44A9" w:rsidP="000368F9">
      <w:pPr>
        <w:spacing w:line="360" w:lineRule="auto"/>
        <w:rPr>
          <w:rFonts w:ascii="Book Antiqua" w:hAnsi="Book Antiqua" w:cs="Book Antiqua"/>
          <w:b/>
          <w:bCs/>
          <w:i/>
          <w:iCs/>
          <w:sz w:val="24"/>
        </w:rPr>
      </w:pPr>
      <w:r w:rsidRPr="000643FE">
        <w:rPr>
          <w:rFonts w:ascii="Book Antiqua" w:hAnsi="Book Antiqua" w:cs="Book Antiqua"/>
          <w:b/>
          <w:bCs/>
          <w:i/>
          <w:iCs/>
          <w:sz w:val="24"/>
        </w:rPr>
        <w:t>Personal and family history</w:t>
      </w:r>
    </w:p>
    <w:p w14:paraId="4CB62626"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The patient has a history of drinking beer for 10 years and</w:t>
      </w:r>
      <w:r w:rsidR="00F93349" w:rsidRPr="000643FE">
        <w:rPr>
          <w:rFonts w:ascii="Book Antiqua" w:hAnsi="Book Antiqua" w:cs="Book Antiqua"/>
          <w:sz w:val="24"/>
        </w:rPr>
        <w:t xml:space="preserve"> </w:t>
      </w:r>
      <w:r w:rsidRPr="000643FE">
        <w:rPr>
          <w:rFonts w:ascii="Book Antiqua" w:hAnsi="Book Antiqua" w:cs="Book Antiqua"/>
          <w:sz w:val="24"/>
        </w:rPr>
        <w:t>consumes</w:t>
      </w:r>
      <w:r w:rsidR="00F93349" w:rsidRPr="000643FE">
        <w:rPr>
          <w:rFonts w:ascii="Book Antiqua" w:hAnsi="Book Antiqua" w:cs="Book Antiqua"/>
          <w:sz w:val="24"/>
        </w:rPr>
        <w:t xml:space="preserve"> </w:t>
      </w:r>
      <w:r w:rsidRPr="000643FE">
        <w:rPr>
          <w:rFonts w:ascii="Book Antiqua" w:hAnsi="Book Antiqua" w:cs="Book Antiqua"/>
          <w:sz w:val="24"/>
        </w:rPr>
        <w:t>approximately</w:t>
      </w:r>
      <w:r w:rsidR="00F93349" w:rsidRPr="000643FE">
        <w:rPr>
          <w:rFonts w:ascii="Book Antiqua" w:hAnsi="Book Antiqua" w:cs="Book Antiqua"/>
          <w:sz w:val="24"/>
        </w:rPr>
        <w:t xml:space="preserve"> </w:t>
      </w:r>
      <w:r w:rsidRPr="000643FE">
        <w:rPr>
          <w:rFonts w:ascii="Book Antiqua" w:hAnsi="Book Antiqua" w:cs="Book Antiqua"/>
          <w:sz w:val="24"/>
        </w:rPr>
        <w:t>28 g of alcohol per day. There was no family medical history of note.</w:t>
      </w:r>
    </w:p>
    <w:p w14:paraId="02E26077" w14:textId="77777777" w:rsidR="001F4CE6" w:rsidRPr="000643FE" w:rsidRDefault="001F4CE6" w:rsidP="000368F9">
      <w:pPr>
        <w:spacing w:line="360" w:lineRule="auto"/>
        <w:rPr>
          <w:rFonts w:ascii="Book Antiqua" w:hAnsi="Book Antiqua" w:cs="Book Antiqua"/>
          <w:sz w:val="24"/>
        </w:rPr>
      </w:pPr>
    </w:p>
    <w:p w14:paraId="419B74D8" w14:textId="77777777" w:rsidR="001F4CE6" w:rsidRPr="000643FE" w:rsidRDefault="004C44A9" w:rsidP="000368F9">
      <w:pPr>
        <w:spacing w:line="360" w:lineRule="auto"/>
        <w:rPr>
          <w:rFonts w:ascii="Book Antiqua" w:hAnsi="Book Antiqua" w:cs="Book Antiqua"/>
          <w:b/>
          <w:bCs/>
          <w:i/>
          <w:iCs/>
          <w:sz w:val="24"/>
        </w:rPr>
      </w:pPr>
      <w:r w:rsidRPr="000643FE">
        <w:rPr>
          <w:rFonts w:ascii="Book Antiqua" w:hAnsi="Book Antiqua" w:cs="Book Antiqua"/>
          <w:b/>
          <w:bCs/>
          <w:i/>
          <w:iCs/>
          <w:sz w:val="24"/>
        </w:rPr>
        <w:t>Physical examination upon admission</w:t>
      </w:r>
    </w:p>
    <w:p w14:paraId="03DE647B"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Severe jaundice was found on the skin and sclera, and no signs of encephalopathy were found. The patient’s temperature was 36.8</w:t>
      </w:r>
      <w:r w:rsidR="00F93349" w:rsidRPr="000643FE">
        <w:rPr>
          <w:rFonts w:ascii="Book Antiqua" w:hAnsi="Book Antiqua" w:cs="Book Antiqua"/>
          <w:sz w:val="24"/>
        </w:rPr>
        <w:t xml:space="preserve"> </w:t>
      </w:r>
      <w:r w:rsidRPr="000643FE">
        <w:rPr>
          <w:rFonts w:ascii="宋体" w:hAnsi="宋体" w:cs="宋体" w:hint="eastAsia"/>
          <w:sz w:val="24"/>
        </w:rPr>
        <w:t>℃</w:t>
      </w:r>
      <w:r w:rsidRPr="000643FE">
        <w:rPr>
          <w:rFonts w:ascii="Book Antiqua" w:hAnsi="Book Antiqua" w:cs="Book Antiqua"/>
          <w:sz w:val="24"/>
        </w:rPr>
        <w:t>, heart rate was 90 bpm, respiratory rate was 18 breaths per minute, blood pressure was 112/77 mmHg, and oxygen saturation was 98%. His body mass index</w:t>
      </w:r>
      <w:r w:rsidR="00F93349" w:rsidRPr="000643FE">
        <w:rPr>
          <w:rFonts w:ascii="Book Antiqua" w:hAnsi="Book Antiqua" w:cs="Book Antiqua"/>
          <w:sz w:val="24"/>
        </w:rPr>
        <w:t xml:space="preserve"> </w:t>
      </w:r>
      <w:r w:rsidRPr="000643FE">
        <w:rPr>
          <w:rFonts w:ascii="Book Antiqua" w:hAnsi="Book Antiqua" w:cs="Book Antiqua"/>
          <w:sz w:val="24"/>
        </w:rPr>
        <w:t>was 23.7 kg/m</w:t>
      </w:r>
      <w:r w:rsidRPr="000643FE">
        <w:rPr>
          <w:rFonts w:ascii="Book Antiqua" w:hAnsi="Book Antiqua" w:cs="Book Antiqua"/>
          <w:sz w:val="24"/>
          <w:vertAlign w:val="superscript"/>
        </w:rPr>
        <w:t>2</w:t>
      </w:r>
      <w:r w:rsidRPr="000643FE">
        <w:rPr>
          <w:rFonts w:ascii="Book Antiqua" w:hAnsi="Book Antiqua" w:cs="Book Antiqua"/>
          <w:sz w:val="24"/>
        </w:rPr>
        <w:t>.</w:t>
      </w:r>
    </w:p>
    <w:p w14:paraId="05C17D48" w14:textId="77777777" w:rsidR="00F93349" w:rsidRPr="000643FE" w:rsidRDefault="00F93349" w:rsidP="000368F9">
      <w:pPr>
        <w:spacing w:line="360" w:lineRule="auto"/>
        <w:rPr>
          <w:rFonts w:ascii="Book Antiqua" w:hAnsi="Book Antiqua" w:cs="Book Antiqua"/>
          <w:sz w:val="24"/>
        </w:rPr>
      </w:pPr>
    </w:p>
    <w:p w14:paraId="6AEFE847" w14:textId="77777777" w:rsidR="001F4CE6" w:rsidRPr="000643FE" w:rsidRDefault="004C44A9" w:rsidP="000368F9">
      <w:pPr>
        <w:spacing w:line="360" w:lineRule="auto"/>
        <w:rPr>
          <w:rFonts w:ascii="Book Antiqua" w:hAnsi="Book Antiqua" w:cs="Book Antiqua"/>
          <w:b/>
          <w:bCs/>
          <w:i/>
          <w:iCs/>
          <w:sz w:val="24"/>
        </w:rPr>
      </w:pPr>
      <w:r w:rsidRPr="000643FE">
        <w:rPr>
          <w:rFonts w:ascii="Book Antiqua" w:hAnsi="Book Antiqua" w:cs="Book Antiqua"/>
          <w:b/>
          <w:bCs/>
          <w:i/>
          <w:iCs/>
          <w:sz w:val="24"/>
        </w:rPr>
        <w:t>Laboratory examinations</w:t>
      </w:r>
    </w:p>
    <w:p w14:paraId="10AEE3AE"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 xml:space="preserve">Laboratory indicators were as follows: </w:t>
      </w:r>
      <w:r w:rsidR="00F93349" w:rsidRPr="000643FE">
        <w:rPr>
          <w:rFonts w:ascii="Book Antiqua" w:hAnsi="Book Antiqua" w:cs="Book Antiqua"/>
          <w:sz w:val="24"/>
        </w:rPr>
        <w:t xml:space="preserve">Aspartate </w:t>
      </w:r>
      <w:r w:rsidRPr="000643FE">
        <w:rPr>
          <w:rFonts w:ascii="Book Antiqua" w:hAnsi="Book Antiqua" w:cs="Book Antiqua"/>
          <w:sz w:val="24"/>
        </w:rPr>
        <w:t>aminotransferase (AST), 170.6 U/L; alanine transaminase (ALT), 208.2 U/L; γ-</w:t>
      </w:r>
      <w:proofErr w:type="spellStart"/>
      <w:r w:rsidRPr="000643FE">
        <w:rPr>
          <w:rFonts w:ascii="Book Antiqua" w:hAnsi="Book Antiqua" w:cs="Book Antiqua"/>
          <w:sz w:val="24"/>
        </w:rPr>
        <w:t>glutamyltransferase</w:t>
      </w:r>
      <w:proofErr w:type="spellEnd"/>
      <w:r w:rsidR="00F93349" w:rsidRPr="000643FE">
        <w:rPr>
          <w:rFonts w:ascii="Book Antiqua" w:hAnsi="Book Antiqua" w:cs="Book Antiqua"/>
          <w:sz w:val="24"/>
        </w:rPr>
        <w:t xml:space="preserve"> </w:t>
      </w:r>
      <w:r w:rsidRPr="000643FE">
        <w:rPr>
          <w:rFonts w:ascii="Book Antiqua" w:hAnsi="Book Antiqua" w:cs="Book Antiqua"/>
          <w:sz w:val="24"/>
        </w:rPr>
        <w:t>(GGT), 76 U/L; alkaline phosphatase (ALP), 94.2 U/L; total bilirubin, 702.5 µmol/L; direct bilirubin, 362.5 µmol/L; albumin, 34.2 g/L; prothrombin time, 33.5 s; prothrombin time activity, 25%.</w:t>
      </w:r>
      <w:r w:rsidR="00F93349" w:rsidRPr="000643FE">
        <w:rPr>
          <w:rFonts w:ascii="Book Antiqua" w:hAnsi="Book Antiqua" w:cs="Book Antiqua"/>
          <w:sz w:val="24"/>
        </w:rPr>
        <w:t xml:space="preserve"> </w:t>
      </w:r>
      <w:r w:rsidRPr="000643FE">
        <w:rPr>
          <w:rFonts w:ascii="Book Antiqua" w:hAnsi="Book Antiqua" w:cs="Book Antiqua"/>
          <w:sz w:val="24"/>
        </w:rPr>
        <w:t xml:space="preserve">Tests for viral hepatitis and </w:t>
      </w:r>
      <w:r w:rsidR="002220B9" w:rsidRPr="000643FE">
        <w:rPr>
          <w:rFonts w:ascii="Book Antiqua" w:hAnsi="Book Antiqua" w:cs="Book Antiqua"/>
          <w:sz w:val="24"/>
        </w:rPr>
        <w:t xml:space="preserve">human immunodeficiency virus </w:t>
      </w:r>
      <w:r w:rsidRPr="000643FE">
        <w:rPr>
          <w:rFonts w:ascii="Book Antiqua" w:hAnsi="Book Antiqua" w:cs="Book Antiqua"/>
          <w:sz w:val="24"/>
        </w:rPr>
        <w:t>were negative, and</w:t>
      </w:r>
      <w:r w:rsidR="00722D8B" w:rsidRPr="000643FE">
        <w:rPr>
          <w:rFonts w:ascii="Book Antiqua" w:hAnsi="Book Antiqua" w:cs="Book Antiqua"/>
          <w:sz w:val="24"/>
        </w:rPr>
        <w:t xml:space="preserve"> </w:t>
      </w:r>
      <w:r w:rsidRPr="000643FE">
        <w:rPr>
          <w:rFonts w:ascii="Book Antiqua" w:hAnsi="Book Antiqua" w:cs="Book Antiqua"/>
          <w:sz w:val="24"/>
        </w:rPr>
        <w:t>autoimmune</w:t>
      </w:r>
      <w:r w:rsidR="006E1D1A" w:rsidRPr="000643FE">
        <w:rPr>
          <w:rFonts w:ascii="Book Antiqua" w:hAnsi="Book Antiqua" w:cs="Book Antiqua"/>
          <w:sz w:val="24"/>
        </w:rPr>
        <w:t xml:space="preserve"> </w:t>
      </w:r>
      <w:r w:rsidRPr="000643FE">
        <w:rPr>
          <w:rFonts w:ascii="Book Antiqua" w:hAnsi="Book Antiqua" w:cs="Book Antiqua"/>
          <w:sz w:val="24"/>
        </w:rPr>
        <w:t>antibody tests were negative. His blood ammonia level was 145 µmol/L (normal value: 9</w:t>
      </w:r>
      <w:r w:rsidR="00F93349" w:rsidRPr="000643FE">
        <w:rPr>
          <w:rFonts w:ascii="Book Antiqua" w:hAnsi="Book Antiqua" w:cs="Book Antiqua"/>
          <w:sz w:val="24"/>
        </w:rPr>
        <w:t>-</w:t>
      </w:r>
      <w:r w:rsidRPr="000643FE">
        <w:rPr>
          <w:rFonts w:ascii="Book Antiqua" w:hAnsi="Book Antiqua" w:cs="Book Antiqua"/>
          <w:sz w:val="24"/>
        </w:rPr>
        <w:t xml:space="preserve">47 µmol/L). Other laboratory data are provided in Table 1. </w:t>
      </w:r>
    </w:p>
    <w:p w14:paraId="206155AA" w14:textId="77777777" w:rsidR="001F4CE6" w:rsidRPr="000643FE" w:rsidRDefault="001F4CE6" w:rsidP="000368F9">
      <w:pPr>
        <w:spacing w:line="360" w:lineRule="auto"/>
        <w:rPr>
          <w:rFonts w:ascii="Book Antiqua" w:hAnsi="Book Antiqua" w:cs="Book Antiqua"/>
          <w:sz w:val="24"/>
        </w:rPr>
      </w:pPr>
    </w:p>
    <w:p w14:paraId="51203139" w14:textId="77777777" w:rsidR="001F4CE6" w:rsidRPr="000643FE" w:rsidRDefault="004C44A9" w:rsidP="000368F9">
      <w:pPr>
        <w:spacing w:line="360" w:lineRule="auto"/>
        <w:rPr>
          <w:rFonts w:ascii="Book Antiqua" w:hAnsi="Book Antiqua" w:cs="Book Antiqua"/>
          <w:b/>
          <w:bCs/>
          <w:i/>
          <w:iCs/>
          <w:sz w:val="24"/>
        </w:rPr>
      </w:pPr>
      <w:r w:rsidRPr="000643FE">
        <w:rPr>
          <w:rFonts w:ascii="Book Antiqua" w:hAnsi="Book Antiqua" w:cs="Book Antiqua"/>
          <w:b/>
          <w:bCs/>
          <w:i/>
          <w:iCs/>
          <w:sz w:val="24"/>
        </w:rPr>
        <w:t>Imaging examinations</w:t>
      </w:r>
    </w:p>
    <w:p w14:paraId="5B0D4912"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 xml:space="preserve">A computed tomography (CT) scan showed the following: </w:t>
      </w:r>
      <w:r w:rsidR="00722D8B" w:rsidRPr="000643FE">
        <w:rPr>
          <w:rFonts w:ascii="Book Antiqua" w:hAnsi="Book Antiqua" w:cs="Book Antiqua"/>
          <w:sz w:val="24"/>
        </w:rPr>
        <w:t xml:space="preserve">The </w:t>
      </w:r>
      <w:r w:rsidRPr="000643FE">
        <w:rPr>
          <w:rFonts w:ascii="Book Antiqua" w:hAnsi="Book Antiqua" w:cs="Book Antiqua"/>
          <w:sz w:val="24"/>
        </w:rPr>
        <w:t xml:space="preserve">surface of the liver was irregular, the proportion of each part of the liver was not coordinated, the hilum and hepatic fissure were not wide, and the density of the liver parenchyma was slightly reduced; the intrahepatic bile duct was not dilated. Based on </w:t>
      </w:r>
      <w:r w:rsidR="00722D8B" w:rsidRPr="000643FE">
        <w:rPr>
          <w:rFonts w:ascii="Book Antiqua" w:hAnsi="Book Antiqua" w:cs="Book Antiqua"/>
          <w:sz w:val="24"/>
        </w:rPr>
        <w:t>these findings</w:t>
      </w:r>
      <w:r w:rsidRPr="000643FE">
        <w:rPr>
          <w:rFonts w:ascii="Book Antiqua" w:hAnsi="Book Antiqua" w:cs="Book Antiqua"/>
          <w:sz w:val="24"/>
        </w:rPr>
        <w:t>, the patient was suspected of having liver cirrhosis (Figure 1).</w:t>
      </w:r>
    </w:p>
    <w:p w14:paraId="27B930ED" w14:textId="77777777" w:rsidR="001F4CE6" w:rsidRPr="000643FE" w:rsidRDefault="001F4CE6" w:rsidP="000368F9">
      <w:pPr>
        <w:spacing w:line="360" w:lineRule="auto"/>
        <w:rPr>
          <w:rFonts w:ascii="Book Antiqua" w:hAnsi="Book Antiqua" w:cs="Book Antiqua"/>
          <w:sz w:val="24"/>
        </w:rPr>
      </w:pPr>
    </w:p>
    <w:p w14:paraId="0696B178" w14:textId="77777777" w:rsidR="001F4CE6" w:rsidRPr="000643FE" w:rsidRDefault="004C44A9" w:rsidP="000368F9">
      <w:pPr>
        <w:spacing w:line="360" w:lineRule="auto"/>
        <w:rPr>
          <w:rFonts w:ascii="Book Antiqua" w:hAnsi="Book Antiqua" w:cs="Book Antiqua"/>
          <w:b/>
          <w:bCs/>
          <w:i/>
          <w:iCs/>
          <w:sz w:val="24"/>
        </w:rPr>
      </w:pPr>
      <w:r w:rsidRPr="000643FE">
        <w:rPr>
          <w:rFonts w:ascii="Book Antiqua" w:hAnsi="Book Antiqua" w:cs="Book Antiqua"/>
          <w:b/>
          <w:bCs/>
          <w:i/>
          <w:iCs/>
          <w:sz w:val="24"/>
        </w:rPr>
        <w:t>Further diagnostic work-up</w:t>
      </w:r>
    </w:p>
    <w:p w14:paraId="5E22F300"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 xml:space="preserve">The patient deteriorated quickly and developed grade II encephalopathy within a few days. We applied the RECUM </w:t>
      </w:r>
      <w:proofErr w:type="gramStart"/>
      <w:r w:rsidRPr="000643FE">
        <w:rPr>
          <w:rFonts w:ascii="Book Antiqua" w:hAnsi="Book Antiqua" w:cs="Book Antiqua"/>
          <w:sz w:val="24"/>
        </w:rPr>
        <w:t>criteria</w:t>
      </w:r>
      <w:r w:rsidRPr="000643FE">
        <w:rPr>
          <w:rFonts w:ascii="Book Antiqua" w:hAnsi="Book Antiqua" w:cs="Book Antiqua"/>
          <w:sz w:val="24"/>
          <w:vertAlign w:val="superscript"/>
        </w:rPr>
        <w:t>[</w:t>
      </w:r>
      <w:proofErr w:type="gramEnd"/>
      <w:r w:rsidRPr="000643FE">
        <w:rPr>
          <w:rFonts w:ascii="Book Antiqua" w:hAnsi="Book Antiqua" w:cs="Book Antiqua"/>
          <w:sz w:val="24"/>
          <w:vertAlign w:val="superscript"/>
        </w:rPr>
        <w:t>3]</w:t>
      </w:r>
      <w:r w:rsidRPr="000643FE">
        <w:rPr>
          <w:rFonts w:ascii="Book Antiqua" w:hAnsi="Book Antiqua" w:cs="Book Antiqua"/>
          <w:sz w:val="24"/>
        </w:rPr>
        <w:t xml:space="preserve"> to evaluate the possibility of drug-induced liver injury (DILI).</w:t>
      </w:r>
      <w:r w:rsidR="00722D8B" w:rsidRPr="000643FE">
        <w:rPr>
          <w:rFonts w:ascii="Book Antiqua" w:hAnsi="Book Antiqua" w:cs="Book Antiqua"/>
          <w:sz w:val="24"/>
        </w:rPr>
        <w:t xml:space="preserve"> </w:t>
      </w:r>
      <w:r w:rsidRPr="000643FE">
        <w:rPr>
          <w:rFonts w:ascii="Book Antiqua" w:hAnsi="Book Antiqua" w:cs="Book Antiqua"/>
          <w:sz w:val="24"/>
        </w:rPr>
        <w:t xml:space="preserve">The RECUM score of this patient was 9, which strongly indicated DILI, and the R value was 5.78, which indicated that this was a case of hepatocellular-type DILI. </w:t>
      </w:r>
    </w:p>
    <w:p w14:paraId="7DD13FDB" w14:textId="77777777" w:rsidR="001F4CE6" w:rsidRPr="000643FE" w:rsidRDefault="001F4CE6" w:rsidP="000368F9">
      <w:pPr>
        <w:spacing w:line="360" w:lineRule="auto"/>
        <w:rPr>
          <w:rFonts w:ascii="Book Antiqua" w:hAnsi="Book Antiqua" w:cs="Book Antiqua"/>
          <w:sz w:val="24"/>
        </w:rPr>
      </w:pPr>
    </w:p>
    <w:p w14:paraId="5F8BB43C" w14:textId="77777777" w:rsidR="001F4CE6" w:rsidRPr="000643FE" w:rsidRDefault="004C44A9" w:rsidP="000368F9">
      <w:pPr>
        <w:spacing w:line="360" w:lineRule="auto"/>
        <w:rPr>
          <w:rFonts w:ascii="Book Antiqua" w:hAnsi="Book Antiqua" w:cs="Book Antiqua"/>
          <w:b/>
          <w:bCs/>
          <w:sz w:val="24"/>
        </w:rPr>
      </w:pPr>
      <w:r w:rsidRPr="000643FE">
        <w:rPr>
          <w:rFonts w:ascii="Book Antiqua" w:hAnsi="Book Antiqua" w:cs="Book Antiqua"/>
          <w:b/>
          <w:bCs/>
          <w:sz w:val="24"/>
        </w:rPr>
        <w:t>MULTIDISCIPLINARY EXPERT CONSULTATION</w:t>
      </w:r>
    </w:p>
    <w:p w14:paraId="0D8E4F6C" w14:textId="77777777" w:rsidR="001F4CE6" w:rsidRPr="000643FE" w:rsidRDefault="004C44A9" w:rsidP="000368F9">
      <w:pPr>
        <w:spacing w:line="360" w:lineRule="auto"/>
        <w:rPr>
          <w:rFonts w:ascii="Book Antiqua" w:hAnsi="Book Antiqua" w:cs="Book Antiqua"/>
          <w:b/>
          <w:bCs/>
          <w:i/>
          <w:iCs/>
          <w:sz w:val="24"/>
        </w:rPr>
      </w:pPr>
      <w:r w:rsidRPr="000643FE">
        <w:rPr>
          <w:rFonts w:ascii="Book Antiqua" w:hAnsi="Book Antiqua" w:cs="Book Antiqua"/>
          <w:b/>
          <w:bCs/>
          <w:i/>
          <w:iCs/>
          <w:sz w:val="24"/>
        </w:rPr>
        <w:t>Ning Ma, MD, Department of Rheumatology, First Hospital of Jilin University</w:t>
      </w:r>
    </w:p>
    <w:p w14:paraId="27898BBF"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Although there are reports about the hepatotoxicity of benzbromarone, severe liver failure due to this drug is rare, and the liver disease should be treated first. Treatment for gout should not be started under this condition.</w:t>
      </w:r>
    </w:p>
    <w:p w14:paraId="62C2E9FD" w14:textId="77777777" w:rsidR="001F4CE6" w:rsidRPr="000643FE" w:rsidRDefault="001F4CE6" w:rsidP="000368F9">
      <w:pPr>
        <w:spacing w:line="360" w:lineRule="auto"/>
        <w:rPr>
          <w:rFonts w:ascii="Book Antiqua" w:hAnsi="Book Antiqua" w:cs="Book Antiqua"/>
          <w:sz w:val="24"/>
        </w:rPr>
      </w:pPr>
    </w:p>
    <w:p w14:paraId="6A977350" w14:textId="77777777" w:rsidR="001F4CE6" w:rsidRPr="000643FE" w:rsidRDefault="004C44A9" w:rsidP="000368F9">
      <w:pPr>
        <w:spacing w:line="360" w:lineRule="auto"/>
        <w:rPr>
          <w:rFonts w:ascii="Book Antiqua" w:hAnsi="Book Antiqua" w:cs="Book Antiqua"/>
          <w:b/>
          <w:bCs/>
          <w:i/>
          <w:iCs/>
          <w:sz w:val="24"/>
        </w:rPr>
      </w:pPr>
      <w:r w:rsidRPr="000643FE">
        <w:rPr>
          <w:rFonts w:ascii="Book Antiqua" w:hAnsi="Book Antiqua" w:cs="Book Antiqua"/>
          <w:b/>
          <w:bCs/>
          <w:i/>
          <w:iCs/>
          <w:sz w:val="24"/>
        </w:rPr>
        <w:t>Xiao</w:t>
      </w:r>
      <w:r w:rsidR="00722D8B" w:rsidRPr="000643FE">
        <w:rPr>
          <w:rFonts w:ascii="Book Antiqua" w:hAnsi="Book Antiqua" w:cs="Book Antiqua"/>
          <w:b/>
          <w:bCs/>
          <w:i/>
          <w:iCs/>
          <w:sz w:val="24"/>
        </w:rPr>
        <w:t xml:space="preserve">-Dong </w:t>
      </w:r>
      <w:r w:rsidRPr="000643FE">
        <w:rPr>
          <w:rFonts w:ascii="Book Antiqua" w:hAnsi="Book Antiqua" w:cs="Book Antiqua"/>
          <w:b/>
          <w:bCs/>
          <w:i/>
          <w:iCs/>
          <w:sz w:val="24"/>
        </w:rPr>
        <w:t>Sun, MD, PhD, Associate Professor of Department of Hepatobiliary Surgery, First Hospital of Jilin University</w:t>
      </w:r>
    </w:p>
    <w:p w14:paraId="4F2FAD30"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The patient is young, and his condition became worse in a relatively short time.</w:t>
      </w:r>
    </w:p>
    <w:p w14:paraId="7313DE34"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 xml:space="preserve">If there is no sign of improvement, liver transplantation should be considered. </w:t>
      </w:r>
    </w:p>
    <w:p w14:paraId="5C4073F0" w14:textId="77777777" w:rsidR="001F4CE6" w:rsidRPr="000643FE" w:rsidRDefault="001F4CE6" w:rsidP="000368F9">
      <w:pPr>
        <w:spacing w:line="360" w:lineRule="auto"/>
        <w:rPr>
          <w:rFonts w:ascii="Book Antiqua" w:hAnsi="Book Antiqua" w:cs="Book Antiqua"/>
          <w:sz w:val="24"/>
        </w:rPr>
      </w:pPr>
    </w:p>
    <w:p w14:paraId="2FACB28D" w14:textId="77777777" w:rsidR="001F4CE6" w:rsidRPr="000643FE" w:rsidRDefault="004C44A9" w:rsidP="000368F9">
      <w:pPr>
        <w:spacing w:line="360" w:lineRule="auto"/>
        <w:rPr>
          <w:rFonts w:ascii="Book Antiqua" w:hAnsi="Book Antiqua" w:cs="Book Antiqua"/>
          <w:b/>
          <w:bCs/>
          <w:i/>
          <w:iCs/>
          <w:sz w:val="24"/>
        </w:rPr>
      </w:pPr>
      <w:r w:rsidRPr="000643FE">
        <w:rPr>
          <w:rFonts w:ascii="Book Antiqua" w:hAnsi="Book Antiqua" w:cs="Book Antiqua"/>
          <w:b/>
          <w:bCs/>
          <w:i/>
          <w:iCs/>
          <w:sz w:val="24"/>
        </w:rPr>
        <w:t>Qing</w:t>
      </w:r>
      <w:r w:rsidR="00722D8B" w:rsidRPr="000643FE">
        <w:rPr>
          <w:rFonts w:ascii="Book Antiqua" w:hAnsi="Book Antiqua" w:cs="Book Antiqua"/>
          <w:b/>
          <w:bCs/>
          <w:i/>
          <w:iCs/>
          <w:sz w:val="24"/>
        </w:rPr>
        <w:t xml:space="preserve">-Long </w:t>
      </w:r>
      <w:proofErr w:type="spellStart"/>
      <w:r w:rsidRPr="000643FE">
        <w:rPr>
          <w:rFonts w:ascii="Book Antiqua" w:hAnsi="Book Antiqua" w:cs="Book Antiqua"/>
          <w:b/>
          <w:bCs/>
          <w:i/>
          <w:iCs/>
          <w:sz w:val="24"/>
        </w:rPr>
        <w:t>Jin</w:t>
      </w:r>
      <w:proofErr w:type="spellEnd"/>
      <w:r w:rsidRPr="000643FE">
        <w:rPr>
          <w:rFonts w:ascii="Book Antiqua" w:hAnsi="Book Antiqua" w:cs="Book Antiqua"/>
          <w:b/>
          <w:bCs/>
          <w:i/>
          <w:iCs/>
          <w:sz w:val="24"/>
        </w:rPr>
        <w:t>, MD, PhD, Professor of Department of Hepatology, First Hospital of Jilin University</w:t>
      </w:r>
    </w:p>
    <w:p w14:paraId="0F4AA870"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 xml:space="preserve">The patient should be registered for liver transplantation. Prior to the surgery, continuous plasma exchange </w:t>
      </w:r>
      <w:r w:rsidR="00F93349" w:rsidRPr="000643FE">
        <w:rPr>
          <w:rFonts w:ascii="Book Antiqua" w:hAnsi="Book Antiqua" w:cs="Book Antiqua"/>
          <w:sz w:val="24"/>
        </w:rPr>
        <w:t xml:space="preserve">(PE) </w:t>
      </w:r>
      <w:r w:rsidR="00722D8B" w:rsidRPr="000643FE">
        <w:rPr>
          <w:rFonts w:ascii="Book Antiqua" w:hAnsi="Book Antiqua" w:cs="Book Antiqua"/>
          <w:sz w:val="24"/>
        </w:rPr>
        <w:t xml:space="preserve">with </w:t>
      </w:r>
      <w:r w:rsidRPr="000643FE">
        <w:rPr>
          <w:rFonts w:ascii="Book Antiqua" w:hAnsi="Book Antiqua" w:cs="Book Antiqua"/>
          <w:sz w:val="24"/>
        </w:rPr>
        <w:t xml:space="preserve">an artificial extracorporeal liver support system could be performed, and the best supporting treatment should be provided. </w:t>
      </w:r>
    </w:p>
    <w:p w14:paraId="3E2C82AA" w14:textId="77777777" w:rsidR="001F4CE6" w:rsidRPr="000643FE" w:rsidRDefault="001F4CE6" w:rsidP="000368F9">
      <w:pPr>
        <w:spacing w:line="360" w:lineRule="auto"/>
        <w:rPr>
          <w:rFonts w:ascii="Book Antiqua" w:hAnsi="Book Antiqua" w:cs="Book Antiqua"/>
          <w:b/>
          <w:bCs/>
          <w:sz w:val="24"/>
        </w:rPr>
      </w:pPr>
    </w:p>
    <w:p w14:paraId="4C9D9384" w14:textId="77777777" w:rsidR="001F4CE6" w:rsidRPr="000643FE" w:rsidRDefault="004C44A9" w:rsidP="000368F9">
      <w:pPr>
        <w:spacing w:line="360" w:lineRule="auto"/>
        <w:rPr>
          <w:rFonts w:ascii="Book Antiqua" w:hAnsi="Book Antiqua" w:cs="Book Antiqua"/>
          <w:b/>
          <w:bCs/>
          <w:sz w:val="24"/>
        </w:rPr>
      </w:pPr>
      <w:r w:rsidRPr="000643FE">
        <w:rPr>
          <w:rFonts w:ascii="Book Antiqua" w:hAnsi="Book Antiqua" w:cs="Book Antiqua"/>
          <w:b/>
          <w:bCs/>
          <w:sz w:val="24"/>
        </w:rPr>
        <w:t>FINAL DIAGNOSIS</w:t>
      </w:r>
    </w:p>
    <w:p w14:paraId="54310E09"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 xml:space="preserve">The final diagnosis of the presented case was acute liver failure due to benzbromarone. </w:t>
      </w:r>
    </w:p>
    <w:p w14:paraId="78F45C5D" w14:textId="77777777" w:rsidR="001F4CE6" w:rsidRPr="000643FE" w:rsidRDefault="001F4CE6" w:rsidP="000368F9">
      <w:pPr>
        <w:spacing w:line="360" w:lineRule="auto"/>
        <w:rPr>
          <w:rFonts w:ascii="Book Antiqua" w:hAnsi="Book Antiqua" w:cs="Book Antiqua"/>
          <w:sz w:val="24"/>
        </w:rPr>
      </w:pPr>
    </w:p>
    <w:p w14:paraId="5188479B" w14:textId="77777777" w:rsidR="001F4CE6" w:rsidRPr="000643FE" w:rsidRDefault="004C44A9" w:rsidP="000368F9">
      <w:pPr>
        <w:spacing w:line="360" w:lineRule="auto"/>
        <w:rPr>
          <w:rFonts w:ascii="Book Antiqua" w:hAnsi="Book Antiqua" w:cs="Book Antiqua"/>
          <w:b/>
          <w:bCs/>
          <w:sz w:val="24"/>
        </w:rPr>
      </w:pPr>
      <w:r w:rsidRPr="000643FE">
        <w:rPr>
          <w:rFonts w:ascii="Book Antiqua" w:hAnsi="Book Antiqua" w:cs="Book Antiqua"/>
          <w:b/>
          <w:bCs/>
          <w:sz w:val="24"/>
        </w:rPr>
        <w:t>TREATMENT</w:t>
      </w:r>
    </w:p>
    <w:p w14:paraId="742FEDD5"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 xml:space="preserve">In addition to albumin and plasma infusion, adenosylmethionine and ornithine aspartate were administered to protect liver function. Additionally, </w:t>
      </w:r>
      <w:proofErr w:type="spellStart"/>
      <w:r w:rsidRPr="000643FE">
        <w:rPr>
          <w:rFonts w:ascii="Book Antiqua" w:hAnsi="Book Antiqua" w:cs="Book Antiqua"/>
          <w:sz w:val="24"/>
        </w:rPr>
        <w:t>ursodeoxycholic</w:t>
      </w:r>
      <w:proofErr w:type="spellEnd"/>
      <w:r w:rsidRPr="000643FE">
        <w:rPr>
          <w:rFonts w:ascii="Book Antiqua" w:hAnsi="Book Antiqua" w:cs="Book Antiqua"/>
          <w:sz w:val="24"/>
        </w:rPr>
        <w:t xml:space="preserve"> acid was provided orally, and continuous </w:t>
      </w:r>
      <w:r w:rsidR="00F93349" w:rsidRPr="000643FE">
        <w:rPr>
          <w:rFonts w:ascii="Book Antiqua" w:hAnsi="Book Antiqua" w:cs="Book Antiqua"/>
          <w:sz w:val="24"/>
        </w:rPr>
        <w:t xml:space="preserve">PE </w:t>
      </w:r>
      <w:r w:rsidRPr="000643FE">
        <w:rPr>
          <w:rFonts w:ascii="Book Antiqua" w:hAnsi="Book Antiqua" w:cs="Book Antiqua"/>
          <w:sz w:val="24"/>
        </w:rPr>
        <w:t xml:space="preserve">was performed </w:t>
      </w:r>
      <w:r w:rsidR="00722D8B" w:rsidRPr="000643FE">
        <w:rPr>
          <w:rFonts w:ascii="Book Antiqua" w:hAnsi="Book Antiqua" w:cs="Book Antiqua"/>
          <w:sz w:val="24"/>
        </w:rPr>
        <w:t xml:space="preserve">six </w:t>
      </w:r>
      <w:r w:rsidRPr="000643FE">
        <w:rPr>
          <w:rFonts w:ascii="Book Antiqua" w:hAnsi="Book Antiqua" w:cs="Book Antiqua"/>
          <w:sz w:val="24"/>
        </w:rPr>
        <w:t>times. However, there was no improvement in the patient’s laboratory indices or clinical symptoms (Figure 2). The patient agreed to register for liver transplantation, and he underwent liver surgery 26 d after admission. Liver specimen pathology revealed massive necrosis of liver tissue, cholestasis</w:t>
      </w:r>
      <w:r w:rsidR="00722D8B" w:rsidRPr="000643FE">
        <w:rPr>
          <w:rFonts w:ascii="Book Antiqua" w:hAnsi="Book Antiqua" w:cs="Book Antiqua"/>
          <w:sz w:val="24"/>
        </w:rPr>
        <w:t>,</w:t>
      </w:r>
      <w:r w:rsidRPr="000643FE">
        <w:rPr>
          <w:rFonts w:ascii="Book Antiqua" w:hAnsi="Book Antiqua" w:cs="Book Antiqua"/>
          <w:sz w:val="24"/>
        </w:rPr>
        <w:t xml:space="preserve"> and biliary duct hyperplasia (Figure 3). </w:t>
      </w:r>
      <w:r w:rsidR="00722D8B" w:rsidRPr="000643FE">
        <w:rPr>
          <w:rFonts w:ascii="Book Antiqua" w:hAnsi="Book Antiqua" w:cs="Book Antiqua"/>
          <w:sz w:val="24"/>
        </w:rPr>
        <w:t xml:space="preserve">When </w:t>
      </w:r>
      <w:r w:rsidRPr="000643FE">
        <w:rPr>
          <w:rFonts w:ascii="Book Antiqua" w:hAnsi="Book Antiqua" w:cs="Book Antiqua"/>
          <w:sz w:val="24"/>
        </w:rPr>
        <w:t>consulting with the pathology experts, they inferred that the change in the liver on the CT scan might be due to massive necrosis of liver tissue, which caused the shape of the liver to become irregular and atrophic. Liver cirrhosis was not diagnosed in this patient.</w:t>
      </w:r>
    </w:p>
    <w:p w14:paraId="6DC3ED20" w14:textId="77777777" w:rsidR="001F4CE6" w:rsidRPr="000643FE" w:rsidRDefault="001F4CE6" w:rsidP="000368F9">
      <w:pPr>
        <w:spacing w:line="360" w:lineRule="auto"/>
        <w:rPr>
          <w:rFonts w:ascii="Book Antiqua" w:hAnsi="Book Antiqua" w:cs="Book Antiqua"/>
          <w:sz w:val="24"/>
        </w:rPr>
      </w:pPr>
    </w:p>
    <w:p w14:paraId="106CE26F" w14:textId="77777777" w:rsidR="001F4CE6" w:rsidRPr="000643FE" w:rsidRDefault="004C44A9" w:rsidP="000368F9">
      <w:pPr>
        <w:spacing w:line="360" w:lineRule="auto"/>
        <w:rPr>
          <w:rFonts w:ascii="Book Antiqua" w:hAnsi="Book Antiqua" w:cs="Book Antiqua"/>
          <w:b/>
          <w:bCs/>
          <w:sz w:val="24"/>
        </w:rPr>
      </w:pPr>
      <w:r w:rsidRPr="000643FE">
        <w:rPr>
          <w:rFonts w:ascii="Book Antiqua" w:hAnsi="Book Antiqua" w:cs="Book Antiqua"/>
          <w:b/>
          <w:bCs/>
          <w:sz w:val="24"/>
        </w:rPr>
        <w:t>OUTCOME AND FOLLOW-UP</w:t>
      </w:r>
    </w:p>
    <w:p w14:paraId="3C376EE7"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After liver transplantation, the patient recovered quickly, and</w:t>
      </w:r>
      <w:r w:rsidR="00722D8B" w:rsidRPr="000643FE">
        <w:rPr>
          <w:rFonts w:ascii="Book Antiqua" w:hAnsi="Book Antiqua" w:cs="Book Antiqua"/>
          <w:sz w:val="24"/>
        </w:rPr>
        <w:t xml:space="preserve"> </w:t>
      </w:r>
      <w:r w:rsidRPr="000643FE">
        <w:rPr>
          <w:rFonts w:ascii="Book Antiqua" w:hAnsi="Book Antiqua" w:cs="Book Antiqua"/>
          <w:sz w:val="24"/>
        </w:rPr>
        <w:t>jaundice and other symptoms, such as vomiting and headache, disappeared. Laboratory indicators were as follows: AST,</w:t>
      </w:r>
      <w:r w:rsidR="00F93349" w:rsidRPr="000643FE">
        <w:rPr>
          <w:rFonts w:ascii="Book Antiqua" w:hAnsi="Book Antiqua" w:cs="Book Antiqua"/>
          <w:sz w:val="24"/>
        </w:rPr>
        <w:t xml:space="preserve"> </w:t>
      </w:r>
      <w:r w:rsidRPr="000643FE">
        <w:rPr>
          <w:rFonts w:ascii="Book Antiqua" w:hAnsi="Book Antiqua" w:cs="Book Antiqua"/>
          <w:sz w:val="24"/>
        </w:rPr>
        <w:t>26.3 U/L; ALT,</w:t>
      </w:r>
      <w:r w:rsidR="00F93349" w:rsidRPr="000643FE">
        <w:rPr>
          <w:rFonts w:ascii="Book Antiqua" w:hAnsi="Book Antiqua" w:cs="Book Antiqua"/>
          <w:sz w:val="24"/>
        </w:rPr>
        <w:t xml:space="preserve"> </w:t>
      </w:r>
      <w:r w:rsidRPr="000643FE">
        <w:rPr>
          <w:rFonts w:ascii="Book Antiqua" w:hAnsi="Book Antiqua" w:cs="Book Antiqua"/>
          <w:sz w:val="24"/>
        </w:rPr>
        <w:t>72.2 U/L; GGT,</w:t>
      </w:r>
      <w:r w:rsidR="00F93349" w:rsidRPr="000643FE">
        <w:rPr>
          <w:rFonts w:ascii="Book Antiqua" w:hAnsi="Book Antiqua" w:cs="Book Antiqua"/>
          <w:sz w:val="24"/>
        </w:rPr>
        <w:t xml:space="preserve"> </w:t>
      </w:r>
      <w:r w:rsidRPr="000643FE">
        <w:rPr>
          <w:rFonts w:ascii="Book Antiqua" w:hAnsi="Book Antiqua" w:cs="Book Antiqua"/>
          <w:sz w:val="24"/>
        </w:rPr>
        <w:t>165.4 U/L;</w:t>
      </w:r>
      <w:r w:rsidR="00F93349" w:rsidRPr="000643FE">
        <w:rPr>
          <w:rFonts w:ascii="Book Antiqua" w:hAnsi="Book Antiqua" w:cs="Book Antiqua"/>
          <w:sz w:val="24"/>
        </w:rPr>
        <w:t xml:space="preserve"> </w:t>
      </w:r>
      <w:r w:rsidRPr="000643FE">
        <w:rPr>
          <w:rFonts w:ascii="Book Antiqua" w:hAnsi="Book Antiqua" w:cs="Book Antiqua"/>
          <w:sz w:val="24"/>
        </w:rPr>
        <w:t>ALP,</w:t>
      </w:r>
      <w:r w:rsidR="00F93349" w:rsidRPr="000643FE">
        <w:rPr>
          <w:rFonts w:ascii="Book Antiqua" w:hAnsi="Book Antiqua" w:cs="Book Antiqua"/>
          <w:sz w:val="24"/>
        </w:rPr>
        <w:t xml:space="preserve"> </w:t>
      </w:r>
      <w:r w:rsidRPr="000643FE">
        <w:rPr>
          <w:rFonts w:ascii="Book Antiqua" w:hAnsi="Book Antiqua" w:cs="Book Antiqua"/>
          <w:sz w:val="24"/>
        </w:rPr>
        <w:t>77.2 U/L; total bilirubin, 25.9 µmol/L; direct bilirubin, 13.1 µmol/L; albumin, 31.8 g/L; prothrombin time,</w:t>
      </w:r>
      <w:r w:rsidR="00F93349" w:rsidRPr="000643FE">
        <w:rPr>
          <w:rFonts w:ascii="Book Antiqua" w:hAnsi="Book Antiqua" w:cs="Book Antiqua"/>
          <w:sz w:val="24"/>
        </w:rPr>
        <w:t xml:space="preserve"> </w:t>
      </w:r>
      <w:r w:rsidRPr="000643FE">
        <w:rPr>
          <w:rFonts w:ascii="Book Antiqua" w:hAnsi="Book Antiqua" w:cs="Book Antiqua"/>
          <w:sz w:val="24"/>
        </w:rPr>
        <w:t xml:space="preserve">12.4 s; prothrombin time activity, 85%. These indicators were markedly improved compared to the pre-transplantation levels. CT scanning showed a normal change after liver transplantation. The patient left the hospital 95 d after admission, on October 3, 2018, and remained well after 6 </w:t>
      </w:r>
      <w:proofErr w:type="spellStart"/>
      <w:r w:rsidRPr="000643FE">
        <w:rPr>
          <w:rFonts w:ascii="Book Antiqua" w:hAnsi="Book Antiqua" w:cs="Book Antiqua"/>
          <w:sz w:val="24"/>
        </w:rPr>
        <w:t>mo</w:t>
      </w:r>
      <w:proofErr w:type="spellEnd"/>
      <w:r w:rsidRPr="000643FE">
        <w:rPr>
          <w:rFonts w:ascii="Book Antiqua" w:hAnsi="Book Antiqua" w:cs="Book Antiqua"/>
          <w:sz w:val="24"/>
        </w:rPr>
        <w:t xml:space="preserve"> following transplantation.</w:t>
      </w:r>
    </w:p>
    <w:p w14:paraId="35A65EB3" w14:textId="77777777" w:rsidR="001F4CE6" w:rsidRPr="000643FE" w:rsidRDefault="001F4CE6" w:rsidP="000368F9">
      <w:pPr>
        <w:spacing w:line="360" w:lineRule="auto"/>
        <w:rPr>
          <w:rFonts w:ascii="Book Antiqua" w:hAnsi="Book Antiqua" w:cs="Book Antiqua"/>
          <w:sz w:val="24"/>
        </w:rPr>
      </w:pPr>
    </w:p>
    <w:p w14:paraId="4A8BB725" w14:textId="77777777" w:rsidR="001F4CE6" w:rsidRPr="000643FE" w:rsidRDefault="004C44A9" w:rsidP="000368F9">
      <w:pPr>
        <w:spacing w:line="360" w:lineRule="auto"/>
        <w:rPr>
          <w:rFonts w:ascii="Book Antiqua" w:hAnsi="Book Antiqua" w:cs="Book Antiqua"/>
          <w:b/>
          <w:bCs/>
          <w:sz w:val="24"/>
        </w:rPr>
      </w:pPr>
      <w:r w:rsidRPr="000643FE">
        <w:rPr>
          <w:rFonts w:ascii="Book Antiqua" w:hAnsi="Book Antiqua" w:cs="Book Antiqua"/>
          <w:b/>
          <w:bCs/>
          <w:sz w:val="24"/>
        </w:rPr>
        <w:t>DISCUSSION</w:t>
      </w:r>
    </w:p>
    <w:p w14:paraId="6CFDD02B" w14:textId="77777777" w:rsidR="001F4CE6" w:rsidRPr="000643FE" w:rsidRDefault="004C44A9" w:rsidP="000368F9">
      <w:pPr>
        <w:spacing w:line="360" w:lineRule="auto"/>
        <w:rPr>
          <w:rFonts w:ascii="Book Antiqua" w:hAnsi="Book Antiqua" w:cs="Book Antiqua"/>
          <w:b/>
          <w:i/>
          <w:sz w:val="24"/>
        </w:rPr>
      </w:pPr>
      <w:r w:rsidRPr="000643FE">
        <w:rPr>
          <w:rFonts w:ascii="Book Antiqua" w:hAnsi="Book Antiqua" w:cs="Book Antiqua"/>
          <w:b/>
          <w:i/>
          <w:sz w:val="24"/>
        </w:rPr>
        <w:t>Prevalence of gout and drug treatment</w:t>
      </w:r>
    </w:p>
    <w:p w14:paraId="6027F7A2"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The prevalence of gout in the general population is 1</w:t>
      </w:r>
      <w:r w:rsidR="00F93349" w:rsidRPr="000643FE">
        <w:rPr>
          <w:rFonts w:ascii="Book Antiqua" w:hAnsi="Book Antiqua" w:cs="Book Antiqua"/>
          <w:sz w:val="24"/>
        </w:rPr>
        <w:t>%</w:t>
      </w:r>
      <w:r w:rsidRPr="000643FE">
        <w:rPr>
          <w:rFonts w:ascii="Book Antiqua" w:hAnsi="Book Antiqua" w:cs="Book Antiqua"/>
          <w:sz w:val="24"/>
        </w:rPr>
        <w:t xml:space="preserve">-4%, and the annual incidence is 2.68 per 1000 persons. The worldwide incidence of gout has gradually increased due to poor dietary habits, such as the consumption of fast food, lack of exercise, and increased incidence of obesity and metabolic </w:t>
      </w:r>
      <w:proofErr w:type="gramStart"/>
      <w:r w:rsidRPr="000643FE">
        <w:rPr>
          <w:rFonts w:ascii="Book Antiqua" w:hAnsi="Book Antiqua" w:cs="Book Antiqua"/>
          <w:sz w:val="24"/>
        </w:rPr>
        <w:t>syndrome</w:t>
      </w:r>
      <w:r w:rsidRPr="000643FE">
        <w:rPr>
          <w:rFonts w:ascii="Book Antiqua" w:hAnsi="Book Antiqua" w:cs="Book Antiqua"/>
          <w:sz w:val="24"/>
          <w:vertAlign w:val="superscript"/>
        </w:rPr>
        <w:t>[</w:t>
      </w:r>
      <w:proofErr w:type="gramEnd"/>
      <w:r w:rsidRPr="000643FE">
        <w:rPr>
          <w:rFonts w:ascii="Book Antiqua" w:hAnsi="Book Antiqua" w:cs="Book Antiqua"/>
          <w:sz w:val="24"/>
          <w:vertAlign w:val="superscript"/>
        </w:rPr>
        <w:t>4]</w:t>
      </w:r>
      <w:r w:rsidRPr="000643FE">
        <w:rPr>
          <w:rFonts w:ascii="Book Antiqua" w:hAnsi="Book Antiqua" w:cs="Book Antiqua"/>
          <w:sz w:val="24"/>
        </w:rPr>
        <w:t xml:space="preserve">. Gout has an important effect on musculoskeletal function and health-related quality of life. Poorly controlled gout leads to absence from work, health care use, and reduced social </w:t>
      </w:r>
      <w:proofErr w:type="gramStart"/>
      <w:r w:rsidRPr="000643FE">
        <w:rPr>
          <w:rFonts w:ascii="Book Antiqua" w:hAnsi="Book Antiqua" w:cs="Book Antiqua"/>
          <w:sz w:val="24"/>
        </w:rPr>
        <w:t>participation</w:t>
      </w:r>
      <w:r w:rsidRPr="000643FE">
        <w:rPr>
          <w:rFonts w:ascii="Book Antiqua" w:hAnsi="Book Antiqua" w:cs="Book Antiqua"/>
          <w:sz w:val="24"/>
          <w:vertAlign w:val="superscript"/>
        </w:rPr>
        <w:t>[</w:t>
      </w:r>
      <w:proofErr w:type="gramEnd"/>
      <w:r w:rsidRPr="000643FE">
        <w:rPr>
          <w:rFonts w:ascii="Book Antiqua" w:hAnsi="Book Antiqua" w:cs="Book Antiqua"/>
          <w:sz w:val="24"/>
          <w:vertAlign w:val="superscript"/>
        </w:rPr>
        <w:t>5]</w:t>
      </w:r>
      <w:r w:rsidRPr="000643FE">
        <w:rPr>
          <w:rFonts w:ascii="Book Antiqua" w:hAnsi="Book Antiqua" w:cs="Book Antiqua"/>
          <w:sz w:val="24"/>
        </w:rPr>
        <w:t>. Previous clinical and pathophysiological data have shown that lowering uricemia to under the saturation point is the best and most reliable way to control gout symptoms in the long term. The most commonly used urate-lowering drugs are allopurinol, febuxostat, uricosurics</w:t>
      </w:r>
      <w:r w:rsidR="00317DC4" w:rsidRPr="000643FE">
        <w:rPr>
          <w:rFonts w:ascii="Book Antiqua" w:hAnsi="Book Antiqua" w:cs="Book Antiqua"/>
          <w:sz w:val="24"/>
        </w:rPr>
        <w:t>,</w:t>
      </w:r>
      <w:r w:rsidRPr="000643FE">
        <w:rPr>
          <w:rFonts w:ascii="Book Antiqua" w:hAnsi="Book Antiqua" w:cs="Book Antiqua"/>
          <w:sz w:val="24"/>
        </w:rPr>
        <w:t xml:space="preserve"> and urate oxidases. Benzbromarone is a powerful uricosuric drug; however, after reports of several serious </w:t>
      </w:r>
      <w:proofErr w:type="spellStart"/>
      <w:r w:rsidRPr="000643FE">
        <w:rPr>
          <w:rFonts w:ascii="Book Antiqua" w:hAnsi="Book Antiqua" w:cs="Book Antiqua"/>
          <w:sz w:val="24"/>
        </w:rPr>
        <w:t>hepatotoxicities</w:t>
      </w:r>
      <w:proofErr w:type="spellEnd"/>
      <w:r w:rsidRPr="000643FE">
        <w:rPr>
          <w:rFonts w:ascii="Book Antiqua" w:hAnsi="Book Antiqua" w:cs="Book Antiqua"/>
          <w:sz w:val="24"/>
        </w:rPr>
        <w:t xml:space="preserve">, </w:t>
      </w:r>
      <w:proofErr w:type="spellStart"/>
      <w:r w:rsidRPr="000643FE">
        <w:rPr>
          <w:rFonts w:ascii="Book Antiqua" w:hAnsi="Book Antiqua" w:cs="Book Antiqua"/>
          <w:sz w:val="24"/>
        </w:rPr>
        <w:t>benzbromarone</w:t>
      </w:r>
      <w:proofErr w:type="spellEnd"/>
      <w:r w:rsidRPr="000643FE">
        <w:rPr>
          <w:rFonts w:ascii="Book Antiqua" w:hAnsi="Book Antiqua" w:cs="Book Antiqua"/>
          <w:sz w:val="24"/>
        </w:rPr>
        <w:t xml:space="preserve"> was withdrawn by Sanofi in 2003. Nonetheless, it was still recommended in clinical guidelines for patients with mild/moderate renal </w:t>
      </w:r>
      <w:proofErr w:type="gramStart"/>
      <w:r w:rsidRPr="000643FE">
        <w:rPr>
          <w:rFonts w:ascii="Book Antiqua" w:hAnsi="Book Antiqua" w:cs="Book Antiqua"/>
          <w:sz w:val="24"/>
        </w:rPr>
        <w:t>impairment</w:t>
      </w:r>
      <w:r w:rsidRPr="000643FE">
        <w:rPr>
          <w:rFonts w:ascii="Book Antiqua" w:hAnsi="Book Antiqua" w:cs="Book Antiqua"/>
          <w:sz w:val="24"/>
          <w:vertAlign w:val="superscript"/>
        </w:rPr>
        <w:t>[</w:t>
      </w:r>
      <w:proofErr w:type="gramEnd"/>
      <w:r w:rsidRPr="000643FE">
        <w:rPr>
          <w:rFonts w:ascii="Book Antiqua" w:hAnsi="Book Antiqua" w:cs="Book Antiqua"/>
          <w:sz w:val="24"/>
          <w:vertAlign w:val="superscript"/>
        </w:rPr>
        <w:t>5,6]</w:t>
      </w:r>
      <w:r w:rsidRPr="000643FE">
        <w:rPr>
          <w:rFonts w:ascii="Book Antiqua" w:hAnsi="Book Antiqua" w:cs="Book Antiqua"/>
          <w:sz w:val="24"/>
        </w:rPr>
        <w:t>. Currently, benzbromarone is mainly used in Japan, China, Singapore</w:t>
      </w:r>
      <w:r w:rsidR="00317DC4" w:rsidRPr="000643FE">
        <w:rPr>
          <w:rFonts w:ascii="Book Antiqua" w:hAnsi="Book Antiqua" w:cs="Book Antiqua"/>
          <w:sz w:val="24"/>
        </w:rPr>
        <w:t>,</w:t>
      </w:r>
      <w:r w:rsidRPr="000643FE">
        <w:rPr>
          <w:rFonts w:ascii="Book Antiqua" w:hAnsi="Book Antiqua" w:cs="Book Antiqua"/>
          <w:sz w:val="24"/>
        </w:rPr>
        <w:t xml:space="preserve"> and other Asian countries. In China, benzbromarone is mainly used for the treatment of gout and hyperuricemia in clinical </w:t>
      </w:r>
      <w:proofErr w:type="gramStart"/>
      <w:r w:rsidRPr="000643FE">
        <w:rPr>
          <w:rFonts w:ascii="Book Antiqua" w:hAnsi="Book Antiqua" w:cs="Book Antiqua"/>
          <w:sz w:val="24"/>
        </w:rPr>
        <w:t>practice</w:t>
      </w:r>
      <w:r w:rsidRPr="000643FE">
        <w:rPr>
          <w:rFonts w:ascii="Book Antiqua" w:hAnsi="Book Antiqua" w:cs="Book Antiqua"/>
          <w:sz w:val="24"/>
          <w:vertAlign w:val="superscript"/>
        </w:rPr>
        <w:t>[</w:t>
      </w:r>
      <w:proofErr w:type="gramEnd"/>
      <w:r w:rsidRPr="000643FE">
        <w:rPr>
          <w:rFonts w:ascii="Book Antiqua" w:hAnsi="Book Antiqua" w:cs="Book Antiqua"/>
          <w:sz w:val="24"/>
          <w:vertAlign w:val="superscript"/>
        </w:rPr>
        <w:t>7]</w:t>
      </w:r>
      <w:r w:rsidRPr="000643FE">
        <w:rPr>
          <w:rFonts w:ascii="Book Antiqua" w:hAnsi="Book Antiqua" w:cs="Book Antiqua"/>
          <w:sz w:val="24"/>
        </w:rPr>
        <w:t>. Thus far, most published hepatotoxicity cases due to benzbromarone have been reported in Asian countries (Figure 4).</w:t>
      </w:r>
    </w:p>
    <w:p w14:paraId="7853DEFC" w14:textId="77777777" w:rsidR="001F4CE6" w:rsidRPr="000643FE" w:rsidRDefault="001F4CE6" w:rsidP="000368F9">
      <w:pPr>
        <w:spacing w:line="360" w:lineRule="auto"/>
        <w:rPr>
          <w:rFonts w:ascii="Book Antiqua" w:hAnsi="Book Antiqua" w:cs="Book Antiqua"/>
          <w:b/>
          <w:i/>
          <w:sz w:val="24"/>
        </w:rPr>
      </w:pPr>
    </w:p>
    <w:p w14:paraId="449E6148" w14:textId="77777777" w:rsidR="001F4CE6" w:rsidRPr="000643FE" w:rsidRDefault="004C44A9" w:rsidP="000368F9">
      <w:pPr>
        <w:spacing w:line="360" w:lineRule="auto"/>
        <w:rPr>
          <w:rFonts w:ascii="Book Antiqua" w:hAnsi="Book Antiqua" w:cs="Book Antiqua"/>
          <w:b/>
          <w:i/>
          <w:sz w:val="24"/>
        </w:rPr>
      </w:pPr>
      <w:r w:rsidRPr="000643FE">
        <w:rPr>
          <w:rFonts w:ascii="Book Antiqua" w:hAnsi="Book Antiqua" w:cs="Book Antiqua"/>
          <w:b/>
          <w:i/>
          <w:sz w:val="24"/>
        </w:rPr>
        <w:t>Hepatotoxicity mechanism of benzbromarone</w:t>
      </w:r>
    </w:p>
    <w:p w14:paraId="0B06EB30"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The hepatotoxicity associated with benzbromarone might be explained by mitochondrial toxicity and subsequent induction of apoptosis and necrosis. Priska found that benzbromarone decreased the mitochondrial membrane potential of isolated rat hepatocytes by 81%. In mitochondria, benzbromarone decreased the state 3 oxidation and respiratory control ratios of L-glutamate, decreased mitochondrial β-oxidation</w:t>
      </w:r>
      <w:r w:rsidR="00317DC4" w:rsidRPr="000643FE">
        <w:rPr>
          <w:rFonts w:ascii="Book Antiqua" w:hAnsi="Book Antiqua" w:cs="Book Antiqua"/>
          <w:sz w:val="24"/>
        </w:rPr>
        <w:t>,</w:t>
      </w:r>
      <w:r w:rsidRPr="000643FE">
        <w:rPr>
          <w:rFonts w:ascii="Book Antiqua" w:hAnsi="Book Antiqua" w:cs="Book Antiqua"/>
          <w:sz w:val="24"/>
        </w:rPr>
        <w:t xml:space="preserve"> and increased reactive oxygen species </w:t>
      </w:r>
      <w:proofErr w:type="gramStart"/>
      <w:r w:rsidRPr="000643FE">
        <w:rPr>
          <w:rFonts w:ascii="Book Antiqua" w:hAnsi="Book Antiqua" w:cs="Book Antiqua"/>
          <w:sz w:val="24"/>
        </w:rPr>
        <w:t>production</w:t>
      </w:r>
      <w:r w:rsidRPr="000643FE">
        <w:rPr>
          <w:rFonts w:ascii="Book Antiqua" w:hAnsi="Book Antiqua" w:cs="Book Antiqua"/>
          <w:sz w:val="24"/>
          <w:vertAlign w:val="superscript"/>
        </w:rPr>
        <w:t>[</w:t>
      </w:r>
      <w:proofErr w:type="gramEnd"/>
      <w:r w:rsidRPr="000643FE">
        <w:rPr>
          <w:rFonts w:ascii="Book Antiqua" w:hAnsi="Book Antiqua" w:cs="Book Antiqua"/>
          <w:sz w:val="24"/>
          <w:vertAlign w:val="superscript"/>
        </w:rPr>
        <w:t>8]</w:t>
      </w:r>
      <w:r w:rsidRPr="000643FE">
        <w:rPr>
          <w:rFonts w:ascii="Book Antiqua" w:hAnsi="Book Antiqua" w:cs="Book Antiqua"/>
          <w:bCs/>
          <w:sz w:val="24"/>
        </w:rPr>
        <w:t xml:space="preserve">. </w:t>
      </w:r>
      <w:r w:rsidRPr="000643FE">
        <w:rPr>
          <w:rFonts w:ascii="Book Antiqua" w:hAnsi="Book Antiqua" w:cs="Book Antiqua"/>
          <w:sz w:val="24"/>
        </w:rPr>
        <w:t xml:space="preserve">Another study demonstrated that benzbromarone is associated with profound changes in mitochondrial structure, which may be associated with </w:t>
      </w:r>
      <w:proofErr w:type="gramStart"/>
      <w:r w:rsidRPr="000643FE">
        <w:rPr>
          <w:rFonts w:ascii="Book Antiqua" w:hAnsi="Book Antiqua" w:cs="Book Antiqua"/>
          <w:sz w:val="24"/>
        </w:rPr>
        <w:t>apoptosis</w:t>
      </w:r>
      <w:r w:rsidRPr="000643FE">
        <w:rPr>
          <w:rFonts w:ascii="Book Antiqua" w:hAnsi="Book Antiqua" w:cs="Book Antiqua"/>
          <w:sz w:val="24"/>
          <w:vertAlign w:val="superscript"/>
        </w:rPr>
        <w:t>[</w:t>
      </w:r>
      <w:proofErr w:type="gramEnd"/>
      <w:r w:rsidRPr="000643FE">
        <w:rPr>
          <w:rFonts w:ascii="Book Antiqua" w:hAnsi="Book Antiqua" w:cs="Book Antiqua"/>
          <w:sz w:val="24"/>
          <w:vertAlign w:val="superscript"/>
        </w:rPr>
        <w:t>9]</w:t>
      </w:r>
      <w:r w:rsidRPr="000643FE">
        <w:rPr>
          <w:rFonts w:ascii="Book Antiqua" w:hAnsi="Book Antiqua" w:cs="Book Antiqua"/>
          <w:sz w:val="24"/>
        </w:rPr>
        <w:t xml:space="preserve">. Additionally, Wang </w:t>
      </w:r>
      <w:r w:rsidRPr="000643FE">
        <w:rPr>
          <w:rFonts w:ascii="Book Antiqua" w:hAnsi="Book Antiqua" w:cs="Book Antiqua"/>
          <w:i/>
          <w:sz w:val="24"/>
        </w:rPr>
        <w:t>et</w:t>
      </w:r>
      <w:r w:rsidR="00F93349" w:rsidRPr="000643FE">
        <w:rPr>
          <w:rFonts w:ascii="Book Antiqua" w:hAnsi="Book Antiqua" w:cs="Book Antiqua"/>
          <w:i/>
          <w:sz w:val="24"/>
        </w:rPr>
        <w:t xml:space="preserve"> </w:t>
      </w:r>
      <w:proofErr w:type="gramStart"/>
      <w:r w:rsidRPr="000643FE">
        <w:rPr>
          <w:rFonts w:ascii="Book Antiqua" w:hAnsi="Book Antiqua" w:cs="Book Antiqua"/>
          <w:i/>
          <w:sz w:val="24"/>
        </w:rPr>
        <w:t>al</w:t>
      </w:r>
      <w:r w:rsidR="00F93349" w:rsidRPr="000643FE">
        <w:rPr>
          <w:rFonts w:ascii="Book Antiqua" w:hAnsi="Book Antiqua" w:cs="Book Antiqua"/>
          <w:sz w:val="24"/>
          <w:vertAlign w:val="superscript"/>
        </w:rPr>
        <w:t>[</w:t>
      </w:r>
      <w:proofErr w:type="gramEnd"/>
      <w:r w:rsidR="00F93349" w:rsidRPr="000643FE">
        <w:rPr>
          <w:rFonts w:ascii="Book Antiqua" w:hAnsi="Book Antiqua" w:cs="Book Antiqua"/>
          <w:sz w:val="24"/>
          <w:vertAlign w:val="superscript"/>
        </w:rPr>
        <w:t>10]</w:t>
      </w:r>
      <w:r w:rsidRPr="000643FE">
        <w:rPr>
          <w:rFonts w:ascii="Book Antiqua" w:hAnsi="Book Antiqua" w:cs="Book Antiqua"/>
          <w:sz w:val="24"/>
        </w:rPr>
        <w:t xml:space="preserve"> reported that metabolic epoxidation is a key step in the development of benzbromarone-induced hepatotoxicity</w:t>
      </w:r>
      <w:r w:rsidRPr="000643FE">
        <w:rPr>
          <w:rFonts w:ascii="Book Antiqua" w:hAnsi="Book Antiqua" w:cs="Book Antiqua"/>
          <w:bCs/>
          <w:sz w:val="24"/>
        </w:rPr>
        <w:t>.</w:t>
      </w:r>
    </w:p>
    <w:p w14:paraId="237956B9" w14:textId="77777777" w:rsidR="001F4CE6" w:rsidRPr="000643FE" w:rsidRDefault="004C44A9" w:rsidP="00F93349">
      <w:pPr>
        <w:spacing w:line="360" w:lineRule="auto"/>
        <w:ind w:firstLineChars="100" w:firstLine="240"/>
        <w:rPr>
          <w:rFonts w:ascii="Book Antiqua" w:hAnsi="Book Antiqua" w:cs="Book Antiqua"/>
          <w:bCs/>
          <w:sz w:val="24"/>
        </w:rPr>
      </w:pPr>
      <w:r w:rsidRPr="000643FE">
        <w:rPr>
          <w:rFonts w:ascii="Book Antiqua" w:hAnsi="Book Antiqua" w:cs="Book Antiqua"/>
          <w:sz w:val="24"/>
        </w:rPr>
        <w:t>Hepatotoxicity is often associated with cytochrome P450-mediated bioactivation. Early metabolic studies revealed two major hydroxylated metabolites of benzbromarone, 1’-hydroxy benzbromarone and 6-hydroxy benzbromarone, in urine, bile</w:t>
      </w:r>
      <w:r w:rsidR="00317DC4" w:rsidRPr="000643FE">
        <w:rPr>
          <w:rFonts w:ascii="Book Antiqua" w:hAnsi="Book Antiqua" w:cs="Book Antiqua"/>
          <w:sz w:val="24"/>
        </w:rPr>
        <w:t>,</w:t>
      </w:r>
      <w:r w:rsidRPr="000643FE">
        <w:rPr>
          <w:rFonts w:ascii="Book Antiqua" w:hAnsi="Book Antiqua" w:cs="Book Antiqua"/>
          <w:sz w:val="24"/>
        </w:rPr>
        <w:t xml:space="preserve"> and </w:t>
      </w:r>
      <w:proofErr w:type="gramStart"/>
      <w:r w:rsidRPr="000643FE">
        <w:rPr>
          <w:rFonts w:ascii="Book Antiqua" w:hAnsi="Book Antiqua" w:cs="Book Antiqua"/>
          <w:sz w:val="24"/>
        </w:rPr>
        <w:t>plasma</w:t>
      </w:r>
      <w:r w:rsidRPr="000643FE">
        <w:rPr>
          <w:rFonts w:ascii="Book Antiqua" w:hAnsi="Book Antiqua" w:cs="Book Antiqua"/>
          <w:sz w:val="24"/>
          <w:vertAlign w:val="superscript"/>
        </w:rPr>
        <w:t>[</w:t>
      </w:r>
      <w:proofErr w:type="gramEnd"/>
      <w:r w:rsidRPr="000643FE">
        <w:rPr>
          <w:rFonts w:ascii="Book Antiqua" w:hAnsi="Book Antiqua" w:cs="Book Antiqua"/>
          <w:sz w:val="24"/>
          <w:vertAlign w:val="superscript"/>
        </w:rPr>
        <w:t>11]</w:t>
      </w:r>
      <w:r w:rsidRPr="000643FE">
        <w:rPr>
          <w:rFonts w:ascii="Book Antiqua" w:hAnsi="Book Antiqua" w:cs="Book Antiqua"/>
          <w:sz w:val="24"/>
        </w:rPr>
        <w:t>. Further oxidation of 6-hydroxy benzbromarone in human liver microsomes results in the formation of 5</w:t>
      </w:r>
      <w:proofErr w:type="gramStart"/>
      <w:r w:rsidRPr="000643FE">
        <w:rPr>
          <w:rFonts w:ascii="Book Antiqua" w:hAnsi="Book Antiqua" w:cs="Book Antiqua"/>
          <w:sz w:val="24"/>
        </w:rPr>
        <w:t>,6</w:t>
      </w:r>
      <w:proofErr w:type="gramEnd"/>
      <w:r w:rsidRPr="000643FE">
        <w:rPr>
          <w:rFonts w:ascii="Book Antiqua" w:hAnsi="Book Antiqua" w:cs="Book Antiqua"/>
          <w:sz w:val="24"/>
        </w:rPr>
        <w:t>-dihydroxy metabolites</w:t>
      </w:r>
      <w:r w:rsidRPr="000643FE">
        <w:rPr>
          <w:rFonts w:ascii="Book Antiqua" w:hAnsi="Book Antiqua" w:cs="Book Antiqua"/>
          <w:sz w:val="24"/>
          <w:vertAlign w:val="superscript"/>
        </w:rPr>
        <w:t>[12]</w:t>
      </w:r>
      <w:r w:rsidRPr="000643FE">
        <w:rPr>
          <w:rFonts w:ascii="Book Antiqua" w:hAnsi="Book Antiqua" w:cs="Book Antiqua"/>
          <w:bCs/>
          <w:sz w:val="24"/>
        </w:rPr>
        <w:t xml:space="preserve">. </w:t>
      </w:r>
      <w:r w:rsidRPr="000643FE">
        <w:rPr>
          <w:rFonts w:ascii="Book Antiqua" w:hAnsi="Book Antiqua" w:cs="Book Antiqua"/>
          <w:sz w:val="24"/>
        </w:rPr>
        <w:t>These metabolites of benzbromarone have been reported to induce a transition in mitochondrial membrane permeability, and the metabolites and their reactive intermediate</w:t>
      </w:r>
      <w:r w:rsidR="00317DC4" w:rsidRPr="000643FE">
        <w:rPr>
          <w:rFonts w:ascii="Book Antiqua" w:hAnsi="Book Antiqua" w:cs="Book Antiqua"/>
          <w:sz w:val="24"/>
        </w:rPr>
        <w:t>s</w:t>
      </w:r>
      <w:r w:rsidRPr="000643FE">
        <w:rPr>
          <w:rFonts w:ascii="Book Antiqua" w:hAnsi="Book Antiqua" w:cs="Book Antiqua"/>
          <w:sz w:val="24"/>
        </w:rPr>
        <w:t xml:space="preserve"> have been associated with liver </w:t>
      </w:r>
      <w:proofErr w:type="gramStart"/>
      <w:r w:rsidRPr="000643FE">
        <w:rPr>
          <w:rFonts w:ascii="Book Antiqua" w:hAnsi="Book Antiqua" w:cs="Book Antiqua"/>
          <w:sz w:val="24"/>
        </w:rPr>
        <w:t>injury</w:t>
      </w:r>
      <w:r w:rsidRPr="000643FE">
        <w:rPr>
          <w:rFonts w:ascii="Book Antiqua" w:hAnsi="Book Antiqua" w:cs="Book Antiqua"/>
          <w:sz w:val="24"/>
          <w:vertAlign w:val="superscript"/>
        </w:rPr>
        <w:t>[</w:t>
      </w:r>
      <w:proofErr w:type="gramEnd"/>
      <w:r w:rsidRPr="000643FE">
        <w:rPr>
          <w:rFonts w:ascii="Book Antiqua" w:hAnsi="Book Antiqua" w:cs="Book Antiqua"/>
          <w:sz w:val="24"/>
          <w:vertAlign w:val="superscript"/>
        </w:rPr>
        <w:t>13-15]</w:t>
      </w:r>
      <w:r w:rsidRPr="000643FE">
        <w:rPr>
          <w:rFonts w:ascii="Book Antiqua" w:hAnsi="Book Antiqua" w:cs="Book Antiqua"/>
          <w:sz w:val="24"/>
        </w:rPr>
        <w:t xml:space="preserve">. According to Kaoru’s research, CYP3A4 and CYP2C9 catalyze the formation of 1’-hydroxy benzbromarone and 6-hydroxy benzbromarone, respectively, with CYP2C9 and CYP1A2 further catalyzing the formation of 5,6-dihydroxy benzbromarone in human liver microsomes. The activity of these CYP isozymes might be related to benzbromarone-induced liver </w:t>
      </w:r>
      <w:proofErr w:type="gramStart"/>
      <w:r w:rsidRPr="000643FE">
        <w:rPr>
          <w:rFonts w:ascii="Book Antiqua" w:hAnsi="Book Antiqua" w:cs="Book Antiqua"/>
          <w:sz w:val="24"/>
        </w:rPr>
        <w:t>toxicity</w:t>
      </w:r>
      <w:r w:rsidRPr="000643FE">
        <w:rPr>
          <w:rFonts w:ascii="Book Antiqua" w:hAnsi="Book Antiqua" w:cs="Book Antiqua"/>
          <w:sz w:val="24"/>
          <w:vertAlign w:val="superscript"/>
        </w:rPr>
        <w:t>[</w:t>
      </w:r>
      <w:proofErr w:type="gramEnd"/>
      <w:r w:rsidRPr="000643FE">
        <w:rPr>
          <w:rFonts w:ascii="Book Antiqua" w:hAnsi="Book Antiqua" w:cs="Book Antiqua"/>
          <w:sz w:val="24"/>
          <w:vertAlign w:val="superscript"/>
        </w:rPr>
        <w:t>16]</w:t>
      </w:r>
      <w:r w:rsidRPr="000643FE">
        <w:rPr>
          <w:rFonts w:ascii="Book Antiqua" w:hAnsi="Book Antiqua" w:cs="Book Antiqua"/>
          <w:sz w:val="24"/>
        </w:rPr>
        <w:t>.</w:t>
      </w:r>
    </w:p>
    <w:p w14:paraId="0100B939" w14:textId="77777777" w:rsidR="001F4CE6" w:rsidRPr="000643FE" w:rsidRDefault="001F4CE6" w:rsidP="000368F9">
      <w:pPr>
        <w:spacing w:line="360" w:lineRule="auto"/>
        <w:rPr>
          <w:rFonts w:ascii="Book Antiqua" w:hAnsi="Book Antiqua" w:cs="Book Antiqua"/>
          <w:sz w:val="24"/>
        </w:rPr>
      </w:pPr>
    </w:p>
    <w:p w14:paraId="13CE7429" w14:textId="77777777" w:rsidR="001F4CE6" w:rsidRPr="000643FE" w:rsidRDefault="004C44A9" w:rsidP="000368F9">
      <w:pPr>
        <w:spacing w:line="360" w:lineRule="auto"/>
        <w:rPr>
          <w:rFonts w:ascii="Book Antiqua" w:hAnsi="Book Antiqua" w:cs="Book Antiqua"/>
          <w:b/>
          <w:bCs/>
          <w:i/>
          <w:sz w:val="24"/>
        </w:rPr>
      </w:pPr>
      <w:r w:rsidRPr="000643FE">
        <w:rPr>
          <w:rFonts w:ascii="Book Antiqua" w:hAnsi="Book Antiqua" w:cs="Book Antiqua"/>
          <w:b/>
          <w:bCs/>
          <w:i/>
          <w:sz w:val="24"/>
        </w:rPr>
        <w:t>Reports of benzbromarone-related hepatotoxicity in the literature</w:t>
      </w:r>
    </w:p>
    <w:p w14:paraId="724B0210"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 xml:space="preserve">We retrieved </w:t>
      </w:r>
      <w:r w:rsidR="00317DC4" w:rsidRPr="000643FE">
        <w:rPr>
          <w:rFonts w:ascii="Book Antiqua" w:hAnsi="Book Antiqua" w:cs="Book Antiqua"/>
          <w:sz w:val="24"/>
        </w:rPr>
        <w:t xml:space="preserve">eight </w:t>
      </w:r>
      <w:r w:rsidRPr="000643FE">
        <w:rPr>
          <w:rFonts w:ascii="Book Antiqua" w:hAnsi="Book Antiqua" w:cs="Book Antiqua"/>
          <w:sz w:val="24"/>
        </w:rPr>
        <w:t>reported cases of benzbromarone-related hepatotoxicity</w:t>
      </w:r>
      <w:r w:rsidRPr="000643FE">
        <w:rPr>
          <w:rFonts w:ascii="Book Antiqua" w:hAnsi="Book Antiqua" w:cs="Book Antiqua"/>
          <w:bCs/>
          <w:sz w:val="24"/>
        </w:rPr>
        <w:t xml:space="preserve">, for a total of </w:t>
      </w:r>
      <w:r w:rsidR="00317DC4" w:rsidRPr="000643FE">
        <w:rPr>
          <w:rFonts w:ascii="Book Antiqua" w:hAnsi="Book Antiqua" w:cs="Book Antiqua"/>
          <w:bCs/>
          <w:sz w:val="24"/>
        </w:rPr>
        <w:t xml:space="preserve">nine </w:t>
      </w:r>
      <w:r w:rsidRPr="000643FE">
        <w:rPr>
          <w:rFonts w:ascii="Book Antiqua" w:hAnsi="Book Antiqua" w:cs="Book Antiqua"/>
          <w:bCs/>
          <w:sz w:val="24"/>
        </w:rPr>
        <w:t>including the present case</w:t>
      </w:r>
      <w:r w:rsidR="00F93349" w:rsidRPr="000643FE">
        <w:rPr>
          <w:rFonts w:ascii="Book Antiqua" w:hAnsi="Book Antiqua" w:cs="Book Antiqua"/>
          <w:bCs/>
          <w:sz w:val="24"/>
        </w:rPr>
        <w:t xml:space="preserve"> </w:t>
      </w:r>
      <w:r w:rsidRPr="000643FE">
        <w:rPr>
          <w:rFonts w:ascii="Book Antiqua" w:hAnsi="Book Antiqua" w:cs="Book Antiqua"/>
          <w:bCs/>
          <w:sz w:val="24"/>
        </w:rPr>
        <w:t>(Table 2):</w:t>
      </w:r>
      <w:r w:rsidR="00317DC4" w:rsidRPr="000643FE">
        <w:rPr>
          <w:rFonts w:ascii="Book Antiqua" w:hAnsi="Book Antiqua" w:cs="Book Antiqua"/>
          <w:bCs/>
          <w:sz w:val="24"/>
        </w:rPr>
        <w:t xml:space="preserve"> One</w:t>
      </w:r>
      <w:r w:rsidRPr="000643FE">
        <w:rPr>
          <w:rFonts w:ascii="Book Antiqua" w:hAnsi="Book Antiqua" w:cs="Book Antiqua"/>
          <w:sz w:val="24"/>
        </w:rPr>
        <w:t xml:space="preserve"> from the Netherlands, </w:t>
      </w:r>
      <w:r w:rsidR="00317DC4" w:rsidRPr="000643FE">
        <w:rPr>
          <w:rFonts w:ascii="Book Antiqua" w:hAnsi="Book Antiqua" w:cs="Book Antiqua"/>
          <w:sz w:val="24"/>
        </w:rPr>
        <w:t xml:space="preserve">one </w:t>
      </w:r>
      <w:r w:rsidRPr="000643FE">
        <w:rPr>
          <w:rFonts w:ascii="Book Antiqua" w:hAnsi="Book Antiqua" w:cs="Book Antiqua"/>
          <w:sz w:val="24"/>
        </w:rPr>
        <w:t xml:space="preserve">from Turkey, </w:t>
      </w:r>
      <w:r w:rsidR="00317DC4" w:rsidRPr="000643FE">
        <w:rPr>
          <w:rFonts w:ascii="Book Antiqua" w:hAnsi="Book Antiqua" w:cs="Book Antiqua"/>
          <w:sz w:val="24"/>
        </w:rPr>
        <w:t xml:space="preserve">three </w:t>
      </w:r>
      <w:r w:rsidRPr="000643FE">
        <w:rPr>
          <w:rFonts w:ascii="Book Antiqua" w:hAnsi="Book Antiqua" w:cs="Book Antiqua"/>
          <w:sz w:val="24"/>
        </w:rPr>
        <w:t xml:space="preserve">from China, and the remaining </w:t>
      </w:r>
      <w:r w:rsidR="00317DC4" w:rsidRPr="000643FE">
        <w:rPr>
          <w:rFonts w:ascii="Book Antiqua" w:hAnsi="Book Antiqua" w:cs="Book Antiqua"/>
          <w:sz w:val="24"/>
        </w:rPr>
        <w:t xml:space="preserve">four </w:t>
      </w:r>
      <w:r w:rsidRPr="000643FE">
        <w:rPr>
          <w:rFonts w:ascii="Book Antiqua" w:hAnsi="Book Antiqua" w:cs="Book Antiqua"/>
          <w:sz w:val="24"/>
        </w:rPr>
        <w:t>from Japan. In addition, the Periodic Safety Update Report</w:t>
      </w:r>
      <w:r w:rsidR="00F93349" w:rsidRPr="000643FE">
        <w:rPr>
          <w:rFonts w:ascii="Book Antiqua" w:hAnsi="Book Antiqua" w:cs="Book Antiqua"/>
          <w:sz w:val="24"/>
        </w:rPr>
        <w:t xml:space="preserve"> </w:t>
      </w:r>
      <w:r w:rsidRPr="000643FE">
        <w:rPr>
          <w:rFonts w:ascii="Book Antiqua" w:hAnsi="Book Antiqua" w:cs="Book Antiqua"/>
          <w:sz w:val="24"/>
        </w:rPr>
        <w:t>listed 11 patients who developed hepatotoxicity from benzbromarone, among whom</w:t>
      </w:r>
      <w:r w:rsidR="006E1D1A" w:rsidRPr="000643FE">
        <w:rPr>
          <w:rFonts w:ascii="Book Antiqua" w:hAnsi="Book Antiqua" w:cs="Book Antiqua"/>
          <w:sz w:val="24"/>
        </w:rPr>
        <w:t xml:space="preserve"> </w:t>
      </w:r>
      <w:r w:rsidR="00317DC4" w:rsidRPr="000643FE">
        <w:rPr>
          <w:rFonts w:ascii="Book Antiqua" w:hAnsi="Book Antiqua" w:cs="Book Antiqua"/>
          <w:sz w:val="24"/>
        </w:rPr>
        <w:t xml:space="preserve">nine </w:t>
      </w:r>
      <w:r w:rsidRPr="000643FE">
        <w:rPr>
          <w:rFonts w:ascii="Book Antiqua" w:hAnsi="Book Antiqua" w:cs="Book Antiqua"/>
          <w:sz w:val="24"/>
        </w:rPr>
        <w:t xml:space="preserve">died; however, details of these unpublished data could not be </w:t>
      </w:r>
      <w:proofErr w:type="gramStart"/>
      <w:r w:rsidRPr="000643FE">
        <w:rPr>
          <w:rFonts w:ascii="Book Antiqua" w:hAnsi="Book Antiqua" w:cs="Book Antiqua"/>
          <w:sz w:val="24"/>
        </w:rPr>
        <w:t>obtained</w:t>
      </w:r>
      <w:r w:rsidRPr="000643FE">
        <w:rPr>
          <w:rFonts w:ascii="Book Antiqua" w:hAnsi="Book Antiqua" w:cs="Book Antiqua"/>
          <w:sz w:val="24"/>
          <w:vertAlign w:val="superscript"/>
        </w:rPr>
        <w:t>[</w:t>
      </w:r>
      <w:proofErr w:type="gramEnd"/>
      <w:r w:rsidRPr="000643FE">
        <w:rPr>
          <w:rFonts w:ascii="Book Antiqua" w:hAnsi="Book Antiqua" w:cs="Book Antiqua"/>
          <w:sz w:val="24"/>
          <w:vertAlign w:val="superscript"/>
        </w:rPr>
        <w:t>17]</w:t>
      </w:r>
      <w:r w:rsidRPr="000643FE">
        <w:rPr>
          <w:rFonts w:ascii="Book Antiqua" w:hAnsi="Book Antiqua" w:cs="Book Antiqua"/>
          <w:sz w:val="24"/>
        </w:rPr>
        <w:t>. According to the National Center for Adverse Drug Reaction (ADR) monitoring website, 533 side effects related to benzbromarone were reported in China before January 10, 2015, including 28 cases of liver injury (5.25%), 16 cases of mild liver injury (ALT abnormal</w:t>
      </w:r>
      <w:r w:rsidR="00317DC4" w:rsidRPr="000643FE">
        <w:rPr>
          <w:rFonts w:ascii="Book Antiqua" w:hAnsi="Book Antiqua" w:cs="Book Antiqua"/>
          <w:sz w:val="24"/>
        </w:rPr>
        <w:t>ity</w:t>
      </w:r>
      <w:r w:rsidRPr="000643FE">
        <w:rPr>
          <w:rFonts w:ascii="Book Antiqua" w:hAnsi="Book Antiqua" w:cs="Book Antiqua"/>
          <w:sz w:val="24"/>
        </w:rPr>
        <w:t>, 1</w:t>
      </w:r>
      <w:r w:rsidR="00F93349" w:rsidRPr="000643FE">
        <w:rPr>
          <w:rFonts w:ascii="Book Antiqua" w:hAnsi="Book Antiqua" w:cs="Book Antiqua"/>
          <w:sz w:val="24"/>
        </w:rPr>
        <w:t xml:space="preserve"> </w:t>
      </w:r>
      <w:r w:rsidRPr="000643FE">
        <w:rPr>
          <w:rFonts w:ascii="Book Antiqua" w:hAnsi="Book Antiqua" w:cs="Book Antiqua"/>
          <w:sz w:val="24"/>
        </w:rPr>
        <w:t>×</w:t>
      </w:r>
      <w:r w:rsidR="00F93349" w:rsidRPr="000643FE">
        <w:rPr>
          <w:rFonts w:ascii="Book Antiqua" w:hAnsi="Book Antiqua" w:cs="Book Antiqua"/>
          <w:sz w:val="24"/>
        </w:rPr>
        <w:t xml:space="preserve"> </w:t>
      </w:r>
      <w:r w:rsidRPr="000643FE">
        <w:rPr>
          <w:rFonts w:ascii="Book Antiqua" w:hAnsi="Book Antiqua" w:cs="Book Antiqua"/>
          <w:sz w:val="24"/>
        </w:rPr>
        <w:t>ULN</w:t>
      </w:r>
      <w:r w:rsidR="00317DC4" w:rsidRPr="000643FE">
        <w:rPr>
          <w:rFonts w:ascii="Book Antiqua" w:hAnsi="Book Antiqua" w:cs="Book Antiqua"/>
          <w:sz w:val="24"/>
        </w:rPr>
        <w:t xml:space="preserve"> </w:t>
      </w:r>
      <w:r w:rsidRPr="000643FE">
        <w:rPr>
          <w:rFonts w:ascii="Book Antiqua" w:hAnsi="Book Antiqua" w:cs="Book Antiqua"/>
          <w:sz w:val="24"/>
        </w:rPr>
        <w:t>&lt;</w:t>
      </w:r>
      <w:r w:rsidR="00317DC4" w:rsidRPr="000643FE">
        <w:rPr>
          <w:rFonts w:ascii="Book Antiqua" w:hAnsi="Book Antiqua" w:cs="Book Antiqua"/>
          <w:sz w:val="24"/>
        </w:rPr>
        <w:t xml:space="preserve"> </w:t>
      </w:r>
      <w:r w:rsidRPr="000643FE">
        <w:rPr>
          <w:rFonts w:ascii="Book Antiqua" w:hAnsi="Book Antiqua" w:cs="Book Antiqua"/>
          <w:sz w:val="24"/>
        </w:rPr>
        <w:t>total bilirubin</w:t>
      </w:r>
      <w:r w:rsidR="00F93349" w:rsidRPr="000643FE">
        <w:rPr>
          <w:rFonts w:ascii="Book Antiqua" w:hAnsi="Book Antiqua" w:cs="Book Antiqua"/>
          <w:sz w:val="24"/>
        </w:rPr>
        <w:t xml:space="preserve"> </w:t>
      </w:r>
      <w:r w:rsidRPr="000643FE">
        <w:rPr>
          <w:rFonts w:ascii="Book Antiqua" w:hAnsi="Book Antiqua" w:cs="Book Antiqua"/>
          <w:sz w:val="24"/>
        </w:rPr>
        <w:t>≤</w:t>
      </w:r>
      <w:r w:rsidR="00F93349" w:rsidRPr="000643FE">
        <w:rPr>
          <w:rFonts w:ascii="Book Antiqua" w:hAnsi="Book Antiqua" w:cs="Book Antiqua"/>
          <w:sz w:val="24"/>
        </w:rPr>
        <w:t xml:space="preserve"> </w:t>
      </w:r>
      <w:r w:rsidRPr="000643FE">
        <w:rPr>
          <w:rFonts w:ascii="Book Antiqua" w:hAnsi="Book Antiqua" w:cs="Book Antiqua"/>
          <w:sz w:val="24"/>
        </w:rPr>
        <w:t>5</w:t>
      </w:r>
      <w:r w:rsidR="00F93349" w:rsidRPr="000643FE">
        <w:rPr>
          <w:rFonts w:ascii="Book Antiqua" w:hAnsi="Book Antiqua" w:cs="Book Antiqua"/>
          <w:sz w:val="24"/>
        </w:rPr>
        <w:t xml:space="preserve"> </w:t>
      </w:r>
      <w:r w:rsidRPr="000643FE">
        <w:rPr>
          <w:rFonts w:ascii="Book Antiqua" w:hAnsi="Book Antiqua" w:cs="Book Antiqua"/>
          <w:sz w:val="24"/>
        </w:rPr>
        <w:t>×</w:t>
      </w:r>
      <w:r w:rsidR="00F93349" w:rsidRPr="000643FE">
        <w:rPr>
          <w:rFonts w:ascii="Book Antiqua" w:hAnsi="Book Antiqua" w:cs="Book Antiqua"/>
          <w:sz w:val="24"/>
        </w:rPr>
        <w:t xml:space="preserve"> </w:t>
      </w:r>
      <w:r w:rsidRPr="000643FE">
        <w:rPr>
          <w:rFonts w:ascii="Book Antiqua" w:hAnsi="Book Antiqua" w:cs="Book Antiqua"/>
          <w:sz w:val="24"/>
        </w:rPr>
        <w:t xml:space="preserve">ULN, </w:t>
      </w:r>
      <w:r w:rsidR="00317DC4" w:rsidRPr="000643FE">
        <w:rPr>
          <w:rFonts w:ascii="Book Antiqua" w:hAnsi="Book Antiqua" w:cs="Book Antiqua"/>
          <w:sz w:val="24"/>
        </w:rPr>
        <w:t xml:space="preserve">and </w:t>
      </w:r>
      <w:r w:rsidRPr="000643FE">
        <w:rPr>
          <w:rFonts w:ascii="Book Antiqua" w:hAnsi="Book Antiqua" w:cs="Book Antiqua"/>
          <w:sz w:val="24"/>
        </w:rPr>
        <w:t xml:space="preserve">no </w:t>
      </w:r>
      <w:r w:rsidR="00317DC4" w:rsidRPr="000643FE">
        <w:rPr>
          <w:rFonts w:ascii="Book Antiqua" w:hAnsi="Book Antiqua" w:cs="Book Antiqua"/>
          <w:sz w:val="24"/>
        </w:rPr>
        <w:t xml:space="preserve">or mild </w:t>
      </w:r>
      <w:r w:rsidRPr="000643FE">
        <w:rPr>
          <w:rFonts w:ascii="Book Antiqua" w:hAnsi="Book Antiqua" w:cs="Book Antiqua"/>
          <w:sz w:val="24"/>
        </w:rPr>
        <w:t xml:space="preserve">symptoms), </w:t>
      </w:r>
      <w:r w:rsidR="00317DC4" w:rsidRPr="000643FE">
        <w:rPr>
          <w:rFonts w:ascii="Book Antiqua" w:hAnsi="Book Antiqua" w:cs="Book Antiqua"/>
          <w:sz w:val="24"/>
        </w:rPr>
        <w:t xml:space="preserve">three </w:t>
      </w:r>
      <w:r w:rsidRPr="000643FE">
        <w:rPr>
          <w:rFonts w:ascii="Book Antiqua" w:hAnsi="Book Antiqua" w:cs="Book Antiqua"/>
          <w:sz w:val="24"/>
        </w:rPr>
        <w:t>cases of severe liver injury (ALT</w:t>
      </w:r>
      <w:r w:rsidR="00F93349" w:rsidRPr="000643FE">
        <w:rPr>
          <w:rFonts w:ascii="Book Antiqua" w:hAnsi="Book Antiqua" w:cs="Book Antiqua"/>
          <w:sz w:val="24"/>
        </w:rPr>
        <w:t xml:space="preserve"> </w:t>
      </w:r>
      <w:r w:rsidRPr="000643FE">
        <w:rPr>
          <w:rFonts w:ascii="Book Antiqua" w:hAnsi="Book Antiqua" w:cs="Book Antiqua"/>
          <w:sz w:val="24"/>
        </w:rPr>
        <w:t>≥</w:t>
      </w:r>
      <w:r w:rsidR="00F93349" w:rsidRPr="000643FE">
        <w:rPr>
          <w:rFonts w:ascii="Book Antiqua" w:hAnsi="Book Antiqua" w:cs="Book Antiqua"/>
          <w:sz w:val="24"/>
        </w:rPr>
        <w:t xml:space="preserve"> </w:t>
      </w:r>
      <w:r w:rsidRPr="000643FE">
        <w:rPr>
          <w:rFonts w:ascii="Book Antiqua" w:hAnsi="Book Antiqua" w:cs="Book Antiqua"/>
          <w:sz w:val="24"/>
        </w:rPr>
        <w:t>10</w:t>
      </w:r>
      <w:r w:rsidR="00F93349" w:rsidRPr="000643FE">
        <w:rPr>
          <w:rFonts w:ascii="Book Antiqua" w:hAnsi="Book Antiqua" w:cs="Book Antiqua"/>
          <w:sz w:val="24"/>
        </w:rPr>
        <w:t xml:space="preserve"> </w:t>
      </w:r>
      <w:r w:rsidRPr="000643FE">
        <w:rPr>
          <w:rFonts w:ascii="Book Antiqua" w:hAnsi="Book Antiqua" w:cs="Book Antiqua"/>
          <w:sz w:val="24"/>
        </w:rPr>
        <w:t>×</w:t>
      </w:r>
      <w:r w:rsidR="00F93349" w:rsidRPr="000643FE">
        <w:rPr>
          <w:rFonts w:ascii="Book Antiqua" w:hAnsi="Book Antiqua" w:cs="Book Antiqua"/>
          <w:sz w:val="24"/>
        </w:rPr>
        <w:t xml:space="preserve"> </w:t>
      </w:r>
      <w:r w:rsidRPr="000643FE">
        <w:rPr>
          <w:rFonts w:ascii="Book Antiqua" w:hAnsi="Book Antiqua" w:cs="Book Antiqua"/>
          <w:sz w:val="24"/>
        </w:rPr>
        <w:t>ULN, 5</w:t>
      </w:r>
      <w:r w:rsidR="00F93349" w:rsidRPr="000643FE">
        <w:rPr>
          <w:rFonts w:ascii="Book Antiqua" w:hAnsi="Book Antiqua" w:cs="Book Antiqua"/>
          <w:sz w:val="24"/>
        </w:rPr>
        <w:t xml:space="preserve"> </w:t>
      </w:r>
      <w:r w:rsidRPr="000643FE">
        <w:rPr>
          <w:rFonts w:ascii="Book Antiqua" w:hAnsi="Book Antiqua" w:cs="Book Antiqua"/>
          <w:sz w:val="24"/>
        </w:rPr>
        <w:t>×</w:t>
      </w:r>
      <w:r w:rsidR="00F93349" w:rsidRPr="000643FE">
        <w:rPr>
          <w:rFonts w:ascii="Book Antiqua" w:hAnsi="Book Antiqua" w:cs="Book Antiqua"/>
          <w:sz w:val="24"/>
        </w:rPr>
        <w:t xml:space="preserve"> </w:t>
      </w:r>
      <w:r w:rsidRPr="000643FE">
        <w:rPr>
          <w:rFonts w:ascii="Book Antiqua" w:hAnsi="Book Antiqua" w:cs="Book Antiqua"/>
          <w:sz w:val="24"/>
        </w:rPr>
        <w:t>ULN</w:t>
      </w:r>
      <w:r w:rsidR="00F93349" w:rsidRPr="000643FE">
        <w:rPr>
          <w:rFonts w:ascii="Book Antiqua" w:hAnsi="Book Antiqua" w:cs="Book Antiqua"/>
          <w:sz w:val="24"/>
        </w:rPr>
        <w:t xml:space="preserve"> </w:t>
      </w:r>
      <w:r w:rsidRPr="000643FE">
        <w:rPr>
          <w:rFonts w:ascii="Book Antiqua" w:hAnsi="Book Antiqua" w:cs="Book Antiqua"/>
          <w:sz w:val="24"/>
        </w:rPr>
        <w:t>&lt;</w:t>
      </w:r>
      <w:r w:rsidR="00F93349" w:rsidRPr="000643FE">
        <w:rPr>
          <w:rFonts w:ascii="Book Antiqua" w:hAnsi="Book Antiqua" w:cs="Book Antiqua"/>
          <w:sz w:val="24"/>
        </w:rPr>
        <w:t xml:space="preserve"> </w:t>
      </w:r>
      <w:r w:rsidRPr="000643FE">
        <w:rPr>
          <w:rFonts w:ascii="Book Antiqua" w:hAnsi="Book Antiqua" w:cs="Book Antiqua"/>
          <w:sz w:val="24"/>
        </w:rPr>
        <w:t>total bilirubin</w:t>
      </w:r>
      <w:r w:rsidR="00F93349" w:rsidRPr="000643FE">
        <w:rPr>
          <w:rFonts w:ascii="Book Antiqua" w:hAnsi="Book Antiqua" w:cs="Book Antiqua"/>
          <w:sz w:val="24"/>
        </w:rPr>
        <w:t xml:space="preserve"> </w:t>
      </w:r>
      <w:r w:rsidRPr="000643FE">
        <w:rPr>
          <w:rFonts w:ascii="Book Antiqua" w:hAnsi="Book Antiqua" w:cs="Book Antiqua"/>
          <w:sz w:val="24"/>
        </w:rPr>
        <w:t>≤</w:t>
      </w:r>
      <w:r w:rsidR="00F93349" w:rsidRPr="000643FE">
        <w:rPr>
          <w:rFonts w:ascii="Book Antiqua" w:hAnsi="Book Antiqua" w:cs="Book Antiqua"/>
          <w:sz w:val="24"/>
        </w:rPr>
        <w:t xml:space="preserve"> </w:t>
      </w:r>
      <w:r w:rsidRPr="000643FE">
        <w:rPr>
          <w:rFonts w:ascii="Book Antiqua" w:hAnsi="Book Antiqua" w:cs="Book Antiqua"/>
          <w:sz w:val="24"/>
        </w:rPr>
        <w:t>10</w:t>
      </w:r>
      <w:r w:rsidR="00F93349" w:rsidRPr="000643FE">
        <w:rPr>
          <w:rFonts w:ascii="Book Antiqua" w:hAnsi="Book Antiqua" w:cs="Book Antiqua"/>
          <w:sz w:val="24"/>
        </w:rPr>
        <w:t xml:space="preserve"> </w:t>
      </w:r>
      <w:r w:rsidRPr="000643FE">
        <w:rPr>
          <w:rFonts w:ascii="Book Antiqua" w:hAnsi="Book Antiqua" w:cs="Book Antiqua"/>
          <w:sz w:val="24"/>
        </w:rPr>
        <w:t>×</w:t>
      </w:r>
      <w:r w:rsidR="00F93349" w:rsidRPr="000643FE">
        <w:rPr>
          <w:rFonts w:ascii="Book Antiqua" w:hAnsi="Book Antiqua" w:cs="Book Antiqua"/>
          <w:sz w:val="24"/>
        </w:rPr>
        <w:t xml:space="preserve"> </w:t>
      </w:r>
      <w:r w:rsidRPr="000643FE">
        <w:rPr>
          <w:rFonts w:ascii="Book Antiqua" w:hAnsi="Book Antiqua" w:cs="Book Antiqua"/>
          <w:sz w:val="24"/>
        </w:rPr>
        <w:t xml:space="preserve">ULN, with severe symptoms and typical signs in physical examination), and </w:t>
      </w:r>
      <w:r w:rsidR="00317DC4" w:rsidRPr="000643FE">
        <w:rPr>
          <w:rFonts w:ascii="Book Antiqua" w:hAnsi="Book Antiqua" w:cs="Book Antiqua"/>
          <w:sz w:val="24"/>
        </w:rPr>
        <w:t xml:space="preserve">nine </w:t>
      </w:r>
      <w:r w:rsidRPr="000643FE">
        <w:rPr>
          <w:rFonts w:ascii="Book Antiqua" w:hAnsi="Book Antiqua" w:cs="Book Antiqua"/>
          <w:sz w:val="24"/>
        </w:rPr>
        <w:t xml:space="preserve">cases that could not be clearly classified. No liver failure cases were reported on this website, and no more information was provided regarding these </w:t>
      </w:r>
      <w:proofErr w:type="gramStart"/>
      <w:r w:rsidRPr="000643FE">
        <w:rPr>
          <w:rFonts w:ascii="Book Antiqua" w:hAnsi="Book Antiqua" w:cs="Book Antiqua"/>
          <w:sz w:val="24"/>
        </w:rPr>
        <w:t>patients</w:t>
      </w:r>
      <w:r w:rsidRPr="000643FE">
        <w:rPr>
          <w:rFonts w:ascii="Book Antiqua" w:hAnsi="Book Antiqua" w:cs="Book Antiqua"/>
          <w:sz w:val="24"/>
          <w:vertAlign w:val="superscript"/>
        </w:rPr>
        <w:t>[</w:t>
      </w:r>
      <w:proofErr w:type="gramEnd"/>
      <w:r w:rsidRPr="000643FE">
        <w:rPr>
          <w:rFonts w:ascii="Book Antiqua" w:hAnsi="Book Antiqua" w:cs="Book Antiqua"/>
          <w:sz w:val="24"/>
          <w:vertAlign w:val="superscript"/>
        </w:rPr>
        <w:t>7]</w:t>
      </w:r>
      <w:r w:rsidRPr="000643FE">
        <w:rPr>
          <w:rFonts w:ascii="Book Antiqua" w:hAnsi="Book Antiqua" w:cs="Book Antiqua"/>
          <w:sz w:val="24"/>
        </w:rPr>
        <w:t>. To date, the case presented here is the first report of liver failure related to benzbromarone in China.</w:t>
      </w:r>
    </w:p>
    <w:p w14:paraId="429B1BDB" w14:textId="77777777" w:rsidR="001F4CE6" w:rsidRPr="000643FE" w:rsidRDefault="004C44A9" w:rsidP="00F93349">
      <w:pPr>
        <w:spacing w:line="360" w:lineRule="auto"/>
        <w:ind w:firstLineChars="100" w:firstLine="240"/>
        <w:rPr>
          <w:rFonts w:ascii="Book Antiqua" w:hAnsi="Book Antiqua" w:cs="Book Antiqua"/>
          <w:sz w:val="24"/>
        </w:rPr>
      </w:pPr>
      <w:r w:rsidRPr="000643FE">
        <w:rPr>
          <w:rFonts w:ascii="Book Antiqua" w:hAnsi="Book Antiqua" w:cs="Book Antiqua"/>
          <w:sz w:val="24"/>
        </w:rPr>
        <w:t xml:space="preserve">Treatment in our case was successful. </w:t>
      </w:r>
      <w:r w:rsidR="00317DC4" w:rsidRPr="000643FE">
        <w:rPr>
          <w:rFonts w:ascii="Book Antiqua" w:hAnsi="Book Antiqua" w:cs="Book Antiqua"/>
          <w:sz w:val="24"/>
        </w:rPr>
        <w:t>Based on</w:t>
      </w:r>
      <w:r w:rsidRPr="000643FE">
        <w:rPr>
          <w:rFonts w:ascii="Book Antiqua" w:hAnsi="Book Antiqua" w:cs="Book Antiqua"/>
          <w:sz w:val="24"/>
        </w:rPr>
        <w:t xml:space="preserve"> suggestions from multidisciplinary consultation, the patient accepted the best supportive treatment</w:t>
      </w:r>
      <w:r w:rsidR="00317DC4" w:rsidRPr="000643FE">
        <w:rPr>
          <w:rFonts w:ascii="Book Antiqua" w:hAnsi="Book Antiqua" w:cs="Book Antiqua"/>
          <w:sz w:val="24"/>
        </w:rPr>
        <w:t>,</w:t>
      </w:r>
      <w:r w:rsidRPr="000643FE">
        <w:rPr>
          <w:rFonts w:ascii="Book Antiqua" w:hAnsi="Book Antiqua" w:cs="Book Antiqua"/>
          <w:sz w:val="24"/>
        </w:rPr>
        <w:t xml:space="preserve"> PE as bridge treatment</w:t>
      </w:r>
      <w:r w:rsidR="00317DC4" w:rsidRPr="000643FE">
        <w:rPr>
          <w:rFonts w:ascii="Book Antiqua" w:hAnsi="Book Antiqua" w:cs="Book Antiqua"/>
          <w:sz w:val="24"/>
        </w:rPr>
        <w:t>,</w:t>
      </w:r>
      <w:r w:rsidRPr="000643FE">
        <w:rPr>
          <w:rFonts w:ascii="Book Antiqua" w:hAnsi="Book Antiqua" w:cs="Book Antiqua"/>
          <w:sz w:val="24"/>
        </w:rPr>
        <w:t xml:space="preserve"> and liver transplantation, and the follow-up results were good. Our initial diagnosis was confirmed by pathological results of liver tissue sections. The limitation of this research was that we did not assess the activity of CYP isozymes, which might be related to benzbromarone-induced liver toxicity, as these tests were not available in our hospital. </w:t>
      </w:r>
    </w:p>
    <w:p w14:paraId="53888257" w14:textId="77777777" w:rsidR="001F4CE6" w:rsidRPr="000643FE" w:rsidRDefault="004C44A9" w:rsidP="00F93349">
      <w:pPr>
        <w:spacing w:line="360" w:lineRule="auto"/>
        <w:ind w:firstLineChars="100" w:firstLine="240"/>
        <w:rPr>
          <w:rFonts w:ascii="Book Antiqua" w:hAnsi="Book Antiqua" w:cs="Book Antiqua"/>
          <w:sz w:val="24"/>
        </w:rPr>
      </w:pPr>
      <w:r w:rsidRPr="000643FE">
        <w:rPr>
          <w:rFonts w:ascii="Book Antiqua" w:hAnsi="Book Antiqua" w:cs="Book Antiqua"/>
          <w:sz w:val="24"/>
        </w:rPr>
        <w:t xml:space="preserve">Among all reported cases, </w:t>
      </w:r>
      <w:r w:rsidR="00317DC4" w:rsidRPr="000643FE">
        <w:rPr>
          <w:rFonts w:ascii="Book Antiqua" w:hAnsi="Book Antiqua" w:cs="Book Antiqua"/>
          <w:sz w:val="24"/>
        </w:rPr>
        <w:t xml:space="preserve">four </w:t>
      </w:r>
      <w:r w:rsidRPr="000643FE">
        <w:rPr>
          <w:rFonts w:ascii="Book Antiqua" w:hAnsi="Book Antiqua" w:cs="Book Antiqua"/>
          <w:sz w:val="24"/>
        </w:rPr>
        <w:t>patients have died</w:t>
      </w:r>
      <w:r w:rsidR="00317DC4" w:rsidRPr="000643FE">
        <w:rPr>
          <w:rFonts w:ascii="Book Antiqua" w:hAnsi="Book Antiqua" w:cs="Book Antiqua"/>
          <w:sz w:val="24"/>
        </w:rPr>
        <w:t xml:space="preserve">, three </w:t>
      </w:r>
      <w:r w:rsidRPr="000643FE">
        <w:rPr>
          <w:rFonts w:ascii="Book Antiqua" w:hAnsi="Book Antiqua" w:cs="Book Antiqua"/>
          <w:sz w:val="24"/>
        </w:rPr>
        <w:t xml:space="preserve">patients recovered after </w:t>
      </w:r>
      <w:r w:rsidR="00F93349" w:rsidRPr="000643FE">
        <w:rPr>
          <w:rFonts w:ascii="Book Antiqua" w:hAnsi="Book Antiqua" w:cs="Book Antiqua"/>
          <w:sz w:val="24"/>
        </w:rPr>
        <w:t>PE</w:t>
      </w:r>
      <w:r w:rsidRPr="000643FE">
        <w:rPr>
          <w:rFonts w:ascii="Book Antiqua" w:hAnsi="Book Antiqua" w:cs="Book Antiqua"/>
          <w:sz w:val="24"/>
        </w:rPr>
        <w:t>, hemodiafiltration, prednisolone</w:t>
      </w:r>
      <w:r w:rsidR="00317DC4" w:rsidRPr="000643FE">
        <w:rPr>
          <w:rFonts w:ascii="Book Antiqua" w:hAnsi="Book Antiqua" w:cs="Book Antiqua"/>
          <w:sz w:val="24"/>
        </w:rPr>
        <w:t>,</w:t>
      </w:r>
      <w:r w:rsidRPr="000643FE">
        <w:rPr>
          <w:rFonts w:ascii="Book Antiqua" w:hAnsi="Book Antiqua" w:cs="Book Antiqua"/>
          <w:sz w:val="24"/>
        </w:rPr>
        <w:t xml:space="preserve"> or liver transplantation</w:t>
      </w:r>
      <w:r w:rsidR="00317DC4" w:rsidRPr="000643FE">
        <w:rPr>
          <w:rFonts w:ascii="Book Antiqua" w:hAnsi="Book Antiqua" w:cs="Book Antiqua"/>
          <w:sz w:val="24"/>
        </w:rPr>
        <w:t>,</w:t>
      </w:r>
      <w:r w:rsidRPr="000643FE">
        <w:rPr>
          <w:rFonts w:ascii="Book Antiqua" w:hAnsi="Book Antiqua" w:cs="Book Antiqua"/>
          <w:sz w:val="24"/>
        </w:rPr>
        <w:t xml:space="preserve"> alone or </w:t>
      </w:r>
      <w:r w:rsidR="00317DC4" w:rsidRPr="000643FE">
        <w:rPr>
          <w:rFonts w:ascii="Book Antiqua" w:hAnsi="Book Antiqua" w:cs="Book Antiqua"/>
          <w:sz w:val="24"/>
        </w:rPr>
        <w:t>in combination</w:t>
      </w:r>
      <w:r w:rsidRPr="000643FE">
        <w:rPr>
          <w:rFonts w:ascii="Book Antiqua" w:hAnsi="Book Antiqua" w:cs="Book Antiqua"/>
          <w:sz w:val="24"/>
        </w:rPr>
        <w:t>, and</w:t>
      </w:r>
      <w:r w:rsidR="00317DC4" w:rsidRPr="000643FE">
        <w:rPr>
          <w:rFonts w:ascii="Book Antiqua" w:hAnsi="Book Antiqua" w:cs="Book Antiqua"/>
          <w:sz w:val="24"/>
        </w:rPr>
        <w:t xml:space="preserve"> two</w:t>
      </w:r>
      <w:r w:rsidRPr="000643FE">
        <w:rPr>
          <w:rFonts w:ascii="Book Antiqua" w:hAnsi="Book Antiqua" w:cs="Book Antiqua"/>
          <w:sz w:val="24"/>
        </w:rPr>
        <w:t xml:space="preserve"> patients took benzbromarone for less than 1 </w:t>
      </w:r>
      <w:proofErr w:type="spellStart"/>
      <w:r w:rsidRPr="000643FE">
        <w:rPr>
          <w:rFonts w:ascii="Book Antiqua" w:hAnsi="Book Antiqua" w:cs="Book Antiqua"/>
          <w:sz w:val="24"/>
        </w:rPr>
        <w:t>mo</w:t>
      </w:r>
      <w:proofErr w:type="spellEnd"/>
      <w:r w:rsidRPr="000643FE">
        <w:rPr>
          <w:rFonts w:ascii="Book Antiqua" w:hAnsi="Book Antiqua" w:cs="Book Antiqua"/>
          <w:sz w:val="24"/>
        </w:rPr>
        <w:t xml:space="preserve"> and recovered </w:t>
      </w:r>
      <w:r w:rsidR="00317DC4" w:rsidRPr="000643FE">
        <w:rPr>
          <w:rFonts w:ascii="Book Antiqua" w:hAnsi="Book Antiqua" w:cs="Book Antiqua"/>
          <w:sz w:val="24"/>
        </w:rPr>
        <w:t xml:space="preserve">after </w:t>
      </w:r>
      <w:r w:rsidRPr="000643FE">
        <w:rPr>
          <w:rFonts w:ascii="Book Antiqua" w:hAnsi="Book Antiqua" w:cs="Book Antiqua"/>
          <w:sz w:val="24"/>
        </w:rPr>
        <w:t xml:space="preserve">conservative treatment or methylprednisolone therapy. Although benzbromarone hepatotoxicity varied in severity, a high proportion of patients developed acute liver failure, leading to death or emergency liver transplantation. Therefore, medical professionals should exert caution before prescribing this drug, and the risk of hepatotoxicity should be carefully assessed individually, as </w:t>
      </w:r>
      <w:r w:rsidR="002C5288" w:rsidRPr="000643FE">
        <w:rPr>
          <w:rFonts w:ascii="Book Antiqua" w:hAnsi="Book Antiqua" w:cs="Book Antiqua"/>
          <w:sz w:val="24"/>
        </w:rPr>
        <w:t xml:space="preserve">seven </w:t>
      </w:r>
      <w:r w:rsidRPr="000643FE">
        <w:rPr>
          <w:rFonts w:ascii="Book Antiqua" w:hAnsi="Book Antiqua" w:cs="Book Antiqua"/>
          <w:sz w:val="24"/>
        </w:rPr>
        <w:t xml:space="preserve">among </w:t>
      </w:r>
      <w:r w:rsidR="002C5288" w:rsidRPr="000643FE">
        <w:rPr>
          <w:rFonts w:ascii="Book Antiqua" w:hAnsi="Book Antiqua" w:cs="Book Antiqua"/>
          <w:sz w:val="24"/>
        </w:rPr>
        <w:t xml:space="preserve">nine </w:t>
      </w:r>
      <w:r w:rsidRPr="000643FE">
        <w:rPr>
          <w:rFonts w:ascii="Book Antiqua" w:hAnsi="Book Antiqua" w:cs="Book Antiqua"/>
          <w:sz w:val="24"/>
        </w:rPr>
        <w:t xml:space="preserve">reported patients used other drugs or alcohol when taking benzbromarone, which may aggravate damage to the liver. </w:t>
      </w:r>
    </w:p>
    <w:p w14:paraId="36FD1F05" w14:textId="77777777" w:rsidR="001F4CE6" w:rsidRPr="000643FE" w:rsidRDefault="001F4CE6" w:rsidP="000368F9">
      <w:pPr>
        <w:tabs>
          <w:tab w:val="left" w:pos="5534"/>
        </w:tabs>
        <w:spacing w:line="360" w:lineRule="auto"/>
        <w:rPr>
          <w:rFonts w:ascii="Book Antiqua" w:hAnsi="Book Antiqua" w:cs="Book Antiqua"/>
          <w:b/>
          <w:i/>
          <w:sz w:val="24"/>
        </w:rPr>
      </w:pPr>
    </w:p>
    <w:p w14:paraId="279BCD5F" w14:textId="77777777" w:rsidR="001F4CE6" w:rsidRPr="000643FE" w:rsidRDefault="004C44A9" w:rsidP="000368F9">
      <w:pPr>
        <w:tabs>
          <w:tab w:val="left" w:pos="5534"/>
        </w:tabs>
        <w:spacing w:line="360" w:lineRule="auto"/>
        <w:rPr>
          <w:rFonts w:ascii="Book Antiqua" w:hAnsi="Book Antiqua" w:cs="Book Antiqua"/>
          <w:b/>
          <w:i/>
          <w:sz w:val="24"/>
        </w:rPr>
      </w:pPr>
      <w:r w:rsidRPr="000643FE">
        <w:rPr>
          <w:rFonts w:ascii="Book Antiqua" w:hAnsi="Book Antiqua" w:cs="Book Antiqua"/>
          <w:b/>
          <w:i/>
          <w:sz w:val="24"/>
        </w:rPr>
        <w:t>Benefits and risks of benzbromarone treatment for gout</w:t>
      </w:r>
    </w:p>
    <w:p w14:paraId="1F228517"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Although benzbromarone has been withdrawn in Europe due to serious hepatotoxicity, there is still a debate regarding whether this is in the best interests of gout patients. In 2008, Lee</w:t>
      </w:r>
      <w:r w:rsidRPr="000643FE">
        <w:rPr>
          <w:rFonts w:ascii="Book Antiqua" w:hAnsi="Book Antiqua" w:cs="Book Antiqua"/>
          <w:i/>
          <w:sz w:val="24"/>
        </w:rPr>
        <w:t xml:space="preserve"> et </w:t>
      </w:r>
      <w:proofErr w:type="gramStart"/>
      <w:r w:rsidRPr="000643FE">
        <w:rPr>
          <w:rFonts w:ascii="Book Antiqua" w:hAnsi="Book Antiqua" w:cs="Book Antiqua"/>
          <w:i/>
          <w:sz w:val="24"/>
        </w:rPr>
        <w:t>al</w:t>
      </w:r>
      <w:r w:rsidR="00F93349" w:rsidRPr="000643FE">
        <w:rPr>
          <w:rFonts w:ascii="Book Antiqua" w:hAnsi="Book Antiqua" w:cs="Book Antiqua"/>
          <w:sz w:val="24"/>
          <w:vertAlign w:val="superscript"/>
        </w:rPr>
        <w:t>[</w:t>
      </w:r>
      <w:proofErr w:type="gramEnd"/>
      <w:r w:rsidR="00F93349" w:rsidRPr="000643FE">
        <w:rPr>
          <w:rFonts w:ascii="Book Antiqua" w:hAnsi="Book Antiqua" w:cs="Book Antiqua"/>
          <w:sz w:val="24"/>
          <w:vertAlign w:val="superscript"/>
        </w:rPr>
        <w:t>25]</w:t>
      </w:r>
      <w:r w:rsidRPr="000643FE">
        <w:rPr>
          <w:rFonts w:ascii="Book Antiqua" w:hAnsi="Book Antiqua" w:cs="Book Antiqua"/>
          <w:sz w:val="24"/>
        </w:rPr>
        <w:t xml:space="preserve"> presented a benefit-risk assessment of benzbromarone. These authors examined the clinical benefits associated with benzbromarone treatment and compared these benefits with alternative therapies, such as allopurinol and probenecid; they also examined the degree to which the reported cases of hepatotoxicity can be attributed to treatment with benzbromarone and calculated the incidence of benzbromarone hepatotoxicity in Europe (approximately 1/17000 patients). Based on this benefit-risk assessment, the authors recommended the use of benzbromarone for gout and suggested that the risks of hepatotoxicity could be ameliorated by employing a graded dosage increase and regular monitoring of liver function. CYP2C9 status determination and the consideration of potential impacts of inhibition of this enzyme should also be </w:t>
      </w:r>
      <w:proofErr w:type="gramStart"/>
      <w:r w:rsidRPr="000643FE">
        <w:rPr>
          <w:rFonts w:ascii="Book Antiqua" w:hAnsi="Book Antiqua" w:cs="Book Antiqua"/>
          <w:sz w:val="24"/>
        </w:rPr>
        <w:t>considered</w:t>
      </w:r>
      <w:r w:rsidRPr="000643FE">
        <w:rPr>
          <w:rFonts w:ascii="Book Antiqua" w:hAnsi="Book Antiqua" w:cs="Book Antiqua"/>
          <w:sz w:val="24"/>
          <w:vertAlign w:val="superscript"/>
        </w:rPr>
        <w:t>[</w:t>
      </w:r>
      <w:proofErr w:type="gramEnd"/>
      <w:r w:rsidRPr="000643FE">
        <w:rPr>
          <w:rFonts w:ascii="Book Antiqua" w:hAnsi="Book Antiqua" w:cs="Book Antiqua"/>
          <w:sz w:val="24"/>
          <w:vertAlign w:val="superscript"/>
        </w:rPr>
        <w:t>25]</w:t>
      </w:r>
      <w:r w:rsidRPr="000643FE">
        <w:rPr>
          <w:rFonts w:ascii="Book Antiqua" w:hAnsi="Book Antiqua" w:cs="Book Antiqua"/>
          <w:sz w:val="24"/>
        </w:rPr>
        <w:t>.</w:t>
      </w:r>
    </w:p>
    <w:p w14:paraId="0A587317" w14:textId="77777777" w:rsidR="001F4CE6" w:rsidRPr="000643FE" w:rsidRDefault="004C44A9" w:rsidP="00F93349">
      <w:pPr>
        <w:spacing w:line="360" w:lineRule="auto"/>
        <w:ind w:firstLineChars="100" w:firstLine="240"/>
        <w:rPr>
          <w:rFonts w:ascii="Book Antiqua" w:hAnsi="Book Antiqua" w:cs="Book Antiqua"/>
          <w:sz w:val="24"/>
          <w:vertAlign w:val="superscript"/>
        </w:rPr>
      </w:pPr>
      <w:r w:rsidRPr="000643FE">
        <w:rPr>
          <w:rFonts w:ascii="Book Antiqua" w:hAnsi="Book Antiqua" w:cs="Book Antiqua"/>
          <w:sz w:val="24"/>
        </w:rPr>
        <w:t>In 2015, the China Food and Drug Administration (CFDA) also performed a benefit-risk assessment of benzbromarone and suggested that the drug has greater benefits than risks in the treatment of gout or hyperuricemia. To prevent hepatotoxicity, the CFDA recommends the following</w:t>
      </w:r>
      <w:r w:rsidR="00F93349" w:rsidRPr="000643FE">
        <w:rPr>
          <w:rFonts w:ascii="Book Antiqua" w:hAnsi="Book Antiqua" w:cs="Book Antiqua"/>
          <w:sz w:val="24"/>
        </w:rPr>
        <w:t>:</w:t>
      </w:r>
      <w:r w:rsidRPr="000643FE">
        <w:rPr>
          <w:rFonts w:ascii="Book Antiqua" w:hAnsi="Book Antiqua" w:cs="Book Antiqua"/>
          <w:sz w:val="24"/>
        </w:rPr>
        <w:t xml:space="preserve"> (</w:t>
      </w:r>
      <w:r w:rsidR="00F93349" w:rsidRPr="000643FE">
        <w:rPr>
          <w:rFonts w:ascii="Book Antiqua" w:hAnsi="Book Antiqua" w:cs="Book Antiqua"/>
          <w:sz w:val="24"/>
        </w:rPr>
        <w:t>1</w:t>
      </w:r>
      <w:r w:rsidRPr="000643FE">
        <w:rPr>
          <w:rFonts w:ascii="Book Antiqua" w:hAnsi="Book Antiqua" w:cs="Book Antiqua"/>
          <w:sz w:val="24"/>
        </w:rPr>
        <w:t>) Benzbromarone treatment should start at a low dose, and during treatment, liver function should be tested regularly; combination with other hepatotoxicity drugs should be avoided</w:t>
      </w:r>
      <w:r w:rsidR="00F93349" w:rsidRPr="000643FE">
        <w:rPr>
          <w:rFonts w:ascii="Book Antiqua" w:hAnsi="Book Antiqua" w:cs="Book Antiqua"/>
          <w:sz w:val="24"/>
        </w:rPr>
        <w:t>;</w:t>
      </w:r>
      <w:r w:rsidRPr="000643FE">
        <w:rPr>
          <w:rFonts w:ascii="Book Antiqua" w:hAnsi="Book Antiqua" w:cs="Book Antiqua"/>
          <w:sz w:val="24"/>
        </w:rPr>
        <w:t xml:space="preserve"> (</w:t>
      </w:r>
      <w:r w:rsidR="00F93349" w:rsidRPr="000643FE">
        <w:rPr>
          <w:rFonts w:ascii="Book Antiqua" w:hAnsi="Book Antiqua" w:cs="Book Antiqua"/>
          <w:sz w:val="24"/>
        </w:rPr>
        <w:t>2</w:t>
      </w:r>
      <w:r w:rsidRPr="000643FE">
        <w:rPr>
          <w:rFonts w:ascii="Book Antiqua" w:hAnsi="Book Antiqua" w:cs="Book Antiqua"/>
          <w:sz w:val="24"/>
        </w:rPr>
        <w:t xml:space="preserve">) </w:t>
      </w:r>
      <w:r w:rsidR="002C5288" w:rsidRPr="000643FE">
        <w:rPr>
          <w:rFonts w:ascii="Book Antiqua" w:hAnsi="Book Antiqua" w:cs="Book Antiqua"/>
          <w:sz w:val="24"/>
        </w:rPr>
        <w:t xml:space="preserve">attention </w:t>
      </w:r>
      <w:r w:rsidRPr="000643FE">
        <w:rPr>
          <w:rFonts w:ascii="Book Antiqua" w:hAnsi="Book Antiqua" w:cs="Book Antiqua"/>
          <w:sz w:val="24"/>
        </w:rPr>
        <w:t>should be paid to the signs of liver injury, such as loss of appetite, nausea, vomiting, diarrhea, and jaundice; once these signs occur, medical advice should be provided in a timely manner</w:t>
      </w:r>
      <w:r w:rsidR="00F93349" w:rsidRPr="000643FE">
        <w:rPr>
          <w:rFonts w:ascii="Book Antiqua" w:hAnsi="Book Antiqua" w:cs="Book Antiqua"/>
          <w:sz w:val="24"/>
        </w:rPr>
        <w:t>; and</w:t>
      </w:r>
      <w:r w:rsidRPr="000643FE">
        <w:rPr>
          <w:rFonts w:ascii="Book Antiqua" w:hAnsi="Book Antiqua" w:cs="Book Antiqua"/>
          <w:sz w:val="24"/>
        </w:rPr>
        <w:t xml:space="preserve"> (</w:t>
      </w:r>
      <w:r w:rsidR="00F93349" w:rsidRPr="000643FE">
        <w:rPr>
          <w:rFonts w:ascii="Book Antiqua" w:hAnsi="Book Antiqua" w:cs="Book Antiqua"/>
          <w:sz w:val="24"/>
        </w:rPr>
        <w:t>3</w:t>
      </w:r>
      <w:r w:rsidRPr="000643FE">
        <w:rPr>
          <w:rFonts w:ascii="Book Antiqua" w:hAnsi="Book Antiqua" w:cs="Book Antiqua"/>
          <w:sz w:val="24"/>
        </w:rPr>
        <w:t xml:space="preserve">) </w:t>
      </w:r>
      <w:r w:rsidR="002C5288" w:rsidRPr="000643FE">
        <w:rPr>
          <w:rFonts w:ascii="Book Antiqua" w:hAnsi="Book Antiqua" w:cs="Book Antiqua"/>
          <w:sz w:val="24"/>
        </w:rPr>
        <w:t xml:space="preserve">drug </w:t>
      </w:r>
      <w:r w:rsidRPr="000643FE">
        <w:rPr>
          <w:rFonts w:ascii="Book Antiqua" w:hAnsi="Book Antiqua" w:cs="Book Antiqua"/>
          <w:sz w:val="24"/>
        </w:rPr>
        <w:t>manufacturers should strengthen ADR monitoring to ensure that product safety information is provided to the public, especially to doctors and patients</w:t>
      </w:r>
      <w:r w:rsidRPr="000643FE">
        <w:rPr>
          <w:rFonts w:ascii="Book Antiqua" w:hAnsi="Book Antiqua" w:cs="Book Antiqua"/>
          <w:sz w:val="24"/>
          <w:vertAlign w:val="superscript"/>
        </w:rPr>
        <w:t>[7]</w:t>
      </w:r>
      <w:r w:rsidRPr="000643FE">
        <w:rPr>
          <w:rFonts w:ascii="Book Antiqua" w:hAnsi="Book Antiqua" w:cs="Book Antiqua"/>
          <w:sz w:val="24"/>
        </w:rPr>
        <w:t xml:space="preserve">. </w:t>
      </w:r>
    </w:p>
    <w:p w14:paraId="7E43E183" w14:textId="77777777" w:rsidR="001F4CE6" w:rsidRPr="000643FE" w:rsidRDefault="001F4CE6" w:rsidP="000368F9">
      <w:pPr>
        <w:spacing w:line="360" w:lineRule="auto"/>
        <w:rPr>
          <w:rFonts w:ascii="Book Antiqua" w:hAnsi="Book Antiqua" w:cs="Book Antiqua"/>
          <w:sz w:val="24"/>
          <w:vertAlign w:val="superscript"/>
        </w:rPr>
      </w:pPr>
    </w:p>
    <w:p w14:paraId="0D2F6C95" w14:textId="77777777" w:rsidR="001F4CE6" w:rsidRPr="000643FE" w:rsidRDefault="004C44A9" w:rsidP="000368F9">
      <w:pPr>
        <w:spacing w:line="360" w:lineRule="auto"/>
        <w:rPr>
          <w:rFonts w:ascii="Book Antiqua" w:hAnsi="Book Antiqua" w:cs="Book Antiqua"/>
          <w:b/>
          <w:bCs/>
          <w:sz w:val="24"/>
        </w:rPr>
      </w:pPr>
      <w:r w:rsidRPr="000643FE">
        <w:rPr>
          <w:rFonts w:ascii="Book Antiqua" w:hAnsi="Book Antiqua" w:cs="Book Antiqua"/>
          <w:b/>
          <w:bCs/>
          <w:sz w:val="24"/>
        </w:rPr>
        <w:t>CONCLUSION</w:t>
      </w:r>
    </w:p>
    <w:p w14:paraId="6F654BB2"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 xml:space="preserve">In summary, benzbromarone may have benefits in the treatment of gout or hyperuricemia, which support its application. Although cases of severe hepatotoxicity are rare, they can be fatal. Here, we present a successful treatment approach for liver failure associated with benzbromarone. The experience was that the risk of hepatotoxicity should be carefully assessed individually and that </w:t>
      </w:r>
      <w:r w:rsidR="006E1D1A" w:rsidRPr="000643FE">
        <w:rPr>
          <w:rFonts w:ascii="Book Antiqua" w:hAnsi="Book Antiqua" w:cs="Book Antiqua"/>
          <w:sz w:val="24"/>
        </w:rPr>
        <w:t xml:space="preserve">hepatotoxicity of </w:t>
      </w:r>
      <w:r w:rsidR="002C5288" w:rsidRPr="000643FE">
        <w:rPr>
          <w:rFonts w:ascii="Book Antiqua" w:hAnsi="Book Antiqua" w:cs="Book Antiqua"/>
          <w:sz w:val="24"/>
        </w:rPr>
        <w:t>benzbromarone</w:t>
      </w:r>
      <w:r w:rsidR="006E1D1A" w:rsidRPr="000643FE">
        <w:rPr>
          <w:rFonts w:ascii="Book Antiqua" w:hAnsi="Book Antiqua" w:cs="Book Antiqua"/>
          <w:sz w:val="24"/>
        </w:rPr>
        <w:t xml:space="preserve"> </w:t>
      </w:r>
      <w:r w:rsidRPr="000643FE">
        <w:rPr>
          <w:rFonts w:ascii="Book Antiqua" w:hAnsi="Book Antiqua" w:cs="Book Antiqua"/>
          <w:sz w:val="24"/>
        </w:rPr>
        <w:t>should be properly monitored during treatment.</w:t>
      </w:r>
    </w:p>
    <w:p w14:paraId="1C15D504" w14:textId="77777777" w:rsidR="001F4CE6" w:rsidRPr="000643FE" w:rsidRDefault="001F4CE6" w:rsidP="000368F9">
      <w:pPr>
        <w:spacing w:line="360" w:lineRule="auto"/>
        <w:rPr>
          <w:rFonts w:ascii="Book Antiqua" w:hAnsi="Book Antiqua" w:cs="Book Antiqua"/>
          <w:sz w:val="24"/>
        </w:rPr>
      </w:pPr>
    </w:p>
    <w:p w14:paraId="0C99BCEB" w14:textId="77777777" w:rsidR="001F4CE6" w:rsidRPr="000643FE" w:rsidRDefault="00F93349" w:rsidP="000368F9">
      <w:pPr>
        <w:spacing w:line="360" w:lineRule="auto"/>
        <w:rPr>
          <w:rFonts w:ascii="Book Antiqua" w:hAnsi="Book Antiqua" w:cs="Book Antiqua"/>
          <w:b/>
          <w:sz w:val="24"/>
        </w:rPr>
      </w:pPr>
      <w:r w:rsidRPr="000643FE">
        <w:rPr>
          <w:rFonts w:ascii="Book Antiqua" w:hAnsi="Book Antiqua" w:cs="Book Antiqua"/>
          <w:b/>
          <w:sz w:val="24"/>
        </w:rPr>
        <w:t>ACKNOWLEDGEMENTS</w:t>
      </w:r>
    </w:p>
    <w:p w14:paraId="00F13B46"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sz w:val="24"/>
        </w:rPr>
        <w:t>We sincerely thank professor Mei</w:t>
      </w:r>
      <w:r w:rsidR="00F93349" w:rsidRPr="000643FE">
        <w:rPr>
          <w:rFonts w:ascii="Book Antiqua" w:hAnsi="Book Antiqua" w:cs="Book Antiqua"/>
          <w:sz w:val="24"/>
        </w:rPr>
        <w:t xml:space="preserve">-Shan </w:t>
      </w:r>
      <w:proofErr w:type="spellStart"/>
      <w:r w:rsidRPr="000643FE">
        <w:rPr>
          <w:rFonts w:ascii="Book Antiqua" w:hAnsi="Book Antiqua" w:cs="Book Antiqua"/>
          <w:sz w:val="24"/>
        </w:rPr>
        <w:t>Jin</w:t>
      </w:r>
      <w:proofErr w:type="spellEnd"/>
      <w:r w:rsidRPr="000643FE">
        <w:rPr>
          <w:rFonts w:ascii="Book Antiqua" w:hAnsi="Book Antiqua" w:cs="Book Antiqua"/>
          <w:sz w:val="24"/>
        </w:rPr>
        <w:t xml:space="preserve"> from the Department of Pathology, First Hospital of Jilin University, for kindly helping us with accurate differential diagnosis based on the liver biopsy pathology.</w:t>
      </w:r>
    </w:p>
    <w:p w14:paraId="417B8CE0" w14:textId="77777777" w:rsidR="001F4CE6" w:rsidRPr="000643FE" w:rsidRDefault="001F4CE6" w:rsidP="000368F9">
      <w:pPr>
        <w:spacing w:line="360" w:lineRule="auto"/>
        <w:rPr>
          <w:rFonts w:ascii="Book Antiqua" w:hAnsi="Book Antiqua"/>
          <w:b/>
          <w:bCs/>
          <w:sz w:val="24"/>
        </w:rPr>
      </w:pPr>
    </w:p>
    <w:p w14:paraId="3BD839CE" w14:textId="77777777" w:rsidR="00F93349" w:rsidRPr="000643FE" w:rsidRDefault="00F93349" w:rsidP="00A37EB5">
      <w:pPr>
        <w:spacing w:line="360" w:lineRule="auto"/>
        <w:rPr>
          <w:rFonts w:ascii="Book Antiqua" w:hAnsi="Book Antiqua" w:cs="Book Antiqua"/>
          <w:b/>
          <w:bCs/>
          <w:sz w:val="24"/>
        </w:rPr>
      </w:pPr>
      <w:r w:rsidRPr="000643FE">
        <w:rPr>
          <w:rFonts w:ascii="Book Antiqua" w:hAnsi="Book Antiqua" w:cs="Book Antiqua"/>
          <w:b/>
          <w:bCs/>
          <w:sz w:val="24"/>
        </w:rPr>
        <w:t>REFERENCES</w:t>
      </w:r>
    </w:p>
    <w:p w14:paraId="712E5D43"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1 </w:t>
      </w:r>
      <w:r w:rsidRPr="000643FE">
        <w:rPr>
          <w:rFonts w:ascii="Book Antiqua" w:hAnsi="Book Antiqua"/>
          <w:b/>
          <w:sz w:val="24"/>
        </w:rPr>
        <w:t>National Institutes of Health</w:t>
      </w:r>
      <w:r w:rsidRPr="000643FE">
        <w:rPr>
          <w:rFonts w:ascii="Book Antiqua" w:hAnsi="Book Antiqua"/>
          <w:sz w:val="24"/>
        </w:rPr>
        <w:t>.</w:t>
      </w:r>
      <w:r w:rsidRPr="000643FE">
        <w:rPr>
          <w:rFonts w:ascii="Book Antiqua" w:hAnsi="Book Antiqua"/>
          <w:b/>
          <w:sz w:val="24"/>
        </w:rPr>
        <w:t xml:space="preserve"> </w:t>
      </w:r>
      <w:r w:rsidRPr="000643FE">
        <w:rPr>
          <w:rFonts w:ascii="Book Antiqua" w:hAnsi="Book Antiqua"/>
          <w:sz w:val="24"/>
        </w:rPr>
        <w:t>DRUG RECORD: Benzbromarone. Available from: URL: https://livertox.nlm.nih.gov/Benzbromarone.htm</w:t>
      </w:r>
    </w:p>
    <w:p w14:paraId="1ABCD3D8"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2 </w:t>
      </w:r>
      <w:proofErr w:type="spellStart"/>
      <w:r w:rsidRPr="000643FE">
        <w:rPr>
          <w:rFonts w:ascii="Book Antiqua" w:hAnsi="Book Antiqua"/>
          <w:b/>
          <w:sz w:val="24"/>
        </w:rPr>
        <w:t>Ragab</w:t>
      </w:r>
      <w:proofErr w:type="spellEnd"/>
      <w:r w:rsidRPr="000643FE">
        <w:rPr>
          <w:rFonts w:ascii="Book Antiqua" w:hAnsi="Book Antiqua"/>
          <w:b/>
          <w:sz w:val="24"/>
        </w:rPr>
        <w:t xml:space="preserve"> G</w:t>
      </w:r>
      <w:r w:rsidRPr="000643FE">
        <w:rPr>
          <w:rFonts w:ascii="Book Antiqua" w:hAnsi="Book Antiqua"/>
          <w:sz w:val="24"/>
        </w:rPr>
        <w:t xml:space="preserve">, </w:t>
      </w:r>
      <w:proofErr w:type="spellStart"/>
      <w:r w:rsidRPr="000643FE">
        <w:rPr>
          <w:rFonts w:ascii="Book Antiqua" w:hAnsi="Book Antiqua"/>
          <w:sz w:val="24"/>
        </w:rPr>
        <w:t>Elshahaly</w:t>
      </w:r>
      <w:proofErr w:type="spellEnd"/>
      <w:r w:rsidRPr="000643FE">
        <w:rPr>
          <w:rFonts w:ascii="Book Antiqua" w:hAnsi="Book Antiqua"/>
          <w:sz w:val="24"/>
        </w:rPr>
        <w:t xml:space="preserve"> M, Bardin T. Gout: An old disease in new perspective - A review. </w:t>
      </w:r>
      <w:r w:rsidRPr="000643FE">
        <w:rPr>
          <w:rFonts w:ascii="Book Antiqua" w:hAnsi="Book Antiqua"/>
          <w:i/>
          <w:sz w:val="24"/>
        </w:rPr>
        <w:t>J Adv Res</w:t>
      </w:r>
      <w:r w:rsidRPr="000643FE">
        <w:rPr>
          <w:rFonts w:ascii="Book Antiqua" w:hAnsi="Book Antiqua"/>
          <w:sz w:val="24"/>
        </w:rPr>
        <w:t xml:space="preserve"> 2017; </w:t>
      </w:r>
      <w:r w:rsidRPr="000643FE">
        <w:rPr>
          <w:rFonts w:ascii="Book Antiqua" w:hAnsi="Book Antiqua"/>
          <w:b/>
          <w:sz w:val="24"/>
        </w:rPr>
        <w:t>8</w:t>
      </w:r>
      <w:r w:rsidRPr="000643FE">
        <w:rPr>
          <w:rFonts w:ascii="Book Antiqua" w:hAnsi="Book Antiqua"/>
          <w:sz w:val="24"/>
        </w:rPr>
        <w:t>: 495-511 [PMID: 28748116 DOI: 10.1016/j.jare.2017.04.008]</w:t>
      </w:r>
    </w:p>
    <w:p w14:paraId="5917CCB9"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3 </w:t>
      </w:r>
      <w:r w:rsidRPr="000643FE">
        <w:rPr>
          <w:rFonts w:ascii="Book Antiqua" w:hAnsi="Book Antiqua"/>
          <w:b/>
          <w:sz w:val="24"/>
        </w:rPr>
        <w:t>Yu YC</w:t>
      </w:r>
      <w:r w:rsidRPr="000643FE">
        <w:rPr>
          <w:rFonts w:ascii="Book Antiqua" w:hAnsi="Book Antiqua"/>
          <w:sz w:val="24"/>
        </w:rPr>
        <w:t xml:space="preserve">, Mao YM, Chen CW. Guidelines for the management of drug-induced liver injury. </w:t>
      </w:r>
      <w:r w:rsidRPr="000643FE">
        <w:rPr>
          <w:rFonts w:ascii="Book Antiqua" w:hAnsi="Book Antiqua"/>
          <w:i/>
          <w:sz w:val="24"/>
        </w:rPr>
        <w:t xml:space="preserve">J </w:t>
      </w:r>
      <w:proofErr w:type="spellStart"/>
      <w:r w:rsidRPr="000643FE">
        <w:rPr>
          <w:rFonts w:ascii="Book Antiqua" w:hAnsi="Book Antiqua"/>
          <w:i/>
          <w:sz w:val="24"/>
        </w:rPr>
        <w:t>Clin</w:t>
      </w:r>
      <w:proofErr w:type="spellEnd"/>
      <w:r w:rsidRPr="000643FE">
        <w:rPr>
          <w:rFonts w:ascii="Book Antiqua" w:hAnsi="Book Antiqua"/>
          <w:i/>
          <w:sz w:val="24"/>
        </w:rPr>
        <w:t xml:space="preserve"> </w:t>
      </w:r>
      <w:proofErr w:type="spellStart"/>
      <w:r w:rsidRPr="000643FE">
        <w:rPr>
          <w:rFonts w:ascii="Book Antiqua" w:hAnsi="Book Antiqua"/>
          <w:i/>
          <w:sz w:val="24"/>
        </w:rPr>
        <w:t>Hepatol</w:t>
      </w:r>
      <w:proofErr w:type="spellEnd"/>
      <w:r w:rsidRPr="000643FE">
        <w:rPr>
          <w:rFonts w:ascii="Book Antiqua" w:hAnsi="Book Antiqua"/>
          <w:i/>
          <w:sz w:val="24"/>
        </w:rPr>
        <w:t xml:space="preserve"> </w:t>
      </w:r>
      <w:r w:rsidRPr="000643FE">
        <w:rPr>
          <w:rFonts w:ascii="Book Antiqua" w:hAnsi="Book Antiqua"/>
          <w:sz w:val="24"/>
        </w:rPr>
        <w:t xml:space="preserve">2015; </w:t>
      </w:r>
      <w:r w:rsidRPr="000643FE">
        <w:rPr>
          <w:rFonts w:ascii="Book Antiqua" w:hAnsi="Book Antiqua"/>
          <w:b/>
          <w:sz w:val="24"/>
        </w:rPr>
        <w:t>31</w:t>
      </w:r>
      <w:r w:rsidRPr="000643FE">
        <w:rPr>
          <w:rFonts w:ascii="Book Antiqua" w:hAnsi="Book Antiqua"/>
          <w:sz w:val="24"/>
        </w:rPr>
        <w:t>: 1752-69 [DOI: 10.3969/j.issn.1001-5256. 2015.11.002]</w:t>
      </w:r>
    </w:p>
    <w:p w14:paraId="0115CB73"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4 </w:t>
      </w:r>
      <w:proofErr w:type="spellStart"/>
      <w:r w:rsidRPr="000643FE">
        <w:rPr>
          <w:rFonts w:ascii="Book Antiqua" w:hAnsi="Book Antiqua"/>
          <w:b/>
          <w:sz w:val="24"/>
        </w:rPr>
        <w:t>Kuo</w:t>
      </w:r>
      <w:proofErr w:type="spellEnd"/>
      <w:r w:rsidRPr="000643FE">
        <w:rPr>
          <w:rFonts w:ascii="Book Antiqua" w:hAnsi="Book Antiqua"/>
          <w:b/>
          <w:sz w:val="24"/>
        </w:rPr>
        <w:t xml:space="preserve"> CF</w:t>
      </w:r>
      <w:r w:rsidRPr="000643FE">
        <w:rPr>
          <w:rFonts w:ascii="Book Antiqua" w:hAnsi="Book Antiqua"/>
          <w:sz w:val="24"/>
        </w:rPr>
        <w:t xml:space="preserve">, </w:t>
      </w:r>
      <w:proofErr w:type="spellStart"/>
      <w:r w:rsidRPr="000643FE">
        <w:rPr>
          <w:rFonts w:ascii="Book Antiqua" w:hAnsi="Book Antiqua"/>
          <w:sz w:val="24"/>
        </w:rPr>
        <w:t>Grainge</w:t>
      </w:r>
      <w:proofErr w:type="spellEnd"/>
      <w:r w:rsidRPr="000643FE">
        <w:rPr>
          <w:rFonts w:ascii="Book Antiqua" w:hAnsi="Book Antiqua"/>
          <w:sz w:val="24"/>
        </w:rPr>
        <w:t xml:space="preserve"> MJ, Zhang W, Doherty M. Global epidemiology of gout: prevalence, incidence and risk factors. </w:t>
      </w:r>
      <w:r w:rsidRPr="000643FE">
        <w:rPr>
          <w:rFonts w:ascii="Book Antiqua" w:hAnsi="Book Antiqua"/>
          <w:i/>
          <w:sz w:val="24"/>
        </w:rPr>
        <w:t xml:space="preserve">Nat Rev </w:t>
      </w:r>
      <w:proofErr w:type="spellStart"/>
      <w:r w:rsidRPr="000643FE">
        <w:rPr>
          <w:rFonts w:ascii="Book Antiqua" w:hAnsi="Book Antiqua"/>
          <w:i/>
          <w:sz w:val="24"/>
        </w:rPr>
        <w:t>Rheumatol</w:t>
      </w:r>
      <w:proofErr w:type="spellEnd"/>
      <w:r w:rsidRPr="000643FE">
        <w:rPr>
          <w:rFonts w:ascii="Book Antiqua" w:hAnsi="Book Antiqua"/>
          <w:sz w:val="24"/>
        </w:rPr>
        <w:t xml:space="preserve"> 2015; </w:t>
      </w:r>
      <w:r w:rsidRPr="000643FE">
        <w:rPr>
          <w:rFonts w:ascii="Book Antiqua" w:hAnsi="Book Antiqua"/>
          <w:b/>
          <w:sz w:val="24"/>
        </w:rPr>
        <w:t>11</w:t>
      </w:r>
      <w:r w:rsidRPr="000643FE">
        <w:rPr>
          <w:rFonts w:ascii="Book Antiqua" w:hAnsi="Book Antiqua"/>
          <w:sz w:val="24"/>
        </w:rPr>
        <w:t>: 649-662 [PMID: 26150127 DOI: 10.1038/nrrheum.2015.91]</w:t>
      </w:r>
    </w:p>
    <w:p w14:paraId="3C2AA004"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5 </w:t>
      </w:r>
      <w:proofErr w:type="spellStart"/>
      <w:r w:rsidRPr="000643FE">
        <w:rPr>
          <w:rFonts w:ascii="Book Antiqua" w:hAnsi="Book Antiqua"/>
          <w:b/>
          <w:sz w:val="24"/>
        </w:rPr>
        <w:t>Dalbeth</w:t>
      </w:r>
      <w:proofErr w:type="spellEnd"/>
      <w:r w:rsidRPr="000643FE">
        <w:rPr>
          <w:rFonts w:ascii="Book Antiqua" w:hAnsi="Book Antiqua"/>
          <w:b/>
          <w:sz w:val="24"/>
        </w:rPr>
        <w:t xml:space="preserve"> N</w:t>
      </w:r>
      <w:r w:rsidRPr="000643FE">
        <w:rPr>
          <w:rFonts w:ascii="Book Antiqua" w:hAnsi="Book Antiqua"/>
          <w:sz w:val="24"/>
        </w:rPr>
        <w:t xml:space="preserve">, Merriman TR, Stamp LK. Gout. </w:t>
      </w:r>
      <w:r w:rsidRPr="000643FE">
        <w:rPr>
          <w:rFonts w:ascii="Book Antiqua" w:hAnsi="Book Antiqua"/>
          <w:i/>
          <w:sz w:val="24"/>
        </w:rPr>
        <w:t>Lancet</w:t>
      </w:r>
      <w:r w:rsidRPr="000643FE">
        <w:rPr>
          <w:rFonts w:ascii="Book Antiqua" w:hAnsi="Book Antiqua"/>
          <w:sz w:val="24"/>
        </w:rPr>
        <w:t xml:space="preserve"> 2016; </w:t>
      </w:r>
      <w:r w:rsidRPr="000643FE">
        <w:rPr>
          <w:rFonts w:ascii="Book Antiqua" w:hAnsi="Book Antiqua"/>
          <w:b/>
          <w:sz w:val="24"/>
        </w:rPr>
        <w:t>388</w:t>
      </w:r>
      <w:r w:rsidRPr="000643FE">
        <w:rPr>
          <w:rFonts w:ascii="Book Antiqua" w:hAnsi="Book Antiqua"/>
          <w:sz w:val="24"/>
        </w:rPr>
        <w:t>: 2039-2052 [PMID: 27112094 DOI: 10.1016/S0140-6736(16)00346-9]</w:t>
      </w:r>
    </w:p>
    <w:p w14:paraId="4A499DDC"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6 </w:t>
      </w:r>
      <w:r w:rsidRPr="000643FE">
        <w:rPr>
          <w:rFonts w:ascii="Book Antiqua" w:hAnsi="Book Antiqua"/>
          <w:b/>
          <w:sz w:val="24"/>
        </w:rPr>
        <w:t>Zhang W</w:t>
      </w:r>
      <w:r w:rsidRPr="000643FE">
        <w:rPr>
          <w:rFonts w:ascii="Book Antiqua" w:hAnsi="Book Antiqua"/>
          <w:sz w:val="24"/>
        </w:rPr>
        <w:t xml:space="preserve">, Doherty M, Bardin T, </w:t>
      </w:r>
      <w:proofErr w:type="spellStart"/>
      <w:r w:rsidRPr="000643FE">
        <w:rPr>
          <w:rFonts w:ascii="Book Antiqua" w:hAnsi="Book Antiqua"/>
          <w:sz w:val="24"/>
        </w:rPr>
        <w:t>Pascual</w:t>
      </w:r>
      <w:proofErr w:type="spellEnd"/>
      <w:r w:rsidRPr="000643FE">
        <w:rPr>
          <w:rFonts w:ascii="Book Antiqua" w:hAnsi="Book Antiqua"/>
          <w:sz w:val="24"/>
        </w:rPr>
        <w:t xml:space="preserve"> E, </w:t>
      </w:r>
      <w:proofErr w:type="spellStart"/>
      <w:r w:rsidRPr="000643FE">
        <w:rPr>
          <w:rFonts w:ascii="Book Antiqua" w:hAnsi="Book Antiqua"/>
          <w:sz w:val="24"/>
        </w:rPr>
        <w:t>Barskova</w:t>
      </w:r>
      <w:proofErr w:type="spellEnd"/>
      <w:r w:rsidRPr="000643FE">
        <w:rPr>
          <w:rFonts w:ascii="Book Antiqua" w:hAnsi="Book Antiqua"/>
          <w:sz w:val="24"/>
        </w:rPr>
        <w:t xml:space="preserve"> V, </w:t>
      </w:r>
      <w:proofErr w:type="spellStart"/>
      <w:r w:rsidRPr="000643FE">
        <w:rPr>
          <w:rFonts w:ascii="Book Antiqua" w:hAnsi="Book Antiqua"/>
          <w:sz w:val="24"/>
        </w:rPr>
        <w:t>Conaghan</w:t>
      </w:r>
      <w:proofErr w:type="spellEnd"/>
      <w:r w:rsidRPr="000643FE">
        <w:rPr>
          <w:rFonts w:ascii="Book Antiqua" w:hAnsi="Book Antiqua"/>
          <w:sz w:val="24"/>
        </w:rPr>
        <w:t xml:space="preserve"> P, </w:t>
      </w:r>
      <w:proofErr w:type="spellStart"/>
      <w:r w:rsidRPr="000643FE">
        <w:rPr>
          <w:rFonts w:ascii="Book Antiqua" w:hAnsi="Book Antiqua"/>
          <w:sz w:val="24"/>
        </w:rPr>
        <w:t>Gerster</w:t>
      </w:r>
      <w:proofErr w:type="spellEnd"/>
      <w:r w:rsidRPr="000643FE">
        <w:rPr>
          <w:rFonts w:ascii="Book Antiqua" w:hAnsi="Book Antiqua"/>
          <w:sz w:val="24"/>
        </w:rPr>
        <w:t xml:space="preserve"> J, Jacobs J, </w:t>
      </w:r>
      <w:proofErr w:type="spellStart"/>
      <w:r w:rsidRPr="000643FE">
        <w:rPr>
          <w:rFonts w:ascii="Book Antiqua" w:hAnsi="Book Antiqua"/>
          <w:sz w:val="24"/>
        </w:rPr>
        <w:t>Leeb</w:t>
      </w:r>
      <w:proofErr w:type="spellEnd"/>
      <w:r w:rsidRPr="000643FE">
        <w:rPr>
          <w:rFonts w:ascii="Book Antiqua" w:hAnsi="Book Antiqua"/>
          <w:sz w:val="24"/>
        </w:rPr>
        <w:t xml:space="preserve"> B, </w:t>
      </w:r>
      <w:proofErr w:type="spellStart"/>
      <w:r w:rsidRPr="000643FE">
        <w:rPr>
          <w:rFonts w:ascii="Book Antiqua" w:hAnsi="Book Antiqua"/>
          <w:sz w:val="24"/>
        </w:rPr>
        <w:t>Lioté</w:t>
      </w:r>
      <w:proofErr w:type="spellEnd"/>
      <w:r w:rsidRPr="000643FE">
        <w:rPr>
          <w:rFonts w:ascii="Book Antiqua" w:hAnsi="Book Antiqua"/>
          <w:sz w:val="24"/>
        </w:rPr>
        <w:t xml:space="preserve"> F, McCarthy G, Netter P, </w:t>
      </w:r>
      <w:proofErr w:type="spellStart"/>
      <w:r w:rsidRPr="000643FE">
        <w:rPr>
          <w:rFonts w:ascii="Book Antiqua" w:hAnsi="Book Antiqua"/>
          <w:sz w:val="24"/>
        </w:rPr>
        <w:t>Nuki</w:t>
      </w:r>
      <w:proofErr w:type="spellEnd"/>
      <w:r w:rsidRPr="000643FE">
        <w:rPr>
          <w:rFonts w:ascii="Book Antiqua" w:hAnsi="Book Antiqua"/>
          <w:sz w:val="24"/>
        </w:rPr>
        <w:t xml:space="preserve"> G, Perez-Ruiz F, </w:t>
      </w:r>
      <w:proofErr w:type="spellStart"/>
      <w:r w:rsidRPr="000643FE">
        <w:rPr>
          <w:rFonts w:ascii="Book Antiqua" w:hAnsi="Book Antiqua"/>
          <w:sz w:val="24"/>
        </w:rPr>
        <w:t>Pignone</w:t>
      </w:r>
      <w:proofErr w:type="spellEnd"/>
      <w:r w:rsidRPr="000643FE">
        <w:rPr>
          <w:rFonts w:ascii="Book Antiqua" w:hAnsi="Book Antiqua"/>
          <w:sz w:val="24"/>
        </w:rPr>
        <w:t xml:space="preserve"> A, </w:t>
      </w:r>
      <w:proofErr w:type="spellStart"/>
      <w:r w:rsidRPr="000643FE">
        <w:rPr>
          <w:rFonts w:ascii="Book Antiqua" w:hAnsi="Book Antiqua"/>
          <w:sz w:val="24"/>
        </w:rPr>
        <w:t>Pimentão</w:t>
      </w:r>
      <w:proofErr w:type="spellEnd"/>
      <w:r w:rsidRPr="000643FE">
        <w:rPr>
          <w:rFonts w:ascii="Book Antiqua" w:hAnsi="Book Antiqua"/>
          <w:sz w:val="24"/>
        </w:rPr>
        <w:t xml:space="preserve"> J, </w:t>
      </w:r>
      <w:proofErr w:type="spellStart"/>
      <w:r w:rsidRPr="000643FE">
        <w:rPr>
          <w:rFonts w:ascii="Book Antiqua" w:hAnsi="Book Antiqua"/>
          <w:sz w:val="24"/>
        </w:rPr>
        <w:t>Punzi</w:t>
      </w:r>
      <w:proofErr w:type="spellEnd"/>
      <w:r w:rsidRPr="000643FE">
        <w:rPr>
          <w:rFonts w:ascii="Book Antiqua" w:hAnsi="Book Antiqua"/>
          <w:sz w:val="24"/>
        </w:rPr>
        <w:t xml:space="preserve"> L, Roddy E, </w:t>
      </w:r>
      <w:proofErr w:type="spellStart"/>
      <w:r w:rsidRPr="000643FE">
        <w:rPr>
          <w:rFonts w:ascii="Book Antiqua" w:hAnsi="Book Antiqua"/>
          <w:sz w:val="24"/>
        </w:rPr>
        <w:t>Uhlig</w:t>
      </w:r>
      <w:proofErr w:type="spellEnd"/>
      <w:r w:rsidRPr="000643FE">
        <w:rPr>
          <w:rFonts w:ascii="Book Antiqua" w:hAnsi="Book Antiqua"/>
          <w:sz w:val="24"/>
        </w:rPr>
        <w:t xml:space="preserve"> T, Zimmermann-</w:t>
      </w:r>
      <w:proofErr w:type="spellStart"/>
      <w:r w:rsidRPr="000643FE">
        <w:rPr>
          <w:rFonts w:ascii="Book Antiqua" w:hAnsi="Book Antiqua"/>
          <w:sz w:val="24"/>
        </w:rPr>
        <w:t>Gòrska</w:t>
      </w:r>
      <w:proofErr w:type="spellEnd"/>
      <w:r w:rsidRPr="000643FE">
        <w:rPr>
          <w:rFonts w:ascii="Book Antiqua" w:hAnsi="Book Antiqua"/>
          <w:sz w:val="24"/>
        </w:rPr>
        <w:t xml:space="preserve"> I; EULAR Standing Committee for International Clinical Studies Including Therapeutics. EULAR evidence based recommendations for gout. Part II: Management. Report of a task force of the EULAR Standing Committee for International Clinical Studies Including Therapeutics (ESCISIT). </w:t>
      </w:r>
      <w:r w:rsidRPr="000643FE">
        <w:rPr>
          <w:rFonts w:ascii="Book Antiqua" w:hAnsi="Book Antiqua"/>
          <w:i/>
          <w:sz w:val="24"/>
        </w:rPr>
        <w:t>Ann Rheum Dis</w:t>
      </w:r>
      <w:r w:rsidRPr="000643FE">
        <w:rPr>
          <w:rFonts w:ascii="Book Antiqua" w:hAnsi="Book Antiqua"/>
          <w:sz w:val="24"/>
        </w:rPr>
        <w:t xml:space="preserve"> 2006; </w:t>
      </w:r>
      <w:r w:rsidRPr="000643FE">
        <w:rPr>
          <w:rFonts w:ascii="Book Antiqua" w:hAnsi="Book Antiqua"/>
          <w:b/>
          <w:sz w:val="24"/>
        </w:rPr>
        <w:t>65</w:t>
      </w:r>
      <w:r w:rsidRPr="000643FE">
        <w:rPr>
          <w:rFonts w:ascii="Book Antiqua" w:hAnsi="Book Antiqua"/>
          <w:sz w:val="24"/>
        </w:rPr>
        <w:t>: 1312-1324 [PMID: 16707532 DOI: 10.1136/ard.2006.055269]</w:t>
      </w:r>
    </w:p>
    <w:p w14:paraId="0539CF27"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7 </w:t>
      </w:r>
      <w:r w:rsidRPr="000643FE">
        <w:rPr>
          <w:rFonts w:ascii="Book Antiqua" w:hAnsi="Book Antiqua"/>
          <w:b/>
          <w:sz w:val="24"/>
        </w:rPr>
        <w:t>National Center for ADR Monitoring</w:t>
      </w:r>
      <w:r w:rsidRPr="000643FE">
        <w:rPr>
          <w:rFonts w:ascii="Book Antiqua" w:hAnsi="Book Antiqua"/>
          <w:sz w:val="24"/>
        </w:rPr>
        <w:t>. Adverse Drug Reactions Information Circular (Phase 65) Alert Benzbromarone's Risk of Liver Injury. Available from: URL: http://www.cdr-adr.org.cn/xxtb_255/ypblfyxxtb/201501/t20150110_ 7960.html</w:t>
      </w:r>
    </w:p>
    <w:p w14:paraId="15CCB08F"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8 </w:t>
      </w:r>
      <w:r w:rsidRPr="000643FE">
        <w:rPr>
          <w:rFonts w:ascii="Book Antiqua" w:hAnsi="Book Antiqua"/>
          <w:b/>
          <w:sz w:val="24"/>
        </w:rPr>
        <w:t>Kaufmann P</w:t>
      </w:r>
      <w:r w:rsidRPr="000643FE">
        <w:rPr>
          <w:rFonts w:ascii="Book Antiqua" w:hAnsi="Book Antiqua"/>
          <w:sz w:val="24"/>
        </w:rPr>
        <w:t xml:space="preserve">, </w:t>
      </w:r>
      <w:proofErr w:type="spellStart"/>
      <w:r w:rsidRPr="000643FE">
        <w:rPr>
          <w:rFonts w:ascii="Book Antiqua" w:hAnsi="Book Antiqua"/>
          <w:sz w:val="24"/>
        </w:rPr>
        <w:t>Török</w:t>
      </w:r>
      <w:proofErr w:type="spellEnd"/>
      <w:r w:rsidRPr="000643FE">
        <w:rPr>
          <w:rFonts w:ascii="Book Antiqua" w:hAnsi="Book Antiqua"/>
          <w:sz w:val="24"/>
        </w:rPr>
        <w:t xml:space="preserve"> M, </w:t>
      </w:r>
      <w:proofErr w:type="spellStart"/>
      <w:r w:rsidRPr="000643FE">
        <w:rPr>
          <w:rFonts w:ascii="Book Antiqua" w:hAnsi="Book Antiqua"/>
          <w:sz w:val="24"/>
        </w:rPr>
        <w:t>Hänni</w:t>
      </w:r>
      <w:proofErr w:type="spellEnd"/>
      <w:r w:rsidRPr="000643FE">
        <w:rPr>
          <w:rFonts w:ascii="Book Antiqua" w:hAnsi="Book Antiqua"/>
          <w:sz w:val="24"/>
        </w:rPr>
        <w:t xml:space="preserve"> A, Roberts P, Gasser R, </w:t>
      </w:r>
      <w:proofErr w:type="spellStart"/>
      <w:r w:rsidRPr="000643FE">
        <w:rPr>
          <w:rFonts w:ascii="Book Antiqua" w:hAnsi="Book Antiqua"/>
          <w:sz w:val="24"/>
        </w:rPr>
        <w:t>Krähenbühl</w:t>
      </w:r>
      <w:proofErr w:type="spellEnd"/>
      <w:r w:rsidRPr="000643FE">
        <w:rPr>
          <w:rFonts w:ascii="Book Antiqua" w:hAnsi="Book Antiqua"/>
          <w:sz w:val="24"/>
        </w:rPr>
        <w:t xml:space="preserve"> S. Mechanisms of benzarone and benzbromarone-induced hepatic toxicity. </w:t>
      </w:r>
      <w:r w:rsidRPr="000643FE">
        <w:rPr>
          <w:rFonts w:ascii="Book Antiqua" w:hAnsi="Book Antiqua"/>
          <w:i/>
          <w:sz w:val="24"/>
        </w:rPr>
        <w:t>Hepatology</w:t>
      </w:r>
      <w:r w:rsidRPr="000643FE">
        <w:rPr>
          <w:rFonts w:ascii="Book Antiqua" w:hAnsi="Book Antiqua"/>
          <w:sz w:val="24"/>
        </w:rPr>
        <w:t xml:space="preserve"> 2005; </w:t>
      </w:r>
      <w:r w:rsidRPr="000643FE">
        <w:rPr>
          <w:rFonts w:ascii="Book Antiqua" w:hAnsi="Book Antiqua"/>
          <w:b/>
          <w:sz w:val="24"/>
        </w:rPr>
        <w:t>41</w:t>
      </w:r>
      <w:r w:rsidRPr="000643FE">
        <w:rPr>
          <w:rFonts w:ascii="Book Antiqua" w:hAnsi="Book Antiqua"/>
          <w:sz w:val="24"/>
        </w:rPr>
        <w:t>: 925-935 [PMID: 15799034 DOI: 10.1002/hep.20634]</w:t>
      </w:r>
    </w:p>
    <w:p w14:paraId="689E29ED"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9 </w:t>
      </w:r>
      <w:proofErr w:type="spellStart"/>
      <w:r w:rsidRPr="000643FE">
        <w:rPr>
          <w:rFonts w:ascii="Book Antiqua" w:hAnsi="Book Antiqua"/>
          <w:b/>
          <w:sz w:val="24"/>
        </w:rPr>
        <w:t>Felser</w:t>
      </w:r>
      <w:proofErr w:type="spellEnd"/>
      <w:r w:rsidRPr="000643FE">
        <w:rPr>
          <w:rFonts w:ascii="Book Antiqua" w:hAnsi="Book Antiqua"/>
          <w:b/>
          <w:sz w:val="24"/>
        </w:rPr>
        <w:t xml:space="preserve"> A</w:t>
      </w:r>
      <w:r w:rsidRPr="000643FE">
        <w:rPr>
          <w:rFonts w:ascii="Book Antiqua" w:hAnsi="Book Antiqua"/>
          <w:sz w:val="24"/>
        </w:rPr>
        <w:t xml:space="preserve">, </w:t>
      </w:r>
      <w:proofErr w:type="spellStart"/>
      <w:r w:rsidRPr="000643FE">
        <w:rPr>
          <w:rFonts w:ascii="Book Antiqua" w:hAnsi="Book Antiqua"/>
          <w:sz w:val="24"/>
        </w:rPr>
        <w:t>Lindinger</w:t>
      </w:r>
      <w:proofErr w:type="spellEnd"/>
      <w:r w:rsidRPr="000643FE">
        <w:rPr>
          <w:rFonts w:ascii="Book Antiqua" w:hAnsi="Book Antiqua"/>
          <w:sz w:val="24"/>
        </w:rPr>
        <w:t xml:space="preserve"> PW, Schnell D, </w:t>
      </w:r>
      <w:proofErr w:type="spellStart"/>
      <w:r w:rsidRPr="000643FE">
        <w:rPr>
          <w:rFonts w:ascii="Book Antiqua" w:hAnsi="Book Antiqua"/>
          <w:sz w:val="24"/>
        </w:rPr>
        <w:t>Kratschmar</w:t>
      </w:r>
      <w:proofErr w:type="spellEnd"/>
      <w:r w:rsidRPr="000643FE">
        <w:rPr>
          <w:rFonts w:ascii="Book Antiqua" w:hAnsi="Book Antiqua"/>
          <w:sz w:val="24"/>
        </w:rPr>
        <w:t xml:space="preserve"> DV, </w:t>
      </w:r>
      <w:proofErr w:type="spellStart"/>
      <w:r w:rsidRPr="000643FE">
        <w:rPr>
          <w:rFonts w:ascii="Book Antiqua" w:hAnsi="Book Antiqua"/>
          <w:sz w:val="24"/>
        </w:rPr>
        <w:t>Odermatt</w:t>
      </w:r>
      <w:proofErr w:type="spellEnd"/>
      <w:r w:rsidRPr="000643FE">
        <w:rPr>
          <w:rFonts w:ascii="Book Antiqua" w:hAnsi="Book Antiqua"/>
          <w:sz w:val="24"/>
        </w:rPr>
        <w:t xml:space="preserve"> A, </w:t>
      </w:r>
      <w:proofErr w:type="spellStart"/>
      <w:r w:rsidRPr="000643FE">
        <w:rPr>
          <w:rFonts w:ascii="Book Antiqua" w:hAnsi="Book Antiqua"/>
          <w:sz w:val="24"/>
        </w:rPr>
        <w:t>Mies</w:t>
      </w:r>
      <w:proofErr w:type="spellEnd"/>
      <w:r w:rsidRPr="000643FE">
        <w:rPr>
          <w:rFonts w:ascii="Book Antiqua" w:hAnsi="Book Antiqua"/>
          <w:sz w:val="24"/>
        </w:rPr>
        <w:t xml:space="preserve"> S, </w:t>
      </w:r>
      <w:proofErr w:type="spellStart"/>
      <w:r w:rsidRPr="000643FE">
        <w:rPr>
          <w:rFonts w:ascii="Book Antiqua" w:hAnsi="Book Antiqua"/>
          <w:sz w:val="24"/>
        </w:rPr>
        <w:t>Jenö</w:t>
      </w:r>
      <w:proofErr w:type="spellEnd"/>
      <w:r w:rsidRPr="000643FE">
        <w:rPr>
          <w:rFonts w:ascii="Book Antiqua" w:hAnsi="Book Antiqua"/>
          <w:sz w:val="24"/>
        </w:rPr>
        <w:t xml:space="preserve"> P, </w:t>
      </w:r>
      <w:proofErr w:type="spellStart"/>
      <w:r w:rsidRPr="000643FE">
        <w:rPr>
          <w:rFonts w:ascii="Book Antiqua" w:hAnsi="Book Antiqua"/>
          <w:sz w:val="24"/>
        </w:rPr>
        <w:t>Krähenbühl</w:t>
      </w:r>
      <w:proofErr w:type="spellEnd"/>
      <w:r w:rsidRPr="000643FE">
        <w:rPr>
          <w:rFonts w:ascii="Book Antiqua" w:hAnsi="Book Antiqua"/>
          <w:sz w:val="24"/>
        </w:rPr>
        <w:t xml:space="preserve"> S. Hepatocellular toxicity of benzbromarone: effects on mitochondrial function and structure. </w:t>
      </w:r>
      <w:r w:rsidRPr="000643FE">
        <w:rPr>
          <w:rFonts w:ascii="Book Antiqua" w:hAnsi="Book Antiqua"/>
          <w:i/>
          <w:sz w:val="24"/>
        </w:rPr>
        <w:t>Toxicology</w:t>
      </w:r>
      <w:r w:rsidRPr="000643FE">
        <w:rPr>
          <w:rFonts w:ascii="Book Antiqua" w:hAnsi="Book Antiqua"/>
          <w:sz w:val="24"/>
        </w:rPr>
        <w:t xml:space="preserve"> 2014; </w:t>
      </w:r>
      <w:r w:rsidRPr="000643FE">
        <w:rPr>
          <w:rFonts w:ascii="Book Antiqua" w:hAnsi="Book Antiqua"/>
          <w:b/>
          <w:sz w:val="24"/>
        </w:rPr>
        <w:t>324</w:t>
      </w:r>
      <w:r w:rsidRPr="000643FE">
        <w:rPr>
          <w:rFonts w:ascii="Book Antiqua" w:hAnsi="Book Antiqua"/>
          <w:sz w:val="24"/>
        </w:rPr>
        <w:t>: 136-146 [PMID: 25108121 DOI: 10.1016/j.tox.2014.08.002]</w:t>
      </w:r>
    </w:p>
    <w:p w14:paraId="16BB49FC"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10 </w:t>
      </w:r>
      <w:r w:rsidRPr="000643FE">
        <w:rPr>
          <w:rFonts w:ascii="Book Antiqua" w:hAnsi="Book Antiqua"/>
          <w:b/>
          <w:sz w:val="24"/>
        </w:rPr>
        <w:t>Wang H</w:t>
      </w:r>
      <w:r w:rsidRPr="000643FE">
        <w:rPr>
          <w:rFonts w:ascii="Book Antiqua" w:hAnsi="Book Antiqua"/>
          <w:sz w:val="24"/>
        </w:rPr>
        <w:t xml:space="preserve">, Peng Y, Zhang T, Lan Q, Zhao H, Wang W, Zhao Y, Wang X, Pang J, Wang S, Zheng J. Metabolic Epoxidation Is a Critical Step for the Development of Benzbromarone-Induced Hepatotoxicity. </w:t>
      </w:r>
      <w:r w:rsidRPr="000643FE">
        <w:rPr>
          <w:rFonts w:ascii="Book Antiqua" w:hAnsi="Book Antiqua"/>
          <w:i/>
          <w:sz w:val="24"/>
        </w:rPr>
        <w:t xml:space="preserve">Drug </w:t>
      </w:r>
      <w:proofErr w:type="spellStart"/>
      <w:r w:rsidRPr="000643FE">
        <w:rPr>
          <w:rFonts w:ascii="Book Antiqua" w:hAnsi="Book Antiqua"/>
          <w:i/>
          <w:sz w:val="24"/>
        </w:rPr>
        <w:t>Metab</w:t>
      </w:r>
      <w:proofErr w:type="spellEnd"/>
      <w:r w:rsidRPr="000643FE">
        <w:rPr>
          <w:rFonts w:ascii="Book Antiqua" w:hAnsi="Book Antiqua"/>
          <w:i/>
          <w:sz w:val="24"/>
        </w:rPr>
        <w:t xml:space="preserve"> </w:t>
      </w:r>
      <w:proofErr w:type="spellStart"/>
      <w:r w:rsidRPr="000643FE">
        <w:rPr>
          <w:rFonts w:ascii="Book Antiqua" w:hAnsi="Book Antiqua"/>
          <w:i/>
          <w:sz w:val="24"/>
        </w:rPr>
        <w:t>Dispos</w:t>
      </w:r>
      <w:proofErr w:type="spellEnd"/>
      <w:r w:rsidRPr="000643FE">
        <w:rPr>
          <w:rFonts w:ascii="Book Antiqua" w:hAnsi="Book Antiqua"/>
          <w:sz w:val="24"/>
        </w:rPr>
        <w:t xml:space="preserve"> 2017; </w:t>
      </w:r>
      <w:r w:rsidRPr="000643FE">
        <w:rPr>
          <w:rFonts w:ascii="Book Antiqua" w:hAnsi="Book Antiqua"/>
          <w:b/>
          <w:sz w:val="24"/>
        </w:rPr>
        <w:t>45</w:t>
      </w:r>
      <w:r w:rsidRPr="000643FE">
        <w:rPr>
          <w:rFonts w:ascii="Book Antiqua" w:hAnsi="Book Antiqua"/>
          <w:sz w:val="24"/>
        </w:rPr>
        <w:t>: 1354-1363 [PMID: 29021351 DOI: 10.1124/dmd.117.077818]</w:t>
      </w:r>
    </w:p>
    <w:p w14:paraId="2A11F6B4"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11 </w:t>
      </w:r>
      <w:proofErr w:type="spellStart"/>
      <w:r w:rsidRPr="000643FE">
        <w:rPr>
          <w:rFonts w:ascii="Book Antiqua" w:hAnsi="Book Antiqua"/>
          <w:b/>
          <w:sz w:val="24"/>
        </w:rPr>
        <w:t>Broekhuysen</w:t>
      </w:r>
      <w:proofErr w:type="spellEnd"/>
      <w:r w:rsidRPr="000643FE">
        <w:rPr>
          <w:rFonts w:ascii="Book Antiqua" w:hAnsi="Book Antiqua"/>
          <w:b/>
          <w:sz w:val="24"/>
        </w:rPr>
        <w:t xml:space="preserve"> J</w:t>
      </w:r>
      <w:r w:rsidRPr="000643FE">
        <w:rPr>
          <w:rFonts w:ascii="Book Antiqua" w:hAnsi="Book Antiqua"/>
          <w:sz w:val="24"/>
        </w:rPr>
        <w:t xml:space="preserve">, </w:t>
      </w:r>
      <w:proofErr w:type="spellStart"/>
      <w:r w:rsidRPr="000643FE">
        <w:rPr>
          <w:rFonts w:ascii="Book Antiqua" w:hAnsi="Book Antiqua"/>
          <w:sz w:val="24"/>
        </w:rPr>
        <w:t>Pacco</w:t>
      </w:r>
      <w:proofErr w:type="spellEnd"/>
      <w:r w:rsidRPr="000643FE">
        <w:rPr>
          <w:rFonts w:ascii="Book Antiqua" w:hAnsi="Book Antiqua"/>
          <w:sz w:val="24"/>
        </w:rPr>
        <w:t xml:space="preserve"> M, Sion R, </w:t>
      </w:r>
      <w:proofErr w:type="spellStart"/>
      <w:r w:rsidRPr="000643FE">
        <w:rPr>
          <w:rFonts w:ascii="Book Antiqua" w:hAnsi="Book Antiqua"/>
          <w:sz w:val="24"/>
        </w:rPr>
        <w:t>Demeulenaere</w:t>
      </w:r>
      <w:proofErr w:type="spellEnd"/>
      <w:r w:rsidRPr="000643FE">
        <w:rPr>
          <w:rFonts w:ascii="Book Antiqua" w:hAnsi="Book Antiqua"/>
          <w:sz w:val="24"/>
        </w:rPr>
        <w:t xml:space="preserve"> L, Van </w:t>
      </w:r>
      <w:proofErr w:type="spellStart"/>
      <w:r w:rsidRPr="000643FE">
        <w:rPr>
          <w:rFonts w:ascii="Book Antiqua" w:hAnsi="Book Antiqua"/>
          <w:sz w:val="24"/>
        </w:rPr>
        <w:t>Hee</w:t>
      </w:r>
      <w:proofErr w:type="spellEnd"/>
      <w:r w:rsidRPr="000643FE">
        <w:rPr>
          <w:rFonts w:ascii="Book Antiqua" w:hAnsi="Book Antiqua"/>
          <w:sz w:val="24"/>
        </w:rPr>
        <w:t xml:space="preserve"> M. Metabolism of benzbromarone in man. </w:t>
      </w:r>
      <w:proofErr w:type="spellStart"/>
      <w:r w:rsidRPr="000643FE">
        <w:rPr>
          <w:rFonts w:ascii="Book Antiqua" w:hAnsi="Book Antiqua"/>
          <w:i/>
          <w:sz w:val="24"/>
        </w:rPr>
        <w:t>Eur</w:t>
      </w:r>
      <w:proofErr w:type="spellEnd"/>
      <w:r w:rsidRPr="000643FE">
        <w:rPr>
          <w:rFonts w:ascii="Book Antiqua" w:hAnsi="Book Antiqua"/>
          <w:i/>
          <w:sz w:val="24"/>
        </w:rPr>
        <w:t xml:space="preserve"> J </w:t>
      </w:r>
      <w:proofErr w:type="spellStart"/>
      <w:r w:rsidRPr="000643FE">
        <w:rPr>
          <w:rFonts w:ascii="Book Antiqua" w:hAnsi="Book Antiqua"/>
          <w:i/>
          <w:sz w:val="24"/>
        </w:rPr>
        <w:t>Clin</w:t>
      </w:r>
      <w:proofErr w:type="spellEnd"/>
      <w:r w:rsidRPr="000643FE">
        <w:rPr>
          <w:rFonts w:ascii="Book Antiqua" w:hAnsi="Book Antiqua"/>
          <w:i/>
          <w:sz w:val="24"/>
        </w:rPr>
        <w:t xml:space="preserve"> </w:t>
      </w:r>
      <w:proofErr w:type="spellStart"/>
      <w:r w:rsidRPr="000643FE">
        <w:rPr>
          <w:rFonts w:ascii="Book Antiqua" w:hAnsi="Book Antiqua"/>
          <w:i/>
          <w:sz w:val="24"/>
        </w:rPr>
        <w:t>Pharmacol</w:t>
      </w:r>
      <w:proofErr w:type="spellEnd"/>
      <w:r w:rsidRPr="000643FE">
        <w:rPr>
          <w:rFonts w:ascii="Book Antiqua" w:hAnsi="Book Antiqua"/>
          <w:sz w:val="24"/>
        </w:rPr>
        <w:t xml:space="preserve"> 1972; </w:t>
      </w:r>
      <w:r w:rsidRPr="000643FE">
        <w:rPr>
          <w:rFonts w:ascii="Book Antiqua" w:hAnsi="Book Antiqua"/>
          <w:b/>
          <w:sz w:val="24"/>
        </w:rPr>
        <w:t>4</w:t>
      </w:r>
      <w:r w:rsidRPr="000643FE">
        <w:rPr>
          <w:rFonts w:ascii="Book Antiqua" w:hAnsi="Book Antiqua"/>
          <w:sz w:val="24"/>
        </w:rPr>
        <w:t>: 125-130 [PMID: 4655683</w:t>
      </w:r>
      <w:r w:rsidR="00BB5894" w:rsidRPr="000643FE">
        <w:rPr>
          <w:rFonts w:ascii="Book Antiqua" w:hAnsi="Book Antiqua"/>
          <w:sz w:val="24"/>
        </w:rPr>
        <w:t xml:space="preserve"> DOI: </w:t>
      </w:r>
      <w:hyperlink r:id="rId11" w:tgtFrame="_blank" w:history="1">
        <w:r w:rsidR="00BB5894" w:rsidRPr="000643FE">
          <w:rPr>
            <w:rFonts w:ascii="Book Antiqua" w:hAnsi="Book Antiqua"/>
            <w:sz w:val="24"/>
          </w:rPr>
          <w:t>10.1007/BF00562509</w:t>
        </w:r>
      </w:hyperlink>
      <w:r w:rsidRPr="000643FE">
        <w:rPr>
          <w:rFonts w:ascii="Book Antiqua" w:hAnsi="Book Antiqua"/>
          <w:sz w:val="24"/>
        </w:rPr>
        <w:t>]</w:t>
      </w:r>
    </w:p>
    <w:p w14:paraId="0E322D09"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12 </w:t>
      </w:r>
      <w:r w:rsidRPr="000643FE">
        <w:rPr>
          <w:rFonts w:ascii="Book Antiqua" w:hAnsi="Book Antiqua"/>
          <w:b/>
          <w:sz w:val="24"/>
        </w:rPr>
        <w:t>McDonald MG</w:t>
      </w:r>
      <w:r w:rsidRPr="000643FE">
        <w:rPr>
          <w:rFonts w:ascii="Book Antiqua" w:hAnsi="Book Antiqua"/>
          <w:sz w:val="24"/>
        </w:rPr>
        <w:t xml:space="preserve">, </w:t>
      </w:r>
      <w:proofErr w:type="spellStart"/>
      <w:r w:rsidRPr="000643FE">
        <w:rPr>
          <w:rFonts w:ascii="Book Antiqua" w:hAnsi="Book Antiqua"/>
          <w:sz w:val="24"/>
        </w:rPr>
        <w:t>Rettie</w:t>
      </w:r>
      <w:proofErr w:type="spellEnd"/>
      <w:r w:rsidRPr="000643FE">
        <w:rPr>
          <w:rFonts w:ascii="Book Antiqua" w:hAnsi="Book Antiqua"/>
          <w:sz w:val="24"/>
        </w:rPr>
        <w:t xml:space="preserve"> AE. Sequential metabolism and bioactivation of the hepatotoxin benzbromarone: formation of glutathione adducts from a catechol intermediate. </w:t>
      </w:r>
      <w:proofErr w:type="spellStart"/>
      <w:r w:rsidRPr="000643FE">
        <w:rPr>
          <w:rFonts w:ascii="Book Antiqua" w:hAnsi="Book Antiqua"/>
          <w:i/>
          <w:sz w:val="24"/>
        </w:rPr>
        <w:t>Chem</w:t>
      </w:r>
      <w:proofErr w:type="spellEnd"/>
      <w:r w:rsidRPr="000643FE">
        <w:rPr>
          <w:rFonts w:ascii="Book Antiqua" w:hAnsi="Book Antiqua"/>
          <w:i/>
          <w:sz w:val="24"/>
        </w:rPr>
        <w:t xml:space="preserve"> Res </w:t>
      </w:r>
      <w:proofErr w:type="spellStart"/>
      <w:r w:rsidRPr="000643FE">
        <w:rPr>
          <w:rFonts w:ascii="Book Antiqua" w:hAnsi="Book Antiqua"/>
          <w:i/>
          <w:sz w:val="24"/>
        </w:rPr>
        <w:t>Toxicol</w:t>
      </w:r>
      <w:proofErr w:type="spellEnd"/>
      <w:r w:rsidRPr="000643FE">
        <w:rPr>
          <w:rFonts w:ascii="Book Antiqua" w:hAnsi="Book Antiqua"/>
          <w:sz w:val="24"/>
        </w:rPr>
        <w:t xml:space="preserve"> 2007; </w:t>
      </w:r>
      <w:r w:rsidRPr="000643FE">
        <w:rPr>
          <w:rFonts w:ascii="Book Antiqua" w:hAnsi="Book Antiqua"/>
          <w:b/>
          <w:sz w:val="24"/>
        </w:rPr>
        <w:t>20</w:t>
      </w:r>
      <w:r w:rsidRPr="000643FE">
        <w:rPr>
          <w:rFonts w:ascii="Book Antiqua" w:hAnsi="Book Antiqua"/>
          <w:sz w:val="24"/>
        </w:rPr>
        <w:t>: 1833-1842 [PMID: 18020424 DOI: 10.1021/tx7001228]</w:t>
      </w:r>
    </w:p>
    <w:p w14:paraId="35F67D59"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13 </w:t>
      </w:r>
      <w:proofErr w:type="spellStart"/>
      <w:r w:rsidRPr="000643FE">
        <w:rPr>
          <w:rFonts w:ascii="Book Antiqua" w:hAnsi="Book Antiqua"/>
          <w:b/>
          <w:sz w:val="24"/>
        </w:rPr>
        <w:t>Shirakawa</w:t>
      </w:r>
      <w:proofErr w:type="spellEnd"/>
      <w:r w:rsidRPr="000643FE">
        <w:rPr>
          <w:rFonts w:ascii="Book Antiqua" w:hAnsi="Book Antiqua"/>
          <w:b/>
          <w:sz w:val="24"/>
        </w:rPr>
        <w:t xml:space="preserve"> M</w:t>
      </w:r>
      <w:r w:rsidRPr="000643FE">
        <w:rPr>
          <w:rFonts w:ascii="Book Antiqua" w:hAnsi="Book Antiqua"/>
          <w:sz w:val="24"/>
        </w:rPr>
        <w:t xml:space="preserve">, </w:t>
      </w:r>
      <w:proofErr w:type="spellStart"/>
      <w:r w:rsidRPr="000643FE">
        <w:rPr>
          <w:rFonts w:ascii="Book Antiqua" w:hAnsi="Book Antiqua"/>
          <w:sz w:val="24"/>
        </w:rPr>
        <w:t>Sekine</w:t>
      </w:r>
      <w:proofErr w:type="spellEnd"/>
      <w:r w:rsidRPr="000643FE">
        <w:rPr>
          <w:rFonts w:ascii="Book Antiqua" w:hAnsi="Book Antiqua"/>
          <w:sz w:val="24"/>
        </w:rPr>
        <w:t xml:space="preserve"> S, Tanaka A, </w:t>
      </w:r>
      <w:proofErr w:type="spellStart"/>
      <w:r w:rsidRPr="000643FE">
        <w:rPr>
          <w:rFonts w:ascii="Book Antiqua" w:hAnsi="Book Antiqua"/>
          <w:sz w:val="24"/>
        </w:rPr>
        <w:t>Horie</w:t>
      </w:r>
      <w:proofErr w:type="spellEnd"/>
      <w:r w:rsidRPr="000643FE">
        <w:rPr>
          <w:rFonts w:ascii="Book Antiqua" w:hAnsi="Book Antiqua"/>
          <w:sz w:val="24"/>
        </w:rPr>
        <w:t xml:space="preserve"> T, Ito K. Metabolic activation of hepatotoxic drug (benzbromarone) induced mitochondrial membrane permeability transition. </w:t>
      </w:r>
      <w:proofErr w:type="spellStart"/>
      <w:r w:rsidRPr="000643FE">
        <w:rPr>
          <w:rFonts w:ascii="Book Antiqua" w:hAnsi="Book Antiqua"/>
          <w:i/>
          <w:sz w:val="24"/>
        </w:rPr>
        <w:t>Toxicol</w:t>
      </w:r>
      <w:proofErr w:type="spellEnd"/>
      <w:r w:rsidRPr="000643FE">
        <w:rPr>
          <w:rFonts w:ascii="Book Antiqua" w:hAnsi="Book Antiqua"/>
          <w:i/>
          <w:sz w:val="24"/>
        </w:rPr>
        <w:t xml:space="preserve"> </w:t>
      </w:r>
      <w:proofErr w:type="spellStart"/>
      <w:r w:rsidRPr="000643FE">
        <w:rPr>
          <w:rFonts w:ascii="Book Antiqua" w:hAnsi="Book Antiqua"/>
          <w:i/>
          <w:sz w:val="24"/>
        </w:rPr>
        <w:t>Appl</w:t>
      </w:r>
      <w:proofErr w:type="spellEnd"/>
      <w:r w:rsidRPr="000643FE">
        <w:rPr>
          <w:rFonts w:ascii="Book Antiqua" w:hAnsi="Book Antiqua"/>
          <w:i/>
          <w:sz w:val="24"/>
        </w:rPr>
        <w:t xml:space="preserve"> </w:t>
      </w:r>
      <w:proofErr w:type="spellStart"/>
      <w:r w:rsidRPr="000643FE">
        <w:rPr>
          <w:rFonts w:ascii="Book Antiqua" w:hAnsi="Book Antiqua"/>
          <w:i/>
          <w:sz w:val="24"/>
        </w:rPr>
        <w:t>Pharmacol</w:t>
      </w:r>
      <w:proofErr w:type="spellEnd"/>
      <w:r w:rsidRPr="000643FE">
        <w:rPr>
          <w:rFonts w:ascii="Book Antiqua" w:hAnsi="Book Antiqua"/>
          <w:sz w:val="24"/>
        </w:rPr>
        <w:t xml:space="preserve"> 2015; </w:t>
      </w:r>
      <w:r w:rsidRPr="000643FE">
        <w:rPr>
          <w:rFonts w:ascii="Book Antiqua" w:hAnsi="Book Antiqua"/>
          <w:b/>
          <w:sz w:val="24"/>
        </w:rPr>
        <w:t>288</w:t>
      </w:r>
      <w:r w:rsidRPr="000643FE">
        <w:rPr>
          <w:rFonts w:ascii="Book Antiqua" w:hAnsi="Book Antiqua"/>
          <w:sz w:val="24"/>
        </w:rPr>
        <w:t>: 12-18 [PMID: 26148448 DOI: 10.1016/j.taap.2015.06.018]</w:t>
      </w:r>
    </w:p>
    <w:p w14:paraId="4C339952"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14 </w:t>
      </w:r>
      <w:r w:rsidRPr="000643FE">
        <w:rPr>
          <w:rFonts w:ascii="Book Antiqua" w:hAnsi="Book Antiqua"/>
          <w:b/>
          <w:sz w:val="24"/>
        </w:rPr>
        <w:t>Yoshida M</w:t>
      </w:r>
      <w:r w:rsidRPr="000643FE">
        <w:rPr>
          <w:rFonts w:ascii="Book Antiqua" w:hAnsi="Book Antiqua"/>
          <w:sz w:val="24"/>
        </w:rPr>
        <w:t xml:space="preserve">, Cho N, Akita H, Kobayashi K. Association of a reactive intermediate derived from 1',6-dihydroxy metabolite with benzbromarone-induced hepatotoxicity. </w:t>
      </w:r>
      <w:r w:rsidRPr="000643FE">
        <w:rPr>
          <w:rFonts w:ascii="Book Antiqua" w:hAnsi="Book Antiqua"/>
          <w:i/>
          <w:sz w:val="24"/>
        </w:rPr>
        <w:t xml:space="preserve">J </w:t>
      </w:r>
      <w:proofErr w:type="spellStart"/>
      <w:r w:rsidRPr="000643FE">
        <w:rPr>
          <w:rFonts w:ascii="Book Antiqua" w:hAnsi="Book Antiqua"/>
          <w:i/>
          <w:sz w:val="24"/>
        </w:rPr>
        <w:t>Biochem</w:t>
      </w:r>
      <w:proofErr w:type="spellEnd"/>
      <w:r w:rsidRPr="000643FE">
        <w:rPr>
          <w:rFonts w:ascii="Book Antiqua" w:hAnsi="Book Antiqua"/>
          <w:i/>
          <w:sz w:val="24"/>
        </w:rPr>
        <w:t xml:space="preserve"> </w:t>
      </w:r>
      <w:proofErr w:type="spellStart"/>
      <w:r w:rsidRPr="000643FE">
        <w:rPr>
          <w:rFonts w:ascii="Book Antiqua" w:hAnsi="Book Antiqua"/>
          <w:i/>
          <w:sz w:val="24"/>
        </w:rPr>
        <w:t>Mol</w:t>
      </w:r>
      <w:proofErr w:type="spellEnd"/>
      <w:r w:rsidRPr="000643FE">
        <w:rPr>
          <w:rFonts w:ascii="Book Antiqua" w:hAnsi="Book Antiqua"/>
          <w:i/>
          <w:sz w:val="24"/>
        </w:rPr>
        <w:t xml:space="preserve"> </w:t>
      </w:r>
      <w:proofErr w:type="spellStart"/>
      <w:r w:rsidRPr="000643FE">
        <w:rPr>
          <w:rFonts w:ascii="Book Antiqua" w:hAnsi="Book Antiqua"/>
          <w:i/>
          <w:sz w:val="24"/>
        </w:rPr>
        <w:t>Toxicol</w:t>
      </w:r>
      <w:proofErr w:type="spellEnd"/>
      <w:r w:rsidRPr="000643FE">
        <w:rPr>
          <w:rFonts w:ascii="Book Antiqua" w:hAnsi="Book Antiqua"/>
          <w:sz w:val="24"/>
        </w:rPr>
        <w:t xml:space="preserve"> 2017; </w:t>
      </w:r>
      <w:r w:rsidRPr="000643FE">
        <w:rPr>
          <w:rFonts w:ascii="Book Antiqua" w:hAnsi="Book Antiqua"/>
          <w:b/>
          <w:sz w:val="24"/>
        </w:rPr>
        <w:t>31</w:t>
      </w:r>
      <w:r w:rsidRPr="000643FE">
        <w:rPr>
          <w:rFonts w:ascii="Book Antiqua" w:hAnsi="Book Antiqua"/>
          <w:sz w:val="24"/>
        </w:rPr>
        <w:t xml:space="preserve"> [PMID: 28598529 DOI: 10.1002/jbt.21946]</w:t>
      </w:r>
    </w:p>
    <w:p w14:paraId="728DBE65"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15 </w:t>
      </w:r>
      <w:r w:rsidRPr="000643FE">
        <w:rPr>
          <w:rFonts w:ascii="Book Antiqua" w:hAnsi="Book Antiqua"/>
          <w:b/>
          <w:sz w:val="24"/>
        </w:rPr>
        <w:t>Cho N</w:t>
      </w:r>
      <w:r w:rsidRPr="000643FE">
        <w:rPr>
          <w:rFonts w:ascii="Book Antiqua" w:hAnsi="Book Antiqua"/>
          <w:sz w:val="24"/>
        </w:rPr>
        <w:t xml:space="preserve">, Kobayashi K, Yoshida M, </w:t>
      </w:r>
      <w:proofErr w:type="spellStart"/>
      <w:r w:rsidRPr="000643FE">
        <w:rPr>
          <w:rFonts w:ascii="Book Antiqua" w:hAnsi="Book Antiqua"/>
          <w:sz w:val="24"/>
        </w:rPr>
        <w:t>Kogure</w:t>
      </w:r>
      <w:proofErr w:type="spellEnd"/>
      <w:r w:rsidRPr="000643FE">
        <w:rPr>
          <w:rFonts w:ascii="Book Antiqua" w:hAnsi="Book Antiqua"/>
          <w:sz w:val="24"/>
        </w:rPr>
        <w:t xml:space="preserve"> N, </w:t>
      </w:r>
      <w:proofErr w:type="spellStart"/>
      <w:r w:rsidRPr="000643FE">
        <w:rPr>
          <w:rFonts w:ascii="Book Antiqua" w:hAnsi="Book Antiqua"/>
          <w:sz w:val="24"/>
        </w:rPr>
        <w:t>Takayama</w:t>
      </w:r>
      <w:proofErr w:type="spellEnd"/>
      <w:r w:rsidRPr="000643FE">
        <w:rPr>
          <w:rFonts w:ascii="Book Antiqua" w:hAnsi="Book Antiqua"/>
          <w:sz w:val="24"/>
        </w:rPr>
        <w:t xml:space="preserve"> H, Chiba K. Identification of novel glutathione adducts of benzbromarone in human liver microsomes. </w:t>
      </w:r>
      <w:r w:rsidRPr="000643FE">
        <w:rPr>
          <w:rFonts w:ascii="Book Antiqua" w:hAnsi="Book Antiqua"/>
          <w:i/>
          <w:sz w:val="24"/>
        </w:rPr>
        <w:t xml:space="preserve">Drug </w:t>
      </w:r>
      <w:proofErr w:type="spellStart"/>
      <w:r w:rsidRPr="000643FE">
        <w:rPr>
          <w:rFonts w:ascii="Book Antiqua" w:hAnsi="Book Antiqua"/>
          <w:i/>
          <w:sz w:val="24"/>
        </w:rPr>
        <w:t>Metab</w:t>
      </w:r>
      <w:proofErr w:type="spellEnd"/>
      <w:r w:rsidRPr="000643FE">
        <w:rPr>
          <w:rFonts w:ascii="Book Antiqua" w:hAnsi="Book Antiqua"/>
          <w:i/>
          <w:sz w:val="24"/>
        </w:rPr>
        <w:t xml:space="preserve"> </w:t>
      </w:r>
      <w:proofErr w:type="spellStart"/>
      <w:r w:rsidRPr="000643FE">
        <w:rPr>
          <w:rFonts w:ascii="Book Antiqua" w:hAnsi="Book Antiqua"/>
          <w:i/>
          <w:sz w:val="24"/>
        </w:rPr>
        <w:t>Pharmacokinet</w:t>
      </w:r>
      <w:proofErr w:type="spellEnd"/>
      <w:r w:rsidRPr="000643FE">
        <w:rPr>
          <w:rFonts w:ascii="Book Antiqua" w:hAnsi="Book Antiqua"/>
          <w:sz w:val="24"/>
        </w:rPr>
        <w:t xml:space="preserve"> 2017; </w:t>
      </w:r>
      <w:r w:rsidRPr="000643FE">
        <w:rPr>
          <w:rFonts w:ascii="Book Antiqua" w:hAnsi="Book Antiqua"/>
          <w:b/>
          <w:sz w:val="24"/>
        </w:rPr>
        <w:t>32</w:t>
      </w:r>
      <w:r w:rsidRPr="000643FE">
        <w:rPr>
          <w:rFonts w:ascii="Book Antiqua" w:hAnsi="Book Antiqua"/>
          <w:sz w:val="24"/>
        </w:rPr>
        <w:t>: 46-52 [PMID: 28131653 DOI: 10.1016/j.dmpk.2016.10.412]</w:t>
      </w:r>
    </w:p>
    <w:p w14:paraId="42CE2034"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16 </w:t>
      </w:r>
      <w:r w:rsidRPr="000643FE">
        <w:rPr>
          <w:rFonts w:ascii="Book Antiqua" w:hAnsi="Book Antiqua"/>
          <w:b/>
          <w:sz w:val="24"/>
        </w:rPr>
        <w:t>Kobayashi K</w:t>
      </w:r>
      <w:r w:rsidRPr="000643FE">
        <w:rPr>
          <w:rFonts w:ascii="Book Antiqua" w:hAnsi="Book Antiqua"/>
          <w:sz w:val="24"/>
        </w:rPr>
        <w:t xml:space="preserve">, </w:t>
      </w:r>
      <w:proofErr w:type="spellStart"/>
      <w:r w:rsidRPr="000643FE">
        <w:rPr>
          <w:rFonts w:ascii="Book Antiqua" w:hAnsi="Book Antiqua"/>
          <w:sz w:val="24"/>
        </w:rPr>
        <w:t>Kajiwara</w:t>
      </w:r>
      <w:proofErr w:type="spellEnd"/>
      <w:r w:rsidRPr="000643FE">
        <w:rPr>
          <w:rFonts w:ascii="Book Antiqua" w:hAnsi="Book Antiqua"/>
          <w:sz w:val="24"/>
        </w:rPr>
        <w:t xml:space="preserve"> E, Ishikawa M, Oka H, Chiba K. Identification of CYP isozymes involved in benzbromarone metabolism in human liver microsomes. </w:t>
      </w:r>
      <w:proofErr w:type="spellStart"/>
      <w:r w:rsidRPr="000643FE">
        <w:rPr>
          <w:rFonts w:ascii="Book Antiqua" w:hAnsi="Book Antiqua"/>
          <w:i/>
          <w:sz w:val="24"/>
        </w:rPr>
        <w:t>Biopharm</w:t>
      </w:r>
      <w:proofErr w:type="spellEnd"/>
      <w:r w:rsidRPr="000643FE">
        <w:rPr>
          <w:rFonts w:ascii="Book Antiqua" w:hAnsi="Book Antiqua"/>
          <w:i/>
          <w:sz w:val="24"/>
        </w:rPr>
        <w:t xml:space="preserve"> Drug </w:t>
      </w:r>
      <w:proofErr w:type="spellStart"/>
      <w:r w:rsidRPr="000643FE">
        <w:rPr>
          <w:rFonts w:ascii="Book Antiqua" w:hAnsi="Book Antiqua"/>
          <w:i/>
          <w:sz w:val="24"/>
        </w:rPr>
        <w:t>Dispos</w:t>
      </w:r>
      <w:proofErr w:type="spellEnd"/>
      <w:r w:rsidRPr="000643FE">
        <w:rPr>
          <w:rFonts w:ascii="Book Antiqua" w:hAnsi="Book Antiqua"/>
          <w:sz w:val="24"/>
        </w:rPr>
        <w:t xml:space="preserve"> 2012; </w:t>
      </w:r>
      <w:r w:rsidRPr="000643FE">
        <w:rPr>
          <w:rFonts w:ascii="Book Antiqua" w:hAnsi="Book Antiqua"/>
          <w:b/>
          <w:sz w:val="24"/>
        </w:rPr>
        <w:t>33</w:t>
      </w:r>
      <w:r w:rsidRPr="000643FE">
        <w:rPr>
          <w:rFonts w:ascii="Book Antiqua" w:hAnsi="Book Antiqua"/>
          <w:sz w:val="24"/>
        </w:rPr>
        <w:t>: 466-473 [PMID: 22933344 DOI: 10.1002/bdd.1813]</w:t>
      </w:r>
    </w:p>
    <w:p w14:paraId="78B639F0"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17 </w:t>
      </w:r>
      <w:r w:rsidRPr="000643FE">
        <w:rPr>
          <w:rFonts w:ascii="Book Antiqua" w:hAnsi="Book Antiqua"/>
          <w:b/>
          <w:sz w:val="24"/>
        </w:rPr>
        <w:t xml:space="preserve">van der </w:t>
      </w:r>
      <w:proofErr w:type="spellStart"/>
      <w:r w:rsidRPr="000643FE">
        <w:rPr>
          <w:rFonts w:ascii="Book Antiqua" w:hAnsi="Book Antiqua"/>
          <w:b/>
          <w:sz w:val="24"/>
        </w:rPr>
        <w:t>Klauw</w:t>
      </w:r>
      <w:proofErr w:type="spellEnd"/>
      <w:r w:rsidRPr="000643FE">
        <w:rPr>
          <w:rFonts w:ascii="Book Antiqua" w:hAnsi="Book Antiqua"/>
          <w:b/>
          <w:sz w:val="24"/>
        </w:rPr>
        <w:t xml:space="preserve"> MM</w:t>
      </w:r>
      <w:r w:rsidRPr="000643FE">
        <w:rPr>
          <w:rFonts w:ascii="Book Antiqua" w:hAnsi="Book Antiqua"/>
          <w:sz w:val="24"/>
        </w:rPr>
        <w:t xml:space="preserve">, </w:t>
      </w:r>
      <w:proofErr w:type="spellStart"/>
      <w:r w:rsidRPr="000643FE">
        <w:rPr>
          <w:rFonts w:ascii="Book Antiqua" w:hAnsi="Book Antiqua"/>
          <w:sz w:val="24"/>
        </w:rPr>
        <w:t>Houtman</w:t>
      </w:r>
      <w:proofErr w:type="spellEnd"/>
      <w:r w:rsidRPr="000643FE">
        <w:rPr>
          <w:rFonts w:ascii="Book Antiqua" w:hAnsi="Book Antiqua"/>
          <w:sz w:val="24"/>
        </w:rPr>
        <w:t xml:space="preserve"> PM, Stricker BH, Spoelstra P. Hepatic injury caused by benzbromarone. </w:t>
      </w:r>
      <w:r w:rsidRPr="000643FE">
        <w:rPr>
          <w:rFonts w:ascii="Book Antiqua" w:hAnsi="Book Antiqua"/>
          <w:i/>
          <w:sz w:val="24"/>
        </w:rPr>
        <w:t xml:space="preserve">J </w:t>
      </w:r>
      <w:proofErr w:type="spellStart"/>
      <w:r w:rsidRPr="000643FE">
        <w:rPr>
          <w:rFonts w:ascii="Book Antiqua" w:hAnsi="Book Antiqua"/>
          <w:i/>
          <w:sz w:val="24"/>
        </w:rPr>
        <w:t>Hepatol</w:t>
      </w:r>
      <w:proofErr w:type="spellEnd"/>
      <w:r w:rsidRPr="000643FE">
        <w:rPr>
          <w:rFonts w:ascii="Book Antiqua" w:hAnsi="Book Antiqua"/>
          <w:sz w:val="24"/>
        </w:rPr>
        <w:t xml:space="preserve"> 1994; </w:t>
      </w:r>
      <w:r w:rsidRPr="000643FE">
        <w:rPr>
          <w:rFonts w:ascii="Book Antiqua" w:hAnsi="Book Antiqua"/>
          <w:b/>
          <w:sz w:val="24"/>
        </w:rPr>
        <w:t>20</w:t>
      </w:r>
      <w:r w:rsidRPr="000643FE">
        <w:rPr>
          <w:rFonts w:ascii="Book Antiqua" w:hAnsi="Book Antiqua"/>
          <w:sz w:val="24"/>
        </w:rPr>
        <w:t>: 376-379 [PMID: 8014449 DOI: 10.1016/S0168-8278(94)80011-1]</w:t>
      </w:r>
    </w:p>
    <w:p w14:paraId="01D99E3C"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18 </w:t>
      </w:r>
      <w:proofErr w:type="spellStart"/>
      <w:r w:rsidRPr="000643FE">
        <w:rPr>
          <w:rFonts w:ascii="Book Antiqua" w:hAnsi="Book Antiqua"/>
          <w:b/>
          <w:sz w:val="24"/>
        </w:rPr>
        <w:t>Wagayama</w:t>
      </w:r>
      <w:proofErr w:type="spellEnd"/>
      <w:r w:rsidRPr="000643FE">
        <w:rPr>
          <w:rFonts w:ascii="Book Antiqua" w:hAnsi="Book Antiqua"/>
          <w:b/>
          <w:sz w:val="24"/>
        </w:rPr>
        <w:t xml:space="preserve"> H</w:t>
      </w:r>
      <w:r w:rsidRPr="000643FE">
        <w:rPr>
          <w:rFonts w:ascii="Book Antiqua" w:hAnsi="Book Antiqua"/>
          <w:sz w:val="24"/>
        </w:rPr>
        <w:t xml:space="preserve">, </w:t>
      </w:r>
      <w:proofErr w:type="spellStart"/>
      <w:r w:rsidRPr="000643FE">
        <w:rPr>
          <w:rFonts w:ascii="Book Antiqua" w:hAnsi="Book Antiqua"/>
          <w:sz w:val="24"/>
        </w:rPr>
        <w:t>Shiraki</w:t>
      </w:r>
      <w:proofErr w:type="spellEnd"/>
      <w:r w:rsidRPr="000643FE">
        <w:rPr>
          <w:rFonts w:ascii="Book Antiqua" w:hAnsi="Book Antiqua"/>
          <w:sz w:val="24"/>
        </w:rPr>
        <w:t xml:space="preserve"> K, Sugimoto K, Fujikawa K, Shimizu A, Takase K, Nakano T, </w:t>
      </w:r>
      <w:proofErr w:type="spellStart"/>
      <w:r w:rsidRPr="000643FE">
        <w:rPr>
          <w:rFonts w:ascii="Book Antiqua" w:hAnsi="Book Antiqua"/>
          <w:sz w:val="24"/>
        </w:rPr>
        <w:t>Tameda</w:t>
      </w:r>
      <w:proofErr w:type="spellEnd"/>
      <w:r w:rsidRPr="000643FE">
        <w:rPr>
          <w:rFonts w:ascii="Book Antiqua" w:hAnsi="Book Antiqua"/>
          <w:sz w:val="24"/>
        </w:rPr>
        <w:t xml:space="preserve"> Y. Fatal fulminant hepatic failure associated with benzbromarone. </w:t>
      </w:r>
      <w:r w:rsidRPr="000643FE">
        <w:rPr>
          <w:rFonts w:ascii="Book Antiqua" w:hAnsi="Book Antiqua"/>
          <w:i/>
          <w:sz w:val="24"/>
        </w:rPr>
        <w:t xml:space="preserve">J </w:t>
      </w:r>
      <w:proofErr w:type="spellStart"/>
      <w:r w:rsidRPr="000643FE">
        <w:rPr>
          <w:rFonts w:ascii="Book Antiqua" w:hAnsi="Book Antiqua"/>
          <w:i/>
          <w:sz w:val="24"/>
        </w:rPr>
        <w:t>Hepatol</w:t>
      </w:r>
      <w:proofErr w:type="spellEnd"/>
      <w:r w:rsidRPr="000643FE">
        <w:rPr>
          <w:rFonts w:ascii="Book Antiqua" w:hAnsi="Book Antiqua"/>
          <w:sz w:val="24"/>
        </w:rPr>
        <w:t xml:space="preserve"> 2000; </w:t>
      </w:r>
      <w:r w:rsidRPr="000643FE">
        <w:rPr>
          <w:rFonts w:ascii="Book Antiqua" w:hAnsi="Book Antiqua"/>
          <w:b/>
          <w:sz w:val="24"/>
        </w:rPr>
        <w:t>32</w:t>
      </w:r>
      <w:r w:rsidRPr="000643FE">
        <w:rPr>
          <w:rFonts w:ascii="Book Antiqua" w:hAnsi="Book Antiqua"/>
          <w:sz w:val="24"/>
        </w:rPr>
        <w:t>: 874 [PMID: 10845680</w:t>
      </w:r>
      <w:r w:rsidR="00007F4B" w:rsidRPr="000643FE">
        <w:rPr>
          <w:rFonts w:ascii="Book Antiqua" w:hAnsi="Book Antiqua"/>
          <w:sz w:val="24"/>
        </w:rPr>
        <w:t xml:space="preserve"> DOI: </w:t>
      </w:r>
      <w:hyperlink r:id="rId12" w:tgtFrame="_blank" w:history="1">
        <w:r w:rsidR="00007F4B" w:rsidRPr="000643FE">
          <w:rPr>
            <w:rFonts w:ascii="Book Antiqua" w:hAnsi="Book Antiqua"/>
            <w:sz w:val="24"/>
          </w:rPr>
          <w:t>10.1016/S0168-8278(00)80263-9</w:t>
        </w:r>
      </w:hyperlink>
      <w:r w:rsidRPr="000643FE">
        <w:rPr>
          <w:rFonts w:ascii="Book Antiqua" w:hAnsi="Book Antiqua"/>
          <w:sz w:val="24"/>
        </w:rPr>
        <w:t>]</w:t>
      </w:r>
    </w:p>
    <w:p w14:paraId="14980298"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19 </w:t>
      </w:r>
      <w:r w:rsidRPr="000643FE">
        <w:rPr>
          <w:rFonts w:ascii="Book Antiqua" w:hAnsi="Book Antiqua"/>
          <w:b/>
          <w:sz w:val="24"/>
        </w:rPr>
        <w:t>Suzuki T</w:t>
      </w:r>
      <w:r w:rsidRPr="000643FE">
        <w:rPr>
          <w:rFonts w:ascii="Book Antiqua" w:hAnsi="Book Antiqua"/>
          <w:sz w:val="24"/>
        </w:rPr>
        <w:t xml:space="preserve">, Suzuki T, Kimura M, Shinoda M, Fujita T, Miyake N, Yamamoto S, Tashiro K. [A case of fulminant hepatitis, possibly caused by benzbromarone]. </w:t>
      </w:r>
      <w:r w:rsidRPr="000643FE">
        <w:rPr>
          <w:rFonts w:ascii="Book Antiqua" w:hAnsi="Book Antiqua"/>
          <w:i/>
          <w:sz w:val="24"/>
        </w:rPr>
        <w:t xml:space="preserve">Nihon </w:t>
      </w:r>
      <w:proofErr w:type="spellStart"/>
      <w:r w:rsidRPr="000643FE">
        <w:rPr>
          <w:rFonts w:ascii="Book Antiqua" w:hAnsi="Book Antiqua"/>
          <w:i/>
          <w:sz w:val="24"/>
        </w:rPr>
        <w:t>Shokakibyo</w:t>
      </w:r>
      <w:proofErr w:type="spellEnd"/>
      <w:r w:rsidRPr="000643FE">
        <w:rPr>
          <w:rFonts w:ascii="Book Antiqua" w:hAnsi="Book Antiqua"/>
          <w:i/>
          <w:sz w:val="24"/>
        </w:rPr>
        <w:t xml:space="preserve"> Gakkai </w:t>
      </w:r>
      <w:proofErr w:type="spellStart"/>
      <w:r w:rsidRPr="000643FE">
        <w:rPr>
          <w:rFonts w:ascii="Book Antiqua" w:hAnsi="Book Antiqua"/>
          <w:i/>
          <w:sz w:val="24"/>
        </w:rPr>
        <w:t>Zasshi</w:t>
      </w:r>
      <w:proofErr w:type="spellEnd"/>
      <w:r w:rsidRPr="000643FE">
        <w:rPr>
          <w:rFonts w:ascii="Book Antiqua" w:hAnsi="Book Antiqua"/>
          <w:sz w:val="24"/>
        </w:rPr>
        <w:t xml:space="preserve"> 2001; </w:t>
      </w:r>
      <w:r w:rsidRPr="000643FE">
        <w:rPr>
          <w:rFonts w:ascii="Book Antiqua" w:hAnsi="Book Antiqua"/>
          <w:b/>
          <w:sz w:val="24"/>
        </w:rPr>
        <w:t>98</w:t>
      </w:r>
      <w:r w:rsidRPr="000643FE">
        <w:rPr>
          <w:rFonts w:ascii="Book Antiqua" w:hAnsi="Book Antiqua"/>
          <w:sz w:val="24"/>
        </w:rPr>
        <w:t>: 421-425 [PMID: 11400273]</w:t>
      </w:r>
    </w:p>
    <w:p w14:paraId="26A84DCD"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20 </w:t>
      </w:r>
      <w:r w:rsidRPr="000643FE">
        <w:rPr>
          <w:rFonts w:ascii="Book Antiqua" w:hAnsi="Book Antiqua"/>
          <w:b/>
          <w:sz w:val="24"/>
        </w:rPr>
        <w:t>Arai M</w:t>
      </w:r>
      <w:r w:rsidRPr="000643FE">
        <w:rPr>
          <w:rFonts w:ascii="Book Antiqua" w:hAnsi="Book Antiqua"/>
          <w:sz w:val="24"/>
        </w:rPr>
        <w:t xml:space="preserve">, Yokosuka O, Fujiwara K, Kojima H, Kanda T, </w:t>
      </w:r>
      <w:proofErr w:type="spellStart"/>
      <w:r w:rsidRPr="000643FE">
        <w:rPr>
          <w:rFonts w:ascii="Book Antiqua" w:hAnsi="Book Antiqua"/>
          <w:sz w:val="24"/>
        </w:rPr>
        <w:t>Hirasawa</w:t>
      </w:r>
      <w:proofErr w:type="spellEnd"/>
      <w:r w:rsidRPr="000643FE">
        <w:rPr>
          <w:rFonts w:ascii="Book Antiqua" w:hAnsi="Book Antiqua"/>
          <w:sz w:val="24"/>
        </w:rPr>
        <w:t xml:space="preserve"> H, </w:t>
      </w:r>
      <w:proofErr w:type="spellStart"/>
      <w:r w:rsidRPr="000643FE">
        <w:rPr>
          <w:rFonts w:ascii="Book Antiqua" w:hAnsi="Book Antiqua"/>
          <w:sz w:val="24"/>
        </w:rPr>
        <w:t>Saisho</w:t>
      </w:r>
      <w:proofErr w:type="spellEnd"/>
      <w:r w:rsidRPr="000643FE">
        <w:rPr>
          <w:rFonts w:ascii="Book Antiqua" w:hAnsi="Book Antiqua"/>
          <w:sz w:val="24"/>
        </w:rPr>
        <w:t xml:space="preserve"> H. Fulminant hepatic failure associated with benzbromarone treatment: a case report. </w:t>
      </w:r>
      <w:r w:rsidRPr="000643FE">
        <w:rPr>
          <w:rFonts w:ascii="Book Antiqua" w:hAnsi="Book Antiqua"/>
          <w:i/>
          <w:sz w:val="24"/>
        </w:rPr>
        <w:t xml:space="preserve">J </w:t>
      </w:r>
      <w:proofErr w:type="spellStart"/>
      <w:r w:rsidRPr="000643FE">
        <w:rPr>
          <w:rFonts w:ascii="Book Antiqua" w:hAnsi="Book Antiqua"/>
          <w:i/>
          <w:sz w:val="24"/>
        </w:rPr>
        <w:t>Gastroenterol</w:t>
      </w:r>
      <w:proofErr w:type="spellEnd"/>
      <w:r w:rsidRPr="000643FE">
        <w:rPr>
          <w:rFonts w:ascii="Book Antiqua" w:hAnsi="Book Antiqua"/>
          <w:i/>
          <w:sz w:val="24"/>
        </w:rPr>
        <w:t xml:space="preserve"> </w:t>
      </w:r>
      <w:proofErr w:type="spellStart"/>
      <w:r w:rsidRPr="000643FE">
        <w:rPr>
          <w:rFonts w:ascii="Book Antiqua" w:hAnsi="Book Antiqua"/>
          <w:i/>
          <w:sz w:val="24"/>
        </w:rPr>
        <w:t>Hepatol</w:t>
      </w:r>
      <w:proofErr w:type="spellEnd"/>
      <w:r w:rsidRPr="000643FE">
        <w:rPr>
          <w:rFonts w:ascii="Book Antiqua" w:hAnsi="Book Antiqua"/>
          <w:sz w:val="24"/>
        </w:rPr>
        <w:t xml:space="preserve"> 2002; </w:t>
      </w:r>
      <w:r w:rsidRPr="000643FE">
        <w:rPr>
          <w:rFonts w:ascii="Book Antiqua" w:hAnsi="Book Antiqua"/>
          <w:b/>
          <w:sz w:val="24"/>
        </w:rPr>
        <w:t>17</w:t>
      </w:r>
      <w:r w:rsidRPr="000643FE">
        <w:rPr>
          <w:rFonts w:ascii="Book Antiqua" w:hAnsi="Book Antiqua"/>
          <w:sz w:val="24"/>
        </w:rPr>
        <w:t>: 625-626 [PMID: 12084041 DOI: 10.1046/j.1440-1746.2002.02692.x]</w:t>
      </w:r>
    </w:p>
    <w:p w14:paraId="21BD6E04"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21 </w:t>
      </w:r>
      <w:r w:rsidRPr="000643FE">
        <w:rPr>
          <w:rFonts w:ascii="Book Antiqua" w:hAnsi="Book Antiqua"/>
          <w:b/>
          <w:sz w:val="24"/>
        </w:rPr>
        <w:t>Hou GC</w:t>
      </w:r>
      <w:r w:rsidRPr="000643FE">
        <w:rPr>
          <w:rFonts w:ascii="Book Antiqua" w:hAnsi="Book Antiqua"/>
          <w:sz w:val="24"/>
        </w:rPr>
        <w:t xml:space="preserve">, Sun XL. A case of acute liver injury caused by Benzbromarone. </w:t>
      </w:r>
      <w:proofErr w:type="spellStart"/>
      <w:r w:rsidRPr="000643FE">
        <w:rPr>
          <w:rFonts w:ascii="Book Antiqua" w:hAnsi="Book Antiqua"/>
          <w:i/>
          <w:sz w:val="24"/>
        </w:rPr>
        <w:t>Linchuang</w:t>
      </w:r>
      <w:proofErr w:type="spellEnd"/>
      <w:r w:rsidRPr="000643FE">
        <w:rPr>
          <w:rFonts w:ascii="Book Antiqua" w:hAnsi="Book Antiqua"/>
          <w:i/>
          <w:sz w:val="24"/>
        </w:rPr>
        <w:t xml:space="preserve"> </w:t>
      </w:r>
      <w:proofErr w:type="spellStart"/>
      <w:r w:rsidRPr="000643FE">
        <w:rPr>
          <w:rFonts w:ascii="Book Antiqua" w:hAnsi="Book Antiqua"/>
          <w:i/>
          <w:sz w:val="24"/>
        </w:rPr>
        <w:t>Yiyao</w:t>
      </w:r>
      <w:proofErr w:type="spellEnd"/>
      <w:r w:rsidRPr="000643FE">
        <w:rPr>
          <w:rFonts w:ascii="Book Antiqua" w:hAnsi="Book Antiqua"/>
          <w:i/>
          <w:sz w:val="24"/>
        </w:rPr>
        <w:t xml:space="preserve"> </w:t>
      </w:r>
      <w:proofErr w:type="spellStart"/>
      <w:r w:rsidRPr="000643FE">
        <w:rPr>
          <w:rFonts w:ascii="Book Antiqua" w:hAnsi="Book Antiqua"/>
          <w:i/>
          <w:sz w:val="24"/>
        </w:rPr>
        <w:t>Shijian</w:t>
      </w:r>
      <w:proofErr w:type="spellEnd"/>
      <w:r w:rsidRPr="000643FE">
        <w:rPr>
          <w:rFonts w:ascii="Book Antiqua" w:hAnsi="Book Antiqua"/>
          <w:sz w:val="24"/>
        </w:rPr>
        <w:t xml:space="preserve"> 2009;</w:t>
      </w:r>
      <w:r w:rsidRPr="000643FE">
        <w:rPr>
          <w:rFonts w:ascii="Book Antiqua" w:hAnsi="Book Antiqua"/>
          <w:b/>
          <w:sz w:val="24"/>
        </w:rPr>
        <w:t xml:space="preserve"> 18</w:t>
      </w:r>
      <w:r w:rsidRPr="000643FE">
        <w:rPr>
          <w:rFonts w:ascii="Book Antiqua" w:hAnsi="Book Antiqua"/>
          <w:sz w:val="24"/>
        </w:rPr>
        <w:t>: 471</w:t>
      </w:r>
    </w:p>
    <w:p w14:paraId="7B32604C"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22 </w:t>
      </w:r>
      <w:r w:rsidRPr="000643FE">
        <w:rPr>
          <w:rFonts w:ascii="Book Antiqua" w:hAnsi="Book Antiqua"/>
          <w:b/>
          <w:sz w:val="24"/>
        </w:rPr>
        <w:t>Haring B</w:t>
      </w:r>
      <w:r w:rsidRPr="000643FE">
        <w:rPr>
          <w:rFonts w:ascii="Book Antiqua" w:hAnsi="Book Antiqua"/>
          <w:sz w:val="24"/>
        </w:rPr>
        <w:t xml:space="preserve">, </w:t>
      </w:r>
      <w:proofErr w:type="spellStart"/>
      <w:r w:rsidRPr="000643FE">
        <w:rPr>
          <w:rFonts w:ascii="Book Antiqua" w:hAnsi="Book Antiqua"/>
          <w:sz w:val="24"/>
        </w:rPr>
        <w:t>Kudlich</w:t>
      </w:r>
      <w:proofErr w:type="spellEnd"/>
      <w:r w:rsidRPr="000643FE">
        <w:rPr>
          <w:rFonts w:ascii="Book Antiqua" w:hAnsi="Book Antiqua"/>
          <w:sz w:val="24"/>
        </w:rPr>
        <w:t xml:space="preserve"> T, </w:t>
      </w:r>
      <w:proofErr w:type="spellStart"/>
      <w:r w:rsidRPr="000643FE">
        <w:rPr>
          <w:rFonts w:ascii="Book Antiqua" w:hAnsi="Book Antiqua"/>
          <w:sz w:val="24"/>
        </w:rPr>
        <w:t>Rauthe</w:t>
      </w:r>
      <w:proofErr w:type="spellEnd"/>
      <w:r w:rsidRPr="000643FE">
        <w:rPr>
          <w:rFonts w:ascii="Book Antiqua" w:hAnsi="Book Antiqua"/>
          <w:sz w:val="24"/>
        </w:rPr>
        <w:t xml:space="preserve"> S, Melcher R, Geier A. Benzbromarone: a double-edged sword that cuts the liver? </w:t>
      </w:r>
      <w:proofErr w:type="spellStart"/>
      <w:r w:rsidRPr="000643FE">
        <w:rPr>
          <w:rFonts w:ascii="Book Antiqua" w:hAnsi="Book Antiqua"/>
          <w:i/>
          <w:sz w:val="24"/>
        </w:rPr>
        <w:t>Eur</w:t>
      </w:r>
      <w:proofErr w:type="spellEnd"/>
      <w:r w:rsidRPr="000643FE">
        <w:rPr>
          <w:rFonts w:ascii="Book Antiqua" w:hAnsi="Book Antiqua"/>
          <w:i/>
          <w:sz w:val="24"/>
        </w:rPr>
        <w:t xml:space="preserve"> J </w:t>
      </w:r>
      <w:proofErr w:type="spellStart"/>
      <w:r w:rsidRPr="000643FE">
        <w:rPr>
          <w:rFonts w:ascii="Book Antiqua" w:hAnsi="Book Antiqua"/>
          <w:i/>
          <w:sz w:val="24"/>
        </w:rPr>
        <w:t>Gastroenterol</w:t>
      </w:r>
      <w:proofErr w:type="spellEnd"/>
      <w:r w:rsidRPr="000643FE">
        <w:rPr>
          <w:rFonts w:ascii="Book Antiqua" w:hAnsi="Book Antiqua"/>
          <w:i/>
          <w:sz w:val="24"/>
        </w:rPr>
        <w:t xml:space="preserve"> </w:t>
      </w:r>
      <w:proofErr w:type="spellStart"/>
      <w:r w:rsidRPr="000643FE">
        <w:rPr>
          <w:rFonts w:ascii="Book Antiqua" w:hAnsi="Book Antiqua"/>
          <w:i/>
          <w:sz w:val="24"/>
        </w:rPr>
        <w:t>Hepatol</w:t>
      </w:r>
      <w:proofErr w:type="spellEnd"/>
      <w:r w:rsidRPr="000643FE">
        <w:rPr>
          <w:rFonts w:ascii="Book Antiqua" w:hAnsi="Book Antiqua"/>
          <w:sz w:val="24"/>
        </w:rPr>
        <w:t xml:space="preserve"> 2013; </w:t>
      </w:r>
      <w:r w:rsidRPr="000643FE">
        <w:rPr>
          <w:rFonts w:ascii="Book Antiqua" w:hAnsi="Book Antiqua"/>
          <w:b/>
          <w:sz w:val="24"/>
        </w:rPr>
        <w:t>25</w:t>
      </w:r>
      <w:r w:rsidRPr="000643FE">
        <w:rPr>
          <w:rFonts w:ascii="Book Antiqua" w:hAnsi="Book Antiqua"/>
          <w:sz w:val="24"/>
        </w:rPr>
        <w:t>: 119-121 [PMID: 23196726 DOI: 10.1097/MEG.0b013e328358ace9]</w:t>
      </w:r>
    </w:p>
    <w:p w14:paraId="56A54370"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23 </w:t>
      </w:r>
      <w:proofErr w:type="spellStart"/>
      <w:r w:rsidRPr="000643FE">
        <w:rPr>
          <w:rFonts w:ascii="Book Antiqua" w:hAnsi="Book Antiqua"/>
          <w:b/>
          <w:sz w:val="24"/>
        </w:rPr>
        <w:t>Haga</w:t>
      </w:r>
      <w:proofErr w:type="spellEnd"/>
      <w:r w:rsidRPr="000643FE">
        <w:rPr>
          <w:rFonts w:ascii="Book Antiqua" w:hAnsi="Book Antiqua"/>
          <w:b/>
          <w:sz w:val="24"/>
        </w:rPr>
        <w:t xml:space="preserve"> Y</w:t>
      </w:r>
      <w:r w:rsidRPr="000643FE">
        <w:rPr>
          <w:rFonts w:ascii="Book Antiqua" w:hAnsi="Book Antiqua"/>
          <w:sz w:val="24"/>
        </w:rPr>
        <w:t xml:space="preserve">, </w:t>
      </w:r>
      <w:proofErr w:type="spellStart"/>
      <w:r w:rsidRPr="000643FE">
        <w:rPr>
          <w:rFonts w:ascii="Book Antiqua" w:hAnsi="Book Antiqua"/>
          <w:sz w:val="24"/>
        </w:rPr>
        <w:t>Yasui</w:t>
      </w:r>
      <w:proofErr w:type="spellEnd"/>
      <w:r w:rsidRPr="000643FE">
        <w:rPr>
          <w:rFonts w:ascii="Book Antiqua" w:hAnsi="Book Antiqua"/>
          <w:sz w:val="24"/>
        </w:rPr>
        <w:t xml:space="preserve"> S, Kanda T, Hattori N, Wakamatsu T, Nakamura M, Sasaki R, Wu S, Nakamoto S, Arai M, Maruyama H, </w:t>
      </w:r>
      <w:proofErr w:type="spellStart"/>
      <w:r w:rsidRPr="000643FE">
        <w:rPr>
          <w:rFonts w:ascii="Book Antiqua" w:hAnsi="Book Antiqua"/>
          <w:sz w:val="24"/>
        </w:rPr>
        <w:t>Ohtsuka</w:t>
      </w:r>
      <w:proofErr w:type="spellEnd"/>
      <w:r w:rsidRPr="000643FE">
        <w:rPr>
          <w:rFonts w:ascii="Book Antiqua" w:hAnsi="Book Antiqua"/>
          <w:sz w:val="24"/>
        </w:rPr>
        <w:t xml:space="preserve"> M, Oda S, Miyazaki M, Yokosuka O. Successful Management of Acute Liver Failure Patients Waiting for Liver Transplantation by On-Line Hemodiafiltration with an Arteriovenous Fistula. </w:t>
      </w:r>
      <w:r w:rsidRPr="000643FE">
        <w:rPr>
          <w:rFonts w:ascii="Book Antiqua" w:hAnsi="Book Antiqua"/>
          <w:i/>
          <w:sz w:val="24"/>
        </w:rPr>
        <w:t>Case Rep Gastroenterol</w:t>
      </w:r>
      <w:r w:rsidRPr="000643FE">
        <w:rPr>
          <w:rFonts w:ascii="Book Antiqua" w:hAnsi="Book Antiqua"/>
          <w:sz w:val="24"/>
        </w:rPr>
        <w:t xml:space="preserve"> 2016; </w:t>
      </w:r>
      <w:r w:rsidRPr="000643FE">
        <w:rPr>
          <w:rFonts w:ascii="Book Antiqua" w:hAnsi="Book Antiqua"/>
          <w:b/>
          <w:sz w:val="24"/>
        </w:rPr>
        <w:t>10</w:t>
      </w:r>
      <w:r w:rsidRPr="000643FE">
        <w:rPr>
          <w:rFonts w:ascii="Book Antiqua" w:hAnsi="Book Antiqua"/>
          <w:sz w:val="24"/>
        </w:rPr>
        <w:t>: 139-145 [PMID: 27403116 DOI: 10.1159/000445186]</w:t>
      </w:r>
    </w:p>
    <w:p w14:paraId="1D18F509"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24 </w:t>
      </w:r>
      <w:r w:rsidRPr="000643FE">
        <w:rPr>
          <w:rFonts w:ascii="Book Antiqua" w:hAnsi="Book Antiqua"/>
          <w:b/>
          <w:sz w:val="24"/>
        </w:rPr>
        <w:t>Zhu FY</w:t>
      </w:r>
      <w:r w:rsidRPr="000643FE">
        <w:rPr>
          <w:rFonts w:ascii="Book Antiqua" w:hAnsi="Book Antiqua"/>
          <w:sz w:val="24"/>
        </w:rPr>
        <w:t xml:space="preserve">, Meng Q. A severe case of acute liver injury caused by Benzbromarone. </w:t>
      </w:r>
      <w:r w:rsidRPr="000643FE">
        <w:rPr>
          <w:rFonts w:ascii="Book Antiqua" w:hAnsi="Book Antiqua"/>
          <w:i/>
          <w:sz w:val="24"/>
        </w:rPr>
        <w:t>Chinese Hepatology</w:t>
      </w:r>
      <w:r w:rsidRPr="000643FE">
        <w:rPr>
          <w:rFonts w:ascii="Book Antiqua" w:hAnsi="Book Antiqua"/>
          <w:sz w:val="24"/>
        </w:rPr>
        <w:t xml:space="preserve"> 2017; </w:t>
      </w:r>
      <w:r w:rsidRPr="000643FE">
        <w:rPr>
          <w:rFonts w:ascii="Book Antiqua" w:hAnsi="Book Antiqua"/>
          <w:b/>
          <w:sz w:val="24"/>
        </w:rPr>
        <w:t>22</w:t>
      </w:r>
      <w:r w:rsidRPr="000643FE">
        <w:rPr>
          <w:rFonts w:ascii="Book Antiqua" w:hAnsi="Book Antiqua"/>
          <w:sz w:val="24"/>
        </w:rPr>
        <w:t>: 973-974 [DOI: 10.14000/j.cnki.issn.1008-1704.2017.10.036]</w:t>
      </w:r>
    </w:p>
    <w:p w14:paraId="617D0979" w14:textId="77777777" w:rsidR="00A37EB5" w:rsidRPr="000643FE" w:rsidRDefault="00A37EB5" w:rsidP="00A37EB5">
      <w:pPr>
        <w:spacing w:line="360" w:lineRule="auto"/>
        <w:rPr>
          <w:rFonts w:ascii="Book Antiqua" w:hAnsi="Book Antiqua"/>
          <w:sz w:val="24"/>
        </w:rPr>
      </w:pPr>
      <w:r w:rsidRPr="000643FE">
        <w:rPr>
          <w:rFonts w:ascii="Book Antiqua" w:hAnsi="Book Antiqua"/>
          <w:sz w:val="24"/>
        </w:rPr>
        <w:t xml:space="preserve">25 </w:t>
      </w:r>
      <w:r w:rsidRPr="000643FE">
        <w:rPr>
          <w:rFonts w:ascii="Book Antiqua" w:hAnsi="Book Antiqua"/>
          <w:b/>
          <w:sz w:val="24"/>
        </w:rPr>
        <w:t>Lee MH</w:t>
      </w:r>
      <w:r w:rsidRPr="000643FE">
        <w:rPr>
          <w:rFonts w:ascii="Book Antiqua" w:hAnsi="Book Antiqua"/>
          <w:sz w:val="24"/>
        </w:rPr>
        <w:t xml:space="preserve">, Graham GG, Williams KM, Day RO. A benefit-risk assessment of benzbromarone in the treatment of gout. Was its withdrawal from the market in the best interest of patients? </w:t>
      </w:r>
      <w:r w:rsidRPr="000643FE">
        <w:rPr>
          <w:rFonts w:ascii="Book Antiqua" w:hAnsi="Book Antiqua"/>
          <w:i/>
          <w:sz w:val="24"/>
        </w:rPr>
        <w:t xml:space="preserve">Drug </w:t>
      </w:r>
      <w:proofErr w:type="spellStart"/>
      <w:r w:rsidRPr="000643FE">
        <w:rPr>
          <w:rFonts w:ascii="Book Antiqua" w:hAnsi="Book Antiqua"/>
          <w:i/>
          <w:sz w:val="24"/>
        </w:rPr>
        <w:t>Saf</w:t>
      </w:r>
      <w:proofErr w:type="spellEnd"/>
      <w:r w:rsidRPr="000643FE">
        <w:rPr>
          <w:rFonts w:ascii="Book Antiqua" w:hAnsi="Book Antiqua"/>
          <w:sz w:val="24"/>
        </w:rPr>
        <w:t xml:space="preserve"> 2008; </w:t>
      </w:r>
      <w:r w:rsidRPr="000643FE">
        <w:rPr>
          <w:rFonts w:ascii="Book Antiqua" w:hAnsi="Book Antiqua"/>
          <w:b/>
          <w:sz w:val="24"/>
        </w:rPr>
        <w:t>31</w:t>
      </w:r>
      <w:r w:rsidRPr="000643FE">
        <w:rPr>
          <w:rFonts w:ascii="Book Antiqua" w:hAnsi="Book Antiqua"/>
          <w:sz w:val="24"/>
        </w:rPr>
        <w:t>: 643-665 [PMID: 18636784 DOI: 10.2165/00002018-200831080-00002]</w:t>
      </w:r>
    </w:p>
    <w:p w14:paraId="14E1516F" w14:textId="77777777" w:rsidR="00AB5630" w:rsidRPr="000643FE" w:rsidRDefault="00AB5630" w:rsidP="00A37EB5">
      <w:pPr>
        <w:spacing w:line="360" w:lineRule="auto"/>
        <w:rPr>
          <w:rFonts w:ascii="Book Antiqua" w:hAnsi="Book Antiqua" w:cs="Book Antiqua"/>
          <w:b/>
          <w:bCs/>
          <w:sz w:val="24"/>
        </w:rPr>
      </w:pPr>
    </w:p>
    <w:p w14:paraId="22FDC713" w14:textId="30079243" w:rsidR="00AB5630" w:rsidRPr="000643FE" w:rsidRDefault="00AB5630" w:rsidP="00A83933">
      <w:pPr>
        <w:pStyle w:val="af2"/>
        <w:spacing w:line="360" w:lineRule="auto"/>
        <w:jc w:val="right"/>
        <w:rPr>
          <w:rFonts w:ascii="Book Antiqua" w:hAnsi="Book Antiqua"/>
          <w:b/>
          <w:sz w:val="24"/>
          <w:szCs w:val="24"/>
        </w:rPr>
      </w:pPr>
      <w:r w:rsidRPr="000643FE">
        <w:rPr>
          <w:rFonts w:ascii="Book Antiqua" w:hAnsi="Book Antiqua"/>
          <w:b/>
          <w:sz w:val="24"/>
          <w:szCs w:val="24"/>
        </w:rPr>
        <w:t xml:space="preserve">P-Reviewer: </w:t>
      </w:r>
      <w:proofErr w:type="spellStart"/>
      <w:r w:rsidR="009B302B" w:rsidRPr="000643FE">
        <w:rPr>
          <w:rFonts w:ascii="Book Antiqua" w:hAnsi="Book Antiqua"/>
          <w:sz w:val="24"/>
          <w:szCs w:val="24"/>
        </w:rPr>
        <w:t>Garbuzenko</w:t>
      </w:r>
      <w:proofErr w:type="spellEnd"/>
      <w:r w:rsidR="009B302B" w:rsidRPr="000643FE">
        <w:rPr>
          <w:rFonts w:ascii="Book Antiqua" w:hAnsi="Book Antiqua"/>
          <w:sz w:val="24"/>
          <w:szCs w:val="24"/>
        </w:rPr>
        <w:t xml:space="preserve"> DV, </w:t>
      </w:r>
      <w:proofErr w:type="spellStart"/>
      <w:r w:rsidR="009B302B" w:rsidRPr="000643FE">
        <w:rPr>
          <w:rFonts w:ascii="Book Antiqua" w:hAnsi="Book Antiqua"/>
          <w:sz w:val="24"/>
          <w:szCs w:val="24"/>
        </w:rPr>
        <w:t>Pallav</w:t>
      </w:r>
      <w:proofErr w:type="spellEnd"/>
      <w:r w:rsidR="009B302B" w:rsidRPr="000643FE">
        <w:rPr>
          <w:rFonts w:ascii="Book Antiqua" w:hAnsi="Book Antiqua"/>
          <w:sz w:val="24"/>
          <w:szCs w:val="24"/>
        </w:rPr>
        <w:t xml:space="preserve"> K, Singh S </w:t>
      </w:r>
      <w:r w:rsidRPr="000643FE">
        <w:rPr>
          <w:rFonts w:ascii="Book Antiqua" w:hAnsi="Book Antiqua"/>
          <w:b/>
          <w:sz w:val="24"/>
          <w:szCs w:val="24"/>
        </w:rPr>
        <w:t xml:space="preserve">S-Editor: </w:t>
      </w:r>
      <w:r w:rsidRPr="000643FE">
        <w:rPr>
          <w:rFonts w:ascii="Book Antiqua" w:hAnsi="Book Antiqua"/>
          <w:sz w:val="24"/>
          <w:szCs w:val="24"/>
        </w:rPr>
        <w:t>Ji FF</w:t>
      </w:r>
      <w:r w:rsidRPr="000643FE">
        <w:rPr>
          <w:rFonts w:ascii="Book Antiqua" w:hAnsi="Book Antiqua"/>
          <w:b/>
          <w:sz w:val="24"/>
          <w:szCs w:val="24"/>
        </w:rPr>
        <w:t xml:space="preserve"> L-Editor: </w:t>
      </w:r>
      <w:r w:rsidR="002C5288" w:rsidRPr="000643FE">
        <w:rPr>
          <w:rFonts w:ascii="Book Antiqua" w:hAnsi="Book Antiqua"/>
          <w:sz w:val="24"/>
          <w:szCs w:val="24"/>
        </w:rPr>
        <w:t>Wang</w:t>
      </w:r>
      <w:bookmarkStart w:id="0" w:name="_GoBack"/>
      <w:bookmarkEnd w:id="0"/>
      <w:r w:rsidR="002C5288" w:rsidRPr="000643FE">
        <w:rPr>
          <w:rFonts w:ascii="Book Antiqua" w:hAnsi="Book Antiqua"/>
          <w:sz w:val="24"/>
          <w:szCs w:val="24"/>
        </w:rPr>
        <w:t xml:space="preserve"> TQ</w:t>
      </w:r>
      <w:r w:rsidR="002C5288" w:rsidRPr="000643FE">
        <w:rPr>
          <w:rFonts w:ascii="Book Antiqua" w:hAnsi="Book Antiqua"/>
          <w:b/>
          <w:sz w:val="24"/>
          <w:szCs w:val="24"/>
        </w:rPr>
        <w:t xml:space="preserve"> </w:t>
      </w:r>
      <w:r w:rsidRPr="000643FE">
        <w:rPr>
          <w:rFonts w:ascii="Book Antiqua" w:hAnsi="Book Antiqua"/>
          <w:b/>
          <w:sz w:val="24"/>
          <w:szCs w:val="24"/>
        </w:rPr>
        <w:t xml:space="preserve">E-Editor: </w:t>
      </w:r>
      <w:r w:rsidR="000643FE" w:rsidRPr="000643FE">
        <w:rPr>
          <w:rFonts w:ascii="Book Antiqua" w:hAnsi="Book Antiqua"/>
          <w:sz w:val="24"/>
          <w:szCs w:val="24"/>
        </w:rPr>
        <w:t>Wu YXJ</w:t>
      </w:r>
    </w:p>
    <w:p w14:paraId="7CCADCC5" w14:textId="77777777" w:rsidR="00AB5630" w:rsidRPr="000643FE" w:rsidRDefault="00AB5630" w:rsidP="00A37EB5">
      <w:pPr>
        <w:pStyle w:val="af2"/>
        <w:spacing w:line="360" w:lineRule="auto"/>
        <w:rPr>
          <w:rFonts w:ascii="Book Antiqua" w:hAnsi="Book Antiqua"/>
          <w:b/>
          <w:sz w:val="24"/>
          <w:szCs w:val="24"/>
        </w:rPr>
      </w:pPr>
      <w:r w:rsidRPr="000643FE">
        <w:rPr>
          <w:rFonts w:ascii="Book Antiqua" w:hAnsi="Book Antiqua"/>
          <w:b/>
          <w:sz w:val="24"/>
          <w:szCs w:val="24"/>
        </w:rPr>
        <w:t xml:space="preserve"> </w:t>
      </w:r>
    </w:p>
    <w:p w14:paraId="0D846C9A" w14:textId="77777777" w:rsidR="00AB5630" w:rsidRPr="000643FE" w:rsidRDefault="00AB5630" w:rsidP="00A37EB5">
      <w:pPr>
        <w:widowControl/>
        <w:snapToGrid w:val="0"/>
        <w:spacing w:line="360" w:lineRule="auto"/>
        <w:rPr>
          <w:rFonts w:ascii="Book Antiqua" w:hAnsi="Book Antiqua" w:cs="Helvetica"/>
          <w:b/>
          <w:kern w:val="0"/>
          <w:sz w:val="24"/>
        </w:rPr>
      </w:pPr>
      <w:r w:rsidRPr="000643FE">
        <w:rPr>
          <w:rFonts w:ascii="Book Antiqua" w:hAnsi="Book Antiqua" w:cs="Helvetica"/>
          <w:b/>
          <w:kern w:val="0"/>
          <w:sz w:val="24"/>
        </w:rPr>
        <w:t xml:space="preserve">Specialty type: </w:t>
      </w:r>
      <w:r w:rsidR="009B302B" w:rsidRPr="000643FE">
        <w:rPr>
          <w:rFonts w:ascii="Book Antiqua" w:eastAsia="微软雅黑" w:hAnsi="Book Antiqua" w:cs="宋体"/>
          <w:kern w:val="0"/>
          <w:sz w:val="24"/>
        </w:rPr>
        <w:t>Medicine, research and experimental</w:t>
      </w:r>
    </w:p>
    <w:p w14:paraId="2C470D50" w14:textId="77777777" w:rsidR="00AB5630" w:rsidRPr="000643FE" w:rsidRDefault="00AB5630" w:rsidP="00A37EB5">
      <w:pPr>
        <w:widowControl/>
        <w:snapToGrid w:val="0"/>
        <w:spacing w:line="360" w:lineRule="auto"/>
        <w:rPr>
          <w:rFonts w:ascii="Book Antiqua" w:hAnsi="Book Antiqua" w:cs="Helvetica"/>
          <w:b/>
          <w:kern w:val="0"/>
          <w:sz w:val="24"/>
        </w:rPr>
      </w:pPr>
      <w:r w:rsidRPr="000643FE">
        <w:rPr>
          <w:rFonts w:ascii="Book Antiqua" w:hAnsi="Book Antiqua" w:cs="Helvetica"/>
          <w:b/>
          <w:kern w:val="0"/>
          <w:sz w:val="24"/>
        </w:rPr>
        <w:t xml:space="preserve">Country of origin: </w:t>
      </w:r>
      <w:r w:rsidR="009B302B" w:rsidRPr="000643FE">
        <w:rPr>
          <w:rFonts w:ascii="Book Antiqua" w:hAnsi="Book Antiqua"/>
          <w:kern w:val="0"/>
          <w:sz w:val="24"/>
        </w:rPr>
        <w:t>China</w:t>
      </w:r>
    </w:p>
    <w:p w14:paraId="3CD686D6" w14:textId="77777777" w:rsidR="00AB5630" w:rsidRPr="000643FE" w:rsidRDefault="00AB5630" w:rsidP="00A37EB5">
      <w:pPr>
        <w:widowControl/>
        <w:snapToGrid w:val="0"/>
        <w:spacing w:line="360" w:lineRule="auto"/>
        <w:rPr>
          <w:rFonts w:ascii="Book Antiqua" w:hAnsi="Book Antiqua" w:cs="Helvetica"/>
          <w:b/>
          <w:kern w:val="0"/>
          <w:sz w:val="24"/>
        </w:rPr>
      </w:pPr>
      <w:r w:rsidRPr="000643FE">
        <w:rPr>
          <w:rFonts w:ascii="Book Antiqua" w:hAnsi="Book Antiqua" w:cs="Helvetica"/>
          <w:b/>
          <w:kern w:val="0"/>
          <w:sz w:val="24"/>
        </w:rPr>
        <w:t>Peer-review report classification</w:t>
      </w:r>
    </w:p>
    <w:p w14:paraId="0CFF923E" w14:textId="77777777" w:rsidR="00AB5630" w:rsidRPr="000643FE" w:rsidRDefault="00AB5630" w:rsidP="00A37EB5">
      <w:pPr>
        <w:widowControl/>
        <w:snapToGrid w:val="0"/>
        <w:spacing w:line="360" w:lineRule="auto"/>
        <w:rPr>
          <w:rFonts w:ascii="Book Antiqua" w:hAnsi="Book Antiqua" w:cs="Helvetica"/>
          <w:kern w:val="0"/>
          <w:sz w:val="24"/>
        </w:rPr>
      </w:pPr>
      <w:r w:rsidRPr="000643FE">
        <w:rPr>
          <w:rFonts w:ascii="Book Antiqua" w:hAnsi="Book Antiqua" w:cs="Helvetica"/>
          <w:kern w:val="0"/>
          <w:sz w:val="24"/>
        </w:rPr>
        <w:t>Grade A (Excellent): A</w:t>
      </w:r>
    </w:p>
    <w:p w14:paraId="439A077A" w14:textId="77777777" w:rsidR="00AB5630" w:rsidRPr="000643FE" w:rsidRDefault="00AB5630" w:rsidP="00A37EB5">
      <w:pPr>
        <w:widowControl/>
        <w:snapToGrid w:val="0"/>
        <w:spacing w:line="360" w:lineRule="auto"/>
        <w:rPr>
          <w:rFonts w:ascii="Book Antiqua" w:hAnsi="Book Antiqua" w:cs="Helvetica"/>
          <w:kern w:val="0"/>
          <w:sz w:val="24"/>
        </w:rPr>
      </w:pPr>
      <w:r w:rsidRPr="000643FE">
        <w:rPr>
          <w:rFonts w:ascii="Book Antiqua" w:hAnsi="Book Antiqua" w:cs="Helvetica"/>
          <w:kern w:val="0"/>
          <w:sz w:val="24"/>
        </w:rPr>
        <w:t>Grade B (Very good): B</w:t>
      </w:r>
    </w:p>
    <w:p w14:paraId="071D9A95" w14:textId="77777777" w:rsidR="00AB5630" w:rsidRPr="000643FE" w:rsidRDefault="00AB5630" w:rsidP="00A37EB5">
      <w:pPr>
        <w:widowControl/>
        <w:snapToGrid w:val="0"/>
        <w:spacing w:line="360" w:lineRule="auto"/>
        <w:rPr>
          <w:rFonts w:ascii="Book Antiqua" w:hAnsi="Book Antiqua" w:cs="Helvetica"/>
          <w:kern w:val="0"/>
          <w:sz w:val="24"/>
        </w:rPr>
      </w:pPr>
      <w:r w:rsidRPr="000643FE">
        <w:rPr>
          <w:rFonts w:ascii="Book Antiqua" w:hAnsi="Book Antiqua" w:cs="Helvetica"/>
          <w:kern w:val="0"/>
          <w:sz w:val="24"/>
        </w:rPr>
        <w:t>Grade C (Good): C</w:t>
      </w:r>
    </w:p>
    <w:p w14:paraId="15BFEFA4" w14:textId="77777777" w:rsidR="00AB5630" w:rsidRPr="000643FE" w:rsidRDefault="00AB5630" w:rsidP="00A37EB5">
      <w:pPr>
        <w:widowControl/>
        <w:snapToGrid w:val="0"/>
        <w:spacing w:line="360" w:lineRule="auto"/>
        <w:rPr>
          <w:rFonts w:ascii="Book Antiqua" w:hAnsi="Book Antiqua" w:cs="Helvetica"/>
          <w:kern w:val="0"/>
          <w:sz w:val="24"/>
        </w:rPr>
      </w:pPr>
      <w:r w:rsidRPr="000643FE">
        <w:rPr>
          <w:rFonts w:ascii="Book Antiqua" w:hAnsi="Book Antiqua" w:cs="Helvetica"/>
          <w:kern w:val="0"/>
          <w:sz w:val="24"/>
        </w:rPr>
        <w:t xml:space="preserve">Grade D (Fair): 0 </w:t>
      </w:r>
    </w:p>
    <w:p w14:paraId="7F59322D" w14:textId="77777777" w:rsidR="001F4CE6" w:rsidRPr="000643FE" w:rsidRDefault="00AB5630" w:rsidP="00A37EB5">
      <w:pPr>
        <w:spacing w:line="360" w:lineRule="auto"/>
        <w:rPr>
          <w:rFonts w:ascii="Book Antiqua" w:hAnsi="Book Antiqua" w:cs="Book Antiqua"/>
          <w:sz w:val="24"/>
        </w:rPr>
      </w:pPr>
      <w:r w:rsidRPr="000643FE">
        <w:rPr>
          <w:rFonts w:ascii="Book Antiqua" w:hAnsi="Book Antiqua" w:cs="Helvetica"/>
          <w:kern w:val="0"/>
          <w:sz w:val="24"/>
        </w:rPr>
        <w:t>Grade E (Poor): 0</w:t>
      </w:r>
    </w:p>
    <w:p w14:paraId="1BE6F31E" w14:textId="77777777" w:rsidR="009B302B" w:rsidRPr="000643FE" w:rsidRDefault="009B302B" w:rsidP="00A37EB5">
      <w:pPr>
        <w:widowControl/>
        <w:spacing w:line="360" w:lineRule="auto"/>
        <w:rPr>
          <w:rFonts w:ascii="Book Antiqua" w:hAnsi="Book Antiqua" w:cs="Book Antiqua"/>
          <w:b/>
          <w:bCs/>
          <w:sz w:val="24"/>
        </w:rPr>
      </w:pPr>
      <w:r w:rsidRPr="000643FE">
        <w:rPr>
          <w:rFonts w:ascii="Book Antiqua" w:hAnsi="Book Antiqua" w:cs="Book Antiqua"/>
          <w:b/>
          <w:bCs/>
          <w:sz w:val="24"/>
        </w:rPr>
        <w:br w:type="page"/>
      </w:r>
    </w:p>
    <w:p w14:paraId="060988AA" w14:textId="77777777" w:rsidR="001F4CE6" w:rsidRPr="000643FE" w:rsidRDefault="001F4CE6" w:rsidP="000368F9">
      <w:pPr>
        <w:spacing w:line="360" w:lineRule="auto"/>
        <w:rPr>
          <w:rFonts w:ascii="Book Antiqua" w:hAnsi="Book Antiqua" w:cs="Book Antiqua"/>
          <w:b/>
          <w:bCs/>
          <w:sz w:val="24"/>
        </w:rPr>
      </w:pPr>
    </w:p>
    <w:p w14:paraId="36CC8F2A" w14:textId="77777777" w:rsidR="001F4CE6" w:rsidRPr="000643FE" w:rsidRDefault="004C44A9" w:rsidP="000368F9">
      <w:pPr>
        <w:spacing w:line="360" w:lineRule="auto"/>
        <w:rPr>
          <w:rFonts w:ascii="Book Antiqua" w:hAnsi="Book Antiqua" w:cs="Book Antiqua"/>
          <w:b/>
          <w:bCs/>
          <w:sz w:val="24"/>
        </w:rPr>
      </w:pPr>
      <w:r w:rsidRPr="000643FE">
        <w:rPr>
          <w:rFonts w:ascii="Book Antiqua" w:hAnsi="Book Antiqua"/>
          <w:noProof/>
          <w:sz w:val="24"/>
        </w:rPr>
        <w:drawing>
          <wp:inline distT="0" distB="0" distL="114300" distR="114300" wp14:anchorId="63C5CFDB" wp14:editId="36C402E3">
            <wp:extent cx="4688205" cy="3258185"/>
            <wp:effectExtent l="19050" t="0" r="0" b="0"/>
            <wp:docPr id="4" name="图片 4" descr="export--819971905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xport--819971905_看图王"/>
                    <pic:cNvPicPr>
                      <a:picLocks noChangeAspect="1"/>
                    </pic:cNvPicPr>
                  </pic:nvPicPr>
                  <pic:blipFill>
                    <a:blip r:embed="rId13"/>
                    <a:stretch>
                      <a:fillRect/>
                    </a:stretch>
                  </pic:blipFill>
                  <pic:spPr>
                    <a:xfrm>
                      <a:off x="0" y="0"/>
                      <a:ext cx="4701184" cy="3267519"/>
                    </a:xfrm>
                    <a:prstGeom prst="rect">
                      <a:avLst/>
                    </a:prstGeom>
                  </pic:spPr>
                </pic:pic>
              </a:graphicData>
            </a:graphic>
          </wp:inline>
        </w:drawing>
      </w:r>
    </w:p>
    <w:p w14:paraId="609D1AF1" w14:textId="77777777" w:rsidR="001F4CE6" w:rsidRPr="000643FE" w:rsidRDefault="001F4CE6" w:rsidP="000368F9">
      <w:pPr>
        <w:spacing w:line="360" w:lineRule="auto"/>
        <w:rPr>
          <w:rFonts w:ascii="Book Antiqua" w:hAnsi="Book Antiqua" w:cs="Book Antiqua"/>
          <w:b/>
          <w:bCs/>
          <w:sz w:val="24"/>
        </w:rPr>
      </w:pPr>
    </w:p>
    <w:p w14:paraId="061F83D8"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b/>
          <w:bCs/>
          <w:sz w:val="24"/>
        </w:rPr>
        <w:t>Figure 1 Contrast-enhanced computed tomography</w:t>
      </w:r>
      <w:r w:rsidR="002C5288" w:rsidRPr="000643FE">
        <w:rPr>
          <w:rFonts w:ascii="Book Antiqua" w:hAnsi="Book Antiqua" w:cs="Book Antiqua"/>
          <w:b/>
          <w:bCs/>
          <w:sz w:val="24"/>
        </w:rPr>
        <w:t xml:space="preserve"> image</w:t>
      </w:r>
      <w:r w:rsidRPr="000643FE">
        <w:rPr>
          <w:rFonts w:ascii="Book Antiqua" w:hAnsi="Book Antiqua" w:cs="Book Antiqua"/>
          <w:b/>
          <w:bCs/>
          <w:sz w:val="24"/>
        </w:rPr>
        <w:t xml:space="preserve">. </w:t>
      </w:r>
      <w:r w:rsidRPr="000643FE">
        <w:rPr>
          <w:rFonts w:ascii="Book Antiqua" w:hAnsi="Book Antiqua" w:cs="Book Antiqua"/>
          <w:sz w:val="24"/>
        </w:rPr>
        <w:t xml:space="preserve">The liver volume decreased. </w:t>
      </w:r>
      <w:r w:rsidR="009B302B" w:rsidRPr="000643FE">
        <w:rPr>
          <w:rFonts w:ascii="Book Antiqua" w:hAnsi="Book Antiqua" w:cs="Book Antiqua"/>
          <w:bCs/>
          <w:sz w:val="24"/>
        </w:rPr>
        <w:t>Computed tomography</w:t>
      </w:r>
      <w:r w:rsidRPr="000643FE">
        <w:rPr>
          <w:rFonts w:ascii="Book Antiqua" w:hAnsi="Book Antiqua" w:cs="Book Antiqua"/>
          <w:sz w:val="24"/>
        </w:rPr>
        <w:t xml:space="preserve"> showed an irregular shape of the surface, the proportion of each leaf was not coordinated, and the density of the hepatic parenchymal was variable.</w:t>
      </w:r>
    </w:p>
    <w:p w14:paraId="0211A55A" w14:textId="77777777" w:rsidR="001F4CE6" w:rsidRPr="000643FE" w:rsidRDefault="004C44A9" w:rsidP="000368F9">
      <w:pPr>
        <w:spacing w:line="360" w:lineRule="auto"/>
        <w:rPr>
          <w:rFonts w:ascii="Book Antiqua" w:hAnsi="Book Antiqua" w:cs="Book Antiqua"/>
          <w:b/>
          <w:bCs/>
          <w:sz w:val="24"/>
        </w:rPr>
      </w:pPr>
      <w:r w:rsidRPr="000643FE">
        <w:rPr>
          <w:rFonts w:ascii="Book Antiqua" w:hAnsi="Book Antiqua" w:cs="Book Antiqua"/>
          <w:b/>
          <w:bCs/>
          <w:noProof/>
          <w:sz w:val="24"/>
        </w:rPr>
        <w:drawing>
          <wp:inline distT="0" distB="0" distL="0" distR="0" wp14:anchorId="18AFA1BF" wp14:editId="24DCE9B7">
            <wp:extent cx="5365750" cy="3420745"/>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A0123CA" w14:textId="77777777" w:rsidR="001F4CE6" w:rsidRPr="000643FE" w:rsidRDefault="004C44A9" w:rsidP="000368F9">
      <w:pPr>
        <w:spacing w:line="360" w:lineRule="auto"/>
        <w:rPr>
          <w:rFonts w:ascii="Book Antiqua" w:hAnsi="Book Antiqua" w:cs="Book Antiqua"/>
          <w:b/>
          <w:bCs/>
          <w:sz w:val="24"/>
        </w:rPr>
      </w:pPr>
      <w:r w:rsidRPr="000643FE">
        <w:rPr>
          <w:rFonts w:ascii="Book Antiqua" w:hAnsi="Book Antiqua" w:cs="Book Antiqua"/>
          <w:b/>
          <w:bCs/>
          <w:noProof/>
          <w:sz w:val="24"/>
        </w:rPr>
        <w:drawing>
          <wp:inline distT="0" distB="0" distL="0" distR="0" wp14:anchorId="49FED657" wp14:editId="50719EAC">
            <wp:extent cx="5374640" cy="3344545"/>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C70223" w14:textId="77777777" w:rsidR="001F4CE6" w:rsidRPr="000643FE" w:rsidRDefault="004C44A9" w:rsidP="000368F9">
      <w:pPr>
        <w:spacing w:line="360" w:lineRule="auto"/>
        <w:rPr>
          <w:rFonts w:ascii="Book Antiqua" w:hAnsi="Book Antiqua" w:cs="Book Antiqua"/>
          <w:b/>
          <w:bCs/>
          <w:kern w:val="0"/>
          <w:sz w:val="24"/>
        </w:rPr>
      </w:pPr>
      <w:r w:rsidRPr="000643FE">
        <w:rPr>
          <w:rFonts w:ascii="Book Antiqua" w:hAnsi="Book Antiqua" w:cs="Book Antiqua"/>
          <w:b/>
          <w:bCs/>
          <w:sz w:val="24"/>
        </w:rPr>
        <w:t xml:space="preserve">Figure 2 </w:t>
      </w:r>
      <w:r w:rsidRPr="000643FE">
        <w:rPr>
          <w:rFonts w:ascii="Book Antiqua" w:eastAsia="Plantin" w:hAnsi="Book Antiqua" w:cs="Book Antiqua"/>
          <w:b/>
          <w:bCs/>
          <w:sz w:val="24"/>
        </w:rPr>
        <w:t xml:space="preserve">Clinical course. </w:t>
      </w:r>
      <w:r w:rsidR="009B302B" w:rsidRPr="000643FE">
        <w:rPr>
          <w:rFonts w:ascii="Book Antiqua" w:hAnsi="Book Antiqua" w:cs="Book Antiqua"/>
          <w:bCs/>
          <w:sz w:val="24"/>
        </w:rPr>
        <w:t>A:</w:t>
      </w:r>
      <w:r w:rsidRPr="000643FE">
        <w:rPr>
          <w:rFonts w:ascii="Book Antiqua" w:hAnsi="Book Antiqua" w:cs="Book Antiqua"/>
          <w:bCs/>
          <w:sz w:val="24"/>
        </w:rPr>
        <w:t xml:space="preserve"> C</w:t>
      </w:r>
      <w:r w:rsidRPr="000643FE">
        <w:rPr>
          <w:rFonts w:ascii="Book Antiqua" w:eastAsia="Plantin" w:hAnsi="Book Antiqua" w:cs="Book Antiqua"/>
          <w:bCs/>
          <w:sz w:val="24"/>
        </w:rPr>
        <w:t>hanges in alanine aminotransferase</w:t>
      </w:r>
      <w:r w:rsidR="002C5288" w:rsidRPr="000643FE">
        <w:rPr>
          <w:rFonts w:ascii="Book Antiqua" w:eastAsia="Plantin" w:hAnsi="Book Antiqua" w:cs="Book Antiqua"/>
          <w:bCs/>
          <w:sz w:val="24"/>
        </w:rPr>
        <w:t xml:space="preserve"> and </w:t>
      </w:r>
      <w:r w:rsidRPr="000643FE">
        <w:rPr>
          <w:rFonts w:ascii="Book Antiqua" w:eastAsia="Plantin" w:hAnsi="Book Antiqua" w:cs="Book Antiqua"/>
          <w:bCs/>
          <w:sz w:val="24"/>
        </w:rPr>
        <w:t>total bilirubin</w:t>
      </w:r>
      <w:r w:rsidRPr="000643FE">
        <w:rPr>
          <w:rFonts w:ascii="Book Antiqua" w:hAnsi="Book Antiqua" w:cs="Book Antiqua"/>
          <w:bCs/>
          <w:kern w:val="0"/>
          <w:sz w:val="24"/>
        </w:rPr>
        <w:t>;</w:t>
      </w:r>
      <w:r w:rsidR="009B302B" w:rsidRPr="000643FE">
        <w:rPr>
          <w:rFonts w:ascii="Book Antiqua" w:hAnsi="Book Antiqua" w:cs="Book Antiqua"/>
          <w:bCs/>
          <w:kern w:val="0"/>
          <w:sz w:val="24"/>
        </w:rPr>
        <w:t xml:space="preserve"> B: Changes </w:t>
      </w:r>
      <w:r w:rsidRPr="000643FE">
        <w:rPr>
          <w:rFonts w:ascii="Book Antiqua" w:hAnsi="Book Antiqua" w:cs="Book Antiqua"/>
          <w:bCs/>
          <w:kern w:val="0"/>
          <w:sz w:val="24"/>
        </w:rPr>
        <w:t xml:space="preserve">in prothrombin time and prothrombin time activity. </w:t>
      </w:r>
      <w:r w:rsidR="009B302B" w:rsidRPr="000643FE">
        <w:rPr>
          <w:rFonts w:ascii="Book Antiqua" w:eastAsia="Plantin" w:hAnsi="Book Antiqua" w:cs="Book Antiqua"/>
          <w:bCs/>
          <w:sz w:val="24"/>
        </w:rPr>
        <w:t xml:space="preserve">ALT: Alanine aminotransferase; </w:t>
      </w:r>
      <w:r w:rsidR="009B302B" w:rsidRPr="000643FE">
        <w:rPr>
          <w:rFonts w:ascii="Book Antiqua" w:hAnsi="Book Antiqua" w:cs="Book Antiqua"/>
          <w:bCs/>
          <w:kern w:val="0"/>
          <w:sz w:val="24"/>
        </w:rPr>
        <w:t>TBIL:</w:t>
      </w:r>
      <w:r w:rsidR="009B302B" w:rsidRPr="000643FE">
        <w:rPr>
          <w:rFonts w:ascii="Book Antiqua" w:eastAsia="Plantin" w:hAnsi="Book Antiqua" w:cs="Book Antiqua"/>
          <w:bCs/>
          <w:sz w:val="24"/>
        </w:rPr>
        <w:t xml:space="preserve"> Total bilirubin</w:t>
      </w:r>
      <w:r w:rsidR="009B302B" w:rsidRPr="000643FE">
        <w:rPr>
          <w:rFonts w:ascii="Book Antiqua" w:hAnsi="Book Antiqua" w:cs="Book Antiqua"/>
          <w:bCs/>
          <w:sz w:val="24"/>
        </w:rPr>
        <w:t>;</w:t>
      </w:r>
      <w:r w:rsidR="009B302B" w:rsidRPr="000643FE">
        <w:rPr>
          <w:rFonts w:ascii="Book Antiqua" w:hAnsi="Book Antiqua" w:cs="Book Antiqua"/>
          <w:bCs/>
          <w:kern w:val="0"/>
          <w:sz w:val="24"/>
        </w:rPr>
        <w:t xml:space="preserve"> PT: Prothrombin time; PTA: Prothrombin time activity;</w:t>
      </w:r>
      <w:r w:rsidR="009B302B" w:rsidRPr="000643FE">
        <w:rPr>
          <w:rFonts w:ascii="Book Antiqua" w:hAnsi="Book Antiqua" w:cs="Book Antiqua" w:hint="eastAsia"/>
          <w:bCs/>
          <w:kern w:val="0"/>
          <w:sz w:val="24"/>
        </w:rPr>
        <w:t xml:space="preserve"> </w:t>
      </w:r>
      <w:r w:rsidRPr="000643FE">
        <w:rPr>
          <w:rFonts w:ascii="Book Antiqua" w:hAnsi="Book Antiqua" w:cs="Book Antiqua"/>
          <w:bCs/>
          <w:kern w:val="0"/>
          <w:sz w:val="24"/>
        </w:rPr>
        <w:t xml:space="preserve">OLT: </w:t>
      </w:r>
      <w:r w:rsidR="009B302B" w:rsidRPr="000643FE">
        <w:rPr>
          <w:rFonts w:ascii="Book Antiqua" w:hAnsi="Book Antiqua" w:cs="Book Antiqua"/>
          <w:bCs/>
          <w:kern w:val="0"/>
          <w:sz w:val="24"/>
        </w:rPr>
        <w:t xml:space="preserve">Orthotopic </w:t>
      </w:r>
      <w:r w:rsidRPr="000643FE">
        <w:rPr>
          <w:rFonts w:ascii="Book Antiqua" w:hAnsi="Book Antiqua" w:cs="Book Antiqua"/>
          <w:bCs/>
          <w:kern w:val="0"/>
          <w:sz w:val="24"/>
        </w:rPr>
        <w:t>liver transplantation</w:t>
      </w:r>
      <w:r w:rsidR="009B302B" w:rsidRPr="000643FE">
        <w:rPr>
          <w:rFonts w:ascii="Book Antiqua" w:hAnsi="Book Antiqua" w:cs="Book Antiqua"/>
          <w:bCs/>
          <w:kern w:val="0"/>
          <w:sz w:val="24"/>
        </w:rPr>
        <w:t>.</w:t>
      </w:r>
    </w:p>
    <w:p w14:paraId="25A9A599" w14:textId="77777777" w:rsidR="009B302B" w:rsidRPr="000643FE" w:rsidRDefault="009B302B" w:rsidP="000368F9">
      <w:pPr>
        <w:spacing w:line="360" w:lineRule="auto"/>
        <w:rPr>
          <w:rFonts w:ascii="Book Antiqua" w:hAnsi="Book Antiqua" w:cs="Book Antiqua"/>
          <w:b/>
          <w:bCs/>
          <w:kern w:val="0"/>
          <w:sz w:val="24"/>
        </w:rPr>
      </w:pPr>
    </w:p>
    <w:p w14:paraId="7842B0DA"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noProof/>
          <w:sz w:val="24"/>
        </w:rPr>
        <w:drawing>
          <wp:inline distT="0" distB="0" distL="114300" distR="114300" wp14:anchorId="31E108DF" wp14:editId="211E2B6E">
            <wp:extent cx="2695575" cy="2164080"/>
            <wp:effectExtent l="0" t="0" r="1905" b="0"/>
            <wp:docPr id="8" name="图片 8" descr="HE 100倍-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E 100倍-9"/>
                    <pic:cNvPicPr>
                      <a:picLocks noChangeAspect="1"/>
                    </pic:cNvPicPr>
                  </pic:nvPicPr>
                  <pic:blipFill>
                    <a:blip r:embed="rId16"/>
                    <a:stretch>
                      <a:fillRect/>
                    </a:stretch>
                  </pic:blipFill>
                  <pic:spPr>
                    <a:xfrm>
                      <a:off x="0" y="0"/>
                      <a:ext cx="2695575" cy="2164080"/>
                    </a:xfrm>
                    <a:prstGeom prst="rect">
                      <a:avLst/>
                    </a:prstGeom>
                  </pic:spPr>
                </pic:pic>
              </a:graphicData>
            </a:graphic>
          </wp:inline>
        </w:drawing>
      </w:r>
      <w:r w:rsidRPr="000643FE">
        <w:rPr>
          <w:rFonts w:ascii="Book Antiqua" w:hAnsi="Book Antiqua" w:cs="Book Antiqua"/>
          <w:noProof/>
          <w:sz w:val="24"/>
        </w:rPr>
        <w:drawing>
          <wp:inline distT="0" distB="0" distL="114300" distR="114300" wp14:anchorId="1D74DB54" wp14:editId="270EDA1E">
            <wp:extent cx="2689860" cy="2156460"/>
            <wp:effectExtent l="0" t="0" r="7620" b="7620"/>
            <wp:docPr id="27" name="图片 27" descr="CK19 40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K19 40倍-2"/>
                    <pic:cNvPicPr>
                      <a:picLocks noChangeAspect="1"/>
                    </pic:cNvPicPr>
                  </pic:nvPicPr>
                  <pic:blipFill>
                    <a:blip r:embed="rId17"/>
                    <a:stretch>
                      <a:fillRect/>
                    </a:stretch>
                  </pic:blipFill>
                  <pic:spPr>
                    <a:xfrm>
                      <a:off x="0" y="0"/>
                      <a:ext cx="2689860" cy="2156460"/>
                    </a:xfrm>
                    <a:prstGeom prst="rect">
                      <a:avLst/>
                    </a:prstGeom>
                  </pic:spPr>
                </pic:pic>
              </a:graphicData>
            </a:graphic>
          </wp:inline>
        </w:drawing>
      </w:r>
    </w:p>
    <w:p w14:paraId="318785F8" w14:textId="77777777" w:rsidR="001F4CE6" w:rsidRPr="000643FE" w:rsidRDefault="001F4CE6" w:rsidP="000368F9">
      <w:pPr>
        <w:spacing w:line="360" w:lineRule="auto"/>
        <w:rPr>
          <w:rFonts w:ascii="Book Antiqua" w:hAnsi="Book Antiqua" w:cs="Book Antiqua"/>
          <w:sz w:val="24"/>
        </w:rPr>
      </w:pPr>
    </w:p>
    <w:p w14:paraId="372B4ECA" w14:textId="77777777" w:rsidR="001F4CE6" w:rsidRPr="000643FE" w:rsidRDefault="004C44A9" w:rsidP="000368F9">
      <w:pPr>
        <w:spacing w:line="360" w:lineRule="auto"/>
        <w:rPr>
          <w:rFonts w:ascii="Book Antiqua" w:hAnsi="Book Antiqua" w:cs="Book Antiqua"/>
          <w:b/>
          <w:bCs/>
          <w:sz w:val="24"/>
        </w:rPr>
      </w:pPr>
      <w:r w:rsidRPr="000643FE">
        <w:rPr>
          <w:rFonts w:ascii="Book Antiqua" w:hAnsi="Book Antiqua" w:cs="Book Antiqua"/>
          <w:b/>
          <w:bCs/>
          <w:sz w:val="24"/>
        </w:rPr>
        <w:t xml:space="preserve">Figure 3 Liver biopsy </w:t>
      </w:r>
      <w:r w:rsidR="002C5288" w:rsidRPr="000643FE">
        <w:rPr>
          <w:rFonts w:ascii="Book Antiqua" w:hAnsi="Book Antiqua" w:cs="Book Antiqua"/>
          <w:b/>
          <w:bCs/>
          <w:sz w:val="24"/>
        </w:rPr>
        <w:t>specimen staining</w:t>
      </w:r>
      <w:r w:rsidRPr="000643FE">
        <w:rPr>
          <w:rFonts w:ascii="Book Antiqua" w:hAnsi="Book Antiqua" w:cs="Book Antiqua"/>
          <w:b/>
          <w:bCs/>
          <w:sz w:val="24"/>
        </w:rPr>
        <w:t xml:space="preserve">. </w:t>
      </w:r>
      <w:r w:rsidRPr="000643FE">
        <w:rPr>
          <w:rFonts w:ascii="Book Antiqua" w:hAnsi="Book Antiqua" w:cs="Book Antiqua"/>
          <w:sz w:val="24"/>
        </w:rPr>
        <w:t xml:space="preserve">HE staining showed massive necrosis of liver tissue, and </w:t>
      </w:r>
      <w:r w:rsidR="002C5288" w:rsidRPr="000643FE">
        <w:rPr>
          <w:rFonts w:ascii="Book Antiqua" w:hAnsi="Book Antiqua" w:cs="Book Antiqua"/>
          <w:sz w:val="24"/>
        </w:rPr>
        <w:t xml:space="preserve">immunohistochemical staining for </w:t>
      </w:r>
      <w:r w:rsidRPr="000643FE">
        <w:rPr>
          <w:rFonts w:ascii="Book Antiqua" w:hAnsi="Book Antiqua" w:cs="Book Antiqua"/>
          <w:sz w:val="24"/>
        </w:rPr>
        <w:t>CD19</w:t>
      </w:r>
      <w:r w:rsidR="002C5288" w:rsidRPr="000643FE">
        <w:rPr>
          <w:rFonts w:ascii="Book Antiqua" w:hAnsi="Book Antiqua" w:cs="Book Antiqua"/>
          <w:sz w:val="24"/>
        </w:rPr>
        <w:t xml:space="preserve"> </w:t>
      </w:r>
      <w:r w:rsidRPr="000643FE">
        <w:rPr>
          <w:rFonts w:ascii="Book Antiqua" w:hAnsi="Book Antiqua" w:cs="Book Antiqua"/>
          <w:sz w:val="24"/>
        </w:rPr>
        <w:t>revealed cholestasis and biliary duct hyperplasia.</w:t>
      </w:r>
    </w:p>
    <w:p w14:paraId="137A711B" w14:textId="77777777" w:rsidR="009B302B" w:rsidRPr="000643FE" w:rsidRDefault="009B302B">
      <w:pPr>
        <w:widowControl/>
        <w:jc w:val="left"/>
        <w:rPr>
          <w:rFonts w:ascii="Book Antiqua" w:hAnsi="Book Antiqua" w:cs="Book Antiqua"/>
          <w:b/>
          <w:bCs/>
          <w:sz w:val="24"/>
        </w:rPr>
      </w:pPr>
      <w:r w:rsidRPr="000643FE">
        <w:rPr>
          <w:rFonts w:ascii="Book Antiqua" w:hAnsi="Book Antiqua" w:cs="Book Antiqua"/>
          <w:b/>
          <w:bCs/>
          <w:sz w:val="24"/>
        </w:rPr>
        <w:br w:type="page"/>
      </w:r>
    </w:p>
    <w:p w14:paraId="5B51C47E" w14:textId="77777777" w:rsidR="001F4CE6" w:rsidRPr="000643FE" w:rsidRDefault="001F4CE6" w:rsidP="000368F9">
      <w:pPr>
        <w:spacing w:line="360" w:lineRule="auto"/>
        <w:rPr>
          <w:rFonts w:ascii="Book Antiqua" w:hAnsi="Book Antiqua" w:cs="Book Antiqua"/>
          <w:b/>
          <w:bCs/>
          <w:sz w:val="24"/>
        </w:rPr>
      </w:pPr>
    </w:p>
    <w:p w14:paraId="6AEBEBA4" w14:textId="77777777" w:rsidR="001F4CE6" w:rsidRPr="000643FE" w:rsidRDefault="004C44A9" w:rsidP="000368F9">
      <w:pPr>
        <w:spacing w:line="360" w:lineRule="auto"/>
        <w:rPr>
          <w:rFonts w:ascii="Book Antiqua" w:hAnsi="Book Antiqua" w:cs="Book Antiqua"/>
          <w:b/>
          <w:bCs/>
          <w:sz w:val="24"/>
        </w:rPr>
      </w:pPr>
      <w:r w:rsidRPr="000643FE">
        <w:rPr>
          <w:rFonts w:ascii="Book Antiqua" w:hAnsi="Book Antiqua" w:cs="Book Antiqua"/>
          <w:b/>
          <w:bCs/>
          <w:noProof/>
          <w:sz w:val="24"/>
        </w:rPr>
        <w:drawing>
          <wp:inline distT="0" distB="0" distL="0" distR="0" wp14:anchorId="7FD27800" wp14:editId="4852A6AA">
            <wp:extent cx="5274310" cy="3735705"/>
            <wp:effectExtent l="19050" t="0" r="2540" b="0"/>
            <wp:docPr id="3" name="图片 1" descr="G:/MDJ-12-31/360截图20190103124847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G:/MDJ-12-31/360截图20190103124847436.jpg"/>
                    <pic:cNvPicPr>
                      <a:picLocks noChangeAspect="1" noChangeArrowheads="1"/>
                    </pic:cNvPicPr>
                  </pic:nvPicPr>
                  <pic:blipFill>
                    <a:blip r:embed="rId18"/>
                    <a:stretch>
                      <a:fillRect/>
                    </a:stretch>
                  </pic:blipFill>
                  <pic:spPr>
                    <a:xfrm>
                      <a:off x="0" y="0"/>
                      <a:ext cx="5274310" cy="3735705"/>
                    </a:xfrm>
                    <a:prstGeom prst="rect">
                      <a:avLst/>
                    </a:prstGeom>
                    <a:noFill/>
                    <a:ln w="9525">
                      <a:noFill/>
                      <a:miter lim="800000"/>
                      <a:headEnd/>
                      <a:tailEnd/>
                    </a:ln>
                  </pic:spPr>
                </pic:pic>
              </a:graphicData>
            </a:graphic>
          </wp:inline>
        </w:drawing>
      </w:r>
    </w:p>
    <w:p w14:paraId="77BBD28F" w14:textId="77777777" w:rsidR="001F4CE6" w:rsidRPr="000643FE" w:rsidRDefault="001F4CE6" w:rsidP="000368F9">
      <w:pPr>
        <w:spacing w:line="360" w:lineRule="auto"/>
        <w:rPr>
          <w:rFonts w:ascii="Book Antiqua" w:hAnsi="Book Antiqua" w:cs="Book Antiqua"/>
          <w:b/>
          <w:bCs/>
          <w:sz w:val="24"/>
        </w:rPr>
      </w:pPr>
    </w:p>
    <w:p w14:paraId="7B89AC03" w14:textId="77777777" w:rsidR="001F4CE6" w:rsidRPr="000643FE" w:rsidRDefault="004C44A9" w:rsidP="000368F9">
      <w:pPr>
        <w:spacing w:line="360" w:lineRule="auto"/>
        <w:rPr>
          <w:rFonts w:ascii="Book Antiqua" w:hAnsi="Book Antiqua" w:cs="Book Antiqua"/>
          <w:sz w:val="24"/>
        </w:rPr>
      </w:pPr>
      <w:r w:rsidRPr="000643FE">
        <w:rPr>
          <w:rFonts w:ascii="Book Antiqua" w:hAnsi="Book Antiqua" w:cs="Book Antiqua"/>
          <w:b/>
          <w:bCs/>
          <w:sz w:val="24"/>
        </w:rPr>
        <w:t>Figure 4 Timeline of benzbromarone production and countries with published results regarding benzbromarone hepatoxicity.</w:t>
      </w:r>
    </w:p>
    <w:p w14:paraId="6B98D6DD" w14:textId="77777777" w:rsidR="009B302B" w:rsidRPr="000643FE" w:rsidRDefault="009B302B">
      <w:pPr>
        <w:widowControl/>
        <w:jc w:val="left"/>
        <w:rPr>
          <w:rFonts w:ascii="Book Antiqua" w:hAnsi="Book Antiqua" w:cs="Book Antiqua"/>
          <w:b/>
          <w:bCs/>
          <w:sz w:val="24"/>
        </w:rPr>
      </w:pPr>
      <w:r w:rsidRPr="000643FE">
        <w:rPr>
          <w:rFonts w:ascii="Book Antiqua" w:hAnsi="Book Antiqua" w:cs="Book Antiqua"/>
          <w:b/>
          <w:bCs/>
          <w:sz w:val="24"/>
        </w:rPr>
        <w:br w:type="page"/>
      </w:r>
    </w:p>
    <w:p w14:paraId="6177CC27" w14:textId="77777777" w:rsidR="001F4CE6" w:rsidRPr="000643FE" w:rsidRDefault="004C44A9" w:rsidP="000368F9">
      <w:pPr>
        <w:spacing w:line="360" w:lineRule="auto"/>
        <w:rPr>
          <w:rFonts w:ascii="Book Antiqua" w:hAnsi="Book Antiqua" w:cs="Book Antiqua"/>
          <w:i/>
          <w:sz w:val="24"/>
        </w:rPr>
      </w:pPr>
      <w:r w:rsidRPr="000643FE">
        <w:rPr>
          <w:rFonts w:ascii="Book Antiqua" w:hAnsi="Book Antiqua" w:cs="Book Antiqua"/>
          <w:b/>
          <w:bCs/>
          <w:sz w:val="24"/>
        </w:rPr>
        <w:t>Table 1 Laboratory data on admission</w:t>
      </w:r>
    </w:p>
    <w:tbl>
      <w:tblPr>
        <w:tblStyle w:val="a9"/>
        <w:tblW w:w="852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1955"/>
        <w:gridCol w:w="2131"/>
        <w:gridCol w:w="2132"/>
      </w:tblGrid>
      <w:tr w:rsidR="004C44A9" w:rsidRPr="000643FE" w14:paraId="290B5594" w14:textId="77777777" w:rsidTr="00E150BE">
        <w:tc>
          <w:tcPr>
            <w:tcW w:w="2304" w:type="dxa"/>
            <w:tcBorders>
              <w:top w:val="single" w:sz="4" w:space="0" w:color="auto"/>
              <w:bottom w:val="nil"/>
            </w:tcBorders>
            <w:vAlign w:val="center"/>
          </w:tcPr>
          <w:p w14:paraId="4BDFD559" w14:textId="77777777" w:rsidR="001F4CE6" w:rsidRPr="000643FE" w:rsidRDefault="004C44A9" w:rsidP="000368F9">
            <w:pPr>
              <w:spacing w:line="360" w:lineRule="auto"/>
              <w:rPr>
                <w:rFonts w:ascii="Book Antiqua" w:hAnsi="Book Antiqua" w:cs="Book Antiqua"/>
                <w:b/>
                <w:bCs/>
                <w:kern w:val="0"/>
                <w:sz w:val="24"/>
              </w:rPr>
            </w:pPr>
            <w:r w:rsidRPr="000643FE">
              <w:rPr>
                <w:rFonts w:ascii="Book Antiqua" w:hAnsi="Book Antiqua" w:cs="Book Antiqua"/>
                <w:b/>
                <w:bCs/>
                <w:kern w:val="0"/>
                <w:sz w:val="24"/>
              </w:rPr>
              <w:t>Parameter</w:t>
            </w:r>
          </w:p>
        </w:tc>
        <w:tc>
          <w:tcPr>
            <w:tcW w:w="1955" w:type="dxa"/>
            <w:tcBorders>
              <w:top w:val="single" w:sz="4" w:space="0" w:color="auto"/>
              <w:bottom w:val="nil"/>
            </w:tcBorders>
            <w:vAlign w:val="center"/>
          </w:tcPr>
          <w:p w14:paraId="6508A7B9" w14:textId="77777777" w:rsidR="001F4CE6" w:rsidRPr="000643FE" w:rsidRDefault="004C44A9" w:rsidP="000368F9">
            <w:pPr>
              <w:spacing w:line="360" w:lineRule="auto"/>
              <w:rPr>
                <w:rFonts w:ascii="Book Antiqua" w:hAnsi="Book Antiqua" w:cs="Book Antiqua"/>
                <w:b/>
                <w:bCs/>
                <w:kern w:val="0"/>
                <w:sz w:val="24"/>
              </w:rPr>
            </w:pPr>
            <w:r w:rsidRPr="000643FE">
              <w:rPr>
                <w:rFonts w:ascii="Book Antiqua" w:hAnsi="Book Antiqua" w:cs="Book Antiqua"/>
                <w:b/>
                <w:bCs/>
                <w:kern w:val="0"/>
                <w:sz w:val="24"/>
              </w:rPr>
              <w:t>Result</w:t>
            </w:r>
          </w:p>
          <w:p w14:paraId="18174FBB" w14:textId="77777777" w:rsidR="001F4CE6" w:rsidRPr="000643FE" w:rsidRDefault="004C44A9" w:rsidP="000368F9">
            <w:pPr>
              <w:spacing w:line="360" w:lineRule="auto"/>
              <w:rPr>
                <w:rFonts w:ascii="Book Antiqua" w:hAnsi="Book Antiqua" w:cs="Book Antiqua"/>
                <w:b/>
                <w:bCs/>
                <w:kern w:val="0"/>
                <w:sz w:val="24"/>
              </w:rPr>
            </w:pPr>
            <w:r w:rsidRPr="000643FE">
              <w:rPr>
                <w:rFonts w:ascii="Book Antiqua" w:hAnsi="Book Antiqua" w:cs="Book Antiqua"/>
                <w:b/>
                <w:bCs/>
                <w:kern w:val="0"/>
                <w:sz w:val="24"/>
              </w:rPr>
              <w:t>(</w:t>
            </w:r>
            <w:r w:rsidR="009B302B" w:rsidRPr="000643FE">
              <w:rPr>
                <w:rFonts w:ascii="Book Antiqua" w:hAnsi="Book Antiqua" w:cs="Book Antiqua"/>
                <w:b/>
                <w:bCs/>
                <w:kern w:val="0"/>
                <w:sz w:val="24"/>
              </w:rPr>
              <w:t>n</w:t>
            </w:r>
            <w:r w:rsidRPr="000643FE">
              <w:rPr>
                <w:rFonts w:ascii="Book Antiqua" w:hAnsi="Book Antiqua" w:cs="Book Antiqua"/>
                <w:b/>
                <w:bCs/>
                <w:kern w:val="0"/>
                <w:sz w:val="24"/>
              </w:rPr>
              <w:t>ormal value)</w:t>
            </w:r>
          </w:p>
        </w:tc>
        <w:tc>
          <w:tcPr>
            <w:tcW w:w="2131" w:type="dxa"/>
            <w:tcBorders>
              <w:top w:val="single" w:sz="4" w:space="0" w:color="auto"/>
              <w:bottom w:val="nil"/>
            </w:tcBorders>
            <w:vAlign w:val="center"/>
          </w:tcPr>
          <w:p w14:paraId="515A8582" w14:textId="77777777" w:rsidR="001F4CE6" w:rsidRPr="000643FE" w:rsidRDefault="004C44A9" w:rsidP="000368F9">
            <w:pPr>
              <w:spacing w:line="360" w:lineRule="auto"/>
              <w:rPr>
                <w:rFonts w:ascii="Book Antiqua" w:hAnsi="Book Antiqua" w:cs="Book Antiqua"/>
                <w:b/>
                <w:bCs/>
                <w:kern w:val="0"/>
                <w:sz w:val="24"/>
              </w:rPr>
            </w:pPr>
            <w:r w:rsidRPr="000643FE">
              <w:rPr>
                <w:rFonts w:ascii="Book Antiqua" w:hAnsi="Book Antiqua" w:cs="Book Antiqua"/>
                <w:b/>
                <w:bCs/>
                <w:kern w:val="0"/>
                <w:sz w:val="24"/>
              </w:rPr>
              <w:t>Parameter</w:t>
            </w:r>
          </w:p>
        </w:tc>
        <w:tc>
          <w:tcPr>
            <w:tcW w:w="2132" w:type="dxa"/>
            <w:tcBorders>
              <w:top w:val="single" w:sz="4" w:space="0" w:color="auto"/>
              <w:bottom w:val="nil"/>
            </w:tcBorders>
            <w:vAlign w:val="center"/>
          </w:tcPr>
          <w:p w14:paraId="18C0BE7F" w14:textId="77777777" w:rsidR="001F4CE6" w:rsidRPr="000643FE" w:rsidRDefault="004C44A9" w:rsidP="000368F9">
            <w:pPr>
              <w:spacing w:line="360" w:lineRule="auto"/>
              <w:rPr>
                <w:rFonts w:ascii="Book Antiqua" w:hAnsi="Book Antiqua" w:cs="Book Antiqua"/>
                <w:b/>
                <w:bCs/>
                <w:kern w:val="0"/>
                <w:sz w:val="24"/>
              </w:rPr>
            </w:pPr>
            <w:r w:rsidRPr="000643FE">
              <w:rPr>
                <w:rFonts w:ascii="Book Antiqua" w:hAnsi="Book Antiqua" w:cs="Book Antiqua"/>
                <w:b/>
                <w:bCs/>
                <w:kern w:val="0"/>
                <w:sz w:val="24"/>
              </w:rPr>
              <w:t>Result</w:t>
            </w:r>
          </w:p>
          <w:p w14:paraId="3558C1B0" w14:textId="77777777" w:rsidR="001F4CE6" w:rsidRPr="000643FE" w:rsidRDefault="004C44A9" w:rsidP="000368F9">
            <w:pPr>
              <w:spacing w:line="360" w:lineRule="auto"/>
              <w:rPr>
                <w:rFonts w:ascii="Book Antiqua" w:hAnsi="Book Antiqua" w:cs="Book Antiqua"/>
                <w:b/>
                <w:bCs/>
                <w:kern w:val="0"/>
                <w:sz w:val="24"/>
              </w:rPr>
            </w:pPr>
            <w:r w:rsidRPr="000643FE">
              <w:rPr>
                <w:rFonts w:ascii="Book Antiqua" w:hAnsi="Book Antiqua" w:cs="Book Antiqua"/>
                <w:b/>
                <w:bCs/>
                <w:kern w:val="0"/>
                <w:sz w:val="24"/>
              </w:rPr>
              <w:t>(</w:t>
            </w:r>
            <w:r w:rsidR="009B302B" w:rsidRPr="000643FE">
              <w:rPr>
                <w:rFonts w:ascii="Book Antiqua" w:hAnsi="Book Antiqua" w:cs="Book Antiqua"/>
                <w:b/>
                <w:bCs/>
                <w:kern w:val="0"/>
                <w:sz w:val="24"/>
              </w:rPr>
              <w:t>n</w:t>
            </w:r>
            <w:r w:rsidRPr="000643FE">
              <w:rPr>
                <w:rFonts w:ascii="Book Antiqua" w:hAnsi="Book Antiqua" w:cs="Book Antiqua"/>
                <w:b/>
                <w:bCs/>
                <w:kern w:val="0"/>
                <w:sz w:val="24"/>
              </w:rPr>
              <w:t>ormal value)</w:t>
            </w:r>
          </w:p>
        </w:tc>
      </w:tr>
      <w:tr w:rsidR="004C44A9" w:rsidRPr="000643FE" w14:paraId="2471623F" w14:textId="77777777" w:rsidTr="00E150BE">
        <w:tc>
          <w:tcPr>
            <w:tcW w:w="4259" w:type="dxa"/>
            <w:gridSpan w:val="2"/>
            <w:tcBorders>
              <w:top w:val="nil"/>
              <w:bottom w:val="single" w:sz="4" w:space="0" w:color="auto"/>
            </w:tcBorders>
            <w:vAlign w:val="center"/>
          </w:tcPr>
          <w:p w14:paraId="32DEE409"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b/>
                <w:bCs/>
                <w:kern w:val="0"/>
                <w:sz w:val="24"/>
              </w:rPr>
              <w:t>Biochemistry test</w:t>
            </w:r>
          </w:p>
        </w:tc>
        <w:tc>
          <w:tcPr>
            <w:tcW w:w="4263" w:type="dxa"/>
            <w:gridSpan w:val="2"/>
            <w:tcBorders>
              <w:top w:val="nil"/>
              <w:bottom w:val="single" w:sz="4" w:space="0" w:color="auto"/>
            </w:tcBorders>
            <w:vAlign w:val="center"/>
          </w:tcPr>
          <w:p w14:paraId="2BDEFBDF"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b/>
                <w:bCs/>
                <w:kern w:val="0"/>
                <w:sz w:val="24"/>
              </w:rPr>
              <w:t>Routine blood test</w:t>
            </w:r>
          </w:p>
        </w:tc>
      </w:tr>
      <w:tr w:rsidR="004C44A9" w:rsidRPr="000643FE" w14:paraId="0DC4E2D1" w14:textId="77777777" w:rsidTr="00E150BE">
        <w:tc>
          <w:tcPr>
            <w:tcW w:w="2304" w:type="dxa"/>
            <w:tcBorders>
              <w:top w:val="single" w:sz="4" w:space="0" w:color="auto"/>
            </w:tcBorders>
            <w:vAlign w:val="center"/>
          </w:tcPr>
          <w:p w14:paraId="2CD2C243"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AST (IU/L)</w:t>
            </w:r>
          </w:p>
        </w:tc>
        <w:tc>
          <w:tcPr>
            <w:tcW w:w="1955" w:type="dxa"/>
            <w:tcBorders>
              <w:top w:val="single" w:sz="4" w:space="0" w:color="auto"/>
            </w:tcBorders>
            <w:vAlign w:val="center"/>
          </w:tcPr>
          <w:p w14:paraId="2C7340BC"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170.6 (15-40)</w:t>
            </w:r>
          </w:p>
        </w:tc>
        <w:tc>
          <w:tcPr>
            <w:tcW w:w="2131" w:type="dxa"/>
            <w:tcBorders>
              <w:top w:val="single" w:sz="4" w:space="0" w:color="auto"/>
            </w:tcBorders>
            <w:vAlign w:val="center"/>
          </w:tcPr>
          <w:p w14:paraId="5C872F35"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WBC (</w:t>
            </w:r>
            <w:r w:rsidR="009B302B" w:rsidRPr="000643FE">
              <w:rPr>
                <w:rFonts w:ascii="Book Antiqua" w:hAnsi="Book Antiqua"/>
                <w:color w:val="000000"/>
                <w:kern w:val="0"/>
                <w:sz w:val="24"/>
              </w:rPr>
              <w:t>×</w:t>
            </w:r>
            <w:r w:rsidRPr="000643FE">
              <w:rPr>
                <w:rFonts w:ascii="Book Antiqua" w:hAnsi="Book Antiqua" w:cs="Book Antiqua"/>
                <w:kern w:val="0"/>
                <w:sz w:val="24"/>
              </w:rPr>
              <w:t>10</w:t>
            </w:r>
            <w:r w:rsidRPr="000643FE">
              <w:rPr>
                <w:rFonts w:ascii="Book Antiqua" w:hAnsi="Book Antiqua" w:cs="Book Antiqua"/>
                <w:kern w:val="0"/>
                <w:sz w:val="24"/>
                <w:vertAlign w:val="superscript"/>
              </w:rPr>
              <w:t>9</w:t>
            </w:r>
            <w:r w:rsidRPr="000643FE">
              <w:rPr>
                <w:rFonts w:ascii="Book Antiqua" w:hAnsi="Book Antiqua" w:cs="Book Antiqua"/>
                <w:kern w:val="0"/>
                <w:sz w:val="24"/>
              </w:rPr>
              <w:t>/L)</w:t>
            </w:r>
          </w:p>
        </w:tc>
        <w:tc>
          <w:tcPr>
            <w:tcW w:w="2132" w:type="dxa"/>
            <w:tcBorders>
              <w:top w:val="single" w:sz="4" w:space="0" w:color="auto"/>
            </w:tcBorders>
            <w:vAlign w:val="center"/>
          </w:tcPr>
          <w:p w14:paraId="492AE5F6"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8.8 (3.5-9.5)</w:t>
            </w:r>
          </w:p>
        </w:tc>
      </w:tr>
      <w:tr w:rsidR="004C44A9" w:rsidRPr="000643FE" w14:paraId="237108CF" w14:textId="77777777" w:rsidTr="00E150BE">
        <w:tc>
          <w:tcPr>
            <w:tcW w:w="2304" w:type="dxa"/>
            <w:vAlign w:val="center"/>
          </w:tcPr>
          <w:p w14:paraId="553E143C"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ALT (IU/L)</w:t>
            </w:r>
          </w:p>
        </w:tc>
        <w:tc>
          <w:tcPr>
            <w:tcW w:w="1955" w:type="dxa"/>
            <w:vAlign w:val="center"/>
          </w:tcPr>
          <w:p w14:paraId="499B375C"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208.2 (9-50)</w:t>
            </w:r>
          </w:p>
        </w:tc>
        <w:tc>
          <w:tcPr>
            <w:tcW w:w="2131" w:type="dxa"/>
            <w:vAlign w:val="center"/>
          </w:tcPr>
          <w:p w14:paraId="62A79E09"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RBC (</w:t>
            </w:r>
            <w:r w:rsidR="009B302B" w:rsidRPr="000643FE">
              <w:rPr>
                <w:rFonts w:ascii="Book Antiqua" w:hAnsi="Book Antiqua"/>
                <w:color w:val="000000"/>
                <w:kern w:val="0"/>
                <w:sz w:val="24"/>
              </w:rPr>
              <w:t>×</w:t>
            </w:r>
            <w:r w:rsidRPr="000643FE">
              <w:rPr>
                <w:rFonts w:ascii="Book Antiqua" w:hAnsi="Book Antiqua" w:cs="Book Antiqua"/>
                <w:kern w:val="0"/>
                <w:sz w:val="24"/>
              </w:rPr>
              <w:t>10</w:t>
            </w:r>
            <w:r w:rsidRPr="000643FE">
              <w:rPr>
                <w:rFonts w:ascii="Book Antiqua" w:hAnsi="Book Antiqua" w:cs="Book Antiqua"/>
                <w:kern w:val="0"/>
                <w:sz w:val="24"/>
                <w:vertAlign w:val="superscript"/>
              </w:rPr>
              <w:t>9</w:t>
            </w:r>
            <w:r w:rsidRPr="000643FE">
              <w:rPr>
                <w:rFonts w:ascii="Book Antiqua" w:hAnsi="Book Antiqua" w:cs="Book Antiqua"/>
                <w:kern w:val="0"/>
                <w:sz w:val="24"/>
              </w:rPr>
              <w:t>/L)</w:t>
            </w:r>
          </w:p>
        </w:tc>
        <w:tc>
          <w:tcPr>
            <w:tcW w:w="2132" w:type="dxa"/>
            <w:vAlign w:val="center"/>
          </w:tcPr>
          <w:p w14:paraId="5366A266"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4.89 (4.3-5.8)</w:t>
            </w:r>
          </w:p>
        </w:tc>
      </w:tr>
      <w:tr w:rsidR="004C44A9" w:rsidRPr="000643FE" w14:paraId="26D7CF22" w14:textId="77777777" w:rsidTr="00E150BE">
        <w:tc>
          <w:tcPr>
            <w:tcW w:w="2304" w:type="dxa"/>
            <w:vAlign w:val="center"/>
          </w:tcPr>
          <w:p w14:paraId="426BBA4D"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GGT (IU/L)</w:t>
            </w:r>
          </w:p>
        </w:tc>
        <w:tc>
          <w:tcPr>
            <w:tcW w:w="1955" w:type="dxa"/>
            <w:vAlign w:val="center"/>
          </w:tcPr>
          <w:p w14:paraId="39D6F24A"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76 (10-60)</w:t>
            </w:r>
          </w:p>
        </w:tc>
        <w:tc>
          <w:tcPr>
            <w:tcW w:w="2131" w:type="dxa"/>
            <w:vAlign w:val="center"/>
          </w:tcPr>
          <w:p w14:paraId="0619E451"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Hemoglobin (g/L)</w:t>
            </w:r>
          </w:p>
        </w:tc>
        <w:tc>
          <w:tcPr>
            <w:tcW w:w="2132" w:type="dxa"/>
            <w:vAlign w:val="center"/>
          </w:tcPr>
          <w:p w14:paraId="2A58AC54"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152 (130-175)</w:t>
            </w:r>
          </w:p>
        </w:tc>
      </w:tr>
      <w:tr w:rsidR="004C44A9" w:rsidRPr="000643FE" w14:paraId="59E4ABBD" w14:textId="77777777" w:rsidTr="00E150BE">
        <w:tc>
          <w:tcPr>
            <w:tcW w:w="2304" w:type="dxa"/>
            <w:vAlign w:val="center"/>
          </w:tcPr>
          <w:p w14:paraId="4032232B"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ALP (IU/L)</w:t>
            </w:r>
          </w:p>
        </w:tc>
        <w:tc>
          <w:tcPr>
            <w:tcW w:w="1955" w:type="dxa"/>
            <w:vAlign w:val="center"/>
          </w:tcPr>
          <w:p w14:paraId="5E7BFDF6"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94.2 (45-125)</w:t>
            </w:r>
          </w:p>
        </w:tc>
        <w:tc>
          <w:tcPr>
            <w:tcW w:w="2131" w:type="dxa"/>
            <w:vAlign w:val="center"/>
          </w:tcPr>
          <w:p w14:paraId="55CAC24C"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Platelet</w:t>
            </w:r>
            <w:r w:rsidR="002C5288" w:rsidRPr="000643FE">
              <w:rPr>
                <w:rFonts w:ascii="Book Antiqua" w:hAnsi="Book Antiqua" w:cs="Book Antiqua"/>
                <w:kern w:val="0"/>
                <w:sz w:val="24"/>
              </w:rPr>
              <w:t>s</w:t>
            </w:r>
            <w:r w:rsidRPr="000643FE">
              <w:rPr>
                <w:rFonts w:ascii="Book Antiqua" w:hAnsi="Book Antiqua" w:cs="Book Antiqua"/>
                <w:kern w:val="0"/>
                <w:sz w:val="24"/>
              </w:rPr>
              <w:t xml:space="preserve"> (</w:t>
            </w:r>
            <w:r w:rsidR="009B302B" w:rsidRPr="000643FE">
              <w:rPr>
                <w:rFonts w:ascii="Book Antiqua" w:hAnsi="Book Antiqua"/>
                <w:color w:val="000000"/>
                <w:kern w:val="0"/>
                <w:sz w:val="24"/>
              </w:rPr>
              <w:t>×</w:t>
            </w:r>
            <w:r w:rsidRPr="000643FE">
              <w:rPr>
                <w:rFonts w:ascii="Book Antiqua" w:hAnsi="Book Antiqua" w:cs="Book Antiqua"/>
                <w:kern w:val="0"/>
                <w:sz w:val="24"/>
              </w:rPr>
              <w:t>10</w:t>
            </w:r>
            <w:r w:rsidRPr="000643FE">
              <w:rPr>
                <w:rFonts w:ascii="Book Antiqua" w:hAnsi="Book Antiqua" w:cs="Book Antiqua"/>
                <w:kern w:val="0"/>
                <w:sz w:val="24"/>
                <w:vertAlign w:val="superscript"/>
              </w:rPr>
              <w:t>9</w:t>
            </w:r>
            <w:r w:rsidRPr="000643FE">
              <w:rPr>
                <w:rFonts w:ascii="Book Antiqua" w:hAnsi="Book Antiqua" w:cs="Book Antiqua"/>
                <w:kern w:val="0"/>
                <w:sz w:val="24"/>
              </w:rPr>
              <w:t>/L)</w:t>
            </w:r>
          </w:p>
        </w:tc>
        <w:tc>
          <w:tcPr>
            <w:tcW w:w="2132" w:type="dxa"/>
            <w:vAlign w:val="center"/>
          </w:tcPr>
          <w:p w14:paraId="5E8CC815"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216 (125-350)</w:t>
            </w:r>
          </w:p>
        </w:tc>
      </w:tr>
      <w:tr w:rsidR="004C44A9" w:rsidRPr="000643FE" w14:paraId="6B5C04C3" w14:textId="77777777" w:rsidTr="00E150BE">
        <w:tc>
          <w:tcPr>
            <w:tcW w:w="2304" w:type="dxa"/>
            <w:vAlign w:val="center"/>
          </w:tcPr>
          <w:p w14:paraId="349D50E5"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ACHE(IU/L)</w:t>
            </w:r>
          </w:p>
        </w:tc>
        <w:tc>
          <w:tcPr>
            <w:tcW w:w="1955" w:type="dxa"/>
            <w:vAlign w:val="center"/>
          </w:tcPr>
          <w:p w14:paraId="123535DD"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5050 (4300-12000)</w:t>
            </w:r>
          </w:p>
        </w:tc>
        <w:tc>
          <w:tcPr>
            <w:tcW w:w="2131" w:type="dxa"/>
            <w:vAlign w:val="center"/>
          </w:tcPr>
          <w:p w14:paraId="1E601C81"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Eosinophil</w:t>
            </w:r>
            <w:r w:rsidR="002C5288" w:rsidRPr="000643FE">
              <w:rPr>
                <w:rFonts w:ascii="Book Antiqua" w:hAnsi="Book Antiqua" w:cs="Book Antiqua"/>
                <w:kern w:val="0"/>
                <w:sz w:val="24"/>
              </w:rPr>
              <w:t>s</w:t>
            </w:r>
            <w:r w:rsidRPr="000643FE">
              <w:rPr>
                <w:rFonts w:ascii="Book Antiqua" w:hAnsi="Book Antiqua" w:cs="Book Antiqua"/>
                <w:kern w:val="0"/>
                <w:sz w:val="24"/>
              </w:rPr>
              <w:t xml:space="preserve"> (</w:t>
            </w:r>
            <w:r w:rsidR="009B302B" w:rsidRPr="000643FE">
              <w:rPr>
                <w:rFonts w:ascii="Book Antiqua" w:hAnsi="Book Antiqua"/>
                <w:color w:val="000000"/>
                <w:kern w:val="0"/>
                <w:sz w:val="24"/>
              </w:rPr>
              <w:t>×</w:t>
            </w:r>
            <w:r w:rsidRPr="000643FE">
              <w:rPr>
                <w:rFonts w:ascii="Book Antiqua" w:hAnsi="Book Antiqua" w:cs="Book Antiqua"/>
                <w:kern w:val="0"/>
                <w:sz w:val="24"/>
              </w:rPr>
              <w:t>10</w:t>
            </w:r>
            <w:r w:rsidRPr="000643FE">
              <w:rPr>
                <w:rFonts w:ascii="Book Antiqua" w:hAnsi="Book Antiqua" w:cs="Book Antiqua"/>
                <w:kern w:val="0"/>
                <w:sz w:val="24"/>
                <w:vertAlign w:val="superscript"/>
              </w:rPr>
              <w:t>9</w:t>
            </w:r>
            <w:r w:rsidRPr="000643FE">
              <w:rPr>
                <w:rFonts w:ascii="Book Antiqua" w:hAnsi="Book Antiqua" w:cs="Book Antiqua"/>
                <w:kern w:val="0"/>
                <w:sz w:val="24"/>
              </w:rPr>
              <w:t>/L)</w:t>
            </w:r>
          </w:p>
        </w:tc>
        <w:tc>
          <w:tcPr>
            <w:tcW w:w="2132" w:type="dxa"/>
            <w:vAlign w:val="center"/>
          </w:tcPr>
          <w:p w14:paraId="683243B2"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0.1 (0.02-0.52)</w:t>
            </w:r>
          </w:p>
        </w:tc>
      </w:tr>
      <w:tr w:rsidR="004C44A9" w:rsidRPr="000643FE" w14:paraId="3EB0148D" w14:textId="77777777" w:rsidTr="00E150BE">
        <w:tc>
          <w:tcPr>
            <w:tcW w:w="2304" w:type="dxa"/>
            <w:vAlign w:val="center"/>
          </w:tcPr>
          <w:p w14:paraId="442FABC5"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TP (g/L)</w:t>
            </w:r>
          </w:p>
        </w:tc>
        <w:tc>
          <w:tcPr>
            <w:tcW w:w="1955" w:type="dxa"/>
            <w:vAlign w:val="center"/>
          </w:tcPr>
          <w:p w14:paraId="73DD7303"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52.7 (65-85)</w:t>
            </w:r>
          </w:p>
        </w:tc>
        <w:tc>
          <w:tcPr>
            <w:tcW w:w="2131" w:type="dxa"/>
            <w:vAlign w:val="center"/>
          </w:tcPr>
          <w:p w14:paraId="1192411D"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Basophil</w:t>
            </w:r>
            <w:r w:rsidR="002C5288" w:rsidRPr="000643FE">
              <w:rPr>
                <w:rFonts w:ascii="Book Antiqua" w:hAnsi="Book Antiqua" w:cs="Book Antiqua"/>
                <w:kern w:val="0"/>
                <w:sz w:val="24"/>
              </w:rPr>
              <w:t>s</w:t>
            </w:r>
            <w:r w:rsidRPr="000643FE">
              <w:rPr>
                <w:rFonts w:ascii="Book Antiqua" w:hAnsi="Book Antiqua" w:cs="Book Antiqua"/>
                <w:kern w:val="0"/>
                <w:sz w:val="24"/>
              </w:rPr>
              <w:t xml:space="preserve"> (</w:t>
            </w:r>
            <w:r w:rsidR="009B302B" w:rsidRPr="000643FE">
              <w:rPr>
                <w:rFonts w:ascii="Book Antiqua" w:hAnsi="Book Antiqua"/>
                <w:color w:val="000000"/>
                <w:kern w:val="0"/>
                <w:sz w:val="24"/>
              </w:rPr>
              <w:t>×</w:t>
            </w:r>
            <w:r w:rsidRPr="000643FE">
              <w:rPr>
                <w:rFonts w:ascii="Book Antiqua" w:hAnsi="Book Antiqua" w:cs="Book Antiqua"/>
                <w:kern w:val="0"/>
                <w:sz w:val="24"/>
              </w:rPr>
              <w:t>10</w:t>
            </w:r>
            <w:r w:rsidRPr="000643FE">
              <w:rPr>
                <w:rFonts w:ascii="Book Antiqua" w:hAnsi="Book Antiqua" w:cs="Book Antiqua"/>
                <w:kern w:val="0"/>
                <w:sz w:val="24"/>
                <w:vertAlign w:val="superscript"/>
              </w:rPr>
              <w:t>9</w:t>
            </w:r>
            <w:r w:rsidRPr="000643FE">
              <w:rPr>
                <w:rFonts w:ascii="Book Antiqua" w:hAnsi="Book Antiqua" w:cs="Book Antiqua"/>
                <w:kern w:val="0"/>
                <w:sz w:val="24"/>
              </w:rPr>
              <w:t>/L)</w:t>
            </w:r>
          </w:p>
        </w:tc>
        <w:tc>
          <w:tcPr>
            <w:tcW w:w="2132" w:type="dxa"/>
            <w:vAlign w:val="center"/>
          </w:tcPr>
          <w:p w14:paraId="32D8B54D"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0.01 (0-0.06)</w:t>
            </w:r>
          </w:p>
        </w:tc>
      </w:tr>
      <w:tr w:rsidR="004C44A9" w:rsidRPr="000643FE" w14:paraId="38281305" w14:textId="77777777" w:rsidTr="00E150BE">
        <w:tc>
          <w:tcPr>
            <w:tcW w:w="2304" w:type="dxa"/>
            <w:vAlign w:val="center"/>
          </w:tcPr>
          <w:p w14:paraId="04114D4D"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ALB (g/L)</w:t>
            </w:r>
          </w:p>
        </w:tc>
        <w:tc>
          <w:tcPr>
            <w:tcW w:w="1955" w:type="dxa"/>
            <w:vAlign w:val="center"/>
          </w:tcPr>
          <w:p w14:paraId="26CF41EA"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34.2 (40-55)</w:t>
            </w:r>
          </w:p>
        </w:tc>
        <w:tc>
          <w:tcPr>
            <w:tcW w:w="2131" w:type="dxa"/>
            <w:vAlign w:val="center"/>
          </w:tcPr>
          <w:p w14:paraId="782077A9" w14:textId="77777777" w:rsidR="001F4CE6" w:rsidRPr="000643FE" w:rsidRDefault="001F4CE6" w:rsidP="000368F9">
            <w:pPr>
              <w:widowControl/>
              <w:spacing w:line="360" w:lineRule="auto"/>
              <w:textAlignment w:val="bottom"/>
              <w:rPr>
                <w:rFonts w:ascii="Book Antiqua" w:hAnsi="Book Antiqua" w:cs="Book Antiqua"/>
                <w:kern w:val="0"/>
                <w:sz w:val="24"/>
              </w:rPr>
            </w:pPr>
          </w:p>
        </w:tc>
        <w:tc>
          <w:tcPr>
            <w:tcW w:w="2132" w:type="dxa"/>
            <w:vAlign w:val="center"/>
          </w:tcPr>
          <w:p w14:paraId="109B7D71" w14:textId="77777777" w:rsidR="001F4CE6" w:rsidRPr="000643FE" w:rsidRDefault="001F4CE6" w:rsidP="000368F9">
            <w:pPr>
              <w:widowControl/>
              <w:spacing w:line="360" w:lineRule="auto"/>
              <w:textAlignment w:val="bottom"/>
              <w:rPr>
                <w:rFonts w:ascii="Book Antiqua" w:hAnsi="Book Antiqua" w:cs="Book Antiqua"/>
                <w:kern w:val="0"/>
                <w:sz w:val="24"/>
              </w:rPr>
            </w:pPr>
          </w:p>
        </w:tc>
      </w:tr>
      <w:tr w:rsidR="004C44A9" w:rsidRPr="000643FE" w14:paraId="08E009B0" w14:textId="77777777" w:rsidTr="00E150BE">
        <w:tc>
          <w:tcPr>
            <w:tcW w:w="2304" w:type="dxa"/>
            <w:vAlign w:val="center"/>
          </w:tcPr>
          <w:p w14:paraId="746E7EC8"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GLB (g/L)</w:t>
            </w:r>
          </w:p>
        </w:tc>
        <w:tc>
          <w:tcPr>
            <w:tcW w:w="1955" w:type="dxa"/>
            <w:vAlign w:val="center"/>
          </w:tcPr>
          <w:p w14:paraId="4E02A1F0"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18.5 (20-40)</w:t>
            </w:r>
          </w:p>
        </w:tc>
        <w:tc>
          <w:tcPr>
            <w:tcW w:w="4263" w:type="dxa"/>
            <w:gridSpan w:val="2"/>
            <w:vAlign w:val="center"/>
          </w:tcPr>
          <w:p w14:paraId="560B4196"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bCs/>
                <w:kern w:val="0"/>
                <w:sz w:val="24"/>
              </w:rPr>
              <w:t>Coagulation function</w:t>
            </w:r>
          </w:p>
        </w:tc>
      </w:tr>
      <w:tr w:rsidR="004C44A9" w:rsidRPr="000643FE" w14:paraId="1081BD4B" w14:textId="77777777" w:rsidTr="00E150BE">
        <w:tc>
          <w:tcPr>
            <w:tcW w:w="2304" w:type="dxa"/>
            <w:vAlign w:val="center"/>
          </w:tcPr>
          <w:p w14:paraId="15E05186"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TBIL (</w:t>
            </w:r>
            <w:proofErr w:type="spellStart"/>
            <w:r w:rsidRPr="000643FE">
              <w:rPr>
                <w:rFonts w:ascii="Book Antiqua" w:hAnsi="Book Antiqua" w:cs="Book Antiqua"/>
                <w:kern w:val="0"/>
                <w:sz w:val="24"/>
              </w:rPr>
              <w:t>μmol</w:t>
            </w:r>
            <w:proofErr w:type="spellEnd"/>
            <w:r w:rsidRPr="000643FE">
              <w:rPr>
                <w:rFonts w:ascii="Book Antiqua" w:hAnsi="Book Antiqua" w:cs="Book Antiqua"/>
                <w:kern w:val="0"/>
                <w:sz w:val="24"/>
              </w:rPr>
              <w:t>/L)</w:t>
            </w:r>
          </w:p>
        </w:tc>
        <w:tc>
          <w:tcPr>
            <w:tcW w:w="1955" w:type="dxa"/>
            <w:vAlign w:val="center"/>
          </w:tcPr>
          <w:p w14:paraId="59A43814"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702.5 (6.8-30)</w:t>
            </w:r>
          </w:p>
        </w:tc>
        <w:tc>
          <w:tcPr>
            <w:tcW w:w="2131" w:type="dxa"/>
            <w:vAlign w:val="center"/>
          </w:tcPr>
          <w:p w14:paraId="0C082C2A"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Prothrombin time (s)</w:t>
            </w:r>
          </w:p>
        </w:tc>
        <w:tc>
          <w:tcPr>
            <w:tcW w:w="2132" w:type="dxa"/>
            <w:vAlign w:val="center"/>
          </w:tcPr>
          <w:p w14:paraId="3092F304"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33.5 (9.0-13.0)</w:t>
            </w:r>
          </w:p>
        </w:tc>
      </w:tr>
      <w:tr w:rsidR="004C44A9" w:rsidRPr="000643FE" w14:paraId="6438F4B2" w14:textId="77777777" w:rsidTr="00E150BE">
        <w:tc>
          <w:tcPr>
            <w:tcW w:w="2304" w:type="dxa"/>
            <w:vAlign w:val="center"/>
          </w:tcPr>
          <w:p w14:paraId="5C479BBE"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DBIL (</w:t>
            </w:r>
            <w:proofErr w:type="spellStart"/>
            <w:r w:rsidRPr="000643FE">
              <w:rPr>
                <w:rFonts w:ascii="Book Antiqua" w:hAnsi="Book Antiqua" w:cs="Book Antiqua"/>
                <w:kern w:val="0"/>
                <w:sz w:val="24"/>
              </w:rPr>
              <w:t>μmol</w:t>
            </w:r>
            <w:proofErr w:type="spellEnd"/>
            <w:r w:rsidRPr="000643FE">
              <w:rPr>
                <w:rFonts w:ascii="Book Antiqua" w:hAnsi="Book Antiqua" w:cs="Book Antiqua"/>
                <w:kern w:val="0"/>
                <w:sz w:val="24"/>
              </w:rPr>
              <w:t>/L)</w:t>
            </w:r>
          </w:p>
        </w:tc>
        <w:tc>
          <w:tcPr>
            <w:tcW w:w="1955" w:type="dxa"/>
            <w:vAlign w:val="center"/>
          </w:tcPr>
          <w:p w14:paraId="422EBC63"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362.5 (0.0-8.6)</w:t>
            </w:r>
          </w:p>
        </w:tc>
        <w:tc>
          <w:tcPr>
            <w:tcW w:w="2131" w:type="dxa"/>
            <w:vAlign w:val="center"/>
          </w:tcPr>
          <w:p w14:paraId="15FDFF2E"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INR</w:t>
            </w:r>
          </w:p>
        </w:tc>
        <w:tc>
          <w:tcPr>
            <w:tcW w:w="2132" w:type="dxa"/>
            <w:vAlign w:val="center"/>
          </w:tcPr>
          <w:p w14:paraId="4C3339B0"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2.86 (0.80-1.20)</w:t>
            </w:r>
          </w:p>
        </w:tc>
      </w:tr>
      <w:tr w:rsidR="004C44A9" w:rsidRPr="000643FE" w14:paraId="1F3BCCFF" w14:textId="77777777" w:rsidTr="00E150BE">
        <w:tc>
          <w:tcPr>
            <w:tcW w:w="2304" w:type="dxa"/>
            <w:vAlign w:val="center"/>
          </w:tcPr>
          <w:p w14:paraId="78102FBF"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IBIL (</w:t>
            </w:r>
            <w:proofErr w:type="spellStart"/>
            <w:r w:rsidRPr="000643FE">
              <w:rPr>
                <w:rFonts w:ascii="Book Antiqua" w:hAnsi="Book Antiqua" w:cs="Book Antiqua"/>
                <w:kern w:val="0"/>
                <w:sz w:val="24"/>
              </w:rPr>
              <w:t>μmol</w:t>
            </w:r>
            <w:proofErr w:type="spellEnd"/>
            <w:r w:rsidRPr="000643FE">
              <w:rPr>
                <w:rFonts w:ascii="Book Antiqua" w:hAnsi="Book Antiqua" w:cs="Book Antiqua"/>
                <w:kern w:val="0"/>
                <w:sz w:val="24"/>
              </w:rPr>
              <w:t>/L)</w:t>
            </w:r>
          </w:p>
        </w:tc>
        <w:tc>
          <w:tcPr>
            <w:tcW w:w="1955" w:type="dxa"/>
            <w:vAlign w:val="center"/>
          </w:tcPr>
          <w:p w14:paraId="20049F7C"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340 (5.1-21.4)</w:t>
            </w:r>
          </w:p>
        </w:tc>
        <w:tc>
          <w:tcPr>
            <w:tcW w:w="2131" w:type="dxa"/>
            <w:vAlign w:val="center"/>
          </w:tcPr>
          <w:p w14:paraId="6C671D81"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PTA</w:t>
            </w:r>
            <w:r w:rsidR="009B302B" w:rsidRPr="000643FE">
              <w:rPr>
                <w:rFonts w:ascii="Book Antiqua" w:hAnsi="Book Antiqua" w:cs="Book Antiqua"/>
                <w:kern w:val="0"/>
                <w:sz w:val="24"/>
              </w:rPr>
              <w:t xml:space="preserve"> </w:t>
            </w:r>
            <w:r w:rsidRPr="000643FE">
              <w:rPr>
                <w:rFonts w:ascii="Book Antiqua" w:hAnsi="Book Antiqua" w:cs="Book Antiqua"/>
                <w:kern w:val="0"/>
                <w:sz w:val="24"/>
              </w:rPr>
              <w:t>(%)</w:t>
            </w:r>
          </w:p>
        </w:tc>
        <w:tc>
          <w:tcPr>
            <w:tcW w:w="2132" w:type="dxa"/>
            <w:vAlign w:val="center"/>
          </w:tcPr>
          <w:p w14:paraId="4AE3C650"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25 (80-120)</w:t>
            </w:r>
          </w:p>
        </w:tc>
      </w:tr>
      <w:tr w:rsidR="004C44A9" w:rsidRPr="000643FE" w14:paraId="33711CC2" w14:textId="77777777" w:rsidTr="00E150BE">
        <w:tc>
          <w:tcPr>
            <w:tcW w:w="2304" w:type="dxa"/>
            <w:vAlign w:val="center"/>
          </w:tcPr>
          <w:p w14:paraId="5434159F"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BUN (mmol/L)</w:t>
            </w:r>
          </w:p>
        </w:tc>
        <w:tc>
          <w:tcPr>
            <w:tcW w:w="1955" w:type="dxa"/>
            <w:vAlign w:val="center"/>
          </w:tcPr>
          <w:p w14:paraId="6D2E5D6F"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1.64 (3.1-8)</w:t>
            </w:r>
          </w:p>
        </w:tc>
        <w:tc>
          <w:tcPr>
            <w:tcW w:w="2131" w:type="dxa"/>
            <w:vAlign w:val="center"/>
          </w:tcPr>
          <w:p w14:paraId="26C36203" w14:textId="77777777" w:rsidR="001F4CE6" w:rsidRPr="000643FE" w:rsidRDefault="001F4CE6" w:rsidP="000368F9">
            <w:pPr>
              <w:widowControl/>
              <w:spacing w:line="360" w:lineRule="auto"/>
              <w:textAlignment w:val="bottom"/>
              <w:rPr>
                <w:rFonts w:ascii="Book Antiqua" w:hAnsi="Book Antiqua" w:cs="Book Antiqua"/>
                <w:kern w:val="0"/>
                <w:sz w:val="24"/>
              </w:rPr>
            </w:pPr>
          </w:p>
        </w:tc>
        <w:tc>
          <w:tcPr>
            <w:tcW w:w="2132" w:type="dxa"/>
            <w:vAlign w:val="center"/>
          </w:tcPr>
          <w:p w14:paraId="3093DC24" w14:textId="77777777" w:rsidR="001F4CE6" w:rsidRPr="000643FE" w:rsidRDefault="001F4CE6" w:rsidP="000368F9">
            <w:pPr>
              <w:widowControl/>
              <w:spacing w:line="360" w:lineRule="auto"/>
              <w:textAlignment w:val="bottom"/>
              <w:rPr>
                <w:rFonts w:ascii="Book Antiqua" w:hAnsi="Book Antiqua" w:cs="Book Antiqua"/>
                <w:kern w:val="0"/>
                <w:sz w:val="24"/>
              </w:rPr>
            </w:pPr>
          </w:p>
        </w:tc>
      </w:tr>
      <w:tr w:rsidR="004C44A9" w:rsidRPr="000643FE" w14:paraId="1E1DE4E4" w14:textId="77777777" w:rsidTr="00E150BE">
        <w:tc>
          <w:tcPr>
            <w:tcW w:w="2304" w:type="dxa"/>
            <w:vAlign w:val="center"/>
          </w:tcPr>
          <w:p w14:paraId="1569037D"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CR (</w:t>
            </w:r>
            <w:proofErr w:type="spellStart"/>
            <w:r w:rsidRPr="000643FE">
              <w:rPr>
                <w:rFonts w:ascii="Book Antiqua" w:hAnsi="Book Antiqua" w:cs="Book Antiqua"/>
                <w:kern w:val="0"/>
                <w:sz w:val="24"/>
              </w:rPr>
              <w:t>μmol</w:t>
            </w:r>
            <w:proofErr w:type="spellEnd"/>
            <w:r w:rsidRPr="000643FE">
              <w:rPr>
                <w:rFonts w:ascii="Book Antiqua" w:hAnsi="Book Antiqua" w:cs="Book Antiqua"/>
                <w:kern w:val="0"/>
                <w:sz w:val="24"/>
              </w:rPr>
              <w:t>/L)</w:t>
            </w:r>
          </w:p>
        </w:tc>
        <w:tc>
          <w:tcPr>
            <w:tcW w:w="1955" w:type="dxa"/>
            <w:vAlign w:val="center"/>
          </w:tcPr>
          <w:p w14:paraId="78B7910C"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64 (57-97)</w:t>
            </w:r>
          </w:p>
        </w:tc>
        <w:tc>
          <w:tcPr>
            <w:tcW w:w="4263" w:type="dxa"/>
            <w:gridSpan w:val="2"/>
            <w:vAlign w:val="center"/>
          </w:tcPr>
          <w:p w14:paraId="354473DE"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bCs/>
                <w:kern w:val="0"/>
                <w:sz w:val="24"/>
              </w:rPr>
              <w:t>Virology test</w:t>
            </w:r>
          </w:p>
        </w:tc>
      </w:tr>
      <w:tr w:rsidR="004C44A9" w:rsidRPr="000643FE" w14:paraId="169B885F" w14:textId="77777777" w:rsidTr="00E150BE">
        <w:tc>
          <w:tcPr>
            <w:tcW w:w="2304" w:type="dxa"/>
            <w:vAlign w:val="center"/>
          </w:tcPr>
          <w:p w14:paraId="7BE2BF1D"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UA (</w:t>
            </w:r>
            <w:proofErr w:type="spellStart"/>
            <w:r w:rsidRPr="000643FE">
              <w:rPr>
                <w:rFonts w:ascii="Book Antiqua" w:hAnsi="Book Antiqua" w:cs="Book Antiqua"/>
                <w:kern w:val="0"/>
                <w:sz w:val="24"/>
              </w:rPr>
              <w:t>μmol</w:t>
            </w:r>
            <w:proofErr w:type="spellEnd"/>
            <w:r w:rsidRPr="000643FE">
              <w:rPr>
                <w:rFonts w:ascii="Book Antiqua" w:hAnsi="Book Antiqua" w:cs="Book Antiqua"/>
                <w:kern w:val="0"/>
                <w:sz w:val="24"/>
              </w:rPr>
              <w:t>/L)</w:t>
            </w:r>
          </w:p>
        </w:tc>
        <w:tc>
          <w:tcPr>
            <w:tcW w:w="1955" w:type="dxa"/>
            <w:vAlign w:val="center"/>
          </w:tcPr>
          <w:p w14:paraId="44CAB5E5"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178 (208-428)</w:t>
            </w:r>
          </w:p>
        </w:tc>
        <w:tc>
          <w:tcPr>
            <w:tcW w:w="2131" w:type="dxa"/>
            <w:vAlign w:val="center"/>
          </w:tcPr>
          <w:p w14:paraId="2FB0DD7F"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Anti-HAV-IgM</w:t>
            </w:r>
          </w:p>
        </w:tc>
        <w:tc>
          <w:tcPr>
            <w:tcW w:w="2132" w:type="dxa"/>
            <w:vAlign w:val="center"/>
          </w:tcPr>
          <w:p w14:paraId="2F2E19AB"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 (-)</w:t>
            </w:r>
          </w:p>
        </w:tc>
      </w:tr>
      <w:tr w:rsidR="004C44A9" w:rsidRPr="000643FE" w14:paraId="4668F6FB" w14:textId="77777777" w:rsidTr="00E150BE">
        <w:tc>
          <w:tcPr>
            <w:tcW w:w="2304" w:type="dxa"/>
            <w:vAlign w:val="center"/>
          </w:tcPr>
          <w:p w14:paraId="67CB506B"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CHOL (mmol/L)</w:t>
            </w:r>
          </w:p>
        </w:tc>
        <w:tc>
          <w:tcPr>
            <w:tcW w:w="1955" w:type="dxa"/>
            <w:vAlign w:val="center"/>
          </w:tcPr>
          <w:p w14:paraId="7DD903A4"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3.52 (2.6-6.0)</w:t>
            </w:r>
          </w:p>
        </w:tc>
        <w:tc>
          <w:tcPr>
            <w:tcW w:w="2131" w:type="dxa"/>
            <w:vAlign w:val="center"/>
          </w:tcPr>
          <w:p w14:paraId="096DA491"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Anti-HEV-IgM</w:t>
            </w:r>
          </w:p>
        </w:tc>
        <w:tc>
          <w:tcPr>
            <w:tcW w:w="2132" w:type="dxa"/>
            <w:vAlign w:val="center"/>
          </w:tcPr>
          <w:p w14:paraId="4E4EF710"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 (-)</w:t>
            </w:r>
          </w:p>
        </w:tc>
      </w:tr>
      <w:tr w:rsidR="004C44A9" w:rsidRPr="000643FE" w14:paraId="0D8DD733" w14:textId="77777777" w:rsidTr="00E150BE">
        <w:tc>
          <w:tcPr>
            <w:tcW w:w="2304" w:type="dxa"/>
            <w:vAlign w:val="center"/>
          </w:tcPr>
          <w:p w14:paraId="43D7D0AD" w14:textId="77777777" w:rsidR="001F4CE6" w:rsidRPr="000643FE" w:rsidRDefault="001F4CE6" w:rsidP="000368F9">
            <w:pPr>
              <w:widowControl/>
              <w:spacing w:line="360" w:lineRule="auto"/>
              <w:textAlignment w:val="bottom"/>
              <w:rPr>
                <w:rFonts w:ascii="Book Antiqua" w:hAnsi="Book Antiqua" w:cs="Book Antiqua"/>
                <w:kern w:val="0"/>
                <w:sz w:val="24"/>
              </w:rPr>
            </w:pPr>
          </w:p>
        </w:tc>
        <w:tc>
          <w:tcPr>
            <w:tcW w:w="1955" w:type="dxa"/>
            <w:vAlign w:val="center"/>
          </w:tcPr>
          <w:p w14:paraId="496D605A" w14:textId="77777777" w:rsidR="001F4CE6" w:rsidRPr="000643FE" w:rsidRDefault="001F4CE6" w:rsidP="000368F9">
            <w:pPr>
              <w:widowControl/>
              <w:spacing w:line="360" w:lineRule="auto"/>
              <w:textAlignment w:val="bottom"/>
              <w:rPr>
                <w:rFonts w:ascii="Book Antiqua" w:hAnsi="Book Antiqua" w:cs="Book Antiqua"/>
                <w:kern w:val="0"/>
                <w:sz w:val="24"/>
              </w:rPr>
            </w:pPr>
          </w:p>
        </w:tc>
        <w:tc>
          <w:tcPr>
            <w:tcW w:w="2131" w:type="dxa"/>
            <w:vAlign w:val="center"/>
          </w:tcPr>
          <w:p w14:paraId="04163EEE"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HBsAg</w:t>
            </w:r>
          </w:p>
        </w:tc>
        <w:tc>
          <w:tcPr>
            <w:tcW w:w="2132" w:type="dxa"/>
            <w:vAlign w:val="center"/>
          </w:tcPr>
          <w:p w14:paraId="6478E8F4"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 (-)</w:t>
            </w:r>
          </w:p>
        </w:tc>
      </w:tr>
      <w:tr w:rsidR="004C44A9" w:rsidRPr="000643FE" w14:paraId="788EBCEC" w14:textId="77777777" w:rsidTr="00E150BE">
        <w:trPr>
          <w:trHeight w:val="383"/>
        </w:trPr>
        <w:tc>
          <w:tcPr>
            <w:tcW w:w="4259" w:type="dxa"/>
            <w:gridSpan w:val="2"/>
            <w:vAlign w:val="center"/>
          </w:tcPr>
          <w:p w14:paraId="15856AFD"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bCs/>
                <w:kern w:val="0"/>
                <w:sz w:val="24"/>
              </w:rPr>
              <w:t>Immunological test</w:t>
            </w:r>
          </w:p>
        </w:tc>
        <w:tc>
          <w:tcPr>
            <w:tcW w:w="2131" w:type="dxa"/>
            <w:vAlign w:val="center"/>
          </w:tcPr>
          <w:p w14:paraId="3A662CE0" w14:textId="77777777" w:rsidR="001F4CE6" w:rsidRPr="000643FE" w:rsidRDefault="004C44A9" w:rsidP="000368F9">
            <w:pPr>
              <w:widowControl/>
              <w:spacing w:line="360" w:lineRule="auto"/>
              <w:textAlignment w:val="bottom"/>
              <w:rPr>
                <w:rFonts w:ascii="Book Antiqua" w:hAnsi="Book Antiqua" w:cs="Book Antiqua"/>
                <w:kern w:val="0"/>
                <w:sz w:val="24"/>
              </w:rPr>
            </w:pPr>
            <w:proofErr w:type="spellStart"/>
            <w:r w:rsidRPr="000643FE">
              <w:rPr>
                <w:rFonts w:ascii="Book Antiqua" w:hAnsi="Book Antiqua" w:cs="Book Antiqua"/>
                <w:kern w:val="0"/>
                <w:sz w:val="24"/>
              </w:rPr>
              <w:t>HBeAg</w:t>
            </w:r>
            <w:proofErr w:type="spellEnd"/>
          </w:p>
        </w:tc>
        <w:tc>
          <w:tcPr>
            <w:tcW w:w="2132" w:type="dxa"/>
            <w:vAlign w:val="center"/>
          </w:tcPr>
          <w:p w14:paraId="7CD4535B"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 (-)</w:t>
            </w:r>
          </w:p>
        </w:tc>
      </w:tr>
      <w:tr w:rsidR="004C44A9" w:rsidRPr="000643FE" w14:paraId="05730B43" w14:textId="77777777" w:rsidTr="00E150BE">
        <w:tc>
          <w:tcPr>
            <w:tcW w:w="2304" w:type="dxa"/>
            <w:vAlign w:val="center"/>
          </w:tcPr>
          <w:p w14:paraId="16F2951C"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Anti-dsDNA</w:t>
            </w:r>
          </w:p>
        </w:tc>
        <w:tc>
          <w:tcPr>
            <w:tcW w:w="1955" w:type="dxa"/>
            <w:vAlign w:val="center"/>
          </w:tcPr>
          <w:p w14:paraId="734F11E2"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 (-)</w:t>
            </w:r>
          </w:p>
        </w:tc>
        <w:tc>
          <w:tcPr>
            <w:tcW w:w="2131" w:type="dxa"/>
            <w:vAlign w:val="center"/>
          </w:tcPr>
          <w:p w14:paraId="3B6E0C94"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Anti-</w:t>
            </w:r>
            <w:proofErr w:type="spellStart"/>
            <w:r w:rsidRPr="000643FE">
              <w:rPr>
                <w:rFonts w:ascii="Book Antiqua" w:hAnsi="Book Antiqua" w:cs="Book Antiqua"/>
                <w:kern w:val="0"/>
                <w:sz w:val="24"/>
              </w:rPr>
              <w:t>HBsAb</w:t>
            </w:r>
            <w:proofErr w:type="spellEnd"/>
          </w:p>
        </w:tc>
        <w:tc>
          <w:tcPr>
            <w:tcW w:w="2132" w:type="dxa"/>
            <w:vAlign w:val="center"/>
          </w:tcPr>
          <w:p w14:paraId="07E55ED0"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 (-)</w:t>
            </w:r>
          </w:p>
        </w:tc>
      </w:tr>
      <w:tr w:rsidR="004C44A9" w:rsidRPr="000643FE" w14:paraId="507EA8A5" w14:textId="77777777" w:rsidTr="00E150BE">
        <w:tc>
          <w:tcPr>
            <w:tcW w:w="2304" w:type="dxa"/>
            <w:vAlign w:val="center"/>
          </w:tcPr>
          <w:p w14:paraId="2983B793"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Anti-gp210</w:t>
            </w:r>
          </w:p>
        </w:tc>
        <w:tc>
          <w:tcPr>
            <w:tcW w:w="1955" w:type="dxa"/>
            <w:vAlign w:val="center"/>
          </w:tcPr>
          <w:p w14:paraId="3D2638A7"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 (-)</w:t>
            </w:r>
          </w:p>
        </w:tc>
        <w:tc>
          <w:tcPr>
            <w:tcW w:w="2131" w:type="dxa"/>
            <w:vAlign w:val="center"/>
          </w:tcPr>
          <w:p w14:paraId="7E58259F"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Anti-</w:t>
            </w:r>
            <w:proofErr w:type="spellStart"/>
            <w:r w:rsidRPr="000643FE">
              <w:rPr>
                <w:rFonts w:ascii="Book Antiqua" w:hAnsi="Book Antiqua" w:cs="Book Antiqua"/>
                <w:kern w:val="0"/>
                <w:sz w:val="24"/>
              </w:rPr>
              <w:t>HBeAb</w:t>
            </w:r>
            <w:proofErr w:type="spellEnd"/>
          </w:p>
        </w:tc>
        <w:tc>
          <w:tcPr>
            <w:tcW w:w="2132" w:type="dxa"/>
            <w:vAlign w:val="center"/>
          </w:tcPr>
          <w:p w14:paraId="16A8457E"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 (-)</w:t>
            </w:r>
          </w:p>
        </w:tc>
      </w:tr>
      <w:tr w:rsidR="004C44A9" w:rsidRPr="000643FE" w14:paraId="30FB3B43" w14:textId="77777777" w:rsidTr="00E150BE">
        <w:tc>
          <w:tcPr>
            <w:tcW w:w="2304" w:type="dxa"/>
            <w:vAlign w:val="center"/>
          </w:tcPr>
          <w:p w14:paraId="2618B2C9"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Anti-M2</w:t>
            </w:r>
          </w:p>
        </w:tc>
        <w:tc>
          <w:tcPr>
            <w:tcW w:w="1955" w:type="dxa"/>
            <w:vAlign w:val="center"/>
          </w:tcPr>
          <w:p w14:paraId="1C8F91A1"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 (-)</w:t>
            </w:r>
          </w:p>
        </w:tc>
        <w:tc>
          <w:tcPr>
            <w:tcW w:w="2131" w:type="dxa"/>
            <w:vAlign w:val="center"/>
          </w:tcPr>
          <w:p w14:paraId="4AD28157"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Anti-</w:t>
            </w:r>
            <w:proofErr w:type="spellStart"/>
            <w:r w:rsidRPr="000643FE">
              <w:rPr>
                <w:rFonts w:ascii="Book Antiqua" w:hAnsi="Book Antiqua" w:cs="Book Antiqua"/>
                <w:kern w:val="0"/>
                <w:sz w:val="24"/>
              </w:rPr>
              <w:t>HBcAb</w:t>
            </w:r>
            <w:proofErr w:type="spellEnd"/>
          </w:p>
        </w:tc>
        <w:tc>
          <w:tcPr>
            <w:tcW w:w="2132" w:type="dxa"/>
            <w:vAlign w:val="center"/>
          </w:tcPr>
          <w:p w14:paraId="08B8B4C2"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 (-)</w:t>
            </w:r>
          </w:p>
        </w:tc>
      </w:tr>
      <w:tr w:rsidR="004C44A9" w:rsidRPr="000643FE" w14:paraId="74CF5B48" w14:textId="77777777" w:rsidTr="00E150BE">
        <w:tc>
          <w:tcPr>
            <w:tcW w:w="2304" w:type="dxa"/>
            <w:vAlign w:val="center"/>
          </w:tcPr>
          <w:p w14:paraId="311D4970"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Anti-SSA-52/Ro52</w:t>
            </w:r>
          </w:p>
        </w:tc>
        <w:tc>
          <w:tcPr>
            <w:tcW w:w="1955" w:type="dxa"/>
            <w:vAlign w:val="center"/>
          </w:tcPr>
          <w:p w14:paraId="4B972E32"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 (-)</w:t>
            </w:r>
          </w:p>
        </w:tc>
        <w:tc>
          <w:tcPr>
            <w:tcW w:w="2131" w:type="dxa"/>
            <w:vAlign w:val="center"/>
          </w:tcPr>
          <w:p w14:paraId="01D40C35"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Anti-HCV</w:t>
            </w:r>
          </w:p>
        </w:tc>
        <w:tc>
          <w:tcPr>
            <w:tcW w:w="2132" w:type="dxa"/>
            <w:vAlign w:val="center"/>
          </w:tcPr>
          <w:p w14:paraId="3EE51124"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 (-)</w:t>
            </w:r>
          </w:p>
        </w:tc>
      </w:tr>
      <w:tr w:rsidR="004C44A9" w:rsidRPr="000643FE" w14:paraId="06DE02D2" w14:textId="77777777" w:rsidTr="00E150BE">
        <w:tc>
          <w:tcPr>
            <w:tcW w:w="2304" w:type="dxa"/>
            <w:vAlign w:val="center"/>
          </w:tcPr>
          <w:p w14:paraId="51EDDBC1"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Anti-SP100</w:t>
            </w:r>
          </w:p>
        </w:tc>
        <w:tc>
          <w:tcPr>
            <w:tcW w:w="1955" w:type="dxa"/>
            <w:vAlign w:val="center"/>
          </w:tcPr>
          <w:p w14:paraId="2D146C08"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 (-)</w:t>
            </w:r>
          </w:p>
        </w:tc>
        <w:tc>
          <w:tcPr>
            <w:tcW w:w="2131" w:type="dxa"/>
            <w:vAlign w:val="center"/>
          </w:tcPr>
          <w:p w14:paraId="03813E7C"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Anti-HIV</w:t>
            </w:r>
          </w:p>
        </w:tc>
        <w:tc>
          <w:tcPr>
            <w:tcW w:w="2132" w:type="dxa"/>
            <w:vAlign w:val="center"/>
          </w:tcPr>
          <w:p w14:paraId="1046CAC8"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 (-)</w:t>
            </w:r>
          </w:p>
        </w:tc>
      </w:tr>
      <w:tr w:rsidR="004C44A9" w:rsidRPr="000643FE" w14:paraId="2FAE7DBD" w14:textId="77777777" w:rsidTr="00E150BE">
        <w:tc>
          <w:tcPr>
            <w:tcW w:w="2304" w:type="dxa"/>
            <w:vAlign w:val="center"/>
          </w:tcPr>
          <w:p w14:paraId="0E1EF38E"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Anti-Sm</w:t>
            </w:r>
          </w:p>
        </w:tc>
        <w:tc>
          <w:tcPr>
            <w:tcW w:w="1955" w:type="dxa"/>
            <w:vAlign w:val="center"/>
          </w:tcPr>
          <w:p w14:paraId="54724A14"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 (-)</w:t>
            </w:r>
          </w:p>
        </w:tc>
        <w:tc>
          <w:tcPr>
            <w:tcW w:w="4263" w:type="dxa"/>
            <w:gridSpan w:val="2"/>
            <w:vAlign w:val="center"/>
          </w:tcPr>
          <w:p w14:paraId="3F90C3A6" w14:textId="77777777" w:rsidR="001F4CE6" w:rsidRPr="000643FE" w:rsidRDefault="001F4CE6" w:rsidP="000368F9">
            <w:pPr>
              <w:widowControl/>
              <w:spacing w:line="360" w:lineRule="auto"/>
              <w:textAlignment w:val="bottom"/>
              <w:rPr>
                <w:rFonts w:ascii="Book Antiqua" w:hAnsi="Book Antiqua" w:cs="Book Antiqua"/>
                <w:kern w:val="0"/>
                <w:sz w:val="24"/>
              </w:rPr>
            </w:pPr>
          </w:p>
        </w:tc>
      </w:tr>
      <w:tr w:rsidR="004C44A9" w:rsidRPr="000643FE" w14:paraId="44A4CC56" w14:textId="77777777" w:rsidTr="00E150BE">
        <w:tc>
          <w:tcPr>
            <w:tcW w:w="2304" w:type="dxa"/>
            <w:vAlign w:val="center"/>
          </w:tcPr>
          <w:p w14:paraId="541A8B9C"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Anti-</w:t>
            </w:r>
            <w:proofErr w:type="spellStart"/>
            <w:r w:rsidRPr="000643FE">
              <w:rPr>
                <w:rFonts w:ascii="Book Antiqua" w:hAnsi="Book Antiqua" w:cs="Book Antiqua"/>
                <w:kern w:val="0"/>
                <w:sz w:val="24"/>
              </w:rPr>
              <w:t>nRNP</w:t>
            </w:r>
            <w:proofErr w:type="spellEnd"/>
            <w:r w:rsidRPr="000643FE">
              <w:rPr>
                <w:rFonts w:ascii="Book Antiqua" w:hAnsi="Book Antiqua" w:cs="Book Antiqua"/>
                <w:kern w:val="0"/>
                <w:sz w:val="24"/>
              </w:rPr>
              <w:t>/Sm</w:t>
            </w:r>
          </w:p>
        </w:tc>
        <w:tc>
          <w:tcPr>
            <w:tcW w:w="1955" w:type="dxa"/>
            <w:vAlign w:val="center"/>
          </w:tcPr>
          <w:p w14:paraId="196AB23F"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 (-)</w:t>
            </w:r>
          </w:p>
        </w:tc>
        <w:tc>
          <w:tcPr>
            <w:tcW w:w="4263" w:type="dxa"/>
            <w:gridSpan w:val="2"/>
            <w:vAlign w:val="center"/>
          </w:tcPr>
          <w:p w14:paraId="2D44D4CF"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bCs/>
                <w:kern w:val="0"/>
                <w:sz w:val="24"/>
              </w:rPr>
              <w:t>Tumor marker</w:t>
            </w:r>
          </w:p>
        </w:tc>
      </w:tr>
      <w:tr w:rsidR="004C44A9" w:rsidRPr="000643FE" w14:paraId="2C3988C3" w14:textId="77777777" w:rsidTr="00E150BE">
        <w:tc>
          <w:tcPr>
            <w:tcW w:w="2304" w:type="dxa"/>
            <w:vAlign w:val="center"/>
          </w:tcPr>
          <w:p w14:paraId="013FCF7F"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Immunoglobulin G4</w:t>
            </w:r>
          </w:p>
        </w:tc>
        <w:tc>
          <w:tcPr>
            <w:tcW w:w="1955" w:type="dxa"/>
            <w:vAlign w:val="center"/>
          </w:tcPr>
          <w:p w14:paraId="0807DCDC"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0.545 (0.03-2.01)</w:t>
            </w:r>
          </w:p>
        </w:tc>
        <w:tc>
          <w:tcPr>
            <w:tcW w:w="2131" w:type="dxa"/>
            <w:vAlign w:val="center"/>
          </w:tcPr>
          <w:p w14:paraId="30B08D5C" w14:textId="77777777" w:rsidR="001F4CE6" w:rsidRPr="000643FE" w:rsidRDefault="004C44A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α-</w:t>
            </w:r>
            <w:r w:rsidR="002C5288" w:rsidRPr="000643FE">
              <w:rPr>
                <w:rFonts w:ascii="Book Antiqua" w:hAnsi="Book Antiqua" w:cs="Book Antiqua"/>
                <w:kern w:val="0"/>
                <w:sz w:val="24"/>
              </w:rPr>
              <w:t xml:space="preserve">fetoprotein </w:t>
            </w:r>
            <w:r w:rsidRPr="000643FE">
              <w:rPr>
                <w:rFonts w:ascii="Book Antiqua" w:hAnsi="Book Antiqua" w:cs="Book Antiqua"/>
                <w:kern w:val="0"/>
                <w:sz w:val="24"/>
              </w:rPr>
              <w:t>(ng/m</w:t>
            </w:r>
            <w:r w:rsidR="009B302B" w:rsidRPr="000643FE">
              <w:rPr>
                <w:rFonts w:ascii="Book Antiqua" w:hAnsi="Book Antiqua" w:cs="Book Antiqua"/>
                <w:kern w:val="0"/>
                <w:sz w:val="24"/>
              </w:rPr>
              <w:t>L</w:t>
            </w:r>
            <w:r w:rsidRPr="000643FE">
              <w:rPr>
                <w:rFonts w:ascii="Book Antiqua" w:hAnsi="Book Antiqua" w:cs="Book Antiqua"/>
                <w:kern w:val="0"/>
                <w:sz w:val="24"/>
              </w:rPr>
              <w:t>)</w:t>
            </w:r>
          </w:p>
        </w:tc>
        <w:tc>
          <w:tcPr>
            <w:tcW w:w="2132" w:type="dxa"/>
            <w:vAlign w:val="center"/>
          </w:tcPr>
          <w:p w14:paraId="002BD290"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82.86 (&lt;20)</w:t>
            </w:r>
          </w:p>
        </w:tc>
      </w:tr>
      <w:tr w:rsidR="004C44A9" w:rsidRPr="000643FE" w14:paraId="09581598" w14:textId="77777777" w:rsidTr="00E150BE">
        <w:tc>
          <w:tcPr>
            <w:tcW w:w="2304" w:type="dxa"/>
            <w:vAlign w:val="center"/>
          </w:tcPr>
          <w:p w14:paraId="364063A4"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Immunoglobulin A</w:t>
            </w:r>
          </w:p>
        </w:tc>
        <w:tc>
          <w:tcPr>
            <w:tcW w:w="1955" w:type="dxa"/>
            <w:vAlign w:val="center"/>
          </w:tcPr>
          <w:p w14:paraId="5F3B5D09"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3.01 (0.7-4.0)</w:t>
            </w:r>
          </w:p>
        </w:tc>
        <w:tc>
          <w:tcPr>
            <w:tcW w:w="4263" w:type="dxa"/>
            <w:gridSpan w:val="2"/>
            <w:vAlign w:val="center"/>
          </w:tcPr>
          <w:p w14:paraId="036D0B53"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bCs/>
                <w:kern w:val="0"/>
                <w:sz w:val="24"/>
              </w:rPr>
              <w:t>Thyroid function</w:t>
            </w:r>
          </w:p>
        </w:tc>
      </w:tr>
      <w:tr w:rsidR="004C44A9" w:rsidRPr="000643FE" w14:paraId="724EC655" w14:textId="77777777" w:rsidTr="00E150BE">
        <w:tc>
          <w:tcPr>
            <w:tcW w:w="2304" w:type="dxa"/>
            <w:vAlign w:val="center"/>
          </w:tcPr>
          <w:p w14:paraId="134122AA"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Immunoglobulin G</w:t>
            </w:r>
          </w:p>
        </w:tc>
        <w:tc>
          <w:tcPr>
            <w:tcW w:w="1955" w:type="dxa"/>
            <w:vAlign w:val="center"/>
          </w:tcPr>
          <w:p w14:paraId="44DBA14F"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12.6 (7.0-16)</w:t>
            </w:r>
          </w:p>
        </w:tc>
        <w:tc>
          <w:tcPr>
            <w:tcW w:w="2131" w:type="dxa"/>
            <w:vAlign w:val="center"/>
          </w:tcPr>
          <w:p w14:paraId="38C82D77"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TSH (</w:t>
            </w:r>
            <w:proofErr w:type="spellStart"/>
            <w:r w:rsidRPr="000643FE">
              <w:rPr>
                <w:rFonts w:ascii="Book Antiqua" w:hAnsi="Book Antiqua" w:cs="Book Antiqua"/>
                <w:kern w:val="0"/>
                <w:sz w:val="24"/>
              </w:rPr>
              <w:t>mIU</w:t>
            </w:r>
            <w:proofErr w:type="spellEnd"/>
            <w:r w:rsidRPr="000643FE">
              <w:rPr>
                <w:rFonts w:ascii="Book Antiqua" w:hAnsi="Book Antiqua" w:cs="Book Antiqua"/>
                <w:kern w:val="0"/>
                <w:sz w:val="24"/>
              </w:rPr>
              <w:t>/L)</w:t>
            </w:r>
          </w:p>
        </w:tc>
        <w:tc>
          <w:tcPr>
            <w:tcW w:w="2132" w:type="dxa"/>
            <w:vAlign w:val="center"/>
          </w:tcPr>
          <w:p w14:paraId="7284F8EE"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1.62 (0.372-4.94)</w:t>
            </w:r>
          </w:p>
        </w:tc>
      </w:tr>
      <w:tr w:rsidR="004C44A9" w:rsidRPr="000643FE" w14:paraId="5FA62301" w14:textId="77777777" w:rsidTr="00E150BE">
        <w:tc>
          <w:tcPr>
            <w:tcW w:w="2304" w:type="dxa"/>
            <w:vAlign w:val="center"/>
          </w:tcPr>
          <w:p w14:paraId="531B9F18"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Immunoglobulin M</w:t>
            </w:r>
          </w:p>
        </w:tc>
        <w:tc>
          <w:tcPr>
            <w:tcW w:w="1955" w:type="dxa"/>
            <w:vAlign w:val="center"/>
          </w:tcPr>
          <w:p w14:paraId="65B32B11"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0.86 (0.4-2.3)</w:t>
            </w:r>
          </w:p>
        </w:tc>
        <w:tc>
          <w:tcPr>
            <w:tcW w:w="2131" w:type="dxa"/>
            <w:vAlign w:val="center"/>
          </w:tcPr>
          <w:p w14:paraId="258812BB"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FT3 (</w:t>
            </w:r>
            <w:proofErr w:type="spellStart"/>
            <w:r w:rsidRPr="000643FE">
              <w:rPr>
                <w:rFonts w:ascii="Book Antiqua" w:hAnsi="Book Antiqua" w:cs="Book Antiqua"/>
                <w:kern w:val="0"/>
                <w:sz w:val="24"/>
              </w:rPr>
              <w:t>pmol</w:t>
            </w:r>
            <w:proofErr w:type="spellEnd"/>
            <w:r w:rsidRPr="000643FE">
              <w:rPr>
                <w:rFonts w:ascii="Book Antiqua" w:hAnsi="Book Antiqua" w:cs="Book Antiqua"/>
                <w:kern w:val="0"/>
                <w:sz w:val="24"/>
              </w:rPr>
              <w:t>/L)</w:t>
            </w:r>
          </w:p>
        </w:tc>
        <w:tc>
          <w:tcPr>
            <w:tcW w:w="2132" w:type="dxa"/>
            <w:vAlign w:val="center"/>
          </w:tcPr>
          <w:p w14:paraId="70434475"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5.35 (3.1-6.8)</w:t>
            </w:r>
          </w:p>
        </w:tc>
      </w:tr>
      <w:tr w:rsidR="004C44A9" w:rsidRPr="000643FE" w14:paraId="35D96FAA" w14:textId="77777777" w:rsidTr="00E150BE">
        <w:tc>
          <w:tcPr>
            <w:tcW w:w="2304" w:type="dxa"/>
            <w:vAlign w:val="center"/>
          </w:tcPr>
          <w:p w14:paraId="0399C9CA"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Complement</w:t>
            </w:r>
            <w:r w:rsidR="009B302B" w:rsidRPr="000643FE">
              <w:rPr>
                <w:rFonts w:ascii="Book Antiqua" w:hAnsi="Book Antiqua" w:cs="Book Antiqua"/>
                <w:kern w:val="0"/>
                <w:sz w:val="24"/>
              </w:rPr>
              <w:t xml:space="preserve"> </w:t>
            </w:r>
            <w:r w:rsidRPr="000643FE">
              <w:rPr>
                <w:rFonts w:ascii="Book Antiqua" w:hAnsi="Book Antiqua" w:cs="Book Antiqua"/>
                <w:kern w:val="0"/>
                <w:sz w:val="24"/>
              </w:rPr>
              <w:t>(C3)</w:t>
            </w:r>
          </w:p>
        </w:tc>
        <w:tc>
          <w:tcPr>
            <w:tcW w:w="1955" w:type="dxa"/>
            <w:vAlign w:val="center"/>
          </w:tcPr>
          <w:p w14:paraId="3DDEF77D"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0.58 (0.9-1.8)</w:t>
            </w:r>
          </w:p>
        </w:tc>
        <w:tc>
          <w:tcPr>
            <w:tcW w:w="2131" w:type="dxa"/>
            <w:vAlign w:val="center"/>
          </w:tcPr>
          <w:p w14:paraId="2DC95D96"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FT4 (</w:t>
            </w:r>
            <w:proofErr w:type="spellStart"/>
            <w:r w:rsidRPr="000643FE">
              <w:rPr>
                <w:rFonts w:ascii="Book Antiqua" w:hAnsi="Book Antiqua" w:cs="Book Antiqua"/>
                <w:kern w:val="0"/>
                <w:sz w:val="24"/>
              </w:rPr>
              <w:t>pmol</w:t>
            </w:r>
            <w:proofErr w:type="spellEnd"/>
            <w:r w:rsidRPr="000643FE">
              <w:rPr>
                <w:rFonts w:ascii="Book Antiqua" w:hAnsi="Book Antiqua" w:cs="Book Antiqua"/>
                <w:kern w:val="0"/>
                <w:sz w:val="24"/>
              </w:rPr>
              <w:t>/L)</w:t>
            </w:r>
          </w:p>
        </w:tc>
        <w:tc>
          <w:tcPr>
            <w:tcW w:w="2132" w:type="dxa"/>
            <w:vAlign w:val="center"/>
          </w:tcPr>
          <w:p w14:paraId="211821E7" w14:textId="77777777" w:rsidR="001F4CE6" w:rsidRPr="000643FE" w:rsidRDefault="004C44A9" w:rsidP="000368F9">
            <w:pPr>
              <w:widowControl/>
              <w:spacing w:line="360" w:lineRule="auto"/>
              <w:textAlignment w:val="bottom"/>
              <w:rPr>
                <w:rFonts w:ascii="Book Antiqua" w:hAnsi="Book Antiqua" w:cs="Book Antiqua"/>
                <w:kern w:val="0"/>
                <w:sz w:val="24"/>
              </w:rPr>
            </w:pPr>
            <w:r w:rsidRPr="000643FE">
              <w:rPr>
                <w:rFonts w:ascii="Book Antiqua" w:hAnsi="Book Antiqua" w:cs="Book Antiqua"/>
                <w:kern w:val="0"/>
                <w:sz w:val="24"/>
              </w:rPr>
              <w:t>32.9 (12.0-22.0)</w:t>
            </w:r>
          </w:p>
        </w:tc>
      </w:tr>
    </w:tbl>
    <w:p w14:paraId="719D90F1" w14:textId="77777777" w:rsidR="001F4CE6" w:rsidRPr="000643FE" w:rsidRDefault="00E150BE" w:rsidP="000368F9">
      <w:pPr>
        <w:spacing w:line="360" w:lineRule="auto"/>
        <w:rPr>
          <w:rFonts w:ascii="Book Antiqua" w:hAnsi="Book Antiqua" w:cs="Book Antiqua"/>
          <w:b/>
          <w:bCs/>
          <w:sz w:val="24"/>
        </w:rPr>
      </w:pPr>
      <w:r w:rsidRPr="000643FE">
        <w:rPr>
          <w:rFonts w:ascii="Book Antiqua" w:hAnsi="Book Antiqua" w:cs="Book Antiqua"/>
          <w:kern w:val="0"/>
          <w:sz w:val="24"/>
        </w:rPr>
        <w:t>AST: Aspartate aminotransferase; ALT: Alanine aminotransferase; GGT: γ-</w:t>
      </w:r>
      <w:proofErr w:type="spellStart"/>
      <w:r w:rsidRPr="000643FE">
        <w:rPr>
          <w:rFonts w:ascii="Book Antiqua" w:hAnsi="Book Antiqua" w:cs="Book Antiqua"/>
          <w:kern w:val="0"/>
          <w:sz w:val="24"/>
        </w:rPr>
        <w:t>glutamyltransferase</w:t>
      </w:r>
      <w:proofErr w:type="spellEnd"/>
      <w:r w:rsidRPr="000643FE">
        <w:rPr>
          <w:rFonts w:ascii="Book Antiqua" w:hAnsi="Book Antiqua" w:cs="Book Antiqua"/>
          <w:kern w:val="0"/>
          <w:sz w:val="24"/>
        </w:rPr>
        <w:t>; ALP: Alkaline phosphatase; ACHE: Acetylcholinesterase; TP: Total protein; ALB: Albumin; GLB: Globulin; TBIL: Total bilirubin; DBIL: Direct bilirubin; IBIL: Indirect bilirubin; BUN: Blood urea nitrogen; CR: Creatinine; UA: Uric acid; CHOL: Cholesterol; Anti-dsDNA:</w:t>
      </w:r>
      <w:r w:rsidRPr="000643FE">
        <w:rPr>
          <w:rFonts w:ascii="Book Antiqua" w:hAnsi="Book Antiqua" w:cs="Book Antiqua" w:hint="eastAsia"/>
          <w:kern w:val="0"/>
          <w:sz w:val="24"/>
        </w:rPr>
        <w:t xml:space="preserve"> </w:t>
      </w:r>
      <w:r w:rsidRPr="000643FE">
        <w:rPr>
          <w:rFonts w:ascii="Book Antiqua" w:hAnsi="Book Antiqua" w:cs="Book Antiqua"/>
          <w:kern w:val="0"/>
          <w:sz w:val="24"/>
        </w:rPr>
        <w:t>Anti-double strand DNA antibody; AMA M2: Anti-mitochondrial antibody M2; anti-Sm: Anti-smooth muscle antibody; WBC: White blood cell</w:t>
      </w:r>
      <w:r w:rsidR="002C5288" w:rsidRPr="000643FE">
        <w:rPr>
          <w:rFonts w:ascii="Book Antiqua" w:hAnsi="Book Antiqua" w:cs="Book Antiqua"/>
          <w:kern w:val="0"/>
          <w:sz w:val="24"/>
        </w:rPr>
        <w:t>s</w:t>
      </w:r>
      <w:r w:rsidRPr="000643FE">
        <w:rPr>
          <w:rFonts w:ascii="Book Antiqua" w:hAnsi="Book Antiqua" w:cs="Book Antiqua"/>
          <w:kern w:val="0"/>
          <w:sz w:val="24"/>
        </w:rPr>
        <w:t>; RBC: Red blood cell</w:t>
      </w:r>
      <w:r w:rsidR="002C5288" w:rsidRPr="000643FE">
        <w:rPr>
          <w:rFonts w:ascii="Book Antiqua" w:hAnsi="Book Antiqua" w:cs="Book Antiqua"/>
          <w:kern w:val="0"/>
          <w:sz w:val="24"/>
        </w:rPr>
        <w:t>s</w:t>
      </w:r>
      <w:r w:rsidRPr="000643FE">
        <w:rPr>
          <w:rFonts w:ascii="Book Antiqua" w:hAnsi="Book Antiqua" w:cs="Book Antiqua"/>
          <w:kern w:val="0"/>
          <w:sz w:val="24"/>
        </w:rPr>
        <w:t>; INR: International standard value; PTA: Prothrombin time activity; anti-HCV: Anti-hepatitis C virus antibody; anti-HIV: Anti-human immunodeficiency virus antibody; TSH: Thyroid-stimulating hormone; FT3: Free triiodothyronine; FT4: Free thyroxine; –: Negative; +: Positive.</w:t>
      </w:r>
    </w:p>
    <w:p w14:paraId="44CE52A1" w14:textId="77777777" w:rsidR="00065B55" w:rsidRPr="000643FE" w:rsidRDefault="00065B55">
      <w:pPr>
        <w:widowControl/>
        <w:jc w:val="left"/>
        <w:rPr>
          <w:rFonts w:ascii="Book Antiqua" w:hAnsi="Book Antiqua" w:cs="Book Antiqua"/>
          <w:b/>
          <w:bCs/>
          <w:sz w:val="24"/>
        </w:rPr>
      </w:pPr>
      <w:r w:rsidRPr="000643FE">
        <w:rPr>
          <w:rFonts w:ascii="Book Antiqua" w:hAnsi="Book Antiqua" w:cs="Book Antiqua"/>
          <w:b/>
          <w:bCs/>
          <w:sz w:val="24"/>
        </w:rPr>
        <w:br w:type="page"/>
      </w:r>
    </w:p>
    <w:p w14:paraId="3A44C5AD" w14:textId="77777777" w:rsidR="001F4CE6" w:rsidRPr="000643FE" w:rsidRDefault="004C44A9" w:rsidP="000368F9">
      <w:pPr>
        <w:spacing w:line="360" w:lineRule="auto"/>
        <w:rPr>
          <w:rFonts w:ascii="Book Antiqua" w:hAnsi="Book Antiqua" w:cs="Book Antiqua"/>
          <w:b/>
          <w:bCs/>
          <w:sz w:val="24"/>
        </w:rPr>
      </w:pPr>
      <w:r w:rsidRPr="000643FE">
        <w:rPr>
          <w:rFonts w:ascii="Book Antiqua" w:hAnsi="Book Antiqua" w:cs="Book Antiqua"/>
          <w:b/>
          <w:bCs/>
          <w:sz w:val="24"/>
        </w:rPr>
        <w:t>Table 2 Characteristics of benzbromarone-induced hepatotoxicity cases</w:t>
      </w:r>
    </w:p>
    <w:tbl>
      <w:tblPr>
        <w:tblStyle w:val="a9"/>
        <w:tblW w:w="8648" w:type="dxa"/>
        <w:tblInd w:w="-13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9"/>
        <w:gridCol w:w="475"/>
        <w:gridCol w:w="813"/>
        <w:gridCol w:w="850"/>
        <w:gridCol w:w="1163"/>
        <w:gridCol w:w="849"/>
        <w:gridCol w:w="1163"/>
        <w:gridCol w:w="1273"/>
        <w:gridCol w:w="902"/>
        <w:gridCol w:w="561"/>
      </w:tblGrid>
      <w:tr w:rsidR="004C44A9" w:rsidRPr="000643FE" w14:paraId="4246C13B" w14:textId="77777777" w:rsidTr="008B463B">
        <w:tc>
          <w:tcPr>
            <w:tcW w:w="599" w:type="dxa"/>
            <w:tcBorders>
              <w:top w:val="single" w:sz="4" w:space="0" w:color="auto"/>
              <w:bottom w:val="single" w:sz="4" w:space="0" w:color="auto"/>
            </w:tcBorders>
            <w:vAlign w:val="center"/>
          </w:tcPr>
          <w:p w14:paraId="7B6059DB" w14:textId="77777777" w:rsidR="001F4CE6" w:rsidRPr="000643FE" w:rsidRDefault="004C44A9" w:rsidP="000368F9">
            <w:pPr>
              <w:spacing w:line="360" w:lineRule="auto"/>
              <w:rPr>
                <w:rFonts w:ascii="Book Antiqua" w:hAnsi="Book Antiqua" w:cs="Book Antiqua"/>
                <w:b/>
                <w:bCs/>
                <w:kern w:val="0"/>
                <w:sz w:val="24"/>
              </w:rPr>
            </w:pPr>
            <w:r w:rsidRPr="000643FE">
              <w:rPr>
                <w:rFonts w:ascii="Book Antiqua" w:hAnsi="Book Antiqua" w:cs="Book Antiqua"/>
                <w:b/>
                <w:bCs/>
                <w:kern w:val="0"/>
                <w:sz w:val="24"/>
              </w:rPr>
              <w:t>Age</w:t>
            </w:r>
          </w:p>
        </w:tc>
        <w:tc>
          <w:tcPr>
            <w:tcW w:w="475" w:type="dxa"/>
            <w:tcBorders>
              <w:top w:val="single" w:sz="4" w:space="0" w:color="auto"/>
              <w:bottom w:val="single" w:sz="4" w:space="0" w:color="auto"/>
            </w:tcBorders>
            <w:vAlign w:val="center"/>
          </w:tcPr>
          <w:p w14:paraId="3A6428DC" w14:textId="77777777" w:rsidR="001F4CE6" w:rsidRPr="000643FE" w:rsidRDefault="004C44A9" w:rsidP="000368F9">
            <w:pPr>
              <w:spacing w:line="360" w:lineRule="auto"/>
              <w:rPr>
                <w:rFonts w:ascii="Book Antiqua" w:hAnsi="Book Antiqua" w:cs="Book Antiqua"/>
                <w:b/>
                <w:bCs/>
                <w:kern w:val="0"/>
                <w:sz w:val="24"/>
              </w:rPr>
            </w:pPr>
            <w:r w:rsidRPr="000643FE">
              <w:rPr>
                <w:rFonts w:ascii="Book Antiqua" w:hAnsi="Book Antiqua" w:cs="Book Antiqua"/>
                <w:b/>
                <w:bCs/>
                <w:kern w:val="0"/>
                <w:sz w:val="24"/>
              </w:rPr>
              <w:t>Sex</w:t>
            </w:r>
          </w:p>
        </w:tc>
        <w:tc>
          <w:tcPr>
            <w:tcW w:w="813" w:type="dxa"/>
            <w:tcBorders>
              <w:top w:val="single" w:sz="4" w:space="0" w:color="auto"/>
              <w:bottom w:val="single" w:sz="4" w:space="0" w:color="auto"/>
            </w:tcBorders>
            <w:vAlign w:val="center"/>
          </w:tcPr>
          <w:p w14:paraId="2F8054F8" w14:textId="77777777" w:rsidR="001F4CE6" w:rsidRPr="000643FE" w:rsidRDefault="004C44A9" w:rsidP="000368F9">
            <w:pPr>
              <w:spacing w:line="360" w:lineRule="auto"/>
              <w:rPr>
                <w:rFonts w:ascii="Book Antiqua" w:hAnsi="Book Antiqua" w:cs="Book Antiqua"/>
                <w:b/>
                <w:bCs/>
                <w:kern w:val="0"/>
                <w:sz w:val="24"/>
              </w:rPr>
            </w:pPr>
            <w:r w:rsidRPr="000643FE">
              <w:rPr>
                <w:rFonts w:ascii="Book Antiqua" w:hAnsi="Book Antiqua" w:cs="Book Antiqua"/>
                <w:b/>
                <w:bCs/>
                <w:kern w:val="0"/>
                <w:sz w:val="24"/>
              </w:rPr>
              <w:t xml:space="preserve">Course of </w:t>
            </w:r>
            <w:r w:rsidR="005E04A1" w:rsidRPr="000643FE">
              <w:rPr>
                <w:rFonts w:ascii="Book Antiqua" w:hAnsi="Book Antiqua" w:cs="Book Antiqua"/>
                <w:b/>
                <w:sz w:val="24"/>
              </w:rPr>
              <w:t>benzbromarone</w:t>
            </w:r>
          </w:p>
        </w:tc>
        <w:tc>
          <w:tcPr>
            <w:tcW w:w="850" w:type="dxa"/>
            <w:tcBorders>
              <w:top w:val="single" w:sz="4" w:space="0" w:color="auto"/>
              <w:bottom w:val="single" w:sz="4" w:space="0" w:color="auto"/>
            </w:tcBorders>
            <w:vAlign w:val="center"/>
          </w:tcPr>
          <w:p w14:paraId="694867C9" w14:textId="77777777" w:rsidR="001F4CE6" w:rsidRPr="000643FE" w:rsidRDefault="004C44A9" w:rsidP="000368F9">
            <w:pPr>
              <w:spacing w:line="360" w:lineRule="auto"/>
              <w:rPr>
                <w:rFonts w:ascii="Book Antiqua" w:hAnsi="Book Antiqua" w:cs="Book Antiqua"/>
                <w:b/>
                <w:bCs/>
                <w:kern w:val="0"/>
                <w:sz w:val="24"/>
              </w:rPr>
            </w:pPr>
            <w:r w:rsidRPr="000643FE">
              <w:rPr>
                <w:rFonts w:ascii="Book Antiqua" w:hAnsi="Book Antiqua" w:cs="Book Antiqua"/>
                <w:b/>
                <w:bCs/>
                <w:kern w:val="0"/>
                <w:sz w:val="24"/>
              </w:rPr>
              <w:t>Dose</w:t>
            </w:r>
          </w:p>
        </w:tc>
        <w:tc>
          <w:tcPr>
            <w:tcW w:w="1163" w:type="dxa"/>
            <w:tcBorders>
              <w:top w:val="single" w:sz="4" w:space="0" w:color="auto"/>
              <w:bottom w:val="single" w:sz="4" w:space="0" w:color="auto"/>
            </w:tcBorders>
            <w:vAlign w:val="center"/>
          </w:tcPr>
          <w:p w14:paraId="19C284FB" w14:textId="77777777" w:rsidR="001F4CE6" w:rsidRPr="000643FE" w:rsidRDefault="004C44A9" w:rsidP="000368F9">
            <w:pPr>
              <w:spacing w:line="360" w:lineRule="auto"/>
              <w:rPr>
                <w:rFonts w:ascii="Book Antiqua" w:hAnsi="Book Antiqua" w:cs="Book Antiqua"/>
                <w:b/>
                <w:bCs/>
                <w:kern w:val="0"/>
                <w:sz w:val="24"/>
              </w:rPr>
            </w:pPr>
            <w:r w:rsidRPr="000643FE">
              <w:rPr>
                <w:rFonts w:ascii="Book Antiqua" w:hAnsi="Book Antiqua" w:cs="Book Antiqua"/>
                <w:b/>
                <w:bCs/>
                <w:kern w:val="0"/>
                <w:sz w:val="24"/>
              </w:rPr>
              <w:t>Combined medication</w:t>
            </w:r>
          </w:p>
        </w:tc>
        <w:tc>
          <w:tcPr>
            <w:tcW w:w="849" w:type="dxa"/>
            <w:tcBorders>
              <w:top w:val="single" w:sz="4" w:space="0" w:color="auto"/>
              <w:bottom w:val="single" w:sz="4" w:space="0" w:color="auto"/>
            </w:tcBorders>
            <w:vAlign w:val="center"/>
          </w:tcPr>
          <w:p w14:paraId="5674476E" w14:textId="77777777" w:rsidR="001F4CE6" w:rsidRPr="000643FE" w:rsidRDefault="004C44A9" w:rsidP="000368F9">
            <w:pPr>
              <w:spacing w:line="360" w:lineRule="auto"/>
              <w:rPr>
                <w:rFonts w:ascii="Book Antiqua" w:hAnsi="Book Antiqua" w:cs="Book Antiqua"/>
                <w:b/>
                <w:bCs/>
                <w:kern w:val="0"/>
                <w:sz w:val="24"/>
              </w:rPr>
            </w:pPr>
            <w:r w:rsidRPr="000643FE">
              <w:rPr>
                <w:rFonts w:ascii="Book Antiqua" w:hAnsi="Book Antiqua" w:cs="Book Antiqua"/>
                <w:b/>
                <w:bCs/>
                <w:kern w:val="0"/>
                <w:sz w:val="24"/>
              </w:rPr>
              <w:t xml:space="preserve">Prior liver diseases </w:t>
            </w:r>
          </w:p>
        </w:tc>
        <w:tc>
          <w:tcPr>
            <w:tcW w:w="1163" w:type="dxa"/>
            <w:tcBorders>
              <w:top w:val="single" w:sz="4" w:space="0" w:color="auto"/>
              <w:bottom w:val="single" w:sz="4" w:space="0" w:color="auto"/>
            </w:tcBorders>
            <w:vAlign w:val="center"/>
          </w:tcPr>
          <w:p w14:paraId="45E53448" w14:textId="77777777" w:rsidR="001F4CE6" w:rsidRPr="000643FE" w:rsidRDefault="004C44A9" w:rsidP="000368F9">
            <w:pPr>
              <w:spacing w:line="360" w:lineRule="auto"/>
              <w:rPr>
                <w:rFonts w:ascii="Book Antiqua" w:hAnsi="Book Antiqua" w:cs="Book Antiqua"/>
                <w:b/>
                <w:bCs/>
                <w:kern w:val="0"/>
                <w:sz w:val="24"/>
              </w:rPr>
            </w:pPr>
            <w:r w:rsidRPr="000643FE">
              <w:rPr>
                <w:rFonts w:ascii="Book Antiqua" w:hAnsi="Book Antiqua" w:cs="Book Antiqua"/>
                <w:b/>
                <w:bCs/>
                <w:kern w:val="0"/>
                <w:sz w:val="24"/>
              </w:rPr>
              <w:t xml:space="preserve">Other </w:t>
            </w:r>
          </w:p>
          <w:p w14:paraId="05138886" w14:textId="77777777" w:rsidR="001F4CE6" w:rsidRPr="000643FE" w:rsidRDefault="004C44A9" w:rsidP="000368F9">
            <w:pPr>
              <w:spacing w:line="360" w:lineRule="auto"/>
              <w:rPr>
                <w:rFonts w:ascii="Book Antiqua" w:hAnsi="Book Antiqua" w:cs="Book Antiqua"/>
                <w:b/>
                <w:bCs/>
                <w:kern w:val="0"/>
                <w:sz w:val="24"/>
              </w:rPr>
            </w:pPr>
            <w:r w:rsidRPr="000643FE">
              <w:rPr>
                <w:rFonts w:ascii="Book Antiqua" w:hAnsi="Book Antiqua" w:cs="Book Antiqua"/>
                <w:b/>
                <w:bCs/>
                <w:kern w:val="0"/>
                <w:sz w:val="24"/>
              </w:rPr>
              <w:t>diseases</w:t>
            </w:r>
          </w:p>
        </w:tc>
        <w:tc>
          <w:tcPr>
            <w:tcW w:w="1273" w:type="dxa"/>
            <w:tcBorders>
              <w:top w:val="single" w:sz="4" w:space="0" w:color="auto"/>
              <w:bottom w:val="single" w:sz="4" w:space="0" w:color="auto"/>
            </w:tcBorders>
            <w:vAlign w:val="center"/>
          </w:tcPr>
          <w:p w14:paraId="59693267" w14:textId="77777777" w:rsidR="001F4CE6" w:rsidRPr="000643FE" w:rsidRDefault="004C44A9" w:rsidP="000368F9">
            <w:pPr>
              <w:spacing w:line="360" w:lineRule="auto"/>
              <w:rPr>
                <w:rFonts w:ascii="Book Antiqua" w:hAnsi="Book Antiqua" w:cs="Book Antiqua"/>
                <w:b/>
                <w:bCs/>
                <w:kern w:val="0"/>
                <w:sz w:val="24"/>
              </w:rPr>
            </w:pPr>
            <w:r w:rsidRPr="000643FE">
              <w:rPr>
                <w:rFonts w:ascii="Book Antiqua" w:hAnsi="Book Antiqua" w:cs="Book Antiqua"/>
                <w:b/>
                <w:bCs/>
                <w:kern w:val="0"/>
                <w:sz w:val="24"/>
              </w:rPr>
              <w:t>Treatment</w:t>
            </w:r>
          </w:p>
        </w:tc>
        <w:tc>
          <w:tcPr>
            <w:tcW w:w="902" w:type="dxa"/>
            <w:tcBorders>
              <w:top w:val="single" w:sz="4" w:space="0" w:color="auto"/>
              <w:bottom w:val="single" w:sz="4" w:space="0" w:color="auto"/>
            </w:tcBorders>
            <w:vAlign w:val="center"/>
          </w:tcPr>
          <w:p w14:paraId="33BF7C53" w14:textId="77777777" w:rsidR="001F4CE6" w:rsidRPr="000643FE" w:rsidRDefault="001F4CE6" w:rsidP="000368F9">
            <w:pPr>
              <w:spacing w:line="360" w:lineRule="auto"/>
              <w:rPr>
                <w:rFonts w:ascii="Book Antiqua" w:hAnsi="Book Antiqua" w:cs="Book Antiqua"/>
                <w:b/>
                <w:bCs/>
                <w:kern w:val="0"/>
                <w:sz w:val="24"/>
              </w:rPr>
            </w:pPr>
          </w:p>
          <w:p w14:paraId="54114D00" w14:textId="77777777" w:rsidR="001F4CE6" w:rsidRPr="000643FE" w:rsidRDefault="004C44A9" w:rsidP="000368F9">
            <w:pPr>
              <w:spacing w:line="360" w:lineRule="auto"/>
              <w:rPr>
                <w:rFonts w:ascii="Book Antiqua" w:hAnsi="Book Antiqua" w:cs="Book Antiqua"/>
                <w:b/>
                <w:bCs/>
                <w:kern w:val="0"/>
                <w:sz w:val="24"/>
              </w:rPr>
            </w:pPr>
            <w:r w:rsidRPr="000643FE">
              <w:rPr>
                <w:rFonts w:ascii="Book Antiqua" w:hAnsi="Book Antiqua" w:cs="Book Antiqua"/>
                <w:b/>
                <w:bCs/>
                <w:kern w:val="0"/>
                <w:sz w:val="24"/>
              </w:rPr>
              <w:t>Outcome</w:t>
            </w:r>
          </w:p>
          <w:p w14:paraId="36C3D277" w14:textId="77777777" w:rsidR="001F4CE6" w:rsidRPr="000643FE" w:rsidRDefault="001F4CE6" w:rsidP="000368F9">
            <w:pPr>
              <w:spacing w:line="360" w:lineRule="auto"/>
              <w:rPr>
                <w:rFonts w:ascii="Book Antiqua" w:hAnsi="Book Antiqua" w:cs="Book Antiqua"/>
                <w:b/>
                <w:bCs/>
                <w:kern w:val="0"/>
                <w:sz w:val="24"/>
              </w:rPr>
            </w:pPr>
          </w:p>
        </w:tc>
        <w:tc>
          <w:tcPr>
            <w:tcW w:w="561" w:type="dxa"/>
            <w:tcBorders>
              <w:top w:val="single" w:sz="4" w:space="0" w:color="auto"/>
              <w:bottom w:val="single" w:sz="4" w:space="0" w:color="auto"/>
            </w:tcBorders>
            <w:vAlign w:val="center"/>
          </w:tcPr>
          <w:p w14:paraId="116DF46D" w14:textId="77777777" w:rsidR="001F4CE6" w:rsidRPr="000643FE" w:rsidRDefault="004C44A9" w:rsidP="000368F9">
            <w:pPr>
              <w:spacing w:line="360" w:lineRule="auto"/>
              <w:rPr>
                <w:rFonts w:ascii="Book Antiqua" w:hAnsi="Book Antiqua" w:cs="Book Antiqua"/>
                <w:b/>
                <w:bCs/>
                <w:kern w:val="0"/>
                <w:sz w:val="24"/>
              </w:rPr>
            </w:pPr>
            <w:r w:rsidRPr="000643FE">
              <w:rPr>
                <w:rFonts w:ascii="Book Antiqua" w:hAnsi="Book Antiqua" w:cs="Book Antiqua"/>
                <w:b/>
                <w:bCs/>
                <w:kern w:val="0"/>
                <w:sz w:val="24"/>
              </w:rPr>
              <w:t>Ref.</w:t>
            </w:r>
          </w:p>
        </w:tc>
      </w:tr>
      <w:tr w:rsidR="004C44A9" w:rsidRPr="000643FE" w14:paraId="47500E07" w14:textId="77777777" w:rsidTr="008B463B">
        <w:tc>
          <w:tcPr>
            <w:tcW w:w="599" w:type="dxa"/>
            <w:tcBorders>
              <w:top w:val="single" w:sz="4" w:space="0" w:color="auto"/>
            </w:tcBorders>
          </w:tcPr>
          <w:p w14:paraId="2F6FC0C9"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68</w:t>
            </w:r>
          </w:p>
        </w:tc>
        <w:tc>
          <w:tcPr>
            <w:tcW w:w="475" w:type="dxa"/>
            <w:tcBorders>
              <w:top w:val="single" w:sz="4" w:space="0" w:color="auto"/>
            </w:tcBorders>
          </w:tcPr>
          <w:p w14:paraId="6D43BC61"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F</w:t>
            </w:r>
          </w:p>
        </w:tc>
        <w:tc>
          <w:tcPr>
            <w:tcW w:w="813" w:type="dxa"/>
            <w:tcBorders>
              <w:top w:val="single" w:sz="4" w:space="0" w:color="auto"/>
            </w:tcBorders>
          </w:tcPr>
          <w:p w14:paraId="5A9EBB84"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 xml:space="preserve">3.5 </w:t>
            </w:r>
            <w:proofErr w:type="spellStart"/>
            <w:r w:rsidRPr="000643FE">
              <w:rPr>
                <w:rFonts w:ascii="Book Antiqua" w:hAnsi="Book Antiqua" w:cs="Book Antiqua"/>
                <w:kern w:val="0"/>
                <w:sz w:val="24"/>
              </w:rPr>
              <w:t>mo</w:t>
            </w:r>
            <w:proofErr w:type="spellEnd"/>
          </w:p>
        </w:tc>
        <w:tc>
          <w:tcPr>
            <w:tcW w:w="850" w:type="dxa"/>
            <w:tcBorders>
              <w:top w:val="single" w:sz="4" w:space="0" w:color="auto"/>
            </w:tcBorders>
          </w:tcPr>
          <w:p w14:paraId="168C8E8C"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 xml:space="preserve">200 mg/d (6 </w:t>
            </w:r>
            <w:proofErr w:type="spellStart"/>
            <w:r w:rsidRPr="000643FE">
              <w:rPr>
                <w:rFonts w:ascii="Book Antiqua" w:hAnsi="Book Antiqua" w:cs="Book Antiqua"/>
                <w:kern w:val="0"/>
                <w:sz w:val="24"/>
              </w:rPr>
              <w:t>wk</w:t>
            </w:r>
            <w:proofErr w:type="spellEnd"/>
            <w:r w:rsidRPr="000643FE">
              <w:rPr>
                <w:rFonts w:ascii="Book Antiqua" w:hAnsi="Book Antiqua" w:cs="Book Antiqua"/>
                <w:kern w:val="0"/>
                <w:sz w:val="24"/>
              </w:rPr>
              <w:t>);</w:t>
            </w:r>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 xml:space="preserve">100 mg/d (2 </w:t>
            </w:r>
            <w:proofErr w:type="spellStart"/>
            <w:r w:rsidRPr="000643FE">
              <w:rPr>
                <w:rFonts w:ascii="Book Antiqua" w:hAnsi="Book Antiqua" w:cs="Book Antiqua"/>
                <w:kern w:val="0"/>
                <w:sz w:val="24"/>
              </w:rPr>
              <w:t>mo</w:t>
            </w:r>
            <w:proofErr w:type="spellEnd"/>
            <w:r w:rsidRPr="000643FE">
              <w:rPr>
                <w:rFonts w:ascii="Book Antiqua" w:hAnsi="Book Antiqua" w:cs="Book Antiqua"/>
                <w:kern w:val="0"/>
                <w:sz w:val="24"/>
              </w:rPr>
              <w:t>)</w:t>
            </w:r>
          </w:p>
        </w:tc>
        <w:tc>
          <w:tcPr>
            <w:tcW w:w="1163" w:type="dxa"/>
            <w:tcBorders>
              <w:top w:val="single" w:sz="4" w:space="0" w:color="auto"/>
            </w:tcBorders>
          </w:tcPr>
          <w:p w14:paraId="2945514D"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Methyldopa</w:t>
            </w:r>
          </w:p>
        </w:tc>
        <w:tc>
          <w:tcPr>
            <w:tcW w:w="849" w:type="dxa"/>
            <w:tcBorders>
              <w:top w:val="single" w:sz="4" w:space="0" w:color="auto"/>
            </w:tcBorders>
          </w:tcPr>
          <w:p w14:paraId="634CB28A" w14:textId="77777777" w:rsidR="001F4CE6" w:rsidRPr="000643FE" w:rsidRDefault="001F4CE6" w:rsidP="000368F9">
            <w:pPr>
              <w:spacing w:line="360" w:lineRule="auto"/>
              <w:rPr>
                <w:rFonts w:ascii="Book Antiqua" w:hAnsi="Book Antiqua" w:cs="Book Antiqua"/>
                <w:kern w:val="0"/>
                <w:sz w:val="24"/>
              </w:rPr>
            </w:pPr>
          </w:p>
          <w:p w14:paraId="106A417C"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w:t>
            </w:r>
          </w:p>
        </w:tc>
        <w:tc>
          <w:tcPr>
            <w:tcW w:w="1163" w:type="dxa"/>
            <w:tcBorders>
              <w:top w:val="single" w:sz="4" w:space="0" w:color="auto"/>
            </w:tcBorders>
          </w:tcPr>
          <w:p w14:paraId="575EF45B"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Gout,</w:t>
            </w:r>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hypertension</w:t>
            </w:r>
          </w:p>
        </w:tc>
        <w:tc>
          <w:tcPr>
            <w:tcW w:w="1273" w:type="dxa"/>
            <w:tcBorders>
              <w:top w:val="single" w:sz="4" w:space="0" w:color="auto"/>
            </w:tcBorders>
          </w:tcPr>
          <w:p w14:paraId="70D13DBE"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Conservative treatment</w:t>
            </w:r>
          </w:p>
        </w:tc>
        <w:tc>
          <w:tcPr>
            <w:tcW w:w="902" w:type="dxa"/>
            <w:tcBorders>
              <w:top w:val="single" w:sz="4" w:space="0" w:color="auto"/>
            </w:tcBorders>
          </w:tcPr>
          <w:p w14:paraId="263A9770"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Recovery</w:t>
            </w:r>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(24 d)</w:t>
            </w:r>
          </w:p>
        </w:tc>
        <w:tc>
          <w:tcPr>
            <w:tcW w:w="561" w:type="dxa"/>
            <w:tcBorders>
              <w:top w:val="single" w:sz="4" w:space="0" w:color="auto"/>
            </w:tcBorders>
          </w:tcPr>
          <w:p w14:paraId="30D06F71" w14:textId="77777777" w:rsidR="001F4CE6" w:rsidRPr="000643FE" w:rsidRDefault="004C44A9" w:rsidP="000368F9">
            <w:pPr>
              <w:spacing w:line="360" w:lineRule="auto"/>
              <w:rPr>
                <w:rFonts w:ascii="Book Antiqua" w:hAnsi="Book Antiqua" w:cs="Book Antiqua"/>
                <w:kern w:val="0"/>
                <w:sz w:val="24"/>
                <w:vertAlign w:val="superscript"/>
              </w:rPr>
            </w:pPr>
            <w:r w:rsidRPr="000643FE">
              <w:rPr>
                <w:rFonts w:ascii="Book Antiqua" w:hAnsi="Book Antiqua" w:cs="Book Antiqua"/>
                <w:kern w:val="0"/>
                <w:sz w:val="24"/>
                <w:vertAlign w:val="superscript"/>
              </w:rPr>
              <w:t>[17]</w:t>
            </w:r>
          </w:p>
        </w:tc>
      </w:tr>
      <w:tr w:rsidR="004C44A9" w:rsidRPr="000643FE" w14:paraId="6218D3CF" w14:textId="77777777" w:rsidTr="008D4ABB">
        <w:tc>
          <w:tcPr>
            <w:tcW w:w="599" w:type="dxa"/>
          </w:tcPr>
          <w:p w14:paraId="6537036C"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62</w:t>
            </w:r>
          </w:p>
        </w:tc>
        <w:tc>
          <w:tcPr>
            <w:tcW w:w="475" w:type="dxa"/>
          </w:tcPr>
          <w:p w14:paraId="0A8B411F"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M</w:t>
            </w:r>
          </w:p>
        </w:tc>
        <w:tc>
          <w:tcPr>
            <w:tcW w:w="813" w:type="dxa"/>
          </w:tcPr>
          <w:p w14:paraId="1B4DF18B"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 xml:space="preserve">6 </w:t>
            </w:r>
            <w:proofErr w:type="spellStart"/>
            <w:r w:rsidRPr="000643FE">
              <w:rPr>
                <w:rFonts w:ascii="Book Antiqua" w:hAnsi="Book Antiqua" w:cs="Book Antiqua"/>
                <w:kern w:val="0"/>
                <w:sz w:val="24"/>
              </w:rPr>
              <w:t>mo</w:t>
            </w:r>
            <w:proofErr w:type="spellEnd"/>
          </w:p>
        </w:tc>
        <w:tc>
          <w:tcPr>
            <w:tcW w:w="850" w:type="dxa"/>
          </w:tcPr>
          <w:p w14:paraId="18382C94"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75 mg/d</w:t>
            </w:r>
          </w:p>
        </w:tc>
        <w:tc>
          <w:tcPr>
            <w:tcW w:w="1163" w:type="dxa"/>
          </w:tcPr>
          <w:p w14:paraId="3E12DD64"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w:t>
            </w:r>
          </w:p>
        </w:tc>
        <w:tc>
          <w:tcPr>
            <w:tcW w:w="849" w:type="dxa"/>
          </w:tcPr>
          <w:p w14:paraId="74C424EF"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w:t>
            </w:r>
          </w:p>
        </w:tc>
        <w:tc>
          <w:tcPr>
            <w:tcW w:w="1163" w:type="dxa"/>
          </w:tcPr>
          <w:p w14:paraId="23C9DC56"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Hyperuricemia</w:t>
            </w:r>
          </w:p>
        </w:tc>
        <w:tc>
          <w:tcPr>
            <w:tcW w:w="1273" w:type="dxa"/>
          </w:tcPr>
          <w:p w14:paraId="12169E4B"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Bilirubin</w:t>
            </w:r>
            <w:r w:rsidR="001C36A3" w:rsidRPr="000643FE">
              <w:rPr>
                <w:rFonts w:ascii="Book Antiqua" w:hAnsi="Book Antiqua" w:cs="Book Antiqua"/>
                <w:kern w:val="0"/>
                <w:sz w:val="24"/>
              </w:rPr>
              <w:t xml:space="preserve"> </w:t>
            </w:r>
            <w:r w:rsidRPr="000643FE">
              <w:rPr>
                <w:rFonts w:ascii="Book Antiqua" w:hAnsi="Book Antiqua" w:cs="Book Antiqua"/>
                <w:kern w:val="0"/>
                <w:sz w:val="24"/>
              </w:rPr>
              <w:t>absorption</w:t>
            </w:r>
          </w:p>
        </w:tc>
        <w:tc>
          <w:tcPr>
            <w:tcW w:w="902" w:type="dxa"/>
          </w:tcPr>
          <w:p w14:paraId="08C36EED"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Death(62 d)</w:t>
            </w:r>
          </w:p>
        </w:tc>
        <w:tc>
          <w:tcPr>
            <w:tcW w:w="561" w:type="dxa"/>
          </w:tcPr>
          <w:p w14:paraId="4C833F1B" w14:textId="77777777" w:rsidR="001F4CE6" w:rsidRPr="000643FE" w:rsidRDefault="004C44A9" w:rsidP="000368F9">
            <w:pPr>
              <w:spacing w:line="360" w:lineRule="auto"/>
              <w:rPr>
                <w:rFonts w:ascii="Book Antiqua" w:hAnsi="Book Antiqua" w:cs="Book Antiqua"/>
                <w:kern w:val="0"/>
                <w:sz w:val="24"/>
                <w:vertAlign w:val="superscript"/>
              </w:rPr>
            </w:pPr>
            <w:r w:rsidRPr="000643FE">
              <w:rPr>
                <w:rFonts w:ascii="Book Antiqua" w:hAnsi="Book Antiqua" w:cs="Book Antiqua"/>
                <w:kern w:val="0"/>
                <w:sz w:val="24"/>
                <w:vertAlign w:val="superscript"/>
              </w:rPr>
              <w:t>[18]</w:t>
            </w:r>
          </w:p>
        </w:tc>
      </w:tr>
      <w:tr w:rsidR="004C44A9" w:rsidRPr="000643FE" w14:paraId="4D968439" w14:textId="77777777" w:rsidTr="008D4ABB">
        <w:tc>
          <w:tcPr>
            <w:tcW w:w="599" w:type="dxa"/>
          </w:tcPr>
          <w:p w14:paraId="6D82A6B4"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58</w:t>
            </w:r>
          </w:p>
        </w:tc>
        <w:tc>
          <w:tcPr>
            <w:tcW w:w="475" w:type="dxa"/>
          </w:tcPr>
          <w:p w14:paraId="484246EB"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M</w:t>
            </w:r>
          </w:p>
        </w:tc>
        <w:tc>
          <w:tcPr>
            <w:tcW w:w="813" w:type="dxa"/>
          </w:tcPr>
          <w:p w14:paraId="31A78535"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 xml:space="preserve">2 </w:t>
            </w:r>
            <w:proofErr w:type="spellStart"/>
            <w:r w:rsidRPr="000643FE">
              <w:rPr>
                <w:rFonts w:ascii="Book Antiqua" w:hAnsi="Book Antiqua" w:cs="Book Antiqua"/>
                <w:kern w:val="0"/>
                <w:sz w:val="24"/>
              </w:rPr>
              <w:t>mo</w:t>
            </w:r>
            <w:proofErr w:type="spellEnd"/>
          </w:p>
        </w:tc>
        <w:tc>
          <w:tcPr>
            <w:tcW w:w="850" w:type="dxa"/>
          </w:tcPr>
          <w:p w14:paraId="02AE01F2"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Not described</w:t>
            </w:r>
          </w:p>
        </w:tc>
        <w:tc>
          <w:tcPr>
            <w:tcW w:w="1163" w:type="dxa"/>
          </w:tcPr>
          <w:p w14:paraId="688D6386"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Allopurinol,</w:t>
            </w:r>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tocopherol,</w:t>
            </w:r>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nicotinate, alprazolam,</w:t>
            </w:r>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theophylline,</w:t>
            </w:r>
            <w:r w:rsidR="00065B55" w:rsidRPr="000643FE">
              <w:rPr>
                <w:rFonts w:ascii="Book Antiqua" w:hAnsi="Book Antiqua" w:cs="Book Antiqua"/>
                <w:kern w:val="0"/>
                <w:sz w:val="24"/>
              </w:rPr>
              <w:t xml:space="preserve"> </w:t>
            </w:r>
            <w:proofErr w:type="spellStart"/>
            <w:r w:rsidRPr="000643FE">
              <w:rPr>
                <w:rFonts w:ascii="Book Antiqua" w:hAnsi="Book Antiqua" w:cs="Book Antiqua"/>
                <w:kern w:val="0"/>
                <w:sz w:val="24"/>
              </w:rPr>
              <w:t>azelastine</w:t>
            </w:r>
            <w:proofErr w:type="spellEnd"/>
            <w:r w:rsidRPr="000643FE">
              <w:rPr>
                <w:rFonts w:ascii="Book Antiqua" w:hAnsi="Book Antiqua" w:cs="Book Antiqua"/>
                <w:kern w:val="0"/>
                <w:sz w:val="24"/>
              </w:rPr>
              <w:t xml:space="preserve"> hydrochloride, </w:t>
            </w:r>
            <w:proofErr w:type="spellStart"/>
            <w:r w:rsidRPr="000643FE">
              <w:rPr>
                <w:rFonts w:ascii="Book Antiqua" w:hAnsi="Book Antiqua" w:cs="Book Antiqua"/>
                <w:kern w:val="0"/>
                <w:sz w:val="24"/>
              </w:rPr>
              <w:t>nilvadipine</w:t>
            </w:r>
            <w:proofErr w:type="spellEnd"/>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alcohol: (</w:t>
            </w:r>
            <w:r w:rsidR="00065B55" w:rsidRPr="000643FE">
              <w:rPr>
                <w:rFonts w:ascii="Cambria Math" w:hAnsi="Cambria Math" w:cs="Cambria Math"/>
                <w:kern w:val="0"/>
                <w:sz w:val="24"/>
              </w:rPr>
              <w:t xml:space="preserve">approximately </w:t>
            </w:r>
            <w:r w:rsidRPr="000643FE">
              <w:rPr>
                <w:rFonts w:ascii="Book Antiqua" w:hAnsi="Book Antiqua" w:cs="Book Antiqua"/>
                <w:kern w:val="0"/>
                <w:sz w:val="24"/>
              </w:rPr>
              <w:t>36 g/d)</w:t>
            </w:r>
          </w:p>
        </w:tc>
        <w:tc>
          <w:tcPr>
            <w:tcW w:w="849" w:type="dxa"/>
          </w:tcPr>
          <w:p w14:paraId="132FF7E2"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w:t>
            </w:r>
          </w:p>
          <w:p w14:paraId="3245484F" w14:textId="77777777" w:rsidR="001F4CE6" w:rsidRPr="000643FE" w:rsidRDefault="001F4CE6" w:rsidP="000368F9">
            <w:pPr>
              <w:spacing w:line="360" w:lineRule="auto"/>
              <w:rPr>
                <w:rFonts w:ascii="Book Antiqua" w:hAnsi="Book Antiqua" w:cs="Book Antiqua"/>
                <w:kern w:val="0"/>
                <w:sz w:val="24"/>
              </w:rPr>
            </w:pPr>
          </w:p>
        </w:tc>
        <w:tc>
          <w:tcPr>
            <w:tcW w:w="1163" w:type="dxa"/>
          </w:tcPr>
          <w:p w14:paraId="26F3C2D0"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Hyperuricemia,</w:t>
            </w:r>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hypertension,</w:t>
            </w:r>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asthmatic bronchitis</w:t>
            </w:r>
          </w:p>
        </w:tc>
        <w:tc>
          <w:tcPr>
            <w:tcW w:w="1273" w:type="dxa"/>
          </w:tcPr>
          <w:p w14:paraId="70855D4E"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PE</w:t>
            </w:r>
            <w:r w:rsidR="00065B55" w:rsidRPr="000643FE">
              <w:rPr>
                <w:rFonts w:ascii="Book Antiqua" w:hAnsi="Book Antiqua" w:cs="Book Antiqua"/>
                <w:kern w:val="0"/>
                <w:sz w:val="24"/>
              </w:rPr>
              <w:t xml:space="preserve"> </w:t>
            </w:r>
            <w:r w:rsidRPr="000643FE">
              <w:rPr>
                <w:rFonts w:ascii="Book Antiqua" w:hAnsi="Book Antiqua" w:cs="Book Antiqua"/>
                <w:kern w:val="0"/>
                <w:sz w:val="24"/>
              </w:rPr>
              <w:t>+</w:t>
            </w:r>
            <w:r w:rsidR="00065B55" w:rsidRPr="000643FE">
              <w:rPr>
                <w:rFonts w:ascii="Book Antiqua" w:hAnsi="Book Antiqua" w:cs="Book Antiqua"/>
                <w:kern w:val="0"/>
                <w:sz w:val="24"/>
              </w:rPr>
              <w:t xml:space="preserve"> </w:t>
            </w:r>
            <w:r w:rsidRPr="000643FE">
              <w:rPr>
                <w:rFonts w:ascii="Book Antiqua" w:hAnsi="Book Antiqua" w:cs="Book Antiqua"/>
                <w:kern w:val="0"/>
                <w:sz w:val="24"/>
              </w:rPr>
              <w:t>HDF,</w:t>
            </w:r>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prednisolone</w:t>
            </w:r>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(30 mg/d orally, reduced gradually)</w:t>
            </w:r>
          </w:p>
        </w:tc>
        <w:tc>
          <w:tcPr>
            <w:tcW w:w="902" w:type="dxa"/>
          </w:tcPr>
          <w:p w14:paraId="47597EEF"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Recovery</w:t>
            </w:r>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(94 d)</w:t>
            </w:r>
          </w:p>
        </w:tc>
        <w:tc>
          <w:tcPr>
            <w:tcW w:w="561" w:type="dxa"/>
          </w:tcPr>
          <w:p w14:paraId="4F676B91" w14:textId="77777777" w:rsidR="001F4CE6" w:rsidRPr="000643FE" w:rsidRDefault="004C44A9" w:rsidP="000368F9">
            <w:pPr>
              <w:spacing w:line="360" w:lineRule="auto"/>
              <w:rPr>
                <w:rFonts w:ascii="Book Antiqua" w:hAnsi="Book Antiqua" w:cs="Book Antiqua"/>
                <w:kern w:val="0"/>
                <w:sz w:val="24"/>
                <w:vertAlign w:val="superscript"/>
              </w:rPr>
            </w:pPr>
            <w:r w:rsidRPr="000643FE">
              <w:rPr>
                <w:rFonts w:ascii="Book Antiqua" w:hAnsi="Book Antiqua" w:cs="Book Antiqua"/>
                <w:kern w:val="0"/>
                <w:sz w:val="24"/>
                <w:vertAlign w:val="superscript"/>
              </w:rPr>
              <w:t>[19]</w:t>
            </w:r>
          </w:p>
        </w:tc>
      </w:tr>
      <w:tr w:rsidR="004C44A9" w:rsidRPr="000643FE" w14:paraId="24EA7AF7" w14:textId="77777777" w:rsidTr="008D4ABB">
        <w:tc>
          <w:tcPr>
            <w:tcW w:w="599" w:type="dxa"/>
          </w:tcPr>
          <w:p w14:paraId="225B63CA"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53</w:t>
            </w:r>
          </w:p>
        </w:tc>
        <w:tc>
          <w:tcPr>
            <w:tcW w:w="475" w:type="dxa"/>
          </w:tcPr>
          <w:p w14:paraId="270FF122"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F</w:t>
            </w:r>
          </w:p>
        </w:tc>
        <w:tc>
          <w:tcPr>
            <w:tcW w:w="813" w:type="dxa"/>
          </w:tcPr>
          <w:p w14:paraId="29A27A66"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2</w:t>
            </w:r>
            <w:r w:rsidR="00065B55" w:rsidRPr="000643FE">
              <w:rPr>
                <w:rFonts w:ascii="Book Antiqua" w:hAnsi="Book Antiqua" w:cs="Book Antiqua" w:hint="eastAsia"/>
                <w:kern w:val="0"/>
                <w:sz w:val="24"/>
              </w:rPr>
              <w:t xml:space="preserve"> </w:t>
            </w:r>
            <w:proofErr w:type="spellStart"/>
            <w:r w:rsidRPr="000643FE">
              <w:rPr>
                <w:rFonts w:ascii="Book Antiqua" w:hAnsi="Book Antiqua" w:cs="Book Antiqua"/>
                <w:kern w:val="0"/>
                <w:sz w:val="24"/>
              </w:rPr>
              <w:t>mo</w:t>
            </w:r>
            <w:proofErr w:type="spellEnd"/>
          </w:p>
        </w:tc>
        <w:tc>
          <w:tcPr>
            <w:tcW w:w="850" w:type="dxa"/>
          </w:tcPr>
          <w:p w14:paraId="593E54C0"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100 mg/d</w:t>
            </w:r>
          </w:p>
        </w:tc>
        <w:tc>
          <w:tcPr>
            <w:tcW w:w="1163" w:type="dxa"/>
          </w:tcPr>
          <w:p w14:paraId="47461E58"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Allopurinol</w:t>
            </w:r>
          </w:p>
        </w:tc>
        <w:tc>
          <w:tcPr>
            <w:tcW w:w="849" w:type="dxa"/>
          </w:tcPr>
          <w:p w14:paraId="6806F294"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w:t>
            </w:r>
          </w:p>
        </w:tc>
        <w:tc>
          <w:tcPr>
            <w:tcW w:w="1163" w:type="dxa"/>
          </w:tcPr>
          <w:p w14:paraId="6D950515"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Hyperuricemia, proteinuria</w:t>
            </w:r>
          </w:p>
        </w:tc>
        <w:tc>
          <w:tcPr>
            <w:tcW w:w="1273" w:type="dxa"/>
          </w:tcPr>
          <w:p w14:paraId="08F0F75C"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Liver transplant</w:t>
            </w:r>
          </w:p>
        </w:tc>
        <w:tc>
          <w:tcPr>
            <w:tcW w:w="902" w:type="dxa"/>
          </w:tcPr>
          <w:p w14:paraId="1F4E3A4C"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Death (124 d)</w:t>
            </w:r>
          </w:p>
        </w:tc>
        <w:tc>
          <w:tcPr>
            <w:tcW w:w="561" w:type="dxa"/>
          </w:tcPr>
          <w:p w14:paraId="171F4017" w14:textId="77777777" w:rsidR="001F4CE6" w:rsidRPr="000643FE" w:rsidRDefault="004C44A9" w:rsidP="000368F9">
            <w:pPr>
              <w:spacing w:line="360" w:lineRule="auto"/>
              <w:rPr>
                <w:rFonts w:ascii="Book Antiqua" w:hAnsi="Book Antiqua" w:cs="Book Antiqua"/>
                <w:kern w:val="0"/>
                <w:sz w:val="24"/>
                <w:vertAlign w:val="superscript"/>
              </w:rPr>
            </w:pPr>
            <w:r w:rsidRPr="000643FE">
              <w:rPr>
                <w:rFonts w:ascii="Book Antiqua" w:hAnsi="Book Antiqua" w:cs="Book Antiqua"/>
                <w:kern w:val="0"/>
                <w:sz w:val="24"/>
                <w:vertAlign w:val="superscript"/>
              </w:rPr>
              <w:t>[20]</w:t>
            </w:r>
          </w:p>
        </w:tc>
      </w:tr>
      <w:tr w:rsidR="004C44A9" w:rsidRPr="000643FE" w14:paraId="21EB6728" w14:textId="77777777" w:rsidTr="008D4ABB">
        <w:tc>
          <w:tcPr>
            <w:tcW w:w="599" w:type="dxa"/>
          </w:tcPr>
          <w:p w14:paraId="527C0994"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53</w:t>
            </w:r>
          </w:p>
        </w:tc>
        <w:tc>
          <w:tcPr>
            <w:tcW w:w="475" w:type="dxa"/>
          </w:tcPr>
          <w:p w14:paraId="7B886747"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M</w:t>
            </w:r>
          </w:p>
        </w:tc>
        <w:tc>
          <w:tcPr>
            <w:tcW w:w="813" w:type="dxa"/>
          </w:tcPr>
          <w:p w14:paraId="3AEEF9F1"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3 d</w:t>
            </w:r>
          </w:p>
        </w:tc>
        <w:tc>
          <w:tcPr>
            <w:tcW w:w="850" w:type="dxa"/>
          </w:tcPr>
          <w:p w14:paraId="7CF762CC"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50 mg/d</w:t>
            </w:r>
          </w:p>
        </w:tc>
        <w:tc>
          <w:tcPr>
            <w:tcW w:w="1163" w:type="dxa"/>
          </w:tcPr>
          <w:p w14:paraId="39961A8E"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w:t>
            </w:r>
          </w:p>
        </w:tc>
        <w:tc>
          <w:tcPr>
            <w:tcW w:w="849" w:type="dxa"/>
          </w:tcPr>
          <w:p w14:paraId="4E858989"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w:t>
            </w:r>
          </w:p>
        </w:tc>
        <w:tc>
          <w:tcPr>
            <w:tcW w:w="1163" w:type="dxa"/>
          </w:tcPr>
          <w:p w14:paraId="73FA1F56"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Hyperuricemia,</w:t>
            </w:r>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diabetes</w:t>
            </w:r>
          </w:p>
        </w:tc>
        <w:tc>
          <w:tcPr>
            <w:tcW w:w="1273" w:type="dxa"/>
          </w:tcPr>
          <w:p w14:paraId="5D912CE3"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Conservative treatment</w:t>
            </w:r>
          </w:p>
        </w:tc>
        <w:tc>
          <w:tcPr>
            <w:tcW w:w="902" w:type="dxa"/>
          </w:tcPr>
          <w:p w14:paraId="2573EA0A"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Recovery</w:t>
            </w:r>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(3 d)</w:t>
            </w:r>
          </w:p>
        </w:tc>
        <w:tc>
          <w:tcPr>
            <w:tcW w:w="561" w:type="dxa"/>
          </w:tcPr>
          <w:p w14:paraId="6AE658D9" w14:textId="77777777" w:rsidR="001F4CE6" w:rsidRPr="000643FE" w:rsidRDefault="004C44A9" w:rsidP="000368F9">
            <w:pPr>
              <w:spacing w:line="360" w:lineRule="auto"/>
              <w:rPr>
                <w:rFonts w:ascii="Book Antiqua" w:hAnsi="Book Antiqua" w:cs="Book Antiqua"/>
                <w:kern w:val="0"/>
                <w:sz w:val="24"/>
                <w:vertAlign w:val="superscript"/>
              </w:rPr>
            </w:pPr>
            <w:r w:rsidRPr="000643FE">
              <w:rPr>
                <w:rFonts w:ascii="Book Antiqua" w:hAnsi="Book Antiqua" w:cs="Book Antiqua"/>
                <w:kern w:val="0"/>
                <w:sz w:val="24"/>
                <w:vertAlign w:val="superscript"/>
              </w:rPr>
              <w:t>[21]</w:t>
            </w:r>
          </w:p>
        </w:tc>
      </w:tr>
      <w:tr w:rsidR="004C44A9" w:rsidRPr="000643FE" w14:paraId="1E3AD4CE" w14:textId="77777777" w:rsidTr="008D4ABB">
        <w:tc>
          <w:tcPr>
            <w:tcW w:w="599" w:type="dxa"/>
          </w:tcPr>
          <w:p w14:paraId="5EE139C7"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77</w:t>
            </w:r>
          </w:p>
        </w:tc>
        <w:tc>
          <w:tcPr>
            <w:tcW w:w="475" w:type="dxa"/>
          </w:tcPr>
          <w:p w14:paraId="017275BE"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F</w:t>
            </w:r>
          </w:p>
        </w:tc>
        <w:tc>
          <w:tcPr>
            <w:tcW w:w="813" w:type="dxa"/>
          </w:tcPr>
          <w:p w14:paraId="1F1BA376"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 xml:space="preserve">4 </w:t>
            </w:r>
            <w:proofErr w:type="spellStart"/>
            <w:r w:rsidRPr="000643FE">
              <w:rPr>
                <w:rFonts w:ascii="Book Antiqua" w:hAnsi="Book Antiqua" w:cs="Book Antiqua"/>
                <w:kern w:val="0"/>
                <w:sz w:val="24"/>
              </w:rPr>
              <w:t>mo</w:t>
            </w:r>
            <w:proofErr w:type="spellEnd"/>
          </w:p>
        </w:tc>
        <w:tc>
          <w:tcPr>
            <w:tcW w:w="850" w:type="dxa"/>
          </w:tcPr>
          <w:p w14:paraId="025AAA82"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Not described</w:t>
            </w:r>
          </w:p>
        </w:tc>
        <w:tc>
          <w:tcPr>
            <w:tcW w:w="1163" w:type="dxa"/>
          </w:tcPr>
          <w:p w14:paraId="6B4BE486" w14:textId="77777777" w:rsidR="001F4CE6" w:rsidRPr="000643FE" w:rsidRDefault="004C44A9" w:rsidP="006E1D1A">
            <w:pPr>
              <w:spacing w:line="360" w:lineRule="auto"/>
              <w:rPr>
                <w:rFonts w:ascii="Book Antiqua" w:hAnsi="Book Antiqua" w:cs="Book Antiqua"/>
                <w:kern w:val="0"/>
                <w:sz w:val="24"/>
              </w:rPr>
            </w:pPr>
            <w:proofErr w:type="spellStart"/>
            <w:r w:rsidRPr="000643FE">
              <w:rPr>
                <w:rFonts w:ascii="Book Antiqua" w:hAnsi="Book Antiqua" w:cs="Book Antiqua"/>
                <w:kern w:val="0"/>
                <w:sz w:val="24"/>
              </w:rPr>
              <w:t>Torsemide</w:t>
            </w:r>
            <w:proofErr w:type="spellEnd"/>
            <w:r w:rsidRPr="000643FE">
              <w:rPr>
                <w:rFonts w:ascii="Book Antiqua" w:hAnsi="Book Antiqua" w:cs="Book Antiqua"/>
                <w:kern w:val="0"/>
                <w:sz w:val="24"/>
              </w:rPr>
              <w:t xml:space="preserve">, </w:t>
            </w:r>
            <w:proofErr w:type="spellStart"/>
            <w:r w:rsidRPr="000643FE">
              <w:rPr>
                <w:rFonts w:ascii="Book Antiqua" w:hAnsi="Book Antiqua" w:cs="Book Antiqua"/>
                <w:kern w:val="0"/>
                <w:sz w:val="24"/>
              </w:rPr>
              <w:t>nebivolol</w:t>
            </w:r>
            <w:proofErr w:type="spellEnd"/>
            <w:r w:rsidRPr="000643FE">
              <w:rPr>
                <w:rFonts w:ascii="Book Antiqua" w:hAnsi="Book Antiqua" w:cs="Book Antiqua"/>
                <w:kern w:val="0"/>
                <w:sz w:val="24"/>
              </w:rPr>
              <w:t>,</w:t>
            </w:r>
            <w:r w:rsidR="00065B55" w:rsidRPr="000643FE">
              <w:rPr>
                <w:rFonts w:ascii="Book Antiqua" w:hAnsi="Book Antiqua" w:cs="Book Antiqua" w:hint="eastAsia"/>
                <w:kern w:val="0"/>
                <w:sz w:val="24"/>
              </w:rPr>
              <w:t xml:space="preserve"> </w:t>
            </w:r>
            <w:proofErr w:type="spellStart"/>
            <w:r w:rsidRPr="000643FE">
              <w:rPr>
                <w:rFonts w:ascii="Book Antiqua" w:hAnsi="Book Antiqua" w:cs="Book Antiqua"/>
                <w:kern w:val="0"/>
                <w:sz w:val="24"/>
              </w:rPr>
              <w:t>ramipril</w:t>
            </w:r>
            <w:proofErr w:type="spellEnd"/>
            <w:r w:rsidRPr="000643FE">
              <w:rPr>
                <w:rFonts w:ascii="Book Antiqua" w:hAnsi="Book Antiqua" w:cs="Book Antiqua"/>
                <w:kern w:val="0"/>
                <w:sz w:val="24"/>
              </w:rPr>
              <w:t>,</w:t>
            </w:r>
            <w:r w:rsidR="006E1D1A" w:rsidRPr="000643FE">
              <w:rPr>
                <w:rFonts w:ascii="Book Antiqua" w:hAnsi="Book Antiqua" w:cs="Book Antiqua"/>
                <w:kern w:val="0"/>
                <w:sz w:val="24"/>
              </w:rPr>
              <w:t xml:space="preserve"> </w:t>
            </w:r>
            <w:proofErr w:type="spellStart"/>
            <w:r w:rsidR="006E1D1A" w:rsidRPr="000643FE">
              <w:rPr>
                <w:rFonts w:ascii="Book Antiqua" w:hAnsi="Book Antiqua" w:cs="Book Antiqua"/>
                <w:kern w:val="0"/>
                <w:sz w:val="24"/>
              </w:rPr>
              <w:t>t</w:t>
            </w:r>
            <w:r w:rsidRPr="000643FE">
              <w:rPr>
                <w:rFonts w:ascii="Book Antiqua" w:hAnsi="Book Antiqua" w:cs="Book Antiqua"/>
                <w:kern w:val="0"/>
                <w:sz w:val="24"/>
              </w:rPr>
              <w:t>hyronajod</w:t>
            </w:r>
            <w:proofErr w:type="spellEnd"/>
          </w:p>
        </w:tc>
        <w:tc>
          <w:tcPr>
            <w:tcW w:w="849" w:type="dxa"/>
          </w:tcPr>
          <w:p w14:paraId="598AE014"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w:t>
            </w:r>
          </w:p>
        </w:tc>
        <w:tc>
          <w:tcPr>
            <w:tcW w:w="1163" w:type="dxa"/>
          </w:tcPr>
          <w:p w14:paraId="3FC34E16"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Hypertension, hyperthyroid disease,</w:t>
            </w:r>
            <w:r w:rsidR="006E1D1A" w:rsidRPr="000643FE">
              <w:rPr>
                <w:rFonts w:ascii="Book Antiqua" w:hAnsi="Book Antiqua" w:cs="Book Antiqua"/>
                <w:kern w:val="0"/>
                <w:sz w:val="24"/>
              </w:rPr>
              <w:t xml:space="preserve"> </w:t>
            </w:r>
            <w:r w:rsidRPr="000643FE">
              <w:rPr>
                <w:rFonts w:ascii="Book Antiqua" w:hAnsi="Book Antiqua" w:cs="Book Antiqua"/>
                <w:kern w:val="0"/>
                <w:sz w:val="24"/>
              </w:rPr>
              <w:t>adiposity</w:t>
            </w:r>
          </w:p>
        </w:tc>
        <w:tc>
          <w:tcPr>
            <w:tcW w:w="1273" w:type="dxa"/>
          </w:tcPr>
          <w:p w14:paraId="42976E45"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Conservative treatment</w:t>
            </w:r>
          </w:p>
        </w:tc>
        <w:tc>
          <w:tcPr>
            <w:tcW w:w="902" w:type="dxa"/>
          </w:tcPr>
          <w:p w14:paraId="466E2375"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Death</w:t>
            </w:r>
          </w:p>
          <w:p w14:paraId="0A5329E8"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(53 d)</w:t>
            </w:r>
          </w:p>
        </w:tc>
        <w:tc>
          <w:tcPr>
            <w:tcW w:w="561" w:type="dxa"/>
          </w:tcPr>
          <w:p w14:paraId="337B5A10" w14:textId="77777777" w:rsidR="001F4CE6" w:rsidRPr="000643FE" w:rsidRDefault="004C44A9" w:rsidP="000368F9">
            <w:pPr>
              <w:spacing w:line="360" w:lineRule="auto"/>
              <w:rPr>
                <w:rFonts w:ascii="Book Antiqua" w:hAnsi="Book Antiqua" w:cs="Book Antiqua"/>
                <w:kern w:val="0"/>
                <w:sz w:val="24"/>
                <w:vertAlign w:val="superscript"/>
              </w:rPr>
            </w:pPr>
            <w:r w:rsidRPr="000643FE">
              <w:rPr>
                <w:rFonts w:ascii="Book Antiqua" w:hAnsi="Book Antiqua" w:cs="Book Antiqua"/>
                <w:kern w:val="0"/>
                <w:sz w:val="24"/>
                <w:vertAlign w:val="superscript"/>
              </w:rPr>
              <w:t>[22]</w:t>
            </w:r>
          </w:p>
        </w:tc>
      </w:tr>
      <w:tr w:rsidR="004C44A9" w:rsidRPr="000643FE" w14:paraId="75BB2A56" w14:textId="77777777" w:rsidTr="008D4ABB">
        <w:tc>
          <w:tcPr>
            <w:tcW w:w="599" w:type="dxa"/>
          </w:tcPr>
          <w:p w14:paraId="5202B721"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59</w:t>
            </w:r>
          </w:p>
        </w:tc>
        <w:tc>
          <w:tcPr>
            <w:tcW w:w="475" w:type="dxa"/>
          </w:tcPr>
          <w:p w14:paraId="4D385417"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M</w:t>
            </w:r>
          </w:p>
        </w:tc>
        <w:tc>
          <w:tcPr>
            <w:tcW w:w="813" w:type="dxa"/>
          </w:tcPr>
          <w:p w14:paraId="04FECDCD"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 xml:space="preserve">More than 1 </w:t>
            </w:r>
            <w:proofErr w:type="spellStart"/>
            <w:r w:rsidRPr="000643FE">
              <w:rPr>
                <w:rFonts w:ascii="Book Antiqua" w:hAnsi="Book Antiqua" w:cs="Book Antiqua"/>
                <w:kern w:val="0"/>
                <w:sz w:val="24"/>
              </w:rPr>
              <w:t>yr</w:t>
            </w:r>
            <w:proofErr w:type="spellEnd"/>
          </w:p>
        </w:tc>
        <w:tc>
          <w:tcPr>
            <w:tcW w:w="850" w:type="dxa"/>
          </w:tcPr>
          <w:p w14:paraId="3E29E3FA"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50 mg/d</w:t>
            </w:r>
          </w:p>
        </w:tc>
        <w:tc>
          <w:tcPr>
            <w:tcW w:w="1163" w:type="dxa"/>
          </w:tcPr>
          <w:p w14:paraId="681BB1A1" w14:textId="77777777" w:rsidR="001F4CE6" w:rsidRPr="000643FE" w:rsidRDefault="004C44A9" w:rsidP="000368F9">
            <w:pPr>
              <w:spacing w:line="360" w:lineRule="auto"/>
              <w:rPr>
                <w:rFonts w:ascii="Book Antiqua" w:hAnsi="Book Antiqua" w:cs="Book Antiqua"/>
                <w:kern w:val="0"/>
                <w:sz w:val="24"/>
              </w:rPr>
            </w:pPr>
            <w:proofErr w:type="spellStart"/>
            <w:r w:rsidRPr="000643FE">
              <w:rPr>
                <w:rFonts w:ascii="Book Antiqua" w:hAnsi="Book Antiqua" w:cs="Book Antiqua"/>
                <w:kern w:val="0"/>
                <w:sz w:val="24"/>
              </w:rPr>
              <w:t>Benidipine</w:t>
            </w:r>
            <w:proofErr w:type="spellEnd"/>
            <w:r w:rsidRPr="000643FE">
              <w:rPr>
                <w:rFonts w:ascii="Book Antiqua" w:hAnsi="Book Antiqua" w:cs="Book Antiqua"/>
                <w:kern w:val="0"/>
                <w:sz w:val="24"/>
              </w:rPr>
              <w:t>,</w:t>
            </w:r>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pravastatin,</w:t>
            </w:r>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alcohol</w:t>
            </w:r>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(60 g/ d)</w:t>
            </w:r>
          </w:p>
        </w:tc>
        <w:tc>
          <w:tcPr>
            <w:tcW w:w="849" w:type="dxa"/>
          </w:tcPr>
          <w:p w14:paraId="097A5618"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 xml:space="preserve">Liver dysfunction </w:t>
            </w:r>
          </w:p>
        </w:tc>
        <w:tc>
          <w:tcPr>
            <w:tcW w:w="1163" w:type="dxa"/>
          </w:tcPr>
          <w:p w14:paraId="354579B6"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Hyperuricemia, hypertension, dyslipidemia</w:t>
            </w:r>
          </w:p>
        </w:tc>
        <w:tc>
          <w:tcPr>
            <w:tcW w:w="1273" w:type="dxa"/>
          </w:tcPr>
          <w:p w14:paraId="455B0E4A"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HDF,</w:t>
            </w:r>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liver transplant</w:t>
            </w:r>
          </w:p>
        </w:tc>
        <w:tc>
          <w:tcPr>
            <w:tcW w:w="902" w:type="dxa"/>
          </w:tcPr>
          <w:p w14:paraId="513FF82F"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Recovery</w:t>
            </w:r>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(70 d)</w:t>
            </w:r>
          </w:p>
        </w:tc>
        <w:tc>
          <w:tcPr>
            <w:tcW w:w="561" w:type="dxa"/>
          </w:tcPr>
          <w:p w14:paraId="1E2111F8" w14:textId="77777777" w:rsidR="001F4CE6" w:rsidRPr="000643FE" w:rsidRDefault="004C44A9" w:rsidP="000368F9">
            <w:pPr>
              <w:spacing w:line="360" w:lineRule="auto"/>
              <w:rPr>
                <w:rFonts w:ascii="Book Antiqua" w:hAnsi="Book Antiqua" w:cs="Book Antiqua"/>
                <w:kern w:val="0"/>
                <w:sz w:val="24"/>
                <w:vertAlign w:val="superscript"/>
              </w:rPr>
            </w:pPr>
            <w:r w:rsidRPr="000643FE">
              <w:rPr>
                <w:rFonts w:ascii="Book Antiqua" w:hAnsi="Book Antiqua" w:cs="Book Antiqua"/>
                <w:kern w:val="0"/>
                <w:sz w:val="24"/>
                <w:vertAlign w:val="superscript"/>
              </w:rPr>
              <w:t>[23]</w:t>
            </w:r>
          </w:p>
        </w:tc>
      </w:tr>
      <w:tr w:rsidR="004C44A9" w:rsidRPr="000643FE" w14:paraId="7054EFF1" w14:textId="77777777" w:rsidTr="008D4ABB">
        <w:tc>
          <w:tcPr>
            <w:tcW w:w="599" w:type="dxa"/>
          </w:tcPr>
          <w:p w14:paraId="28541DE1"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47</w:t>
            </w:r>
          </w:p>
        </w:tc>
        <w:tc>
          <w:tcPr>
            <w:tcW w:w="475" w:type="dxa"/>
          </w:tcPr>
          <w:p w14:paraId="3E0B054C"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M</w:t>
            </w:r>
          </w:p>
        </w:tc>
        <w:tc>
          <w:tcPr>
            <w:tcW w:w="813" w:type="dxa"/>
          </w:tcPr>
          <w:p w14:paraId="47D7162A"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15 d</w:t>
            </w:r>
          </w:p>
        </w:tc>
        <w:tc>
          <w:tcPr>
            <w:tcW w:w="850" w:type="dxa"/>
          </w:tcPr>
          <w:p w14:paraId="217A3621"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Not described</w:t>
            </w:r>
          </w:p>
        </w:tc>
        <w:tc>
          <w:tcPr>
            <w:tcW w:w="1163" w:type="dxa"/>
          </w:tcPr>
          <w:p w14:paraId="687B66E7" w14:textId="77777777" w:rsidR="001F4CE6" w:rsidRPr="000643FE" w:rsidRDefault="004C44A9" w:rsidP="000368F9">
            <w:pPr>
              <w:spacing w:line="360" w:lineRule="auto"/>
              <w:rPr>
                <w:rFonts w:ascii="Book Antiqua" w:hAnsi="Book Antiqua" w:cs="Book Antiqua"/>
                <w:kern w:val="0"/>
                <w:sz w:val="24"/>
              </w:rPr>
            </w:pPr>
            <w:proofErr w:type="spellStart"/>
            <w:r w:rsidRPr="000643FE">
              <w:rPr>
                <w:rFonts w:ascii="Book Antiqua" w:hAnsi="Book Antiqua" w:cs="Book Antiqua"/>
                <w:kern w:val="0"/>
                <w:sz w:val="24"/>
              </w:rPr>
              <w:t>Thiopronin</w:t>
            </w:r>
            <w:proofErr w:type="spellEnd"/>
          </w:p>
        </w:tc>
        <w:tc>
          <w:tcPr>
            <w:tcW w:w="849" w:type="dxa"/>
          </w:tcPr>
          <w:p w14:paraId="6127A0BB"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NAFLD</w:t>
            </w:r>
          </w:p>
        </w:tc>
        <w:tc>
          <w:tcPr>
            <w:tcW w:w="1163" w:type="dxa"/>
          </w:tcPr>
          <w:p w14:paraId="484E0697"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Gout,</w:t>
            </w:r>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diabetes,</w:t>
            </w:r>
            <w:r w:rsidR="006E1D1A" w:rsidRPr="000643FE">
              <w:rPr>
                <w:rFonts w:ascii="Book Antiqua" w:hAnsi="Book Antiqua" w:cs="Book Antiqua"/>
                <w:kern w:val="0"/>
                <w:sz w:val="24"/>
              </w:rPr>
              <w:t xml:space="preserve"> </w:t>
            </w:r>
            <w:r w:rsidRPr="000643FE">
              <w:rPr>
                <w:rFonts w:ascii="Book Antiqua" w:hAnsi="Book Antiqua" w:cs="Book Antiqua"/>
                <w:kern w:val="0"/>
                <w:sz w:val="24"/>
              </w:rPr>
              <w:t>hyperlipidemia</w:t>
            </w:r>
          </w:p>
          <w:p w14:paraId="745FB4D4" w14:textId="77777777" w:rsidR="001F4CE6" w:rsidRPr="000643FE" w:rsidRDefault="001F4CE6" w:rsidP="000368F9">
            <w:pPr>
              <w:spacing w:line="360" w:lineRule="auto"/>
              <w:rPr>
                <w:rFonts w:ascii="Book Antiqua" w:hAnsi="Book Antiqua" w:cs="Book Antiqua"/>
                <w:kern w:val="0"/>
                <w:sz w:val="24"/>
              </w:rPr>
            </w:pPr>
          </w:p>
        </w:tc>
        <w:tc>
          <w:tcPr>
            <w:tcW w:w="1273" w:type="dxa"/>
          </w:tcPr>
          <w:p w14:paraId="16A93163"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Methylprednisolone</w:t>
            </w:r>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(8 mg/d orally)</w:t>
            </w:r>
          </w:p>
        </w:tc>
        <w:tc>
          <w:tcPr>
            <w:tcW w:w="902" w:type="dxa"/>
          </w:tcPr>
          <w:p w14:paraId="73D86CEB"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Recovery</w:t>
            </w:r>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(70 d)</w:t>
            </w:r>
          </w:p>
        </w:tc>
        <w:tc>
          <w:tcPr>
            <w:tcW w:w="561" w:type="dxa"/>
          </w:tcPr>
          <w:p w14:paraId="50D757ED" w14:textId="77777777" w:rsidR="001F4CE6" w:rsidRPr="000643FE" w:rsidRDefault="004C44A9" w:rsidP="000368F9">
            <w:pPr>
              <w:spacing w:line="360" w:lineRule="auto"/>
              <w:rPr>
                <w:rFonts w:ascii="Book Antiqua" w:hAnsi="Book Antiqua" w:cs="Book Antiqua"/>
                <w:kern w:val="0"/>
                <w:sz w:val="24"/>
                <w:vertAlign w:val="superscript"/>
              </w:rPr>
            </w:pPr>
            <w:r w:rsidRPr="000643FE">
              <w:rPr>
                <w:rFonts w:ascii="Book Antiqua" w:hAnsi="Book Antiqua" w:cs="Book Antiqua"/>
                <w:kern w:val="0"/>
                <w:sz w:val="24"/>
                <w:vertAlign w:val="superscript"/>
              </w:rPr>
              <w:t>[24]</w:t>
            </w:r>
          </w:p>
        </w:tc>
      </w:tr>
      <w:tr w:rsidR="004C44A9" w:rsidRPr="000643FE" w14:paraId="27AEA38B" w14:textId="77777777" w:rsidTr="008D4ABB">
        <w:trPr>
          <w:trHeight w:val="1018"/>
        </w:trPr>
        <w:tc>
          <w:tcPr>
            <w:tcW w:w="599" w:type="dxa"/>
          </w:tcPr>
          <w:p w14:paraId="0585F062"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39</w:t>
            </w:r>
          </w:p>
        </w:tc>
        <w:tc>
          <w:tcPr>
            <w:tcW w:w="475" w:type="dxa"/>
          </w:tcPr>
          <w:p w14:paraId="7E638E94"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M</w:t>
            </w:r>
          </w:p>
        </w:tc>
        <w:tc>
          <w:tcPr>
            <w:tcW w:w="813" w:type="dxa"/>
          </w:tcPr>
          <w:p w14:paraId="4C61BFB2"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 xml:space="preserve">4 </w:t>
            </w:r>
            <w:proofErr w:type="spellStart"/>
            <w:r w:rsidRPr="000643FE">
              <w:rPr>
                <w:rFonts w:ascii="Book Antiqua" w:hAnsi="Book Antiqua" w:cs="Book Antiqua"/>
                <w:kern w:val="0"/>
                <w:sz w:val="24"/>
              </w:rPr>
              <w:t>mo</w:t>
            </w:r>
            <w:proofErr w:type="spellEnd"/>
          </w:p>
        </w:tc>
        <w:tc>
          <w:tcPr>
            <w:tcW w:w="850" w:type="dxa"/>
          </w:tcPr>
          <w:p w14:paraId="5D03FA49"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100 mg/d</w:t>
            </w:r>
          </w:p>
        </w:tc>
        <w:tc>
          <w:tcPr>
            <w:tcW w:w="1163" w:type="dxa"/>
          </w:tcPr>
          <w:p w14:paraId="7CA5AE90"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Alcohol: (</w:t>
            </w:r>
            <w:r w:rsidR="00065B55" w:rsidRPr="000643FE">
              <w:rPr>
                <w:rFonts w:ascii="Book Antiqua" w:hAnsi="Book Antiqua" w:cs="Cambria Math"/>
                <w:kern w:val="0"/>
                <w:sz w:val="24"/>
              </w:rPr>
              <w:t xml:space="preserve">approximately </w:t>
            </w:r>
            <w:r w:rsidRPr="000643FE">
              <w:rPr>
                <w:rFonts w:ascii="Book Antiqua" w:hAnsi="Book Antiqua" w:cs="Book Antiqua"/>
                <w:kern w:val="0"/>
                <w:sz w:val="24"/>
              </w:rPr>
              <w:t xml:space="preserve">28 g/d for 10 </w:t>
            </w:r>
            <w:proofErr w:type="spellStart"/>
            <w:r w:rsidRPr="000643FE">
              <w:rPr>
                <w:rFonts w:ascii="Book Antiqua" w:hAnsi="Book Antiqua" w:cs="Book Antiqua"/>
                <w:kern w:val="0"/>
                <w:sz w:val="24"/>
              </w:rPr>
              <w:t>yr</w:t>
            </w:r>
            <w:proofErr w:type="spellEnd"/>
            <w:r w:rsidRPr="000643FE">
              <w:rPr>
                <w:rFonts w:ascii="Book Antiqua" w:hAnsi="Book Antiqua" w:cs="Book Antiqua"/>
                <w:kern w:val="0"/>
                <w:sz w:val="24"/>
              </w:rPr>
              <w:t>)</w:t>
            </w:r>
          </w:p>
        </w:tc>
        <w:tc>
          <w:tcPr>
            <w:tcW w:w="849" w:type="dxa"/>
          </w:tcPr>
          <w:p w14:paraId="7B26C7AA"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w:t>
            </w:r>
          </w:p>
        </w:tc>
        <w:tc>
          <w:tcPr>
            <w:tcW w:w="1163" w:type="dxa"/>
          </w:tcPr>
          <w:p w14:paraId="19C6C09E"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Gout</w:t>
            </w:r>
          </w:p>
        </w:tc>
        <w:tc>
          <w:tcPr>
            <w:tcW w:w="1273" w:type="dxa"/>
          </w:tcPr>
          <w:p w14:paraId="78D82A9D"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PE</w:t>
            </w:r>
            <w:r w:rsidR="00065B55" w:rsidRPr="000643FE">
              <w:rPr>
                <w:rFonts w:ascii="Book Antiqua" w:hAnsi="Book Antiqua" w:cs="Book Antiqua"/>
                <w:kern w:val="0"/>
                <w:sz w:val="24"/>
              </w:rPr>
              <w:t xml:space="preserve"> </w:t>
            </w:r>
            <w:r w:rsidRPr="000643FE">
              <w:rPr>
                <w:rFonts w:ascii="Book Antiqua" w:hAnsi="Book Antiqua" w:cs="Book Antiqua"/>
                <w:kern w:val="0"/>
                <w:sz w:val="24"/>
              </w:rPr>
              <w:t>+</w:t>
            </w:r>
            <w:r w:rsidR="00065B55" w:rsidRPr="000643FE">
              <w:rPr>
                <w:rFonts w:ascii="Book Antiqua" w:hAnsi="Book Antiqua" w:cs="Book Antiqua" w:hint="eastAsia"/>
                <w:kern w:val="0"/>
                <w:sz w:val="24"/>
              </w:rPr>
              <w:t xml:space="preserve"> </w:t>
            </w:r>
            <w:r w:rsidRPr="000643FE">
              <w:rPr>
                <w:rFonts w:ascii="Book Antiqua" w:hAnsi="Book Antiqua" w:cs="Book Antiqua"/>
                <w:kern w:val="0"/>
                <w:sz w:val="24"/>
              </w:rPr>
              <w:t>liver transplant</w:t>
            </w:r>
          </w:p>
        </w:tc>
        <w:tc>
          <w:tcPr>
            <w:tcW w:w="902" w:type="dxa"/>
          </w:tcPr>
          <w:p w14:paraId="17E7B23D" w14:textId="77777777" w:rsidR="001F4CE6" w:rsidRPr="000643FE" w:rsidRDefault="004C44A9" w:rsidP="000368F9">
            <w:pPr>
              <w:spacing w:line="360" w:lineRule="auto"/>
              <w:rPr>
                <w:rFonts w:ascii="Book Antiqua" w:hAnsi="Book Antiqua" w:cs="Book Antiqua"/>
                <w:kern w:val="0"/>
                <w:sz w:val="24"/>
              </w:rPr>
            </w:pPr>
            <w:r w:rsidRPr="000643FE">
              <w:rPr>
                <w:rFonts w:ascii="Book Antiqua" w:hAnsi="Book Antiqua" w:cs="Book Antiqua"/>
                <w:kern w:val="0"/>
                <w:sz w:val="24"/>
              </w:rPr>
              <w:t>Recovery</w:t>
            </w:r>
          </w:p>
        </w:tc>
        <w:tc>
          <w:tcPr>
            <w:tcW w:w="561" w:type="dxa"/>
          </w:tcPr>
          <w:p w14:paraId="2EAD8289" w14:textId="77777777" w:rsidR="001F4CE6" w:rsidRPr="000643FE" w:rsidRDefault="001F4CE6" w:rsidP="000368F9">
            <w:pPr>
              <w:spacing w:line="360" w:lineRule="auto"/>
              <w:rPr>
                <w:rFonts w:ascii="Book Antiqua" w:hAnsi="Book Antiqua" w:cs="Book Antiqua"/>
                <w:kern w:val="0"/>
                <w:sz w:val="24"/>
              </w:rPr>
            </w:pPr>
          </w:p>
          <w:p w14:paraId="51759A56" w14:textId="77777777" w:rsidR="001F4CE6" w:rsidRPr="000643FE" w:rsidRDefault="001F4CE6" w:rsidP="000368F9">
            <w:pPr>
              <w:spacing w:line="360" w:lineRule="auto"/>
              <w:rPr>
                <w:rFonts w:ascii="Book Antiqua" w:hAnsi="Book Antiqua" w:cs="Book Antiqua"/>
                <w:kern w:val="0"/>
                <w:sz w:val="24"/>
              </w:rPr>
            </w:pPr>
          </w:p>
        </w:tc>
      </w:tr>
    </w:tbl>
    <w:p w14:paraId="71C4DE37" w14:textId="77777777" w:rsidR="001F4CE6" w:rsidRPr="000643FE" w:rsidRDefault="001F4CE6" w:rsidP="000368F9">
      <w:pPr>
        <w:spacing w:line="360" w:lineRule="auto"/>
        <w:rPr>
          <w:rFonts w:ascii="Book Antiqua" w:hAnsi="Book Antiqua" w:cs="Book Antiqua"/>
          <w:sz w:val="24"/>
        </w:rPr>
      </w:pPr>
    </w:p>
    <w:p w14:paraId="288DD234" w14:textId="77777777" w:rsidR="001F4CE6" w:rsidRPr="000B383D" w:rsidRDefault="00F93349" w:rsidP="000B383D">
      <w:pPr>
        <w:pStyle w:val="a7"/>
        <w:spacing w:before="0" w:beforeAutospacing="0" w:after="0" w:afterAutospacing="0" w:line="360" w:lineRule="auto"/>
        <w:jc w:val="both"/>
        <w:rPr>
          <w:rFonts w:ascii="Book Antiqua" w:hAnsi="Book Antiqua" w:cs="Arial"/>
          <w:bCs/>
        </w:rPr>
      </w:pPr>
      <w:r w:rsidRPr="000643FE">
        <w:rPr>
          <w:rFonts w:ascii="Book Antiqua" w:hAnsi="Book Antiqua" w:cs="Book Antiqua"/>
        </w:rPr>
        <w:t>HDF</w:t>
      </w:r>
      <w:r w:rsidR="000B383D" w:rsidRPr="000643FE">
        <w:rPr>
          <w:rFonts w:ascii="Book Antiqua" w:hAnsi="Book Antiqua" w:cs="Book Antiqua"/>
        </w:rPr>
        <w:t xml:space="preserve">: Hemodiafiltration; NAFLD: </w:t>
      </w:r>
      <w:r w:rsidR="000B383D" w:rsidRPr="000643FE">
        <w:rPr>
          <w:rStyle w:val="aa"/>
          <w:rFonts w:ascii="Book Antiqua" w:hAnsi="Book Antiqua"/>
          <w:b w:val="0"/>
          <w:iCs/>
        </w:rPr>
        <w:t>Non</w:t>
      </w:r>
      <w:r w:rsidR="000B383D" w:rsidRPr="000643FE">
        <w:rPr>
          <w:rFonts w:ascii="Book Antiqua" w:hAnsi="Book Antiqua"/>
          <w:b/>
          <w:iCs/>
        </w:rPr>
        <w:t>-</w:t>
      </w:r>
      <w:r w:rsidR="000B383D" w:rsidRPr="000643FE">
        <w:rPr>
          <w:rFonts w:ascii="Book Antiqua" w:hAnsi="Book Antiqua"/>
          <w:iCs/>
        </w:rPr>
        <w:t>alcoholic fatty liver disease;</w:t>
      </w:r>
      <w:r w:rsidR="000B383D" w:rsidRPr="000643FE">
        <w:rPr>
          <w:rFonts w:ascii="Book Antiqua" w:hAnsi="Book Antiqua" w:cs="Book Antiqua"/>
        </w:rPr>
        <w:t xml:space="preserve"> PE: Plasma exchange; M: Male; F: Female.</w:t>
      </w:r>
    </w:p>
    <w:sectPr w:rsidR="001F4CE6" w:rsidRPr="000B383D">
      <w:footerReference w:type="even" r:id="rId19"/>
      <w:footerReference w:type="default" r:id="rId20"/>
      <w:pgSz w:w="12240" w:h="15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41B8F6" w14:textId="77777777" w:rsidR="004577D5" w:rsidRDefault="004577D5">
      <w:r>
        <w:separator/>
      </w:r>
    </w:p>
  </w:endnote>
  <w:endnote w:type="continuationSeparator" w:id="0">
    <w:p w14:paraId="623B7BDF" w14:textId="77777777" w:rsidR="004577D5" w:rsidRDefault="00457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NewRoman">
    <w:altName w:val="Times New Roman"/>
    <w:charset w:val="00"/>
    <w:family w:val="auto"/>
    <w:pitch w:val="default"/>
  </w:font>
  <w:font w:name="AdvOT3c2d9f11 + 20">
    <w:altName w:val="Times New Roman"/>
    <w:charset w:val="00"/>
    <w:family w:val="auto"/>
    <w:pitch w:val="default"/>
  </w:font>
  <w:font w:name="E-BZ-PK748233-Identity-H">
    <w:altName w:val="Times New Roman"/>
    <w:charset w:val="00"/>
    <w:family w:val="auto"/>
    <w:pitch w:val="default"/>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altName w:val="?￠èí??oú"/>
    <w:panose1 w:val="020B0503020204020204"/>
    <w:charset w:val="86"/>
    <w:family w:val="swiss"/>
    <w:pitch w:val="variable"/>
    <w:sig w:usb0="80000287" w:usb1="280F3C52" w:usb2="00000016" w:usb3="00000000" w:csb0="0004001F" w:csb1="00000000"/>
  </w:font>
  <w:font w:name="Plantin">
    <w:altName w:val="Latha"/>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2ADD2" w14:textId="77777777" w:rsidR="00317DC4" w:rsidRDefault="00317DC4">
    <w:pPr>
      <w:pStyle w:val="a5"/>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05932E5B" w14:textId="77777777" w:rsidR="00317DC4" w:rsidRDefault="00317DC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B9015" w14:textId="77777777" w:rsidR="00317DC4" w:rsidRDefault="00317DC4">
    <w:pPr>
      <w:pStyle w:val="a5"/>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6E1D1A">
      <w:rPr>
        <w:rStyle w:val="ab"/>
        <w:noProof/>
      </w:rPr>
      <w:t>27</w:t>
    </w:r>
    <w:r>
      <w:rPr>
        <w:rStyle w:val="ab"/>
      </w:rPr>
      <w:fldChar w:fldCharType="end"/>
    </w:r>
  </w:p>
  <w:p w14:paraId="11C353F7" w14:textId="77777777" w:rsidR="00317DC4" w:rsidRDefault="00317DC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1271F8" w14:textId="77777777" w:rsidR="004577D5" w:rsidRDefault="004577D5">
      <w:r>
        <w:separator/>
      </w:r>
    </w:p>
  </w:footnote>
  <w:footnote w:type="continuationSeparator" w:id="0">
    <w:p w14:paraId="1DDD59BE" w14:textId="77777777" w:rsidR="004577D5" w:rsidRDefault="004577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DCF41F"/>
    <w:multiLevelType w:val="singleLevel"/>
    <w:tmpl w:val="C1DCF41F"/>
    <w:lvl w:ilvl="0">
      <w:start w:val="1"/>
      <w:numFmt w:val="decimal"/>
      <w:lvlText w:val="%1."/>
      <w:lvlJc w:val="left"/>
    </w:lvl>
  </w:abstractNum>
  <w:abstractNum w:abstractNumId="1">
    <w:nsid w:val="C333D1D2"/>
    <w:multiLevelType w:val="singleLevel"/>
    <w:tmpl w:val="C333D1D2"/>
    <w:lvl w:ilvl="0">
      <w:start w:val="21"/>
      <w:numFmt w:val="decimal"/>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isplayBackgroundShape/>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MachineID" w:val="204|188|197|190|207|197|201|200|197|199|207|197|206|200|197|187|185|"/>
    <w:docVar w:name="Username" w:val="Senior Editor"/>
  </w:docVars>
  <w:rsids>
    <w:rsidRoot w:val="00637CCB"/>
    <w:rsid w:val="00002A0A"/>
    <w:rsid w:val="0000652C"/>
    <w:rsid w:val="00007F4B"/>
    <w:rsid w:val="00020FAC"/>
    <w:rsid w:val="00033380"/>
    <w:rsid w:val="000368F9"/>
    <w:rsid w:val="00046528"/>
    <w:rsid w:val="00047F36"/>
    <w:rsid w:val="00064257"/>
    <w:rsid w:val="000643FE"/>
    <w:rsid w:val="00065B55"/>
    <w:rsid w:val="000711D9"/>
    <w:rsid w:val="00073C1E"/>
    <w:rsid w:val="000759A7"/>
    <w:rsid w:val="00090664"/>
    <w:rsid w:val="000968FE"/>
    <w:rsid w:val="000A6892"/>
    <w:rsid w:val="000B383D"/>
    <w:rsid w:val="000C0778"/>
    <w:rsid w:val="000C529B"/>
    <w:rsid w:val="000C6877"/>
    <w:rsid w:val="000D14A7"/>
    <w:rsid w:val="000D29FF"/>
    <w:rsid w:val="000D7388"/>
    <w:rsid w:val="000E4E9B"/>
    <w:rsid w:val="00115F56"/>
    <w:rsid w:val="00116BB1"/>
    <w:rsid w:val="00117DDD"/>
    <w:rsid w:val="00132834"/>
    <w:rsid w:val="001328A8"/>
    <w:rsid w:val="00145D0A"/>
    <w:rsid w:val="00152EEB"/>
    <w:rsid w:val="00154D4D"/>
    <w:rsid w:val="001A2863"/>
    <w:rsid w:val="001B18CB"/>
    <w:rsid w:val="001B3BD1"/>
    <w:rsid w:val="001B71EA"/>
    <w:rsid w:val="001C1FA6"/>
    <w:rsid w:val="001C36A3"/>
    <w:rsid w:val="001C7871"/>
    <w:rsid w:val="001D2E13"/>
    <w:rsid w:val="001E27D5"/>
    <w:rsid w:val="001E77DD"/>
    <w:rsid w:val="001F29A4"/>
    <w:rsid w:val="001F415E"/>
    <w:rsid w:val="001F4CE6"/>
    <w:rsid w:val="001F5666"/>
    <w:rsid w:val="001F7299"/>
    <w:rsid w:val="002014AE"/>
    <w:rsid w:val="002128AC"/>
    <w:rsid w:val="00221630"/>
    <w:rsid w:val="002220B9"/>
    <w:rsid w:val="00256D84"/>
    <w:rsid w:val="0026153F"/>
    <w:rsid w:val="00274F03"/>
    <w:rsid w:val="00282761"/>
    <w:rsid w:val="00284238"/>
    <w:rsid w:val="002A2D28"/>
    <w:rsid w:val="002A3288"/>
    <w:rsid w:val="002B45D3"/>
    <w:rsid w:val="002C5288"/>
    <w:rsid w:val="002E190A"/>
    <w:rsid w:val="002F087C"/>
    <w:rsid w:val="002F1941"/>
    <w:rsid w:val="00317DC4"/>
    <w:rsid w:val="0033713D"/>
    <w:rsid w:val="00345B3B"/>
    <w:rsid w:val="00350A2B"/>
    <w:rsid w:val="00355BDC"/>
    <w:rsid w:val="00356440"/>
    <w:rsid w:val="0036032B"/>
    <w:rsid w:val="00376D6B"/>
    <w:rsid w:val="00387836"/>
    <w:rsid w:val="003921AC"/>
    <w:rsid w:val="00396F1B"/>
    <w:rsid w:val="003A2686"/>
    <w:rsid w:val="003A4FB2"/>
    <w:rsid w:val="003A76FF"/>
    <w:rsid w:val="003A7E63"/>
    <w:rsid w:val="003B072A"/>
    <w:rsid w:val="003B0DEC"/>
    <w:rsid w:val="003B1E05"/>
    <w:rsid w:val="003B62CD"/>
    <w:rsid w:val="00403B1C"/>
    <w:rsid w:val="00406A38"/>
    <w:rsid w:val="00426018"/>
    <w:rsid w:val="004321C6"/>
    <w:rsid w:val="00432799"/>
    <w:rsid w:val="004577D5"/>
    <w:rsid w:val="00472DCE"/>
    <w:rsid w:val="004A4BA4"/>
    <w:rsid w:val="004A7BA1"/>
    <w:rsid w:val="004B341F"/>
    <w:rsid w:val="004C44A9"/>
    <w:rsid w:val="004E0E3C"/>
    <w:rsid w:val="004E179C"/>
    <w:rsid w:val="0051559D"/>
    <w:rsid w:val="00535035"/>
    <w:rsid w:val="0054207C"/>
    <w:rsid w:val="00590CD3"/>
    <w:rsid w:val="0059238B"/>
    <w:rsid w:val="00595468"/>
    <w:rsid w:val="005A3763"/>
    <w:rsid w:val="005A3FC0"/>
    <w:rsid w:val="005C0930"/>
    <w:rsid w:val="005C600B"/>
    <w:rsid w:val="005E04A1"/>
    <w:rsid w:val="005E3451"/>
    <w:rsid w:val="005F1CC5"/>
    <w:rsid w:val="006033BE"/>
    <w:rsid w:val="00605D5D"/>
    <w:rsid w:val="00607663"/>
    <w:rsid w:val="0061184B"/>
    <w:rsid w:val="00632F90"/>
    <w:rsid w:val="00637CCB"/>
    <w:rsid w:val="0064428C"/>
    <w:rsid w:val="00646CA0"/>
    <w:rsid w:val="00647667"/>
    <w:rsid w:val="0065063C"/>
    <w:rsid w:val="0065761E"/>
    <w:rsid w:val="00661292"/>
    <w:rsid w:val="00661C0A"/>
    <w:rsid w:val="00694E1F"/>
    <w:rsid w:val="00696F61"/>
    <w:rsid w:val="006B22F7"/>
    <w:rsid w:val="006B7F24"/>
    <w:rsid w:val="006C5184"/>
    <w:rsid w:val="006D0D8A"/>
    <w:rsid w:val="006E04ED"/>
    <w:rsid w:val="006E1D1A"/>
    <w:rsid w:val="006F4CF1"/>
    <w:rsid w:val="006F56CA"/>
    <w:rsid w:val="006F5B36"/>
    <w:rsid w:val="006F780E"/>
    <w:rsid w:val="00704B06"/>
    <w:rsid w:val="007055F3"/>
    <w:rsid w:val="00711480"/>
    <w:rsid w:val="00712C02"/>
    <w:rsid w:val="00722D8B"/>
    <w:rsid w:val="0072643F"/>
    <w:rsid w:val="00737392"/>
    <w:rsid w:val="00766D12"/>
    <w:rsid w:val="00773ED8"/>
    <w:rsid w:val="00776084"/>
    <w:rsid w:val="0078675B"/>
    <w:rsid w:val="00792B73"/>
    <w:rsid w:val="00794B4E"/>
    <w:rsid w:val="007A22C6"/>
    <w:rsid w:val="007A60EE"/>
    <w:rsid w:val="007B39B3"/>
    <w:rsid w:val="007C03A0"/>
    <w:rsid w:val="007F70C6"/>
    <w:rsid w:val="00813787"/>
    <w:rsid w:val="008232F3"/>
    <w:rsid w:val="0083368F"/>
    <w:rsid w:val="00834ABD"/>
    <w:rsid w:val="00835627"/>
    <w:rsid w:val="00862E29"/>
    <w:rsid w:val="008676D5"/>
    <w:rsid w:val="00870B38"/>
    <w:rsid w:val="00872434"/>
    <w:rsid w:val="008807D7"/>
    <w:rsid w:val="008930AD"/>
    <w:rsid w:val="008A355C"/>
    <w:rsid w:val="008A3E0C"/>
    <w:rsid w:val="008B463B"/>
    <w:rsid w:val="008B5971"/>
    <w:rsid w:val="008C0DF2"/>
    <w:rsid w:val="008D1E1B"/>
    <w:rsid w:val="008D4494"/>
    <w:rsid w:val="008D4ABB"/>
    <w:rsid w:val="008E6F86"/>
    <w:rsid w:val="00917CA7"/>
    <w:rsid w:val="00936B9C"/>
    <w:rsid w:val="00936C62"/>
    <w:rsid w:val="00961B0B"/>
    <w:rsid w:val="00963DA7"/>
    <w:rsid w:val="009805EC"/>
    <w:rsid w:val="00996E7F"/>
    <w:rsid w:val="009A0EDB"/>
    <w:rsid w:val="009A10CE"/>
    <w:rsid w:val="009A7B30"/>
    <w:rsid w:val="009B302B"/>
    <w:rsid w:val="009C20C7"/>
    <w:rsid w:val="009E0C93"/>
    <w:rsid w:val="009E21F3"/>
    <w:rsid w:val="009E3CD7"/>
    <w:rsid w:val="009F0411"/>
    <w:rsid w:val="00A00602"/>
    <w:rsid w:val="00A115D6"/>
    <w:rsid w:val="00A24ADE"/>
    <w:rsid w:val="00A262E7"/>
    <w:rsid w:val="00A37EB5"/>
    <w:rsid w:val="00A425CF"/>
    <w:rsid w:val="00A433F7"/>
    <w:rsid w:val="00A54391"/>
    <w:rsid w:val="00A60BEC"/>
    <w:rsid w:val="00A61817"/>
    <w:rsid w:val="00A83933"/>
    <w:rsid w:val="00A858B8"/>
    <w:rsid w:val="00A90FC9"/>
    <w:rsid w:val="00A97828"/>
    <w:rsid w:val="00AA50C0"/>
    <w:rsid w:val="00AA5259"/>
    <w:rsid w:val="00AB5630"/>
    <w:rsid w:val="00AB664B"/>
    <w:rsid w:val="00AB7061"/>
    <w:rsid w:val="00B0724E"/>
    <w:rsid w:val="00B13B7C"/>
    <w:rsid w:val="00B311D8"/>
    <w:rsid w:val="00B33CEA"/>
    <w:rsid w:val="00B527FB"/>
    <w:rsid w:val="00BA1C67"/>
    <w:rsid w:val="00BB4CF1"/>
    <w:rsid w:val="00BB5894"/>
    <w:rsid w:val="00BC3978"/>
    <w:rsid w:val="00BE0ECD"/>
    <w:rsid w:val="00BE32D7"/>
    <w:rsid w:val="00BF2AC9"/>
    <w:rsid w:val="00C13189"/>
    <w:rsid w:val="00C16C3B"/>
    <w:rsid w:val="00C266F6"/>
    <w:rsid w:val="00C40D2B"/>
    <w:rsid w:val="00C42E34"/>
    <w:rsid w:val="00C5218C"/>
    <w:rsid w:val="00C55727"/>
    <w:rsid w:val="00C61444"/>
    <w:rsid w:val="00C6286F"/>
    <w:rsid w:val="00C8089B"/>
    <w:rsid w:val="00C8377F"/>
    <w:rsid w:val="00C91C70"/>
    <w:rsid w:val="00CB2977"/>
    <w:rsid w:val="00CB2B5B"/>
    <w:rsid w:val="00CC7120"/>
    <w:rsid w:val="00CE0C84"/>
    <w:rsid w:val="00CE3F95"/>
    <w:rsid w:val="00CF39F7"/>
    <w:rsid w:val="00D046C0"/>
    <w:rsid w:val="00D05ADF"/>
    <w:rsid w:val="00D25D57"/>
    <w:rsid w:val="00D51AFD"/>
    <w:rsid w:val="00D61994"/>
    <w:rsid w:val="00D6214F"/>
    <w:rsid w:val="00D652F3"/>
    <w:rsid w:val="00D83001"/>
    <w:rsid w:val="00D86CF5"/>
    <w:rsid w:val="00DB0A70"/>
    <w:rsid w:val="00DB15DB"/>
    <w:rsid w:val="00DB4353"/>
    <w:rsid w:val="00DB6504"/>
    <w:rsid w:val="00DD2891"/>
    <w:rsid w:val="00DE4B09"/>
    <w:rsid w:val="00DF5750"/>
    <w:rsid w:val="00E1263E"/>
    <w:rsid w:val="00E150BE"/>
    <w:rsid w:val="00E16075"/>
    <w:rsid w:val="00E27D0F"/>
    <w:rsid w:val="00E321BE"/>
    <w:rsid w:val="00E43C99"/>
    <w:rsid w:val="00E61AA8"/>
    <w:rsid w:val="00E7138C"/>
    <w:rsid w:val="00E735A6"/>
    <w:rsid w:val="00EB4C9F"/>
    <w:rsid w:val="00EC2BC3"/>
    <w:rsid w:val="00ED726A"/>
    <w:rsid w:val="00EE51AE"/>
    <w:rsid w:val="00EE5EB2"/>
    <w:rsid w:val="00F333E1"/>
    <w:rsid w:val="00F35892"/>
    <w:rsid w:val="00F6162F"/>
    <w:rsid w:val="00F621BB"/>
    <w:rsid w:val="00F66781"/>
    <w:rsid w:val="00F67C5E"/>
    <w:rsid w:val="00F70CBB"/>
    <w:rsid w:val="00F8079C"/>
    <w:rsid w:val="00F858B1"/>
    <w:rsid w:val="00F93349"/>
    <w:rsid w:val="00FA4B24"/>
    <w:rsid w:val="00FB277A"/>
    <w:rsid w:val="00FC2466"/>
    <w:rsid w:val="00FC6DBA"/>
    <w:rsid w:val="00FD189F"/>
    <w:rsid w:val="00FE16F7"/>
    <w:rsid w:val="00FF6159"/>
    <w:rsid w:val="01335E23"/>
    <w:rsid w:val="01AE5C22"/>
    <w:rsid w:val="02F242E6"/>
    <w:rsid w:val="05502C9E"/>
    <w:rsid w:val="090D10F7"/>
    <w:rsid w:val="0DEA4939"/>
    <w:rsid w:val="108D4B8E"/>
    <w:rsid w:val="1140205C"/>
    <w:rsid w:val="12654552"/>
    <w:rsid w:val="14314C37"/>
    <w:rsid w:val="186034AA"/>
    <w:rsid w:val="18A7504F"/>
    <w:rsid w:val="214005F5"/>
    <w:rsid w:val="25C36728"/>
    <w:rsid w:val="28A667C1"/>
    <w:rsid w:val="2AE62087"/>
    <w:rsid w:val="2B6834ED"/>
    <w:rsid w:val="2C274B77"/>
    <w:rsid w:val="2C716781"/>
    <w:rsid w:val="32DB44ED"/>
    <w:rsid w:val="353D2092"/>
    <w:rsid w:val="390C3921"/>
    <w:rsid w:val="3BE1623D"/>
    <w:rsid w:val="3F1016ED"/>
    <w:rsid w:val="40C23BBC"/>
    <w:rsid w:val="46EE07BF"/>
    <w:rsid w:val="490E400E"/>
    <w:rsid w:val="4AB84EC4"/>
    <w:rsid w:val="4AC35955"/>
    <w:rsid w:val="5C412022"/>
    <w:rsid w:val="5DD85BDA"/>
    <w:rsid w:val="5E363A94"/>
    <w:rsid w:val="62A50790"/>
    <w:rsid w:val="673D5FAD"/>
    <w:rsid w:val="689C7FEB"/>
    <w:rsid w:val="6B640E7F"/>
    <w:rsid w:val="6BD17CA5"/>
    <w:rsid w:val="6BF5019C"/>
    <w:rsid w:val="6D761783"/>
    <w:rsid w:val="71FD0DFD"/>
    <w:rsid w:val="740A732A"/>
    <w:rsid w:val="76F55AD3"/>
    <w:rsid w:val="78B84BFE"/>
    <w:rsid w:val="7B473A35"/>
    <w:rsid w:val="7BA322CE"/>
    <w:rsid w:val="7EDD14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633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iPriority="0" w:unhideWhenUsed="0" w:qFormat="1"/>
    <w:lsdException w:name="footer" w:semiHidden="0" w:uiPriority="0" w:unhideWhenUsed="0" w:qFormat="1"/>
    <w:lsdException w:name="caption" w:uiPriority="35" w:qFormat="1"/>
    <w:lsdException w:name="line number" w:qFormat="1"/>
    <w:lsdException w:name="page number"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iPriority="0" w:unhideWhenUsed="0" w:qFormat="1"/>
    <w:lsdException w:name="FollowedHyperlink"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semiHidden="0" w:qFormat="1"/>
    <w:lsdException w:name="Normal Table" w:semiHidden="0" w:unhideWhenUsed="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2">
    <w:name w:val="heading 2"/>
    <w:basedOn w:val="a"/>
    <w:next w:val="a"/>
    <w:link w:val="2Char"/>
    <w:uiPriority w:val="9"/>
    <w:semiHidden/>
    <w:unhideWhenUsed/>
    <w:qFormat/>
    <w:rsid w:val="00F9334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Pr>
      <w:rFonts w:ascii="Tahoma" w:hAnsi="Tahoma" w:cs="Tahoma"/>
      <w:sz w:val="16"/>
      <w:szCs w:val="20"/>
    </w:rPr>
  </w:style>
  <w:style w:type="paragraph" w:styleId="a4">
    <w:name w:val="Balloon Text"/>
    <w:basedOn w:val="a"/>
    <w:link w:val="Char0"/>
    <w:qFormat/>
    <w:pPr>
      <w:jc w:val="left"/>
    </w:pPr>
    <w:rPr>
      <w:rFonts w:ascii="Tahoma" w:hAnsi="Tahoma" w:cs="Tahoma"/>
      <w:sz w:val="16"/>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8">
    <w:name w:val="annotation subject"/>
    <w:basedOn w:val="a3"/>
    <w:next w:val="a3"/>
    <w:link w:val="Char3"/>
    <w:uiPriority w:val="99"/>
    <w:semiHidden/>
    <w:unhideWhenUsed/>
    <w:rPr>
      <w:b/>
      <w:bCs/>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Pr>
      <w:b/>
      <w:bCs/>
    </w:rPr>
  </w:style>
  <w:style w:type="character" w:styleId="ab">
    <w:name w:val="page number"/>
    <w:basedOn w:val="a0"/>
    <w:uiPriority w:val="99"/>
    <w:semiHidden/>
    <w:unhideWhenUsed/>
    <w:qFormat/>
  </w:style>
  <w:style w:type="character" w:styleId="ac">
    <w:name w:val="FollowedHyperlink"/>
    <w:basedOn w:val="a0"/>
    <w:qFormat/>
    <w:rPr>
      <w:color w:val="000099"/>
      <w:u w:val="none"/>
    </w:rPr>
  </w:style>
  <w:style w:type="character" w:styleId="ad">
    <w:name w:val="Emphasis"/>
    <w:basedOn w:val="a0"/>
    <w:uiPriority w:val="20"/>
    <w:qFormat/>
    <w:rPr>
      <w:i/>
      <w:iCs/>
    </w:rPr>
  </w:style>
  <w:style w:type="character" w:styleId="ae">
    <w:name w:val="line number"/>
    <w:basedOn w:val="a0"/>
    <w:uiPriority w:val="99"/>
    <w:semiHidden/>
    <w:unhideWhenUsed/>
    <w:qFormat/>
  </w:style>
  <w:style w:type="character" w:styleId="af">
    <w:name w:val="Hyperlink"/>
    <w:basedOn w:val="a0"/>
    <w:qFormat/>
    <w:rPr>
      <w:color w:val="000099"/>
      <w:u w:val="none"/>
    </w:rPr>
  </w:style>
  <w:style w:type="character" w:styleId="af0">
    <w:name w:val="annotation reference"/>
    <w:basedOn w:val="a0"/>
    <w:uiPriority w:val="99"/>
    <w:semiHidden/>
    <w:unhideWhenUsed/>
    <w:rPr>
      <w:rFonts w:ascii="Tahoma" w:hAnsi="Tahoma" w:cs="Tahoma"/>
      <w:sz w:val="16"/>
      <w:szCs w:val="16"/>
      <w:u w:val="none"/>
    </w:rPr>
  </w:style>
  <w:style w:type="character" w:customStyle="1" w:styleId="3Char">
    <w:name w:val="标题 3 Char"/>
    <w:basedOn w:val="a0"/>
    <w:link w:val="3"/>
    <w:uiPriority w:val="9"/>
    <w:qFormat/>
    <w:rPr>
      <w:rFonts w:ascii="宋体" w:eastAsia="宋体" w:hAnsi="宋体" w:cs="宋体"/>
      <w:b/>
      <w:bCs/>
      <w:kern w:val="0"/>
      <w:sz w:val="27"/>
      <w:szCs w:val="27"/>
    </w:rPr>
  </w:style>
  <w:style w:type="character" w:customStyle="1" w:styleId="Char0">
    <w:name w:val="批注框文本 Char"/>
    <w:basedOn w:val="a0"/>
    <w:link w:val="a4"/>
    <w:qFormat/>
    <w:rPr>
      <w:rFonts w:ascii="Tahoma" w:eastAsia="宋体" w:hAnsi="Tahoma" w:cs="Tahoma"/>
      <w:kern w:val="2"/>
      <w:sz w:val="16"/>
      <w:szCs w:val="18"/>
    </w:rPr>
  </w:style>
  <w:style w:type="character" w:customStyle="1" w:styleId="Char1">
    <w:name w:val="页脚 Char"/>
    <w:basedOn w:val="a0"/>
    <w:link w:val="a5"/>
    <w:qFormat/>
    <w:rPr>
      <w:rFonts w:ascii="Times New Roman" w:eastAsia="宋体" w:hAnsi="Times New Roman" w:cs="Times New Roman"/>
      <w:sz w:val="18"/>
      <w:szCs w:val="18"/>
    </w:rPr>
  </w:style>
  <w:style w:type="character" w:customStyle="1" w:styleId="Char2">
    <w:name w:val="页眉 Char"/>
    <w:basedOn w:val="a0"/>
    <w:link w:val="a6"/>
    <w:qFormat/>
    <w:rPr>
      <w:rFonts w:ascii="Times New Roman" w:eastAsia="宋体" w:hAnsi="Times New Roman" w:cs="Times New Roman"/>
      <w:sz w:val="18"/>
      <w:szCs w:val="18"/>
    </w:rPr>
  </w:style>
  <w:style w:type="character" w:customStyle="1" w:styleId="fontstyle01">
    <w:name w:val="fontstyle01"/>
    <w:basedOn w:val="a0"/>
    <w:qFormat/>
    <w:rPr>
      <w:rFonts w:ascii="TimesNewRoman" w:eastAsia="TimesNewRoman" w:hAnsi="TimesNewRoman" w:cs="TimesNewRoman"/>
      <w:color w:val="FFFFFF"/>
      <w:sz w:val="20"/>
      <w:szCs w:val="20"/>
    </w:rPr>
  </w:style>
  <w:style w:type="character" w:customStyle="1" w:styleId="fontstyle21">
    <w:name w:val="fontstyle21"/>
    <w:basedOn w:val="a0"/>
    <w:qFormat/>
    <w:rPr>
      <w:rFonts w:ascii="AdvOT3c2d9f11 + 20" w:eastAsia="AdvOT3c2d9f11 + 20" w:hAnsi="AdvOT3c2d9f11 + 20" w:cs="AdvOT3c2d9f11 + 20"/>
      <w:color w:val="000000"/>
      <w:sz w:val="14"/>
      <w:szCs w:val="14"/>
    </w:rPr>
  </w:style>
  <w:style w:type="character" w:customStyle="1" w:styleId="fontstyle31">
    <w:name w:val="fontstyle31"/>
    <w:basedOn w:val="a0"/>
    <w:qFormat/>
    <w:rPr>
      <w:rFonts w:ascii="E-BZ-PK748233-Identity-H" w:eastAsia="E-BZ-PK748233-Identity-H" w:hAnsi="E-BZ-PK748233-Identity-H" w:cs="E-BZ-PK748233-Identity-H"/>
      <w:color w:val="000000"/>
      <w:sz w:val="18"/>
      <w:szCs w:val="18"/>
    </w:rPr>
  </w:style>
  <w:style w:type="paragraph" w:customStyle="1" w:styleId="ordinary-output">
    <w:name w:val="ordinary-output"/>
    <w:basedOn w:val="a"/>
    <w:qFormat/>
    <w:pPr>
      <w:widowControl/>
      <w:spacing w:before="100" w:beforeAutospacing="1" w:after="100" w:afterAutospacing="1"/>
      <w:jc w:val="left"/>
    </w:pPr>
    <w:rPr>
      <w:rFonts w:ascii="宋体" w:hAnsi="宋体" w:cs="宋体"/>
      <w:kern w:val="0"/>
      <w:sz w:val="24"/>
    </w:rPr>
  </w:style>
  <w:style w:type="character" w:customStyle="1" w:styleId="Char">
    <w:name w:val="批注文字 Char"/>
    <w:basedOn w:val="a0"/>
    <w:link w:val="a3"/>
    <w:uiPriority w:val="99"/>
    <w:qFormat/>
    <w:rPr>
      <w:rFonts w:ascii="Tahoma" w:eastAsia="宋体" w:hAnsi="Tahoma" w:cs="Tahoma"/>
      <w:kern w:val="2"/>
      <w:sz w:val="16"/>
    </w:rPr>
  </w:style>
  <w:style w:type="character" w:customStyle="1" w:styleId="Char3">
    <w:name w:val="批注主题 Char"/>
    <w:basedOn w:val="Char"/>
    <w:link w:val="a8"/>
    <w:uiPriority w:val="99"/>
    <w:semiHidden/>
    <w:qFormat/>
    <w:rPr>
      <w:rFonts w:ascii="Tahoma" w:eastAsia="宋体" w:hAnsi="Tahoma" w:cs="Tahoma"/>
      <w:b/>
      <w:bCs/>
      <w:kern w:val="2"/>
      <w:sz w:val="16"/>
    </w:rPr>
  </w:style>
  <w:style w:type="character" w:customStyle="1" w:styleId="UnresolvedMention1">
    <w:name w:val="Unresolved Mention1"/>
    <w:basedOn w:val="a0"/>
    <w:uiPriority w:val="99"/>
    <w:qFormat/>
    <w:rPr>
      <w:color w:val="605E5C"/>
      <w:shd w:val="clear" w:color="auto" w:fill="E1DFDD"/>
    </w:rPr>
  </w:style>
  <w:style w:type="paragraph" w:customStyle="1" w:styleId="1">
    <w:name w:val="修订1"/>
    <w:hidden/>
    <w:uiPriority w:val="99"/>
    <w:semiHidden/>
    <w:qFormat/>
    <w:rPr>
      <w:kern w:val="2"/>
      <w:sz w:val="21"/>
      <w:szCs w:val="24"/>
    </w:rPr>
  </w:style>
  <w:style w:type="paragraph" w:customStyle="1" w:styleId="20">
    <w:name w:val="修订2"/>
    <w:hidden/>
    <w:uiPriority w:val="99"/>
    <w:semiHidden/>
    <w:qFormat/>
    <w:rPr>
      <w:kern w:val="2"/>
      <w:sz w:val="21"/>
      <w:szCs w:val="24"/>
    </w:rPr>
  </w:style>
  <w:style w:type="character" w:customStyle="1" w:styleId="10">
    <w:name w:val="未处理的提及1"/>
    <w:basedOn w:val="a0"/>
    <w:uiPriority w:val="99"/>
    <w:semiHidden/>
    <w:unhideWhenUsed/>
    <w:rsid w:val="00F93349"/>
    <w:rPr>
      <w:color w:val="605E5C"/>
      <w:shd w:val="clear" w:color="auto" w:fill="E1DFDD"/>
    </w:rPr>
  </w:style>
  <w:style w:type="character" w:customStyle="1" w:styleId="2Char">
    <w:name w:val="标题 2 Char"/>
    <w:basedOn w:val="a0"/>
    <w:link w:val="2"/>
    <w:uiPriority w:val="9"/>
    <w:semiHidden/>
    <w:rsid w:val="00F93349"/>
    <w:rPr>
      <w:rFonts w:asciiTheme="majorHAnsi" w:eastAsiaTheme="majorEastAsia" w:hAnsiTheme="majorHAnsi" w:cstheme="majorBidi"/>
      <w:b/>
      <w:bCs/>
      <w:kern w:val="2"/>
      <w:sz w:val="32"/>
      <w:szCs w:val="32"/>
    </w:rPr>
  </w:style>
  <w:style w:type="paragraph" w:styleId="af1">
    <w:name w:val="List Paragraph"/>
    <w:basedOn w:val="a"/>
    <w:uiPriority w:val="99"/>
    <w:rsid w:val="00F93349"/>
    <w:pPr>
      <w:ind w:firstLineChars="200" w:firstLine="420"/>
    </w:pPr>
  </w:style>
  <w:style w:type="paragraph" w:styleId="af2">
    <w:name w:val="Plain Text"/>
    <w:basedOn w:val="a"/>
    <w:link w:val="Char4"/>
    <w:semiHidden/>
    <w:unhideWhenUsed/>
    <w:rsid w:val="00AB5630"/>
    <w:rPr>
      <w:rFonts w:ascii="宋体" w:hAnsi="Courier New" w:cs="Courier New"/>
      <w:szCs w:val="21"/>
    </w:rPr>
  </w:style>
  <w:style w:type="character" w:customStyle="1" w:styleId="Char4">
    <w:name w:val="纯文本 Char"/>
    <w:basedOn w:val="a0"/>
    <w:link w:val="af2"/>
    <w:semiHidden/>
    <w:rsid w:val="00AB5630"/>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iPriority="0" w:unhideWhenUsed="0" w:qFormat="1"/>
    <w:lsdException w:name="footer" w:semiHidden="0" w:uiPriority="0" w:unhideWhenUsed="0" w:qFormat="1"/>
    <w:lsdException w:name="caption" w:uiPriority="35" w:qFormat="1"/>
    <w:lsdException w:name="line number" w:qFormat="1"/>
    <w:lsdException w:name="page number"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iPriority="0" w:unhideWhenUsed="0" w:qFormat="1"/>
    <w:lsdException w:name="FollowedHyperlink"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semiHidden="0" w:qFormat="1"/>
    <w:lsdException w:name="Normal Table" w:semiHidden="0" w:unhideWhenUsed="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2">
    <w:name w:val="heading 2"/>
    <w:basedOn w:val="a"/>
    <w:next w:val="a"/>
    <w:link w:val="2Char"/>
    <w:uiPriority w:val="9"/>
    <w:semiHidden/>
    <w:unhideWhenUsed/>
    <w:qFormat/>
    <w:rsid w:val="00F9334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Pr>
      <w:rFonts w:ascii="Tahoma" w:hAnsi="Tahoma" w:cs="Tahoma"/>
      <w:sz w:val="16"/>
      <w:szCs w:val="20"/>
    </w:rPr>
  </w:style>
  <w:style w:type="paragraph" w:styleId="a4">
    <w:name w:val="Balloon Text"/>
    <w:basedOn w:val="a"/>
    <w:link w:val="Char0"/>
    <w:qFormat/>
    <w:pPr>
      <w:jc w:val="left"/>
    </w:pPr>
    <w:rPr>
      <w:rFonts w:ascii="Tahoma" w:hAnsi="Tahoma" w:cs="Tahoma"/>
      <w:sz w:val="16"/>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8">
    <w:name w:val="annotation subject"/>
    <w:basedOn w:val="a3"/>
    <w:next w:val="a3"/>
    <w:link w:val="Char3"/>
    <w:uiPriority w:val="99"/>
    <w:semiHidden/>
    <w:unhideWhenUsed/>
    <w:rPr>
      <w:b/>
      <w:bCs/>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Pr>
      <w:b/>
      <w:bCs/>
    </w:rPr>
  </w:style>
  <w:style w:type="character" w:styleId="ab">
    <w:name w:val="page number"/>
    <w:basedOn w:val="a0"/>
    <w:uiPriority w:val="99"/>
    <w:semiHidden/>
    <w:unhideWhenUsed/>
    <w:qFormat/>
  </w:style>
  <w:style w:type="character" w:styleId="ac">
    <w:name w:val="FollowedHyperlink"/>
    <w:basedOn w:val="a0"/>
    <w:qFormat/>
    <w:rPr>
      <w:color w:val="000099"/>
      <w:u w:val="none"/>
    </w:rPr>
  </w:style>
  <w:style w:type="character" w:styleId="ad">
    <w:name w:val="Emphasis"/>
    <w:basedOn w:val="a0"/>
    <w:uiPriority w:val="20"/>
    <w:qFormat/>
    <w:rPr>
      <w:i/>
      <w:iCs/>
    </w:rPr>
  </w:style>
  <w:style w:type="character" w:styleId="ae">
    <w:name w:val="line number"/>
    <w:basedOn w:val="a0"/>
    <w:uiPriority w:val="99"/>
    <w:semiHidden/>
    <w:unhideWhenUsed/>
    <w:qFormat/>
  </w:style>
  <w:style w:type="character" w:styleId="af">
    <w:name w:val="Hyperlink"/>
    <w:basedOn w:val="a0"/>
    <w:qFormat/>
    <w:rPr>
      <w:color w:val="000099"/>
      <w:u w:val="none"/>
    </w:rPr>
  </w:style>
  <w:style w:type="character" w:styleId="af0">
    <w:name w:val="annotation reference"/>
    <w:basedOn w:val="a0"/>
    <w:uiPriority w:val="99"/>
    <w:semiHidden/>
    <w:unhideWhenUsed/>
    <w:rPr>
      <w:rFonts w:ascii="Tahoma" w:hAnsi="Tahoma" w:cs="Tahoma"/>
      <w:sz w:val="16"/>
      <w:szCs w:val="16"/>
      <w:u w:val="none"/>
    </w:rPr>
  </w:style>
  <w:style w:type="character" w:customStyle="1" w:styleId="3Char">
    <w:name w:val="标题 3 Char"/>
    <w:basedOn w:val="a0"/>
    <w:link w:val="3"/>
    <w:uiPriority w:val="9"/>
    <w:qFormat/>
    <w:rPr>
      <w:rFonts w:ascii="宋体" w:eastAsia="宋体" w:hAnsi="宋体" w:cs="宋体"/>
      <w:b/>
      <w:bCs/>
      <w:kern w:val="0"/>
      <w:sz w:val="27"/>
      <w:szCs w:val="27"/>
    </w:rPr>
  </w:style>
  <w:style w:type="character" w:customStyle="1" w:styleId="Char0">
    <w:name w:val="批注框文本 Char"/>
    <w:basedOn w:val="a0"/>
    <w:link w:val="a4"/>
    <w:qFormat/>
    <w:rPr>
      <w:rFonts w:ascii="Tahoma" w:eastAsia="宋体" w:hAnsi="Tahoma" w:cs="Tahoma"/>
      <w:kern w:val="2"/>
      <w:sz w:val="16"/>
      <w:szCs w:val="18"/>
    </w:rPr>
  </w:style>
  <w:style w:type="character" w:customStyle="1" w:styleId="Char1">
    <w:name w:val="页脚 Char"/>
    <w:basedOn w:val="a0"/>
    <w:link w:val="a5"/>
    <w:qFormat/>
    <w:rPr>
      <w:rFonts w:ascii="Times New Roman" w:eastAsia="宋体" w:hAnsi="Times New Roman" w:cs="Times New Roman"/>
      <w:sz w:val="18"/>
      <w:szCs w:val="18"/>
    </w:rPr>
  </w:style>
  <w:style w:type="character" w:customStyle="1" w:styleId="Char2">
    <w:name w:val="页眉 Char"/>
    <w:basedOn w:val="a0"/>
    <w:link w:val="a6"/>
    <w:qFormat/>
    <w:rPr>
      <w:rFonts w:ascii="Times New Roman" w:eastAsia="宋体" w:hAnsi="Times New Roman" w:cs="Times New Roman"/>
      <w:sz w:val="18"/>
      <w:szCs w:val="18"/>
    </w:rPr>
  </w:style>
  <w:style w:type="character" w:customStyle="1" w:styleId="fontstyle01">
    <w:name w:val="fontstyle01"/>
    <w:basedOn w:val="a0"/>
    <w:qFormat/>
    <w:rPr>
      <w:rFonts w:ascii="TimesNewRoman" w:eastAsia="TimesNewRoman" w:hAnsi="TimesNewRoman" w:cs="TimesNewRoman"/>
      <w:color w:val="FFFFFF"/>
      <w:sz w:val="20"/>
      <w:szCs w:val="20"/>
    </w:rPr>
  </w:style>
  <w:style w:type="character" w:customStyle="1" w:styleId="fontstyle21">
    <w:name w:val="fontstyle21"/>
    <w:basedOn w:val="a0"/>
    <w:qFormat/>
    <w:rPr>
      <w:rFonts w:ascii="AdvOT3c2d9f11 + 20" w:eastAsia="AdvOT3c2d9f11 + 20" w:hAnsi="AdvOT3c2d9f11 + 20" w:cs="AdvOT3c2d9f11 + 20"/>
      <w:color w:val="000000"/>
      <w:sz w:val="14"/>
      <w:szCs w:val="14"/>
    </w:rPr>
  </w:style>
  <w:style w:type="character" w:customStyle="1" w:styleId="fontstyle31">
    <w:name w:val="fontstyle31"/>
    <w:basedOn w:val="a0"/>
    <w:qFormat/>
    <w:rPr>
      <w:rFonts w:ascii="E-BZ-PK748233-Identity-H" w:eastAsia="E-BZ-PK748233-Identity-H" w:hAnsi="E-BZ-PK748233-Identity-H" w:cs="E-BZ-PK748233-Identity-H"/>
      <w:color w:val="000000"/>
      <w:sz w:val="18"/>
      <w:szCs w:val="18"/>
    </w:rPr>
  </w:style>
  <w:style w:type="paragraph" w:customStyle="1" w:styleId="ordinary-output">
    <w:name w:val="ordinary-output"/>
    <w:basedOn w:val="a"/>
    <w:qFormat/>
    <w:pPr>
      <w:widowControl/>
      <w:spacing w:before="100" w:beforeAutospacing="1" w:after="100" w:afterAutospacing="1"/>
      <w:jc w:val="left"/>
    </w:pPr>
    <w:rPr>
      <w:rFonts w:ascii="宋体" w:hAnsi="宋体" w:cs="宋体"/>
      <w:kern w:val="0"/>
      <w:sz w:val="24"/>
    </w:rPr>
  </w:style>
  <w:style w:type="character" w:customStyle="1" w:styleId="Char">
    <w:name w:val="批注文字 Char"/>
    <w:basedOn w:val="a0"/>
    <w:link w:val="a3"/>
    <w:uiPriority w:val="99"/>
    <w:qFormat/>
    <w:rPr>
      <w:rFonts w:ascii="Tahoma" w:eastAsia="宋体" w:hAnsi="Tahoma" w:cs="Tahoma"/>
      <w:kern w:val="2"/>
      <w:sz w:val="16"/>
    </w:rPr>
  </w:style>
  <w:style w:type="character" w:customStyle="1" w:styleId="Char3">
    <w:name w:val="批注主题 Char"/>
    <w:basedOn w:val="Char"/>
    <w:link w:val="a8"/>
    <w:uiPriority w:val="99"/>
    <w:semiHidden/>
    <w:qFormat/>
    <w:rPr>
      <w:rFonts w:ascii="Tahoma" w:eastAsia="宋体" w:hAnsi="Tahoma" w:cs="Tahoma"/>
      <w:b/>
      <w:bCs/>
      <w:kern w:val="2"/>
      <w:sz w:val="16"/>
    </w:rPr>
  </w:style>
  <w:style w:type="character" w:customStyle="1" w:styleId="UnresolvedMention1">
    <w:name w:val="Unresolved Mention1"/>
    <w:basedOn w:val="a0"/>
    <w:uiPriority w:val="99"/>
    <w:qFormat/>
    <w:rPr>
      <w:color w:val="605E5C"/>
      <w:shd w:val="clear" w:color="auto" w:fill="E1DFDD"/>
    </w:rPr>
  </w:style>
  <w:style w:type="paragraph" w:customStyle="1" w:styleId="1">
    <w:name w:val="修订1"/>
    <w:hidden/>
    <w:uiPriority w:val="99"/>
    <w:semiHidden/>
    <w:qFormat/>
    <w:rPr>
      <w:kern w:val="2"/>
      <w:sz w:val="21"/>
      <w:szCs w:val="24"/>
    </w:rPr>
  </w:style>
  <w:style w:type="paragraph" w:customStyle="1" w:styleId="20">
    <w:name w:val="修订2"/>
    <w:hidden/>
    <w:uiPriority w:val="99"/>
    <w:semiHidden/>
    <w:qFormat/>
    <w:rPr>
      <w:kern w:val="2"/>
      <w:sz w:val="21"/>
      <w:szCs w:val="24"/>
    </w:rPr>
  </w:style>
  <w:style w:type="character" w:customStyle="1" w:styleId="10">
    <w:name w:val="未处理的提及1"/>
    <w:basedOn w:val="a0"/>
    <w:uiPriority w:val="99"/>
    <w:semiHidden/>
    <w:unhideWhenUsed/>
    <w:rsid w:val="00F93349"/>
    <w:rPr>
      <w:color w:val="605E5C"/>
      <w:shd w:val="clear" w:color="auto" w:fill="E1DFDD"/>
    </w:rPr>
  </w:style>
  <w:style w:type="character" w:customStyle="1" w:styleId="2Char">
    <w:name w:val="标题 2 Char"/>
    <w:basedOn w:val="a0"/>
    <w:link w:val="2"/>
    <w:uiPriority w:val="9"/>
    <w:semiHidden/>
    <w:rsid w:val="00F93349"/>
    <w:rPr>
      <w:rFonts w:asciiTheme="majorHAnsi" w:eastAsiaTheme="majorEastAsia" w:hAnsiTheme="majorHAnsi" w:cstheme="majorBidi"/>
      <w:b/>
      <w:bCs/>
      <w:kern w:val="2"/>
      <w:sz w:val="32"/>
      <w:szCs w:val="32"/>
    </w:rPr>
  </w:style>
  <w:style w:type="paragraph" w:styleId="af1">
    <w:name w:val="List Paragraph"/>
    <w:basedOn w:val="a"/>
    <w:uiPriority w:val="99"/>
    <w:rsid w:val="00F93349"/>
    <w:pPr>
      <w:ind w:firstLineChars="200" w:firstLine="420"/>
    </w:pPr>
  </w:style>
  <w:style w:type="paragraph" w:styleId="af2">
    <w:name w:val="Plain Text"/>
    <w:basedOn w:val="a"/>
    <w:link w:val="Char4"/>
    <w:semiHidden/>
    <w:unhideWhenUsed/>
    <w:rsid w:val="00AB5630"/>
    <w:rPr>
      <w:rFonts w:ascii="宋体" w:hAnsi="Courier New" w:cs="Courier New"/>
      <w:szCs w:val="21"/>
    </w:rPr>
  </w:style>
  <w:style w:type="character" w:customStyle="1" w:styleId="Char4">
    <w:name w:val="纯文本 Char"/>
    <w:basedOn w:val="a0"/>
    <w:link w:val="af2"/>
    <w:semiHidden/>
    <w:rsid w:val="00AB5630"/>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20402">
      <w:bodyDiv w:val="1"/>
      <w:marLeft w:val="0"/>
      <w:marRight w:val="0"/>
      <w:marTop w:val="0"/>
      <w:marBottom w:val="0"/>
      <w:divBdr>
        <w:top w:val="none" w:sz="0" w:space="0" w:color="auto"/>
        <w:left w:val="none" w:sz="0" w:space="0" w:color="auto"/>
        <w:bottom w:val="none" w:sz="0" w:space="0" w:color="auto"/>
        <w:right w:val="none" w:sz="0" w:space="0" w:color="auto"/>
      </w:divBdr>
    </w:div>
    <w:div w:id="110591072">
      <w:bodyDiv w:val="1"/>
      <w:marLeft w:val="0"/>
      <w:marRight w:val="0"/>
      <w:marTop w:val="0"/>
      <w:marBottom w:val="0"/>
      <w:divBdr>
        <w:top w:val="none" w:sz="0" w:space="0" w:color="auto"/>
        <w:left w:val="none" w:sz="0" w:space="0" w:color="auto"/>
        <w:bottom w:val="none" w:sz="0" w:space="0" w:color="auto"/>
        <w:right w:val="none" w:sz="0" w:space="0" w:color="auto"/>
      </w:divBdr>
    </w:div>
    <w:div w:id="703942435">
      <w:bodyDiv w:val="1"/>
      <w:marLeft w:val="0"/>
      <w:marRight w:val="0"/>
      <w:marTop w:val="0"/>
      <w:marBottom w:val="0"/>
      <w:divBdr>
        <w:top w:val="none" w:sz="0" w:space="0" w:color="auto"/>
        <w:left w:val="none" w:sz="0" w:space="0" w:color="auto"/>
        <w:bottom w:val="none" w:sz="0" w:space="0" w:color="auto"/>
        <w:right w:val="none" w:sz="0" w:space="0" w:color="auto"/>
      </w:divBdr>
    </w:div>
    <w:div w:id="1295410097">
      <w:bodyDiv w:val="1"/>
      <w:marLeft w:val="0"/>
      <w:marRight w:val="0"/>
      <w:marTop w:val="0"/>
      <w:marBottom w:val="0"/>
      <w:divBdr>
        <w:top w:val="none" w:sz="0" w:space="0" w:color="auto"/>
        <w:left w:val="none" w:sz="0" w:space="0" w:color="auto"/>
        <w:bottom w:val="none" w:sz="0" w:space="0" w:color="auto"/>
        <w:right w:val="none" w:sz="0" w:space="0" w:color="auto"/>
      </w:divBdr>
    </w:div>
    <w:div w:id="1701972798">
      <w:bodyDiv w:val="1"/>
      <w:marLeft w:val="0"/>
      <w:marRight w:val="0"/>
      <w:marTop w:val="0"/>
      <w:marBottom w:val="0"/>
      <w:divBdr>
        <w:top w:val="none" w:sz="0" w:space="0" w:color="auto"/>
        <w:left w:val="none" w:sz="0" w:space="0" w:color="auto"/>
        <w:bottom w:val="none" w:sz="0" w:space="0" w:color="auto"/>
        <w:right w:val="none" w:sz="0" w:space="0" w:color="auto"/>
      </w:divBdr>
    </w:div>
    <w:div w:id="1753773813">
      <w:bodyDiv w:val="1"/>
      <w:marLeft w:val="0"/>
      <w:marRight w:val="0"/>
      <w:marTop w:val="0"/>
      <w:marBottom w:val="0"/>
      <w:divBdr>
        <w:top w:val="none" w:sz="0" w:space="0" w:color="auto"/>
        <w:left w:val="none" w:sz="0" w:space="0" w:color="auto"/>
        <w:bottom w:val="none" w:sz="0" w:space="0" w:color="auto"/>
        <w:right w:val="none" w:sz="0" w:space="0" w:color="auto"/>
      </w:divBdr>
    </w:div>
    <w:div w:id="1888253515">
      <w:bodyDiv w:val="1"/>
      <w:marLeft w:val="0"/>
      <w:marRight w:val="0"/>
      <w:marTop w:val="0"/>
      <w:marBottom w:val="0"/>
      <w:divBdr>
        <w:top w:val="none" w:sz="0" w:space="0" w:color="auto"/>
        <w:left w:val="none" w:sz="0" w:space="0" w:color="auto"/>
        <w:bottom w:val="none" w:sz="0" w:space="0" w:color="auto"/>
        <w:right w:val="none" w:sz="0" w:space="0" w:color="auto"/>
      </w:divBdr>
    </w:div>
    <w:div w:id="2031485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doi.org/10.1016/S0168-8278(00)80263-9"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i.org/10.1007/BF00562509" TargetMode="External"/><Relationship Id="rId5" Type="http://schemas.microsoft.com/office/2007/relationships/stylesWithEffects" Target="stylesWithEffects.xml"/><Relationship Id="rId15" Type="http://schemas.openxmlformats.org/officeDocument/2006/relationships/chart" Target="charts/chart2.xml"/><Relationship Id="rId10" Type="http://schemas.openxmlformats.org/officeDocument/2006/relationships/hyperlink" Target="http://creativecommons.org/licenses/by-nc/4.0/"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istrator\Desktop\MUDUOJIA%20(&#33258;&#21160;&#20445;&#23384;&#30340;).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dministrator\Desktop\MUDUOJIA%20(&#33258;&#21160;&#20445;&#23384;&#3034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900" b="1" i="0" u="none" strike="noStrike" kern="1200" baseline="0">
                <a:solidFill>
                  <a:srgbClr val="333333"/>
                </a:solidFill>
                <a:latin typeface="Book Antiqua" panose="02040602050305030304" pitchFamily="18" charset="0"/>
                <a:ea typeface="Book Antiqua" panose="02040602050305030304"/>
                <a:cs typeface="Book Antiqua" panose="02040602050305030304"/>
              </a:defRPr>
            </a:pPr>
            <a:r>
              <a:rPr lang="en-US" altLang="zh-CN" sz="900" b="1" i="0" strike="noStrike">
                <a:solidFill>
                  <a:srgbClr val="333333"/>
                </a:solidFill>
                <a:latin typeface="Book Antiqua" panose="02040602050305030304" pitchFamily="18" charset="0"/>
              </a:rPr>
              <a:t>A Changing of liver fuction (ALT, TBIL)</a:t>
            </a:r>
            <a:endParaRPr lang="en-US" altLang="zh-CN" sz="900">
              <a:latin typeface="Book Antiqua" panose="02040602050305030304" pitchFamily="18" charset="0"/>
            </a:endParaRPr>
          </a:p>
        </c:rich>
      </c:tx>
      <c:layout>
        <c:manualLayout>
          <c:xMode val="edge"/>
          <c:yMode val="edge"/>
          <c:x val="0.294295298886456"/>
          <c:y val="3.4447174519000999E-2"/>
        </c:manualLayout>
      </c:layout>
      <c:overlay val="0"/>
      <c:spPr>
        <a:noFill/>
        <a:ln>
          <a:noFill/>
        </a:ln>
        <a:effectLst/>
      </c:spPr>
    </c:title>
    <c:autoTitleDeleted val="0"/>
    <c:plotArea>
      <c:layout>
        <c:manualLayout>
          <c:layoutTarget val="inner"/>
          <c:xMode val="edge"/>
          <c:yMode val="edge"/>
          <c:x val="0.13306613226452901"/>
          <c:y val="0.13430880940606099"/>
          <c:w val="0.70066806842030505"/>
          <c:h val="0.66844249896158703"/>
        </c:manualLayout>
      </c:layout>
      <c:lineChart>
        <c:grouping val="standard"/>
        <c:varyColors val="0"/>
        <c:ser>
          <c:idx val="0"/>
          <c:order val="0"/>
          <c:tx>
            <c:strRef>
              <c:f>工作表1!$A$17</c:f>
              <c:strCache>
                <c:ptCount val="1"/>
                <c:pt idx="0">
                  <c:v>ALT</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strRef>
              <c:f>工作表1!$B$16:$R$16</c:f>
              <c:strCache>
                <c:ptCount val="17"/>
                <c:pt idx="0">
                  <c:v>1</c:v>
                </c:pt>
                <c:pt idx="1">
                  <c:v>5</c:v>
                </c:pt>
                <c:pt idx="2">
                  <c:v>6</c:v>
                </c:pt>
                <c:pt idx="3">
                  <c:v>7</c:v>
                </c:pt>
                <c:pt idx="4">
                  <c:v>8</c:v>
                </c:pt>
                <c:pt idx="5">
                  <c:v>11</c:v>
                </c:pt>
                <c:pt idx="6">
                  <c:v>12</c:v>
                </c:pt>
                <c:pt idx="7">
                  <c:v>15</c:v>
                </c:pt>
                <c:pt idx="8">
                  <c:v>17</c:v>
                </c:pt>
                <c:pt idx="9">
                  <c:v>20</c:v>
                </c:pt>
                <c:pt idx="10">
                  <c:v>21</c:v>
                </c:pt>
                <c:pt idx="11">
                  <c:v>22</c:v>
                </c:pt>
                <c:pt idx="12">
                  <c:v>23</c:v>
                </c:pt>
                <c:pt idx="13">
                  <c:v>24</c:v>
                </c:pt>
                <c:pt idx="14">
                  <c:v>25</c:v>
                </c:pt>
                <c:pt idx="16">
                  <c:v>25 days After OLT</c:v>
                </c:pt>
              </c:strCache>
            </c:strRef>
          </c:cat>
          <c:val>
            <c:numRef>
              <c:f>工作表1!$B$17:$R$17</c:f>
              <c:numCache>
                <c:formatCode>General</c:formatCode>
                <c:ptCount val="17"/>
                <c:pt idx="0">
                  <c:v>399.7</c:v>
                </c:pt>
                <c:pt idx="1">
                  <c:v>196.4</c:v>
                </c:pt>
                <c:pt idx="2">
                  <c:v>104.9</c:v>
                </c:pt>
                <c:pt idx="3">
                  <c:v>104.2</c:v>
                </c:pt>
                <c:pt idx="4">
                  <c:v>76</c:v>
                </c:pt>
                <c:pt idx="5">
                  <c:v>57.2</c:v>
                </c:pt>
                <c:pt idx="6">
                  <c:v>55.5</c:v>
                </c:pt>
                <c:pt idx="7">
                  <c:v>47.9</c:v>
                </c:pt>
                <c:pt idx="8">
                  <c:v>49.2</c:v>
                </c:pt>
                <c:pt idx="9">
                  <c:v>37.200000000000003</c:v>
                </c:pt>
                <c:pt idx="10">
                  <c:v>44.5</c:v>
                </c:pt>
                <c:pt idx="11">
                  <c:v>54.2</c:v>
                </c:pt>
                <c:pt idx="12">
                  <c:v>58.2</c:v>
                </c:pt>
                <c:pt idx="13">
                  <c:v>39.200000000000003</c:v>
                </c:pt>
                <c:pt idx="14">
                  <c:v>43.9</c:v>
                </c:pt>
                <c:pt idx="16">
                  <c:v>72.2</c:v>
                </c:pt>
              </c:numCache>
            </c:numRef>
          </c:val>
          <c:smooth val="0"/>
          <c:extLst xmlns:c16r2="http://schemas.microsoft.com/office/drawing/2015/06/chart">
            <c:ext xmlns:c16="http://schemas.microsoft.com/office/drawing/2014/chart" uri="{C3380CC4-5D6E-409C-BE32-E72D297353CC}">
              <c16:uniqueId val="{00000000-646C-4D7E-A4E9-23AF07A71C47}"/>
            </c:ext>
          </c:extLst>
        </c:ser>
        <c:dLbls>
          <c:showLegendKey val="0"/>
          <c:showVal val="0"/>
          <c:showCatName val="0"/>
          <c:showSerName val="0"/>
          <c:showPercent val="0"/>
          <c:showBubbleSize val="0"/>
        </c:dLbls>
        <c:marker val="1"/>
        <c:smooth val="0"/>
        <c:axId val="143604736"/>
        <c:axId val="143615488"/>
      </c:lineChart>
      <c:lineChart>
        <c:grouping val="standard"/>
        <c:varyColors val="0"/>
        <c:ser>
          <c:idx val="1"/>
          <c:order val="1"/>
          <c:tx>
            <c:strRef>
              <c:f>工作表1!$A$18</c:f>
              <c:strCache>
                <c:ptCount val="1"/>
                <c:pt idx="0">
                  <c:v>TBIL</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strRef>
              <c:f>工作表1!$B$16:$R$16</c:f>
              <c:strCache>
                <c:ptCount val="17"/>
                <c:pt idx="0">
                  <c:v>1</c:v>
                </c:pt>
                <c:pt idx="1">
                  <c:v>5</c:v>
                </c:pt>
                <c:pt idx="2">
                  <c:v>6</c:v>
                </c:pt>
                <c:pt idx="3">
                  <c:v>7</c:v>
                </c:pt>
                <c:pt idx="4">
                  <c:v>8</c:v>
                </c:pt>
                <c:pt idx="5">
                  <c:v>11</c:v>
                </c:pt>
                <c:pt idx="6">
                  <c:v>12</c:v>
                </c:pt>
                <c:pt idx="7">
                  <c:v>15</c:v>
                </c:pt>
                <c:pt idx="8">
                  <c:v>17</c:v>
                </c:pt>
                <c:pt idx="9">
                  <c:v>20</c:v>
                </c:pt>
                <c:pt idx="10">
                  <c:v>21</c:v>
                </c:pt>
                <c:pt idx="11">
                  <c:v>22</c:v>
                </c:pt>
                <c:pt idx="12">
                  <c:v>23</c:v>
                </c:pt>
                <c:pt idx="13">
                  <c:v>24</c:v>
                </c:pt>
                <c:pt idx="14">
                  <c:v>25</c:v>
                </c:pt>
                <c:pt idx="16">
                  <c:v>25 days After OLT</c:v>
                </c:pt>
              </c:strCache>
            </c:strRef>
          </c:cat>
          <c:val>
            <c:numRef>
              <c:f>工作表1!$B$18:$R$18</c:f>
              <c:numCache>
                <c:formatCode>General</c:formatCode>
                <c:ptCount val="17"/>
                <c:pt idx="0">
                  <c:v>622.4</c:v>
                </c:pt>
                <c:pt idx="1">
                  <c:v>746.4</c:v>
                </c:pt>
                <c:pt idx="2">
                  <c:v>587.29999999999995</c:v>
                </c:pt>
                <c:pt idx="3">
                  <c:v>529.1</c:v>
                </c:pt>
                <c:pt idx="4">
                  <c:v>349.5</c:v>
                </c:pt>
                <c:pt idx="5">
                  <c:v>277.2</c:v>
                </c:pt>
                <c:pt idx="6">
                  <c:v>307.7</c:v>
                </c:pt>
                <c:pt idx="7">
                  <c:v>431.9</c:v>
                </c:pt>
                <c:pt idx="8">
                  <c:v>649.70000000000005</c:v>
                </c:pt>
                <c:pt idx="9">
                  <c:v>478.7</c:v>
                </c:pt>
                <c:pt idx="10">
                  <c:v>498.6</c:v>
                </c:pt>
                <c:pt idx="11">
                  <c:v>572.5</c:v>
                </c:pt>
                <c:pt idx="12">
                  <c:v>623.9</c:v>
                </c:pt>
                <c:pt idx="13">
                  <c:v>622.29999999999995</c:v>
                </c:pt>
                <c:pt idx="14">
                  <c:v>695.5</c:v>
                </c:pt>
                <c:pt idx="16">
                  <c:v>25.9</c:v>
                </c:pt>
              </c:numCache>
            </c:numRef>
          </c:val>
          <c:smooth val="0"/>
          <c:extLst xmlns:c16r2="http://schemas.microsoft.com/office/drawing/2015/06/chart">
            <c:ext xmlns:c16="http://schemas.microsoft.com/office/drawing/2014/chart" uri="{C3380CC4-5D6E-409C-BE32-E72D297353CC}">
              <c16:uniqueId val="{00000001-646C-4D7E-A4E9-23AF07A71C47}"/>
            </c:ext>
          </c:extLst>
        </c:ser>
        <c:dLbls>
          <c:showLegendKey val="0"/>
          <c:showVal val="0"/>
          <c:showCatName val="0"/>
          <c:showSerName val="0"/>
          <c:showPercent val="0"/>
          <c:showBubbleSize val="0"/>
        </c:dLbls>
        <c:marker val="1"/>
        <c:smooth val="0"/>
        <c:axId val="143617408"/>
        <c:axId val="143619200"/>
      </c:lineChart>
      <c:catAx>
        <c:axId val="143604736"/>
        <c:scaling>
          <c:orientation val="minMax"/>
        </c:scaling>
        <c:delete val="0"/>
        <c:axPos val="b"/>
        <c:title>
          <c:tx>
            <c:rich>
              <a:bodyPr rot="0" spcFirstLastPara="0" vertOverflow="ellipsis" vert="horz" wrap="square" anchor="ctr" anchorCtr="1"/>
              <a:lstStyle/>
              <a:p>
                <a:pPr>
                  <a:defRPr lang="zh-CN" sz="800" b="1" i="0" u="none" strike="noStrike" kern="1200" baseline="0">
                    <a:solidFill>
                      <a:srgbClr val="333333"/>
                    </a:solidFill>
                    <a:latin typeface="Book Antiqua" panose="02040602050305030304"/>
                    <a:ea typeface="Book Antiqua" panose="02040602050305030304"/>
                    <a:cs typeface="Book Antiqua" panose="02040602050305030304"/>
                  </a:defRPr>
                </a:pPr>
                <a:r>
                  <a:rPr lang="en-US" altLang="zh-CN" sz="800" b="1" i="0" strike="noStrike">
                    <a:solidFill>
                      <a:srgbClr val="333333"/>
                    </a:solidFill>
                    <a:latin typeface="Book Antiqua" panose="02040602050305030304"/>
                  </a:rPr>
                  <a:t>Days after admission</a:t>
                </a:r>
                <a:endParaRPr lang="en-US" altLang="zh-CN" sz="800"/>
              </a:p>
            </c:rich>
          </c:tx>
          <c:layout>
            <c:manualLayout>
              <c:xMode val="edge"/>
              <c:yMode val="edge"/>
              <c:x val="0.38456431999254598"/>
              <c:y val="0.88223559487772296"/>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zh-CN" sz="700" b="1" i="0" u="none" strike="noStrike" kern="1200" baseline="0">
                <a:solidFill>
                  <a:srgbClr val="333333"/>
                </a:solidFill>
                <a:latin typeface="Book Antiqua" panose="02040602050305030304"/>
                <a:ea typeface="Book Antiqua" panose="02040602050305030304"/>
                <a:cs typeface="Book Antiqua" panose="02040602050305030304"/>
              </a:defRPr>
            </a:pPr>
            <a:endParaRPr lang="zh-CN"/>
          </a:p>
        </c:txPr>
        <c:crossAx val="143615488"/>
        <c:crosses val="autoZero"/>
        <c:auto val="1"/>
        <c:lblAlgn val="ctr"/>
        <c:lblOffset val="100"/>
        <c:noMultiLvlLbl val="0"/>
      </c:catAx>
      <c:valAx>
        <c:axId val="14361548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zh-CN" sz="900" b="1" i="0" u="none" strike="noStrike" kern="1200" baseline="0">
                    <a:solidFill>
                      <a:srgbClr val="333333"/>
                    </a:solidFill>
                    <a:latin typeface="Book Antiqua" panose="02040602050305030304"/>
                    <a:ea typeface="Book Antiqua" panose="02040602050305030304"/>
                    <a:cs typeface="Book Antiqua" panose="02040602050305030304"/>
                  </a:defRPr>
                </a:pPr>
                <a:r>
                  <a:rPr lang="en-US" altLang="en-US"/>
                  <a:t>ALT (U/L)</a:t>
                </a:r>
              </a:p>
            </c:rich>
          </c:tx>
          <c:layout>
            <c:manualLayout>
              <c:xMode val="edge"/>
              <c:yMode val="edge"/>
              <c:x val="2.4872944136420799E-2"/>
              <c:y val="0.3456586211483170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zh-CN" sz="900" b="1" i="0" u="none" strike="noStrike" kern="1200" baseline="0">
                <a:solidFill>
                  <a:srgbClr val="333333"/>
                </a:solidFill>
                <a:latin typeface="Book Antiqua" panose="02040602050305030304" pitchFamily="1" charset="0"/>
                <a:ea typeface="宋体" panose="02010600030101010101" charset="-122"/>
                <a:cs typeface="宋体" panose="02010600030101010101" charset="-122"/>
              </a:defRPr>
            </a:pPr>
            <a:endParaRPr lang="zh-CN"/>
          </a:p>
        </c:txPr>
        <c:crossAx val="143604736"/>
        <c:crosses val="autoZero"/>
        <c:crossBetween val="between"/>
      </c:valAx>
      <c:catAx>
        <c:axId val="143617408"/>
        <c:scaling>
          <c:orientation val="minMax"/>
        </c:scaling>
        <c:delete val="1"/>
        <c:axPos val="b"/>
        <c:numFmt formatCode="General" sourceLinked="1"/>
        <c:majorTickMark val="out"/>
        <c:minorTickMark val="none"/>
        <c:tickLblPos val="nextTo"/>
        <c:crossAx val="143619200"/>
        <c:crosses val="autoZero"/>
        <c:auto val="1"/>
        <c:lblAlgn val="ctr"/>
        <c:lblOffset val="100"/>
        <c:noMultiLvlLbl val="0"/>
      </c:catAx>
      <c:valAx>
        <c:axId val="143619200"/>
        <c:scaling>
          <c:orientation val="minMax"/>
        </c:scaling>
        <c:delete val="0"/>
        <c:axPos val="r"/>
        <c:title>
          <c:tx>
            <c:rich>
              <a:bodyPr rot="-5400000" spcFirstLastPara="0" vertOverflow="ellipsis" vert="horz" wrap="square" anchor="ctr" anchorCtr="1"/>
              <a:lstStyle/>
              <a:p>
                <a:pPr>
                  <a:defRPr lang="zh-CN" sz="900" b="1" i="0" u="none" strike="noStrike" kern="1200" baseline="0">
                    <a:solidFill>
                      <a:srgbClr val="333333"/>
                    </a:solidFill>
                    <a:latin typeface="Book Antiqua" panose="02040602050305030304"/>
                    <a:ea typeface="Book Antiqua" panose="02040602050305030304"/>
                    <a:cs typeface="Book Antiqua" panose="02040602050305030304"/>
                  </a:defRPr>
                </a:pPr>
                <a:r>
                  <a:rPr lang="en-US" altLang="zh-CN" sz="900" b="1" i="0" strike="noStrike">
                    <a:solidFill>
                      <a:srgbClr val="333333"/>
                    </a:solidFill>
                    <a:latin typeface="Book Antiqua" panose="02040602050305030304"/>
                  </a:rPr>
                  <a:t>Total bilirubin (umol/L)</a:t>
                </a:r>
                <a:endParaRPr lang="en-US" altLang="zh-CN"/>
              </a:p>
            </c:rich>
          </c:tx>
          <c:layout>
            <c:manualLayout>
              <c:xMode val="edge"/>
              <c:yMode val="edge"/>
              <c:x val="0.91017360108093004"/>
              <c:y val="0.25561215466221499"/>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zh-CN" sz="900" b="1"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143617408"/>
        <c:crosses val="max"/>
        <c:crossBetween val="between"/>
      </c:valAx>
      <c:spPr>
        <a:noFill/>
        <a:ln>
          <a:noFill/>
        </a:ln>
        <a:effectLst/>
      </c:spPr>
    </c:plotArea>
    <c:legend>
      <c:legendPos val="r"/>
      <c:legendEntry>
        <c:idx val="0"/>
        <c:txPr>
          <a:bodyPr rot="0" spcFirstLastPara="0" vertOverflow="ellipsis" vert="horz" wrap="square" anchor="ctr" anchorCtr="1"/>
          <a:lstStyle/>
          <a:p>
            <a:pPr>
              <a:defRPr lang="zh-CN" sz="600" b="1" i="0" u="none" strike="noStrike" kern="1200" baseline="0">
                <a:solidFill>
                  <a:srgbClr val="333333"/>
                </a:solidFill>
                <a:latin typeface="Book Antiqua" panose="02040602050305030304"/>
                <a:ea typeface="Book Antiqua" panose="02040602050305030304"/>
                <a:cs typeface="Book Antiqua" panose="02040602050305030304"/>
              </a:defRPr>
            </a:pPr>
            <a:endParaRPr lang="zh-CN"/>
          </a:p>
        </c:txPr>
      </c:legendEntry>
      <c:legendEntry>
        <c:idx val="1"/>
        <c:txPr>
          <a:bodyPr rot="0" spcFirstLastPara="0" vertOverflow="ellipsis" vert="horz" wrap="square" anchor="ctr" anchorCtr="1"/>
          <a:lstStyle/>
          <a:p>
            <a:pPr>
              <a:defRPr lang="zh-CN" sz="600" b="1" i="0" u="none" strike="noStrike" kern="1200" baseline="0">
                <a:solidFill>
                  <a:srgbClr val="333333"/>
                </a:solidFill>
                <a:latin typeface="Book Antiqua" panose="02040602050305030304"/>
                <a:ea typeface="Book Antiqua" panose="02040602050305030304"/>
                <a:cs typeface="Book Antiqua" panose="02040602050305030304"/>
              </a:defRPr>
            </a:pPr>
            <a:endParaRPr lang="zh-CN"/>
          </a:p>
        </c:txPr>
      </c:legendEntry>
      <c:layout>
        <c:manualLayout>
          <c:xMode val="edge"/>
          <c:yMode val="edge"/>
          <c:x val="0.87486073708242096"/>
          <c:y val="3.69618314139172E-2"/>
          <c:w val="0.123282026315847"/>
          <c:h val="7.9330328396651703E-2"/>
        </c:manualLayout>
      </c:layout>
      <c:overlay val="0"/>
      <c:spPr>
        <a:noFill/>
        <a:ln>
          <a:noFill/>
        </a:ln>
        <a:effectLst/>
      </c:spPr>
      <c:txPr>
        <a:bodyPr rot="0" spcFirstLastPara="0" vertOverflow="ellipsis" vert="horz" wrap="square" anchor="ctr" anchorCtr="1"/>
        <a:lstStyle/>
        <a:p>
          <a:pPr>
            <a:defRPr lang="zh-CN" sz="600" b="1" i="0" u="none" strike="noStrike" kern="1200" baseline="0">
              <a:solidFill>
                <a:srgbClr val="333333"/>
              </a:solidFill>
              <a:latin typeface="Book Antiqua" panose="02040602050305030304"/>
              <a:ea typeface="Book Antiqua" panose="02040602050305030304"/>
              <a:cs typeface="Book Antiqua" panose="02040602050305030304"/>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900" b="1" i="0" u="none" strike="noStrike" kern="1200" baseline="0">
                <a:solidFill>
                  <a:srgbClr val="333333"/>
                </a:solidFill>
                <a:latin typeface="Book Antiqua" panose="02040602050305030304"/>
                <a:ea typeface="Book Antiqua" panose="02040602050305030304"/>
                <a:cs typeface="Book Antiqua" panose="02040602050305030304"/>
              </a:defRPr>
            </a:pPr>
            <a:r>
              <a:rPr lang="en-US" altLang="zh-CN" sz="900" b="1" i="0" strike="noStrike">
                <a:solidFill>
                  <a:srgbClr val="333333"/>
                </a:solidFill>
                <a:latin typeface="Book Antiqua" panose="02040602050305030304"/>
              </a:rPr>
              <a:t>B Changing of coagulation function</a:t>
            </a:r>
            <a:endParaRPr lang="en-US" altLang="zh-CN" sz="900"/>
          </a:p>
        </c:rich>
      </c:tx>
      <c:layout>
        <c:manualLayout>
          <c:xMode val="edge"/>
          <c:yMode val="edge"/>
          <c:x val="0.300381124234471"/>
          <c:y val="3.0971028944146401E-2"/>
        </c:manualLayout>
      </c:layout>
      <c:overlay val="0"/>
      <c:spPr>
        <a:noFill/>
        <a:ln>
          <a:noFill/>
        </a:ln>
        <a:effectLst/>
      </c:spPr>
    </c:title>
    <c:autoTitleDeleted val="0"/>
    <c:plotArea>
      <c:layout>
        <c:manualLayout>
          <c:layoutTarget val="inner"/>
          <c:xMode val="edge"/>
          <c:yMode val="edge"/>
          <c:x val="0.11533573928259"/>
          <c:y val="0.121720293791831"/>
          <c:w val="0.70924741178186101"/>
          <c:h val="0.69633567495728099"/>
        </c:manualLayout>
      </c:layout>
      <c:lineChart>
        <c:grouping val="standard"/>
        <c:varyColors val="0"/>
        <c:ser>
          <c:idx val="0"/>
          <c:order val="0"/>
          <c:tx>
            <c:strRef>
              <c:f>工作表1!$A$23</c:f>
              <c:strCache>
                <c:ptCount val="1"/>
                <c:pt idx="0">
                  <c:v>PTA</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strRef>
              <c:f>工作表1!$B$22:$R$22</c:f>
              <c:strCache>
                <c:ptCount val="17"/>
                <c:pt idx="0">
                  <c:v>1</c:v>
                </c:pt>
                <c:pt idx="1">
                  <c:v>5</c:v>
                </c:pt>
                <c:pt idx="2">
                  <c:v>6</c:v>
                </c:pt>
                <c:pt idx="3">
                  <c:v>7</c:v>
                </c:pt>
                <c:pt idx="4">
                  <c:v>8</c:v>
                </c:pt>
                <c:pt idx="5">
                  <c:v>11</c:v>
                </c:pt>
                <c:pt idx="6">
                  <c:v>12</c:v>
                </c:pt>
                <c:pt idx="7">
                  <c:v>15</c:v>
                </c:pt>
                <c:pt idx="8">
                  <c:v>17</c:v>
                </c:pt>
                <c:pt idx="9">
                  <c:v>20</c:v>
                </c:pt>
                <c:pt idx="10">
                  <c:v>21</c:v>
                </c:pt>
                <c:pt idx="11">
                  <c:v>22</c:v>
                </c:pt>
                <c:pt idx="12">
                  <c:v>23</c:v>
                </c:pt>
                <c:pt idx="13">
                  <c:v>24</c:v>
                </c:pt>
                <c:pt idx="14">
                  <c:v>25</c:v>
                </c:pt>
                <c:pt idx="16">
                  <c:v>25 days After OLT</c:v>
                </c:pt>
              </c:strCache>
            </c:strRef>
          </c:cat>
          <c:val>
            <c:numRef>
              <c:f>工作表1!$B$23:$R$23</c:f>
              <c:numCache>
                <c:formatCode>General</c:formatCode>
                <c:ptCount val="17"/>
                <c:pt idx="0">
                  <c:v>25</c:v>
                </c:pt>
                <c:pt idx="1">
                  <c:v>30</c:v>
                </c:pt>
                <c:pt idx="2">
                  <c:v>44</c:v>
                </c:pt>
                <c:pt idx="3">
                  <c:v>40</c:v>
                </c:pt>
                <c:pt idx="4">
                  <c:v>44</c:v>
                </c:pt>
                <c:pt idx="5">
                  <c:v>62</c:v>
                </c:pt>
                <c:pt idx="6">
                  <c:v>51</c:v>
                </c:pt>
                <c:pt idx="7">
                  <c:v>45</c:v>
                </c:pt>
                <c:pt idx="8">
                  <c:v>45</c:v>
                </c:pt>
                <c:pt idx="9">
                  <c:v>52</c:v>
                </c:pt>
                <c:pt idx="10">
                  <c:v>39</c:v>
                </c:pt>
                <c:pt idx="11">
                  <c:v>41</c:v>
                </c:pt>
                <c:pt idx="12">
                  <c:v>45</c:v>
                </c:pt>
                <c:pt idx="13">
                  <c:v>54</c:v>
                </c:pt>
                <c:pt idx="14">
                  <c:v>50</c:v>
                </c:pt>
                <c:pt idx="16">
                  <c:v>85</c:v>
                </c:pt>
              </c:numCache>
            </c:numRef>
          </c:val>
          <c:smooth val="0"/>
          <c:extLst xmlns:c16r2="http://schemas.microsoft.com/office/drawing/2015/06/chart">
            <c:ext xmlns:c16="http://schemas.microsoft.com/office/drawing/2014/chart" uri="{C3380CC4-5D6E-409C-BE32-E72D297353CC}">
              <c16:uniqueId val="{00000000-4217-48BC-BBC6-26AAD1DFF80E}"/>
            </c:ext>
          </c:extLst>
        </c:ser>
        <c:dLbls>
          <c:showLegendKey val="0"/>
          <c:showVal val="0"/>
          <c:showCatName val="0"/>
          <c:showSerName val="0"/>
          <c:showPercent val="0"/>
          <c:showBubbleSize val="0"/>
        </c:dLbls>
        <c:marker val="1"/>
        <c:smooth val="0"/>
        <c:axId val="142583296"/>
        <c:axId val="142585856"/>
      </c:lineChart>
      <c:lineChart>
        <c:grouping val="standard"/>
        <c:varyColors val="0"/>
        <c:ser>
          <c:idx val="1"/>
          <c:order val="1"/>
          <c:tx>
            <c:strRef>
              <c:f>工作表1!$A$24</c:f>
              <c:strCache>
                <c:ptCount val="1"/>
                <c:pt idx="0">
                  <c:v>PT</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strRef>
              <c:f>工作表1!$B$22:$R$22</c:f>
              <c:strCache>
                <c:ptCount val="17"/>
                <c:pt idx="0">
                  <c:v>1</c:v>
                </c:pt>
                <c:pt idx="1">
                  <c:v>5</c:v>
                </c:pt>
                <c:pt idx="2">
                  <c:v>6</c:v>
                </c:pt>
                <c:pt idx="3">
                  <c:v>7</c:v>
                </c:pt>
                <c:pt idx="4">
                  <c:v>8</c:v>
                </c:pt>
                <c:pt idx="5">
                  <c:v>11</c:v>
                </c:pt>
                <c:pt idx="6">
                  <c:v>12</c:v>
                </c:pt>
                <c:pt idx="7">
                  <c:v>15</c:v>
                </c:pt>
                <c:pt idx="8">
                  <c:v>17</c:v>
                </c:pt>
                <c:pt idx="9">
                  <c:v>20</c:v>
                </c:pt>
                <c:pt idx="10">
                  <c:v>21</c:v>
                </c:pt>
                <c:pt idx="11">
                  <c:v>22</c:v>
                </c:pt>
                <c:pt idx="12">
                  <c:v>23</c:v>
                </c:pt>
                <c:pt idx="13">
                  <c:v>24</c:v>
                </c:pt>
                <c:pt idx="14">
                  <c:v>25</c:v>
                </c:pt>
                <c:pt idx="16">
                  <c:v>25 days After OLT</c:v>
                </c:pt>
              </c:strCache>
            </c:strRef>
          </c:cat>
          <c:val>
            <c:numRef>
              <c:f>工作表1!$B$24:$R$24</c:f>
              <c:numCache>
                <c:formatCode>General</c:formatCode>
                <c:ptCount val="17"/>
                <c:pt idx="0">
                  <c:v>33.5</c:v>
                </c:pt>
                <c:pt idx="1">
                  <c:v>29.4</c:v>
                </c:pt>
                <c:pt idx="2">
                  <c:v>21.3</c:v>
                </c:pt>
                <c:pt idx="3">
                  <c:v>22.8</c:v>
                </c:pt>
                <c:pt idx="4">
                  <c:v>20.5</c:v>
                </c:pt>
                <c:pt idx="5">
                  <c:v>16.2</c:v>
                </c:pt>
                <c:pt idx="6">
                  <c:v>18.399999999999999</c:v>
                </c:pt>
                <c:pt idx="7">
                  <c:v>20.7</c:v>
                </c:pt>
                <c:pt idx="8">
                  <c:v>20.8</c:v>
                </c:pt>
                <c:pt idx="9">
                  <c:v>18</c:v>
                </c:pt>
                <c:pt idx="10">
                  <c:v>22.4</c:v>
                </c:pt>
                <c:pt idx="11">
                  <c:v>22.6</c:v>
                </c:pt>
                <c:pt idx="12">
                  <c:v>20.100000000000001</c:v>
                </c:pt>
                <c:pt idx="13">
                  <c:v>18</c:v>
                </c:pt>
                <c:pt idx="14">
                  <c:v>19.100000000000001</c:v>
                </c:pt>
                <c:pt idx="16">
                  <c:v>12.4</c:v>
                </c:pt>
              </c:numCache>
            </c:numRef>
          </c:val>
          <c:smooth val="0"/>
          <c:extLst xmlns:c16r2="http://schemas.microsoft.com/office/drawing/2015/06/chart">
            <c:ext xmlns:c16="http://schemas.microsoft.com/office/drawing/2014/chart" uri="{C3380CC4-5D6E-409C-BE32-E72D297353CC}">
              <c16:uniqueId val="{00000001-4217-48BC-BBC6-26AAD1DFF80E}"/>
            </c:ext>
          </c:extLst>
        </c:ser>
        <c:dLbls>
          <c:showLegendKey val="0"/>
          <c:showVal val="0"/>
          <c:showCatName val="0"/>
          <c:showSerName val="0"/>
          <c:showPercent val="0"/>
          <c:showBubbleSize val="0"/>
        </c:dLbls>
        <c:marker val="1"/>
        <c:smooth val="0"/>
        <c:axId val="142587776"/>
        <c:axId val="142589312"/>
      </c:lineChart>
      <c:catAx>
        <c:axId val="142583296"/>
        <c:scaling>
          <c:orientation val="minMax"/>
        </c:scaling>
        <c:delete val="0"/>
        <c:axPos val="b"/>
        <c:title>
          <c:tx>
            <c:rich>
              <a:bodyPr rot="0" spcFirstLastPara="0" vertOverflow="ellipsis" vert="horz" wrap="square" anchor="ctr" anchorCtr="1"/>
              <a:lstStyle/>
              <a:p>
                <a:pPr>
                  <a:defRPr lang="zh-CN" sz="800" b="1" i="0" u="none" strike="noStrike" kern="1200" baseline="0">
                    <a:solidFill>
                      <a:srgbClr val="333333"/>
                    </a:solidFill>
                    <a:latin typeface="Book Antiqua" panose="02040602050305030304"/>
                    <a:ea typeface="Book Antiqua" panose="02040602050305030304"/>
                    <a:cs typeface="Book Antiqua" panose="02040602050305030304"/>
                  </a:defRPr>
                </a:pPr>
                <a:r>
                  <a:rPr lang="en-US" altLang="zh-CN" sz="800" b="1" i="0" strike="noStrike">
                    <a:solidFill>
                      <a:srgbClr val="333333"/>
                    </a:solidFill>
                    <a:latin typeface="Book Antiqua" panose="02040602050305030304"/>
                  </a:rPr>
                  <a:t>Days after admission</a:t>
                </a:r>
                <a:endParaRPr lang="en-US" altLang="zh-CN" sz="800"/>
              </a:p>
            </c:rich>
          </c:tx>
          <c:layout>
            <c:manualLayout>
              <c:xMode val="edge"/>
              <c:yMode val="edge"/>
              <c:x val="0.36795895304753601"/>
              <c:y val="0.91040575025900405"/>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zh-CN" sz="700" b="1" i="0" u="none" strike="noStrike" kern="1200" baseline="0">
                <a:solidFill>
                  <a:srgbClr val="333333"/>
                </a:solidFill>
                <a:latin typeface="Book Antiqua" panose="02040602050305030304"/>
                <a:ea typeface="Book Antiqua" panose="02040602050305030304"/>
                <a:cs typeface="Book Antiqua" panose="02040602050305030304"/>
              </a:defRPr>
            </a:pPr>
            <a:endParaRPr lang="zh-CN"/>
          </a:p>
        </c:txPr>
        <c:crossAx val="142585856"/>
        <c:crosses val="autoZero"/>
        <c:auto val="0"/>
        <c:lblAlgn val="ctr"/>
        <c:lblOffset val="100"/>
        <c:noMultiLvlLbl val="0"/>
      </c:catAx>
      <c:valAx>
        <c:axId val="14258585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zh-CN" sz="900" b="1" i="0" u="none" strike="noStrike" kern="1200" baseline="0">
                    <a:solidFill>
                      <a:srgbClr val="333333"/>
                    </a:solidFill>
                    <a:latin typeface="Book Antiqua" panose="02040602050305030304"/>
                    <a:ea typeface="Book Antiqua" panose="02040602050305030304"/>
                    <a:cs typeface="Book Antiqua" panose="02040602050305030304"/>
                  </a:defRPr>
                </a:pPr>
                <a:r>
                  <a:rPr lang="en-US" altLang="en-US" sz="900"/>
                  <a:t>PTA (%)</a:t>
                </a:r>
              </a:p>
            </c:rich>
          </c:tx>
          <c:layout>
            <c:manualLayout>
              <c:xMode val="edge"/>
              <c:yMode val="edge"/>
              <c:x val="2.6710228929717101E-2"/>
              <c:y val="0.37551356014046799"/>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zh-CN" sz="900" b="1" i="0" u="none" strike="noStrike" kern="1200" baseline="0">
                <a:solidFill>
                  <a:srgbClr val="333333"/>
                </a:solidFill>
                <a:latin typeface="Book Antiqua" panose="02040602050305030304"/>
                <a:ea typeface="Book Antiqua" panose="02040602050305030304"/>
                <a:cs typeface="Book Antiqua" panose="02040602050305030304"/>
              </a:defRPr>
            </a:pPr>
            <a:endParaRPr lang="zh-CN"/>
          </a:p>
        </c:txPr>
        <c:crossAx val="142583296"/>
        <c:crosses val="autoZero"/>
        <c:crossBetween val="between"/>
      </c:valAx>
      <c:catAx>
        <c:axId val="142587776"/>
        <c:scaling>
          <c:orientation val="minMax"/>
        </c:scaling>
        <c:delete val="1"/>
        <c:axPos val="b"/>
        <c:numFmt formatCode="General" sourceLinked="1"/>
        <c:majorTickMark val="out"/>
        <c:minorTickMark val="none"/>
        <c:tickLblPos val="nextTo"/>
        <c:crossAx val="142589312"/>
        <c:crosses val="autoZero"/>
        <c:auto val="1"/>
        <c:lblAlgn val="ctr"/>
        <c:lblOffset val="100"/>
        <c:noMultiLvlLbl val="0"/>
      </c:catAx>
      <c:valAx>
        <c:axId val="142589312"/>
        <c:scaling>
          <c:orientation val="minMax"/>
          <c:max val="80"/>
        </c:scaling>
        <c:delete val="0"/>
        <c:axPos val="r"/>
        <c:title>
          <c:tx>
            <c:rich>
              <a:bodyPr rot="-5400000" spcFirstLastPara="0" vertOverflow="ellipsis" vert="horz" wrap="square" anchor="ctr" anchorCtr="1"/>
              <a:lstStyle/>
              <a:p>
                <a:pPr>
                  <a:defRPr lang="zh-CN" sz="900" b="1" i="0" u="none" strike="noStrike" kern="1200" baseline="0">
                    <a:solidFill>
                      <a:srgbClr val="333333"/>
                    </a:solidFill>
                    <a:latin typeface="Book Antiqua" panose="02040602050305030304"/>
                    <a:ea typeface="Book Antiqua" panose="02040602050305030304"/>
                    <a:cs typeface="Book Antiqua" panose="02040602050305030304"/>
                  </a:defRPr>
                </a:pPr>
                <a:r>
                  <a:rPr lang="en-US" altLang="en-US" sz="900"/>
                  <a:t>PT (s)</a:t>
                </a:r>
              </a:p>
            </c:rich>
          </c:tx>
          <c:layout>
            <c:manualLayout>
              <c:xMode val="edge"/>
              <c:yMode val="edge"/>
              <c:x val="0.87597477398658596"/>
              <c:y val="0.40662960133590698"/>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zh-CN" sz="900" b="1" i="0" u="none" strike="noStrike" kern="1200" baseline="0">
                <a:solidFill>
                  <a:srgbClr val="333333"/>
                </a:solidFill>
                <a:latin typeface="Book Antiqua" panose="02040602050305030304"/>
                <a:ea typeface="Book Antiqua" panose="02040602050305030304"/>
                <a:cs typeface="Book Antiqua" panose="02040602050305030304"/>
              </a:defRPr>
            </a:pPr>
            <a:endParaRPr lang="zh-CN"/>
          </a:p>
        </c:txPr>
        <c:crossAx val="142587776"/>
        <c:crosses val="max"/>
        <c:crossBetween val="between"/>
      </c:valAx>
      <c:spPr>
        <a:noFill/>
        <a:ln>
          <a:noFill/>
        </a:ln>
        <a:effectLst/>
      </c:spPr>
    </c:plotArea>
    <c:legend>
      <c:legendPos val="r"/>
      <c:legendEntry>
        <c:idx val="0"/>
        <c:txPr>
          <a:bodyPr rot="0" spcFirstLastPara="0" vertOverflow="ellipsis" vert="horz" wrap="square" anchor="ctr" anchorCtr="1"/>
          <a:lstStyle/>
          <a:p>
            <a:pPr>
              <a:defRPr lang="zh-CN" sz="700" b="0" i="0" u="none" strike="noStrike" kern="1200" baseline="0">
                <a:solidFill>
                  <a:srgbClr val="333333"/>
                </a:solidFill>
                <a:latin typeface="Book Antiqua" panose="02040602050305030304"/>
                <a:ea typeface="Book Antiqua" panose="02040602050305030304"/>
                <a:cs typeface="Book Antiqua" panose="02040602050305030304"/>
              </a:defRPr>
            </a:pPr>
            <a:endParaRPr lang="zh-CN"/>
          </a:p>
        </c:txPr>
      </c:legendEntry>
      <c:legendEntry>
        <c:idx val="1"/>
        <c:txPr>
          <a:bodyPr rot="0" spcFirstLastPara="0" vertOverflow="ellipsis" vert="horz" wrap="square" anchor="ctr" anchorCtr="1"/>
          <a:lstStyle/>
          <a:p>
            <a:pPr>
              <a:defRPr lang="zh-CN" sz="700" b="0" i="0" u="none" strike="noStrike" kern="1200" baseline="0">
                <a:solidFill>
                  <a:srgbClr val="333333"/>
                </a:solidFill>
                <a:latin typeface="Book Antiqua" panose="02040602050305030304"/>
                <a:ea typeface="Book Antiqua" panose="02040602050305030304"/>
                <a:cs typeface="Book Antiqua" panose="02040602050305030304"/>
              </a:defRPr>
            </a:pPr>
            <a:endParaRPr lang="zh-CN"/>
          </a:p>
        </c:txPr>
      </c:legendEntry>
      <c:layout>
        <c:manualLayout>
          <c:xMode val="edge"/>
          <c:yMode val="edge"/>
          <c:x val="0.881379775444736"/>
          <c:y val="4.9272771034625101E-2"/>
          <c:w val="0.102417432195975"/>
          <c:h val="0.12157468355187299"/>
        </c:manualLayout>
      </c:layout>
      <c:overlay val="0"/>
      <c:spPr>
        <a:noFill/>
        <a:ln>
          <a:noFill/>
        </a:ln>
        <a:effectLst/>
      </c:spPr>
      <c:txPr>
        <a:bodyPr rot="0" spcFirstLastPara="0" vertOverflow="ellipsis" vert="horz" wrap="square" anchor="ctr" anchorCtr="1"/>
        <a:lstStyle/>
        <a:p>
          <a:pPr>
            <a:defRPr lang="zh-CN" sz="700" b="0" i="0" u="none" strike="noStrike" kern="1200" baseline="0">
              <a:solidFill>
                <a:srgbClr val="333333"/>
              </a:solidFill>
              <a:latin typeface="Book Antiqua" panose="02040602050305030304"/>
              <a:ea typeface="Book Antiqua" panose="02040602050305030304"/>
              <a:cs typeface="Book Antiqua" panose="02040602050305030304"/>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0.18647</cdr:x>
      <cdr:y>0.11673</cdr:y>
    </cdr:from>
    <cdr:to>
      <cdr:x>0.20419</cdr:x>
      <cdr:y>0.16054</cdr:y>
    </cdr:to>
    <cdr:sp macro="" textlink="">
      <cdr:nvSpPr>
        <cdr:cNvPr id="2" name="下箭头 1"/>
        <cdr:cNvSpPr/>
      </cdr:nvSpPr>
      <cdr:spPr>
        <a:xfrm xmlns:a="http://schemas.openxmlformats.org/drawingml/2006/main">
          <a:off x="1000568" y="399292"/>
          <a:ext cx="95081" cy="149863"/>
        </a:xfrm>
        <a:prstGeom xmlns:a="http://schemas.openxmlformats.org/drawingml/2006/main" prst="downArrow">
          <a:avLst/>
        </a:prstGeom>
        <a:solidFill xmlns:a="http://schemas.openxmlformats.org/drawingml/2006/main">
          <a:srgbClr val="7030A0"/>
        </a:solidFill>
        <a:ln xmlns:a="http://schemas.openxmlformats.org/drawingml/2006/main">
          <a:solidFill>
            <a:srgbClr val="7030A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zh-CN" altLang="en-US"/>
        </a:p>
      </cdr:txBody>
    </cdr:sp>
  </cdr:relSizeAnchor>
  <cdr:relSizeAnchor xmlns:cdr="http://schemas.openxmlformats.org/drawingml/2006/chartDrawing">
    <cdr:from>
      <cdr:x>0.26724</cdr:x>
      <cdr:y>0.29877</cdr:y>
    </cdr:from>
    <cdr:to>
      <cdr:x>0.28495</cdr:x>
      <cdr:y>0.33694</cdr:y>
    </cdr:to>
    <cdr:sp macro="" textlink="">
      <cdr:nvSpPr>
        <cdr:cNvPr id="3" name="下箭头 2"/>
        <cdr:cNvSpPr/>
      </cdr:nvSpPr>
      <cdr:spPr>
        <a:xfrm xmlns:a="http://schemas.openxmlformats.org/drawingml/2006/main">
          <a:off x="1433931" y="1022001"/>
          <a:ext cx="95028" cy="130570"/>
        </a:xfrm>
        <a:prstGeom xmlns:a="http://schemas.openxmlformats.org/drawingml/2006/main" prst="downArrow">
          <a:avLst/>
        </a:prstGeom>
        <a:solidFill xmlns:a="http://schemas.openxmlformats.org/drawingml/2006/main">
          <a:srgbClr val="7030A0"/>
        </a:solidFill>
        <a:ln xmlns:a="http://schemas.openxmlformats.org/drawingml/2006/main">
          <a:solidFill>
            <a:srgbClr val="7030A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zh-CN" altLang="en-US"/>
        </a:p>
      </cdr:txBody>
    </cdr:sp>
  </cdr:relSizeAnchor>
  <cdr:relSizeAnchor xmlns:cdr="http://schemas.openxmlformats.org/drawingml/2006/chartDrawing">
    <cdr:from>
      <cdr:x>0.35088</cdr:x>
      <cdr:y>0.51159</cdr:y>
    </cdr:from>
    <cdr:to>
      <cdr:x>0.36859</cdr:x>
      <cdr:y>0.55001</cdr:y>
    </cdr:to>
    <cdr:sp macro="" textlink="">
      <cdr:nvSpPr>
        <cdr:cNvPr id="4" name="下箭头 3"/>
        <cdr:cNvSpPr/>
      </cdr:nvSpPr>
      <cdr:spPr>
        <a:xfrm xmlns:a="http://schemas.openxmlformats.org/drawingml/2006/main">
          <a:off x="1882722" y="1750035"/>
          <a:ext cx="95027" cy="131425"/>
        </a:xfrm>
        <a:prstGeom xmlns:a="http://schemas.openxmlformats.org/drawingml/2006/main" prst="downArrow">
          <a:avLst/>
        </a:prstGeom>
        <a:solidFill xmlns:a="http://schemas.openxmlformats.org/drawingml/2006/main">
          <a:srgbClr val="7030A0"/>
        </a:solidFill>
        <a:ln xmlns:a="http://schemas.openxmlformats.org/drawingml/2006/main">
          <a:solidFill>
            <a:srgbClr val="7030A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zh-CN" altLang="en-US"/>
        </a:p>
      </cdr:txBody>
    </cdr:sp>
  </cdr:relSizeAnchor>
  <cdr:relSizeAnchor xmlns:cdr="http://schemas.openxmlformats.org/drawingml/2006/chartDrawing">
    <cdr:from>
      <cdr:x>0.47153</cdr:x>
      <cdr:y>0.19943</cdr:y>
    </cdr:from>
    <cdr:to>
      <cdr:x>0.48949</cdr:x>
      <cdr:y>0.2376</cdr:y>
    </cdr:to>
    <cdr:sp macro="" textlink="">
      <cdr:nvSpPr>
        <cdr:cNvPr id="5" name="下箭头 4"/>
        <cdr:cNvSpPr/>
      </cdr:nvSpPr>
      <cdr:spPr>
        <a:xfrm xmlns:a="http://schemas.openxmlformats.org/drawingml/2006/main">
          <a:off x="2530138" y="682186"/>
          <a:ext cx="96369" cy="130569"/>
        </a:xfrm>
        <a:prstGeom xmlns:a="http://schemas.openxmlformats.org/drawingml/2006/main" prst="downArrow">
          <a:avLst/>
        </a:prstGeom>
        <a:solidFill xmlns:a="http://schemas.openxmlformats.org/drawingml/2006/main">
          <a:srgbClr val="7030A0"/>
        </a:solidFill>
        <a:ln xmlns:a="http://schemas.openxmlformats.org/drawingml/2006/main">
          <a:solidFill>
            <a:srgbClr val="7030A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zh-CN" altLang="en-US"/>
        </a:p>
      </cdr:txBody>
    </cdr:sp>
  </cdr:relSizeAnchor>
  <cdr:relSizeAnchor xmlns:cdr="http://schemas.openxmlformats.org/drawingml/2006/chartDrawing">
    <cdr:from>
      <cdr:x>0.51753</cdr:x>
      <cdr:y>0.34221</cdr:y>
    </cdr:from>
    <cdr:to>
      <cdr:x>0.53599</cdr:x>
      <cdr:y>0.38087</cdr:y>
    </cdr:to>
    <cdr:sp macro="" textlink="">
      <cdr:nvSpPr>
        <cdr:cNvPr id="6" name="下箭头 5"/>
        <cdr:cNvSpPr/>
      </cdr:nvSpPr>
      <cdr:spPr>
        <a:xfrm xmlns:a="http://schemas.openxmlformats.org/drawingml/2006/main">
          <a:off x="2776929" y="1170599"/>
          <a:ext cx="99052" cy="132246"/>
        </a:xfrm>
        <a:prstGeom xmlns:a="http://schemas.openxmlformats.org/drawingml/2006/main" prst="downArrow">
          <a:avLst/>
        </a:prstGeom>
        <a:solidFill xmlns:a="http://schemas.openxmlformats.org/drawingml/2006/main">
          <a:srgbClr val="7030A0"/>
        </a:solidFill>
        <a:ln xmlns:a="http://schemas.openxmlformats.org/drawingml/2006/main">
          <a:solidFill>
            <a:srgbClr val="7030A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zh-CN" altLang="en-US"/>
        </a:p>
      </cdr:txBody>
    </cdr:sp>
  </cdr:relSizeAnchor>
  <cdr:relSizeAnchor xmlns:cdr="http://schemas.openxmlformats.org/drawingml/2006/chartDrawing">
    <cdr:from>
      <cdr:x>0.64196</cdr:x>
      <cdr:y>0.22185</cdr:y>
    </cdr:from>
    <cdr:to>
      <cdr:x>0.66042</cdr:x>
      <cdr:y>0.25978</cdr:y>
    </cdr:to>
    <cdr:sp macro="" textlink="">
      <cdr:nvSpPr>
        <cdr:cNvPr id="7" name="下箭头 6"/>
        <cdr:cNvSpPr/>
      </cdr:nvSpPr>
      <cdr:spPr>
        <a:xfrm xmlns:a="http://schemas.openxmlformats.org/drawingml/2006/main">
          <a:off x="3444617" y="758878"/>
          <a:ext cx="99052" cy="129749"/>
        </a:xfrm>
        <a:prstGeom xmlns:a="http://schemas.openxmlformats.org/drawingml/2006/main" prst="downArrow">
          <a:avLst/>
        </a:prstGeom>
        <a:solidFill xmlns:a="http://schemas.openxmlformats.org/drawingml/2006/main">
          <a:srgbClr val="7030A0"/>
        </a:solidFill>
        <a:ln xmlns:a="http://schemas.openxmlformats.org/drawingml/2006/main">
          <a:solidFill>
            <a:srgbClr val="7030A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zh-CN" altLang="en-US"/>
        </a:p>
      </cdr:txBody>
    </cdr:sp>
  </cdr:relSizeAnchor>
  <cdr:relSizeAnchor xmlns:cdr="http://schemas.openxmlformats.org/drawingml/2006/chartDrawing">
    <cdr:from>
      <cdr:x>0.73163</cdr:x>
      <cdr:y>0.21687</cdr:y>
    </cdr:from>
    <cdr:to>
      <cdr:x>0.81223</cdr:x>
      <cdr:y>0.77718</cdr:y>
    </cdr:to>
    <cdr:sp macro="" textlink="">
      <cdr:nvSpPr>
        <cdr:cNvPr id="8" name="直接连接符 7"/>
        <cdr:cNvSpPr/>
      </cdr:nvSpPr>
      <cdr:spPr>
        <a:xfrm xmlns:a="http://schemas.openxmlformats.org/drawingml/2006/main">
          <a:off x="3925734" y="741867"/>
          <a:ext cx="432483" cy="1916667"/>
        </a:xfrm>
        <a:prstGeom xmlns:a="http://schemas.openxmlformats.org/drawingml/2006/main" prst="line">
          <a:avLst/>
        </a:prstGeom>
        <a:ln xmlns:a="http://schemas.openxmlformats.org/drawingml/2006/main" w="25400">
          <a:solidFill>
            <a:schemeClr val="accent6"/>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zh-CN" altLang="en-US"/>
        </a:p>
      </cdr:txBody>
    </cdr:sp>
  </cdr:relSizeAnchor>
  <cdr:relSizeAnchor xmlns:cdr="http://schemas.openxmlformats.org/drawingml/2006/chartDrawing">
    <cdr:from>
      <cdr:x>0.73274</cdr:x>
      <cdr:y>0.6955</cdr:y>
    </cdr:from>
    <cdr:to>
      <cdr:x>0.81223</cdr:x>
      <cdr:y>0.73577</cdr:y>
    </cdr:to>
    <cdr:sp macro="" textlink="">
      <cdr:nvSpPr>
        <cdr:cNvPr id="9" name="直接连接符 8"/>
        <cdr:cNvSpPr/>
      </cdr:nvSpPr>
      <cdr:spPr>
        <a:xfrm xmlns:a="http://schemas.openxmlformats.org/drawingml/2006/main" flipH="1">
          <a:off x="3931721" y="2379134"/>
          <a:ext cx="426495" cy="137762"/>
        </a:xfrm>
        <a:prstGeom xmlns:a="http://schemas.openxmlformats.org/drawingml/2006/main" prst="line">
          <a:avLst/>
        </a:prstGeom>
        <a:ln xmlns:a="http://schemas.openxmlformats.org/drawingml/2006/main" w="25400">
          <a:solidFill>
            <a:schemeClr val="accent6"/>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zh-CN" altLang="en-US"/>
        </a:p>
      </cdr:txBody>
    </cdr:sp>
  </cdr:relSizeAnchor>
  <cdr:relSizeAnchor xmlns:cdr="http://schemas.openxmlformats.org/drawingml/2006/chartDrawing">
    <cdr:from>
      <cdr:x>0.71811</cdr:x>
      <cdr:y>0.78478</cdr:y>
    </cdr:from>
    <cdr:to>
      <cdr:x>0.7468</cdr:x>
      <cdr:y>0.81666</cdr:y>
    </cdr:to>
    <cdr:sp macro="" textlink="">
      <cdr:nvSpPr>
        <cdr:cNvPr id="10" name="等于号 9"/>
        <cdr:cNvSpPr/>
      </cdr:nvSpPr>
      <cdr:spPr>
        <a:xfrm xmlns:a="http://schemas.openxmlformats.org/drawingml/2006/main" rot="16200000">
          <a:off x="3853225" y="2684518"/>
          <a:ext cx="153943" cy="109054"/>
        </a:xfrm>
        <a:prstGeom xmlns:a="http://schemas.openxmlformats.org/drawingml/2006/main" prst="mathEqual">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horz" wrap="none" lIns="45720" tIns="45720" rIns="45720" bIns="45720" rtlCol="0" anchor="t" anchorCtr="0">
          <a:normAutofit/>
        </a:bodyPr>
        <a:lstStyle xmlns:a="http://schemas.openxmlformats.org/drawingml/2006/main"/>
        <a:p xmlns:a="http://schemas.openxmlformats.org/drawingml/2006/main">
          <a:endParaRPr lang="zh-CN" altLang="en-US"/>
        </a:p>
      </cdr:txBody>
    </cdr:sp>
  </cdr:relSizeAnchor>
  <cdr:relSizeAnchor xmlns:cdr="http://schemas.openxmlformats.org/drawingml/2006/chartDrawing">
    <cdr:from>
      <cdr:x>0.14663</cdr:x>
      <cdr:y>0.82265</cdr:y>
    </cdr:from>
    <cdr:to>
      <cdr:x>0.28813</cdr:x>
      <cdr:y>0.8956</cdr:y>
    </cdr:to>
    <cdr:sp macro="" textlink="">
      <cdr:nvSpPr>
        <cdr:cNvPr id="11" name="矩形 10"/>
        <cdr:cNvSpPr/>
      </cdr:nvSpPr>
      <cdr:spPr>
        <a:xfrm xmlns:a="http://schemas.openxmlformats.org/drawingml/2006/main">
          <a:off x="1274574" y="4216201"/>
          <a:ext cx="1232377" cy="374107"/>
        </a:xfrm>
        <a:prstGeom xmlns:a="http://schemas.openxmlformats.org/drawingml/2006/main" prst="rect">
          <a:avLst/>
        </a:prstGeom>
        <a:noFill xmlns:a="http://schemas.openxmlformats.org/drawingml/2006/main"/>
        <a:ln xmlns:a="http://schemas.openxmlformats.org/drawingml/2006/main" w="9525">
          <a:noFill/>
          <a:miter lim="800000"/>
        </a:ln>
      </cdr:spPr>
    </cdr:sp>
  </cdr:relSizeAnchor>
  <cdr:relSizeAnchor xmlns:cdr="http://schemas.openxmlformats.org/drawingml/2006/chartDrawing">
    <cdr:from>
      <cdr:x>0.13961</cdr:x>
      <cdr:y>0.92076</cdr:y>
    </cdr:from>
    <cdr:to>
      <cdr:x>0.39046</cdr:x>
      <cdr:y>1</cdr:y>
    </cdr:to>
    <cdr:sp macro="" textlink="">
      <cdr:nvSpPr>
        <cdr:cNvPr id="12" name="矩形 11"/>
        <cdr:cNvSpPr/>
      </cdr:nvSpPr>
      <cdr:spPr>
        <a:xfrm xmlns:a="http://schemas.openxmlformats.org/drawingml/2006/main">
          <a:off x="749123" y="3217418"/>
          <a:ext cx="1345967" cy="271060"/>
        </a:xfrm>
        <a:prstGeom xmlns:a="http://schemas.openxmlformats.org/drawingml/2006/main" prst="rect">
          <a:avLst/>
        </a:prstGeom>
      </cdr:spPr>
      <cdr:txBody>
        <a:bodyPr xmlns:a="http://schemas.openxmlformats.org/drawingml/2006/main" vertOverflow="clip" horzOverflow="clip" vert="horz" wrap="square" lIns="45720" tIns="45720" rIns="45720" bIns="45720" rtlCol="0" anchor="t" anchorCtr="0">
          <a:normAutofit/>
        </a:bodyPr>
        <a:lstStyle xmlns:a="http://schemas.openxmlformats.org/drawingml/2006/main"/>
        <a:p xmlns:a="http://schemas.openxmlformats.org/drawingml/2006/main">
          <a:r>
            <a:rPr lang="en-US" altLang="zh-CN" sz="600" b="1">
              <a:latin typeface="Book Antiqua" panose="02040602050305030304" pitchFamily="1" charset="0"/>
              <a:cs typeface="Book Antiqua" panose="02040602050305030304" pitchFamily="1" charset="0"/>
            </a:rPr>
            <a:t>Liver transplantation</a:t>
          </a:r>
        </a:p>
      </cdr:txBody>
    </cdr:sp>
  </cdr:relSizeAnchor>
  <cdr:relSizeAnchor xmlns:cdr="http://schemas.openxmlformats.org/drawingml/2006/chartDrawing">
    <cdr:from>
      <cdr:x>0.12623</cdr:x>
      <cdr:y>0.92816</cdr:y>
    </cdr:from>
    <cdr:to>
      <cdr:x>0.15492</cdr:x>
      <cdr:y>0.96004</cdr:y>
    </cdr:to>
    <cdr:sp macro="" textlink="">
      <cdr:nvSpPr>
        <cdr:cNvPr id="13" name="等于号 12"/>
        <cdr:cNvSpPr/>
      </cdr:nvSpPr>
      <cdr:spPr>
        <a:xfrm xmlns:a="http://schemas.openxmlformats.org/drawingml/2006/main" rot="16200000">
          <a:off x="677334" y="3175003"/>
          <a:ext cx="153943" cy="109054"/>
        </a:xfrm>
        <a:prstGeom xmlns:a="http://schemas.openxmlformats.org/drawingml/2006/main" prst="mathEqual">
          <a:avLst/>
        </a:prstGeom>
        <a:solidFill xmlns:a="http://schemas.openxmlformats.org/drawingml/2006/main">
          <a:sysClr val="window" lastClr="FFFFFF"/>
        </a:solidFill>
        <a:ln xmlns:a="http://schemas.openxmlformats.org/drawingml/2006/main" w="25400" cap="flat" cmpd="sng" algn="ctr">
          <a:solidFill>
            <a:srgbClr val="F79646"/>
          </a:solidFill>
          <a:prstDash val="solid"/>
        </a:ln>
        <a:effectLst xmlns:a="http://schemas.openxmlformats.org/drawingml/2006/mai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horz" wrap="none" lIns="45720" tIns="45720" rIns="45720" bIns="45720" rtlCol="0" anchor="t" anchorCtr="0">
          <a:normAutofit/>
        </a:bodyPr>
        <a:lstStyle xmlns:a="http://schemas.openxmlformats.org/drawingml/2006/main">
          <a:lvl1pPr marL="0" indent="0">
            <a:defRPr sz="1100">
              <a:solidFill>
                <a:sysClr val="windowText" lastClr="000000"/>
              </a:solidFill>
              <a:latin typeface="Calibri" panose="020F0502020204030204"/>
            </a:defRPr>
          </a:lvl1pPr>
          <a:lvl2pPr marL="457200" indent="0">
            <a:defRPr sz="1100">
              <a:solidFill>
                <a:sysClr val="windowText" lastClr="000000"/>
              </a:solidFill>
              <a:latin typeface="Calibri" panose="020F0502020204030204"/>
            </a:defRPr>
          </a:lvl2pPr>
          <a:lvl3pPr marL="914400" indent="0">
            <a:defRPr sz="1100">
              <a:solidFill>
                <a:sysClr val="windowText" lastClr="000000"/>
              </a:solidFill>
              <a:latin typeface="Calibri" panose="020F0502020204030204"/>
            </a:defRPr>
          </a:lvl3pPr>
          <a:lvl4pPr marL="1371600" indent="0">
            <a:defRPr sz="1100">
              <a:solidFill>
                <a:sysClr val="windowText" lastClr="000000"/>
              </a:solidFill>
              <a:latin typeface="Calibri" panose="020F0502020204030204"/>
            </a:defRPr>
          </a:lvl4pPr>
          <a:lvl5pPr marL="1828800" indent="0">
            <a:defRPr sz="1100">
              <a:solidFill>
                <a:sysClr val="windowText" lastClr="000000"/>
              </a:solidFill>
              <a:latin typeface="Calibri" panose="020F0502020204030204"/>
            </a:defRPr>
          </a:lvl5pPr>
          <a:lvl6pPr marL="2286000" indent="0">
            <a:defRPr sz="1100">
              <a:solidFill>
                <a:sysClr val="windowText" lastClr="000000"/>
              </a:solidFill>
              <a:latin typeface="Calibri" panose="020F0502020204030204"/>
            </a:defRPr>
          </a:lvl6pPr>
          <a:lvl7pPr marL="2743200" indent="0">
            <a:defRPr sz="1100">
              <a:solidFill>
                <a:sysClr val="windowText" lastClr="000000"/>
              </a:solidFill>
              <a:latin typeface="Calibri" panose="020F0502020204030204"/>
            </a:defRPr>
          </a:lvl7pPr>
          <a:lvl8pPr marL="3200400" indent="0">
            <a:defRPr sz="1100">
              <a:solidFill>
                <a:sysClr val="windowText" lastClr="000000"/>
              </a:solidFill>
              <a:latin typeface="Calibri" panose="020F0502020204030204"/>
            </a:defRPr>
          </a:lvl8pPr>
          <a:lvl9pPr marL="3657600" indent="0">
            <a:defRPr sz="1100">
              <a:solidFill>
                <a:sysClr val="windowText" lastClr="000000"/>
              </a:solidFill>
              <a:latin typeface="Calibri" panose="020F0502020204030204"/>
            </a:defRPr>
          </a:lvl9pPr>
        </a:lstStyle>
        <a:p xmlns:a="http://schemas.openxmlformats.org/drawingml/2006/main">
          <a:endParaRPr lang="zh-CN" altLang="en-US"/>
        </a:p>
      </cdr:txBody>
    </cdr:sp>
  </cdr:relSizeAnchor>
</c:userShapes>
</file>

<file path=word/drawings/drawing2.xml><?xml version="1.0" encoding="utf-8"?>
<c:userShapes xmlns:c="http://schemas.openxmlformats.org/drawingml/2006/chart">
  <cdr:relSizeAnchor xmlns:cdr="http://schemas.openxmlformats.org/drawingml/2006/chartDrawing">
    <cdr:from>
      <cdr:x>0.62829</cdr:x>
      <cdr:y>0.39997</cdr:y>
    </cdr:from>
    <cdr:to>
      <cdr:x>0.64159</cdr:x>
      <cdr:y>0.44262</cdr:y>
    </cdr:to>
    <cdr:sp macro="" textlink="">
      <cdr:nvSpPr>
        <cdr:cNvPr id="2" name="下箭头 1"/>
        <cdr:cNvSpPr/>
      </cdr:nvSpPr>
      <cdr:spPr>
        <a:xfrm xmlns:a="http://schemas.openxmlformats.org/drawingml/2006/main">
          <a:off x="3447074" y="1337734"/>
          <a:ext cx="72943" cy="142641"/>
        </a:xfrm>
        <a:prstGeom xmlns:a="http://schemas.openxmlformats.org/drawingml/2006/main" prst="downArrow">
          <a:avLst/>
        </a:prstGeom>
        <a:solidFill xmlns:a="http://schemas.openxmlformats.org/drawingml/2006/main">
          <a:srgbClr val="7030A0"/>
        </a:solidFill>
        <a:ln xmlns:a="http://schemas.openxmlformats.org/drawingml/2006/main">
          <a:solidFill>
            <a:srgbClr val="7030A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zh-CN" altLang="en-US"/>
        </a:p>
      </cdr:txBody>
    </cdr:sp>
  </cdr:relSizeAnchor>
  <cdr:relSizeAnchor xmlns:cdr="http://schemas.openxmlformats.org/drawingml/2006/chartDrawing">
    <cdr:from>
      <cdr:x>0.72492</cdr:x>
      <cdr:y>0.65312</cdr:y>
    </cdr:from>
    <cdr:to>
      <cdr:x>0.80363</cdr:x>
      <cdr:y>0.71135</cdr:y>
    </cdr:to>
    <cdr:sp macro="" textlink="">
      <cdr:nvSpPr>
        <cdr:cNvPr id="3" name="直接连接符 2"/>
        <cdr:cNvSpPr/>
      </cdr:nvSpPr>
      <cdr:spPr>
        <a:xfrm xmlns:a="http://schemas.openxmlformats.org/drawingml/2006/main">
          <a:off x="3977216" y="2184400"/>
          <a:ext cx="431801" cy="194734"/>
        </a:xfrm>
        <a:prstGeom xmlns:a="http://schemas.openxmlformats.org/drawingml/2006/main" prst="line">
          <a:avLst/>
        </a:prstGeom>
        <a:ln xmlns:a="http://schemas.openxmlformats.org/drawingml/2006/main" w="25400">
          <a:solidFill>
            <a:schemeClr val="accent6"/>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zh-CN" altLang="en-US"/>
        </a:p>
      </cdr:txBody>
    </cdr:sp>
  </cdr:relSizeAnchor>
  <cdr:relSizeAnchor xmlns:cdr="http://schemas.openxmlformats.org/drawingml/2006/chartDrawing">
    <cdr:from>
      <cdr:x>0.12275</cdr:x>
      <cdr:y>0.91848</cdr:y>
    </cdr:from>
    <cdr:to>
      <cdr:x>0.33356</cdr:x>
      <cdr:y>1</cdr:y>
    </cdr:to>
    <cdr:sp macro="" textlink="">
      <cdr:nvSpPr>
        <cdr:cNvPr id="4" name="矩形 3"/>
        <cdr:cNvSpPr/>
      </cdr:nvSpPr>
      <cdr:spPr>
        <a:xfrm xmlns:a="http://schemas.openxmlformats.org/drawingml/2006/main">
          <a:off x="673443" y="3150812"/>
          <a:ext cx="1156588" cy="272647"/>
        </a:xfrm>
        <a:prstGeom xmlns:a="http://schemas.openxmlformats.org/drawingml/2006/main" prst="rect">
          <a:avLst/>
        </a:prstGeom>
      </cdr:spPr>
      <cdr:txBody>
        <a:bodyPr xmlns:a="http://schemas.openxmlformats.org/drawingml/2006/main" vertOverflow="clip" horzOverflow="clip" vert="horz" wrap="square" lIns="45720" tIns="45720" rIns="45720" bIns="45720" rtlCol="0" anchor="t" anchorCtr="0">
          <a:normAutofit/>
        </a:bodyPr>
        <a:lstStyle xmlns:a="http://schemas.openxmlformats.org/drawingml/2006/main"/>
        <a:p xmlns:a="http://schemas.openxmlformats.org/drawingml/2006/main">
          <a:r>
            <a:rPr lang="en-US" altLang="zh-CN" sz="800">
              <a:latin typeface="Book Antiqua" panose="02040602050305030304" pitchFamily="1" charset="0"/>
              <a:cs typeface="Book Antiqua" panose="02040602050305030304" pitchFamily="1" charset="0"/>
            </a:rPr>
            <a:t>Liver transplantation</a:t>
          </a:r>
        </a:p>
      </cdr:txBody>
    </cdr:sp>
  </cdr:relSizeAnchor>
  <cdr:relSizeAnchor xmlns:cdr="http://schemas.openxmlformats.org/drawingml/2006/chartDrawing">
    <cdr:from>
      <cdr:x>0.70679</cdr:x>
      <cdr:y>0.79742</cdr:y>
    </cdr:from>
    <cdr:to>
      <cdr:x>0.73485</cdr:x>
      <cdr:y>0.83003</cdr:y>
    </cdr:to>
    <cdr:sp macro="" textlink="">
      <cdr:nvSpPr>
        <cdr:cNvPr id="5" name="等于号 4"/>
        <cdr:cNvSpPr/>
      </cdr:nvSpPr>
      <cdr:spPr>
        <a:xfrm xmlns:a="http://schemas.openxmlformats.org/drawingml/2006/main" rot="16200000">
          <a:off x="3877738" y="2667004"/>
          <a:ext cx="153943" cy="109054"/>
        </a:xfrm>
        <a:prstGeom xmlns:a="http://schemas.openxmlformats.org/drawingml/2006/main" prst="mathEqual">
          <a:avLst/>
        </a:prstGeom>
        <a:solidFill xmlns:a="http://schemas.openxmlformats.org/drawingml/2006/main">
          <a:sysClr val="window" lastClr="FFFFFF"/>
        </a:solidFill>
        <a:ln xmlns:a="http://schemas.openxmlformats.org/drawingml/2006/main" w="25400" cap="flat" cmpd="sng" algn="ctr">
          <a:solidFill>
            <a:srgbClr val="F79646"/>
          </a:solidFill>
          <a:prstDash val="solid"/>
        </a:ln>
        <a:effectLst xmlns:a="http://schemas.openxmlformats.org/drawingml/2006/mai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horz" wrap="none" lIns="45720" tIns="45720" rIns="45720" bIns="45720" rtlCol="0" anchor="t" anchorCtr="0">
          <a:normAutofit/>
        </a:bodyPr>
        <a:lstStyle xmlns:a="http://schemas.openxmlformats.org/drawingml/2006/main">
          <a:lvl1pPr marL="0" indent="0">
            <a:defRPr sz="1100">
              <a:solidFill>
                <a:sysClr val="windowText" lastClr="000000"/>
              </a:solidFill>
              <a:latin typeface="Calibri" panose="020F0502020204030204"/>
            </a:defRPr>
          </a:lvl1pPr>
          <a:lvl2pPr marL="457200" indent="0">
            <a:defRPr sz="1100">
              <a:solidFill>
                <a:sysClr val="windowText" lastClr="000000"/>
              </a:solidFill>
              <a:latin typeface="Calibri" panose="020F0502020204030204"/>
            </a:defRPr>
          </a:lvl2pPr>
          <a:lvl3pPr marL="914400" indent="0">
            <a:defRPr sz="1100">
              <a:solidFill>
                <a:sysClr val="windowText" lastClr="000000"/>
              </a:solidFill>
              <a:latin typeface="Calibri" panose="020F0502020204030204"/>
            </a:defRPr>
          </a:lvl3pPr>
          <a:lvl4pPr marL="1371600" indent="0">
            <a:defRPr sz="1100">
              <a:solidFill>
                <a:sysClr val="windowText" lastClr="000000"/>
              </a:solidFill>
              <a:latin typeface="Calibri" panose="020F0502020204030204"/>
            </a:defRPr>
          </a:lvl4pPr>
          <a:lvl5pPr marL="1828800" indent="0">
            <a:defRPr sz="1100">
              <a:solidFill>
                <a:sysClr val="windowText" lastClr="000000"/>
              </a:solidFill>
              <a:latin typeface="Calibri" panose="020F0502020204030204"/>
            </a:defRPr>
          </a:lvl5pPr>
          <a:lvl6pPr marL="2286000" indent="0">
            <a:defRPr sz="1100">
              <a:solidFill>
                <a:sysClr val="windowText" lastClr="000000"/>
              </a:solidFill>
              <a:latin typeface="Calibri" panose="020F0502020204030204"/>
            </a:defRPr>
          </a:lvl6pPr>
          <a:lvl7pPr marL="2743200" indent="0">
            <a:defRPr sz="1100">
              <a:solidFill>
                <a:sysClr val="windowText" lastClr="000000"/>
              </a:solidFill>
              <a:latin typeface="Calibri" panose="020F0502020204030204"/>
            </a:defRPr>
          </a:lvl7pPr>
          <a:lvl8pPr marL="3200400" indent="0">
            <a:defRPr sz="1100">
              <a:solidFill>
                <a:sysClr val="windowText" lastClr="000000"/>
              </a:solidFill>
              <a:latin typeface="Calibri" panose="020F0502020204030204"/>
            </a:defRPr>
          </a:lvl8pPr>
          <a:lvl9pPr marL="3657600" indent="0">
            <a:defRPr sz="1100">
              <a:solidFill>
                <a:sysClr val="windowText" lastClr="000000"/>
              </a:solidFill>
              <a:latin typeface="Calibri" panose="020F0502020204030204"/>
            </a:defRPr>
          </a:lvl9pPr>
        </a:lstStyle>
        <a:p xmlns:a="http://schemas.openxmlformats.org/drawingml/2006/main">
          <a:endParaRPr lang="zh-CN" altLang="en-US"/>
        </a:p>
      </cdr:txBody>
    </cdr:sp>
  </cdr:relSizeAnchor>
  <cdr:relSizeAnchor xmlns:cdr="http://schemas.openxmlformats.org/drawingml/2006/chartDrawing">
    <cdr:from>
      <cdr:x>0.11111</cdr:x>
      <cdr:y>0.93412</cdr:y>
    </cdr:from>
    <cdr:to>
      <cdr:x>0.13917</cdr:x>
      <cdr:y>0.96673</cdr:y>
    </cdr:to>
    <cdr:sp macro="" textlink="">
      <cdr:nvSpPr>
        <cdr:cNvPr id="6" name="等于号 5"/>
        <cdr:cNvSpPr/>
      </cdr:nvSpPr>
      <cdr:spPr>
        <a:xfrm xmlns:a="http://schemas.openxmlformats.org/drawingml/2006/main" rot="16200000">
          <a:off x="609603" y="3124203"/>
          <a:ext cx="153943" cy="109054"/>
        </a:xfrm>
        <a:prstGeom xmlns:a="http://schemas.openxmlformats.org/drawingml/2006/main" prst="mathEqual">
          <a:avLst/>
        </a:prstGeom>
        <a:solidFill xmlns:a="http://schemas.openxmlformats.org/drawingml/2006/main">
          <a:sysClr val="window" lastClr="FFFFFF"/>
        </a:solidFill>
        <a:ln xmlns:a="http://schemas.openxmlformats.org/drawingml/2006/main" w="25400" cap="flat" cmpd="sng" algn="ctr">
          <a:solidFill>
            <a:srgbClr val="F79646"/>
          </a:solidFill>
          <a:prstDash val="solid"/>
        </a:ln>
        <a:effectLst xmlns:a="http://schemas.openxmlformats.org/drawingml/2006/mai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horz" wrap="none" lIns="45720" tIns="45720" rIns="45720" bIns="45720" rtlCol="0" anchor="t" anchorCtr="0">
          <a:normAutofit/>
        </a:bodyPr>
        <a:lstStyle xmlns:a="http://schemas.openxmlformats.org/drawingml/2006/main">
          <a:lvl1pPr marL="0" indent="0">
            <a:defRPr sz="1100">
              <a:solidFill>
                <a:sysClr val="windowText" lastClr="000000"/>
              </a:solidFill>
              <a:latin typeface="Calibri" panose="020F0502020204030204"/>
            </a:defRPr>
          </a:lvl1pPr>
          <a:lvl2pPr marL="457200" indent="0">
            <a:defRPr sz="1100">
              <a:solidFill>
                <a:sysClr val="windowText" lastClr="000000"/>
              </a:solidFill>
              <a:latin typeface="Calibri" panose="020F0502020204030204"/>
            </a:defRPr>
          </a:lvl2pPr>
          <a:lvl3pPr marL="914400" indent="0">
            <a:defRPr sz="1100">
              <a:solidFill>
                <a:sysClr val="windowText" lastClr="000000"/>
              </a:solidFill>
              <a:latin typeface="Calibri" panose="020F0502020204030204"/>
            </a:defRPr>
          </a:lvl3pPr>
          <a:lvl4pPr marL="1371600" indent="0">
            <a:defRPr sz="1100">
              <a:solidFill>
                <a:sysClr val="windowText" lastClr="000000"/>
              </a:solidFill>
              <a:latin typeface="Calibri" panose="020F0502020204030204"/>
            </a:defRPr>
          </a:lvl4pPr>
          <a:lvl5pPr marL="1828800" indent="0">
            <a:defRPr sz="1100">
              <a:solidFill>
                <a:sysClr val="windowText" lastClr="000000"/>
              </a:solidFill>
              <a:latin typeface="Calibri" panose="020F0502020204030204"/>
            </a:defRPr>
          </a:lvl5pPr>
          <a:lvl6pPr marL="2286000" indent="0">
            <a:defRPr sz="1100">
              <a:solidFill>
                <a:sysClr val="windowText" lastClr="000000"/>
              </a:solidFill>
              <a:latin typeface="Calibri" panose="020F0502020204030204"/>
            </a:defRPr>
          </a:lvl6pPr>
          <a:lvl7pPr marL="2743200" indent="0">
            <a:defRPr sz="1100">
              <a:solidFill>
                <a:sysClr val="windowText" lastClr="000000"/>
              </a:solidFill>
              <a:latin typeface="Calibri" panose="020F0502020204030204"/>
            </a:defRPr>
          </a:lvl7pPr>
          <a:lvl8pPr marL="3200400" indent="0">
            <a:defRPr sz="1100">
              <a:solidFill>
                <a:sysClr val="windowText" lastClr="000000"/>
              </a:solidFill>
              <a:latin typeface="Calibri" panose="020F0502020204030204"/>
            </a:defRPr>
          </a:lvl8pPr>
          <a:lvl9pPr marL="3657600" indent="0">
            <a:defRPr sz="1100">
              <a:solidFill>
                <a:sysClr val="windowText" lastClr="000000"/>
              </a:solidFill>
              <a:latin typeface="Calibri" panose="020F0502020204030204"/>
            </a:defRPr>
          </a:lvl9pPr>
        </a:lstStyle>
        <a:p xmlns:a="http://schemas.openxmlformats.org/drawingml/2006/main">
          <a:endParaRPr lang="zh-CN" altLang="en-US"/>
        </a:p>
      </cdr:txBody>
    </cdr:sp>
  </cdr:relSizeAnchor>
  <cdr:relSizeAnchor xmlns:cdr="http://schemas.openxmlformats.org/drawingml/2006/chartDrawing">
    <cdr:from>
      <cdr:x>0.49691</cdr:x>
      <cdr:y>0.35441</cdr:y>
    </cdr:from>
    <cdr:to>
      <cdr:x>0.51021</cdr:x>
      <cdr:y>0.39706</cdr:y>
    </cdr:to>
    <cdr:sp macro="" textlink="">
      <cdr:nvSpPr>
        <cdr:cNvPr id="7" name="下箭头 6"/>
        <cdr:cNvSpPr/>
      </cdr:nvSpPr>
      <cdr:spPr>
        <a:xfrm xmlns:a="http://schemas.openxmlformats.org/drawingml/2006/main">
          <a:off x="2726266" y="1185333"/>
          <a:ext cx="72943" cy="142641"/>
        </a:xfrm>
        <a:prstGeom xmlns:a="http://schemas.openxmlformats.org/drawingml/2006/main" prst="downArrow">
          <a:avLst/>
        </a:prstGeom>
        <a:solidFill xmlns:a="http://schemas.openxmlformats.org/drawingml/2006/main">
          <a:srgbClr val="7030A0"/>
        </a:solidFill>
        <a:ln xmlns:a="http://schemas.openxmlformats.org/drawingml/2006/main" w="25400" cap="flat" cmpd="sng" algn="ctr">
          <a:solidFill>
            <a:srgbClr val="7030A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ysClr val="window" lastClr="FFFFFF"/>
              </a:solidFill>
              <a:latin typeface="Calibri" panose="020F0502020204030204"/>
            </a:defRPr>
          </a:lvl1pPr>
          <a:lvl2pPr marL="457200" indent="0">
            <a:defRPr sz="1100">
              <a:solidFill>
                <a:sysClr val="window" lastClr="FFFFFF"/>
              </a:solidFill>
              <a:latin typeface="Calibri" panose="020F0502020204030204"/>
            </a:defRPr>
          </a:lvl2pPr>
          <a:lvl3pPr marL="914400" indent="0">
            <a:defRPr sz="1100">
              <a:solidFill>
                <a:sysClr val="window" lastClr="FFFFFF"/>
              </a:solidFill>
              <a:latin typeface="Calibri" panose="020F0502020204030204"/>
            </a:defRPr>
          </a:lvl3pPr>
          <a:lvl4pPr marL="1371600" indent="0">
            <a:defRPr sz="1100">
              <a:solidFill>
                <a:sysClr val="window" lastClr="FFFFFF"/>
              </a:solidFill>
              <a:latin typeface="Calibri" panose="020F0502020204030204"/>
            </a:defRPr>
          </a:lvl4pPr>
          <a:lvl5pPr marL="1828800" indent="0">
            <a:defRPr sz="1100">
              <a:solidFill>
                <a:sysClr val="window" lastClr="FFFFFF"/>
              </a:solidFill>
              <a:latin typeface="Calibri" panose="020F0502020204030204"/>
            </a:defRPr>
          </a:lvl5pPr>
          <a:lvl6pPr marL="2286000" indent="0">
            <a:defRPr sz="1100">
              <a:solidFill>
                <a:sysClr val="window" lastClr="FFFFFF"/>
              </a:solidFill>
              <a:latin typeface="Calibri" panose="020F0502020204030204"/>
            </a:defRPr>
          </a:lvl6pPr>
          <a:lvl7pPr marL="2743200" indent="0">
            <a:defRPr sz="1100">
              <a:solidFill>
                <a:sysClr val="window" lastClr="FFFFFF"/>
              </a:solidFill>
              <a:latin typeface="Calibri" panose="020F0502020204030204"/>
            </a:defRPr>
          </a:lvl7pPr>
          <a:lvl8pPr marL="3200400" indent="0">
            <a:defRPr sz="1100">
              <a:solidFill>
                <a:sysClr val="window" lastClr="FFFFFF"/>
              </a:solidFill>
              <a:latin typeface="Calibri" panose="020F0502020204030204"/>
            </a:defRPr>
          </a:lvl8pPr>
          <a:lvl9pPr marL="3657600" indent="0">
            <a:defRPr sz="1100">
              <a:solidFill>
                <a:sysClr val="window" lastClr="FFFFFF"/>
              </a:solidFill>
              <a:latin typeface="Calibri" panose="020F0502020204030204"/>
            </a:defRPr>
          </a:lvl9pPr>
        </a:lstStyle>
        <a:p xmlns:a="http://schemas.openxmlformats.org/drawingml/2006/main">
          <a:endParaRPr lang="zh-CN" altLang="en-US"/>
        </a:p>
      </cdr:txBody>
    </cdr:sp>
  </cdr:relSizeAnchor>
  <cdr:relSizeAnchor xmlns:cdr="http://schemas.openxmlformats.org/drawingml/2006/chartDrawing">
    <cdr:from>
      <cdr:x>0.46451</cdr:x>
      <cdr:y>0.39997</cdr:y>
    </cdr:from>
    <cdr:to>
      <cdr:x>0.4778</cdr:x>
      <cdr:y>0.44262</cdr:y>
    </cdr:to>
    <cdr:sp macro="" textlink="">
      <cdr:nvSpPr>
        <cdr:cNvPr id="8" name="下箭头 7"/>
        <cdr:cNvSpPr/>
      </cdr:nvSpPr>
      <cdr:spPr>
        <a:xfrm xmlns:a="http://schemas.openxmlformats.org/drawingml/2006/main">
          <a:off x="2548466" y="1337733"/>
          <a:ext cx="72943" cy="142641"/>
        </a:xfrm>
        <a:prstGeom xmlns:a="http://schemas.openxmlformats.org/drawingml/2006/main" prst="downArrow">
          <a:avLst/>
        </a:prstGeom>
        <a:solidFill xmlns:a="http://schemas.openxmlformats.org/drawingml/2006/main">
          <a:srgbClr val="7030A0"/>
        </a:solidFill>
        <a:ln xmlns:a="http://schemas.openxmlformats.org/drawingml/2006/main" w="25400" cap="flat" cmpd="sng" algn="ctr">
          <a:solidFill>
            <a:srgbClr val="7030A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ysClr val="window" lastClr="FFFFFF"/>
              </a:solidFill>
              <a:latin typeface="Calibri" panose="020F0502020204030204"/>
            </a:defRPr>
          </a:lvl1pPr>
          <a:lvl2pPr marL="457200" indent="0">
            <a:defRPr sz="1100">
              <a:solidFill>
                <a:sysClr val="window" lastClr="FFFFFF"/>
              </a:solidFill>
              <a:latin typeface="Calibri" panose="020F0502020204030204"/>
            </a:defRPr>
          </a:lvl2pPr>
          <a:lvl3pPr marL="914400" indent="0">
            <a:defRPr sz="1100">
              <a:solidFill>
                <a:sysClr val="window" lastClr="FFFFFF"/>
              </a:solidFill>
              <a:latin typeface="Calibri" panose="020F0502020204030204"/>
            </a:defRPr>
          </a:lvl3pPr>
          <a:lvl4pPr marL="1371600" indent="0">
            <a:defRPr sz="1100">
              <a:solidFill>
                <a:sysClr val="window" lastClr="FFFFFF"/>
              </a:solidFill>
              <a:latin typeface="Calibri" panose="020F0502020204030204"/>
            </a:defRPr>
          </a:lvl4pPr>
          <a:lvl5pPr marL="1828800" indent="0">
            <a:defRPr sz="1100">
              <a:solidFill>
                <a:sysClr val="window" lastClr="FFFFFF"/>
              </a:solidFill>
              <a:latin typeface="Calibri" panose="020F0502020204030204"/>
            </a:defRPr>
          </a:lvl5pPr>
          <a:lvl6pPr marL="2286000" indent="0">
            <a:defRPr sz="1100">
              <a:solidFill>
                <a:sysClr val="window" lastClr="FFFFFF"/>
              </a:solidFill>
              <a:latin typeface="Calibri" panose="020F0502020204030204"/>
            </a:defRPr>
          </a:lvl6pPr>
          <a:lvl7pPr marL="2743200" indent="0">
            <a:defRPr sz="1100">
              <a:solidFill>
                <a:sysClr val="window" lastClr="FFFFFF"/>
              </a:solidFill>
              <a:latin typeface="Calibri" panose="020F0502020204030204"/>
            </a:defRPr>
          </a:lvl7pPr>
          <a:lvl8pPr marL="3200400" indent="0">
            <a:defRPr sz="1100">
              <a:solidFill>
                <a:sysClr val="window" lastClr="FFFFFF"/>
              </a:solidFill>
              <a:latin typeface="Calibri" panose="020F0502020204030204"/>
            </a:defRPr>
          </a:lvl8pPr>
          <a:lvl9pPr marL="3657600" indent="0">
            <a:defRPr sz="1100">
              <a:solidFill>
                <a:sysClr val="window" lastClr="FFFFFF"/>
              </a:solidFill>
              <a:latin typeface="Calibri" panose="020F0502020204030204"/>
            </a:defRPr>
          </a:lvl9pPr>
        </a:lstStyle>
        <a:p xmlns:a="http://schemas.openxmlformats.org/drawingml/2006/main">
          <a:endParaRPr lang="zh-CN" altLang="en-US"/>
        </a:p>
      </cdr:txBody>
    </cdr:sp>
  </cdr:relSizeAnchor>
  <cdr:relSizeAnchor xmlns:cdr="http://schemas.openxmlformats.org/drawingml/2006/chartDrawing">
    <cdr:from>
      <cdr:x>0.32253</cdr:x>
      <cdr:y>0.29112</cdr:y>
    </cdr:from>
    <cdr:to>
      <cdr:x>0.33583</cdr:x>
      <cdr:y>0.33377</cdr:y>
    </cdr:to>
    <cdr:sp macro="" textlink="">
      <cdr:nvSpPr>
        <cdr:cNvPr id="9" name="下箭头 8"/>
        <cdr:cNvSpPr/>
      </cdr:nvSpPr>
      <cdr:spPr>
        <a:xfrm xmlns:a="http://schemas.openxmlformats.org/drawingml/2006/main">
          <a:off x="1769533" y="973667"/>
          <a:ext cx="72943" cy="142641"/>
        </a:xfrm>
        <a:prstGeom xmlns:a="http://schemas.openxmlformats.org/drawingml/2006/main" prst="downArrow">
          <a:avLst/>
        </a:prstGeom>
        <a:solidFill xmlns:a="http://schemas.openxmlformats.org/drawingml/2006/main">
          <a:srgbClr val="7030A0"/>
        </a:solidFill>
        <a:ln xmlns:a="http://schemas.openxmlformats.org/drawingml/2006/main" w="25400" cap="flat" cmpd="sng" algn="ctr">
          <a:solidFill>
            <a:srgbClr val="7030A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ysClr val="window" lastClr="FFFFFF"/>
              </a:solidFill>
              <a:latin typeface="Calibri" panose="020F0502020204030204"/>
            </a:defRPr>
          </a:lvl1pPr>
          <a:lvl2pPr marL="457200" indent="0">
            <a:defRPr sz="1100">
              <a:solidFill>
                <a:sysClr val="window" lastClr="FFFFFF"/>
              </a:solidFill>
              <a:latin typeface="Calibri" panose="020F0502020204030204"/>
            </a:defRPr>
          </a:lvl2pPr>
          <a:lvl3pPr marL="914400" indent="0">
            <a:defRPr sz="1100">
              <a:solidFill>
                <a:sysClr val="window" lastClr="FFFFFF"/>
              </a:solidFill>
              <a:latin typeface="Calibri" panose="020F0502020204030204"/>
            </a:defRPr>
          </a:lvl3pPr>
          <a:lvl4pPr marL="1371600" indent="0">
            <a:defRPr sz="1100">
              <a:solidFill>
                <a:sysClr val="window" lastClr="FFFFFF"/>
              </a:solidFill>
              <a:latin typeface="Calibri" panose="020F0502020204030204"/>
            </a:defRPr>
          </a:lvl4pPr>
          <a:lvl5pPr marL="1828800" indent="0">
            <a:defRPr sz="1100">
              <a:solidFill>
                <a:sysClr val="window" lastClr="FFFFFF"/>
              </a:solidFill>
              <a:latin typeface="Calibri" panose="020F0502020204030204"/>
            </a:defRPr>
          </a:lvl5pPr>
          <a:lvl6pPr marL="2286000" indent="0">
            <a:defRPr sz="1100">
              <a:solidFill>
                <a:sysClr val="window" lastClr="FFFFFF"/>
              </a:solidFill>
              <a:latin typeface="Calibri" panose="020F0502020204030204"/>
            </a:defRPr>
          </a:lvl6pPr>
          <a:lvl7pPr marL="2743200" indent="0">
            <a:defRPr sz="1100">
              <a:solidFill>
                <a:sysClr val="window" lastClr="FFFFFF"/>
              </a:solidFill>
              <a:latin typeface="Calibri" panose="020F0502020204030204"/>
            </a:defRPr>
          </a:lvl7pPr>
          <a:lvl8pPr marL="3200400" indent="0">
            <a:defRPr sz="1100">
              <a:solidFill>
                <a:sysClr val="window" lastClr="FFFFFF"/>
              </a:solidFill>
              <a:latin typeface="Calibri" panose="020F0502020204030204"/>
            </a:defRPr>
          </a:lvl8pPr>
          <a:lvl9pPr marL="3657600" indent="0">
            <a:defRPr sz="1100">
              <a:solidFill>
                <a:sysClr val="window" lastClr="FFFFFF"/>
              </a:solidFill>
              <a:latin typeface="Calibri" panose="020F0502020204030204"/>
            </a:defRPr>
          </a:lvl9pPr>
        </a:lstStyle>
        <a:p xmlns:a="http://schemas.openxmlformats.org/drawingml/2006/main">
          <a:endParaRPr lang="zh-CN" altLang="en-US"/>
        </a:p>
      </cdr:txBody>
    </cdr:sp>
  </cdr:relSizeAnchor>
  <cdr:relSizeAnchor xmlns:cdr="http://schemas.openxmlformats.org/drawingml/2006/chartDrawing">
    <cdr:from>
      <cdr:x>0.25463</cdr:x>
      <cdr:y>0.43795</cdr:y>
    </cdr:from>
    <cdr:to>
      <cdr:x>0.26792</cdr:x>
      <cdr:y>0.4806</cdr:y>
    </cdr:to>
    <cdr:sp macro="" textlink="">
      <cdr:nvSpPr>
        <cdr:cNvPr id="10" name="下箭头 9"/>
        <cdr:cNvSpPr/>
      </cdr:nvSpPr>
      <cdr:spPr>
        <a:xfrm xmlns:a="http://schemas.openxmlformats.org/drawingml/2006/main">
          <a:off x="1397000" y="1464733"/>
          <a:ext cx="72943" cy="142641"/>
        </a:xfrm>
        <a:prstGeom xmlns:a="http://schemas.openxmlformats.org/drawingml/2006/main" prst="downArrow">
          <a:avLst/>
        </a:prstGeom>
        <a:solidFill xmlns:a="http://schemas.openxmlformats.org/drawingml/2006/main">
          <a:srgbClr val="7030A0"/>
        </a:solidFill>
        <a:ln xmlns:a="http://schemas.openxmlformats.org/drawingml/2006/main" w="25400" cap="flat" cmpd="sng" algn="ctr">
          <a:solidFill>
            <a:srgbClr val="7030A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ysClr val="window" lastClr="FFFFFF"/>
              </a:solidFill>
              <a:latin typeface="Calibri" panose="020F0502020204030204"/>
            </a:defRPr>
          </a:lvl1pPr>
          <a:lvl2pPr marL="457200" indent="0">
            <a:defRPr sz="1100">
              <a:solidFill>
                <a:sysClr val="window" lastClr="FFFFFF"/>
              </a:solidFill>
              <a:latin typeface="Calibri" panose="020F0502020204030204"/>
            </a:defRPr>
          </a:lvl2pPr>
          <a:lvl3pPr marL="914400" indent="0">
            <a:defRPr sz="1100">
              <a:solidFill>
                <a:sysClr val="window" lastClr="FFFFFF"/>
              </a:solidFill>
              <a:latin typeface="Calibri" panose="020F0502020204030204"/>
            </a:defRPr>
          </a:lvl3pPr>
          <a:lvl4pPr marL="1371600" indent="0">
            <a:defRPr sz="1100">
              <a:solidFill>
                <a:sysClr val="window" lastClr="FFFFFF"/>
              </a:solidFill>
              <a:latin typeface="Calibri" panose="020F0502020204030204"/>
            </a:defRPr>
          </a:lvl4pPr>
          <a:lvl5pPr marL="1828800" indent="0">
            <a:defRPr sz="1100">
              <a:solidFill>
                <a:sysClr val="window" lastClr="FFFFFF"/>
              </a:solidFill>
              <a:latin typeface="Calibri" panose="020F0502020204030204"/>
            </a:defRPr>
          </a:lvl5pPr>
          <a:lvl6pPr marL="2286000" indent="0">
            <a:defRPr sz="1100">
              <a:solidFill>
                <a:sysClr val="window" lastClr="FFFFFF"/>
              </a:solidFill>
              <a:latin typeface="Calibri" panose="020F0502020204030204"/>
            </a:defRPr>
          </a:lvl6pPr>
          <a:lvl7pPr marL="2743200" indent="0">
            <a:defRPr sz="1100">
              <a:solidFill>
                <a:sysClr val="window" lastClr="FFFFFF"/>
              </a:solidFill>
              <a:latin typeface="Calibri" panose="020F0502020204030204"/>
            </a:defRPr>
          </a:lvl7pPr>
          <a:lvl8pPr marL="3200400" indent="0">
            <a:defRPr sz="1100">
              <a:solidFill>
                <a:sysClr val="window" lastClr="FFFFFF"/>
              </a:solidFill>
              <a:latin typeface="Calibri" panose="020F0502020204030204"/>
            </a:defRPr>
          </a:lvl8pPr>
          <a:lvl9pPr marL="3657600" indent="0">
            <a:defRPr sz="1100">
              <a:solidFill>
                <a:sysClr val="window" lastClr="FFFFFF"/>
              </a:solidFill>
              <a:latin typeface="Calibri" panose="020F0502020204030204"/>
            </a:defRPr>
          </a:lvl9pPr>
        </a:lstStyle>
        <a:p xmlns:a="http://schemas.openxmlformats.org/drawingml/2006/main">
          <a:endParaRPr lang="zh-CN" altLang="en-US"/>
        </a:p>
      </cdr:txBody>
    </cdr:sp>
  </cdr:relSizeAnchor>
  <cdr:relSizeAnchor xmlns:cdr="http://schemas.openxmlformats.org/drawingml/2006/chartDrawing">
    <cdr:from>
      <cdr:x>0.17901</cdr:x>
      <cdr:y>0.49364</cdr:y>
    </cdr:from>
    <cdr:to>
      <cdr:x>0.19231</cdr:x>
      <cdr:y>0.53629</cdr:y>
    </cdr:to>
    <cdr:sp macro="" textlink="">
      <cdr:nvSpPr>
        <cdr:cNvPr id="11" name="下箭头 10"/>
        <cdr:cNvSpPr/>
      </cdr:nvSpPr>
      <cdr:spPr>
        <a:xfrm xmlns:a="http://schemas.openxmlformats.org/drawingml/2006/main">
          <a:off x="982133" y="1651000"/>
          <a:ext cx="72943" cy="142641"/>
        </a:xfrm>
        <a:prstGeom xmlns:a="http://schemas.openxmlformats.org/drawingml/2006/main" prst="downArrow">
          <a:avLst/>
        </a:prstGeom>
        <a:solidFill xmlns:a="http://schemas.openxmlformats.org/drawingml/2006/main">
          <a:srgbClr val="7030A0"/>
        </a:solidFill>
        <a:ln xmlns:a="http://schemas.openxmlformats.org/drawingml/2006/main" w="25400" cap="flat" cmpd="sng" algn="ctr">
          <a:solidFill>
            <a:srgbClr val="7030A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ysClr val="window" lastClr="FFFFFF"/>
              </a:solidFill>
              <a:latin typeface="Calibri" panose="020F0502020204030204"/>
            </a:defRPr>
          </a:lvl1pPr>
          <a:lvl2pPr marL="457200" indent="0">
            <a:defRPr sz="1100">
              <a:solidFill>
                <a:sysClr val="window" lastClr="FFFFFF"/>
              </a:solidFill>
              <a:latin typeface="Calibri" panose="020F0502020204030204"/>
            </a:defRPr>
          </a:lvl2pPr>
          <a:lvl3pPr marL="914400" indent="0">
            <a:defRPr sz="1100">
              <a:solidFill>
                <a:sysClr val="window" lastClr="FFFFFF"/>
              </a:solidFill>
              <a:latin typeface="Calibri" panose="020F0502020204030204"/>
            </a:defRPr>
          </a:lvl3pPr>
          <a:lvl4pPr marL="1371600" indent="0">
            <a:defRPr sz="1100">
              <a:solidFill>
                <a:sysClr val="window" lastClr="FFFFFF"/>
              </a:solidFill>
              <a:latin typeface="Calibri" panose="020F0502020204030204"/>
            </a:defRPr>
          </a:lvl4pPr>
          <a:lvl5pPr marL="1828800" indent="0">
            <a:defRPr sz="1100">
              <a:solidFill>
                <a:sysClr val="window" lastClr="FFFFFF"/>
              </a:solidFill>
              <a:latin typeface="Calibri" panose="020F0502020204030204"/>
            </a:defRPr>
          </a:lvl5pPr>
          <a:lvl6pPr marL="2286000" indent="0">
            <a:defRPr sz="1100">
              <a:solidFill>
                <a:sysClr val="window" lastClr="FFFFFF"/>
              </a:solidFill>
              <a:latin typeface="Calibri" panose="020F0502020204030204"/>
            </a:defRPr>
          </a:lvl6pPr>
          <a:lvl7pPr marL="2743200" indent="0">
            <a:defRPr sz="1100">
              <a:solidFill>
                <a:sysClr val="window" lastClr="FFFFFF"/>
              </a:solidFill>
              <a:latin typeface="Calibri" panose="020F0502020204030204"/>
            </a:defRPr>
          </a:lvl7pPr>
          <a:lvl8pPr marL="3200400" indent="0">
            <a:defRPr sz="1100">
              <a:solidFill>
                <a:sysClr val="window" lastClr="FFFFFF"/>
              </a:solidFill>
              <a:latin typeface="Calibri" panose="020F0502020204030204"/>
            </a:defRPr>
          </a:lvl8pPr>
          <a:lvl9pPr marL="3657600" indent="0">
            <a:defRPr sz="1100">
              <a:solidFill>
                <a:sysClr val="window" lastClr="FFFFFF"/>
              </a:solidFill>
              <a:latin typeface="Calibri" panose="020F0502020204030204"/>
            </a:defRPr>
          </a:lvl9pPr>
        </a:lstStyle>
        <a:p xmlns:a="http://schemas.openxmlformats.org/drawingml/2006/main">
          <a:endParaRPr lang="zh-CN" altLang="en-US"/>
        </a:p>
      </cdr:txBody>
    </cdr:sp>
  </cdr:relSizeAnchor>
  <cdr:relSizeAnchor xmlns:cdr="http://schemas.openxmlformats.org/drawingml/2006/chartDrawing">
    <cdr:from>
      <cdr:x>0.72184</cdr:x>
      <cdr:y>0.16455</cdr:y>
    </cdr:from>
    <cdr:to>
      <cdr:x>0.80208</cdr:x>
      <cdr:y>0.42782</cdr:y>
    </cdr:to>
    <cdr:sp macro="" textlink="">
      <cdr:nvSpPr>
        <cdr:cNvPr id="12" name="直接连接符 11"/>
        <cdr:cNvSpPr/>
      </cdr:nvSpPr>
      <cdr:spPr>
        <a:xfrm xmlns:a="http://schemas.openxmlformats.org/drawingml/2006/main" flipH="1">
          <a:off x="3960282" y="550334"/>
          <a:ext cx="440267" cy="880533"/>
        </a:xfrm>
        <a:prstGeom xmlns:a="http://schemas.openxmlformats.org/drawingml/2006/main" prst="line">
          <a:avLst/>
        </a:prstGeom>
        <a:noFill xmlns:a="http://schemas.openxmlformats.org/drawingml/2006/main"/>
        <a:ln xmlns:a="http://schemas.openxmlformats.org/drawingml/2006/main" w="25400" cap="flat" cmpd="sng" algn="ctr">
          <a:solidFill>
            <a:srgbClr val="F79646"/>
          </a:solidFill>
          <a:prstDash val="sys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ysClr val="windowText" lastClr="000000"/>
              </a:solidFill>
              <a:latin typeface="Calibri" panose="020F0502020204030204"/>
            </a:defRPr>
          </a:lvl1pPr>
          <a:lvl2pPr marL="457200" indent="0">
            <a:defRPr sz="1100">
              <a:solidFill>
                <a:sysClr val="windowText" lastClr="000000"/>
              </a:solidFill>
              <a:latin typeface="Calibri" panose="020F0502020204030204"/>
            </a:defRPr>
          </a:lvl2pPr>
          <a:lvl3pPr marL="914400" indent="0">
            <a:defRPr sz="1100">
              <a:solidFill>
                <a:sysClr val="windowText" lastClr="000000"/>
              </a:solidFill>
              <a:latin typeface="Calibri" panose="020F0502020204030204"/>
            </a:defRPr>
          </a:lvl3pPr>
          <a:lvl4pPr marL="1371600" indent="0">
            <a:defRPr sz="1100">
              <a:solidFill>
                <a:sysClr val="windowText" lastClr="000000"/>
              </a:solidFill>
              <a:latin typeface="Calibri" panose="020F0502020204030204"/>
            </a:defRPr>
          </a:lvl4pPr>
          <a:lvl5pPr marL="1828800" indent="0">
            <a:defRPr sz="1100">
              <a:solidFill>
                <a:sysClr val="windowText" lastClr="000000"/>
              </a:solidFill>
              <a:latin typeface="Calibri" panose="020F0502020204030204"/>
            </a:defRPr>
          </a:lvl5pPr>
          <a:lvl6pPr marL="2286000" indent="0">
            <a:defRPr sz="1100">
              <a:solidFill>
                <a:sysClr val="windowText" lastClr="000000"/>
              </a:solidFill>
              <a:latin typeface="Calibri" panose="020F0502020204030204"/>
            </a:defRPr>
          </a:lvl6pPr>
          <a:lvl7pPr marL="2743200" indent="0">
            <a:defRPr sz="1100">
              <a:solidFill>
                <a:sysClr val="windowText" lastClr="000000"/>
              </a:solidFill>
              <a:latin typeface="Calibri" panose="020F0502020204030204"/>
            </a:defRPr>
          </a:lvl7pPr>
          <a:lvl8pPr marL="3200400" indent="0">
            <a:defRPr sz="1100">
              <a:solidFill>
                <a:sysClr val="windowText" lastClr="000000"/>
              </a:solidFill>
              <a:latin typeface="Calibri" panose="020F0502020204030204"/>
            </a:defRPr>
          </a:lvl8pPr>
          <a:lvl9pPr marL="3657600" indent="0">
            <a:defRPr sz="1100">
              <a:solidFill>
                <a:sysClr val="windowText" lastClr="000000"/>
              </a:solidFill>
              <a:latin typeface="Calibri" panose="020F0502020204030204"/>
            </a:defRPr>
          </a:lvl9pPr>
        </a:lstStyle>
        <a:p xmlns:a="http://schemas.openxmlformats.org/drawingml/2006/main">
          <a:endParaRPr lang="zh-CN" altLang="en-US"/>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834565-E328-431D-9AF0-D6F0E10D6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4661</Words>
  <Characters>26568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6</cp:revision>
  <dcterms:created xsi:type="dcterms:W3CDTF">2019-05-09T13:45:00Z</dcterms:created>
  <dcterms:modified xsi:type="dcterms:W3CDTF">2019-07-06T08:19:00Z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y fmtid="{D5CDD505-2E9C-101B-9397-08002B2CF9AE}" pid="3" name="LastTick">
    <vt:r8>43486.9544444444</vt:r8>
  </property>
  <property fmtid="{D5CDD505-2E9C-101B-9397-08002B2CF9AE}" pid="4" name="UseTimer">
    <vt:bool>true</vt:bool>
  </property>
</Properties>
</file>