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55A7" w14:textId="77777777" w:rsidR="00743CC7" w:rsidRPr="00246B02" w:rsidRDefault="00743CC7" w:rsidP="00246B02">
      <w:pPr>
        <w:adjustRightInd w:val="0"/>
        <w:snapToGrid w:val="0"/>
        <w:spacing w:line="360" w:lineRule="auto"/>
        <w:jc w:val="both"/>
        <w:rPr>
          <w:rFonts w:ascii="Book Antiqua" w:hAnsi="Book Antiqua"/>
          <w:b/>
          <w:color w:val="000000" w:themeColor="text1"/>
          <w:sz w:val="24"/>
          <w:szCs w:val="24"/>
        </w:rPr>
      </w:pPr>
      <w:r w:rsidRPr="00246B02">
        <w:rPr>
          <w:rFonts w:ascii="Book Antiqua" w:eastAsia="Times New Roman" w:hAnsi="Book Antiqua" w:cs="宋体"/>
          <w:b/>
          <w:color w:val="000000" w:themeColor="text1"/>
          <w:sz w:val="24"/>
          <w:szCs w:val="24"/>
        </w:rPr>
        <w:t xml:space="preserve">Name of Journal: </w:t>
      </w:r>
      <w:r w:rsidRPr="00246B02">
        <w:rPr>
          <w:rFonts w:ascii="Book Antiqua" w:eastAsia="Times New Roman" w:hAnsi="Book Antiqua" w:cs="宋体"/>
          <w:i/>
          <w:color w:val="000000" w:themeColor="text1"/>
          <w:sz w:val="24"/>
          <w:szCs w:val="24"/>
        </w:rPr>
        <w:t>World Journal of Clinical Cases</w:t>
      </w:r>
    </w:p>
    <w:p w14:paraId="46AAAE7A" w14:textId="5F62027E" w:rsidR="00743CC7" w:rsidRPr="00246B02" w:rsidRDefault="00743CC7" w:rsidP="00246B02">
      <w:pPr>
        <w:spacing w:line="360" w:lineRule="auto"/>
        <w:jc w:val="both"/>
        <w:rPr>
          <w:rFonts w:ascii="Book Antiqua" w:eastAsia="Times New Roman" w:hAnsi="Book Antiqua" w:cs="宋体"/>
          <w:b/>
          <w:i/>
          <w:color w:val="000000" w:themeColor="text1"/>
          <w:sz w:val="24"/>
          <w:szCs w:val="24"/>
        </w:rPr>
      </w:pPr>
      <w:r w:rsidRPr="00246B02">
        <w:rPr>
          <w:rFonts w:ascii="Book Antiqua" w:hAnsi="Book Antiqua" w:cs="Arial"/>
          <w:b/>
          <w:color w:val="000000" w:themeColor="text1"/>
          <w:sz w:val="24"/>
          <w:szCs w:val="24"/>
          <w:lang w:val="en"/>
        </w:rPr>
        <w:t xml:space="preserve">Manuscript NO: </w:t>
      </w:r>
      <w:r w:rsidRPr="00246B02">
        <w:rPr>
          <w:rFonts w:ascii="Book Antiqua" w:hAnsi="Book Antiqua" w:cs="Arial"/>
          <w:color w:val="000000" w:themeColor="text1"/>
          <w:sz w:val="24"/>
          <w:szCs w:val="24"/>
          <w:lang w:val="en"/>
        </w:rPr>
        <w:t>48139</w:t>
      </w:r>
    </w:p>
    <w:p w14:paraId="1CF44AC0" w14:textId="33F21D53" w:rsidR="00743CC7" w:rsidRPr="00246B02" w:rsidRDefault="00743CC7" w:rsidP="00246B02">
      <w:pPr>
        <w:spacing w:line="360" w:lineRule="auto"/>
        <w:jc w:val="both"/>
        <w:rPr>
          <w:rFonts w:ascii="Book Antiqua" w:eastAsia="幼圆" w:hAnsi="Book Antiqua"/>
          <w:b/>
          <w:i/>
          <w:color w:val="000000" w:themeColor="text1"/>
          <w:sz w:val="24"/>
          <w:szCs w:val="24"/>
        </w:rPr>
      </w:pPr>
      <w:bookmarkStart w:id="0" w:name="OLE_LINK4"/>
      <w:r w:rsidRPr="00246B02">
        <w:rPr>
          <w:rFonts w:ascii="Book Antiqua" w:hAnsi="Book Antiqua"/>
          <w:b/>
          <w:color w:val="000000" w:themeColor="text1"/>
          <w:sz w:val="24"/>
          <w:szCs w:val="24"/>
          <w:shd w:val="clear" w:color="auto" w:fill="FFFFFF"/>
        </w:rPr>
        <w:t>Manuscript Type</w:t>
      </w:r>
      <w:bookmarkEnd w:id="0"/>
      <w:r w:rsidRPr="00246B02">
        <w:rPr>
          <w:rFonts w:ascii="Book Antiqua" w:hAnsi="Book Antiqua"/>
          <w:b/>
          <w:color w:val="000000" w:themeColor="text1"/>
          <w:kern w:val="0"/>
          <w:sz w:val="24"/>
          <w:szCs w:val="24"/>
        </w:rPr>
        <w:t xml:space="preserve">: </w:t>
      </w:r>
      <w:r w:rsidR="00A76892" w:rsidRPr="00246B02">
        <w:rPr>
          <w:rFonts w:ascii="Book Antiqua" w:hAnsi="Book Antiqua"/>
          <w:color w:val="000000" w:themeColor="text1"/>
          <w:kern w:val="0"/>
          <w:sz w:val="24"/>
          <w:szCs w:val="24"/>
        </w:rPr>
        <w:t>MINIREVIEWS</w:t>
      </w:r>
    </w:p>
    <w:p w14:paraId="083AC621" w14:textId="77777777" w:rsidR="00DD77D1" w:rsidRPr="00246B02" w:rsidRDefault="00DD77D1" w:rsidP="00246B02">
      <w:pPr>
        <w:spacing w:line="360" w:lineRule="auto"/>
        <w:jc w:val="both"/>
        <w:rPr>
          <w:rFonts w:ascii="Book Antiqua" w:hAnsi="Book Antiqua" w:cs="Times New Roman"/>
          <w:b/>
          <w:color w:val="000000" w:themeColor="text1"/>
          <w:sz w:val="24"/>
          <w:szCs w:val="24"/>
        </w:rPr>
      </w:pPr>
    </w:p>
    <w:p w14:paraId="51CFA0BA" w14:textId="0F0C804B" w:rsidR="00837F36" w:rsidRPr="00246B02" w:rsidRDefault="00837F36"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 xml:space="preserve">Neoadjuvant endocrine therapy: </w:t>
      </w:r>
      <w:r w:rsidR="00743CC7" w:rsidRPr="00246B02">
        <w:rPr>
          <w:rFonts w:ascii="Book Antiqua" w:hAnsi="Book Antiqua" w:cs="Times New Roman"/>
          <w:b/>
          <w:color w:val="000000" w:themeColor="text1"/>
          <w:sz w:val="24"/>
          <w:szCs w:val="24"/>
        </w:rPr>
        <w:t>A</w:t>
      </w:r>
      <w:r w:rsidRPr="00246B02">
        <w:rPr>
          <w:rFonts w:ascii="Book Antiqua" w:hAnsi="Book Antiqua" w:cs="Times New Roman"/>
          <w:b/>
          <w:color w:val="000000" w:themeColor="text1"/>
          <w:sz w:val="24"/>
          <w:szCs w:val="24"/>
        </w:rPr>
        <w:t xml:space="preserve"> potential strategy for ER-positive breast cancer</w:t>
      </w:r>
    </w:p>
    <w:p w14:paraId="2F6C9081" w14:textId="72F06958" w:rsidR="006C7BD3" w:rsidRPr="00246B02" w:rsidRDefault="006C7BD3" w:rsidP="00246B02">
      <w:pPr>
        <w:spacing w:line="360" w:lineRule="auto"/>
        <w:jc w:val="both"/>
        <w:rPr>
          <w:rFonts w:ascii="Book Antiqua" w:hAnsi="Book Antiqua" w:cs="Times New Roman"/>
          <w:b/>
          <w:color w:val="000000" w:themeColor="text1"/>
          <w:sz w:val="24"/>
          <w:szCs w:val="24"/>
        </w:rPr>
      </w:pPr>
    </w:p>
    <w:p w14:paraId="0C0655ED" w14:textId="0DDF02F5" w:rsidR="006C7BD3" w:rsidRPr="00246B02" w:rsidRDefault="006C7BD3" w:rsidP="00246B02">
      <w:pPr>
        <w:spacing w:line="360" w:lineRule="auto"/>
        <w:jc w:val="both"/>
        <w:rPr>
          <w:rFonts w:ascii="Book Antiqua" w:hAnsi="Book Antiqua" w:cs="Times New Roman"/>
          <w:bCs/>
          <w:color w:val="000000" w:themeColor="text1"/>
          <w:sz w:val="24"/>
          <w:szCs w:val="24"/>
        </w:rPr>
      </w:pPr>
      <w:r w:rsidRPr="00246B02">
        <w:rPr>
          <w:rFonts w:ascii="Book Antiqua" w:hAnsi="Book Antiqua" w:cs="Times New Roman"/>
          <w:bCs/>
          <w:color w:val="000000" w:themeColor="text1"/>
          <w:sz w:val="24"/>
          <w:szCs w:val="24"/>
        </w:rPr>
        <w:t>Yao LT</w:t>
      </w:r>
      <w:r w:rsidRPr="00246B02">
        <w:rPr>
          <w:rFonts w:ascii="Book Antiqua" w:hAnsi="Book Antiqua" w:cs="Times New Roman"/>
          <w:bCs/>
          <w:i/>
          <w:iCs/>
          <w:color w:val="000000" w:themeColor="text1"/>
          <w:sz w:val="24"/>
          <w:szCs w:val="24"/>
        </w:rPr>
        <w:t xml:space="preserve"> et al.</w:t>
      </w:r>
      <w:r w:rsidRPr="00246B02">
        <w:rPr>
          <w:rFonts w:ascii="Book Antiqua" w:hAnsi="Book Antiqua" w:cs="Times New Roman"/>
          <w:b/>
          <w:i/>
          <w:iCs/>
          <w:color w:val="000000" w:themeColor="text1"/>
          <w:sz w:val="24"/>
          <w:szCs w:val="24"/>
        </w:rPr>
        <w:t xml:space="preserve"> </w:t>
      </w:r>
      <w:r w:rsidR="0074410C" w:rsidRPr="00246B02">
        <w:rPr>
          <w:rFonts w:ascii="Book Antiqua" w:hAnsi="Book Antiqua" w:cs="Times New Roman"/>
          <w:bCs/>
          <w:color w:val="000000" w:themeColor="text1"/>
          <w:sz w:val="24"/>
          <w:szCs w:val="24"/>
        </w:rPr>
        <w:t>NAE</w:t>
      </w:r>
      <w:r w:rsidRPr="00246B02">
        <w:rPr>
          <w:rFonts w:ascii="Book Antiqua" w:hAnsi="Book Antiqua" w:cs="Times New Roman"/>
          <w:bCs/>
          <w:color w:val="000000" w:themeColor="text1"/>
          <w:sz w:val="24"/>
          <w:szCs w:val="24"/>
        </w:rPr>
        <w:t xml:space="preserve"> for ER+ </w:t>
      </w:r>
      <w:r w:rsidR="0074410C" w:rsidRPr="00246B02">
        <w:rPr>
          <w:rFonts w:ascii="Book Antiqua" w:hAnsi="Book Antiqua" w:cs="Times New Roman"/>
          <w:bCs/>
          <w:color w:val="000000" w:themeColor="text1"/>
          <w:sz w:val="24"/>
          <w:szCs w:val="24"/>
        </w:rPr>
        <w:t xml:space="preserve">breast cancer </w:t>
      </w:r>
      <w:r w:rsidRPr="00246B02">
        <w:rPr>
          <w:rFonts w:ascii="Book Antiqua" w:hAnsi="Book Antiqua" w:cs="Times New Roman"/>
          <w:bCs/>
          <w:color w:val="000000" w:themeColor="text1"/>
          <w:sz w:val="24"/>
          <w:szCs w:val="24"/>
        </w:rPr>
        <w:t>patients</w:t>
      </w:r>
    </w:p>
    <w:p w14:paraId="39B70637" w14:textId="77777777" w:rsidR="006C7BD3" w:rsidRPr="00246B02" w:rsidRDefault="006C7BD3" w:rsidP="00246B02">
      <w:pPr>
        <w:spacing w:line="360" w:lineRule="auto"/>
        <w:jc w:val="both"/>
        <w:rPr>
          <w:rFonts w:ascii="Book Antiqua" w:hAnsi="Book Antiqua" w:cs="Times New Roman"/>
          <w:bCs/>
          <w:color w:val="000000" w:themeColor="text1"/>
          <w:sz w:val="24"/>
          <w:szCs w:val="24"/>
        </w:rPr>
      </w:pPr>
    </w:p>
    <w:p w14:paraId="692666F4" w14:textId="440D824D" w:rsidR="008B5D6E" w:rsidRPr="00246B02" w:rsidRDefault="008B5D6E" w:rsidP="00246B02">
      <w:pPr>
        <w:spacing w:line="360" w:lineRule="auto"/>
        <w:jc w:val="both"/>
        <w:rPr>
          <w:rFonts w:ascii="Book Antiqua" w:hAnsi="Book Antiqua" w:cs="Times New Roman"/>
          <w:color w:val="000000" w:themeColor="text1"/>
          <w:sz w:val="24"/>
          <w:szCs w:val="24"/>
        </w:rPr>
      </w:pPr>
      <w:bookmarkStart w:id="1" w:name="_Hlk4962634"/>
      <w:r w:rsidRPr="00246B02">
        <w:rPr>
          <w:rFonts w:ascii="Book Antiqua" w:hAnsi="Book Antiqua" w:cs="Times New Roman"/>
          <w:color w:val="000000" w:themeColor="text1"/>
          <w:sz w:val="24"/>
          <w:szCs w:val="24"/>
        </w:rPr>
        <w:t>Li-</w:t>
      </w:r>
      <w:r w:rsidR="00743CC7" w:rsidRPr="00246B02">
        <w:rPr>
          <w:rFonts w:ascii="Book Antiqua" w:hAnsi="Book Antiqua" w:cs="Times New Roman"/>
          <w:color w:val="000000" w:themeColor="text1"/>
          <w:sz w:val="24"/>
          <w:szCs w:val="24"/>
        </w:rPr>
        <w:t xml:space="preserve">Tong </w:t>
      </w:r>
      <w:r w:rsidRPr="00246B02">
        <w:rPr>
          <w:rFonts w:ascii="Book Antiqua" w:hAnsi="Book Antiqua" w:cs="Times New Roman"/>
          <w:color w:val="000000" w:themeColor="text1"/>
          <w:sz w:val="24"/>
          <w:szCs w:val="24"/>
        </w:rPr>
        <w:t>Yao, Mo-</w:t>
      </w:r>
      <w:r w:rsidR="00743CC7" w:rsidRPr="00246B02">
        <w:rPr>
          <w:rFonts w:ascii="Book Antiqua" w:hAnsi="Book Antiqua" w:cs="Times New Roman"/>
          <w:color w:val="000000" w:themeColor="text1"/>
          <w:sz w:val="24"/>
          <w:szCs w:val="24"/>
        </w:rPr>
        <w:t xml:space="preserve">Zhi </w:t>
      </w:r>
      <w:r w:rsidRPr="00246B02">
        <w:rPr>
          <w:rFonts w:ascii="Book Antiqua" w:hAnsi="Book Antiqua" w:cs="Times New Roman"/>
          <w:color w:val="000000" w:themeColor="text1"/>
          <w:sz w:val="24"/>
          <w:szCs w:val="24"/>
        </w:rPr>
        <w:t>Wang, Meng-</w:t>
      </w:r>
      <w:r w:rsidR="00743CC7" w:rsidRPr="00246B02">
        <w:rPr>
          <w:rFonts w:ascii="Book Antiqua" w:hAnsi="Book Antiqua" w:cs="Times New Roman"/>
          <w:color w:val="000000" w:themeColor="text1"/>
          <w:sz w:val="24"/>
          <w:szCs w:val="24"/>
        </w:rPr>
        <w:t xml:space="preserve">Shen </w:t>
      </w:r>
      <w:r w:rsidRPr="00246B02">
        <w:rPr>
          <w:rFonts w:ascii="Book Antiqua" w:hAnsi="Book Antiqua" w:cs="Times New Roman"/>
          <w:color w:val="000000" w:themeColor="text1"/>
          <w:sz w:val="24"/>
          <w:szCs w:val="24"/>
        </w:rPr>
        <w:t>Wang, Xue-</w:t>
      </w:r>
      <w:r w:rsidR="00743CC7" w:rsidRPr="00246B02">
        <w:rPr>
          <w:rFonts w:ascii="Book Antiqua" w:hAnsi="Book Antiqua" w:cs="Times New Roman"/>
          <w:color w:val="000000" w:themeColor="text1"/>
          <w:sz w:val="24"/>
          <w:szCs w:val="24"/>
        </w:rPr>
        <w:t xml:space="preserve">Ting </w:t>
      </w:r>
      <w:r w:rsidRPr="00246B02">
        <w:rPr>
          <w:rFonts w:ascii="Book Antiqua" w:hAnsi="Book Antiqua" w:cs="Times New Roman"/>
          <w:color w:val="000000" w:themeColor="text1"/>
          <w:sz w:val="24"/>
          <w:szCs w:val="24"/>
        </w:rPr>
        <w:t>Yu, Jing-</w:t>
      </w:r>
      <w:r w:rsidR="00743CC7" w:rsidRPr="00246B02">
        <w:rPr>
          <w:rFonts w:ascii="Book Antiqua" w:hAnsi="Book Antiqua" w:cs="Times New Roman"/>
          <w:color w:val="000000" w:themeColor="text1"/>
          <w:sz w:val="24"/>
          <w:szCs w:val="24"/>
        </w:rPr>
        <w:t xml:space="preserve">Yi </w:t>
      </w:r>
      <w:r w:rsidRPr="00246B02">
        <w:rPr>
          <w:rFonts w:ascii="Book Antiqua" w:hAnsi="Book Antiqua" w:cs="Times New Roman"/>
          <w:color w:val="000000" w:themeColor="text1"/>
          <w:sz w:val="24"/>
          <w:szCs w:val="24"/>
        </w:rPr>
        <w:t>Guo, Tie Sun, Xin-</w:t>
      </w:r>
      <w:r w:rsidR="00743CC7" w:rsidRPr="00246B02">
        <w:rPr>
          <w:rFonts w:ascii="Book Antiqua" w:hAnsi="Book Antiqua" w:cs="Times New Roman"/>
          <w:color w:val="000000" w:themeColor="text1"/>
          <w:sz w:val="24"/>
          <w:szCs w:val="24"/>
        </w:rPr>
        <w:t xml:space="preserve">Yan </w:t>
      </w:r>
      <w:r w:rsidRPr="00246B02">
        <w:rPr>
          <w:rFonts w:ascii="Book Antiqua" w:hAnsi="Book Antiqua" w:cs="Times New Roman"/>
          <w:color w:val="000000" w:themeColor="text1"/>
          <w:sz w:val="24"/>
          <w:szCs w:val="24"/>
        </w:rPr>
        <w:t>Li, Ying-</w:t>
      </w:r>
      <w:r w:rsidR="00743CC7" w:rsidRPr="00246B02">
        <w:rPr>
          <w:rFonts w:ascii="Book Antiqua" w:hAnsi="Book Antiqua" w:cs="Times New Roman"/>
          <w:color w:val="000000" w:themeColor="text1"/>
          <w:sz w:val="24"/>
          <w:szCs w:val="24"/>
        </w:rPr>
        <w:t xml:space="preserve">Ying </w:t>
      </w:r>
      <w:r w:rsidRPr="00246B02">
        <w:rPr>
          <w:rFonts w:ascii="Book Antiqua" w:hAnsi="Book Antiqua" w:cs="Times New Roman"/>
          <w:color w:val="000000" w:themeColor="text1"/>
          <w:sz w:val="24"/>
          <w:szCs w:val="24"/>
        </w:rPr>
        <w:t>Xu</w:t>
      </w:r>
    </w:p>
    <w:bookmarkEnd w:id="1"/>
    <w:p w14:paraId="014888D1" w14:textId="77777777" w:rsidR="008B5D6E" w:rsidRPr="00246B02" w:rsidRDefault="008B5D6E" w:rsidP="00246B02">
      <w:pPr>
        <w:spacing w:line="360" w:lineRule="auto"/>
        <w:jc w:val="both"/>
        <w:rPr>
          <w:rFonts w:ascii="Book Antiqua" w:hAnsi="Book Antiqua" w:cs="Times New Roman"/>
          <w:b/>
          <w:color w:val="000000" w:themeColor="text1"/>
          <w:sz w:val="24"/>
          <w:szCs w:val="24"/>
        </w:rPr>
      </w:pPr>
    </w:p>
    <w:p w14:paraId="56B57C29" w14:textId="17BFB840" w:rsidR="008B5D6E" w:rsidRPr="00246B02" w:rsidRDefault="008B5D6E"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Li-</w:t>
      </w:r>
      <w:r w:rsidR="00F37DDB" w:rsidRPr="00246B02">
        <w:rPr>
          <w:rFonts w:ascii="Book Antiqua" w:hAnsi="Book Antiqua" w:cs="Times New Roman"/>
          <w:b/>
          <w:color w:val="000000" w:themeColor="text1"/>
          <w:sz w:val="24"/>
          <w:szCs w:val="24"/>
        </w:rPr>
        <w:t xml:space="preserve">Tong </w:t>
      </w:r>
      <w:r w:rsidRPr="00246B02">
        <w:rPr>
          <w:rFonts w:ascii="Book Antiqua" w:hAnsi="Book Antiqua" w:cs="Times New Roman"/>
          <w:b/>
          <w:color w:val="000000" w:themeColor="text1"/>
          <w:sz w:val="24"/>
          <w:szCs w:val="24"/>
        </w:rPr>
        <w:t>Yao, Mo-</w:t>
      </w:r>
      <w:r w:rsidR="00F37DDB" w:rsidRPr="00246B02">
        <w:rPr>
          <w:rFonts w:ascii="Book Antiqua" w:hAnsi="Book Antiqua" w:cs="Times New Roman"/>
          <w:b/>
          <w:color w:val="000000" w:themeColor="text1"/>
          <w:sz w:val="24"/>
          <w:szCs w:val="24"/>
        </w:rPr>
        <w:t xml:space="preserve">Zhi </w:t>
      </w:r>
      <w:r w:rsidRPr="00246B02">
        <w:rPr>
          <w:rFonts w:ascii="Book Antiqua" w:hAnsi="Book Antiqua" w:cs="Times New Roman"/>
          <w:b/>
          <w:color w:val="000000" w:themeColor="text1"/>
          <w:sz w:val="24"/>
          <w:szCs w:val="24"/>
        </w:rPr>
        <w:t>Wang, Meng-</w:t>
      </w:r>
      <w:r w:rsidR="00F37DDB" w:rsidRPr="00246B02">
        <w:rPr>
          <w:rFonts w:ascii="Book Antiqua" w:hAnsi="Book Antiqua" w:cs="Times New Roman"/>
          <w:b/>
          <w:color w:val="000000" w:themeColor="text1"/>
          <w:sz w:val="24"/>
          <w:szCs w:val="24"/>
        </w:rPr>
        <w:t xml:space="preserve">Shen </w:t>
      </w:r>
      <w:r w:rsidRPr="00246B02">
        <w:rPr>
          <w:rFonts w:ascii="Book Antiqua" w:hAnsi="Book Antiqua" w:cs="Times New Roman"/>
          <w:b/>
          <w:color w:val="000000" w:themeColor="text1"/>
          <w:sz w:val="24"/>
          <w:szCs w:val="24"/>
        </w:rPr>
        <w:t>Wang, Xue-</w:t>
      </w:r>
      <w:r w:rsidR="00F37DDB" w:rsidRPr="00246B02">
        <w:rPr>
          <w:rFonts w:ascii="Book Antiqua" w:hAnsi="Book Antiqua" w:cs="Times New Roman"/>
          <w:b/>
          <w:color w:val="000000" w:themeColor="text1"/>
          <w:sz w:val="24"/>
          <w:szCs w:val="24"/>
        </w:rPr>
        <w:t xml:space="preserve">Ting </w:t>
      </w:r>
      <w:r w:rsidRPr="00246B02">
        <w:rPr>
          <w:rFonts w:ascii="Book Antiqua" w:hAnsi="Book Antiqua" w:cs="Times New Roman"/>
          <w:b/>
          <w:color w:val="000000" w:themeColor="text1"/>
          <w:sz w:val="24"/>
          <w:szCs w:val="24"/>
        </w:rPr>
        <w:t>Yu, Jing-</w:t>
      </w:r>
      <w:r w:rsidR="00F37DDB" w:rsidRPr="00246B02">
        <w:rPr>
          <w:rFonts w:ascii="Book Antiqua" w:hAnsi="Book Antiqua" w:cs="Times New Roman"/>
          <w:b/>
          <w:color w:val="000000" w:themeColor="text1"/>
          <w:sz w:val="24"/>
          <w:szCs w:val="24"/>
        </w:rPr>
        <w:t xml:space="preserve">Yi </w:t>
      </w:r>
      <w:r w:rsidRPr="00246B02">
        <w:rPr>
          <w:rFonts w:ascii="Book Antiqua" w:hAnsi="Book Antiqua" w:cs="Times New Roman"/>
          <w:b/>
          <w:color w:val="000000" w:themeColor="text1"/>
          <w:sz w:val="24"/>
          <w:szCs w:val="24"/>
        </w:rPr>
        <w:t>Guo, Tie Sun, Xin-</w:t>
      </w:r>
      <w:r w:rsidR="00F37DDB" w:rsidRPr="00246B02">
        <w:rPr>
          <w:rFonts w:ascii="Book Antiqua" w:hAnsi="Book Antiqua" w:cs="Times New Roman"/>
          <w:b/>
          <w:color w:val="000000" w:themeColor="text1"/>
          <w:sz w:val="24"/>
          <w:szCs w:val="24"/>
        </w:rPr>
        <w:t xml:space="preserve">Yan </w:t>
      </w:r>
      <w:r w:rsidRPr="00246B02">
        <w:rPr>
          <w:rFonts w:ascii="Book Antiqua" w:hAnsi="Book Antiqua" w:cs="Times New Roman"/>
          <w:b/>
          <w:color w:val="000000" w:themeColor="text1"/>
          <w:sz w:val="24"/>
          <w:szCs w:val="24"/>
        </w:rPr>
        <w:t>Li, Ying-</w:t>
      </w:r>
      <w:r w:rsidR="00F37DDB" w:rsidRPr="00246B02">
        <w:rPr>
          <w:rFonts w:ascii="Book Antiqua" w:hAnsi="Book Antiqua" w:cs="Times New Roman"/>
          <w:b/>
          <w:color w:val="000000" w:themeColor="text1"/>
          <w:sz w:val="24"/>
          <w:szCs w:val="24"/>
        </w:rPr>
        <w:t xml:space="preserve">Ying </w:t>
      </w:r>
      <w:r w:rsidRPr="00246B02">
        <w:rPr>
          <w:rFonts w:ascii="Book Antiqua" w:hAnsi="Book Antiqua" w:cs="Times New Roman"/>
          <w:b/>
          <w:color w:val="000000" w:themeColor="text1"/>
          <w:sz w:val="24"/>
          <w:szCs w:val="24"/>
        </w:rPr>
        <w:t xml:space="preserve">Xu, </w:t>
      </w:r>
      <w:r w:rsidRPr="00246B02">
        <w:rPr>
          <w:rFonts w:ascii="Book Antiqua" w:hAnsi="Book Antiqua" w:cs="Times New Roman"/>
          <w:color w:val="000000" w:themeColor="text1"/>
          <w:sz w:val="24"/>
          <w:szCs w:val="24"/>
        </w:rPr>
        <w:t>Department of Breast Surgery, the First Affiliated Hospital of China Medical University, Shenyang</w:t>
      </w:r>
      <w:r w:rsidR="00743CC7" w:rsidRPr="00246B02">
        <w:rPr>
          <w:rFonts w:ascii="Book Antiqua" w:hAnsi="Book Antiqua" w:cs="Times New Roman"/>
          <w:color w:val="000000" w:themeColor="text1"/>
          <w:sz w:val="24"/>
          <w:szCs w:val="24"/>
        </w:rPr>
        <w:t xml:space="preserve"> 110001, Liaoning Province</w:t>
      </w:r>
      <w:r w:rsidRPr="00246B02">
        <w:rPr>
          <w:rFonts w:ascii="Book Antiqua" w:hAnsi="Book Antiqua" w:cs="Times New Roman"/>
          <w:color w:val="000000" w:themeColor="text1"/>
          <w:sz w:val="24"/>
          <w:szCs w:val="24"/>
        </w:rPr>
        <w:t>, China</w:t>
      </w:r>
    </w:p>
    <w:p w14:paraId="0B69209E" w14:textId="77777777" w:rsidR="008B5D6E" w:rsidRPr="00246B02" w:rsidRDefault="008B5D6E" w:rsidP="00246B02">
      <w:pPr>
        <w:spacing w:line="360" w:lineRule="auto"/>
        <w:jc w:val="both"/>
        <w:rPr>
          <w:rFonts w:ascii="Book Antiqua" w:hAnsi="Book Antiqua" w:cs="Times New Roman"/>
          <w:b/>
          <w:color w:val="000000" w:themeColor="text1"/>
          <w:sz w:val="24"/>
          <w:szCs w:val="24"/>
        </w:rPr>
      </w:pPr>
    </w:p>
    <w:p w14:paraId="50875AC5" w14:textId="71881917"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bCs/>
          <w:color w:val="000000" w:themeColor="text1"/>
          <w:sz w:val="24"/>
          <w:szCs w:val="24"/>
        </w:rPr>
        <w:t>ORCID number:</w:t>
      </w:r>
      <w:r w:rsidR="00C71F1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Li-</w:t>
      </w:r>
      <w:r w:rsidR="00C71F1C" w:rsidRPr="00246B02">
        <w:rPr>
          <w:rFonts w:ascii="Book Antiqua" w:hAnsi="Book Antiqua" w:cs="Times New Roman"/>
          <w:color w:val="000000" w:themeColor="text1"/>
          <w:sz w:val="24"/>
          <w:szCs w:val="24"/>
        </w:rPr>
        <w:t xml:space="preserve">Tong </w:t>
      </w:r>
      <w:r w:rsidRPr="00246B02">
        <w:rPr>
          <w:rFonts w:ascii="Book Antiqua" w:hAnsi="Book Antiqua" w:cs="Times New Roman"/>
          <w:color w:val="000000" w:themeColor="text1"/>
          <w:sz w:val="24"/>
          <w:szCs w:val="24"/>
        </w:rPr>
        <w:t>Yao (0000-0001-9233-5331);</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Mo-</w:t>
      </w:r>
      <w:r w:rsidR="00C71F1C" w:rsidRPr="00246B02">
        <w:rPr>
          <w:rFonts w:ascii="Book Antiqua" w:hAnsi="Book Antiqua" w:cs="Times New Roman"/>
          <w:color w:val="000000" w:themeColor="text1"/>
          <w:sz w:val="24"/>
          <w:szCs w:val="24"/>
        </w:rPr>
        <w:t xml:space="preserve">Zhi </w:t>
      </w:r>
      <w:r w:rsidRPr="00246B02">
        <w:rPr>
          <w:rFonts w:ascii="Book Antiqua" w:hAnsi="Book Antiqua" w:cs="Times New Roman"/>
          <w:color w:val="000000" w:themeColor="text1"/>
          <w:sz w:val="24"/>
          <w:szCs w:val="24"/>
        </w:rPr>
        <w:t>Wang (0000-0002-0297-2052);</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Meng-</w:t>
      </w:r>
      <w:r w:rsidR="00C71F1C" w:rsidRPr="00246B02">
        <w:rPr>
          <w:rFonts w:ascii="Book Antiqua" w:hAnsi="Book Antiqua" w:cs="Times New Roman"/>
          <w:color w:val="000000" w:themeColor="text1"/>
          <w:sz w:val="24"/>
          <w:szCs w:val="24"/>
        </w:rPr>
        <w:t xml:space="preserve">Shen </w:t>
      </w:r>
      <w:r w:rsidRPr="00246B02">
        <w:rPr>
          <w:rFonts w:ascii="Book Antiqua" w:hAnsi="Book Antiqua" w:cs="Times New Roman"/>
          <w:color w:val="000000" w:themeColor="text1"/>
          <w:sz w:val="24"/>
          <w:szCs w:val="24"/>
        </w:rPr>
        <w:t>Wang (0000-0002-3190-6062);</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Xue</w:t>
      </w:r>
      <w:r w:rsidR="00C71F1C" w:rsidRPr="00246B02">
        <w:rPr>
          <w:rFonts w:ascii="Book Antiqua" w:hAnsi="Book Antiqua" w:cs="Times New Roman"/>
          <w:color w:val="000000" w:themeColor="text1"/>
          <w:sz w:val="24"/>
          <w:szCs w:val="24"/>
        </w:rPr>
        <w:t xml:space="preserve">-Ting </w:t>
      </w:r>
      <w:r w:rsidRPr="00246B02">
        <w:rPr>
          <w:rFonts w:ascii="Book Antiqua" w:hAnsi="Book Antiqua" w:cs="Times New Roman"/>
          <w:color w:val="000000" w:themeColor="text1"/>
          <w:sz w:val="24"/>
          <w:szCs w:val="24"/>
        </w:rPr>
        <w:t>Yu (0000-0002-1463-7630);</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Jing-</w:t>
      </w:r>
      <w:r w:rsidR="00C71F1C" w:rsidRPr="00246B02">
        <w:rPr>
          <w:rFonts w:ascii="Book Antiqua" w:hAnsi="Book Antiqua" w:cs="Times New Roman"/>
          <w:color w:val="000000" w:themeColor="text1"/>
          <w:sz w:val="24"/>
          <w:szCs w:val="24"/>
        </w:rPr>
        <w:t xml:space="preserve">Yi </w:t>
      </w:r>
      <w:r w:rsidRPr="00246B02">
        <w:rPr>
          <w:rFonts w:ascii="Book Antiqua" w:hAnsi="Book Antiqua" w:cs="Times New Roman"/>
          <w:color w:val="000000" w:themeColor="text1"/>
          <w:sz w:val="24"/>
          <w:szCs w:val="24"/>
        </w:rPr>
        <w:t>Guo (0000-0001-8857-2254);</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Tie Sun (0000-0002-7234-9100);</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Xin-</w:t>
      </w:r>
      <w:r w:rsidR="00C71F1C" w:rsidRPr="00246B02">
        <w:rPr>
          <w:rFonts w:ascii="Book Antiqua" w:hAnsi="Book Antiqua" w:cs="Times New Roman"/>
          <w:color w:val="000000" w:themeColor="text1"/>
          <w:sz w:val="24"/>
          <w:szCs w:val="24"/>
        </w:rPr>
        <w:t xml:space="preserve">Yan </w:t>
      </w:r>
      <w:r w:rsidRPr="00246B02">
        <w:rPr>
          <w:rFonts w:ascii="Book Antiqua" w:hAnsi="Book Antiqua" w:cs="Times New Roman"/>
          <w:color w:val="000000" w:themeColor="text1"/>
          <w:sz w:val="24"/>
          <w:szCs w:val="24"/>
        </w:rPr>
        <w:t>Li (0000-0003-0710-0293);</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Ying-</w:t>
      </w:r>
      <w:r w:rsidR="00C71F1C" w:rsidRPr="00246B02">
        <w:rPr>
          <w:rFonts w:ascii="Book Antiqua" w:hAnsi="Book Antiqua" w:cs="Times New Roman"/>
          <w:color w:val="000000" w:themeColor="text1"/>
          <w:sz w:val="24"/>
          <w:szCs w:val="24"/>
        </w:rPr>
        <w:t xml:space="preserve">Ying </w:t>
      </w:r>
      <w:r w:rsidRPr="00246B02">
        <w:rPr>
          <w:rFonts w:ascii="Book Antiqua" w:hAnsi="Book Antiqua" w:cs="Times New Roman"/>
          <w:color w:val="000000" w:themeColor="text1"/>
          <w:sz w:val="24"/>
          <w:szCs w:val="24"/>
        </w:rPr>
        <w:t>Xu (0000-0003-4924-9379).</w:t>
      </w:r>
    </w:p>
    <w:p w14:paraId="73B215C0" w14:textId="77777777" w:rsidR="008B5D6E" w:rsidRPr="00246B02" w:rsidRDefault="008B5D6E" w:rsidP="00246B02">
      <w:pPr>
        <w:spacing w:line="360" w:lineRule="auto"/>
        <w:jc w:val="both"/>
        <w:rPr>
          <w:rFonts w:ascii="Book Antiqua" w:hAnsi="Book Antiqua" w:cs="Times New Roman"/>
          <w:color w:val="000000" w:themeColor="text1"/>
          <w:sz w:val="24"/>
          <w:szCs w:val="24"/>
        </w:rPr>
      </w:pPr>
    </w:p>
    <w:p w14:paraId="11F94CF5" w14:textId="4D4053A6"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bCs/>
          <w:color w:val="000000" w:themeColor="text1"/>
          <w:sz w:val="24"/>
          <w:szCs w:val="24"/>
        </w:rPr>
        <w:t>Author contributions</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Yao </w:t>
      </w:r>
      <w:r w:rsidR="003C245C" w:rsidRPr="00246B02">
        <w:rPr>
          <w:rFonts w:ascii="Book Antiqua" w:hAnsi="Book Antiqua" w:cs="Times New Roman"/>
          <w:color w:val="000000" w:themeColor="text1"/>
          <w:sz w:val="24"/>
          <w:szCs w:val="24"/>
        </w:rPr>
        <w:t xml:space="preserve">LT </w:t>
      </w:r>
      <w:r w:rsidRPr="00246B02">
        <w:rPr>
          <w:rFonts w:ascii="Book Antiqua" w:hAnsi="Book Antiqua" w:cs="Times New Roman"/>
          <w:color w:val="000000" w:themeColor="text1"/>
          <w:sz w:val="24"/>
          <w:szCs w:val="24"/>
        </w:rPr>
        <w:t xml:space="preserve">and Wang </w:t>
      </w:r>
      <w:r w:rsidR="003C245C" w:rsidRPr="00246B02">
        <w:rPr>
          <w:rFonts w:ascii="Book Antiqua" w:hAnsi="Book Antiqua" w:cs="Times New Roman"/>
          <w:color w:val="000000" w:themeColor="text1"/>
          <w:sz w:val="24"/>
          <w:szCs w:val="24"/>
        </w:rPr>
        <w:t xml:space="preserve">MZ </w:t>
      </w:r>
      <w:r w:rsidRPr="00246B02">
        <w:rPr>
          <w:rFonts w:ascii="Book Antiqua" w:hAnsi="Book Antiqua" w:cs="Times New Roman"/>
          <w:color w:val="000000" w:themeColor="text1"/>
          <w:sz w:val="24"/>
          <w:szCs w:val="24"/>
        </w:rPr>
        <w:t xml:space="preserve">contributed equally to </w:t>
      </w:r>
      <w:r w:rsidR="00CF3A77">
        <w:rPr>
          <w:rFonts w:ascii="Book Antiqua" w:hAnsi="Book Antiqua" w:cs="Times New Roman"/>
          <w:color w:val="000000" w:themeColor="text1"/>
          <w:sz w:val="24"/>
          <w:szCs w:val="24"/>
        </w:rPr>
        <w:t xml:space="preserve">the </w:t>
      </w:r>
      <w:r w:rsidR="00CF3A77" w:rsidRPr="00246B02">
        <w:rPr>
          <w:rFonts w:ascii="Book Antiqua" w:hAnsi="Book Antiqua" w:cs="Times New Roman"/>
          <w:color w:val="000000" w:themeColor="text1"/>
          <w:sz w:val="24"/>
          <w:szCs w:val="24"/>
        </w:rPr>
        <w:t xml:space="preserve">writing and critical revision </w:t>
      </w:r>
      <w:r w:rsidR="00CF3A77">
        <w:rPr>
          <w:rFonts w:ascii="Book Antiqua" w:hAnsi="Book Antiqua" w:cs="Times New Roman"/>
          <w:color w:val="000000" w:themeColor="text1"/>
          <w:sz w:val="24"/>
          <w:szCs w:val="24"/>
        </w:rPr>
        <w:t xml:space="preserve">of </w:t>
      </w:r>
      <w:r w:rsidRPr="00246B02">
        <w:rPr>
          <w:rFonts w:ascii="Book Antiqua" w:hAnsi="Book Antiqua" w:cs="Times New Roman"/>
          <w:color w:val="000000" w:themeColor="text1"/>
          <w:sz w:val="24"/>
          <w:szCs w:val="24"/>
        </w:rPr>
        <w:t>this manuscript</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Wang</w:t>
      </w:r>
      <w:r w:rsidR="003C245C" w:rsidRPr="00246B02">
        <w:rPr>
          <w:rFonts w:ascii="Book Antiqua" w:hAnsi="Book Antiqua" w:cs="Times New Roman"/>
          <w:color w:val="000000" w:themeColor="text1"/>
          <w:sz w:val="24"/>
          <w:szCs w:val="24"/>
        </w:rPr>
        <w:t xml:space="preserve"> MS</w:t>
      </w:r>
      <w:r w:rsidRPr="00246B02">
        <w:rPr>
          <w:rFonts w:ascii="Book Antiqua" w:hAnsi="Book Antiqua" w:cs="Times New Roman"/>
          <w:color w:val="000000" w:themeColor="text1"/>
          <w:sz w:val="24"/>
          <w:szCs w:val="24"/>
        </w:rPr>
        <w:t>, Yu</w:t>
      </w:r>
      <w:r w:rsidR="003C245C" w:rsidRPr="00246B02">
        <w:rPr>
          <w:rFonts w:ascii="Book Antiqua" w:hAnsi="Book Antiqua" w:cs="Times New Roman"/>
          <w:color w:val="000000" w:themeColor="text1"/>
          <w:sz w:val="24"/>
          <w:szCs w:val="24"/>
        </w:rPr>
        <w:t xml:space="preserve"> XT</w:t>
      </w:r>
      <w:r w:rsidRPr="00246B02">
        <w:rPr>
          <w:rFonts w:ascii="Book Antiqua" w:hAnsi="Book Antiqua" w:cs="Times New Roman"/>
          <w:color w:val="000000" w:themeColor="text1"/>
          <w:sz w:val="24"/>
          <w:szCs w:val="24"/>
        </w:rPr>
        <w:t xml:space="preserve">, </w:t>
      </w:r>
      <w:r w:rsidR="00CF3A77">
        <w:rPr>
          <w:rFonts w:ascii="Book Antiqua" w:hAnsi="Book Antiqua" w:cs="Times New Roman"/>
          <w:color w:val="000000" w:themeColor="text1"/>
          <w:sz w:val="24"/>
          <w:szCs w:val="24"/>
        </w:rPr>
        <w:t xml:space="preserve">and </w:t>
      </w:r>
      <w:r w:rsidRPr="00246B02">
        <w:rPr>
          <w:rFonts w:ascii="Book Antiqua" w:hAnsi="Book Antiqua" w:cs="Times New Roman"/>
          <w:color w:val="000000" w:themeColor="text1"/>
          <w:sz w:val="24"/>
          <w:szCs w:val="24"/>
        </w:rPr>
        <w:t>Guo</w:t>
      </w:r>
      <w:r w:rsidR="003C245C" w:rsidRPr="00246B02">
        <w:rPr>
          <w:rFonts w:ascii="Book Antiqua" w:hAnsi="Book Antiqua" w:cs="Times New Roman"/>
          <w:color w:val="000000" w:themeColor="text1"/>
          <w:sz w:val="24"/>
          <w:szCs w:val="24"/>
        </w:rPr>
        <w:t xml:space="preserve"> JY</w:t>
      </w:r>
      <w:r w:rsidRPr="00246B02">
        <w:rPr>
          <w:rFonts w:ascii="Book Antiqua" w:hAnsi="Book Antiqua" w:cs="Times New Roman"/>
          <w:color w:val="000000" w:themeColor="text1"/>
          <w:sz w:val="24"/>
          <w:szCs w:val="24"/>
        </w:rPr>
        <w:t xml:space="preserve"> collected and analyzed </w:t>
      </w:r>
      <w:r w:rsidR="00CF3A77">
        <w:rPr>
          <w:rFonts w:ascii="Book Antiqua" w:hAnsi="Book Antiqua" w:cs="Times New Roman"/>
          <w:color w:val="000000" w:themeColor="text1"/>
          <w:sz w:val="24"/>
          <w:szCs w:val="24"/>
        </w:rPr>
        <w:t xml:space="preserve">the </w:t>
      </w:r>
      <w:r w:rsidR="00DD77D1" w:rsidRPr="00246B02">
        <w:rPr>
          <w:rFonts w:ascii="Book Antiqua" w:hAnsi="Book Antiqua" w:cs="Times New Roman"/>
          <w:color w:val="000000" w:themeColor="text1"/>
          <w:sz w:val="24"/>
          <w:szCs w:val="24"/>
        </w:rPr>
        <w:t>relevant</w:t>
      </w:r>
      <w:r w:rsidRPr="00246B02">
        <w:rPr>
          <w:rFonts w:ascii="Book Antiqua" w:hAnsi="Book Antiqua" w:cs="Times New Roman"/>
          <w:color w:val="000000" w:themeColor="text1"/>
          <w:sz w:val="24"/>
          <w:szCs w:val="24"/>
        </w:rPr>
        <w:t xml:space="preserve"> literature</w:t>
      </w:r>
      <w:r w:rsidR="003C245C" w:rsidRPr="00246B02">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Sun</w:t>
      </w:r>
      <w:r w:rsidR="003C245C" w:rsidRPr="00246B02">
        <w:rPr>
          <w:rFonts w:ascii="Book Antiqua" w:hAnsi="Book Antiqua" w:cs="Times New Roman"/>
          <w:color w:val="000000" w:themeColor="text1"/>
          <w:sz w:val="24"/>
          <w:szCs w:val="24"/>
        </w:rPr>
        <w:t xml:space="preserve"> T</w:t>
      </w:r>
      <w:r w:rsidR="00CF3A77">
        <w:rPr>
          <w:rFonts w:ascii="Book Antiqua" w:hAnsi="Book Antiqua" w:cs="Times New Roman"/>
          <w:color w:val="000000" w:themeColor="text1"/>
          <w:sz w:val="24"/>
          <w:szCs w:val="24"/>
        </w:rPr>
        <w:t xml:space="preserve"> and</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Li </w:t>
      </w:r>
      <w:r w:rsidR="003C245C" w:rsidRPr="00246B02">
        <w:rPr>
          <w:rFonts w:ascii="Book Antiqua" w:hAnsi="Book Antiqua" w:cs="Times New Roman"/>
          <w:color w:val="000000" w:themeColor="text1"/>
          <w:sz w:val="24"/>
          <w:szCs w:val="24"/>
        </w:rPr>
        <w:t xml:space="preserve">XY </w:t>
      </w:r>
      <w:r w:rsidRPr="00246B02">
        <w:rPr>
          <w:rFonts w:ascii="Book Antiqua" w:hAnsi="Book Antiqua" w:cs="Times New Roman"/>
          <w:color w:val="000000" w:themeColor="text1"/>
          <w:sz w:val="24"/>
          <w:szCs w:val="24"/>
        </w:rPr>
        <w:t>contributed to paper revision and editing</w:t>
      </w:r>
      <w:r w:rsidR="00CF3A77">
        <w:rPr>
          <w:rFonts w:ascii="Book Antiqua" w:hAnsi="Book Antiqua" w:cs="Times New Roman"/>
          <w:color w:val="000000" w:themeColor="text1"/>
          <w:sz w:val="24"/>
          <w:szCs w:val="24"/>
        </w:rPr>
        <w:t>;</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Xu </w:t>
      </w:r>
      <w:r w:rsidR="003C245C" w:rsidRPr="00246B02">
        <w:rPr>
          <w:rFonts w:ascii="Book Antiqua" w:hAnsi="Book Antiqua" w:cs="Times New Roman"/>
          <w:color w:val="000000" w:themeColor="text1"/>
          <w:sz w:val="24"/>
          <w:szCs w:val="24"/>
        </w:rPr>
        <w:t xml:space="preserve">YY </w:t>
      </w:r>
      <w:r w:rsidRPr="00246B02">
        <w:rPr>
          <w:rFonts w:ascii="Book Antiqua" w:hAnsi="Book Antiqua" w:cs="Times New Roman"/>
          <w:color w:val="000000" w:themeColor="text1"/>
          <w:sz w:val="24"/>
          <w:szCs w:val="24"/>
        </w:rPr>
        <w:t>is</w:t>
      </w:r>
      <w:r w:rsidR="00CF3A77">
        <w:rPr>
          <w:rFonts w:ascii="Book Antiqua" w:hAnsi="Book Antiqua" w:cs="Times New Roman"/>
          <w:color w:val="000000" w:themeColor="text1"/>
          <w:sz w:val="24"/>
          <w:szCs w:val="24"/>
        </w:rPr>
        <w:t xml:space="preserve"> the</w:t>
      </w:r>
      <w:r w:rsidRPr="00246B02">
        <w:rPr>
          <w:rFonts w:ascii="Book Antiqua" w:hAnsi="Book Antiqua" w:cs="Times New Roman"/>
          <w:color w:val="000000" w:themeColor="text1"/>
          <w:sz w:val="24"/>
          <w:szCs w:val="24"/>
        </w:rPr>
        <w:t xml:space="preserve"> corresponding author and responsible for the conception, funding</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final</w:t>
      </w:r>
      <w:r w:rsidR="00CF3A77">
        <w:rPr>
          <w:rFonts w:ascii="Book Antiqua" w:hAnsi="Book Antiqua" w:cs="Times New Roman"/>
          <w:color w:val="000000" w:themeColor="text1"/>
          <w:sz w:val="24"/>
          <w:szCs w:val="24"/>
        </w:rPr>
        <w:t>ization</w:t>
      </w:r>
      <w:r w:rsidRPr="00246B02">
        <w:rPr>
          <w:rFonts w:ascii="Book Antiqua" w:hAnsi="Book Antiqua" w:cs="Times New Roman"/>
          <w:color w:val="000000" w:themeColor="text1"/>
          <w:sz w:val="24"/>
          <w:szCs w:val="24"/>
        </w:rPr>
        <w:t>.</w:t>
      </w:r>
    </w:p>
    <w:p w14:paraId="2409FD31" w14:textId="77777777" w:rsidR="008B5D6E" w:rsidRPr="00246B02" w:rsidRDefault="008B5D6E" w:rsidP="00246B02">
      <w:pPr>
        <w:spacing w:line="360" w:lineRule="auto"/>
        <w:jc w:val="both"/>
        <w:rPr>
          <w:rFonts w:ascii="Book Antiqua" w:hAnsi="Book Antiqua" w:cs="Times New Roman"/>
          <w:color w:val="000000" w:themeColor="text1"/>
          <w:sz w:val="24"/>
          <w:szCs w:val="24"/>
        </w:rPr>
      </w:pPr>
    </w:p>
    <w:p w14:paraId="5B262801" w14:textId="10F03CF8" w:rsidR="008B5D6E" w:rsidRPr="00246B02" w:rsidRDefault="008B5D6E" w:rsidP="00246B02">
      <w:pPr>
        <w:spacing w:line="360" w:lineRule="auto"/>
        <w:jc w:val="both"/>
        <w:rPr>
          <w:rFonts w:ascii="Book Antiqua" w:hAnsi="Book Antiqua" w:cs="Times New Roman"/>
          <w:color w:val="000000" w:themeColor="text1"/>
          <w:sz w:val="24"/>
          <w:szCs w:val="24"/>
        </w:rPr>
      </w:pPr>
      <w:proofErr w:type="gramStart"/>
      <w:r w:rsidRPr="00246B02">
        <w:rPr>
          <w:rFonts w:ascii="Book Antiqua" w:hAnsi="Book Antiqua" w:cs="Times New Roman"/>
          <w:b/>
          <w:bCs/>
          <w:color w:val="000000" w:themeColor="text1"/>
          <w:sz w:val="24"/>
          <w:szCs w:val="24"/>
        </w:rPr>
        <w:lastRenderedPageBreak/>
        <w:t xml:space="preserve">Supported by </w:t>
      </w:r>
      <w:r w:rsidRPr="00246B02">
        <w:rPr>
          <w:rFonts w:ascii="Book Antiqua" w:hAnsi="Book Antiqua" w:cs="Times New Roman"/>
          <w:color w:val="000000" w:themeColor="text1"/>
          <w:sz w:val="24"/>
          <w:szCs w:val="24"/>
        </w:rPr>
        <w:t>the National Natural Science Foundation of China, No.</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81773083</w:t>
      </w:r>
      <w:r w:rsidR="00C105EA" w:rsidRPr="00246B02">
        <w:rPr>
          <w:rFonts w:ascii="Book Antiqua" w:hAnsi="Book Antiqua" w:cs="Times New Roman"/>
          <w:color w:val="000000" w:themeColor="text1"/>
          <w:sz w:val="24"/>
          <w:szCs w:val="24"/>
        </w:rPr>
        <w:t>.</w:t>
      </w:r>
      <w:proofErr w:type="gramEnd"/>
    </w:p>
    <w:p w14:paraId="61D99ADC" w14:textId="77777777" w:rsidR="008B5D6E" w:rsidRPr="00246B02" w:rsidRDefault="008B5D6E" w:rsidP="00246B02">
      <w:pPr>
        <w:spacing w:line="360" w:lineRule="auto"/>
        <w:jc w:val="both"/>
        <w:rPr>
          <w:rFonts w:ascii="Book Antiqua" w:hAnsi="Book Antiqua" w:cs="Times New Roman"/>
          <w:color w:val="000000" w:themeColor="text1"/>
          <w:sz w:val="24"/>
          <w:szCs w:val="24"/>
        </w:rPr>
      </w:pPr>
    </w:p>
    <w:p w14:paraId="7416C45C" w14:textId="77777777"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bCs/>
          <w:color w:val="000000" w:themeColor="text1"/>
          <w:sz w:val="24"/>
          <w:szCs w:val="24"/>
        </w:rPr>
        <w:t xml:space="preserve">Conflict-of-interest statement: </w:t>
      </w:r>
      <w:r w:rsidRPr="00246B02">
        <w:rPr>
          <w:rFonts w:ascii="Book Antiqua" w:hAnsi="Book Antiqua" w:cs="Times New Roman"/>
          <w:bCs/>
          <w:color w:val="000000" w:themeColor="text1"/>
          <w:sz w:val="24"/>
          <w:szCs w:val="24"/>
        </w:rPr>
        <w:t xml:space="preserve">The authors have no </w:t>
      </w:r>
      <w:r w:rsidRPr="00246B02">
        <w:rPr>
          <w:rFonts w:ascii="Book Antiqua" w:hAnsi="Book Antiqua" w:cs="Times New Roman"/>
          <w:color w:val="000000" w:themeColor="text1"/>
          <w:sz w:val="24"/>
          <w:szCs w:val="24"/>
        </w:rPr>
        <w:t>conflict of interest.</w:t>
      </w:r>
    </w:p>
    <w:p w14:paraId="2877E07B" w14:textId="3AF99303" w:rsidR="008B5D6E" w:rsidRPr="00246B02" w:rsidRDefault="008B5D6E" w:rsidP="00246B02">
      <w:pPr>
        <w:spacing w:line="360" w:lineRule="auto"/>
        <w:jc w:val="both"/>
        <w:rPr>
          <w:rFonts w:ascii="Book Antiqua" w:hAnsi="Book Antiqua" w:cs="Times New Roman"/>
          <w:color w:val="000000" w:themeColor="text1"/>
          <w:sz w:val="24"/>
          <w:szCs w:val="24"/>
        </w:rPr>
      </w:pPr>
    </w:p>
    <w:p w14:paraId="1389B73B" w14:textId="4726C0C5" w:rsidR="00187124" w:rsidRPr="00246B02" w:rsidRDefault="00187124" w:rsidP="00246B02">
      <w:pPr>
        <w:spacing w:line="360" w:lineRule="auto"/>
        <w:jc w:val="both"/>
        <w:rPr>
          <w:rFonts w:ascii="Book Antiqua" w:hAnsi="Book Antiqua"/>
          <w:color w:val="000000" w:themeColor="text1"/>
          <w:sz w:val="24"/>
          <w:szCs w:val="24"/>
        </w:rPr>
      </w:pPr>
      <w:r w:rsidRPr="00246B02">
        <w:rPr>
          <w:rFonts w:ascii="Book Antiqua" w:hAnsi="Book Antiqua" w:cs="Times New Roman"/>
          <w:b/>
          <w:bCs/>
          <w:color w:val="000000" w:themeColor="text1"/>
          <w:sz w:val="24"/>
          <w:szCs w:val="24"/>
        </w:rPr>
        <w:t xml:space="preserve">Open-Access: </w:t>
      </w:r>
      <w:r w:rsidRPr="00246B02">
        <w:rPr>
          <w:rFonts w:ascii="Book Antiqua" w:hAnsi="Book Antiqua" w:cs="Times New Roman"/>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741A8B" w14:textId="77777777" w:rsidR="00187124" w:rsidRPr="00246B02" w:rsidRDefault="00187124" w:rsidP="00246B02">
      <w:pPr>
        <w:spacing w:line="360" w:lineRule="auto"/>
        <w:jc w:val="both"/>
        <w:rPr>
          <w:rFonts w:ascii="Book Antiqua" w:hAnsi="Book Antiqua" w:cs="Times New Roman"/>
          <w:color w:val="000000" w:themeColor="text1"/>
          <w:sz w:val="24"/>
          <w:szCs w:val="24"/>
        </w:rPr>
      </w:pPr>
    </w:p>
    <w:p w14:paraId="37F43011" w14:textId="77777777" w:rsidR="003C245C" w:rsidRPr="00246B02" w:rsidRDefault="003C245C" w:rsidP="00246B02">
      <w:pPr>
        <w:adjustRightInd w:val="0"/>
        <w:snapToGrid w:val="0"/>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Manuscript source:</w:t>
      </w:r>
      <w:r w:rsidRPr="00246B02">
        <w:rPr>
          <w:rFonts w:ascii="Book Antiqua" w:hAnsi="Book Antiqua"/>
          <w:color w:val="000000" w:themeColor="text1"/>
          <w:sz w:val="24"/>
          <w:szCs w:val="24"/>
        </w:rPr>
        <w:t xml:space="preserve"> Unsolicited manuscript</w:t>
      </w:r>
    </w:p>
    <w:p w14:paraId="2DE4C24F" w14:textId="77777777" w:rsidR="003C245C" w:rsidRPr="00246B02" w:rsidRDefault="003C245C" w:rsidP="00246B02">
      <w:pPr>
        <w:spacing w:line="360" w:lineRule="auto"/>
        <w:jc w:val="both"/>
        <w:rPr>
          <w:rFonts w:ascii="Book Antiqua" w:hAnsi="Book Antiqua" w:cs="Times New Roman"/>
          <w:b/>
          <w:color w:val="000000" w:themeColor="text1"/>
          <w:sz w:val="24"/>
          <w:szCs w:val="24"/>
        </w:rPr>
      </w:pPr>
    </w:p>
    <w:p w14:paraId="19EB8742" w14:textId="37D5F18E"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Corresponding author:</w:t>
      </w:r>
      <w:r w:rsidRPr="00246B02">
        <w:rPr>
          <w:rFonts w:ascii="Book Antiqua" w:hAnsi="Book Antiqua" w:cs="Times New Roman"/>
          <w:color w:val="000000" w:themeColor="text1"/>
          <w:sz w:val="24"/>
          <w:szCs w:val="24"/>
        </w:rPr>
        <w:t xml:space="preserve"> </w:t>
      </w:r>
      <w:bookmarkStart w:id="2" w:name="_Hlk4962658"/>
      <w:r w:rsidRPr="00246B02">
        <w:rPr>
          <w:rFonts w:ascii="Book Antiqua" w:hAnsi="Book Antiqua" w:cs="Times New Roman"/>
          <w:b/>
          <w:color w:val="000000" w:themeColor="text1"/>
          <w:sz w:val="24"/>
          <w:szCs w:val="24"/>
        </w:rPr>
        <w:t>Ying-</w:t>
      </w:r>
      <w:r w:rsidR="00B65A83">
        <w:rPr>
          <w:rFonts w:ascii="Book Antiqua" w:hAnsi="Book Antiqua" w:cs="Times New Roman"/>
          <w:b/>
          <w:color w:val="000000" w:themeColor="text1"/>
          <w:sz w:val="24"/>
          <w:szCs w:val="24"/>
        </w:rPr>
        <w:t>Y</w:t>
      </w:r>
      <w:r w:rsidR="00B65A83" w:rsidRPr="00246B02">
        <w:rPr>
          <w:rFonts w:ascii="Book Antiqua" w:hAnsi="Book Antiqua" w:cs="Times New Roman"/>
          <w:b/>
          <w:color w:val="000000" w:themeColor="text1"/>
          <w:sz w:val="24"/>
          <w:szCs w:val="24"/>
        </w:rPr>
        <w:t xml:space="preserve">ing </w:t>
      </w:r>
      <w:r w:rsidRPr="00246B02">
        <w:rPr>
          <w:rFonts w:ascii="Book Antiqua" w:hAnsi="Book Antiqua" w:cs="Times New Roman"/>
          <w:b/>
          <w:color w:val="000000" w:themeColor="text1"/>
          <w:sz w:val="24"/>
          <w:szCs w:val="24"/>
        </w:rPr>
        <w:t xml:space="preserve">Xu, </w:t>
      </w:r>
      <w:r w:rsidR="003C245C" w:rsidRPr="00246B02">
        <w:rPr>
          <w:rFonts w:ascii="Book Antiqua" w:hAnsi="Book Antiqua" w:cs="Times New Roman"/>
          <w:b/>
          <w:color w:val="000000" w:themeColor="text1"/>
          <w:sz w:val="24"/>
          <w:szCs w:val="24"/>
        </w:rPr>
        <w:t xml:space="preserve">PhD, </w:t>
      </w:r>
      <w:r w:rsidRPr="00246B02">
        <w:rPr>
          <w:rFonts w:ascii="Book Antiqua" w:hAnsi="Book Antiqua" w:cs="Times New Roman"/>
          <w:b/>
          <w:color w:val="000000" w:themeColor="text1"/>
          <w:sz w:val="24"/>
          <w:szCs w:val="24"/>
        </w:rPr>
        <w:t>Professor,</w:t>
      </w:r>
      <w:r w:rsidRPr="00246B02">
        <w:rPr>
          <w:rFonts w:ascii="Book Antiqua" w:hAnsi="Book Antiqua" w:cs="Times New Roman"/>
          <w:color w:val="000000" w:themeColor="text1"/>
          <w:sz w:val="24"/>
          <w:szCs w:val="24"/>
        </w:rPr>
        <w:t xml:space="preserve"> Department of Breast Surgery, the First Affiliated Hospital of China Medical University, </w:t>
      </w:r>
      <w:r w:rsidR="003C245C" w:rsidRPr="00246B02">
        <w:rPr>
          <w:rFonts w:ascii="Book Antiqua" w:hAnsi="Book Antiqua" w:cs="Times New Roman"/>
          <w:color w:val="000000" w:themeColor="text1"/>
          <w:sz w:val="24"/>
          <w:szCs w:val="24"/>
        </w:rPr>
        <w:t xml:space="preserve">No. </w:t>
      </w:r>
      <w:r w:rsidRPr="00246B02">
        <w:rPr>
          <w:rFonts w:ascii="Book Antiqua" w:hAnsi="Book Antiqua" w:cs="Times New Roman"/>
          <w:color w:val="000000" w:themeColor="text1"/>
          <w:sz w:val="24"/>
          <w:szCs w:val="24"/>
        </w:rPr>
        <w:t>155</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North Nanjing Street, Shenyang</w:t>
      </w:r>
      <w:r w:rsidR="003C245C" w:rsidRPr="00246B02">
        <w:rPr>
          <w:rFonts w:ascii="Book Antiqua" w:hAnsi="Book Antiqua" w:cs="Times New Roman"/>
          <w:color w:val="000000" w:themeColor="text1"/>
          <w:sz w:val="24"/>
          <w:szCs w:val="24"/>
        </w:rPr>
        <w:t xml:space="preserve"> 110001</w:t>
      </w:r>
      <w:r w:rsidRPr="00246B02">
        <w:rPr>
          <w:rFonts w:ascii="Book Antiqua" w:hAnsi="Book Antiqua" w:cs="Times New Roman"/>
          <w:color w:val="000000" w:themeColor="text1"/>
          <w:sz w:val="24"/>
          <w:szCs w:val="24"/>
        </w:rPr>
        <w:t>, Liaoning Province</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China. </w:t>
      </w:r>
      <w:hyperlink r:id="rId8" w:history="1">
        <w:r w:rsidR="00123A19" w:rsidRPr="00A36A05">
          <w:rPr>
            <w:rStyle w:val="ab"/>
            <w:rFonts w:ascii="Book Antiqua" w:hAnsi="Book Antiqua" w:cs="Times New Roman"/>
            <w:sz w:val="24"/>
            <w:szCs w:val="24"/>
          </w:rPr>
          <w:t>xuyingying@cmu.edu.cn</w:t>
        </w:r>
      </w:hyperlink>
    </w:p>
    <w:p w14:paraId="7BB0A7C5" w14:textId="75279050"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Tel</w:t>
      </w:r>
      <w:r w:rsidR="003C245C" w:rsidRPr="00246B02">
        <w:rPr>
          <w:rFonts w:ascii="Book Antiqua" w:hAnsi="Book Antiqua" w:cs="Times New Roman"/>
          <w:b/>
          <w:color w:val="000000" w:themeColor="text1"/>
          <w:sz w:val="24"/>
          <w:szCs w:val="24"/>
        </w:rPr>
        <w:t>ephone</w:t>
      </w:r>
      <w:r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w:t>
      </w:r>
      <w:r w:rsidR="003C245C" w:rsidRPr="00246B02">
        <w:rPr>
          <w:rFonts w:ascii="Book Antiqua" w:hAnsi="Book Antiqua" w:cs="Times New Roman"/>
          <w:color w:val="000000" w:themeColor="text1"/>
          <w:sz w:val="24"/>
          <w:szCs w:val="24"/>
        </w:rPr>
        <w:t>86-24-83282741</w:t>
      </w:r>
    </w:p>
    <w:p w14:paraId="432124A1" w14:textId="06CAA5DA"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Fax:</w:t>
      </w:r>
      <w:r w:rsidRPr="00246B02">
        <w:rPr>
          <w:rFonts w:ascii="Book Antiqua" w:hAnsi="Book Antiqua" w:cs="Times New Roman"/>
          <w:color w:val="000000" w:themeColor="text1"/>
          <w:sz w:val="24"/>
          <w:szCs w:val="24"/>
        </w:rPr>
        <w:t xml:space="preserve"> +86-24-22703578</w:t>
      </w:r>
    </w:p>
    <w:p w14:paraId="21961DF0" w14:textId="77777777" w:rsidR="003C245C" w:rsidRPr="00246B02" w:rsidRDefault="003C245C" w:rsidP="00246B02">
      <w:pPr>
        <w:spacing w:line="360" w:lineRule="auto"/>
        <w:jc w:val="both"/>
        <w:rPr>
          <w:rFonts w:ascii="Book Antiqua" w:hAnsi="Book Antiqua" w:cs="Times New Roman"/>
          <w:color w:val="000000" w:themeColor="text1"/>
          <w:sz w:val="24"/>
          <w:szCs w:val="24"/>
        </w:rPr>
      </w:pPr>
    </w:p>
    <w:p w14:paraId="5701C237" w14:textId="0B94E414"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Received: </w:t>
      </w:r>
      <w:r w:rsidRPr="00246B02">
        <w:rPr>
          <w:rFonts w:ascii="Book Antiqua" w:hAnsi="Book Antiqua"/>
          <w:color w:val="000000" w:themeColor="text1"/>
          <w:sz w:val="24"/>
          <w:szCs w:val="24"/>
        </w:rPr>
        <w:t>April 8, 2019</w:t>
      </w:r>
    </w:p>
    <w:p w14:paraId="7984AE24" w14:textId="5D76489D"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Peer-review started:</w:t>
      </w:r>
      <w:r w:rsidRPr="00246B02">
        <w:rPr>
          <w:rFonts w:ascii="Book Antiqua" w:hAnsi="Book Antiqua"/>
          <w:color w:val="000000" w:themeColor="text1"/>
          <w:sz w:val="24"/>
          <w:szCs w:val="24"/>
        </w:rPr>
        <w:t xml:space="preserve"> April 8, 2019</w:t>
      </w:r>
    </w:p>
    <w:p w14:paraId="72198613" w14:textId="7493EF34"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First decision: </w:t>
      </w:r>
      <w:r w:rsidRPr="00246B02">
        <w:rPr>
          <w:rFonts w:ascii="Book Antiqua" w:hAnsi="Book Antiqua"/>
          <w:color w:val="000000" w:themeColor="text1"/>
          <w:sz w:val="24"/>
          <w:szCs w:val="24"/>
        </w:rPr>
        <w:t>May 31, 2019</w:t>
      </w:r>
    </w:p>
    <w:p w14:paraId="58396F6D" w14:textId="140E14CC"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Revised: </w:t>
      </w:r>
      <w:r w:rsidRPr="00246B02">
        <w:rPr>
          <w:rFonts w:ascii="Book Antiqua" w:hAnsi="Book Antiqua"/>
          <w:color w:val="000000" w:themeColor="text1"/>
          <w:sz w:val="24"/>
          <w:szCs w:val="24"/>
        </w:rPr>
        <w:t>June 21, 2019</w:t>
      </w:r>
    </w:p>
    <w:p w14:paraId="2E74916C" w14:textId="46889409"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Accepted:</w:t>
      </w:r>
      <w:r w:rsidR="00C72839" w:rsidRPr="00C72839">
        <w:t xml:space="preserve"> </w:t>
      </w:r>
      <w:r w:rsidR="00C72839" w:rsidRPr="00C72839">
        <w:rPr>
          <w:rFonts w:ascii="Book Antiqua" w:hAnsi="Book Antiqua"/>
          <w:bCs/>
          <w:color w:val="000000" w:themeColor="text1"/>
          <w:sz w:val="24"/>
          <w:szCs w:val="24"/>
        </w:rPr>
        <w:t>July 3, 2019</w:t>
      </w:r>
      <w:r w:rsidRPr="00246B02">
        <w:rPr>
          <w:rFonts w:ascii="Book Antiqua" w:hAnsi="Book Antiqua"/>
          <w:b/>
          <w:color w:val="000000" w:themeColor="text1"/>
          <w:sz w:val="24"/>
          <w:szCs w:val="24"/>
        </w:rPr>
        <w:t xml:space="preserve"> </w:t>
      </w:r>
    </w:p>
    <w:p w14:paraId="48FBBA7E" w14:textId="7B7BA0CB"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Article in press:</w:t>
      </w:r>
      <w:r w:rsidR="008A5003" w:rsidRPr="00C72839">
        <w:t xml:space="preserve"> </w:t>
      </w:r>
      <w:r w:rsidR="008A5003" w:rsidRPr="00C72839">
        <w:rPr>
          <w:rFonts w:ascii="Book Antiqua" w:hAnsi="Book Antiqua"/>
          <w:bCs/>
          <w:color w:val="000000" w:themeColor="text1"/>
          <w:sz w:val="24"/>
          <w:szCs w:val="24"/>
        </w:rPr>
        <w:t>July 3, 2019</w:t>
      </w:r>
    </w:p>
    <w:p w14:paraId="7C2E60F1" w14:textId="18DF4964"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Published online:</w:t>
      </w:r>
      <w:r w:rsidR="008A5003" w:rsidRPr="008A5003">
        <w:t xml:space="preserve"> </w:t>
      </w:r>
      <w:r w:rsidR="008A5003" w:rsidRPr="008A5003">
        <w:rPr>
          <w:rFonts w:ascii="Book Antiqua" w:hAnsi="Book Antiqua"/>
          <w:color w:val="000000" w:themeColor="text1"/>
          <w:sz w:val="24"/>
          <w:szCs w:val="24"/>
        </w:rPr>
        <w:t>August 6, 2019</w:t>
      </w:r>
    </w:p>
    <w:bookmarkEnd w:id="2"/>
    <w:p w14:paraId="5A70D182" w14:textId="77777777" w:rsidR="00CF3A77" w:rsidRDefault="00CF3A77" w:rsidP="00246B02">
      <w:pPr>
        <w:spacing w:line="360" w:lineRule="auto"/>
        <w:jc w:val="both"/>
        <w:rPr>
          <w:rFonts w:ascii="Book Antiqua" w:hAnsi="Book Antiqua" w:cs="Times New Roman"/>
          <w:b/>
          <w:color w:val="000000" w:themeColor="text1"/>
          <w:sz w:val="24"/>
          <w:szCs w:val="24"/>
        </w:rPr>
      </w:pPr>
    </w:p>
    <w:p w14:paraId="7F542621" w14:textId="77777777" w:rsidR="00837F36" w:rsidRPr="00246B02" w:rsidRDefault="00837F36"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Abstract</w:t>
      </w:r>
    </w:p>
    <w:p w14:paraId="5A47C07D" w14:textId="24DEFE9A"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A potential strategy for patients with estrogen receptor (ER)-positive breast cancer is necessary to replace neoadjuvant chemotherapy</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which has limited benefit. Neoadjuvant endocrine therapy (NAE) has been indicated to be a favorable alternate approach to downstage large or locally advanced breast cancer in ER-positive, </w:t>
      </w:r>
      <w:r w:rsidR="00975B21" w:rsidRPr="00246B02">
        <w:rPr>
          <w:rFonts w:ascii="Book Antiqua" w:hAnsi="Book Antiqua" w:cs="Times New Roman"/>
          <w:color w:val="000000" w:themeColor="text1"/>
          <w:sz w:val="24"/>
          <w:szCs w:val="24"/>
        </w:rPr>
        <w:t>human epidermal growth factor receptor 2 (</w:t>
      </w:r>
      <w:r w:rsidRPr="00246B02">
        <w:rPr>
          <w:rFonts w:ascii="Book Antiqua" w:hAnsi="Book Antiqua" w:cs="Times New Roman"/>
          <w:color w:val="000000" w:themeColor="text1"/>
          <w:sz w:val="24"/>
          <w:szCs w:val="24"/>
        </w:rPr>
        <w:t>HER2</w:t>
      </w:r>
      <w:r w:rsidR="00975B21" w:rsidRPr="00246B02">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-negative (ER</w:t>
      </w:r>
      <w:r w:rsidR="00CF3A77" w:rsidRPr="00246B02">
        <w:rPr>
          <w:rFonts w:ascii="Book Antiqua" w:hAnsi="Book Antiqua" w:cs="Times New Roman"/>
          <w:color w:val="000000" w:themeColor="text1"/>
          <w:sz w:val="24"/>
          <w:szCs w:val="24"/>
        </w:rPr>
        <w:t>+</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patients, especially postmenopausal women. Previous studies have demonstrated the efficacy of various endocrine agents in NAE. Aromatase inhibitors</w:t>
      </w:r>
      <w:r w:rsidR="003C245C" w:rsidRPr="00246B02">
        <w:rPr>
          <w:rFonts w:ascii="Book Antiqua" w:hAnsi="Book Antiqua" w:cs="Times New Roman"/>
          <w:color w:val="000000" w:themeColor="text1"/>
          <w:sz w:val="24"/>
          <w:szCs w:val="24"/>
        </w:rPr>
        <w:t xml:space="preserve"> </w:t>
      </w:r>
      <w:r w:rsidR="00CF3A77">
        <w:rPr>
          <w:rFonts w:ascii="Book Antiqua" w:hAnsi="Book Antiqua" w:cs="Times New Roman"/>
          <w:color w:val="000000" w:themeColor="text1"/>
          <w:sz w:val="24"/>
          <w:szCs w:val="24"/>
        </w:rPr>
        <w:t xml:space="preserve">(AIs) </w:t>
      </w:r>
      <w:r w:rsidRPr="00246B02">
        <w:rPr>
          <w:rFonts w:ascii="Book Antiqua" w:hAnsi="Book Antiqua" w:cs="Times New Roman"/>
          <w:color w:val="000000" w:themeColor="text1"/>
          <w:sz w:val="24"/>
          <w:szCs w:val="24"/>
        </w:rPr>
        <w:t xml:space="preserve">have proven superiority over tamoxifen as a suitable choice to optimize treatment efficacy. Fulvestrant was recently reported as an effective agent, similar to AIs. Furthermore, the addition of targeted agents exerts synergistic antiproliferative effects with endocrine agents and rapidly improves response rates in both endocrine sensitive and resistant tumors. The neoadjuvant platform provides a unique opportunity to define the appropriate strategy and address the mechanisms of endocrine resistance. In addition, the predictive value of biomarkers and genomic assays in NAE </w:t>
      </w:r>
      <w:r w:rsidR="00CF3A77">
        <w:rPr>
          <w:rFonts w:ascii="Book Antiqua" w:hAnsi="Book Antiqua" w:cs="Times New Roman"/>
          <w:color w:val="000000" w:themeColor="text1"/>
          <w:sz w:val="24"/>
          <w:szCs w:val="24"/>
        </w:rPr>
        <w:t>is</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under investigation to evaluate individual effects and validate biomarker-based strategies. In this review, we discuss the most relevant evidence on the potential of NAE for ER+ breast cancer. The current understanding also offers new insights into the identification of the optimal settings and valuable predictive tools of NAE to guide clinical treatment decisions and achieve beneficial therapeutic effects. </w:t>
      </w:r>
    </w:p>
    <w:p w14:paraId="0DB06909"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43BA27C8" w14:textId="77777777"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Key words:</w:t>
      </w:r>
      <w:r w:rsidRPr="00246B02">
        <w:rPr>
          <w:rFonts w:ascii="Book Antiqua" w:hAnsi="Book Antiqua" w:cs="Times New Roman"/>
          <w:color w:val="000000" w:themeColor="text1"/>
          <w:sz w:val="24"/>
          <w:szCs w:val="24"/>
        </w:rPr>
        <w:t xml:space="preserve"> Breast cancer; Neoadjuvant endocrine therapy; Neoadjuvant chemotherapy; Aromatase inhibitor; Palbociclib; Ki67; Genomic assay</w:t>
      </w:r>
    </w:p>
    <w:p w14:paraId="5794EF42" w14:textId="021AAC16" w:rsidR="00837F36" w:rsidRPr="00246B02" w:rsidRDefault="00837F36" w:rsidP="00246B02">
      <w:pPr>
        <w:spacing w:line="360" w:lineRule="auto"/>
        <w:jc w:val="both"/>
        <w:rPr>
          <w:rFonts w:ascii="Book Antiqua" w:hAnsi="Book Antiqua" w:cs="Times New Roman"/>
          <w:color w:val="000000" w:themeColor="text1"/>
          <w:sz w:val="24"/>
          <w:szCs w:val="24"/>
        </w:rPr>
      </w:pPr>
    </w:p>
    <w:p w14:paraId="0490CB28" w14:textId="77777777" w:rsidR="003C245C" w:rsidRPr="00246B02" w:rsidRDefault="003C245C" w:rsidP="00246B02">
      <w:pPr>
        <w:adjustRightInd w:val="0"/>
        <w:snapToGrid w:val="0"/>
        <w:spacing w:line="360" w:lineRule="auto"/>
        <w:jc w:val="both"/>
        <w:rPr>
          <w:rFonts w:ascii="Book Antiqua" w:hAnsi="Book Antiqua" w:cs="Garamond"/>
          <w:color w:val="000000" w:themeColor="text1"/>
          <w:sz w:val="24"/>
          <w:szCs w:val="24"/>
        </w:rPr>
      </w:pPr>
      <w:proofErr w:type="gramStart"/>
      <w:r w:rsidRPr="00246B02">
        <w:rPr>
          <w:rFonts w:ascii="Book Antiqua" w:hAnsi="Book Antiqua" w:cs="Garamond"/>
          <w:b/>
          <w:color w:val="000000" w:themeColor="text1"/>
          <w:sz w:val="24"/>
          <w:szCs w:val="24"/>
        </w:rPr>
        <w:t>© The Author(s) 2019.</w:t>
      </w:r>
      <w:proofErr w:type="gramEnd"/>
      <w:r w:rsidRPr="00246B02">
        <w:rPr>
          <w:rFonts w:ascii="Book Antiqua" w:hAnsi="Book Antiqua" w:cs="Garamond"/>
          <w:color w:val="000000" w:themeColor="text1"/>
          <w:sz w:val="24"/>
          <w:szCs w:val="24"/>
        </w:rPr>
        <w:t xml:space="preserve"> </w:t>
      </w:r>
      <w:proofErr w:type="gramStart"/>
      <w:r w:rsidRPr="00246B02">
        <w:rPr>
          <w:rFonts w:ascii="Book Antiqua" w:hAnsi="Book Antiqua" w:cs="Garamond"/>
          <w:color w:val="000000" w:themeColor="text1"/>
          <w:sz w:val="24"/>
          <w:szCs w:val="24"/>
        </w:rPr>
        <w:t>Published by Baishideng Publishing Group Inc.</w:t>
      </w:r>
      <w:proofErr w:type="gramEnd"/>
      <w:r w:rsidRPr="00246B02">
        <w:rPr>
          <w:rFonts w:ascii="Book Antiqua" w:hAnsi="Book Antiqua" w:cs="Garamond"/>
          <w:color w:val="000000" w:themeColor="text1"/>
          <w:sz w:val="24"/>
          <w:szCs w:val="24"/>
        </w:rPr>
        <w:t xml:space="preserve"> All rights reserved.</w:t>
      </w:r>
    </w:p>
    <w:p w14:paraId="7F989026" w14:textId="1ADEF4F9" w:rsidR="004113CD" w:rsidRPr="00246B02" w:rsidRDefault="004113CD" w:rsidP="00246B02">
      <w:pPr>
        <w:spacing w:line="360" w:lineRule="auto"/>
        <w:jc w:val="both"/>
        <w:rPr>
          <w:rFonts w:ascii="Book Antiqua" w:hAnsi="Book Antiqua" w:cs="Times New Roman"/>
          <w:color w:val="000000" w:themeColor="text1"/>
          <w:sz w:val="24"/>
          <w:szCs w:val="24"/>
        </w:rPr>
      </w:pPr>
    </w:p>
    <w:p w14:paraId="07AB9B62" w14:textId="03721B6C" w:rsidR="00837F36" w:rsidRPr="00246B02" w:rsidRDefault="003C245C"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lastRenderedPageBreak/>
        <w:t xml:space="preserve">Core tips: </w:t>
      </w:r>
      <w:r w:rsidR="00837F36" w:rsidRPr="00246B02">
        <w:rPr>
          <w:rFonts w:ascii="Book Antiqua" w:hAnsi="Book Antiqua" w:cs="Times New Roman"/>
          <w:color w:val="000000" w:themeColor="text1"/>
          <w:sz w:val="24"/>
          <w:szCs w:val="24"/>
        </w:rPr>
        <w:t xml:space="preserve">Neoadjuvant endocrine therapy (NAE), </w:t>
      </w:r>
      <w:r w:rsidR="00CF3A77">
        <w:rPr>
          <w:rFonts w:ascii="Book Antiqua" w:hAnsi="Book Antiqua" w:cs="Times New Roman"/>
          <w:color w:val="000000" w:themeColor="text1"/>
          <w:sz w:val="24"/>
          <w:szCs w:val="24"/>
        </w:rPr>
        <w:t>either</w:t>
      </w:r>
      <w:r w:rsidR="00CF3A77" w:rsidRPr="00246B02">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 xml:space="preserve">alone or </w:t>
      </w:r>
      <w:r w:rsidR="00CF3A77">
        <w:rPr>
          <w:rFonts w:ascii="Book Antiqua" w:hAnsi="Book Antiqua" w:cs="Times New Roman"/>
          <w:color w:val="000000" w:themeColor="text1"/>
          <w:sz w:val="24"/>
          <w:szCs w:val="24"/>
        </w:rPr>
        <w:t>combined</w:t>
      </w:r>
      <w:r w:rsidR="00CF3A77" w:rsidRPr="00246B02">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with other therapies, is a valuable alternate approach to ER-positive breast cancer. Our object</w:t>
      </w:r>
      <w:r w:rsidR="00CF3A77">
        <w:rPr>
          <w:rFonts w:ascii="Book Antiqua" w:hAnsi="Book Antiqua" w:cs="Times New Roman"/>
          <w:color w:val="000000" w:themeColor="text1"/>
          <w:sz w:val="24"/>
          <w:szCs w:val="24"/>
        </w:rPr>
        <w:t xml:space="preserve">ive </w:t>
      </w:r>
      <w:r w:rsidR="00A0260B">
        <w:rPr>
          <w:rFonts w:ascii="Book Antiqua" w:hAnsi="Book Antiqua" w:cs="Times New Roman"/>
          <w:color w:val="000000" w:themeColor="text1"/>
          <w:sz w:val="24"/>
          <w:szCs w:val="24"/>
        </w:rPr>
        <w:t>i</w:t>
      </w:r>
      <w:r w:rsidR="00CF3A77">
        <w:rPr>
          <w:rFonts w:ascii="Book Antiqua" w:hAnsi="Book Antiqua" w:cs="Times New Roman"/>
          <w:color w:val="000000" w:themeColor="text1"/>
          <w:sz w:val="24"/>
          <w:szCs w:val="24"/>
        </w:rPr>
        <w:t>s</w:t>
      </w:r>
      <w:r w:rsidR="00837F36" w:rsidRPr="00246B02">
        <w:rPr>
          <w:rFonts w:ascii="Book Antiqua" w:hAnsi="Book Antiqua" w:cs="Times New Roman"/>
          <w:color w:val="000000" w:themeColor="text1"/>
          <w:sz w:val="24"/>
          <w:szCs w:val="24"/>
        </w:rPr>
        <w:t xml:space="preserve"> to define the optimal settings for suitable individuals, including optimal treatment duration, endocrine agents</w:t>
      </w:r>
      <w:r w:rsidR="00CF3A77">
        <w:rPr>
          <w:rFonts w:ascii="Book Antiqua" w:hAnsi="Book Antiqua" w:cs="Times New Roman"/>
          <w:color w:val="000000" w:themeColor="text1"/>
          <w:sz w:val="24"/>
          <w:szCs w:val="24"/>
        </w:rPr>
        <w:t>,</w:t>
      </w:r>
      <w:r w:rsidR="00837F36" w:rsidRPr="00246B02">
        <w:rPr>
          <w:rFonts w:ascii="Book Antiqua" w:hAnsi="Book Antiqua" w:cs="Times New Roman"/>
          <w:color w:val="000000" w:themeColor="text1"/>
          <w:sz w:val="24"/>
          <w:szCs w:val="24"/>
        </w:rPr>
        <w:t xml:space="preserve"> and targeted agents in NAE. The identification of correct patients for NAE remains unknown and requires further validation corresponding to biomarker-based strategies. This review consolidates the current relevant evidence to verify the potential value and discuss the development prospects of NAE. </w:t>
      </w:r>
    </w:p>
    <w:p w14:paraId="5D74C15C" w14:textId="1106A058" w:rsidR="00837F36" w:rsidRPr="00246B02" w:rsidRDefault="00837F36" w:rsidP="00246B02">
      <w:pPr>
        <w:spacing w:line="360" w:lineRule="auto"/>
        <w:jc w:val="both"/>
        <w:rPr>
          <w:rFonts w:ascii="Book Antiqua" w:hAnsi="Book Antiqua" w:cs="Times New Roman"/>
          <w:color w:val="000000" w:themeColor="text1"/>
          <w:sz w:val="24"/>
          <w:szCs w:val="24"/>
        </w:rPr>
      </w:pPr>
    </w:p>
    <w:p w14:paraId="0EAEFB1F" w14:textId="2C5888F3" w:rsidR="00975B21" w:rsidRDefault="00462A99" w:rsidP="00246B02">
      <w:pPr>
        <w:spacing w:line="360" w:lineRule="auto"/>
        <w:jc w:val="both"/>
        <w:rPr>
          <w:rFonts w:ascii="Book Antiqua" w:hAnsi="Book Antiqua" w:hint="eastAsia"/>
          <w:color w:val="000000" w:themeColor="text1"/>
          <w:sz w:val="24"/>
          <w:szCs w:val="24"/>
        </w:rPr>
      </w:pPr>
      <w:r w:rsidRPr="00246B02">
        <w:rPr>
          <w:rFonts w:ascii="Book Antiqua" w:hAnsi="Book Antiqua" w:cs="Times New Roman"/>
          <w:bCs/>
          <w:color w:val="000000" w:themeColor="text1"/>
          <w:sz w:val="24"/>
          <w:szCs w:val="24"/>
        </w:rPr>
        <w:t>Yao LT, Wang MZ</w:t>
      </w:r>
      <w:r w:rsidRPr="00246B02">
        <w:rPr>
          <w:rFonts w:ascii="Book Antiqua" w:hAnsi="Book Antiqua" w:cs="Times New Roman"/>
          <w:color w:val="000000" w:themeColor="text1"/>
          <w:sz w:val="24"/>
          <w:szCs w:val="24"/>
        </w:rPr>
        <w:t xml:space="preserve">, Wang MS, Yu XT, Guo JY, Sun T, Li XY, Xu YY. Neoadjuvant endocrine therapy: </w:t>
      </w:r>
      <w:r w:rsidR="00975B21" w:rsidRPr="00246B02">
        <w:rPr>
          <w:rFonts w:ascii="Book Antiqua" w:hAnsi="Book Antiqua" w:cs="Times New Roman"/>
          <w:color w:val="000000" w:themeColor="text1"/>
          <w:sz w:val="24"/>
          <w:szCs w:val="24"/>
        </w:rPr>
        <w:t>A</w:t>
      </w:r>
      <w:r w:rsidRPr="00246B02">
        <w:rPr>
          <w:rFonts w:ascii="Book Antiqua" w:hAnsi="Book Antiqua" w:cs="Times New Roman"/>
          <w:color w:val="000000" w:themeColor="text1"/>
          <w:sz w:val="24"/>
          <w:szCs w:val="24"/>
        </w:rPr>
        <w:t xml:space="preserve"> potential strategy for ER-positive breast cancer.</w:t>
      </w:r>
      <w:r w:rsidR="00975B21" w:rsidRPr="00246B02">
        <w:rPr>
          <w:rFonts w:ascii="Book Antiqua" w:hAnsi="Book Antiqua"/>
          <w:i/>
          <w:color w:val="000000" w:themeColor="text1"/>
          <w:sz w:val="24"/>
          <w:szCs w:val="24"/>
        </w:rPr>
        <w:t xml:space="preserve"> World J Clin Cases</w:t>
      </w:r>
      <w:r w:rsidR="00975B21" w:rsidRPr="00246B02">
        <w:rPr>
          <w:rFonts w:ascii="Book Antiqua" w:hAnsi="Book Antiqua"/>
          <w:color w:val="000000" w:themeColor="text1"/>
          <w:sz w:val="24"/>
          <w:szCs w:val="24"/>
        </w:rPr>
        <w:t xml:space="preserve"> 2019;</w:t>
      </w:r>
      <w:r w:rsidR="008A5003" w:rsidRPr="008A5003">
        <w:t xml:space="preserve"> </w:t>
      </w:r>
      <w:r w:rsidR="008A5003" w:rsidRPr="008A5003">
        <w:rPr>
          <w:rFonts w:ascii="Book Antiqua" w:hAnsi="Book Antiqua"/>
          <w:color w:val="000000" w:themeColor="text1"/>
          <w:sz w:val="24"/>
          <w:szCs w:val="24"/>
        </w:rPr>
        <w:t>7(15):</w:t>
      </w:r>
      <w:r w:rsidR="008A5003">
        <w:rPr>
          <w:rFonts w:ascii="Book Antiqua" w:hAnsi="Book Antiqua" w:hint="eastAsia"/>
          <w:color w:val="000000" w:themeColor="text1"/>
          <w:sz w:val="24"/>
          <w:szCs w:val="24"/>
        </w:rPr>
        <w:t>1937-1953</w:t>
      </w:r>
    </w:p>
    <w:p w14:paraId="1DFC9FE6" w14:textId="2A56EEAF" w:rsidR="008A5003" w:rsidRPr="008A5003" w:rsidRDefault="008A5003" w:rsidP="008A5003">
      <w:pPr>
        <w:spacing w:line="360" w:lineRule="auto"/>
        <w:jc w:val="both"/>
        <w:rPr>
          <w:rFonts w:ascii="Book Antiqua" w:hAnsi="Book Antiqua"/>
          <w:color w:val="000000" w:themeColor="text1"/>
          <w:sz w:val="24"/>
          <w:szCs w:val="24"/>
        </w:rPr>
      </w:pPr>
      <w:r w:rsidRPr="008A5003">
        <w:rPr>
          <w:rFonts w:ascii="Book Antiqua" w:hAnsi="Book Antiqua"/>
          <w:b/>
          <w:color w:val="000000" w:themeColor="text1"/>
          <w:sz w:val="24"/>
          <w:szCs w:val="24"/>
        </w:rPr>
        <w:t xml:space="preserve">URL: </w:t>
      </w:r>
      <w:r w:rsidRPr="008A5003">
        <w:rPr>
          <w:rFonts w:ascii="Book Antiqua" w:hAnsi="Book Antiqua"/>
          <w:color w:val="000000" w:themeColor="text1"/>
          <w:sz w:val="24"/>
          <w:szCs w:val="24"/>
        </w:rPr>
        <w:t>https://www.wjgnet.com/2307-8960/full/v7/i15/</w:t>
      </w:r>
      <w:r>
        <w:rPr>
          <w:rFonts w:ascii="Book Antiqua" w:hAnsi="Book Antiqua" w:hint="eastAsia"/>
          <w:color w:val="000000" w:themeColor="text1"/>
          <w:sz w:val="24"/>
          <w:szCs w:val="24"/>
        </w:rPr>
        <w:t>1937</w:t>
      </w:r>
      <w:r w:rsidRPr="008A5003">
        <w:rPr>
          <w:rFonts w:ascii="Book Antiqua" w:hAnsi="Book Antiqua"/>
          <w:color w:val="000000" w:themeColor="text1"/>
          <w:sz w:val="24"/>
          <w:szCs w:val="24"/>
        </w:rPr>
        <w:t xml:space="preserve">.htm  </w:t>
      </w:r>
    </w:p>
    <w:p w14:paraId="4A0E9435" w14:textId="640F6718" w:rsidR="008A5003" w:rsidRPr="00246B02" w:rsidRDefault="008A5003" w:rsidP="008A5003">
      <w:pPr>
        <w:spacing w:line="360" w:lineRule="auto"/>
        <w:jc w:val="both"/>
        <w:rPr>
          <w:rFonts w:ascii="Book Antiqua" w:hAnsi="Book Antiqua"/>
          <w:color w:val="000000" w:themeColor="text1"/>
          <w:sz w:val="24"/>
          <w:szCs w:val="24"/>
        </w:rPr>
      </w:pPr>
      <w:r w:rsidRPr="008A5003">
        <w:rPr>
          <w:rFonts w:ascii="Book Antiqua" w:hAnsi="Book Antiqua"/>
          <w:b/>
          <w:color w:val="000000" w:themeColor="text1"/>
          <w:sz w:val="24"/>
          <w:szCs w:val="24"/>
        </w:rPr>
        <w:t>DOI:</w:t>
      </w:r>
      <w:r w:rsidRPr="008A5003">
        <w:rPr>
          <w:rFonts w:ascii="Book Antiqua" w:hAnsi="Book Antiqua"/>
          <w:color w:val="000000" w:themeColor="text1"/>
          <w:sz w:val="24"/>
          <w:szCs w:val="24"/>
        </w:rPr>
        <w:t xml:space="preserve"> https://dx.doi.org/10.12998/wjcc.v7.i15.</w:t>
      </w:r>
      <w:r>
        <w:rPr>
          <w:rFonts w:ascii="Book Antiqua" w:hAnsi="Book Antiqua" w:hint="eastAsia"/>
          <w:color w:val="000000" w:themeColor="text1"/>
          <w:sz w:val="24"/>
          <w:szCs w:val="24"/>
        </w:rPr>
        <w:t>1937</w:t>
      </w:r>
    </w:p>
    <w:p w14:paraId="6DCE8B0B" w14:textId="726368C4" w:rsidR="00462A99" w:rsidRPr="00246B02" w:rsidRDefault="00462A99" w:rsidP="00246B02">
      <w:pPr>
        <w:spacing w:line="360" w:lineRule="auto"/>
        <w:jc w:val="both"/>
        <w:rPr>
          <w:rFonts w:ascii="Book Antiqua" w:hAnsi="Book Antiqua" w:cs="Times New Roman"/>
          <w:color w:val="000000" w:themeColor="text1"/>
          <w:sz w:val="24"/>
          <w:szCs w:val="24"/>
        </w:rPr>
      </w:pPr>
    </w:p>
    <w:p w14:paraId="01DE7BF6" w14:textId="77777777" w:rsidR="00975B21" w:rsidRPr="00246B02" w:rsidRDefault="00975B21"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br w:type="page"/>
      </w:r>
    </w:p>
    <w:p w14:paraId="632AE08E" w14:textId="44218EAE" w:rsidR="00837F36" w:rsidRPr="00246B02" w:rsidRDefault="00123A19"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lastRenderedPageBreak/>
        <w:t>INTRODUCTION</w:t>
      </w:r>
    </w:p>
    <w:p w14:paraId="2BE03F5B" w14:textId="40FC1487"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Neoadjuvant chemotherapy (NAC) has been defined as a standard treatment option for localized or locally advanced breast cancer. NAC is used to downgrade and downsize the tumor, which can decrease the extent of surgery and increase the likelihood of breast-conserving surgery (BCS). Moreover, it can improve the long-term prognosis for patients whose operative specimen showed a pathological complete response (pCR</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kern w:val="0"/>
          <w:sz w:val="24"/>
          <w:szCs w:val="24"/>
          <w:vertAlign w:val="superscript"/>
        </w:rPr>
        <w:t>[</w:t>
      </w:r>
      <w:proofErr w:type="gramEnd"/>
      <w:r w:rsidR="00975B21" w:rsidRPr="00246B02">
        <w:rPr>
          <w:rFonts w:ascii="Book Antiqua" w:hAnsi="Book Antiqua" w:cs="Times New Roman"/>
          <w:noProof/>
          <w:color w:val="000000" w:themeColor="text1"/>
          <w:kern w:val="0"/>
          <w:sz w:val="24"/>
          <w:szCs w:val="24"/>
          <w:vertAlign w:val="superscript"/>
        </w:rPr>
        <w:t>1,</w:t>
      </w:r>
      <w:r w:rsidRPr="00246B02">
        <w:rPr>
          <w:rFonts w:ascii="Book Antiqua" w:hAnsi="Book Antiqua" w:cs="Times New Roman"/>
          <w:noProof/>
          <w:color w:val="000000" w:themeColor="text1"/>
          <w:kern w:val="0"/>
          <w:sz w:val="24"/>
          <w:szCs w:val="24"/>
          <w:vertAlign w:val="superscript"/>
        </w:rPr>
        <w:t>2]</w:t>
      </w:r>
      <w:r w:rsidRPr="00246B02">
        <w:rPr>
          <w:rFonts w:ascii="Book Antiqua" w:hAnsi="Book Antiqua" w:cs="Times New Roman"/>
          <w:color w:val="000000" w:themeColor="text1"/>
          <w:sz w:val="24"/>
          <w:szCs w:val="24"/>
        </w:rPr>
        <w:t xml:space="preserve">. Clinical evidence has demonstrated that the </w:t>
      </w:r>
      <w:r w:rsidR="00CF3A77">
        <w:rPr>
          <w:rFonts w:ascii="Book Antiqua" w:hAnsi="Book Antiqua" w:cs="Times New Roman"/>
          <w:color w:val="000000" w:themeColor="text1"/>
          <w:sz w:val="24"/>
          <w:szCs w:val="24"/>
        </w:rPr>
        <w:t>status</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of hormone receptor (HR) and human epidermal growth factor receptor 2 (HER2) lead</w:t>
      </w:r>
      <w:r w:rsidR="00CF3A77">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to a corresponding response and efficacy of </w:t>
      </w:r>
      <w:proofErr w:type="gramStart"/>
      <w:r w:rsidRPr="00246B02">
        <w:rPr>
          <w:rFonts w:ascii="Book Antiqua" w:hAnsi="Book Antiqua" w:cs="Times New Roman"/>
          <w:color w:val="000000" w:themeColor="text1"/>
          <w:sz w:val="24"/>
          <w:szCs w:val="24"/>
        </w:rPr>
        <w:t>NAC</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3]</w:t>
      </w:r>
      <w:r w:rsidRPr="00246B02">
        <w:rPr>
          <w:rFonts w:ascii="Book Antiqua" w:hAnsi="Book Antiqua" w:cs="Times New Roman"/>
          <w:color w:val="000000" w:themeColor="text1"/>
          <w:sz w:val="24"/>
          <w:szCs w:val="24"/>
        </w:rPr>
        <w:t>. However, patients with estrogen receptor (ER)-positive, HER2-negative (ER</w:t>
      </w:r>
      <w:r w:rsidR="00CF3A77" w:rsidRPr="00246B02">
        <w:rPr>
          <w:rFonts w:ascii="Book Antiqua" w:hAnsi="Book Antiqua" w:cs="Times New Roman"/>
          <w:color w:val="000000" w:themeColor="text1"/>
          <w:sz w:val="24"/>
          <w:szCs w:val="24"/>
        </w:rPr>
        <w:t>+</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breast cancer show limited results from NAC, with a lower pCR and poor objective response rate (ORR</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4]</w:t>
      </w:r>
      <w:r w:rsidRPr="00246B02">
        <w:rPr>
          <w:rFonts w:ascii="Book Antiqua" w:hAnsi="Book Antiqua" w:cs="Times New Roman"/>
          <w:color w:val="000000" w:themeColor="text1"/>
          <w:sz w:val="24"/>
          <w:szCs w:val="24"/>
        </w:rPr>
        <w:t xml:space="preserve">. Thus, an alternate neoadjuvant approach is required for breast cancer </w:t>
      </w:r>
      <w:r w:rsidR="00CF3A77">
        <w:rPr>
          <w:rFonts w:ascii="Book Antiqua" w:hAnsi="Book Antiqua" w:cs="Times New Roman"/>
          <w:color w:val="000000" w:themeColor="text1"/>
          <w:sz w:val="24"/>
          <w:szCs w:val="24"/>
        </w:rPr>
        <w:t>of</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this subtype. There is now increasing data that neoadjuvant endocrine therapy (NAE) may be a more appropriate treatment strategy than </w:t>
      </w:r>
      <w:proofErr w:type="gramStart"/>
      <w:r w:rsidRPr="00246B02">
        <w:rPr>
          <w:rFonts w:ascii="Book Antiqua" w:hAnsi="Book Antiqua" w:cs="Times New Roman"/>
          <w:color w:val="000000" w:themeColor="text1"/>
          <w:sz w:val="24"/>
          <w:szCs w:val="24"/>
        </w:rPr>
        <w:t>NAC</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5]</w:t>
      </w:r>
      <w:r w:rsidRPr="00246B02">
        <w:rPr>
          <w:rFonts w:ascii="Book Antiqua" w:hAnsi="Book Antiqua" w:cs="Times New Roman"/>
          <w:color w:val="000000" w:themeColor="text1"/>
          <w:sz w:val="24"/>
          <w:szCs w:val="24"/>
        </w:rPr>
        <w:t xml:space="preserve">. </w:t>
      </w:r>
    </w:p>
    <w:p w14:paraId="6440D26F" w14:textId="6CAEBFD8"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Traditionally, NAE has been reserved for locally advanced breast cancer in chemotherapy intolerant or feeble senior patients due to its indolent clinical response and difficulties in efficacy </w:t>
      </w:r>
      <w:proofErr w:type="gramStart"/>
      <w:r w:rsidRPr="00246B02">
        <w:rPr>
          <w:rFonts w:ascii="Book Antiqua" w:hAnsi="Book Antiqua" w:cs="Times New Roman"/>
          <w:color w:val="000000" w:themeColor="text1"/>
          <w:sz w:val="24"/>
          <w:szCs w:val="24"/>
        </w:rPr>
        <w:t>evaluation</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6]</w:t>
      </w:r>
      <w:r w:rsidRPr="00246B02">
        <w:rPr>
          <w:rFonts w:ascii="Book Antiqua" w:hAnsi="Book Antiqua" w:cs="Times New Roman"/>
          <w:color w:val="000000" w:themeColor="text1"/>
          <w:sz w:val="24"/>
          <w:szCs w:val="24"/>
        </w:rPr>
        <w:t xml:space="preserve">. However, since the development of third-generation aromatase inhibitors (AIs), several studies were conducted to evaluate the effects of NAE on ER+ breast </w:t>
      </w:r>
      <w:proofErr w:type="gramStart"/>
      <w:r w:rsidRPr="00246B02">
        <w:rPr>
          <w:rFonts w:ascii="Book Antiqua" w:hAnsi="Book Antiqua" w:cs="Times New Roman"/>
          <w:color w:val="000000" w:themeColor="text1"/>
          <w:sz w:val="24"/>
          <w:szCs w:val="24"/>
        </w:rPr>
        <w:t>cancer</w:t>
      </w:r>
      <w:r w:rsidRPr="00246B02">
        <w:rPr>
          <w:rFonts w:ascii="Book Antiqua" w:eastAsia="System" w:hAnsi="Book Antiqua" w:cs="Times New Roman"/>
          <w:noProof/>
          <w:color w:val="000000" w:themeColor="text1"/>
          <w:sz w:val="24"/>
          <w:szCs w:val="24"/>
          <w:vertAlign w:val="superscript"/>
        </w:rPr>
        <w:t>[</w:t>
      </w:r>
      <w:proofErr w:type="gramEnd"/>
      <w:r w:rsidR="00975B21" w:rsidRPr="00246B02">
        <w:rPr>
          <w:rFonts w:ascii="Book Antiqua" w:eastAsiaTheme="minorHAnsi" w:hAnsi="Book Antiqua" w:cs="Times New Roman"/>
          <w:noProof/>
          <w:color w:val="000000" w:themeColor="text1"/>
          <w:sz w:val="24"/>
          <w:szCs w:val="24"/>
          <w:vertAlign w:val="superscript"/>
        </w:rPr>
        <w:t>7,</w:t>
      </w:r>
      <w:r w:rsidRPr="00246B02">
        <w:rPr>
          <w:rFonts w:ascii="Book Antiqua" w:eastAsiaTheme="minorHAnsi" w:hAnsi="Book Antiqua" w:cs="Times New Roman"/>
          <w:noProof/>
          <w:color w:val="000000" w:themeColor="text1"/>
          <w:sz w:val="24"/>
          <w:szCs w:val="24"/>
          <w:vertAlign w:val="superscript"/>
        </w:rPr>
        <w:t>8]</w:t>
      </w:r>
      <w:r w:rsidRPr="00246B02">
        <w:rPr>
          <w:rFonts w:ascii="Book Antiqua" w:hAnsi="Book Antiqua" w:cs="Times New Roman"/>
          <w:color w:val="000000" w:themeColor="text1"/>
          <w:sz w:val="24"/>
          <w:szCs w:val="24"/>
        </w:rPr>
        <w:t>. Neoadjuvant AI has comparable efficacy to NAC in terms of pCR, ORR</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BCS, </w:t>
      </w:r>
      <w:r w:rsidR="00CF3A77">
        <w:rPr>
          <w:rFonts w:ascii="Book Antiqua" w:hAnsi="Book Antiqua" w:cs="Times New Roman"/>
          <w:color w:val="000000" w:themeColor="text1"/>
          <w:sz w:val="24"/>
          <w:szCs w:val="24"/>
        </w:rPr>
        <w:t>suggesting</w:t>
      </w:r>
      <w:r w:rsidRPr="00246B02">
        <w:rPr>
          <w:rFonts w:ascii="Book Antiqua" w:hAnsi="Book Antiqua" w:cs="Times New Roman"/>
          <w:color w:val="000000" w:themeColor="text1"/>
          <w:sz w:val="24"/>
          <w:szCs w:val="24"/>
        </w:rPr>
        <w:t xml:space="preserve"> the feasibility of this well-tolerated strategy, mainly for postmenopausal </w:t>
      </w:r>
      <w:proofErr w:type="gramStart"/>
      <w:r w:rsidRPr="00246B02">
        <w:rPr>
          <w:rFonts w:ascii="Book Antiqua" w:hAnsi="Book Antiqua" w:cs="Times New Roman"/>
          <w:color w:val="000000" w:themeColor="text1"/>
          <w:sz w:val="24"/>
          <w:szCs w:val="24"/>
        </w:rPr>
        <w:t>patients</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9]</w:t>
      </w:r>
      <w:r w:rsidRPr="00246B02">
        <w:rPr>
          <w:rFonts w:ascii="Book Antiqua" w:hAnsi="Book Antiqua" w:cs="Times New Roman"/>
          <w:color w:val="000000" w:themeColor="text1"/>
          <w:sz w:val="24"/>
          <w:szCs w:val="24"/>
        </w:rPr>
        <w:t>. The choice of chemotherapy or endocrine therapy (ET) as neoadjuvant treatment depends on disease characteristics and patient subtypes. We will discuss the most relevant clinical trials to illustrate whether NAE, either monotherapy or combination therapy, can serve as a potential option in patients with ER</w:t>
      </w:r>
      <w:r w:rsidR="00CF3A77" w:rsidRPr="00246B02">
        <w:rPr>
          <w:rFonts w:ascii="Book Antiqua" w:hAnsi="Book Antiqua" w:cs="Times New Roman"/>
          <w:color w:val="000000" w:themeColor="text1"/>
          <w:sz w:val="24"/>
          <w:szCs w:val="24"/>
        </w:rPr>
        <w:t>+</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breast cancer.</w:t>
      </w:r>
    </w:p>
    <w:p w14:paraId="15F4C15D" w14:textId="691BF6E3"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Furthermore, optimal NAE settings can optimize treatment response and achieve the maximum therapeutic effect for ER+ breast </w:t>
      </w:r>
      <w:proofErr w:type="gramStart"/>
      <w:r w:rsidRPr="00246B02">
        <w:rPr>
          <w:rFonts w:ascii="Book Antiqua" w:hAnsi="Book Antiqua" w:cs="Times New Roman"/>
          <w:color w:val="000000" w:themeColor="text1"/>
          <w:sz w:val="24"/>
          <w:szCs w:val="24"/>
        </w:rPr>
        <w:t>cancer</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10]</w:t>
      </w:r>
      <w:r w:rsidRPr="00246B02">
        <w:rPr>
          <w:rFonts w:ascii="Book Antiqua" w:hAnsi="Book Antiqua" w:cs="Times New Roman"/>
          <w:color w:val="000000" w:themeColor="text1"/>
          <w:sz w:val="24"/>
          <w:szCs w:val="24"/>
        </w:rPr>
        <w:t xml:space="preserve">. Emerging </w:t>
      </w:r>
      <w:r w:rsidRPr="00246B02">
        <w:rPr>
          <w:rFonts w:ascii="Book Antiqua" w:hAnsi="Book Antiqua" w:cs="Times New Roman"/>
          <w:color w:val="000000" w:themeColor="text1"/>
          <w:sz w:val="24"/>
          <w:szCs w:val="24"/>
        </w:rPr>
        <w:lastRenderedPageBreak/>
        <w:t xml:space="preserve">evidence has revealed the efficacy of different endocrine agents in presurgical application, including AIs, tamoxifen, and fulvestrant. The identification of optimal agents can result in tailored treatment for both postmenopausal and premenopausal patients. Combining targeted agents with AI or fulvestrant yields promising effects for postmenopausal patients with advanced or metastatic breast </w:t>
      </w:r>
      <w:proofErr w:type="gramStart"/>
      <w:r w:rsidRPr="00246B02">
        <w:rPr>
          <w:rFonts w:ascii="Book Antiqua" w:hAnsi="Book Antiqua" w:cs="Times New Roman"/>
          <w:color w:val="000000" w:themeColor="text1"/>
          <w:sz w:val="24"/>
          <w:szCs w:val="24"/>
        </w:rPr>
        <w:t>cancer</w:t>
      </w:r>
      <w:r w:rsidRPr="00246B02">
        <w:rPr>
          <w:rFonts w:ascii="Book Antiqua" w:eastAsia="System" w:hAnsi="Book Antiqua" w:cs="Times New Roman"/>
          <w:noProof/>
          <w:color w:val="000000" w:themeColor="text1"/>
          <w:sz w:val="24"/>
          <w:szCs w:val="24"/>
          <w:vertAlign w:val="superscript"/>
        </w:rPr>
        <w:t>[</w:t>
      </w:r>
      <w:proofErr w:type="gramEnd"/>
      <w:r w:rsidR="00975B21" w:rsidRPr="00246B02">
        <w:rPr>
          <w:rFonts w:ascii="Book Antiqua" w:eastAsiaTheme="minorHAnsi" w:hAnsi="Book Antiqua" w:cs="Times New Roman"/>
          <w:noProof/>
          <w:color w:val="000000" w:themeColor="text1"/>
          <w:sz w:val="24"/>
          <w:szCs w:val="24"/>
          <w:vertAlign w:val="superscript"/>
        </w:rPr>
        <w:t>11,</w:t>
      </w:r>
      <w:r w:rsidRPr="00246B02">
        <w:rPr>
          <w:rFonts w:ascii="Book Antiqua" w:eastAsiaTheme="minorHAnsi" w:hAnsi="Book Antiqua" w:cs="Times New Roman"/>
          <w:noProof/>
          <w:color w:val="000000" w:themeColor="text1"/>
          <w:sz w:val="24"/>
          <w:szCs w:val="24"/>
          <w:vertAlign w:val="superscript"/>
        </w:rPr>
        <w:t>12]</w:t>
      </w:r>
      <w:r w:rsidRPr="00246B02">
        <w:rPr>
          <w:rFonts w:ascii="Book Antiqua" w:hAnsi="Book Antiqua" w:cs="Times New Roman"/>
          <w:color w:val="000000" w:themeColor="text1"/>
          <w:sz w:val="24"/>
          <w:szCs w:val="24"/>
        </w:rPr>
        <w:t xml:space="preserve">. The results are being translated to neoadjuvant settings and provide possibilities to fulfill the requirements of drug resistance mechanism exploration and new drug </w:t>
      </w:r>
      <w:proofErr w:type="gramStart"/>
      <w:r w:rsidRPr="00246B02">
        <w:rPr>
          <w:rFonts w:ascii="Book Antiqua" w:hAnsi="Book Antiqua" w:cs="Times New Roman"/>
          <w:color w:val="000000" w:themeColor="text1"/>
          <w:sz w:val="24"/>
          <w:szCs w:val="24"/>
        </w:rPr>
        <w:t>development</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13]</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Available neoadjuvant endocrine settings are generally favorable for ER+ breast cancer patients, but not all patients benefit equally. The neoadjuvant period can provide a usable platform for tumors to receive biopsy on treatment, leading to the exploration of predictive tools that can screen </w:t>
      </w:r>
      <w:r w:rsidR="00537255" w:rsidRPr="00246B02">
        <w:rPr>
          <w:rFonts w:ascii="Book Antiqua" w:hAnsi="Book Antiqua" w:cs="Times New Roman"/>
          <w:color w:val="000000" w:themeColor="text1"/>
          <w:sz w:val="24"/>
          <w:szCs w:val="24"/>
        </w:rPr>
        <w:t xml:space="preserve">suitable </w:t>
      </w:r>
      <w:r w:rsidRPr="00246B02">
        <w:rPr>
          <w:rFonts w:ascii="Book Antiqua" w:hAnsi="Book Antiqua" w:cs="Times New Roman"/>
          <w:color w:val="000000" w:themeColor="text1"/>
          <w:sz w:val="24"/>
          <w:szCs w:val="24"/>
        </w:rPr>
        <w:t xml:space="preserve">individuals and select treatment options in breast </w:t>
      </w:r>
      <w:proofErr w:type="gramStart"/>
      <w:r w:rsidRPr="00246B02">
        <w:rPr>
          <w:rFonts w:ascii="Book Antiqua" w:hAnsi="Book Antiqua" w:cs="Times New Roman"/>
          <w:color w:val="000000" w:themeColor="text1"/>
          <w:sz w:val="24"/>
          <w:szCs w:val="24"/>
        </w:rPr>
        <w:t>cancer</w:t>
      </w:r>
      <w:r w:rsidRPr="00246B02">
        <w:rPr>
          <w:rFonts w:ascii="Book Antiqua" w:eastAsia="System" w:hAnsi="Book Antiqua" w:cs="Times New Roman"/>
          <w:noProof/>
          <w:color w:val="000000" w:themeColor="text1"/>
          <w:sz w:val="24"/>
          <w:szCs w:val="24"/>
          <w:vertAlign w:val="superscript"/>
        </w:rPr>
        <w:t>[</w:t>
      </w:r>
      <w:proofErr w:type="gramEnd"/>
      <w:r w:rsidR="00975B21" w:rsidRPr="00246B02">
        <w:rPr>
          <w:rFonts w:ascii="Book Antiqua" w:eastAsiaTheme="minorHAnsi" w:hAnsi="Book Antiqua" w:cs="Times New Roman"/>
          <w:noProof/>
          <w:color w:val="000000" w:themeColor="text1"/>
          <w:sz w:val="24"/>
          <w:szCs w:val="24"/>
          <w:vertAlign w:val="superscript"/>
        </w:rPr>
        <w:t>14,</w:t>
      </w:r>
      <w:r w:rsidRPr="00246B02">
        <w:rPr>
          <w:rFonts w:ascii="Book Antiqua" w:eastAsiaTheme="minorHAnsi" w:hAnsi="Book Antiqua" w:cs="Times New Roman"/>
          <w:noProof/>
          <w:color w:val="000000" w:themeColor="text1"/>
          <w:sz w:val="24"/>
          <w:szCs w:val="24"/>
          <w:vertAlign w:val="superscript"/>
        </w:rPr>
        <w:t>15]</w:t>
      </w:r>
      <w:r w:rsidRPr="00246B02">
        <w:rPr>
          <w:rFonts w:ascii="Book Antiqua" w:hAnsi="Book Antiqua" w:cs="Times New Roman"/>
          <w:color w:val="000000" w:themeColor="text1"/>
          <w:sz w:val="24"/>
          <w:szCs w:val="24"/>
        </w:rPr>
        <w:t xml:space="preserve">. Current evidence suggested that compared with traditional tumor staging, biomarkers, especially Ki67, and genomic assays offered more accurate prediction information. This evidence provides novel insight into the development of biomarker-based strategies in NAE. </w:t>
      </w:r>
    </w:p>
    <w:p w14:paraId="69AAC1C2" w14:textId="0702C413"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In this review, we will detail the most relevant evidence to verify the potential role of NAE. We identify optimal settings, including optimal duration, optimal endocrine agents</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optimal targeted agents, and then evaluate the prognostic role of biomarkers and genomic assays in NAE. NAE can act as a prospective strategy and scientific platform for optimizing treatment efficacy, screening suitable individuals</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investigating mechanisms of drug resistance in ER</w:t>
      </w:r>
      <w:r w:rsidR="00CF3A77" w:rsidRPr="00246B02">
        <w:rPr>
          <w:rFonts w:ascii="Book Antiqua" w:hAnsi="Book Antiqua" w:cs="Times New Roman"/>
          <w:color w:val="000000" w:themeColor="text1"/>
          <w:sz w:val="24"/>
          <w:szCs w:val="24"/>
        </w:rPr>
        <w:t>+</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HER2- breast cancer. </w:t>
      </w:r>
    </w:p>
    <w:p w14:paraId="56D8196D"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3B543E4B" w14:textId="01D0DD5E" w:rsidR="00837F36" w:rsidRPr="00246B02" w:rsidRDefault="00975B21"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NAE AS A POTENTIAL APPROACH IN THE NEOADJUVANT SETTING</w:t>
      </w:r>
    </w:p>
    <w:p w14:paraId="29E698F7" w14:textId="44C906A3" w:rsidR="00837F36" w:rsidRPr="00246B02" w:rsidRDefault="00837F36" w:rsidP="00246B02">
      <w:pPr>
        <w:spacing w:line="360" w:lineRule="auto"/>
        <w:jc w:val="both"/>
        <w:rPr>
          <w:rFonts w:ascii="Book Antiqua" w:hAnsi="Book Antiqua" w:cs="Times New Roman"/>
          <w:b/>
          <w:i/>
          <w:color w:val="000000" w:themeColor="text1"/>
          <w:sz w:val="24"/>
          <w:szCs w:val="24"/>
        </w:rPr>
      </w:pPr>
      <w:r w:rsidRPr="00246B02">
        <w:rPr>
          <w:rFonts w:ascii="Book Antiqua" w:hAnsi="Book Antiqua" w:cs="Times New Roman"/>
          <w:b/>
          <w:i/>
          <w:color w:val="000000" w:themeColor="text1"/>
          <w:sz w:val="24"/>
          <w:szCs w:val="24"/>
        </w:rPr>
        <w:t>NAE monotherapy</w:t>
      </w:r>
    </w:p>
    <w:p w14:paraId="6E286129" w14:textId="0691307A"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Several studies have already proved that NAE had a similar beneficial therapeutic effect </w:t>
      </w:r>
      <w:r w:rsidR="00F40734">
        <w:rPr>
          <w:rFonts w:ascii="Book Antiqua" w:hAnsi="Book Antiqua" w:cs="Times New Roman"/>
          <w:color w:val="000000" w:themeColor="text1"/>
          <w:sz w:val="24"/>
          <w:szCs w:val="24"/>
        </w:rPr>
        <w:t>to</w:t>
      </w:r>
      <w:r w:rsidR="00F4073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NAC for ER+ breast cancer</w:t>
      </w:r>
      <w:r w:rsidR="00C57108" w:rsidRPr="00246B02">
        <w:rPr>
          <w:rFonts w:ascii="Book Antiqua" w:hAnsi="Book Antiqua" w:cs="Times New Roman"/>
          <w:color w:val="000000" w:themeColor="text1"/>
          <w:sz w:val="24"/>
          <w:szCs w:val="24"/>
        </w:rPr>
        <w:t xml:space="preserve"> (</w:t>
      </w:r>
      <w:r w:rsidR="00975B21" w:rsidRPr="00246B02">
        <w:rPr>
          <w:rFonts w:ascii="Book Antiqua" w:hAnsi="Book Antiqua" w:cs="Times New Roman"/>
          <w:color w:val="000000" w:themeColor="text1"/>
          <w:sz w:val="24"/>
          <w:szCs w:val="24"/>
        </w:rPr>
        <w:t xml:space="preserve">Table </w:t>
      </w:r>
      <w:r w:rsidR="00C57108" w:rsidRPr="00246B02">
        <w:rPr>
          <w:rFonts w:ascii="Book Antiqua" w:hAnsi="Book Antiqua" w:cs="Times New Roman"/>
          <w:color w:val="000000" w:themeColor="text1"/>
          <w:sz w:val="24"/>
          <w:szCs w:val="24"/>
        </w:rPr>
        <w:t>1)</w:t>
      </w:r>
      <w:r w:rsidRPr="00246B02">
        <w:rPr>
          <w:rFonts w:ascii="Book Antiqua" w:hAnsi="Book Antiqua" w:cs="Times New Roman"/>
          <w:color w:val="000000" w:themeColor="text1"/>
          <w:sz w:val="24"/>
          <w:szCs w:val="24"/>
        </w:rPr>
        <w:t xml:space="preserve">. A phase II clinical trial published by Semiglazov </w:t>
      </w:r>
      <w:r w:rsidRPr="00246B02">
        <w:rPr>
          <w:rFonts w:ascii="Book Antiqua" w:hAnsi="Book Antiqua" w:cs="Times New Roman"/>
          <w:i/>
          <w:color w:val="000000" w:themeColor="text1"/>
          <w:sz w:val="24"/>
          <w:szCs w:val="24"/>
        </w:rPr>
        <w:t>et al</w:t>
      </w:r>
      <w:r w:rsidR="00975B21" w:rsidRPr="00246B02">
        <w:rPr>
          <w:rFonts w:ascii="Book Antiqua" w:eastAsia="System" w:hAnsi="Book Antiqua" w:cs="Times New Roman"/>
          <w:noProof/>
          <w:color w:val="000000" w:themeColor="text1"/>
          <w:kern w:val="0"/>
          <w:sz w:val="24"/>
          <w:szCs w:val="24"/>
          <w:vertAlign w:val="superscript"/>
        </w:rPr>
        <w:t>[</w:t>
      </w:r>
      <w:r w:rsidR="00975B21" w:rsidRPr="00246B02">
        <w:rPr>
          <w:rFonts w:ascii="Book Antiqua" w:hAnsi="Book Antiqua" w:cs="Times New Roman"/>
          <w:noProof/>
          <w:color w:val="000000" w:themeColor="text1"/>
          <w:kern w:val="0"/>
          <w:sz w:val="24"/>
          <w:szCs w:val="24"/>
          <w:vertAlign w:val="superscript"/>
        </w:rPr>
        <w:t>16]</w:t>
      </w:r>
      <w:r w:rsidRPr="00246B02">
        <w:rPr>
          <w:rFonts w:ascii="Book Antiqua" w:hAnsi="Book Antiqua" w:cs="Times New Roman"/>
          <w:color w:val="000000" w:themeColor="text1"/>
          <w:sz w:val="24"/>
          <w:szCs w:val="24"/>
        </w:rPr>
        <w:t xml:space="preserve"> suggested that there was no significant </w:t>
      </w:r>
      <w:r w:rsidRPr="00246B02">
        <w:rPr>
          <w:rFonts w:ascii="Book Antiqua" w:hAnsi="Book Antiqua" w:cs="Times New Roman"/>
          <w:color w:val="000000" w:themeColor="text1"/>
          <w:sz w:val="24"/>
          <w:szCs w:val="24"/>
        </w:rPr>
        <w:lastRenderedPageBreak/>
        <w:t xml:space="preserve">difference between the NAC arm (doxorubicin plus paclitaxel) and NAE arm (anastrozole or exemestane) in terms of clinical response (63.6%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64.5%), ultrasound response (46%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40%)</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or mammographic response (63%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60%). In comparison with the NAC arm, the NAE arm showed an improved BCS rate (24%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33%,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0.058). Similar results were provided in the GEICAM/2006-03 trial between the NAC arm (epirubicin, cyclophosphamide</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w:t>
      </w:r>
      <w:r w:rsidR="00A0260B">
        <w:rPr>
          <w:rFonts w:ascii="Book Antiqua" w:hAnsi="Book Antiqua" w:cs="Times New Roman"/>
          <w:color w:val="000000" w:themeColor="text1"/>
          <w:sz w:val="24"/>
          <w:szCs w:val="24"/>
        </w:rPr>
        <w:t>and</w:t>
      </w:r>
      <w:r w:rsidRPr="00246B02">
        <w:rPr>
          <w:rFonts w:ascii="Book Antiqua" w:hAnsi="Book Antiqua" w:cs="Times New Roman"/>
          <w:color w:val="000000" w:themeColor="text1"/>
          <w:sz w:val="24"/>
          <w:szCs w:val="24"/>
        </w:rPr>
        <w:t xml:space="preserve"> docetaxel) and NAE arm (exemestane) in both clinical response rate (CRR 66%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48%,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xml:space="preserve">= 0.075) and BCS rate (47%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56%,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0.2369</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5]</w:t>
      </w:r>
      <w:r w:rsidRPr="00246B02">
        <w:rPr>
          <w:rFonts w:ascii="Book Antiqua" w:hAnsi="Book Antiqua" w:cs="Times New Roman"/>
          <w:color w:val="000000" w:themeColor="text1"/>
          <w:sz w:val="24"/>
          <w:szCs w:val="24"/>
        </w:rPr>
        <w:t xml:space="preserve">. Meanwhile, a subgroup analysis suggested that NAC had a clear advantage over NAE in premenopausal women (CRR, 75% and 44%, </w:t>
      </w:r>
      <w:r w:rsidRPr="00246B02">
        <w:rPr>
          <w:rFonts w:ascii="Book Antiqua" w:hAnsi="Book Antiqua" w:cs="Times New Roman"/>
          <w:i/>
          <w:color w:val="000000" w:themeColor="text1"/>
          <w:sz w:val="24"/>
          <w:szCs w:val="24"/>
        </w:rPr>
        <w:t>P</w:t>
      </w:r>
      <w:r w:rsidR="00DD77D1" w:rsidRPr="00246B02">
        <w:rPr>
          <w:rFonts w:ascii="Book Antiqua" w:hAnsi="Book Antiqua" w:cs="Times New Roman"/>
          <w:i/>
          <w:color w:val="000000" w:themeColor="text1"/>
          <w:sz w:val="24"/>
          <w:szCs w:val="24"/>
        </w:rPr>
        <w:t xml:space="preserve"> </w:t>
      </w:r>
      <w:r w:rsidRPr="00246B02">
        <w:rPr>
          <w:rFonts w:ascii="Book Antiqua" w:hAnsi="Book Antiqua" w:cs="Times New Roman"/>
          <w:color w:val="000000" w:themeColor="text1"/>
          <w:sz w:val="24"/>
          <w:szCs w:val="24"/>
        </w:rPr>
        <w:t xml:space="preserve">= 0.027), whereas in postmenopausal women, this advantage disappeared. </w:t>
      </w:r>
    </w:p>
    <w:p w14:paraId="1E2441E1" w14:textId="4374C59D"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Regarding the safety of neoadjuvant settings, grade 3</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4 toxicity was more common in NAC therapy than in NAE therapy (47%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9%,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&lt; 0.001</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5]</w:t>
      </w:r>
      <w:r w:rsidRPr="00246B02">
        <w:rPr>
          <w:rFonts w:ascii="Book Antiqua" w:hAnsi="Book Antiqua" w:cs="Times New Roman"/>
          <w:color w:val="000000" w:themeColor="text1"/>
          <w:sz w:val="24"/>
          <w:szCs w:val="24"/>
        </w:rPr>
        <w:t>. The recent, multicenter NEOCENT trial also proposed that the NAC group had more serious adverse effects (AEs), such as alopecia, vomiting, stomatitis</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anemia, than the NAE group, affirming the safety and tolerability of </w:t>
      </w:r>
      <w:proofErr w:type="gramStart"/>
      <w:r w:rsidRPr="00246B02">
        <w:rPr>
          <w:rFonts w:ascii="Book Antiqua" w:hAnsi="Book Antiqua" w:cs="Times New Roman"/>
          <w:color w:val="000000" w:themeColor="text1"/>
          <w:sz w:val="24"/>
          <w:szCs w:val="24"/>
        </w:rPr>
        <w:t>NAE</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17]</w:t>
      </w:r>
      <w:r w:rsidRPr="00246B02">
        <w:rPr>
          <w:rFonts w:ascii="Book Antiqua" w:hAnsi="Book Antiqua" w:cs="Times New Roman"/>
          <w:color w:val="000000" w:themeColor="text1"/>
          <w:sz w:val="24"/>
          <w:szCs w:val="24"/>
        </w:rPr>
        <w:t xml:space="preserve">. Furthermore, a meta-analysis including </w:t>
      </w:r>
      <w:r w:rsidR="00F40734">
        <w:rPr>
          <w:rFonts w:ascii="Book Antiqua" w:hAnsi="Book Antiqua" w:cs="Times New Roman"/>
          <w:color w:val="000000" w:themeColor="text1"/>
          <w:sz w:val="24"/>
          <w:szCs w:val="24"/>
        </w:rPr>
        <w:t>five</w:t>
      </w:r>
      <w:r w:rsidR="00F40734" w:rsidRPr="00246B02">
        <w:rPr>
          <w:rFonts w:ascii="Book Antiqua" w:hAnsi="Book Antiqua" w:cs="Times New Roman"/>
          <w:color w:val="000000" w:themeColor="text1"/>
          <w:sz w:val="24"/>
          <w:szCs w:val="24"/>
        </w:rPr>
        <w:t xml:space="preserve"> </w:t>
      </w:r>
      <w:r w:rsidR="00F40734">
        <w:rPr>
          <w:rFonts w:ascii="Book Antiqua" w:hAnsi="Book Antiqua" w:cs="Times New Roman"/>
          <w:color w:val="000000" w:themeColor="text1"/>
          <w:sz w:val="24"/>
          <w:szCs w:val="24"/>
        </w:rPr>
        <w:t>randomized controlled trials</w:t>
      </w:r>
      <w:r w:rsidR="00F4073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with</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538 patients, of whom 267 (49.6%) received NAE and 271 (50.4%) underwent NAC, can be considered the best evidence. This meta-analysis indicated that NAE was as efficacious as NAC in clinical response and increased the rates of BCS and wide local excision, with better </w:t>
      </w:r>
      <w:proofErr w:type="gramStart"/>
      <w:r w:rsidRPr="00246B02">
        <w:rPr>
          <w:rFonts w:ascii="Book Antiqua" w:hAnsi="Book Antiqua" w:cs="Times New Roman"/>
          <w:color w:val="000000" w:themeColor="text1"/>
          <w:sz w:val="24"/>
          <w:szCs w:val="24"/>
        </w:rPr>
        <w:t>tolerability</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9]</w:t>
      </w:r>
      <w:r w:rsidRPr="00246B02">
        <w:rPr>
          <w:rFonts w:ascii="Book Antiqua" w:hAnsi="Book Antiqua" w:cs="Times New Roman"/>
          <w:color w:val="000000" w:themeColor="text1"/>
          <w:sz w:val="24"/>
          <w:szCs w:val="24"/>
        </w:rPr>
        <w:t>. Given the efficacy and low toxicity correlated with NAE, this treatment option as a potential alternative treatment strategy</w:t>
      </w:r>
      <w:r w:rsidR="00F40734">
        <w:rPr>
          <w:rFonts w:ascii="Book Antiqua" w:hAnsi="Book Antiqua" w:cs="Times New Roman"/>
          <w:color w:val="000000" w:themeColor="text1"/>
          <w:sz w:val="24"/>
          <w:szCs w:val="24"/>
        </w:rPr>
        <w:t xml:space="preserve"> to</w:t>
      </w:r>
      <w:r w:rsidRPr="00246B02">
        <w:rPr>
          <w:rFonts w:ascii="Book Antiqua" w:hAnsi="Book Antiqua" w:cs="Times New Roman"/>
          <w:color w:val="000000" w:themeColor="text1"/>
          <w:sz w:val="24"/>
          <w:szCs w:val="24"/>
        </w:rPr>
        <w:t xml:space="preserve"> NAC, especially in postmenopausal patients, was encouraged.</w:t>
      </w:r>
    </w:p>
    <w:p w14:paraId="70002270"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50360A63" w14:textId="7AC7C886" w:rsidR="00837F36" w:rsidRPr="00246B02" w:rsidRDefault="00837F36" w:rsidP="00246B02">
      <w:pPr>
        <w:spacing w:line="360" w:lineRule="auto"/>
        <w:jc w:val="both"/>
        <w:rPr>
          <w:rFonts w:ascii="Book Antiqua" w:hAnsi="Book Antiqua" w:cs="Times New Roman"/>
          <w:b/>
          <w:i/>
          <w:color w:val="000000" w:themeColor="text1"/>
          <w:sz w:val="24"/>
          <w:szCs w:val="24"/>
        </w:rPr>
      </w:pPr>
      <w:r w:rsidRPr="00246B02">
        <w:rPr>
          <w:rFonts w:ascii="Book Antiqua" w:hAnsi="Book Antiqua" w:cs="Times New Roman"/>
          <w:b/>
          <w:i/>
          <w:color w:val="000000" w:themeColor="text1"/>
          <w:sz w:val="24"/>
          <w:szCs w:val="24"/>
        </w:rPr>
        <w:t>NAE combination therapy</w:t>
      </w:r>
    </w:p>
    <w:p w14:paraId="684303A4" w14:textId="362F8CEE"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Based on this promising knowledge of NAE, neoadjuvant chemo-endocrine therapy (NCET), which combined NAE and NAC, was a potential treatment option for hormone-sensitive patients</w:t>
      </w:r>
      <w:r w:rsidR="00C57108" w:rsidRPr="00246B02">
        <w:rPr>
          <w:rFonts w:ascii="Book Antiqua" w:hAnsi="Book Antiqua" w:cs="Times New Roman"/>
          <w:color w:val="000000" w:themeColor="text1"/>
          <w:sz w:val="24"/>
          <w:szCs w:val="24"/>
        </w:rPr>
        <w:t xml:space="preserve"> (</w:t>
      </w:r>
      <w:r w:rsidR="00A04C3D" w:rsidRPr="00246B02">
        <w:rPr>
          <w:rFonts w:ascii="Book Antiqua" w:hAnsi="Book Antiqua" w:cs="Times New Roman"/>
          <w:color w:val="000000" w:themeColor="text1"/>
          <w:sz w:val="24"/>
          <w:szCs w:val="24"/>
        </w:rPr>
        <w:t xml:space="preserve">Table </w:t>
      </w:r>
      <w:r w:rsidR="00C57108" w:rsidRPr="00246B02">
        <w:rPr>
          <w:rFonts w:ascii="Book Antiqua" w:hAnsi="Book Antiqua" w:cs="Times New Roman"/>
          <w:color w:val="000000" w:themeColor="text1"/>
          <w:sz w:val="24"/>
          <w:szCs w:val="24"/>
        </w:rPr>
        <w:t>1)</w:t>
      </w:r>
      <w:r w:rsidRPr="00246B02">
        <w:rPr>
          <w:rFonts w:ascii="Book Antiqua" w:hAnsi="Book Antiqua" w:cs="Times New Roman"/>
          <w:color w:val="000000" w:themeColor="text1"/>
          <w:sz w:val="24"/>
          <w:szCs w:val="24"/>
        </w:rPr>
        <w:t xml:space="preserve">. NCET has been explored in comparison with either NAE or NAC therapy. Nakayama </w:t>
      </w:r>
      <w:r w:rsidRPr="00246B02">
        <w:rPr>
          <w:rFonts w:ascii="Book Antiqua" w:hAnsi="Book Antiqua" w:cs="Times New Roman"/>
          <w:i/>
          <w:color w:val="000000" w:themeColor="text1"/>
          <w:sz w:val="24"/>
          <w:szCs w:val="24"/>
        </w:rPr>
        <w:t xml:space="preserve">et </w:t>
      </w:r>
      <w:proofErr w:type="gramStart"/>
      <w:r w:rsidRPr="00246B02">
        <w:rPr>
          <w:rFonts w:ascii="Book Antiqua" w:hAnsi="Book Antiqua" w:cs="Times New Roman"/>
          <w:i/>
          <w:color w:val="000000" w:themeColor="text1"/>
          <w:sz w:val="24"/>
          <w:szCs w:val="24"/>
        </w:rPr>
        <w:t>al</w:t>
      </w:r>
      <w:r w:rsidR="00A04C3D" w:rsidRPr="00246B02">
        <w:rPr>
          <w:rFonts w:ascii="Book Antiqua" w:eastAsia="System" w:hAnsi="Book Antiqua" w:cs="Times New Roman"/>
          <w:noProof/>
          <w:color w:val="000000" w:themeColor="text1"/>
          <w:kern w:val="0"/>
          <w:sz w:val="24"/>
          <w:szCs w:val="24"/>
          <w:vertAlign w:val="superscript"/>
        </w:rPr>
        <w:t>[</w:t>
      </w:r>
      <w:proofErr w:type="gramEnd"/>
      <w:r w:rsidR="00A04C3D" w:rsidRPr="00246B02">
        <w:rPr>
          <w:rFonts w:ascii="Book Antiqua" w:hAnsi="Book Antiqua" w:cs="Times New Roman"/>
          <w:noProof/>
          <w:color w:val="000000" w:themeColor="text1"/>
          <w:kern w:val="0"/>
          <w:sz w:val="24"/>
          <w:szCs w:val="24"/>
          <w:vertAlign w:val="superscript"/>
        </w:rPr>
        <w:t>18]</w:t>
      </w:r>
      <w:r w:rsidRPr="00246B02">
        <w:rPr>
          <w:rFonts w:ascii="Book Antiqua" w:hAnsi="Book Antiqua" w:cs="Times New Roman"/>
          <w:color w:val="000000" w:themeColor="text1"/>
          <w:sz w:val="24"/>
          <w:szCs w:val="24"/>
        </w:rPr>
        <w:t xml:space="preserve"> compared </w:t>
      </w:r>
      <w:r w:rsidRPr="00246B02">
        <w:rPr>
          <w:rFonts w:ascii="Book Antiqua" w:hAnsi="Book Antiqua" w:cs="Times New Roman"/>
          <w:color w:val="000000" w:themeColor="text1"/>
          <w:sz w:val="24"/>
          <w:szCs w:val="24"/>
        </w:rPr>
        <w:lastRenderedPageBreak/>
        <w:t>the efficacy between the single-agent anastrozole group and the anastrozole plus UFT (tegafur/uracil) group in the Neo-ACET BC trial. There was a greater tendency of tumor degeneration in the NCET group than in the NAE group, although the study was halted due to altered liver function. A recent trial enrolled 63 primary invasive breast cancer patients with initial exemestane treatment followed by response-dependent addition of cyclophosphamide. The results suggested that the clinical response of nonresponders was improved to be comparable to that of responders by the addition of cytotoxic agents to the endocrine agents (CRR for nonresponders and responders at week</w:t>
      </w:r>
      <w:r w:rsidR="00F40734">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24 and 36; 54% </w:t>
      </w:r>
      <w:r w:rsidR="00A04C3D" w:rsidRPr="00246B02">
        <w:rPr>
          <w:rFonts w:ascii="Book Antiqua" w:hAnsi="Book Antiqua" w:cs="Times New Roman"/>
          <w:i/>
          <w:color w:val="000000" w:themeColor="text1"/>
          <w:sz w:val="24"/>
          <w:szCs w:val="24"/>
        </w:rPr>
        <w:t>vs</w:t>
      </w:r>
      <w:r w:rsidR="00A04C3D"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85% and 71%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71%)</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19]</w:t>
      </w:r>
      <w:r w:rsidRPr="00246B02">
        <w:rPr>
          <w:rFonts w:ascii="Book Antiqua" w:hAnsi="Book Antiqua" w:cs="Times New Roman"/>
          <w:color w:val="000000" w:themeColor="text1"/>
          <w:sz w:val="24"/>
          <w:szCs w:val="24"/>
        </w:rPr>
        <w:t>. NECT has a broad-range antitumor activity and favorable efficacy over NAE monotherapy.</w:t>
      </w:r>
    </w:p>
    <w:p w14:paraId="6DEF97BF" w14:textId="351D99CD"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In comparison with NAC and NECT, Mohammadianpanah </w:t>
      </w:r>
      <w:r w:rsidR="00A00700" w:rsidRPr="00246B02">
        <w:rPr>
          <w:rFonts w:ascii="Book Antiqua" w:hAnsi="Book Antiqua" w:cs="Times New Roman"/>
          <w:i/>
          <w:color w:val="000000" w:themeColor="text1"/>
          <w:sz w:val="24"/>
          <w:szCs w:val="24"/>
        </w:rPr>
        <w:t xml:space="preserve">et </w:t>
      </w:r>
      <w:proofErr w:type="gramStart"/>
      <w:r w:rsidR="00A00700" w:rsidRPr="00246B02">
        <w:rPr>
          <w:rFonts w:ascii="Book Antiqua" w:hAnsi="Book Antiqua" w:cs="Times New Roman"/>
          <w:i/>
          <w:color w:val="000000" w:themeColor="text1"/>
          <w:sz w:val="24"/>
          <w:szCs w:val="24"/>
        </w:rPr>
        <w:t>al</w:t>
      </w:r>
      <w:r w:rsidR="00A04C3D" w:rsidRPr="00246B02">
        <w:rPr>
          <w:rFonts w:ascii="Book Antiqua" w:eastAsia="System" w:hAnsi="Book Antiqua" w:cs="Times New Roman"/>
          <w:noProof/>
          <w:color w:val="000000" w:themeColor="text1"/>
          <w:kern w:val="0"/>
          <w:sz w:val="24"/>
          <w:szCs w:val="24"/>
          <w:vertAlign w:val="superscript"/>
        </w:rPr>
        <w:t>[</w:t>
      </w:r>
      <w:proofErr w:type="gramEnd"/>
      <w:r w:rsidR="00A04C3D" w:rsidRPr="00246B02">
        <w:rPr>
          <w:rFonts w:ascii="Book Antiqua" w:hAnsi="Book Antiqua" w:cs="Times New Roman"/>
          <w:noProof/>
          <w:color w:val="000000" w:themeColor="text1"/>
          <w:kern w:val="0"/>
          <w:sz w:val="24"/>
          <w:szCs w:val="24"/>
          <w:vertAlign w:val="superscript"/>
        </w:rPr>
        <w:t>20]</w:t>
      </w:r>
      <w:r w:rsidRPr="00246B02">
        <w:rPr>
          <w:rFonts w:ascii="Book Antiqua" w:hAnsi="Book Antiqua" w:cs="Times New Roman"/>
          <w:color w:val="000000" w:themeColor="text1"/>
          <w:sz w:val="24"/>
          <w:szCs w:val="24"/>
        </w:rPr>
        <w:t xml:space="preserve"> indicated that the addition of letrozole simultaneously with neoadjuvant FAC (5-fluorouracil, doxorubicin</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cyclophosphamide) therapy significantly increased clinical and pathologic response rates compared with chemotherapy alone. The CSCSG-036 trial confirmed that concurrent NAC an</w:t>
      </w:r>
      <w:r w:rsidR="00A0260B">
        <w:rPr>
          <w:rFonts w:ascii="Book Antiqua" w:hAnsi="Book Antiqua" w:cs="Times New Roman"/>
          <w:color w:val="000000" w:themeColor="text1"/>
          <w:sz w:val="24"/>
          <w:szCs w:val="24"/>
        </w:rPr>
        <w:t>d estrogen deprivation provided</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higher effectiveness</w:t>
      </w:r>
      <w:r w:rsidRPr="00246B02" w:rsidDel="008029E5">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in ER+ breast cancer (CRR, 84.8%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72.6%, </w:t>
      </w:r>
      <w:r w:rsidRPr="00246B02">
        <w:rPr>
          <w:rFonts w:ascii="Book Antiqua" w:hAnsi="Book Antiqua" w:cs="Times New Roman"/>
          <w:i/>
          <w:color w:val="000000" w:themeColor="text1"/>
          <w:sz w:val="24"/>
          <w:szCs w:val="24"/>
        </w:rPr>
        <w:t>P</w:t>
      </w:r>
      <w:r w:rsidRPr="00246B02">
        <w:rPr>
          <w:rFonts w:ascii="Book Antiqua" w:hAnsi="Book Antiqua" w:cs="Times New Roman"/>
          <w:color w:val="000000" w:themeColor="text1"/>
          <w:sz w:val="24"/>
          <w:szCs w:val="24"/>
        </w:rPr>
        <w:t xml:space="preserve"> = 0.02), especially for those with high Ki67</w:t>
      </w:r>
      <w:r w:rsidR="00F40734">
        <w:rPr>
          <w:rFonts w:ascii="Book Antiqua" w:hAnsi="Book Antiqua" w:cs="Times New Roman"/>
          <w:color w:val="000000" w:themeColor="text1"/>
          <w:sz w:val="24"/>
          <w:szCs w:val="24"/>
        </w:rPr>
        <w:t xml:space="preserve"> expression</w:t>
      </w:r>
      <w:r w:rsidRPr="00246B02">
        <w:rPr>
          <w:rFonts w:ascii="Book Antiqua" w:hAnsi="Book Antiqua" w:cs="Times New Roman"/>
          <w:color w:val="000000" w:themeColor="text1"/>
          <w:sz w:val="24"/>
          <w:szCs w:val="24"/>
        </w:rPr>
        <w:t xml:space="preserve"> (91.2% </w:t>
      </w:r>
      <w:r w:rsidR="00A04C3D" w:rsidRPr="00246B02">
        <w:rPr>
          <w:rFonts w:ascii="Book Antiqua" w:hAnsi="Book Antiqua" w:cs="Times New Roman"/>
          <w:i/>
          <w:color w:val="000000" w:themeColor="text1"/>
          <w:sz w:val="24"/>
          <w:szCs w:val="24"/>
        </w:rPr>
        <w:t>vs</w:t>
      </w:r>
      <w:r w:rsidR="00A04C3D"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68.7</w:t>
      </w:r>
      <w:r w:rsidR="00F40734" w:rsidRPr="00246B02">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0.001</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21]</w:t>
      </w:r>
      <w:r w:rsidRPr="00246B02">
        <w:rPr>
          <w:rFonts w:ascii="Book Antiqua" w:hAnsi="Book Antiqua" w:cs="Times New Roman"/>
          <w:color w:val="000000" w:themeColor="text1"/>
          <w:sz w:val="24"/>
          <w:szCs w:val="24"/>
        </w:rPr>
        <w:t xml:space="preserve">. Similar toxicities were observed in the NCET and NAC </w:t>
      </w:r>
      <w:r w:rsidR="00F40734" w:rsidRPr="00246B02">
        <w:rPr>
          <w:rFonts w:ascii="Book Antiqua" w:hAnsi="Book Antiqua" w:cs="Times New Roman"/>
          <w:color w:val="000000" w:themeColor="text1"/>
          <w:sz w:val="24"/>
          <w:szCs w:val="24"/>
        </w:rPr>
        <w:t>a</w:t>
      </w:r>
      <w:r w:rsidR="00F40734">
        <w:rPr>
          <w:rFonts w:ascii="Book Antiqua" w:hAnsi="Book Antiqua" w:cs="Times New Roman"/>
          <w:color w:val="000000" w:themeColor="text1"/>
          <w:sz w:val="24"/>
          <w:szCs w:val="24"/>
        </w:rPr>
        <w:t>r</w:t>
      </w:r>
      <w:r w:rsidR="00F40734" w:rsidRPr="00246B02">
        <w:rPr>
          <w:rFonts w:ascii="Book Antiqua" w:hAnsi="Book Antiqua" w:cs="Times New Roman"/>
          <w:color w:val="000000" w:themeColor="text1"/>
          <w:sz w:val="24"/>
          <w:szCs w:val="24"/>
        </w:rPr>
        <w:t>ms</w:t>
      </w:r>
      <w:r w:rsidRPr="00246B02">
        <w:rPr>
          <w:rFonts w:ascii="Book Antiqua" w:hAnsi="Book Antiqua" w:cs="Times New Roman"/>
          <w:color w:val="000000" w:themeColor="text1"/>
          <w:sz w:val="24"/>
          <w:szCs w:val="24"/>
        </w:rPr>
        <w:t>, further supporting the role of NCET as a potential neoadjuvant treatment option. Owing to its promising clinical response and acceptable toxicity, NCET has shown great development prospects for ER</w:t>
      </w:r>
      <w:r w:rsidR="00F40734" w:rsidRPr="00246B02">
        <w:rPr>
          <w:rFonts w:ascii="Book Antiqua" w:hAnsi="Book Antiqua" w:cs="Times New Roman"/>
          <w:color w:val="000000" w:themeColor="text1"/>
          <w:sz w:val="24"/>
          <w:szCs w:val="24"/>
        </w:rPr>
        <w:t>+</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breast cancer patients.</w:t>
      </w:r>
    </w:p>
    <w:p w14:paraId="1B9D6D2E" w14:textId="77777777" w:rsidR="00837F36" w:rsidRPr="00246B02" w:rsidRDefault="00837F36" w:rsidP="00246B02">
      <w:pPr>
        <w:spacing w:line="360" w:lineRule="auto"/>
        <w:jc w:val="both"/>
        <w:rPr>
          <w:rFonts w:ascii="Book Antiqua" w:hAnsi="Book Antiqua" w:cs="Times New Roman"/>
          <w:b/>
          <w:color w:val="000000" w:themeColor="text1"/>
          <w:sz w:val="24"/>
          <w:szCs w:val="24"/>
        </w:rPr>
      </w:pPr>
    </w:p>
    <w:p w14:paraId="01723BAE" w14:textId="6B80467D" w:rsidR="00837F36" w:rsidRPr="00246B02" w:rsidRDefault="009E3AC1"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OPTIMAL SETTING</w:t>
      </w:r>
      <w:r w:rsidR="00F40734">
        <w:rPr>
          <w:rFonts w:ascii="Book Antiqua" w:hAnsi="Book Antiqua" w:cs="Times New Roman"/>
          <w:b/>
          <w:color w:val="000000" w:themeColor="text1"/>
          <w:sz w:val="24"/>
          <w:szCs w:val="24"/>
        </w:rPr>
        <w:t>S</w:t>
      </w:r>
      <w:r w:rsidRPr="00246B02">
        <w:rPr>
          <w:rFonts w:ascii="Book Antiqua" w:hAnsi="Book Antiqua" w:cs="Times New Roman"/>
          <w:b/>
          <w:color w:val="000000" w:themeColor="text1"/>
          <w:sz w:val="24"/>
          <w:szCs w:val="24"/>
        </w:rPr>
        <w:t xml:space="preserve"> OF NAE</w:t>
      </w:r>
    </w:p>
    <w:p w14:paraId="16683E02" w14:textId="5EB00B84"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To understand the optimal settings for </w:t>
      </w:r>
      <w:r w:rsidR="00F40734">
        <w:rPr>
          <w:rFonts w:ascii="Book Antiqua" w:hAnsi="Book Antiqua" w:cs="Times New Roman"/>
          <w:color w:val="000000" w:themeColor="text1"/>
          <w:sz w:val="24"/>
          <w:szCs w:val="24"/>
        </w:rPr>
        <w:t>NAE</w:t>
      </w:r>
      <w:r w:rsidRPr="00246B02">
        <w:rPr>
          <w:rFonts w:ascii="Book Antiqua" w:hAnsi="Book Antiqua" w:cs="Times New Roman"/>
          <w:color w:val="000000" w:themeColor="text1"/>
          <w:sz w:val="24"/>
          <w:szCs w:val="24"/>
        </w:rPr>
        <w:t xml:space="preserve">, we </w:t>
      </w:r>
      <w:r w:rsidR="00A0260B">
        <w:rPr>
          <w:rFonts w:ascii="Book Antiqua" w:hAnsi="Book Antiqua" w:cs="Times New Roman"/>
          <w:color w:val="000000" w:themeColor="text1"/>
          <w:sz w:val="24"/>
          <w:szCs w:val="24"/>
        </w:rPr>
        <w:t xml:space="preserve">will </w:t>
      </w:r>
      <w:r w:rsidRPr="00246B02">
        <w:rPr>
          <w:rFonts w:ascii="Book Antiqua" w:hAnsi="Book Antiqua" w:cs="Times New Roman"/>
          <w:color w:val="000000" w:themeColor="text1"/>
          <w:sz w:val="24"/>
          <w:szCs w:val="24"/>
        </w:rPr>
        <w:t>discuss clinical trials to identify the optimal duration, endocrine agents</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targeted agents</w:t>
      </w:r>
      <w:r w:rsidR="00C57108" w:rsidRPr="00246B02">
        <w:rPr>
          <w:rFonts w:ascii="Book Antiqua" w:hAnsi="Book Antiqua" w:cs="Times New Roman"/>
          <w:color w:val="000000" w:themeColor="text1"/>
          <w:sz w:val="24"/>
          <w:szCs w:val="24"/>
        </w:rPr>
        <w:t xml:space="preserve"> (</w:t>
      </w:r>
      <w:r w:rsidR="00A04C3D" w:rsidRPr="00246B02">
        <w:rPr>
          <w:rFonts w:ascii="Book Antiqua" w:hAnsi="Book Antiqua" w:cs="Times New Roman"/>
          <w:color w:val="000000" w:themeColor="text1"/>
          <w:sz w:val="24"/>
          <w:szCs w:val="24"/>
        </w:rPr>
        <w:t>Table</w:t>
      </w:r>
      <w:r w:rsidR="00F40734">
        <w:rPr>
          <w:rFonts w:ascii="Book Antiqua" w:hAnsi="Book Antiqua" w:cs="Times New Roman"/>
          <w:color w:val="000000" w:themeColor="text1"/>
          <w:sz w:val="24"/>
          <w:szCs w:val="24"/>
        </w:rPr>
        <w:t>s</w:t>
      </w:r>
      <w:r w:rsidR="00A04C3D" w:rsidRPr="00246B02">
        <w:rPr>
          <w:rFonts w:ascii="Book Antiqua" w:hAnsi="Book Antiqua" w:cs="Times New Roman"/>
          <w:color w:val="000000" w:themeColor="text1"/>
          <w:sz w:val="24"/>
          <w:szCs w:val="24"/>
        </w:rPr>
        <w:t xml:space="preserve"> </w:t>
      </w:r>
      <w:r w:rsidR="00C57108" w:rsidRPr="00246B02">
        <w:rPr>
          <w:rFonts w:ascii="Book Antiqua" w:hAnsi="Book Antiqua" w:cs="Times New Roman"/>
          <w:color w:val="000000" w:themeColor="text1"/>
          <w:sz w:val="24"/>
          <w:szCs w:val="24"/>
        </w:rPr>
        <w:t>2</w:t>
      </w:r>
      <w:r w:rsidR="00A04C3D" w:rsidRPr="00246B02">
        <w:rPr>
          <w:rFonts w:ascii="Book Antiqua" w:hAnsi="Book Antiqua" w:cs="Times New Roman"/>
          <w:color w:val="000000" w:themeColor="text1"/>
          <w:sz w:val="24"/>
          <w:szCs w:val="24"/>
        </w:rPr>
        <w:t xml:space="preserve"> and</w:t>
      </w:r>
      <w:r w:rsidR="00F40734">
        <w:rPr>
          <w:rFonts w:ascii="Book Antiqua" w:hAnsi="Book Antiqua" w:cs="Times New Roman"/>
          <w:color w:val="000000" w:themeColor="text1"/>
          <w:sz w:val="24"/>
          <w:szCs w:val="24"/>
        </w:rPr>
        <w:t xml:space="preserve"> </w:t>
      </w:r>
      <w:r w:rsidR="00C57108" w:rsidRPr="00246B02">
        <w:rPr>
          <w:rFonts w:ascii="Book Antiqua" w:hAnsi="Book Antiqua" w:cs="Times New Roman"/>
          <w:color w:val="000000" w:themeColor="text1"/>
          <w:sz w:val="24"/>
          <w:szCs w:val="24"/>
        </w:rPr>
        <w:t>3)</w:t>
      </w:r>
      <w:r w:rsidRPr="00246B02">
        <w:rPr>
          <w:rFonts w:ascii="Book Antiqua" w:hAnsi="Book Antiqua" w:cs="Times New Roman"/>
          <w:color w:val="000000" w:themeColor="text1"/>
          <w:sz w:val="24"/>
          <w:szCs w:val="24"/>
        </w:rPr>
        <w:t>.</w:t>
      </w:r>
    </w:p>
    <w:p w14:paraId="381F8442" w14:textId="77777777" w:rsidR="00837F36" w:rsidRPr="00F40734" w:rsidRDefault="00837F36" w:rsidP="00246B02">
      <w:pPr>
        <w:spacing w:line="360" w:lineRule="auto"/>
        <w:jc w:val="both"/>
        <w:rPr>
          <w:rFonts w:ascii="Book Antiqua" w:hAnsi="Book Antiqua" w:cs="Times New Roman"/>
          <w:color w:val="000000" w:themeColor="text1"/>
          <w:sz w:val="24"/>
          <w:szCs w:val="24"/>
        </w:rPr>
      </w:pPr>
    </w:p>
    <w:p w14:paraId="2C21996E" w14:textId="40D8668A" w:rsidR="00837F36" w:rsidRPr="00246B02" w:rsidRDefault="00F40734" w:rsidP="00246B02">
      <w:pPr>
        <w:spacing w:line="360" w:lineRule="auto"/>
        <w:jc w:val="both"/>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lastRenderedPageBreak/>
        <w:t>O</w:t>
      </w:r>
      <w:r w:rsidR="009E3AC1" w:rsidRPr="00246B02">
        <w:rPr>
          <w:rFonts w:ascii="Book Antiqua" w:hAnsi="Book Antiqua" w:cs="Times New Roman"/>
          <w:b/>
          <w:i/>
          <w:color w:val="000000" w:themeColor="text1"/>
          <w:sz w:val="24"/>
          <w:szCs w:val="24"/>
        </w:rPr>
        <w:t>ptimal duration of NAE</w:t>
      </w:r>
    </w:p>
    <w:p w14:paraId="2007CAA8" w14:textId="6AC40C3D"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The duration of NAE treatment in most clinical trials was approximately 4-6 </w:t>
      </w:r>
      <w:r w:rsidR="009E3AC1" w:rsidRPr="00246B02">
        <w:rPr>
          <w:rFonts w:ascii="Book Antiqua" w:hAnsi="Book Antiqua" w:cs="Times New Roman"/>
          <w:color w:val="000000" w:themeColor="text1"/>
          <w:sz w:val="24"/>
          <w:szCs w:val="24"/>
        </w:rPr>
        <w:t>mo</w:t>
      </w:r>
      <w:r w:rsidRPr="00246B02">
        <w:rPr>
          <w:rFonts w:ascii="Book Antiqua" w:hAnsi="Book Antiqua" w:cs="Times New Roman"/>
          <w:color w:val="000000" w:themeColor="text1"/>
          <w:sz w:val="24"/>
          <w:szCs w:val="24"/>
        </w:rPr>
        <w:t xml:space="preserve">, based on experience; however, some investigators noted that this common duration might not be sufficient to achieve the best results in tumor </w:t>
      </w:r>
      <w:proofErr w:type="gramStart"/>
      <w:r w:rsidRPr="00246B02">
        <w:rPr>
          <w:rFonts w:ascii="Book Antiqua" w:hAnsi="Book Antiqua" w:cs="Times New Roman"/>
          <w:color w:val="000000" w:themeColor="text1"/>
          <w:sz w:val="24"/>
          <w:szCs w:val="24"/>
        </w:rPr>
        <w:t>shrinkage</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22-24]</w:t>
      </w:r>
      <w:r w:rsidRPr="00246B02">
        <w:rPr>
          <w:rFonts w:ascii="Book Antiqua" w:hAnsi="Book Antiqua" w:cs="Times New Roman"/>
          <w:color w:val="000000" w:themeColor="text1"/>
          <w:sz w:val="24"/>
          <w:szCs w:val="24"/>
        </w:rPr>
        <w:t>. Several clinical trials were established to assess the optimal duration of neoadjuvant AIs that would permit tumor regression and BCS eligibility fo</w:t>
      </w:r>
      <w:r w:rsidR="00B65EBC" w:rsidRPr="00246B02">
        <w:rPr>
          <w:rFonts w:ascii="Book Antiqua" w:hAnsi="Book Antiqua" w:cs="Times New Roman"/>
          <w:color w:val="000000" w:themeColor="text1"/>
          <w:sz w:val="24"/>
          <w:szCs w:val="24"/>
        </w:rPr>
        <w:t xml:space="preserve">r initially unsuitable </w:t>
      </w:r>
      <w:proofErr w:type="gramStart"/>
      <w:r w:rsidR="00B65EBC" w:rsidRPr="00246B02">
        <w:rPr>
          <w:rFonts w:ascii="Book Antiqua" w:hAnsi="Book Antiqua" w:cs="Times New Roman"/>
          <w:color w:val="000000" w:themeColor="text1"/>
          <w:sz w:val="24"/>
          <w:szCs w:val="24"/>
        </w:rPr>
        <w:t>patients</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23]</w:t>
      </w:r>
      <w:r w:rsidRPr="00246B02">
        <w:rPr>
          <w:rFonts w:ascii="Book Antiqua" w:hAnsi="Book Antiqua" w:cs="Times New Roman"/>
          <w:color w:val="000000" w:themeColor="text1"/>
          <w:sz w:val="24"/>
          <w:szCs w:val="24"/>
        </w:rPr>
        <w:t>. A study comparing the tumor size of patients receiving exemestane treatment at 3</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and 6 months revealed that extended exemestane therapy had </w:t>
      </w:r>
      <w:r w:rsidR="00F40734">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potential to significantly reduce tumor </w:t>
      </w:r>
      <w:proofErr w:type="gramStart"/>
      <w:r w:rsidRPr="00246B02">
        <w:rPr>
          <w:rFonts w:ascii="Book Antiqua" w:hAnsi="Book Antiqua" w:cs="Times New Roman"/>
          <w:color w:val="000000" w:themeColor="text1"/>
          <w:sz w:val="24"/>
          <w:szCs w:val="24"/>
        </w:rPr>
        <w:t>volume</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25]</w:t>
      </w:r>
      <w:r w:rsidRPr="00246B02">
        <w:rPr>
          <w:rFonts w:ascii="Book Antiqua" w:hAnsi="Book Antiqua" w:cs="Times New Roman"/>
          <w:color w:val="000000" w:themeColor="text1"/>
          <w:sz w:val="24"/>
          <w:szCs w:val="24"/>
        </w:rPr>
        <w:t>. A phase IV clinical trial verified this conclusion with a slightly larger number of participants and suggested that 7.5-</w:t>
      </w:r>
      <w:r w:rsidR="00704A35" w:rsidRPr="00246B02">
        <w:rPr>
          <w:rFonts w:ascii="Book Antiqua" w:hAnsi="Book Antiqua" w:cs="Times New Roman"/>
          <w:color w:val="000000" w:themeColor="text1"/>
          <w:sz w:val="24"/>
          <w:szCs w:val="24"/>
        </w:rPr>
        <w:t>mo</w:t>
      </w:r>
      <w:r w:rsidRPr="00246B02">
        <w:rPr>
          <w:rFonts w:ascii="Book Antiqua" w:hAnsi="Book Antiqua" w:cs="Times New Roman"/>
          <w:color w:val="000000" w:themeColor="text1"/>
          <w:sz w:val="24"/>
          <w:szCs w:val="24"/>
        </w:rPr>
        <w:t xml:space="preserve"> neoadjuvant letrozole therapy was optimal to achieve beneficial shrinkage in tumor volume and facilitate BCS, in comparison with 4-month conventional </w:t>
      </w:r>
      <w:proofErr w:type="gramStart"/>
      <w:r w:rsidRPr="00246B02">
        <w:rPr>
          <w:rFonts w:ascii="Book Antiqua" w:hAnsi="Book Antiqua" w:cs="Times New Roman"/>
          <w:color w:val="000000" w:themeColor="text1"/>
          <w:sz w:val="24"/>
          <w:szCs w:val="24"/>
        </w:rPr>
        <w:t>treatment</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22]</w:t>
      </w:r>
      <w:r w:rsidRPr="00246B02">
        <w:rPr>
          <w:rFonts w:ascii="Book Antiqua" w:hAnsi="Book Antiqua" w:cs="Times New Roman"/>
          <w:color w:val="000000" w:themeColor="text1"/>
          <w:sz w:val="24"/>
          <w:szCs w:val="24"/>
        </w:rPr>
        <w:t>. Overall, long-term neoadjuvant treatment achieves further tumor reduction and increases the feasibility of the BCS rate, but the optimal treatment duration for NAE is still unknown and needs to be further investigated.</w:t>
      </w:r>
    </w:p>
    <w:p w14:paraId="65F663A0"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3858CDBD" w14:textId="7E1677F8" w:rsidR="00837F36" w:rsidRPr="00246B02" w:rsidRDefault="00F40734" w:rsidP="00246B02">
      <w:pPr>
        <w:spacing w:line="360" w:lineRule="auto"/>
        <w:jc w:val="both"/>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O</w:t>
      </w:r>
      <w:r w:rsidR="00837F36" w:rsidRPr="00246B02">
        <w:rPr>
          <w:rFonts w:ascii="Book Antiqua" w:hAnsi="Book Antiqua" w:cs="Times New Roman"/>
          <w:b/>
          <w:i/>
          <w:color w:val="000000" w:themeColor="text1"/>
          <w:sz w:val="24"/>
          <w:szCs w:val="24"/>
        </w:rPr>
        <w:t>ptimal endocrine agents for NAE</w:t>
      </w:r>
    </w:p>
    <w:p w14:paraId="41D9929E" w14:textId="25CEF463"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In the following paragraph, we </w:t>
      </w:r>
      <w:r w:rsidR="00F40734">
        <w:rPr>
          <w:rFonts w:ascii="Book Antiqua" w:hAnsi="Book Antiqua" w:cs="Times New Roman"/>
          <w:color w:val="000000" w:themeColor="text1"/>
          <w:sz w:val="24"/>
          <w:szCs w:val="24"/>
        </w:rPr>
        <w:t xml:space="preserve">will </w:t>
      </w:r>
      <w:r w:rsidRPr="00246B02">
        <w:rPr>
          <w:rFonts w:ascii="Book Antiqua" w:hAnsi="Book Antiqua" w:cs="Times New Roman"/>
          <w:color w:val="000000" w:themeColor="text1"/>
          <w:sz w:val="24"/>
          <w:szCs w:val="24"/>
        </w:rPr>
        <w:t xml:space="preserve">review clinical trials that were conducted to evaluate the efficacy of different endocrine agents and identify the optimal choice in both premenopausal and postmenopausal patients. </w:t>
      </w:r>
    </w:p>
    <w:p w14:paraId="52DA91C3"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521A8401" w14:textId="70D64675"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 xml:space="preserve">Neoadjuvant AIs </w:t>
      </w:r>
      <w:r w:rsidRPr="00C9453D">
        <w:rPr>
          <w:rFonts w:ascii="Book Antiqua" w:hAnsi="Book Antiqua" w:cs="Times New Roman"/>
          <w:b/>
          <w:i/>
          <w:color w:val="000000" w:themeColor="text1"/>
          <w:sz w:val="24"/>
          <w:szCs w:val="24"/>
        </w:rPr>
        <w:t>vs</w:t>
      </w:r>
      <w:r w:rsidRPr="00246B02">
        <w:rPr>
          <w:rFonts w:ascii="Book Antiqua" w:hAnsi="Book Antiqua" w:cs="Times New Roman"/>
          <w:b/>
          <w:color w:val="000000" w:themeColor="text1"/>
          <w:sz w:val="24"/>
          <w:szCs w:val="24"/>
        </w:rPr>
        <w:t xml:space="preserve"> tamoxifen</w:t>
      </w:r>
      <w:r w:rsidR="00704A35"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Clinical evidence favoring the three third-generation AIs, letrozole, anastrozole, and exemestane, rather than tamoxifen</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in neoadjuvant treatment was established in several randomized clinical trials for ER+ breast cancer. For both the CRR and BCS, letrozole was superior to tamoxifen and had less toxicity, as shown in the P024 </w:t>
      </w:r>
      <w:proofErr w:type="gramStart"/>
      <w:r w:rsidRPr="00246B02">
        <w:rPr>
          <w:rFonts w:ascii="Book Antiqua" w:hAnsi="Book Antiqua" w:cs="Times New Roman"/>
          <w:color w:val="000000" w:themeColor="text1"/>
          <w:sz w:val="24"/>
          <w:szCs w:val="24"/>
        </w:rPr>
        <w:t>trial</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7]</w:t>
      </w:r>
      <w:r w:rsidRPr="00246B02">
        <w:rPr>
          <w:rFonts w:ascii="Book Antiqua" w:hAnsi="Book Antiqua" w:cs="Times New Roman"/>
          <w:color w:val="000000" w:themeColor="text1"/>
          <w:sz w:val="24"/>
          <w:szCs w:val="24"/>
        </w:rPr>
        <w:t xml:space="preserve">. There was no statistically significant difference between anastrozole and tamoxifen in ORR; however, anastrozole was more effective than tamoxifen in certain </w:t>
      </w:r>
      <w:r w:rsidRPr="00246B02">
        <w:rPr>
          <w:rFonts w:ascii="Book Antiqua" w:hAnsi="Book Antiqua" w:cs="Times New Roman"/>
          <w:color w:val="000000" w:themeColor="text1"/>
          <w:sz w:val="24"/>
          <w:szCs w:val="24"/>
        </w:rPr>
        <w:lastRenderedPageBreak/>
        <w:t xml:space="preserve">clinical subgroups of patients in the IMPACT and PROACT </w:t>
      </w:r>
      <w:proofErr w:type="gramStart"/>
      <w:r w:rsidRPr="00246B02">
        <w:rPr>
          <w:rFonts w:ascii="Book Antiqua" w:hAnsi="Book Antiqua" w:cs="Times New Roman"/>
          <w:color w:val="000000" w:themeColor="text1"/>
          <w:sz w:val="24"/>
          <w:szCs w:val="24"/>
        </w:rPr>
        <w:t>trials</w:t>
      </w:r>
      <w:r w:rsidRPr="00246B02">
        <w:rPr>
          <w:rFonts w:ascii="Book Antiqua" w:eastAsia="System" w:hAnsi="Book Antiqua" w:cs="Times New Roman"/>
          <w:noProof/>
          <w:color w:val="000000" w:themeColor="text1"/>
          <w:sz w:val="24"/>
          <w:szCs w:val="24"/>
          <w:vertAlign w:val="superscript"/>
        </w:rPr>
        <w:t>[</w:t>
      </w:r>
      <w:proofErr w:type="gramEnd"/>
      <w:r w:rsidR="00704A35" w:rsidRPr="00246B02">
        <w:rPr>
          <w:rFonts w:ascii="Book Antiqua" w:eastAsiaTheme="minorHAnsi" w:hAnsi="Book Antiqua" w:cs="Times New Roman"/>
          <w:noProof/>
          <w:color w:val="000000" w:themeColor="text1"/>
          <w:sz w:val="24"/>
          <w:szCs w:val="24"/>
          <w:vertAlign w:val="superscript"/>
        </w:rPr>
        <w:t>26,</w:t>
      </w:r>
      <w:r w:rsidRPr="00246B02">
        <w:rPr>
          <w:rFonts w:ascii="Book Antiqua" w:eastAsiaTheme="minorHAnsi" w:hAnsi="Book Antiqua" w:cs="Times New Roman"/>
          <w:noProof/>
          <w:color w:val="000000" w:themeColor="text1"/>
          <w:sz w:val="24"/>
          <w:szCs w:val="24"/>
          <w:vertAlign w:val="superscript"/>
        </w:rPr>
        <w:t>27]</w:t>
      </w:r>
      <w:r w:rsidRPr="00246B02">
        <w:rPr>
          <w:rFonts w:ascii="Book Antiqua" w:hAnsi="Book Antiqua" w:cs="Times New Roman"/>
          <w:color w:val="000000" w:themeColor="text1"/>
          <w:sz w:val="24"/>
          <w:szCs w:val="24"/>
        </w:rPr>
        <w:t xml:space="preserve">. Semiglazov </w:t>
      </w:r>
      <w:r w:rsidR="00A00700" w:rsidRPr="00246B02">
        <w:rPr>
          <w:rFonts w:ascii="Book Antiqua" w:hAnsi="Book Antiqua" w:cs="Times New Roman"/>
          <w:i/>
          <w:color w:val="000000" w:themeColor="text1"/>
          <w:sz w:val="24"/>
          <w:szCs w:val="24"/>
        </w:rPr>
        <w:t xml:space="preserve">et </w:t>
      </w:r>
      <w:proofErr w:type="gramStart"/>
      <w:r w:rsidR="00A00700" w:rsidRPr="00246B02">
        <w:rPr>
          <w:rFonts w:ascii="Book Antiqua" w:hAnsi="Book Antiqua" w:cs="Times New Roman"/>
          <w:i/>
          <w:color w:val="000000" w:themeColor="text1"/>
          <w:sz w:val="24"/>
          <w:szCs w:val="24"/>
        </w:rPr>
        <w:t>al</w:t>
      </w:r>
      <w:r w:rsidR="00704A35" w:rsidRPr="00246B02">
        <w:rPr>
          <w:rFonts w:ascii="Book Antiqua" w:hAnsi="Book Antiqua" w:cs="Times New Roman"/>
          <w:color w:val="000000" w:themeColor="text1"/>
          <w:sz w:val="24"/>
          <w:szCs w:val="24"/>
          <w:vertAlign w:val="superscript"/>
        </w:rPr>
        <w:t>[</w:t>
      </w:r>
      <w:proofErr w:type="gramEnd"/>
      <w:r w:rsidR="00704A35" w:rsidRPr="00246B02">
        <w:rPr>
          <w:rFonts w:ascii="Book Antiqua" w:hAnsi="Book Antiqua" w:cs="Times New Roman"/>
          <w:color w:val="000000" w:themeColor="text1"/>
          <w:sz w:val="24"/>
          <w:szCs w:val="24"/>
          <w:vertAlign w:val="superscript"/>
        </w:rPr>
        <w:t>16]</w:t>
      </w:r>
      <w:r w:rsidRPr="00246B02">
        <w:rPr>
          <w:rFonts w:ascii="Book Antiqua" w:hAnsi="Book Antiqua" w:cs="Times New Roman"/>
          <w:color w:val="000000" w:themeColor="text1"/>
          <w:sz w:val="24"/>
          <w:szCs w:val="24"/>
        </w:rPr>
        <w:t xml:space="preserve"> proved that the exemestane group exhibited</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higher CRR and BCS rate</w:t>
      </w:r>
      <w:r w:rsidR="00F40734">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than</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the tamoxifen group, but there was no difference in the effectiveness, as shown by ultrasound and mammography. A meta-analysis of seven randomized trials further demonstrated the efficacy of neoadjuvant AIs. There was</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significantly higher clinical and radiological response rate</w:t>
      </w:r>
      <w:r w:rsidR="00F40734">
        <w:rPr>
          <w:rFonts w:ascii="Book Antiqua" w:hAnsi="Book Antiqua" w:cs="Times New Roman"/>
          <w:color w:val="000000" w:themeColor="text1"/>
          <w:sz w:val="24"/>
          <w:szCs w:val="24"/>
        </w:rPr>
        <w:t>s</w:t>
      </w:r>
      <w:r w:rsidRPr="00246B02" w:rsidDel="00A72A5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(OR</w:t>
      </w:r>
      <w:r w:rsidR="00F40734">
        <w:rPr>
          <w:rFonts w:ascii="Book Antiqua" w:hAnsi="Book Antiqua" w:cs="Times New Roman"/>
          <w:color w:val="000000" w:themeColor="text1"/>
          <w:sz w:val="24"/>
          <w:szCs w:val="24"/>
        </w:rPr>
        <w:t xml:space="preserve"> =</w:t>
      </w:r>
      <w:r w:rsidR="00F4073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1.69 and 1.49</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respectively,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&lt; 0.001) and BCS rate (OR</w:t>
      </w:r>
      <w:r w:rsidR="00F40734">
        <w:rPr>
          <w:rFonts w:ascii="Book Antiqua" w:hAnsi="Book Antiqua" w:cs="Times New Roman"/>
          <w:color w:val="000000" w:themeColor="text1"/>
          <w:sz w:val="24"/>
          <w:szCs w:val="24"/>
        </w:rPr>
        <w:t xml:space="preserve"> =</w:t>
      </w:r>
      <w:r w:rsidR="00F4073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1.62,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&lt; 0.001) in</w:t>
      </w:r>
      <w:r w:rsidR="00F40734">
        <w:rPr>
          <w:rFonts w:ascii="Book Antiqua" w:hAnsi="Book Antiqua" w:cs="Times New Roman"/>
          <w:color w:val="000000" w:themeColor="text1"/>
          <w:sz w:val="24"/>
          <w:szCs w:val="24"/>
        </w:rPr>
        <w:t xml:space="preserve"> the </w:t>
      </w:r>
      <w:r w:rsidRPr="00246B02">
        <w:rPr>
          <w:rFonts w:ascii="Book Antiqua" w:hAnsi="Book Antiqua" w:cs="Times New Roman"/>
          <w:color w:val="000000" w:themeColor="text1"/>
          <w:sz w:val="24"/>
          <w:szCs w:val="24"/>
        </w:rPr>
        <w:t xml:space="preserve">AI arm than in </w:t>
      </w:r>
      <w:r w:rsidR="00F40734">
        <w:rPr>
          <w:rFonts w:ascii="Book Antiqua" w:hAnsi="Book Antiqua" w:cs="Times New Roman"/>
          <w:color w:val="000000" w:themeColor="text1"/>
          <w:sz w:val="24"/>
          <w:szCs w:val="24"/>
        </w:rPr>
        <w:t xml:space="preserve">the </w:t>
      </w:r>
      <w:r w:rsidRPr="00246B02">
        <w:rPr>
          <w:rFonts w:ascii="Book Antiqua" w:hAnsi="Book Antiqua" w:cs="Times New Roman"/>
          <w:color w:val="000000" w:themeColor="text1"/>
          <w:sz w:val="24"/>
          <w:szCs w:val="24"/>
        </w:rPr>
        <w:t xml:space="preserve">tamoxifen </w:t>
      </w:r>
      <w:proofErr w:type="gramStart"/>
      <w:r w:rsidRPr="00246B02">
        <w:rPr>
          <w:rFonts w:ascii="Book Antiqua" w:hAnsi="Book Antiqua" w:cs="Times New Roman"/>
          <w:color w:val="000000" w:themeColor="text1"/>
          <w:sz w:val="24"/>
          <w:szCs w:val="24"/>
        </w:rPr>
        <w:t>arm</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10]</w:t>
      </w:r>
      <w:r w:rsidRPr="00246B02">
        <w:rPr>
          <w:rFonts w:ascii="Book Antiqua" w:hAnsi="Book Antiqua" w:cs="Times New Roman"/>
          <w:color w:val="000000" w:themeColor="text1"/>
          <w:sz w:val="24"/>
          <w:szCs w:val="24"/>
        </w:rPr>
        <w:t>.</w:t>
      </w:r>
      <w:bookmarkStart w:id="3" w:name="_Hlk12050818"/>
      <w:r w:rsidRPr="00246B02">
        <w:rPr>
          <w:rFonts w:ascii="Book Antiqua" w:hAnsi="Book Antiqua" w:cs="Times New Roman"/>
          <w:color w:val="000000" w:themeColor="text1"/>
          <w:sz w:val="24"/>
          <w:szCs w:val="24"/>
        </w:rPr>
        <w:t xml:space="preserve"> As illustrated, neoadjuvant AIs </w:t>
      </w:r>
      <w:r w:rsidR="0027493F" w:rsidRPr="00246B02">
        <w:rPr>
          <w:rFonts w:ascii="Book Antiqua" w:hAnsi="Book Antiqua" w:cs="Times New Roman"/>
          <w:color w:val="000000" w:themeColor="text1"/>
          <w:sz w:val="24"/>
          <w:szCs w:val="24"/>
        </w:rPr>
        <w:t xml:space="preserve">treatment </w:t>
      </w:r>
      <w:r w:rsidR="00B73FE2" w:rsidRPr="00246B02">
        <w:rPr>
          <w:rFonts w:ascii="Book Antiqua" w:hAnsi="Book Antiqua" w:cs="Times New Roman"/>
          <w:color w:val="000000" w:themeColor="text1"/>
          <w:sz w:val="24"/>
          <w:szCs w:val="24"/>
        </w:rPr>
        <w:t xml:space="preserve">possessed </w:t>
      </w:r>
      <w:r w:rsidR="00DF71F6" w:rsidRPr="00246B02">
        <w:rPr>
          <w:rFonts w:ascii="Book Antiqua" w:hAnsi="Book Antiqua" w:cs="Times New Roman"/>
          <w:color w:val="000000" w:themeColor="text1"/>
          <w:sz w:val="24"/>
          <w:szCs w:val="24"/>
        </w:rPr>
        <w:t xml:space="preserve">better </w:t>
      </w:r>
      <w:r w:rsidR="00B73FE2" w:rsidRPr="00246B02">
        <w:rPr>
          <w:rFonts w:ascii="Book Antiqua" w:hAnsi="Book Antiqua" w:cs="Times New Roman"/>
          <w:color w:val="000000" w:themeColor="text1"/>
          <w:sz w:val="24"/>
          <w:szCs w:val="24"/>
        </w:rPr>
        <w:t>efficacy</w:t>
      </w:r>
      <w:r w:rsidR="00DF71F6" w:rsidRPr="00246B02">
        <w:rPr>
          <w:rFonts w:ascii="Book Antiqua" w:hAnsi="Book Antiqua" w:cs="Times New Roman"/>
          <w:color w:val="000000" w:themeColor="text1"/>
          <w:sz w:val="24"/>
          <w:szCs w:val="24"/>
        </w:rPr>
        <w:t xml:space="preserve"> </w:t>
      </w:r>
      <w:r w:rsidR="00B73FE2" w:rsidRPr="00246B02">
        <w:rPr>
          <w:rFonts w:ascii="Book Antiqua" w:hAnsi="Book Antiqua" w:cs="Times New Roman"/>
          <w:color w:val="000000" w:themeColor="text1"/>
          <w:sz w:val="24"/>
          <w:szCs w:val="24"/>
        </w:rPr>
        <w:t>than</w:t>
      </w:r>
      <w:r w:rsidR="00537255"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tamoxifen.</w:t>
      </w:r>
      <w:bookmarkEnd w:id="3"/>
    </w:p>
    <w:p w14:paraId="5E46EB36"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476F0849" w14:textId="6759EDDD"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 xml:space="preserve">Neoadjuvant AIs </w:t>
      </w:r>
      <w:r w:rsidRPr="00C9453D">
        <w:rPr>
          <w:rFonts w:ascii="Book Antiqua" w:hAnsi="Book Antiqua" w:cs="Times New Roman"/>
          <w:b/>
          <w:i/>
          <w:color w:val="000000" w:themeColor="text1"/>
          <w:sz w:val="24"/>
          <w:szCs w:val="24"/>
        </w:rPr>
        <w:t>vs</w:t>
      </w:r>
      <w:r w:rsidRPr="00246B02">
        <w:rPr>
          <w:rFonts w:ascii="Book Antiqua" w:hAnsi="Book Antiqua" w:cs="Times New Roman"/>
          <w:b/>
          <w:color w:val="000000" w:themeColor="text1"/>
          <w:sz w:val="24"/>
          <w:szCs w:val="24"/>
        </w:rPr>
        <w:t xml:space="preserve"> fulvestrant</w:t>
      </w:r>
      <w:r w:rsidR="00E5318D"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 xml:space="preserve">Fulvestrant is a selective ER degrader that is recommended by NCCN guidelines as first-line ET for HR+ metastatic breast cancer after progression on TAM or </w:t>
      </w:r>
      <w:proofErr w:type="gramStart"/>
      <w:r w:rsidRPr="00246B02">
        <w:rPr>
          <w:rFonts w:ascii="Book Antiqua" w:hAnsi="Book Antiqua" w:cs="Times New Roman"/>
          <w:color w:val="000000" w:themeColor="text1"/>
          <w:sz w:val="24"/>
          <w:szCs w:val="24"/>
        </w:rPr>
        <w:t>AI</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eastAsiaTheme="minorHAnsi" w:hAnsi="Book Antiqua" w:cs="Times New Roman"/>
          <w:noProof/>
          <w:color w:val="000000" w:themeColor="text1"/>
          <w:kern w:val="0"/>
          <w:sz w:val="24"/>
          <w:szCs w:val="24"/>
          <w:vertAlign w:val="superscript"/>
        </w:rPr>
        <w:t>28]</w:t>
      </w:r>
      <w:r w:rsidRPr="00246B02">
        <w:rPr>
          <w:rFonts w:ascii="Book Antiqua" w:hAnsi="Book Antiqua" w:cs="Times New Roman"/>
          <w:color w:val="000000" w:themeColor="text1"/>
          <w:sz w:val="24"/>
          <w:szCs w:val="24"/>
        </w:rPr>
        <w:t>. Limited reports have appraised the appropriate treatment dosing and clinical value of fulvestrant in NAE. The phase II NEWEST trial reported that 500 mg fulvestrant was significantly related to greater early reduction in the level</w:t>
      </w:r>
      <w:r w:rsidR="00F40734">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of ER (-25.0</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-13.5%,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0.0002) and Ki67 (-78.8</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-47.4%,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xml:space="preserve">&lt; 0.0001) than 250 mg. Meanwhile, individuals also had better responses at the recommended 500 mg dose (CRR at week 16, 22.9%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20.6%</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hAnsi="Book Antiqua" w:cs="Times New Roman"/>
          <w:noProof/>
          <w:color w:val="000000" w:themeColor="text1"/>
          <w:kern w:val="0"/>
          <w:sz w:val="24"/>
          <w:szCs w:val="24"/>
          <w:vertAlign w:val="superscript"/>
        </w:rPr>
        <w:t>29]</w:t>
      </w:r>
      <w:r w:rsidRPr="00246B02">
        <w:rPr>
          <w:rFonts w:ascii="Book Antiqua" w:hAnsi="Book Antiqua" w:cs="Times New Roman"/>
          <w:color w:val="000000" w:themeColor="text1"/>
          <w:sz w:val="24"/>
          <w:szCs w:val="24"/>
        </w:rPr>
        <w:t>. A high-dose regimen of fulvestrant would improve clinical response and biological activity for ER+ breast cancer in NAE.</w:t>
      </w:r>
      <w:r w:rsidRPr="00246B02" w:rsidDel="009802C3">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Together with the same dose-dependent advantages in adjuvant settings, we support the application of 500 mg fulvestra</w:t>
      </w:r>
      <w:r w:rsidR="00F147CC" w:rsidRPr="00246B02">
        <w:rPr>
          <w:rFonts w:ascii="Book Antiqua" w:hAnsi="Book Antiqua" w:cs="Times New Roman"/>
          <w:color w:val="000000" w:themeColor="text1"/>
          <w:sz w:val="24"/>
          <w:szCs w:val="24"/>
        </w:rPr>
        <w:t>nt in future clinical practice.</w:t>
      </w:r>
    </w:p>
    <w:p w14:paraId="099DA4E0" w14:textId="2C33F2C3"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To determine the efficacy of fulvestrant, a short-term neoadjuvant study first compared the biological activity of fulvestrant plus anastrozole treatment </w:t>
      </w:r>
      <w:r w:rsidRPr="00C9453D">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either agent alone. Quenel-Tueux </w:t>
      </w:r>
      <w:r w:rsidR="00A00700" w:rsidRPr="00246B02">
        <w:rPr>
          <w:rFonts w:ascii="Book Antiqua" w:hAnsi="Book Antiqua" w:cs="Times New Roman"/>
          <w:i/>
          <w:color w:val="000000" w:themeColor="text1"/>
          <w:sz w:val="24"/>
          <w:szCs w:val="24"/>
        </w:rPr>
        <w:t xml:space="preserve">et </w:t>
      </w:r>
      <w:proofErr w:type="gramStart"/>
      <w:r w:rsidR="00A00700" w:rsidRPr="00246B02">
        <w:rPr>
          <w:rFonts w:ascii="Book Antiqua" w:hAnsi="Book Antiqua" w:cs="Times New Roman"/>
          <w:i/>
          <w:color w:val="000000" w:themeColor="text1"/>
          <w:sz w:val="24"/>
          <w:szCs w:val="24"/>
        </w:rPr>
        <w:t>al</w:t>
      </w:r>
      <w:r w:rsidR="007D088D" w:rsidRPr="00246B02">
        <w:rPr>
          <w:rFonts w:ascii="Book Antiqua" w:eastAsia="System" w:hAnsi="Book Antiqua" w:cs="Times New Roman"/>
          <w:noProof/>
          <w:color w:val="000000" w:themeColor="text1"/>
          <w:kern w:val="0"/>
          <w:sz w:val="24"/>
          <w:szCs w:val="24"/>
          <w:vertAlign w:val="superscript"/>
        </w:rPr>
        <w:t>[</w:t>
      </w:r>
      <w:proofErr w:type="gramEnd"/>
      <w:r w:rsidR="007D088D" w:rsidRPr="00246B02">
        <w:rPr>
          <w:rFonts w:ascii="Book Antiqua" w:eastAsiaTheme="minorHAnsi" w:hAnsi="Book Antiqua" w:cs="Times New Roman"/>
          <w:noProof/>
          <w:color w:val="000000" w:themeColor="text1"/>
          <w:kern w:val="0"/>
          <w:sz w:val="24"/>
          <w:szCs w:val="24"/>
          <w:vertAlign w:val="superscript"/>
        </w:rPr>
        <w:t>30]</w:t>
      </w:r>
      <w:r w:rsidRPr="00246B02">
        <w:rPr>
          <w:rFonts w:ascii="Book Antiqua" w:hAnsi="Book Antiqua" w:cs="Times New Roman"/>
          <w:color w:val="000000" w:themeColor="text1"/>
          <w:sz w:val="24"/>
          <w:szCs w:val="24"/>
        </w:rPr>
        <w:t xml:space="preserve"> evaluated the utility of these two agents in 120 postmenopausal breast cancer patients who were not eligible for primary BCS, with different results. They demonstrated that the fulvestrant arm yielded equal effectiveness as the anastrozole arm in both objective response rate (53.8%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58.9%) and BCS rate (50.0%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58.9%)</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eastAsiaTheme="minorHAnsi" w:hAnsi="Book Antiqua" w:cs="Times New Roman"/>
          <w:noProof/>
          <w:color w:val="000000" w:themeColor="text1"/>
          <w:kern w:val="0"/>
          <w:sz w:val="24"/>
          <w:szCs w:val="24"/>
          <w:vertAlign w:val="superscript"/>
        </w:rPr>
        <w:t>30]</w:t>
      </w:r>
      <w:r w:rsidRPr="00246B02">
        <w:rPr>
          <w:rFonts w:ascii="Book Antiqua" w:hAnsi="Book Antiqua" w:cs="Times New Roman"/>
          <w:color w:val="000000" w:themeColor="text1"/>
          <w:sz w:val="24"/>
          <w:szCs w:val="24"/>
        </w:rPr>
        <w:t xml:space="preserve">. The </w:t>
      </w:r>
      <w:r w:rsidRPr="00246B02">
        <w:rPr>
          <w:rFonts w:ascii="Book Antiqua" w:hAnsi="Book Antiqua" w:cs="Times New Roman"/>
          <w:color w:val="000000" w:themeColor="text1"/>
          <w:sz w:val="24"/>
          <w:szCs w:val="24"/>
        </w:rPr>
        <w:lastRenderedPageBreak/>
        <w:t xml:space="preserve">CARMINA 02 trial also showed that the efficacy and tolerability of fulvestrant </w:t>
      </w:r>
      <w:r w:rsidR="003138E7" w:rsidRPr="00246B02">
        <w:rPr>
          <w:rFonts w:ascii="Book Antiqua" w:hAnsi="Book Antiqua" w:cs="Times New Roman"/>
          <w:color w:val="000000" w:themeColor="text1"/>
          <w:sz w:val="24"/>
          <w:szCs w:val="24"/>
        </w:rPr>
        <w:t>w</w:t>
      </w:r>
      <w:r w:rsidR="003138E7">
        <w:rPr>
          <w:rFonts w:ascii="Book Antiqua" w:hAnsi="Book Antiqua" w:cs="Times New Roman"/>
          <w:color w:val="000000" w:themeColor="text1"/>
          <w:sz w:val="24"/>
          <w:szCs w:val="24"/>
        </w:rPr>
        <w:t>ere</w:t>
      </w:r>
      <w:r w:rsidR="003138E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similar to those of </w:t>
      </w:r>
      <w:proofErr w:type="gramStart"/>
      <w:r w:rsidRPr="00246B02">
        <w:rPr>
          <w:rFonts w:ascii="Book Antiqua" w:hAnsi="Book Antiqua" w:cs="Times New Roman"/>
          <w:color w:val="000000" w:themeColor="text1"/>
          <w:sz w:val="24"/>
          <w:szCs w:val="24"/>
        </w:rPr>
        <w:t>anastrozole</w:t>
      </w:r>
      <w:r w:rsidRPr="00246B02">
        <w:rPr>
          <w:rFonts w:ascii="Book Antiqua" w:eastAsia="System" w:hAnsi="Book Antiqua" w:cs="Times New Roman"/>
          <w:noProof/>
          <w:color w:val="000000" w:themeColor="text1"/>
          <w:kern w:val="0"/>
          <w:sz w:val="24"/>
          <w:szCs w:val="24"/>
          <w:vertAlign w:val="superscript"/>
        </w:rPr>
        <w:t>[</w:t>
      </w:r>
      <w:proofErr w:type="gramEnd"/>
      <w:r w:rsidRPr="00246B02">
        <w:rPr>
          <w:rFonts w:ascii="Book Antiqua" w:eastAsiaTheme="minorHAnsi" w:hAnsi="Book Antiqua" w:cs="Times New Roman"/>
          <w:noProof/>
          <w:color w:val="000000" w:themeColor="text1"/>
          <w:kern w:val="0"/>
          <w:sz w:val="24"/>
          <w:szCs w:val="24"/>
          <w:vertAlign w:val="superscript"/>
        </w:rPr>
        <w:t>31]</w:t>
      </w:r>
      <w:r w:rsidRPr="00246B02">
        <w:rPr>
          <w:rFonts w:ascii="Book Antiqua" w:hAnsi="Book Antiqua" w:cs="Times New Roman"/>
          <w:color w:val="000000" w:themeColor="text1"/>
          <w:sz w:val="24"/>
          <w:szCs w:val="24"/>
        </w:rPr>
        <w:t>. These outcomes suggested the excellent therapeutic effects of fulvestrant and encouraged further exploration to verify whether it can serve as an ideal agent to replace well-recognized and valuable AI</w:t>
      </w:r>
      <w:r w:rsidR="003138E7">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in neoadjuvant therapy. </w:t>
      </w:r>
    </w:p>
    <w:p w14:paraId="7FCADC5E" w14:textId="77777777"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 </w:t>
      </w:r>
    </w:p>
    <w:p w14:paraId="39C532FA" w14:textId="5152A3C4"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Choice of different aromatase inhibitors</w:t>
      </w:r>
      <w:r w:rsidR="007D088D"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To explore the choice of the beneficial</w:t>
      </w:r>
      <w:r w:rsidR="003138E7">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AIs, the ACOSOG Z1031A trial involved 377 postmenopausal women with stage II</w:t>
      </w:r>
      <w:r w:rsidR="003138E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III ER+ (Allred score, 6 to 8) breast cancer. These patients were randomized to treatment with presurgical exemestane, letrozole, or anastrozole for 16 </w:t>
      </w:r>
      <w:r w:rsidR="007D088D" w:rsidRPr="00246B02">
        <w:rPr>
          <w:rFonts w:ascii="Book Antiqua" w:hAnsi="Book Antiqua" w:cs="Times New Roman"/>
          <w:color w:val="000000" w:themeColor="text1"/>
          <w:sz w:val="24"/>
          <w:szCs w:val="24"/>
        </w:rPr>
        <w:t>wk</w:t>
      </w:r>
      <w:r w:rsidRPr="00246B02">
        <w:rPr>
          <w:rFonts w:ascii="Book Antiqua" w:hAnsi="Book Antiqua" w:cs="Times New Roman"/>
          <w:color w:val="000000" w:themeColor="text1"/>
          <w:sz w:val="24"/>
          <w:szCs w:val="24"/>
        </w:rPr>
        <w:t>. The three AIs had clinically and biologically equivalent effects, as the CRR was 60%, 72%, and 68% and the geometric mean percentage change in Ki67 was 87.2%, 82.1%, and 78%, respectively</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32]</w:t>
      </w:r>
      <w:r w:rsidRPr="00246B02">
        <w:rPr>
          <w:rFonts w:ascii="Book Antiqua" w:hAnsi="Book Antiqua" w:cs="Times New Roman"/>
          <w:color w:val="000000" w:themeColor="text1"/>
          <w:sz w:val="24"/>
          <w:szCs w:val="24"/>
        </w:rPr>
        <w:t>. Thus, the clinical and biological efficacy did not significantly differ among the three AIs in neoadjuvant settings.</w:t>
      </w:r>
    </w:p>
    <w:p w14:paraId="5D416142"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2FA567A2" w14:textId="36FD28B4" w:rsidR="00837F36" w:rsidRPr="00246B02" w:rsidRDefault="003138E7" w:rsidP="00246B02">
      <w:pPr>
        <w:spacing w:line="360" w:lineRule="auto"/>
        <w:jc w:val="both"/>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O</w:t>
      </w:r>
      <w:r w:rsidR="00837F36" w:rsidRPr="00246B02">
        <w:rPr>
          <w:rFonts w:ascii="Book Antiqua" w:hAnsi="Book Antiqua" w:cs="Times New Roman"/>
          <w:b/>
          <w:color w:val="000000" w:themeColor="text1"/>
          <w:sz w:val="24"/>
          <w:szCs w:val="24"/>
        </w:rPr>
        <w:t>ptimal endocrine agents for premenopausal patients</w:t>
      </w:r>
      <w:r w:rsidR="007D088D" w:rsidRPr="00246B02">
        <w:rPr>
          <w:rFonts w:ascii="Book Antiqua" w:hAnsi="Book Antiqua" w:cs="Times New Roman"/>
          <w:b/>
          <w:color w:val="000000" w:themeColor="text1"/>
          <w:sz w:val="24"/>
          <w:szCs w:val="24"/>
        </w:rPr>
        <w:t xml:space="preserve">: </w:t>
      </w:r>
      <w:r w:rsidR="00837F36" w:rsidRPr="00246B02">
        <w:rPr>
          <w:rFonts w:ascii="Book Antiqua" w:hAnsi="Book Antiqua" w:cs="Times New Roman"/>
          <w:color w:val="000000" w:themeColor="text1"/>
          <w:sz w:val="24"/>
          <w:szCs w:val="24"/>
        </w:rPr>
        <w:t xml:space="preserve">Current limited data encouraged the efficacy of AI plus </w:t>
      </w:r>
      <w:r w:rsidR="007B1E5A">
        <w:rPr>
          <w:rFonts w:ascii="Book Antiqua" w:hAnsi="Book Antiqua" w:cs="Times New Roman"/>
          <w:color w:val="000000" w:themeColor="text1"/>
          <w:sz w:val="24"/>
          <w:szCs w:val="24"/>
        </w:rPr>
        <w:t>o</w:t>
      </w:r>
      <w:r w:rsidR="007B1E5A" w:rsidRPr="007B1E5A">
        <w:rPr>
          <w:rFonts w:ascii="Book Antiqua" w:hAnsi="Book Antiqua" w:cs="Times New Roman"/>
          <w:color w:val="000000" w:themeColor="text1"/>
          <w:sz w:val="24"/>
          <w:szCs w:val="24"/>
        </w:rPr>
        <w:t xml:space="preserve">varian function suppression </w:t>
      </w:r>
      <w:r w:rsidR="007B1E5A">
        <w:rPr>
          <w:rFonts w:ascii="Book Antiqua" w:hAnsi="Book Antiqua" w:cs="Times New Roman"/>
          <w:color w:val="000000" w:themeColor="text1"/>
          <w:sz w:val="24"/>
          <w:szCs w:val="24"/>
        </w:rPr>
        <w:t>(</w:t>
      </w:r>
      <w:r w:rsidR="00837F36" w:rsidRPr="00246B02">
        <w:rPr>
          <w:rFonts w:ascii="Book Antiqua" w:hAnsi="Book Antiqua" w:cs="Times New Roman"/>
          <w:color w:val="000000" w:themeColor="text1"/>
          <w:sz w:val="24"/>
          <w:szCs w:val="24"/>
        </w:rPr>
        <w:t>OFS</w:t>
      </w:r>
      <w:r w:rsidR="007B1E5A">
        <w:rPr>
          <w:rFonts w:ascii="Book Antiqua" w:hAnsi="Book Antiqua" w:cs="Times New Roman"/>
          <w:color w:val="000000" w:themeColor="text1"/>
          <w:sz w:val="24"/>
          <w:szCs w:val="24"/>
        </w:rPr>
        <w:t>)</w:t>
      </w:r>
      <w:r w:rsidR="00837F36" w:rsidRPr="00246B02">
        <w:rPr>
          <w:rFonts w:ascii="Book Antiqua" w:hAnsi="Book Antiqua" w:cs="Times New Roman"/>
          <w:color w:val="000000" w:themeColor="text1"/>
          <w:sz w:val="24"/>
          <w:szCs w:val="24"/>
        </w:rPr>
        <w:t xml:space="preserve"> in neoadjuvant endocrine settings for premenopausal patients. Torrisi </w:t>
      </w:r>
      <w:r w:rsidR="00A00700" w:rsidRPr="00246B02">
        <w:rPr>
          <w:rFonts w:ascii="Book Antiqua" w:hAnsi="Book Antiqua" w:cs="Times New Roman"/>
          <w:i/>
          <w:color w:val="000000" w:themeColor="text1"/>
          <w:sz w:val="24"/>
          <w:szCs w:val="24"/>
        </w:rPr>
        <w:t xml:space="preserve">et </w:t>
      </w:r>
      <w:proofErr w:type="gramStart"/>
      <w:r w:rsidR="00A00700" w:rsidRPr="00246B02">
        <w:rPr>
          <w:rFonts w:ascii="Book Antiqua" w:hAnsi="Book Antiqua" w:cs="Times New Roman"/>
          <w:i/>
          <w:color w:val="000000" w:themeColor="text1"/>
          <w:sz w:val="24"/>
          <w:szCs w:val="24"/>
        </w:rPr>
        <w:t>al</w:t>
      </w:r>
      <w:r w:rsidR="007D088D" w:rsidRPr="00246B02">
        <w:rPr>
          <w:rFonts w:ascii="Book Antiqua" w:eastAsia="System" w:hAnsi="Book Antiqua" w:cs="Times New Roman"/>
          <w:noProof/>
          <w:color w:val="000000" w:themeColor="text1"/>
          <w:sz w:val="24"/>
          <w:szCs w:val="24"/>
          <w:vertAlign w:val="superscript"/>
        </w:rPr>
        <w:t>[</w:t>
      </w:r>
      <w:proofErr w:type="gramEnd"/>
      <w:r w:rsidR="007D088D" w:rsidRPr="00246B02">
        <w:rPr>
          <w:rFonts w:ascii="Book Antiqua" w:eastAsiaTheme="minorHAnsi" w:hAnsi="Book Antiqua" w:cs="Times New Roman"/>
          <w:noProof/>
          <w:color w:val="000000" w:themeColor="text1"/>
          <w:sz w:val="24"/>
          <w:szCs w:val="24"/>
          <w:vertAlign w:val="superscript"/>
        </w:rPr>
        <w:t>33]</w:t>
      </w:r>
      <w:r w:rsidR="00837F36" w:rsidRPr="00246B02">
        <w:rPr>
          <w:rFonts w:ascii="Book Antiqua" w:hAnsi="Book Antiqua" w:cs="Times New Roman"/>
          <w:color w:val="000000" w:themeColor="text1"/>
          <w:sz w:val="24"/>
          <w:szCs w:val="24"/>
        </w:rPr>
        <w:t xml:space="preserve"> confirmed the efficacy of NAE with letrozole plus gonadotropin-releasing hormone (GnRH) analogue in premenopausal breast cancer patients. Over half of the patients achieved clinical response, and none of patients progressed during </w:t>
      </w:r>
      <w:proofErr w:type="gramStart"/>
      <w:r w:rsidR="00837F36" w:rsidRPr="00246B02">
        <w:rPr>
          <w:rFonts w:ascii="Book Antiqua" w:hAnsi="Book Antiqua" w:cs="Times New Roman"/>
          <w:color w:val="000000" w:themeColor="text1"/>
          <w:sz w:val="24"/>
          <w:szCs w:val="24"/>
        </w:rPr>
        <w:t>treatment</w:t>
      </w:r>
      <w:r w:rsidR="00837F36" w:rsidRPr="00246B02">
        <w:rPr>
          <w:rFonts w:ascii="Book Antiqua" w:eastAsia="System" w:hAnsi="Book Antiqua" w:cs="Times New Roman"/>
          <w:noProof/>
          <w:color w:val="000000" w:themeColor="text1"/>
          <w:sz w:val="24"/>
          <w:szCs w:val="24"/>
          <w:vertAlign w:val="superscript"/>
        </w:rPr>
        <w:t>[</w:t>
      </w:r>
      <w:proofErr w:type="gramEnd"/>
      <w:r w:rsidR="00837F36" w:rsidRPr="00246B02">
        <w:rPr>
          <w:rFonts w:ascii="Book Antiqua" w:eastAsiaTheme="minorHAnsi" w:hAnsi="Book Antiqua" w:cs="Times New Roman"/>
          <w:noProof/>
          <w:color w:val="000000" w:themeColor="text1"/>
          <w:sz w:val="24"/>
          <w:szCs w:val="24"/>
          <w:vertAlign w:val="superscript"/>
        </w:rPr>
        <w:t>33]</w:t>
      </w:r>
      <w:r w:rsidR="00837F36" w:rsidRPr="00246B02">
        <w:rPr>
          <w:rFonts w:ascii="Book Antiqua" w:hAnsi="Book Antiqua" w:cs="Times New Roman"/>
          <w:color w:val="000000" w:themeColor="text1"/>
          <w:sz w:val="24"/>
          <w:szCs w:val="24"/>
        </w:rPr>
        <w:t xml:space="preserve">. The STAGE trial randomized 204 premenopausal patients into either the neoadjuvant anastrozole arm or tamoxifen arm, accompanied by goserelin, for 24 </w:t>
      </w:r>
      <w:r w:rsidR="007D088D" w:rsidRPr="00246B02">
        <w:rPr>
          <w:rFonts w:ascii="Book Antiqua" w:hAnsi="Book Antiqua" w:cs="Times New Roman"/>
          <w:color w:val="000000" w:themeColor="text1"/>
          <w:sz w:val="24"/>
          <w:szCs w:val="24"/>
        </w:rPr>
        <w:t>wk</w:t>
      </w:r>
      <w:r w:rsidR="00837F36" w:rsidRPr="00246B02">
        <w:rPr>
          <w:rFonts w:ascii="Book Antiqua" w:hAnsi="Book Antiqua" w:cs="Times New Roman"/>
          <w:color w:val="000000" w:themeColor="text1"/>
          <w:sz w:val="24"/>
          <w:szCs w:val="24"/>
        </w:rPr>
        <w:t xml:space="preserve">. They indicated the superiority of anastrozole over tamoxifen by assessing CRR (70.4 </w:t>
      </w:r>
      <w:r w:rsidR="00837F36" w:rsidRPr="00246B02">
        <w:rPr>
          <w:rFonts w:ascii="Book Antiqua" w:hAnsi="Book Antiqua" w:cs="Times New Roman"/>
          <w:i/>
          <w:color w:val="000000" w:themeColor="text1"/>
          <w:sz w:val="24"/>
          <w:szCs w:val="24"/>
        </w:rPr>
        <w:t>vs</w:t>
      </w:r>
      <w:r w:rsidR="00837F36" w:rsidRPr="00246B02">
        <w:rPr>
          <w:rFonts w:ascii="Book Antiqua" w:hAnsi="Book Antiqua" w:cs="Times New Roman"/>
          <w:color w:val="000000" w:themeColor="text1"/>
          <w:sz w:val="24"/>
          <w:szCs w:val="24"/>
        </w:rPr>
        <w:t xml:space="preserve"> 50.5%, </w:t>
      </w:r>
      <w:r w:rsidR="00837F36" w:rsidRPr="00246B02">
        <w:rPr>
          <w:rFonts w:ascii="Book Antiqua" w:hAnsi="Book Antiqua" w:cs="Times New Roman"/>
          <w:i/>
          <w:color w:val="000000" w:themeColor="text1"/>
          <w:sz w:val="24"/>
          <w:szCs w:val="24"/>
        </w:rPr>
        <w:t xml:space="preserve">P </w:t>
      </w:r>
      <w:r w:rsidR="00837F36" w:rsidRPr="00246B02">
        <w:rPr>
          <w:rFonts w:ascii="Book Antiqua" w:hAnsi="Book Antiqua" w:cs="Times New Roman"/>
          <w:color w:val="000000" w:themeColor="text1"/>
          <w:sz w:val="24"/>
          <w:szCs w:val="24"/>
        </w:rPr>
        <w:t xml:space="preserve">= 0.004) and BCS (86% </w:t>
      </w:r>
      <w:r w:rsidR="00837F36" w:rsidRPr="00246B02">
        <w:rPr>
          <w:rFonts w:ascii="Book Antiqua" w:hAnsi="Book Antiqua" w:cs="Times New Roman"/>
          <w:i/>
          <w:color w:val="000000" w:themeColor="text1"/>
          <w:sz w:val="24"/>
          <w:szCs w:val="24"/>
        </w:rPr>
        <w:t>vs</w:t>
      </w:r>
      <w:r w:rsidR="007D088D" w:rsidRPr="00246B02">
        <w:rPr>
          <w:rFonts w:ascii="Book Antiqua" w:hAnsi="Book Antiqua" w:cs="Times New Roman"/>
          <w:color w:val="000000" w:themeColor="text1"/>
          <w:sz w:val="24"/>
          <w:szCs w:val="24"/>
        </w:rPr>
        <w:t xml:space="preserve"> 68%</w:t>
      </w:r>
      <w:proofErr w:type="gramStart"/>
      <w:r w:rsidR="007D088D" w:rsidRPr="00246B02">
        <w:rPr>
          <w:rFonts w:ascii="Book Antiqua" w:hAnsi="Book Antiqua" w:cs="Times New Roman"/>
          <w:color w:val="000000" w:themeColor="text1"/>
          <w:sz w:val="24"/>
          <w:szCs w:val="24"/>
        </w:rPr>
        <w:t>)</w:t>
      </w:r>
      <w:r w:rsidR="00837F36" w:rsidRPr="00246B02">
        <w:rPr>
          <w:rFonts w:ascii="Book Antiqua" w:eastAsia="System" w:hAnsi="Book Antiqua" w:cs="Times New Roman"/>
          <w:noProof/>
          <w:color w:val="000000" w:themeColor="text1"/>
          <w:sz w:val="24"/>
          <w:szCs w:val="24"/>
          <w:vertAlign w:val="superscript"/>
        </w:rPr>
        <w:t>[</w:t>
      </w:r>
      <w:proofErr w:type="gramEnd"/>
      <w:r w:rsidR="00837F36" w:rsidRPr="00246B02">
        <w:rPr>
          <w:rFonts w:ascii="Book Antiqua" w:eastAsiaTheme="minorHAnsi" w:hAnsi="Book Antiqua" w:cs="Times New Roman"/>
          <w:noProof/>
          <w:color w:val="000000" w:themeColor="text1"/>
          <w:sz w:val="24"/>
          <w:szCs w:val="24"/>
          <w:vertAlign w:val="superscript"/>
        </w:rPr>
        <w:t>34]</w:t>
      </w:r>
      <w:r w:rsidR="00837F36" w:rsidRPr="00246B02">
        <w:rPr>
          <w:rFonts w:ascii="Book Antiqua" w:hAnsi="Book Antiqua" w:cs="Times New Roman"/>
          <w:color w:val="000000" w:themeColor="text1"/>
          <w:sz w:val="24"/>
          <w:szCs w:val="24"/>
        </w:rPr>
        <w:t xml:space="preserve">. Furthermore, the suitable selection of OFS has been discussed in premenopausal individuals. The TREND trial was conducted to evaluate the efficacy of degarelix (a GnRH antagonist) </w:t>
      </w:r>
      <w:r w:rsidR="007D088D" w:rsidRPr="00246B02">
        <w:rPr>
          <w:rFonts w:ascii="Book Antiqua" w:hAnsi="Book Antiqua" w:cs="Times New Roman"/>
          <w:i/>
          <w:color w:val="000000" w:themeColor="text1"/>
          <w:sz w:val="24"/>
          <w:szCs w:val="24"/>
        </w:rPr>
        <w:t>vs</w:t>
      </w:r>
      <w:r w:rsidR="00837F36" w:rsidRPr="00246B02">
        <w:rPr>
          <w:rFonts w:ascii="Book Antiqua" w:hAnsi="Book Antiqua" w:cs="Times New Roman"/>
          <w:color w:val="000000" w:themeColor="text1"/>
          <w:sz w:val="24"/>
          <w:szCs w:val="24"/>
        </w:rPr>
        <w:t xml:space="preserve"> triptorelin (a GnRH agonist) in patients receiving neoadjuvant letrozole. </w:t>
      </w:r>
      <w:r w:rsidR="00837F36" w:rsidRPr="00246B02">
        <w:rPr>
          <w:rFonts w:ascii="Book Antiqua" w:hAnsi="Book Antiqua" w:cs="Times New Roman"/>
          <w:color w:val="000000" w:themeColor="text1"/>
          <w:sz w:val="24"/>
          <w:szCs w:val="24"/>
        </w:rPr>
        <w:lastRenderedPageBreak/>
        <w:t>Individuals treated with degarelix responded more quickly in inducing optimal OFS than</w:t>
      </w:r>
      <w:r w:rsidR="007B1E5A">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 xml:space="preserve">those receiving </w:t>
      </w:r>
      <w:proofErr w:type="gramStart"/>
      <w:r w:rsidR="00837F36" w:rsidRPr="00246B02">
        <w:rPr>
          <w:rFonts w:ascii="Book Antiqua" w:hAnsi="Book Antiqua" w:cs="Times New Roman"/>
          <w:color w:val="000000" w:themeColor="text1"/>
          <w:sz w:val="24"/>
          <w:szCs w:val="24"/>
        </w:rPr>
        <w:t>triptorelin</w:t>
      </w:r>
      <w:r w:rsidR="00837F36" w:rsidRPr="00246B02">
        <w:rPr>
          <w:rFonts w:ascii="Book Antiqua" w:eastAsia="System" w:hAnsi="Book Antiqua" w:cs="Times New Roman"/>
          <w:noProof/>
          <w:color w:val="000000" w:themeColor="text1"/>
          <w:sz w:val="24"/>
          <w:szCs w:val="24"/>
          <w:vertAlign w:val="superscript"/>
        </w:rPr>
        <w:t>[</w:t>
      </w:r>
      <w:proofErr w:type="gramEnd"/>
      <w:r w:rsidR="00837F36" w:rsidRPr="00246B02">
        <w:rPr>
          <w:rFonts w:ascii="Book Antiqua" w:eastAsiaTheme="minorHAnsi" w:hAnsi="Book Antiqua" w:cs="Times New Roman"/>
          <w:noProof/>
          <w:color w:val="000000" w:themeColor="text1"/>
          <w:sz w:val="24"/>
          <w:szCs w:val="24"/>
          <w:vertAlign w:val="superscript"/>
        </w:rPr>
        <w:t>35]</w:t>
      </w:r>
      <w:r w:rsidR="00837F36" w:rsidRPr="00246B02">
        <w:rPr>
          <w:rFonts w:ascii="Book Antiqua" w:hAnsi="Book Antiqua" w:cs="Times New Roman"/>
          <w:color w:val="000000" w:themeColor="text1"/>
          <w:sz w:val="24"/>
          <w:szCs w:val="24"/>
        </w:rPr>
        <w:t>. This finding supported the use of additional studies to assess whether degarelix optimizes treatment efficacy in neoadjuvant treatment and to screen for the optimal agents for OFS. In conclusion, AI plus OFS is a suitable selection in NAE for premenopausal patients, and it demands prospective validation in more clinical trials.</w:t>
      </w:r>
    </w:p>
    <w:p w14:paraId="77857429"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55C63F94" w14:textId="290F5563" w:rsidR="00837F36" w:rsidRPr="00246B02" w:rsidRDefault="007B1E5A" w:rsidP="00246B02">
      <w:pPr>
        <w:spacing w:line="360" w:lineRule="auto"/>
        <w:jc w:val="both"/>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O</w:t>
      </w:r>
      <w:r w:rsidR="00837F36" w:rsidRPr="00246B02">
        <w:rPr>
          <w:rFonts w:ascii="Book Antiqua" w:hAnsi="Book Antiqua" w:cs="Times New Roman"/>
          <w:b/>
          <w:i/>
          <w:color w:val="000000" w:themeColor="text1"/>
          <w:sz w:val="24"/>
          <w:szCs w:val="24"/>
        </w:rPr>
        <w:t>ptimal targeted agents of NAE</w:t>
      </w:r>
    </w:p>
    <w:p w14:paraId="3182062E" w14:textId="7F534269"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The application of targeted agents was supported to promote endocrine response and reveal drug resistance mechanisms. We </w:t>
      </w:r>
      <w:r w:rsidR="00A0260B">
        <w:rPr>
          <w:rFonts w:ascii="Book Antiqua" w:hAnsi="Book Antiqua" w:cs="Times New Roman"/>
          <w:color w:val="000000" w:themeColor="text1"/>
          <w:sz w:val="24"/>
          <w:szCs w:val="24"/>
        </w:rPr>
        <w:t xml:space="preserve">will </w:t>
      </w:r>
      <w:r w:rsidR="007B1E5A" w:rsidRPr="00246B02">
        <w:rPr>
          <w:rFonts w:ascii="Book Antiqua" w:hAnsi="Book Antiqua" w:cs="Times New Roman"/>
          <w:color w:val="000000" w:themeColor="text1"/>
          <w:sz w:val="24"/>
          <w:szCs w:val="24"/>
        </w:rPr>
        <w:t>review</w:t>
      </w:r>
      <w:r w:rsidR="007B1E5A">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the promising antiproliferative effects of targeted agents, including cyclin-dependent kinase (CDK) 4/6 inhibitors and phosphatidylinositol 3-kinase (PI3K)/AKT/mammalian target of rapamycin (mTOR) pathway inhibitors.</w:t>
      </w:r>
    </w:p>
    <w:p w14:paraId="6433DE63"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00DECC09" w14:textId="07CE79BB"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CDK 4/6 inhibitors</w:t>
      </w:r>
      <w:r w:rsidR="007D088D"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CDK 4/6 inhibitors are suppressors of the cell cycle from G1 to S phase. By inducing retinoblastoma protein (Rb) hypophosphorylation, they effectively inhibit mitosis and thus subsequently prevent cell proliferation and tumor progression (</w:t>
      </w:r>
      <w:r w:rsidR="007D088D" w:rsidRPr="00246B02">
        <w:rPr>
          <w:rFonts w:ascii="Book Antiqua" w:hAnsi="Book Antiqua" w:cs="Times New Roman"/>
          <w:color w:val="000000" w:themeColor="text1"/>
          <w:sz w:val="24"/>
          <w:szCs w:val="24"/>
        </w:rPr>
        <w:t xml:space="preserve">Figure </w:t>
      </w:r>
      <w:r w:rsidRPr="00246B02">
        <w:rPr>
          <w:rFonts w:ascii="Book Antiqua" w:hAnsi="Book Antiqua" w:cs="Times New Roman"/>
          <w:color w:val="000000" w:themeColor="text1"/>
          <w:sz w:val="24"/>
          <w:szCs w:val="24"/>
        </w:rPr>
        <w:t>1</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36]</w:t>
      </w:r>
      <w:r w:rsidRPr="00246B02">
        <w:rPr>
          <w:rFonts w:ascii="Book Antiqua" w:hAnsi="Book Antiqua" w:cs="Times New Roman"/>
          <w:color w:val="000000" w:themeColor="text1"/>
          <w:sz w:val="24"/>
          <w:szCs w:val="24"/>
        </w:rPr>
        <w:t xml:space="preserve">. CDK4/6 inhibitors in combination with endocrine therapies have </w:t>
      </w:r>
      <w:r w:rsidR="007B1E5A">
        <w:rPr>
          <w:rFonts w:ascii="Book Antiqua" w:hAnsi="Book Antiqua" w:cs="Times New Roman"/>
          <w:color w:val="000000" w:themeColor="text1"/>
          <w:sz w:val="24"/>
          <w:szCs w:val="24"/>
        </w:rPr>
        <w:t>yielded</w:t>
      </w:r>
      <w:r w:rsidR="007B1E5A" w:rsidRPr="00246B02">
        <w:rPr>
          <w:rFonts w:ascii="Book Antiqua" w:hAnsi="Book Antiqua" w:cs="Times New Roman"/>
          <w:color w:val="000000" w:themeColor="text1"/>
          <w:sz w:val="24"/>
          <w:szCs w:val="24"/>
        </w:rPr>
        <w:t xml:space="preserve"> </w:t>
      </w:r>
      <w:r w:rsidR="007B1E5A">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good prognosis and clinical benefits for ER+ patients, and provoked thoughts about applying CDK4/6 inhibitors in NAE. The following several paragraphs will review clinical trials discussing the efficacy of CDK4/6 inhibitors, especially palbociclib, and addressing the </w:t>
      </w:r>
      <w:r w:rsidR="007D088D" w:rsidRPr="00246B02">
        <w:rPr>
          <w:rFonts w:ascii="Book Antiqua" w:hAnsi="Book Antiqua" w:cs="Times New Roman"/>
          <w:color w:val="000000" w:themeColor="text1"/>
          <w:sz w:val="24"/>
          <w:szCs w:val="24"/>
        </w:rPr>
        <w:t xml:space="preserve">mechanisms of drug resistance. </w:t>
      </w:r>
    </w:p>
    <w:p w14:paraId="647C1A39" w14:textId="15845BED"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Newly published in 2018, PALLET, the largest phase II clinical study, has obtained worldwide focus for its concern with efficacy evaluation of a CDK4/6 inhibitor in NAE. In this trial, patients were randomized to letrozole monotherapy or letrozole plus palbociclib therapy for 14 weeks. The combination group showed remarkable superiority over letrozole monotherapy, with larger change in Ki67 (-4.1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-2.2), higher rate of complete </w:t>
      </w:r>
      <w:r w:rsidRPr="00246B02">
        <w:rPr>
          <w:rFonts w:ascii="Book Antiqua" w:hAnsi="Book Antiqua" w:cs="Times New Roman"/>
          <w:color w:val="000000" w:themeColor="text1"/>
          <w:sz w:val="24"/>
          <w:szCs w:val="24"/>
        </w:rPr>
        <w:lastRenderedPageBreak/>
        <w:t xml:space="preserve">cell-cycle arrest (CCCA, 90%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59%)</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greater cleaved </w:t>
      </w:r>
      <w:proofErr w:type="gramStart"/>
      <w:r w:rsidR="007B1E5A" w:rsidRPr="00246B02">
        <w:rPr>
          <w:rFonts w:ascii="Book Antiqua" w:hAnsi="Book Antiqua" w:cs="Times New Roman"/>
          <w:color w:val="000000" w:themeColor="text1"/>
          <w:sz w:val="24"/>
          <w:szCs w:val="24"/>
        </w:rPr>
        <w:t>poly</w:t>
      </w:r>
      <w:r w:rsidR="007B1E5A">
        <w:rPr>
          <w:rFonts w:ascii="Book Antiqua" w:hAnsi="Book Antiqua" w:cs="Times New Roman"/>
          <w:color w:val="000000" w:themeColor="text1"/>
          <w:sz w:val="24"/>
          <w:szCs w:val="24"/>
        </w:rPr>
        <w:t>(</w:t>
      </w:r>
      <w:proofErr w:type="gramEnd"/>
      <w:r w:rsidRPr="00246B02">
        <w:rPr>
          <w:rFonts w:ascii="Book Antiqua" w:hAnsi="Book Antiqua" w:cs="Times New Roman"/>
          <w:color w:val="000000" w:themeColor="text1"/>
          <w:sz w:val="24"/>
          <w:szCs w:val="24"/>
        </w:rPr>
        <w:t>ADP-ribose</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polymerase (c-PARP, -0.80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-0.42), indicating that the combination of palbociclib </w:t>
      </w:r>
      <w:r w:rsidR="007B1E5A">
        <w:rPr>
          <w:rFonts w:ascii="Book Antiqua" w:hAnsi="Book Antiqua" w:cs="Times New Roman"/>
          <w:color w:val="000000" w:themeColor="text1"/>
          <w:sz w:val="24"/>
          <w:szCs w:val="24"/>
        </w:rPr>
        <w:t>and</w:t>
      </w:r>
      <w:r w:rsidR="007B1E5A"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letrozole could induce the suppression of cell proliferation</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37]</w:t>
      </w:r>
      <w:r w:rsidRPr="00246B02">
        <w:rPr>
          <w:rFonts w:ascii="Book Antiqua" w:hAnsi="Book Antiqua" w:cs="Times New Roman"/>
          <w:color w:val="000000" w:themeColor="text1"/>
          <w:sz w:val="24"/>
          <w:szCs w:val="24"/>
        </w:rPr>
        <w:t>. In NeoPalAna single arm trial, patients received neoadjuvant anastrozole, adding palbociclib on cycle 1 day 1 (C1D1) and leaving study if Ki67 was &gt;</w:t>
      </w:r>
      <w:r w:rsidR="00F871DA"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10% on C1D15. CCCA rate, as </w:t>
      </w:r>
      <w:r w:rsidR="007B1E5A">
        <w:rPr>
          <w:rFonts w:ascii="Book Antiqua" w:hAnsi="Book Antiqua" w:cs="Times New Roman"/>
          <w:color w:val="000000" w:themeColor="text1"/>
          <w:sz w:val="24"/>
          <w:szCs w:val="24"/>
        </w:rPr>
        <w:t xml:space="preserve">the </w:t>
      </w:r>
      <w:r w:rsidRPr="00246B02">
        <w:rPr>
          <w:rFonts w:ascii="Book Antiqua" w:hAnsi="Book Antiqua" w:cs="Times New Roman"/>
          <w:color w:val="000000" w:themeColor="text1"/>
          <w:sz w:val="24"/>
          <w:szCs w:val="24"/>
        </w:rPr>
        <w:t xml:space="preserve">primary endpoint, was significantly higher in C1D15 than C1D1 (87%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26%), and rebound of Ki67 expression</w:t>
      </w:r>
      <w:r w:rsidR="007B1E5A">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occurred following withdrawal of </w:t>
      </w:r>
      <w:proofErr w:type="gramStart"/>
      <w:r w:rsidRPr="00246B02">
        <w:rPr>
          <w:rFonts w:ascii="Book Antiqua" w:hAnsi="Book Antiqua" w:cs="Times New Roman"/>
          <w:color w:val="000000" w:themeColor="text1"/>
          <w:sz w:val="24"/>
          <w:szCs w:val="24"/>
        </w:rPr>
        <w:t>palbociclib</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38]</w:t>
      </w:r>
      <w:r w:rsidRPr="00246B02">
        <w:rPr>
          <w:rFonts w:ascii="Book Antiqua" w:hAnsi="Book Antiqua" w:cs="Times New Roman"/>
          <w:color w:val="000000" w:themeColor="text1"/>
          <w:sz w:val="24"/>
          <w:szCs w:val="24"/>
        </w:rPr>
        <w:t xml:space="preserve">. The significant improvement of CCCA rate and Ki67 suppression was observed in either luminal A or B subtype and with both PIK3CA mutant or </w:t>
      </w:r>
      <w:r w:rsidR="007B1E5A">
        <w:rPr>
          <w:rFonts w:ascii="Book Antiqua" w:hAnsi="Book Antiqua" w:cs="Times New Roman"/>
          <w:color w:val="000000" w:themeColor="text1"/>
          <w:sz w:val="24"/>
          <w:szCs w:val="24"/>
        </w:rPr>
        <w:t>wild type (</w:t>
      </w:r>
      <w:r w:rsidRPr="00246B02">
        <w:rPr>
          <w:rFonts w:ascii="Book Antiqua" w:hAnsi="Book Antiqua" w:cs="Times New Roman"/>
          <w:color w:val="000000" w:themeColor="text1"/>
          <w:sz w:val="24"/>
          <w:szCs w:val="24"/>
        </w:rPr>
        <w:t>WT</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status, </w:t>
      </w:r>
      <w:r w:rsidR="007B1E5A">
        <w:rPr>
          <w:rFonts w:ascii="Book Antiqua" w:hAnsi="Book Antiqua" w:cs="Times New Roman"/>
          <w:color w:val="000000" w:themeColor="text1"/>
          <w:sz w:val="24"/>
          <w:szCs w:val="24"/>
        </w:rPr>
        <w:t xml:space="preserve">which </w:t>
      </w:r>
      <w:r w:rsidRPr="00246B02">
        <w:rPr>
          <w:rFonts w:ascii="Book Antiqua" w:hAnsi="Book Antiqua" w:cs="Times New Roman"/>
          <w:color w:val="000000" w:themeColor="text1"/>
          <w:sz w:val="24"/>
          <w:szCs w:val="24"/>
        </w:rPr>
        <w:t>is parallel to data from the PALOMA-3 trial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39]</w:t>
      </w:r>
      <w:r w:rsidRPr="00246B02">
        <w:rPr>
          <w:rFonts w:ascii="Book Antiqua" w:hAnsi="Book Antiqua" w:cs="Times New Roman"/>
          <w:color w:val="000000" w:themeColor="text1"/>
          <w:sz w:val="24"/>
          <w:szCs w:val="24"/>
        </w:rPr>
        <w:t>. Considering molecular remission, researchers pointed out that the antiproliferation effect corresponding to biomarkers was important to identify patients who might benefit and provide an effective endpoint for clinical research.</w:t>
      </w:r>
    </w:p>
    <w:p w14:paraId="0806E071" w14:textId="3827C170"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The POP trial investigated the antiproliferative action of palbociclib in the Rb phosphorylation process. Antiproliferative response, defined as lnKi67 &lt;</w:t>
      </w:r>
      <w:r w:rsidR="0039248A"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1 at day </w:t>
      </w:r>
      <w:r w:rsidR="007B1E5A">
        <w:rPr>
          <w:rFonts w:ascii="Book Antiqua" w:hAnsi="Book Antiqua" w:cs="Times New Roman"/>
          <w:color w:val="000000" w:themeColor="text1"/>
          <w:sz w:val="24"/>
          <w:szCs w:val="24"/>
        </w:rPr>
        <w:t>5</w:t>
      </w:r>
      <w:r w:rsidRPr="00246B02">
        <w:rPr>
          <w:rFonts w:ascii="Book Antiqua" w:hAnsi="Book Antiqua" w:cs="Times New Roman"/>
          <w:color w:val="000000" w:themeColor="text1"/>
          <w:sz w:val="24"/>
          <w:szCs w:val="24"/>
        </w:rPr>
        <w:t xml:space="preserve">, was the primary endpoint, and it was improved in the palbociclib arm </w:t>
      </w:r>
      <w:r w:rsidRPr="00C9453D">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the placebo arm (58%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12%). Greater Ki67 and phospho-Rb decrease were observed in the palbociclib </w:t>
      </w:r>
      <w:proofErr w:type="gramStart"/>
      <w:r w:rsidRPr="00246B02">
        <w:rPr>
          <w:rFonts w:ascii="Book Antiqua" w:hAnsi="Book Antiqua" w:cs="Times New Roman"/>
          <w:color w:val="000000" w:themeColor="text1"/>
          <w:sz w:val="24"/>
          <w:szCs w:val="24"/>
        </w:rPr>
        <w:t>group</w:t>
      </w:r>
      <w:r w:rsidRPr="00246B02">
        <w:rPr>
          <w:rFonts w:ascii="Book Antiqua" w:eastAsia="System" w:hAnsi="Book Antiqua" w:cs="Times New Roman"/>
          <w:noProof/>
          <w:color w:val="000000" w:themeColor="text1"/>
          <w:sz w:val="24"/>
          <w:szCs w:val="24"/>
          <w:vertAlign w:val="superscript"/>
        </w:rPr>
        <w:t>[</w:t>
      </w:r>
      <w:proofErr w:type="gramEnd"/>
      <w:r w:rsidR="0039248A" w:rsidRPr="00246B02">
        <w:rPr>
          <w:rFonts w:ascii="Book Antiqua" w:eastAsiaTheme="minorHAnsi" w:hAnsi="Book Antiqua" w:cs="Times New Roman"/>
          <w:noProof/>
          <w:color w:val="000000" w:themeColor="text1"/>
          <w:sz w:val="24"/>
          <w:szCs w:val="24"/>
          <w:vertAlign w:val="superscript"/>
        </w:rPr>
        <w:t>40,</w:t>
      </w:r>
      <w:r w:rsidRPr="00246B02">
        <w:rPr>
          <w:rFonts w:ascii="Book Antiqua" w:eastAsiaTheme="minorHAnsi" w:hAnsi="Book Antiqua" w:cs="Times New Roman"/>
          <w:noProof/>
          <w:color w:val="000000" w:themeColor="text1"/>
          <w:sz w:val="24"/>
          <w:szCs w:val="24"/>
          <w:vertAlign w:val="superscript"/>
        </w:rPr>
        <w:t>41]</w:t>
      </w:r>
      <w:r w:rsidRPr="00246B02">
        <w:rPr>
          <w:rFonts w:ascii="Book Antiqua" w:hAnsi="Book Antiqua" w:cs="Times New Roman"/>
          <w:color w:val="000000" w:themeColor="text1"/>
          <w:sz w:val="24"/>
          <w:szCs w:val="24"/>
        </w:rPr>
        <w:t xml:space="preserve">. Phospho-Rb was related to palbociclib activity, and changes in Rb phosphorylation might be an indicator for CDK4/6 inhibitors. In the MONALEESA-1 trial, patients randomly received either letrozole alone (A) or in combination with ribociclib at different dosages (B: 400 mg/d, C: 600 mg/d). The mean decreases in the Ki67-positive cell fraction from baseline were A, 69%; B, 96%; and C, 92%; this finding indicated the possible antiproliferative effect of combined letrozole and </w:t>
      </w:r>
      <w:proofErr w:type="gramStart"/>
      <w:r w:rsidRPr="00246B02">
        <w:rPr>
          <w:rFonts w:ascii="Book Antiqua" w:hAnsi="Book Antiqua" w:cs="Times New Roman"/>
          <w:color w:val="000000" w:themeColor="text1"/>
          <w:sz w:val="24"/>
          <w:szCs w:val="24"/>
        </w:rPr>
        <w:t>ribociclib</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42]</w:t>
      </w:r>
      <w:r w:rsidRPr="00246B02">
        <w:rPr>
          <w:rFonts w:ascii="Book Antiqua" w:hAnsi="Book Antiqua" w:cs="Times New Roman"/>
          <w:color w:val="000000" w:themeColor="text1"/>
          <w:sz w:val="24"/>
          <w:szCs w:val="24"/>
        </w:rPr>
        <w:t xml:space="preserve">. Regarding abemaciclib, 224 postmenopausal patients were randomly assigned to </w:t>
      </w:r>
      <w:r w:rsidR="007B1E5A">
        <w:rPr>
          <w:rFonts w:ascii="Book Antiqua" w:hAnsi="Book Antiqua" w:cs="Times New Roman"/>
          <w:color w:val="000000" w:themeColor="text1"/>
          <w:sz w:val="24"/>
          <w:szCs w:val="24"/>
        </w:rPr>
        <w:t xml:space="preserve">undergo </w:t>
      </w:r>
      <w:r w:rsidRPr="00246B02">
        <w:rPr>
          <w:rFonts w:ascii="Book Antiqua" w:hAnsi="Book Antiqua" w:cs="Times New Roman"/>
          <w:color w:val="000000" w:themeColor="text1"/>
          <w:sz w:val="24"/>
          <w:szCs w:val="24"/>
        </w:rPr>
        <w:t>neoadjuvant abemaciclib monotherapy, anastrozole monotherapy</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or combination therapy for </w:t>
      </w:r>
      <w:r w:rsidR="007B1E5A">
        <w:rPr>
          <w:rFonts w:ascii="Book Antiqua" w:hAnsi="Book Antiqua" w:cs="Times New Roman"/>
          <w:color w:val="000000" w:themeColor="text1"/>
          <w:sz w:val="24"/>
          <w:szCs w:val="24"/>
        </w:rPr>
        <w:t>2</w:t>
      </w:r>
      <w:r w:rsidR="007B1E5A"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weeks in the neoMONARCH trial. Abemaciclib, alone or in combination with anastrozole, reduced Ki67 in more patients than anastrozole alone (59%, 66%</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15%, </w:t>
      </w:r>
      <w:r w:rsidRPr="00246B02">
        <w:rPr>
          <w:rFonts w:ascii="Book Antiqua" w:hAnsi="Book Antiqua" w:cs="Times New Roman"/>
          <w:color w:val="000000" w:themeColor="text1"/>
          <w:sz w:val="24"/>
          <w:szCs w:val="24"/>
        </w:rPr>
        <w:lastRenderedPageBreak/>
        <w:t>respectively</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43]</w:t>
      </w:r>
      <w:r w:rsidRPr="00246B02">
        <w:rPr>
          <w:rFonts w:ascii="Book Antiqua" w:hAnsi="Book Antiqua" w:cs="Times New Roman"/>
          <w:color w:val="000000" w:themeColor="text1"/>
          <w:sz w:val="24"/>
          <w:szCs w:val="24"/>
        </w:rPr>
        <w:t xml:space="preserve">. Investigators concluded that CDK 4/6 inhibitors might serve as antiproliferative agents with manageable toxicities and may be predictive of improved </w:t>
      </w:r>
      <w:r w:rsidR="007B1E5A">
        <w:rPr>
          <w:rFonts w:ascii="Book Antiqua" w:hAnsi="Book Antiqua" w:cs="Times New Roman"/>
          <w:color w:val="000000" w:themeColor="text1"/>
          <w:sz w:val="24"/>
          <w:szCs w:val="24"/>
        </w:rPr>
        <w:t>disease-free survival</w:t>
      </w:r>
      <w:r w:rsidRPr="00246B02">
        <w:rPr>
          <w:rFonts w:ascii="Book Antiqua" w:hAnsi="Book Antiqua" w:cs="Times New Roman"/>
          <w:color w:val="000000" w:themeColor="text1"/>
          <w:sz w:val="24"/>
          <w:szCs w:val="24"/>
        </w:rPr>
        <w:t xml:space="preserve">. However, this conclusion is still uncertain due to small sample sizes and limited data, and continuous application should be guaranteed to maintain this effect. </w:t>
      </w:r>
    </w:p>
    <w:p w14:paraId="0ADCF977"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10AAD7B5" w14:textId="42486D22"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P</w:t>
      </w:r>
      <w:r w:rsidR="0039248A" w:rsidRPr="00246B02">
        <w:rPr>
          <w:rFonts w:ascii="Book Antiqua" w:hAnsi="Book Antiqua" w:cs="Times New Roman"/>
          <w:b/>
          <w:color w:val="000000" w:themeColor="text1"/>
          <w:sz w:val="24"/>
          <w:szCs w:val="24"/>
        </w:rPr>
        <w:t xml:space="preserve">I3K/AKT/mTOR pathway inhibitors: </w:t>
      </w:r>
      <w:r w:rsidRPr="00246B02">
        <w:rPr>
          <w:rFonts w:ascii="Book Antiqua" w:hAnsi="Book Antiqua" w:cs="Times New Roman"/>
          <w:color w:val="000000" w:themeColor="text1"/>
          <w:sz w:val="24"/>
          <w:szCs w:val="24"/>
        </w:rPr>
        <w:t>The PI3K/AKT/mTOR pathway was found to be a key survival mechanism responsible for endocrine resistance (</w:t>
      </w:r>
      <w:r w:rsidR="000C519E" w:rsidRPr="00246B02">
        <w:rPr>
          <w:rFonts w:ascii="Book Antiqua" w:hAnsi="Book Antiqua" w:cs="Times New Roman"/>
          <w:color w:val="000000" w:themeColor="text1"/>
          <w:sz w:val="24"/>
          <w:szCs w:val="24"/>
        </w:rPr>
        <w:t xml:space="preserve">Figure </w:t>
      </w:r>
      <w:r w:rsidRPr="00246B02">
        <w:rPr>
          <w:rFonts w:ascii="Book Antiqua" w:hAnsi="Book Antiqua" w:cs="Times New Roman"/>
          <w:color w:val="000000" w:themeColor="text1"/>
          <w:sz w:val="24"/>
          <w:szCs w:val="24"/>
        </w:rPr>
        <w:t xml:space="preserve">1). Regarding PIK3CA inhibitors, the LORELEI trial randomized postmenopausal patients with ER+ HER2- operable breast cancer into two arms to investigate the effect of letrozole plus taselisib </w:t>
      </w:r>
      <w:r w:rsidRPr="00C9453D">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letrozole plus placebo for 16 </w:t>
      </w:r>
      <w:proofErr w:type="gramStart"/>
      <w:r w:rsidR="000C519E" w:rsidRPr="00246B02">
        <w:rPr>
          <w:rFonts w:ascii="Book Antiqua" w:hAnsi="Book Antiqua" w:cs="Times New Roman"/>
          <w:color w:val="000000" w:themeColor="text1"/>
          <w:sz w:val="24"/>
          <w:szCs w:val="24"/>
        </w:rPr>
        <w:t>wk</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44]</w:t>
      </w:r>
      <w:r w:rsidRPr="00246B02">
        <w:rPr>
          <w:rFonts w:ascii="Book Antiqua" w:hAnsi="Book Antiqua" w:cs="Times New Roman"/>
          <w:color w:val="000000" w:themeColor="text1"/>
          <w:sz w:val="24"/>
          <w:szCs w:val="24"/>
        </w:rPr>
        <w:t xml:space="preserve">. The primary results showed that the improvement of ORR was significantly related to the addition of taselisib in the general patient population as well as PIK3CA mutant participants compared with letrozole monotherapy. The results encouraged the antitumor value of taselisib to </w:t>
      </w:r>
      <w:r w:rsidR="00727109">
        <w:rPr>
          <w:rFonts w:ascii="Book Antiqua" w:hAnsi="Book Antiqua" w:cs="Times New Roman"/>
          <w:color w:val="000000" w:themeColor="text1"/>
          <w:sz w:val="24"/>
          <w:szCs w:val="24"/>
        </w:rPr>
        <w:t xml:space="preserve">be </w:t>
      </w:r>
      <w:r w:rsidRPr="00246B02">
        <w:rPr>
          <w:rFonts w:ascii="Book Antiqua" w:hAnsi="Book Antiqua" w:cs="Times New Roman"/>
          <w:color w:val="000000" w:themeColor="text1"/>
          <w:sz w:val="24"/>
          <w:szCs w:val="24"/>
        </w:rPr>
        <w:t>i</w:t>
      </w:r>
      <w:r w:rsidR="00D309FB" w:rsidRPr="00246B02">
        <w:rPr>
          <w:rFonts w:ascii="Book Antiqua" w:hAnsi="Book Antiqua" w:cs="Times New Roman"/>
          <w:color w:val="000000" w:themeColor="text1"/>
          <w:sz w:val="24"/>
          <w:szCs w:val="24"/>
        </w:rPr>
        <w:t>nvestigate</w:t>
      </w:r>
      <w:r w:rsidR="00727109">
        <w:rPr>
          <w:rFonts w:ascii="Book Antiqua" w:hAnsi="Book Antiqua" w:cs="Times New Roman"/>
          <w:color w:val="000000" w:themeColor="text1"/>
          <w:sz w:val="24"/>
          <w:szCs w:val="24"/>
        </w:rPr>
        <w:t>d</w:t>
      </w:r>
      <w:r w:rsidR="00D309FB" w:rsidRPr="00246B02">
        <w:rPr>
          <w:rFonts w:ascii="Book Antiqua" w:hAnsi="Book Antiqua" w:cs="Times New Roman"/>
          <w:color w:val="000000" w:themeColor="text1"/>
          <w:sz w:val="24"/>
          <w:szCs w:val="24"/>
        </w:rPr>
        <w:t xml:space="preserve"> in further research.</w:t>
      </w:r>
    </w:p>
    <w:p w14:paraId="0041B02E" w14:textId="5BB1880E"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In preclinical studies, MK-2206 has been proved to be an allosteric pan-AKT </w:t>
      </w:r>
      <w:proofErr w:type="gramStart"/>
      <w:r w:rsidRPr="00246B02">
        <w:rPr>
          <w:rFonts w:ascii="Book Antiqua" w:hAnsi="Book Antiqua" w:cs="Times New Roman"/>
          <w:color w:val="000000" w:themeColor="text1"/>
          <w:sz w:val="24"/>
          <w:szCs w:val="24"/>
        </w:rPr>
        <w:t>inhibitor</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45]</w:t>
      </w:r>
      <w:r w:rsidRPr="00246B02">
        <w:rPr>
          <w:rFonts w:ascii="Book Antiqua" w:hAnsi="Book Antiqua" w:cs="Times New Roman"/>
          <w:color w:val="000000" w:themeColor="text1"/>
          <w:sz w:val="24"/>
          <w:szCs w:val="24"/>
        </w:rPr>
        <w:t xml:space="preserve">. A clinical trial explored whether the addition of MK-2206 to anastrozole can lead to the pCR improvement of PIK3CA mutant ER+ breast cancer. This trial selected </w:t>
      </w:r>
      <w:r w:rsidR="00727109">
        <w:rPr>
          <w:rFonts w:ascii="Book Antiqua" w:hAnsi="Book Antiqua" w:cs="Times New Roman"/>
          <w:color w:val="000000" w:themeColor="text1"/>
          <w:sz w:val="24"/>
          <w:szCs w:val="24"/>
        </w:rPr>
        <w:t>22</w:t>
      </w:r>
      <w:r w:rsidRPr="00246B02">
        <w:rPr>
          <w:rFonts w:ascii="Book Antiqua" w:hAnsi="Book Antiqua" w:cs="Times New Roman"/>
          <w:color w:val="000000" w:themeColor="text1"/>
          <w:sz w:val="24"/>
          <w:szCs w:val="24"/>
        </w:rPr>
        <w:t xml:space="preserve"> PIK3CA mutant patients, of whom </w:t>
      </w:r>
      <w:r w:rsidR="00727109">
        <w:rPr>
          <w:rFonts w:ascii="Book Antiqua" w:hAnsi="Book Antiqua" w:cs="Times New Roman"/>
          <w:color w:val="000000" w:themeColor="text1"/>
          <w:sz w:val="24"/>
          <w:szCs w:val="24"/>
        </w:rPr>
        <w:t>16</w:t>
      </w:r>
      <w:r w:rsidRPr="00246B02">
        <w:rPr>
          <w:rFonts w:ascii="Book Antiqua" w:hAnsi="Book Antiqua" w:cs="Times New Roman"/>
          <w:color w:val="000000" w:themeColor="text1"/>
          <w:sz w:val="24"/>
          <w:szCs w:val="24"/>
        </w:rPr>
        <w:t xml:space="preserve"> received the experimental drug. The combination of anastrozole and MK-2206 had no further inhibitory effect on cell proliferation and did not promote apoptosis on C1D17 compared to anastrozole </w:t>
      </w:r>
      <w:proofErr w:type="gramStart"/>
      <w:r w:rsidRPr="00246B02">
        <w:rPr>
          <w:rFonts w:ascii="Book Antiqua" w:hAnsi="Book Antiqua" w:cs="Times New Roman"/>
          <w:color w:val="000000" w:themeColor="text1"/>
          <w:sz w:val="24"/>
          <w:szCs w:val="24"/>
        </w:rPr>
        <w:t>monotherapy</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46]</w:t>
      </w:r>
      <w:r w:rsidRPr="00246B02">
        <w:rPr>
          <w:rFonts w:ascii="Book Antiqua" w:hAnsi="Book Antiqua" w:cs="Times New Roman"/>
          <w:color w:val="000000" w:themeColor="text1"/>
          <w:sz w:val="24"/>
          <w:szCs w:val="24"/>
        </w:rPr>
        <w:t xml:space="preserve">. The possibility of improving the efficacy of anastrozole by adding MK-2206 is low, and we disagree with the necessity to continue studying MK-2206 in the target population. </w:t>
      </w:r>
    </w:p>
    <w:p w14:paraId="73108EA1" w14:textId="695F1D53"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Everolimus, an analog of rapamycin, might competitively bind to the target protein of rapamycin and block downstream signal </w:t>
      </w:r>
      <w:r w:rsidR="00727109">
        <w:rPr>
          <w:rFonts w:ascii="Book Antiqua" w:hAnsi="Book Antiqua" w:cs="Times New Roman"/>
          <w:color w:val="000000" w:themeColor="text1"/>
          <w:sz w:val="24"/>
          <w:szCs w:val="24"/>
        </w:rPr>
        <w:t>trans</w:t>
      </w:r>
      <w:r w:rsidR="00727109" w:rsidRPr="00246B02">
        <w:rPr>
          <w:rFonts w:ascii="Book Antiqua" w:hAnsi="Book Antiqua" w:cs="Times New Roman"/>
          <w:color w:val="000000" w:themeColor="text1"/>
          <w:sz w:val="24"/>
          <w:szCs w:val="24"/>
        </w:rPr>
        <w:t xml:space="preserve">duction </w:t>
      </w:r>
      <w:r w:rsidRPr="00246B02">
        <w:rPr>
          <w:rFonts w:ascii="Book Antiqua" w:hAnsi="Book Antiqua" w:cs="Times New Roman"/>
          <w:color w:val="000000" w:themeColor="text1"/>
          <w:sz w:val="24"/>
          <w:szCs w:val="24"/>
        </w:rPr>
        <w:t xml:space="preserve">to suppress tumor cell </w:t>
      </w:r>
      <w:proofErr w:type="gramStart"/>
      <w:r w:rsidRPr="00246B02">
        <w:rPr>
          <w:rFonts w:ascii="Book Antiqua" w:hAnsi="Book Antiqua" w:cs="Times New Roman"/>
          <w:color w:val="000000" w:themeColor="text1"/>
          <w:sz w:val="24"/>
          <w:szCs w:val="24"/>
        </w:rPr>
        <w:t>proliferation</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47]</w:t>
      </w:r>
      <w:r w:rsidRPr="00246B02">
        <w:rPr>
          <w:rFonts w:ascii="Book Antiqua" w:hAnsi="Book Antiqua" w:cs="Times New Roman"/>
          <w:color w:val="000000" w:themeColor="text1"/>
          <w:sz w:val="24"/>
          <w:szCs w:val="24"/>
        </w:rPr>
        <w:t xml:space="preserve">. Everolimus utility in NAE was first discussed in a 2009 phase II randomized study carried out by Baselga </w:t>
      </w:r>
      <w:r w:rsidR="00A00700" w:rsidRPr="00246B02">
        <w:rPr>
          <w:rFonts w:ascii="Book Antiqua" w:hAnsi="Book Antiqua" w:cs="Times New Roman"/>
          <w:i/>
          <w:color w:val="000000" w:themeColor="text1"/>
          <w:sz w:val="24"/>
          <w:szCs w:val="24"/>
        </w:rPr>
        <w:t xml:space="preserve">et </w:t>
      </w:r>
      <w:proofErr w:type="gramStart"/>
      <w:r w:rsidR="00A00700" w:rsidRPr="00246B02">
        <w:rPr>
          <w:rFonts w:ascii="Book Antiqua" w:hAnsi="Book Antiqua" w:cs="Times New Roman"/>
          <w:i/>
          <w:color w:val="000000" w:themeColor="text1"/>
          <w:sz w:val="24"/>
          <w:szCs w:val="24"/>
        </w:rPr>
        <w:t>al</w:t>
      </w:r>
      <w:r w:rsidR="00D309FB" w:rsidRPr="00246B02">
        <w:rPr>
          <w:rFonts w:ascii="Book Antiqua" w:eastAsia="System" w:hAnsi="Book Antiqua" w:cs="Times New Roman"/>
          <w:noProof/>
          <w:color w:val="000000" w:themeColor="text1"/>
          <w:sz w:val="24"/>
          <w:szCs w:val="24"/>
          <w:vertAlign w:val="superscript"/>
        </w:rPr>
        <w:t>[</w:t>
      </w:r>
      <w:proofErr w:type="gramEnd"/>
      <w:r w:rsidR="00D309FB" w:rsidRPr="00246B02">
        <w:rPr>
          <w:rFonts w:ascii="Book Antiqua" w:eastAsiaTheme="minorHAnsi" w:hAnsi="Book Antiqua" w:cs="Times New Roman"/>
          <w:noProof/>
          <w:color w:val="000000" w:themeColor="text1"/>
          <w:sz w:val="24"/>
          <w:szCs w:val="24"/>
          <w:vertAlign w:val="superscript"/>
        </w:rPr>
        <w:t>48</w:t>
      </w:r>
      <w:r w:rsidR="00727109" w:rsidRPr="00246B02">
        <w:rPr>
          <w:rFonts w:ascii="Book Antiqua" w:eastAsiaTheme="minorHAnsi" w:hAnsi="Book Antiqua" w:cs="Times New Roman"/>
          <w:noProof/>
          <w:color w:val="000000" w:themeColor="text1"/>
          <w:sz w:val="24"/>
          <w:szCs w:val="24"/>
          <w:vertAlign w:val="superscript"/>
        </w:rPr>
        <w:t>]</w:t>
      </w:r>
      <w:r w:rsidR="00727109">
        <w:rPr>
          <w:rFonts w:ascii="Book Antiqua" w:hAnsi="Book Antiqua" w:cs="Times New Roman"/>
          <w:i/>
          <w:color w:val="000000" w:themeColor="text1"/>
          <w:sz w:val="24"/>
          <w:szCs w:val="24"/>
        </w:rPr>
        <w:t xml:space="preserve">. </w:t>
      </w:r>
      <w:r w:rsidRPr="00246B02">
        <w:rPr>
          <w:rFonts w:ascii="Book Antiqua" w:hAnsi="Book Antiqua" w:cs="Times New Roman"/>
          <w:color w:val="000000" w:themeColor="text1"/>
          <w:sz w:val="24"/>
          <w:szCs w:val="24"/>
        </w:rPr>
        <w:lastRenderedPageBreak/>
        <w:t xml:space="preserve">Postmenopausal patients with ER+ breast cancer </w:t>
      </w:r>
      <w:r w:rsidR="00727109">
        <w:rPr>
          <w:rFonts w:ascii="Book Antiqua" w:hAnsi="Book Antiqua" w:cs="Times New Roman"/>
          <w:color w:val="000000" w:themeColor="text1"/>
          <w:sz w:val="24"/>
          <w:szCs w:val="24"/>
        </w:rPr>
        <w:t xml:space="preserve">were </w:t>
      </w:r>
      <w:r w:rsidRPr="00246B02">
        <w:rPr>
          <w:rFonts w:ascii="Book Antiqua" w:hAnsi="Book Antiqua" w:cs="Times New Roman"/>
          <w:color w:val="000000" w:themeColor="text1"/>
          <w:sz w:val="24"/>
          <w:szCs w:val="24"/>
        </w:rPr>
        <w:t xml:space="preserve">treated with neoadjuvant letrozole plus everolimus or letrozole monotherapy. Investigators assessed CRR (68.1%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59.1%) and calculated the percentage of patients with Ki67 &lt; 1% (57%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30%</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48]</w:t>
      </w:r>
      <w:r w:rsidRPr="00246B02">
        <w:rPr>
          <w:rFonts w:ascii="Book Antiqua" w:hAnsi="Book Antiqua" w:cs="Times New Roman"/>
          <w:color w:val="000000" w:themeColor="text1"/>
          <w:sz w:val="24"/>
          <w:szCs w:val="24"/>
        </w:rPr>
        <w:t xml:space="preserve">. The everolimus group was superior to the placebo group in both endpoints, indicating the better efficacy of everolimus in NAE. Clinical trials in this area were not adequate until Wu </w:t>
      </w:r>
      <w:r w:rsidRPr="00246B02">
        <w:rPr>
          <w:rFonts w:ascii="Book Antiqua" w:hAnsi="Book Antiqua" w:cs="Times New Roman"/>
          <w:i/>
          <w:color w:val="000000" w:themeColor="text1"/>
          <w:sz w:val="24"/>
          <w:szCs w:val="24"/>
        </w:rPr>
        <w:t>et al</w:t>
      </w:r>
      <w:r w:rsidR="00814908" w:rsidRPr="00246B02">
        <w:rPr>
          <w:rFonts w:ascii="Book Antiqua" w:eastAsia="System" w:hAnsi="Book Antiqua" w:cs="Times New Roman"/>
          <w:noProof/>
          <w:color w:val="000000" w:themeColor="text1"/>
          <w:sz w:val="24"/>
          <w:szCs w:val="24"/>
          <w:vertAlign w:val="superscript"/>
        </w:rPr>
        <w:t>[</w:t>
      </w:r>
      <w:r w:rsidR="00814908" w:rsidRPr="00246B02">
        <w:rPr>
          <w:rFonts w:ascii="Book Antiqua" w:eastAsiaTheme="minorHAnsi" w:hAnsi="Book Antiqua" w:cs="Times New Roman"/>
          <w:noProof/>
          <w:color w:val="000000" w:themeColor="text1"/>
          <w:sz w:val="24"/>
          <w:szCs w:val="24"/>
          <w:vertAlign w:val="superscript"/>
        </w:rPr>
        <w:t>49]</w:t>
      </w:r>
      <w:r w:rsidRPr="00246B02">
        <w:rPr>
          <w:rFonts w:ascii="Book Antiqua" w:hAnsi="Book Antiqua" w:cs="Times New Roman"/>
          <w:color w:val="000000" w:themeColor="text1"/>
          <w:sz w:val="24"/>
          <w:szCs w:val="24"/>
        </w:rPr>
        <w:t xml:space="preserve"> compared neoadjuvant letrozole plus everolimus with neoadjuvant chemotherapy in ER</w:t>
      </w:r>
      <w:r w:rsidR="00727109" w:rsidRPr="00246B02">
        <w:rPr>
          <w:rFonts w:ascii="Book Antiqua" w:hAnsi="Book Antiqua" w:cs="Times New Roman"/>
          <w:color w:val="000000" w:themeColor="text1"/>
          <w:sz w:val="24"/>
          <w:szCs w:val="24"/>
        </w:rPr>
        <w:t>+</w:t>
      </w:r>
      <w:r w:rsidR="00727109">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HER2- nonmetastatic breast cancer, and a network meta-analysis by Wang </w:t>
      </w:r>
      <w:r w:rsidRPr="00246B02">
        <w:rPr>
          <w:rFonts w:ascii="Book Antiqua" w:hAnsi="Book Antiqua" w:cs="Times New Roman"/>
          <w:i/>
          <w:color w:val="000000" w:themeColor="text1"/>
          <w:sz w:val="24"/>
          <w:szCs w:val="24"/>
        </w:rPr>
        <w:t>et al</w:t>
      </w:r>
      <w:r w:rsidR="00814908" w:rsidRPr="00246B02">
        <w:rPr>
          <w:rFonts w:ascii="Book Antiqua" w:eastAsia="System" w:hAnsi="Book Antiqua" w:cs="Times New Roman"/>
          <w:noProof/>
          <w:color w:val="000000" w:themeColor="text1"/>
          <w:sz w:val="24"/>
          <w:szCs w:val="24"/>
          <w:vertAlign w:val="superscript"/>
        </w:rPr>
        <w:t>[</w:t>
      </w:r>
      <w:r w:rsidR="00814908" w:rsidRPr="00246B02">
        <w:rPr>
          <w:rFonts w:ascii="Book Antiqua" w:eastAsiaTheme="minorHAnsi" w:hAnsi="Book Antiqua" w:cs="Times New Roman"/>
          <w:noProof/>
          <w:color w:val="000000" w:themeColor="text1"/>
          <w:sz w:val="24"/>
          <w:szCs w:val="24"/>
          <w:vertAlign w:val="superscript"/>
        </w:rPr>
        <w:t>50]</w:t>
      </w:r>
      <w:r w:rsidRPr="00246B02">
        <w:rPr>
          <w:rFonts w:ascii="Book Antiqua" w:hAnsi="Book Antiqua" w:cs="Times New Roman"/>
          <w:color w:val="000000" w:themeColor="text1"/>
          <w:sz w:val="24"/>
          <w:szCs w:val="24"/>
        </w:rPr>
        <w:t xml:space="preserve"> in 2016 concluded that letrozole in combination with everolimus was the most effective treatment in the neoadjuvant setting. Furthermore, we can expect outcomes in several ongoing neoadjuvant studies combining AI with everolimus, in an attempt to enhance the clinical response of NAE.</w:t>
      </w:r>
    </w:p>
    <w:p w14:paraId="5D3C9FFD"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79D28B8B" w14:textId="037EECFD" w:rsidR="00837F36" w:rsidRPr="00246B02" w:rsidRDefault="00390527"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BIOMARKERS AND GENOMIC ASSAYS FOR PREDICTION OF NAE BENEFIT</w:t>
      </w:r>
    </w:p>
    <w:p w14:paraId="1D403D26" w14:textId="00F4E62D"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The molecular and genetic expression </w:t>
      </w:r>
      <w:r w:rsidR="00727109" w:rsidRPr="00246B02">
        <w:rPr>
          <w:rFonts w:ascii="Book Antiqua" w:hAnsi="Book Antiqua" w:cs="Times New Roman"/>
          <w:color w:val="000000" w:themeColor="text1"/>
          <w:sz w:val="24"/>
          <w:szCs w:val="24"/>
        </w:rPr>
        <w:t>profil</w:t>
      </w:r>
      <w:r w:rsidR="00727109">
        <w:rPr>
          <w:rFonts w:ascii="Book Antiqua" w:hAnsi="Book Antiqua" w:cs="Times New Roman"/>
          <w:color w:val="000000" w:themeColor="text1"/>
          <w:sz w:val="24"/>
          <w:szCs w:val="24"/>
        </w:rPr>
        <w:t>es</w:t>
      </w:r>
      <w:r w:rsidR="00727109"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measured in tumor specimens upon neoadjuvant treatment can provide a remarkable opportunity to explore predictive tools. In the following paragraph, we will discuss the relevant research that elaborates the value of biomarkers and genomic assays and establish a potential biomarker-based strategy in neoadjuvant settings.</w:t>
      </w:r>
    </w:p>
    <w:p w14:paraId="447692C7"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13E9AA12" w14:textId="4E2F0AD6" w:rsidR="00837F36" w:rsidRPr="00246B02" w:rsidRDefault="00837F36" w:rsidP="00246B02">
      <w:pPr>
        <w:spacing w:line="360" w:lineRule="auto"/>
        <w:jc w:val="both"/>
        <w:rPr>
          <w:rFonts w:ascii="Book Antiqua" w:hAnsi="Book Antiqua" w:cs="Times New Roman"/>
          <w:b/>
          <w:i/>
          <w:color w:val="000000" w:themeColor="text1"/>
          <w:sz w:val="24"/>
          <w:szCs w:val="24"/>
        </w:rPr>
      </w:pPr>
      <w:r w:rsidRPr="00246B02">
        <w:rPr>
          <w:rFonts w:ascii="Book Antiqua" w:hAnsi="Book Antiqua" w:cs="Times New Roman"/>
          <w:b/>
          <w:i/>
          <w:color w:val="000000" w:themeColor="text1"/>
          <w:sz w:val="24"/>
          <w:szCs w:val="24"/>
        </w:rPr>
        <w:t xml:space="preserve">Ki67 and PEPI </w:t>
      </w:r>
      <w:r w:rsidR="00727109">
        <w:rPr>
          <w:rFonts w:ascii="Book Antiqua" w:hAnsi="Book Antiqua" w:cs="Times New Roman"/>
          <w:b/>
          <w:i/>
          <w:color w:val="000000" w:themeColor="text1"/>
          <w:sz w:val="24"/>
          <w:szCs w:val="24"/>
        </w:rPr>
        <w:t>b</w:t>
      </w:r>
      <w:r w:rsidR="00727109" w:rsidRPr="00246B02">
        <w:rPr>
          <w:rFonts w:ascii="Book Antiqua" w:hAnsi="Book Antiqua" w:cs="Times New Roman"/>
          <w:b/>
          <w:i/>
          <w:color w:val="000000" w:themeColor="text1"/>
          <w:sz w:val="24"/>
          <w:szCs w:val="24"/>
        </w:rPr>
        <w:t>iomarkers</w:t>
      </w:r>
    </w:p>
    <w:p w14:paraId="062E3CD9" w14:textId="7DBFA050" w:rsidR="00837F36" w:rsidRPr="00246B02" w:rsidRDefault="00734F4C" w:rsidP="00246B02">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K</w:t>
      </w:r>
      <w:r w:rsidRPr="00246B02">
        <w:rPr>
          <w:rFonts w:ascii="Book Antiqua" w:hAnsi="Book Antiqua" w:cs="Times New Roman"/>
          <w:color w:val="000000" w:themeColor="text1"/>
          <w:sz w:val="24"/>
          <w:szCs w:val="24"/>
        </w:rPr>
        <w:t>i67</w:t>
      </w:r>
      <w:r w:rsidR="00837F36" w:rsidRPr="00246B02">
        <w:rPr>
          <w:rFonts w:ascii="Book Antiqua" w:hAnsi="Book Antiqua" w:cs="Times New Roman"/>
          <w:color w:val="000000" w:themeColor="text1"/>
          <w:sz w:val="24"/>
          <w:szCs w:val="24"/>
        </w:rPr>
        <w:t>, as a biomarker, can be commonly expressed in all stages of the cell cycle, except for G0,</w:t>
      </w:r>
      <w:r w:rsidR="00837F36" w:rsidRPr="00246B02" w:rsidDel="00BC3642">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 xml:space="preserve">and it is of great significance in measuring tumor proliferation in breast </w:t>
      </w:r>
      <w:proofErr w:type="gramStart"/>
      <w:r w:rsidR="00837F36" w:rsidRPr="00246B02">
        <w:rPr>
          <w:rFonts w:ascii="Book Antiqua" w:hAnsi="Book Antiqua" w:cs="Times New Roman"/>
          <w:color w:val="000000" w:themeColor="text1"/>
          <w:sz w:val="24"/>
          <w:szCs w:val="24"/>
        </w:rPr>
        <w:t>specimens</w:t>
      </w:r>
      <w:r w:rsidR="00837F36" w:rsidRPr="00246B02">
        <w:rPr>
          <w:rFonts w:ascii="Book Antiqua" w:eastAsia="System" w:hAnsi="Book Antiqua" w:cs="Times New Roman"/>
          <w:noProof/>
          <w:color w:val="000000" w:themeColor="text1"/>
          <w:sz w:val="24"/>
          <w:szCs w:val="24"/>
          <w:vertAlign w:val="superscript"/>
        </w:rPr>
        <w:t>[</w:t>
      </w:r>
      <w:proofErr w:type="gramEnd"/>
      <w:r w:rsidR="00837F36" w:rsidRPr="00246B02">
        <w:rPr>
          <w:rFonts w:ascii="Book Antiqua" w:eastAsiaTheme="minorHAnsi" w:hAnsi="Book Antiqua" w:cs="Times New Roman"/>
          <w:noProof/>
          <w:color w:val="000000" w:themeColor="text1"/>
          <w:sz w:val="24"/>
          <w:szCs w:val="24"/>
          <w:vertAlign w:val="superscript"/>
        </w:rPr>
        <w:t>51]</w:t>
      </w:r>
      <w:r w:rsidR="00837F36" w:rsidRPr="00246B02">
        <w:rPr>
          <w:rFonts w:ascii="Book Antiqua" w:hAnsi="Book Antiqua" w:cs="Times New Roman"/>
          <w:color w:val="000000" w:themeColor="text1"/>
          <w:sz w:val="24"/>
          <w:szCs w:val="24"/>
        </w:rPr>
        <w:t xml:space="preserve">. Current evidence showed that the decrease of Ki67 during NAE with endocrine or targeted agents can reveal anti-proliferation effects, and Ki67 level was inversely correlated with </w:t>
      </w:r>
      <w:proofErr w:type="gramStart"/>
      <w:r w:rsidR="00837F36" w:rsidRPr="00246B02">
        <w:rPr>
          <w:rFonts w:ascii="Book Antiqua" w:hAnsi="Book Antiqua" w:cs="Times New Roman"/>
          <w:color w:val="000000" w:themeColor="text1"/>
          <w:sz w:val="24"/>
          <w:szCs w:val="24"/>
        </w:rPr>
        <w:t>prognosis</w:t>
      </w:r>
      <w:r w:rsidR="00837F36" w:rsidRPr="00246B02">
        <w:rPr>
          <w:rFonts w:ascii="Book Antiqua" w:eastAsia="System" w:hAnsi="Book Antiqua" w:cs="Times New Roman"/>
          <w:noProof/>
          <w:color w:val="000000" w:themeColor="text1"/>
          <w:sz w:val="24"/>
          <w:szCs w:val="24"/>
          <w:vertAlign w:val="superscript"/>
        </w:rPr>
        <w:t>[</w:t>
      </w:r>
      <w:proofErr w:type="gramEnd"/>
      <w:r w:rsidR="00FC203F" w:rsidRPr="00246B02">
        <w:rPr>
          <w:rFonts w:ascii="Book Antiqua" w:eastAsiaTheme="minorHAnsi" w:hAnsi="Book Antiqua" w:cs="Times New Roman"/>
          <w:noProof/>
          <w:color w:val="000000" w:themeColor="text1"/>
          <w:sz w:val="24"/>
          <w:szCs w:val="24"/>
          <w:vertAlign w:val="superscript"/>
        </w:rPr>
        <w:t>52,</w:t>
      </w:r>
      <w:r w:rsidR="00837F36" w:rsidRPr="00246B02">
        <w:rPr>
          <w:rFonts w:ascii="Book Antiqua" w:eastAsiaTheme="minorHAnsi" w:hAnsi="Book Antiqua" w:cs="Times New Roman"/>
          <w:noProof/>
          <w:color w:val="000000" w:themeColor="text1"/>
          <w:sz w:val="24"/>
          <w:szCs w:val="24"/>
          <w:vertAlign w:val="superscript"/>
        </w:rPr>
        <w:t>53]</w:t>
      </w:r>
      <w:r w:rsidR="00837F36" w:rsidRPr="00246B02">
        <w:rPr>
          <w:rFonts w:ascii="Book Antiqua" w:hAnsi="Book Antiqua" w:cs="Times New Roman"/>
          <w:color w:val="000000" w:themeColor="text1"/>
          <w:sz w:val="24"/>
          <w:szCs w:val="24"/>
        </w:rPr>
        <w:t xml:space="preserve">. We encourage a broad development prospect for biomarker-based estimates of prognosis in the neoadjuvant therapy field. </w:t>
      </w:r>
    </w:p>
    <w:p w14:paraId="44823C0C" w14:textId="3FF4E358"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lastRenderedPageBreak/>
        <w:t xml:space="preserve">Several clinical trials discussed the relationship between prognosis and Ki67 expression at baseline or after short-term treatment. DeCensi </w:t>
      </w:r>
      <w:r w:rsidRPr="00246B02">
        <w:rPr>
          <w:rFonts w:ascii="Book Antiqua" w:hAnsi="Book Antiqua" w:cs="Times New Roman"/>
          <w:i/>
          <w:color w:val="000000" w:themeColor="text1"/>
          <w:sz w:val="24"/>
          <w:szCs w:val="24"/>
        </w:rPr>
        <w:t>et al</w:t>
      </w:r>
      <w:r w:rsidR="00FC203F" w:rsidRPr="00246B02">
        <w:rPr>
          <w:rFonts w:ascii="Book Antiqua" w:eastAsia="System" w:hAnsi="Book Antiqua" w:cs="Times New Roman"/>
          <w:noProof/>
          <w:color w:val="000000" w:themeColor="text1"/>
          <w:sz w:val="24"/>
          <w:szCs w:val="24"/>
          <w:vertAlign w:val="superscript"/>
        </w:rPr>
        <w:t>[</w:t>
      </w:r>
      <w:r w:rsidR="00FC203F" w:rsidRPr="00246B02">
        <w:rPr>
          <w:rFonts w:ascii="Book Antiqua" w:eastAsiaTheme="minorHAnsi" w:hAnsi="Book Antiqua" w:cs="Times New Roman"/>
          <w:noProof/>
          <w:color w:val="000000" w:themeColor="text1"/>
          <w:sz w:val="24"/>
          <w:szCs w:val="24"/>
          <w:vertAlign w:val="superscript"/>
        </w:rPr>
        <w:t>54]</w:t>
      </w:r>
      <w:r w:rsidRPr="00246B02">
        <w:rPr>
          <w:rFonts w:ascii="Book Antiqua" w:hAnsi="Book Antiqua" w:cs="Times New Roman"/>
          <w:color w:val="000000" w:themeColor="text1"/>
          <w:sz w:val="24"/>
          <w:szCs w:val="24"/>
        </w:rPr>
        <w:t xml:space="preserve"> assessed the levels of Ki67 at baseline and after 4 </w:t>
      </w:r>
      <w:r w:rsidR="00FC203F" w:rsidRPr="00246B02">
        <w:rPr>
          <w:rFonts w:ascii="Book Antiqua" w:hAnsi="Book Antiqua" w:cs="Times New Roman"/>
          <w:color w:val="000000" w:themeColor="text1"/>
          <w:sz w:val="24"/>
          <w:szCs w:val="24"/>
        </w:rPr>
        <w:t>wk</w:t>
      </w:r>
      <w:r w:rsidRPr="00246B02">
        <w:rPr>
          <w:rFonts w:ascii="Book Antiqua" w:hAnsi="Book Antiqua" w:cs="Times New Roman"/>
          <w:color w:val="000000" w:themeColor="text1"/>
          <w:sz w:val="24"/>
          <w:szCs w:val="24"/>
        </w:rPr>
        <w:t xml:space="preserve"> of presurgical tamoxifen treatment, and the multivariable hazard ratio for baseline and posttreatment Ki67 labeling index was 1.007 (95%CI</w:t>
      </w:r>
      <w:r w:rsidR="00734F4C">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0.975–1.041) </w:t>
      </w:r>
      <w:r w:rsidR="00FC203F"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1.034 (95%CI</w:t>
      </w:r>
      <w:r w:rsidR="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1.001–1.068)</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54]</w:t>
      </w:r>
      <w:r w:rsidRPr="00246B02">
        <w:rPr>
          <w:rFonts w:ascii="Book Antiqua" w:hAnsi="Book Antiqua" w:cs="Times New Roman"/>
          <w:color w:val="000000" w:themeColor="text1"/>
          <w:sz w:val="24"/>
          <w:szCs w:val="24"/>
        </w:rPr>
        <w:t>. A PerELISA study first indicated that patients with postmenopausal ER+ breast cancer who gained a reduction in Ki67 after 2-</w:t>
      </w:r>
      <w:r w:rsidR="00EE19C5" w:rsidRPr="00246B02">
        <w:rPr>
          <w:rFonts w:ascii="Book Antiqua" w:hAnsi="Book Antiqua" w:cs="Times New Roman"/>
          <w:color w:val="000000" w:themeColor="text1"/>
          <w:sz w:val="24"/>
          <w:szCs w:val="24"/>
        </w:rPr>
        <w:t>wk</w:t>
      </w:r>
      <w:r w:rsidRPr="00246B02">
        <w:rPr>
          <w:rFonts w:ascii="Book Antiqua" w:hAnsi="Book Antiqua" w:cs="Times New Roman"/>
          <w:color w:val="000000" w:themeColor="text1"/>
          <w:sz w:val="24"/>
          <w:szCs w:val="24"/>
        </w:rPr>
        <w:t xml:space="preserve"> neoadjuvant letrozole treatment achieved a meaningful pCR rate without </w:t>
      </w:r>
      <w:proofErr w:type="gramStart"/>
      <w:r w:rsidRPr="00246B02">
        <w:rPr>
          <w:rFonts w:ascii="Book Antiqua" w:hAnsi="Book Antiqua" w:cs="Times New Roman"/>
          <w:color w:val="000000" w:themeColor="text1"/>
          <w:sz w:val="24"/>
          <w:szCs w:val="24"/>
        </w:rPr>
        <w:t>chemotherapy</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55]</w:t>
      </w:r>
      <w:r w:rsidRPr="00246B02">
        <w:rPr>
          <w:rFonts w:ascii="Book Antiqua" w:hAnsi="Book Antiqua" w:cs="Times New Roman"/>
          <w:color w:val="000000" w:themeColor="text1"/>
          <w:sz w:val="24"/>
          <w:szCs w:val="24"/>
        </w:rPr>
        <w:t xml:space="preserve">. However, a recent study showed different results at baseline. The POETIC trial compared peri-surgical AI treatment (pre- and postsurgery) with no treatment in 4000 ER+ breast </w:t>
      </w:r>
      <w:proofErr w:type="gramStart"/>
      <w:r w:rsidRPr="00246B02">
        <w:rPr>
          <w:rFonts w:ascii="Book Antiqua" w:hAnsi="Book Antiqua" w:cs="Times New Roman"/>
          <w:color w:val="000000" w:themeColor="text1"/>
          <w:sz w:val="24"/>
          <w:szCs w:val="24"/>
        </w:rPr>
        <w:t>cancers</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56]</w:t>
      </w:r>
      <w:r w:rsidRPr="00246B02">
        <w:rPr>
          <w:rFonts w:ascii="Book Antiqua" w:hAnsi="Book Antiqua" w:cs="Times New Roman"/>
          <w:color w:val="000000" w:themeColor="text1"/>
          <w:sz w:val="24"/>
          <w:szCs w:val="24"/>
        </w:rPr>
        <w:t>. The results announced at the SABCS 2017 conference suggested that Ki67 levels both at baseline and after short-term therapy were both predictive of efficacy. In conclusion, sufficient evidence has demonstrated that Ki67 levels measured after short-term neoadjuvant therapy were meaningfully related to survival. Whether Ki67 level at baseline can act as a predictive tool is controversial and needs further confirmation.</w:t>
      </w:r>
    </w:p>
    <w:p w14:paraId="534676B1" w14:textId="6834B2F0"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The preoperative endocrine prognostic index (PEPI)</w:t>
      </w:r>
      <w:r w:rsidR="00734F4C">
        <w:rPr>
          <w:rFonts w:ascii="Book Antiqua" w:hAnsi="Book Antiqua" w:cs="Times New Roman"/>
          <w:color w:val="000000" w:themeColor="text1"/>
          <w:sz w:val="24"/>
          <w:szCs w:val="24"/>
        </w:rPr>
        <w:t xml:space="preserve"> </w:t>
      </w:r>
      <w:r w:rsidR="00734F4C" w:rsidRPr="00246B02">
        <w:rPr>
          <w:rFonts w:ascii="Book Antiqua" w:hAnsi="Book Antiqua" w:cs="Times New Roman"/>
          <w:color w:val="000000" w:themeColor="text1"/>
          <w:sz w:val="24"/>
          <w:szCs w:val="24"/>
        </w:rPr>
        <w:t>combine</w:t>
      </w:r>
      <w:r w:rsidR="00734F4C">
        <w:rPr>
          <w:rFonts w:ascii="Book Antiqua" w:hAnsi="Book Antiqua" w:cs="Times New Roman"/>
          <w:color w:val="000000" w:themeColor="text1"/>
          <w:sz w:val="24"/>
          <w:szCs w:val="24"/>
        </w:rPr>
        <w:t>s</w:t>
      </w:r>
      <w:r w:rsidR="00734F4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Ki67 level with ER status, pathological tumor size, and node status in the surgical specimen following </w:t>
      </w:r>
      <w:proofErr w:type="gramStart"/>
      <w:r w:rsidRPr="00246B02">
        <w:rPr>
          <w:rFonts w:ascii="Book Antiqua" w:hAnsi="Book Antiqua" w:cs="Times New Roman"/>
          <w:color w:val="000000" w:themeColor="text1"/>
          <w:sz w:val="24"/>
          <w:szCs w:val="24"/>
        </w:rPr>
        <w:t>NAE</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57]</w:t>
      </w:r>
      <w:r w:rsidRPr="00246B02">
        <w:rPr>
          <w:rFonts w:ascii="Book Antiqua" w:hAnsi="Book Antiqua" w:cs="Times New Roman"/>
          <w:color w:val="000000" w:themeColor="text1"/>
          <w:sz w:val="24"/>
          <w:szCs w:val="24"/>
        </w:rPr>
        <w:t xml:space="preserve">. The predictive role of PEPI for </w:t>
      </w:r>
      <w:r w:rsidR="00734F4C" w:rsidRPr="00734F4C">
        <w:rPr>
          <w:rFonts w:ascii="Book Antiqua" w:hAnsi="Book Antiqua" w:cs="Times New Roman"/>
          <w:color w:val="000000" w:themeColor="text1"/>
          <w:sz w:val="24"/>
          <w:szCs w:val="24"/>
        </w:rPr>
        <w:t>relapse-free survival (RFS)</w:t>
      </w:r>
      <w:r w:rsidR="00734F4C" w:rsidRPr="00734F4C" w:rsidDel="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was discovered by Ellis </w:t>
      </w:r>
      <w:r w:rsidR="00EE19C5" w:rsidRPr="00246B02">
        <w:rPr>
          <w:rFonts w:ascii="Book Antiqua" w:hAnsi="Book Antiqua" w:cs="Times New Roman"/>
          <w:i/>
          <w:color w:val="000000" w:themeColor="text1"/>
          <w:sz w:val="24"/>
          <w:szCs w:val="24"/>
        </w:rPr>
        <w:t xml:space="preserve">et </w:t>
      </w:r>
      <w:proofErr w:type="gramStart"/>
      <w:r w:rsidR="00EE19C5" w:rsidRPr="00246B02">
        <w:rPr>
          <w:rFonts w:ascii="Book Antiqua" w:hAnsi="Book Antiqua" w:cs="Times New Roman"/>
          <w:i/>
          <w:color w:val="000000" w:themeColor="text1"/>
          <w:sz w:val="24"/>
          <w:szCs w:val="24"/>
        </w:rPr>
        <w:t>al</w:t>
      </w:r>
      <w:r w:rsidR="00EE19C5" w:rsidRPr="00246B02">
        <w:rPr>
          <w:rFonts w:ascii="Book Antiqua" w:eastAsia="System" w:hAnsi="Book Antiqua" w:cs="Times New Roman"/>
          <w:noProof/>
          <w:color w:val="000000" w:themeColor="text1"/>
          <w:sz w:val="24"/>
          <w:szCs w:val="24"/>
          <w:vertAlign w:val="superscript"/>
        </w:rPr>
        <w:t>[</w:t>
      </w:r>
      <w:proofErr w:type="gramEnd"/>
      <w:r w:rsidR="00EE19C5" w:rsidRPr="00246B02">
        <w:rPr>
          <w:rFonts w:ascii="Book Antiqua" w:eastAsiaTheme="minorHAnsi" w:hAnsi="Book Antiqua" w:cs="Times New Roman"/>
          <w:noProof/>
          <w:color w:val="000000" w:themeColor="text1"/>
          <w:sz w:val="24"/>
          <w:szCs w:val="24"/>
          <w:vertAlign w:val="superscript"/>
        </w:rPr>
        <w:t>32]</w:t>
      </w:r>
      <w:r w:rsidRPr="00246B02">
        <w:rPr>
          <w:rFonts w:ascii="Book Antiqua" w:hAnsi="Book Antiqua" w:cs="Times New Roman"/>
          <w:color w:val="000000" w:themeColor="text1"/>
          <w:sz w:val="24"/>
          <w:szCs w:val="24"/>
        </w:rPr>
        <w:t xml:space="preserve"> in the P024 trial and validated in the independent IMPACT trial. Patients with </w:t>
      </w:r>
      <w:r w:rsidR="00734F4C">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PEPI </w:t>
      </w:r>
      <w:r w:rsidR="00345F94">
        <w:rPr>
          <w:rFonts w:ascii="Book Antiqua" w:hAnsi="Book Antiqua" w:cs="Times New Roman"/>
          <w:color w:val="000000" w:themeColor="text1"/>
          <w:sz w:val="24"/>
          <w:szCs w:val="24"/>
        </w:rPr>
        <w:t>score equal to</w:t>
      </w:r>
      <w:r w:rsidR="00345F94" w:rsidRPr="00246B02" w:rsidDel="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0</w:t>
      </w:r>
      <w:r w:rsidR="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(pT1 or pT2, pN0, Ki67</w:t>
      </w:r>
      <w:r w:rsidR="00734F4C">
        <w:rPr>
          <w:rFonts w:ascii="Book Antiqua" w:hAnsi="Book Antiqua" w:cs="Times New Roman"/>
          <w:color w:val="000000" w:themeColor="text1"/>
          <w:sz w:val="24"/>
          <w:szCs w:val="24"/>
        </w:rPr>
        <w:t xml:space="preserve"> </w:t>
      </w:r>
      <w:r w:rsidR="00734F4C" w:rsidRPr="00734F4C">
        <w:rPr>
          <w:rFonts w:ascii="Book Antiqua" w:hAnsi="Book Antiqua" w:cs="Times New Roman" w:hint="eastAsia"/>
          <w:color w:val="000000" w:themeColor="text1"/>
          <w:sz w:val="24"/>
          <w:szCs w:val="24"/>
        </w:rPr>
        <w:t>≤</w:t>
      </w:r>
      <w:r w:rsidRPr="00246B02">
        <w:rPr>
          <w:rFonts w:ascii="Book Antiqua" w:eastAsia="宋体" w:hAnsi="Book Antiqua" w:cs="宋体"/>
          <w:color w:val="000000" w:themeColor="text1"/>
          <w:sz w:val="24"/>
          <w:szCs w:val="24"/>
        </w:rPr>
        <w:t xml:space="preserve"> </w:t>
      </w:r>
      <w:r w:rsidRPr="00246B02">
        <w:rPr>
          <w:rFonts w:ascii="Book Antiqua" w:hAnsi="Book Antiqua" w:cs="Times New Roman"/>
          <w:color w:val="000000" w:themeColor="text1"/>
          <w:sz w:val="24"/>
          <w:szCs w:val="24"/>
        </w:rPr>
        <w:t xml:space="preserve">2.7%, Allred score &lt; 2) had an extremely low risk of relapse and can be exempt from adjuvant chemotherapy, while PEPI &gt; 0 recognizes a higher relapse risk. Recently, the predictive value of PEPI was verified in the ACOSOG Z1031B </w:t>
      </w:r>
      <w:proofErr w:type="gramStart"/>
      <w:r w:rsidRPr="00246B02">
        <w:rPr>
          <w:rFonts w:ascii="Book Antiqua" w:hAnsi="Book Antiqua" w:cs="Times New Roman"/>
          <w:color w:val="000000" w:themeColor="text1"/>
          <w:sz w:val="24"/>
          <w:szCs w:val="24"/>
        </w:rPr>
        <w:t>trial</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32]</w:t>
      </w:r>
      <w:r w:rsidRPr="00246B02">
        <w:rPr>
          <w:rFonts w:ascii="Book Antiqua" w:hAnsi="Book Antiqua" w:cs="Times New Roman"/>
          <w:color w:val="000000" w:themeColor="text1"/>
          <w:sz w:val="24"/>
          <w:szCs w:val="24"/>
        </w:rPr>
        <w:t xml:space="preserve">. After </w:t>
      </w:r>
      <w:r w:rsidR="00734F4C">
        <w:rPr>
          <w:rFonts w:ascii="Book Antiqua" w:hAnsi="Book Antiqua" w:cs="Times New Roman"/>
          <w:color w:val="000000" w:themeColor="text1"/>
          <w:sz w:val="24"/>
          <w:szCs w:val="24"/>
        </w:rPr>
        <w:t xml:space="preserve">a </w:t>
      </w:r>
      <w:r w:rsidR="00734F4C" w:rsidRPr="00246B02">
        <w:rPr>
          <w:rFonts w:ascii="Book Antiqua" w:hAnsi="Book Antiqua" w:cs="Times New Roman"/>
          <w:color w:val="000000" w:themeColor="text1"/>
          <w:sz w:val="24"/>
          <w:szCs w:val="24"/>
        </w:rPr>
        <w:t>median follow-up</w:t>
      </w:r>
      <w:r w:rsidR="00734F4C">
        <w:rPr>
          <w:rFonts w:ascii="Book Antiqua" w:hAnsi="Book Antiqua" w:cs="Times New Roman"/>
          <w:color w:val="000000" w:themeColor="text1"/>
          <w:sz w:val="24"/>
          <w:szCs w:val="24"/>
        </w:rPr>
        <w:t xml:space="preserve"> period of</w:t>
      </w:r>
      <w:r w:rsidR="00734F4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5.5 years, the incidence of recurrence in patients who completed the neoadjuvant AI period was significantly different. Kaplan-Meier analysis identified the relationship between RFS and PEPI, and the recurrence HR </w:t>
      </w:r>
      <w:r w:rsidR="00734F4C">
        <w:rPr>
          <w:rFonts w:ascii="Book Antiqua" w:hAnsi="Book Antiqua" w:cs="Times New Roman"/>
          <w:color w:val="000000" w:themeColor="text1"/>
          <w:sz w:val="24"/>
          <w:szCs w:val="24"/>
        </w:rPr>
        <w:t xml:space="preserve">in </w:t>
      </w:r>
      <w:r w:rsidR="00734F4C">
        <w:rPr>
          <w:rFonts w:ascii="Book Antiqua" w:hAnsi="Book Antiqua" w:cs="Times New Roman"/>
          <w:color w:val="000000" w:themeColor="text1"/>
          <w:sz w:val="24"/>
          <w:szCs w:val="24"/>
        </w:rPr>
        <w:lastRenderedPageBreak/>
        <w:t>patients with a</w:t>
      </w:r>
      <w:r w:rsidR="00734F4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PEPI </w:t>
      </w:r>
      <w:r w:rsidR="00734F4C">
        <w:rPr>
          <w:rFonts w:ascii="Book Antiqua" w:hAnsi="Book Antiqua" w:cs="Times New Roman"/>
          <w:color w:val="000000" w:themeColor="text1"/>
          <w:sz w:val="24"/>
          <w:szCs w:val="24"/>
        </w:rPr>
        <w:t>score equal to</w:t>
      </w:r>
      <w:r w:rsidR="00734F4C" w:rsidRPr="00246B02" w:rsidDel="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0</w:t>
      </w:r>
      <w:r w:rsidR="00734F4C">
        <w:rPr>
          <w:rFonts w:ascii="Book Antiqua" w:hAnsi="Book Antiqua" w:cs="Times New Roman"/>
          <w:color w:val="000000" w:themeColor="text1"/>
          <w:sz w:val="24"/>
          <w:szCs w:val="24"/>
        </w:rPr>
        <w:t xml:space="preserve"> </w:t>
      </w:r>
      <w:r w:rsidRPr="00C9453D">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PEPI &gt; 0 patients was 0.27 (</w:t>
      </w:r>
      <w:r w:rsidRPr="00246B02">
        <w:rPr>
          <w:rFonts w:ascii="Book Antiqua" w:hAnsi="Book Antiqua" w:cs="Times New Roman"/>
          <w:i/>
          <w:color w:val="000000" w:themeColor="text1"/>
          <w:sz w:val="24"/>
          <w:szCs w:val="24"/>
        </w:rPr>
        <w:t>P</w:t>
      </w:r>
      <w:r w:rsidRPr="00246B02">
        <w:rPr>
          <w:rFonts w:ascii="Book Antiqua" w:hAnsi="Book Antiqua" w:cs="Times New Roman"/>
          <w:color w:val="000000" w:themeColor="text1"/>
          <w:sz w:val="24"/>
          <w:szCs w:val="24"/>
        </w:rPr>
        <w:t xml:space="preserve"> = 0.014). Moreover, the relapse risk was only 3.6% without chemotherapy in patients with </w:t>
      </w:r>
      <w:r w:rsidR="00734F4C">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PEPI </w:t>
      </w:r>
      <w:r w:rsidR="00734F4C">
        <w:rPr>
          <w:rFonts w:ascii="Book Antiqua" w:hAnsi="Book Antiqua" w:cs="Times New Roman"/>
          <w:color w:val="000000" w:themeColor="text1"/>
          <w:sz w:val="24"/>
          <w:szCs w:val="24"/>
        </w:rPr>
        <w:t>score equal to</w:t>
      </w:r>
      <w:r w:rsidRPr="00246B02">
        <w:rPr>
          <w:rFonts w:ascii="Book Antiqua" w:hAnsi="Book Antiqua" w:cs="Times New Roman"/>
          <w:color w:val="000000" w:themeColor="text1"/>
          <w:sz w:val="24"/>
          <w:szCs w:val="24"/>
        </w:rPr>
        <w:t xml:space="preserve"> 0</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58]</w:t>
      </w:r>
      <w:r w:rsidRPr="00246B02">
        <w:rPr>
          <w:rFonts w:ascii="Book Antiqua" w:hAnsi="Book Antiqua" w:cs="Times New Roman"/>
          <w:color w:val="000000" w:themeColor="text1"/>
          <w:sz w:val="24"/>
          <w:szCs w:val="24"/>
        </w:rPr>
        <w:t>. These results supported the use of the PEPI score to identify drug-sensitive or drug-resistant patients and guide tailored treatment decisions on avoiding chemotherapy.</w:t>
      </w:r>
    </w:p>
    <w:p w14:paraId="51445870" w14:textId="77777777" w:rsidR="00837F36" w:rsidRPr="00246B02" w:rsidRDefault="00837F36" w:rsidP="00246B02">
      <w:pPr>
        <w:spacing w:line="360" w:lineRule="auto"/>
        <w:jc w:val="both"/>
        <w:rPr>
          <w:rFonts w:ascii="Book Antiqua" w:hAnsi="Book Antiqua" w:cs="Times New Roman"/>
          <w:b/>
          <w:color w:val="000000" w:themeColor="text1"/>
          <w:sz w:val="24"/>
          <w:szCs w:val="24"/>
        </w:rPr>
      </w:pPr>
    </w:p>
    <w:p w14:paraId="4601AF5B" w14:textId="03959F3F" w:rsidR="00837F36" w:rsidRPr="00246B02" w:rsidRDefault="00837F36" w:rsidP="00246B02">
      <w:pPr>
        <w:spacing w:line="360" w:lineRule="auto"/>
        <w:jc w:val="both"/>
        <w:rPr>
          <w:rFonts w:ascii="Book Antiqua" w:hAnsi="Book Antiqua" w:cs="Times New Roman"/>
          <w:b/>
          <w:i/>
          <w:color w:val="000000" w:themeColor="text1"/>
          <w:sz w:val="24"/>
          <w:szCs w:val="24"/>
        </w:rPr>
      </w:pPr>
      <w:r w:rsidRPr="00246B02">
        <w:rPr>
          <w:rFonts w:ascii="Book Antiqua" w:hAnsi="Book Antiqua" w:cs="Times New Roman"/>
          <w:b/>
          <w:i/>
          <w:color w:val="000000" w:themeColor="text1"/>
          <w:sz w:val="24"/>
          <w:szCs w:val="24"/>
        </w:rPr>
        <w:t>Genomic assays</w:t>
      </w:r>
    </w:p>
    <w:p w14:paraId="49B11AC3" w14:textId="5CD8C20C" w:rsidR="00743CEF" w:rsidRPr="00246B02" w:rsidRDefault="00743CEF"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Recent evidence indicated the predictive role of genomic assays including Oncotype DX, EndoPredict, MammaPrint, BluePrint assays</w:t>
      </w:r>
      <w:r w:rsidR="00345F9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a four-gene predictive tool (</w:t>
      </w:r>
      <w:r w:rsidR="00EE19C5" w:rsidRPr="00246B02">
        <w:rPr>
          <w:rFonts w:ascii="Book Antiqua" w:hAnsi="Book Antiqua" w:cs="Times New Roman"/>
          <w:color w:val="000000" w:themeColor="text1"/>
          <w:sz w:val="24"/>
          <w:szCs w:val="24"/>
        </w:rPr>
        <w:t xml:space="preserve">Table </w:t>
      </w:r>
      <w:r w:rsidR="00E903A7" w:rsidRPr="00246B02">
        <w:rPr>
          <w:rFonts w:ascii="Book Antiqua" w:hAnsi="Book Antiqua" w:cs="Times New Roman"/>
          <w:color w:val="000000" w:themeColor="text1"/>
          <w:sz w:val="24"/>
          <w:szCs w:val="24"/>
        </w:rPr>
        <w:t>4</w:t>
      </w:r>
      <w:r w:rsidRPr="00246B02">
        <w:rPr>
          <w:rFonts w:ascii="Book Antiqua" w:hAnsi="Book Antiqua" w:cs="Times New Roman"/>
          <w:color w:val="000000" w:themeColor="text1"/>
          <w:sz w:val="24"/>
          <w:szCs w:val="24"/>
        </w:rPr>
        <w:t>).</w:t>
      </w:r>
    </w:p>
    <w:p w14:paraId="2A5C897A" w14:textId="77777777" w:rsidR="00743CEF" w:rsidRPr="00246B02" w:rsidRDefault="00743CEF" w:rsidP="00246B02">
      <w:pPr>
        <w:spacing w:line="360" w:lineRule="auto"/>
        <w:jc w:val="both"/>
        <w:rPr>
          <w:rFonts w:ascii="Book Antiqua" w:hAnsi="Book Antiqua" w:cs="Times New Roman"/>
          <w:color w:val="000000" w:themeColor="text1"/>
          <w:sz w:val="24"/>
          <w:szCs w:val="24"/>
        </w:rPr>
      </w:pPr>
    </w:p>
    <w:p w14:paraId="4821CFFA" w14:textId="29D887C5"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Oncotyp</w:t>
      </w:r>
      <w:r w:rsidR="00EE19C5" w:rsidRPr="00246B02">
        <w:rPr>
          <w:rFonts w:ascii="Book Antiqua" w:hAnsi="Book Antiqua" w:cs="Times New Roman"/>
          <w:b/>
          <w:color w:val="000000" w:themeColor="text1"/>
          <w:sz w:val="24"/>
          <w:szCs w:val="24"/>
        </w:rPr>
        <w:t xml:space="preserve">e DX Recurrence Score assay: </w:t>
      </w:r>
      <w:r w:rsidRPr="00246B02">
        <w:rPr>
          <w:rFonts w:ascii="Book Antiqua" w:hAnsi="Book Antiqua" w:cs="Times New Roman"/>
          <w:color w:val="000000" w:themeColor="text1"/>
          <w:sz w:val="24"/>
          <w:szCs w:val="24"/>
        </w:rPr>
        <w:t>The Oncotype DX</w:t>
      </w:r>
      <w:r w:rsidRPr="00246B02">
        <w:rPr>
          <w:rFonts w:ascii="Book Antiqua" w:hAnsi="Book Antiqua" w:cs="Times New Roman"/>
          <w:color w:val="000000" w:themeColor="text1"/>
          <w:sz w:val="24"/>
          <w:szCs w:val="24"/>
          <w:vertAlign w:val="superscript"/>
        </w:rPr>
        <w:t xml:space="preserve">® </w:t>
      </w:r>
      <w:r w:rsidRPr="00246B02">
        <w:rPr>
          <w:rFonts w:ascii="Book Antiqua" w:hAnsi="Book Antiqua" w:cs="Times New Roman"/>
          <w:color w:val="000000" w:themeColor="text1"/>
          <w:sz w:val="24"/>
          <w:szCs w:val="24"/>
        </w:rPr>
        <w:t xml:space="preserve">Breast Recurrence Score (RS) assay is a 21-gene validated genomic tool developed by Genomic Health to assess recurrence </w:t>
      </w:r>
      <w:r w:rsidR="00D679D0" w:rsidRPr="00246B02">
        <w:rPr>
          <w:rFonts w:ascii="Book Antiqua" w:hAnsi="Book Antiqua" w:cs="Times New Roman"/>
          <w:color w:val="000000" w:themeColor="text1"/>
          <w:sz w:val="24"/>
          <w:szCs w:val="24"/>
        </w:rPr>
        <w:t>ri</w:t>
      </w:r>
      <w:r w:rsidR="00D679D0">
        <w:rPr>
          <w:rFonts w:ascii="Book Antiqua" w:hAnsi="Book Antiqua" w:cs="Times New Roman"/>
          <w:color w:val="000000" w:themeColor="text1"/>
          <w:sz w:val="24"/>
          <w:szCs w:val="24"/>
        </w:rPr>
        <w:t>s</w:t>
      </w:r>
      <w:r w:rsidR="00D679D0" w:rsidRPr="00246B02">
        <w:rPr>
          <w:rFonts w:ascii="Book Antiqua" w:hAnsi="Book Antiqua" w:cs="Times New Roman"/>
          <w:color w:val="000000" w:themeColor="text1"/>
          <w:sz w:val="24"/>
          <w:szCs w:val="24"/>
        </w:rPr>
        <w:t xml:space="preserve">k </w:t>
      </w:r>
      <w:r w:rsidRPr="00246B02">
        <w:rPr>
          <w:rFonts w:ascii="Book Antiqua" w:hAnsi="Book Antiqua" w:cs="Times New Roman"/>
          <w:color w:val="000000" w:themeColor="text1"/>
          <w:sz w:val="24"/>
          <w:szCs w:val="24"/>
        </w:rPr>
        <w:t>for patients who received adjuvant ET with ER</w:t>
      </w:r>
      <w:r w:rsidR="00D679D0" w:rsidRPr="00246B02">
        <w:rPr>
          <w:rFonts w:ascii="Book Antiqua" w:hAnsi="Book Antiqua" w:cs="Times New Roman"/>
          <w:color w:val="000000" w:themeColor="text1"/>
          <w:sz w:val="24"/>
          <w:szCs w:val="24"/>
        </w:rPr>
        <w:t>+</w:t>
      </w:r>
      <w:r w:rsidR="00D679D0">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HER2- early stage breast cancer, regardless of lymph node </w:t>
      </w:r>
      <w:proofErr w:type="gramStart"/>
      <w:r w:rsidRPr="00246B02">
        <w:rPr>
          <w:rFonts w:ascii="Book Antiqua" w:hAnsi="Book Antiqua" w:cs="Times New Roman"/>
          <w:color w:val="000000" w:themeColor="text1"/>
          <w:sz w:val="24"/>
          <w:szCs w:val="24"/>
        </w:rPr>
        <w:t>status</w:t>
      </w:r>
      <w:r w:rsidRPr="00246B02">
        <w:rPr>
          <w:rFonts w:ascii="Book Antiqua" w:eastAsia="System" w:hAnsi="Book Antiqua" w:cs="Times New Roman"/>
          <w:noProof/>
          <w:color w:val="000000" w:themeColor="text1"/>
          <w:sz w:val="24"/>
          <w:szCs w:val="24"/>
          <w:vertAlign w:val="superscript"/>
        </w:rPr>
        <w:t>[</w:t>
      </w:r>
      <w:proofErr w:type="gramEnd"/>
      <w:r w:rsidR="002C2795" w:rsidRPr="00246B02">
        <w:rPr>
          <w:rFonts w:ascii="Book Antiqua" w:hAnsi="Book Antiqua" w:cs="Times New Roman"/>
          <w:noProof/>
          <w:color w:val="000000" w:themeColor="text1"/>
          <w:sz w:val="24"/>
          <w:szCs w:val="24"/>
          <w:vertAlign w:val="superscript"/>
        </w:rPr>
        <w:t>59,</w:t>
      </w:r>
      <w:r w:rsidRPr="00246B02">
        <w:rPr>
          <w:rFonts w:ascii="Book Antiqua" w:hAnsi="Book Antiqua" w:cs="Times New Roman"/>
          <w:noProof/>
          <w:color w:val="000000" w:themeColor="text1"/>
          <w:sz w:val="24"/>
          <w:szCs w:val="24"/>
          <w:vertAlign w:val="superscript"/>
        </w:rPr>
        <w:t>60]</w:t>
      </w:r>
      <w:r w:rsidRPr="00246B02">
        <w:rPr>
          <w:rFonts w:ascii="Book Antiqua" w:hAnsi="Book Antiqua" w:cs="Times New Roman"/>
          <w:color w:val="000000" w:themeColor="text1"/>
          <w:sz w:val="24"/>
          <w:szCs w:val="24"/>
        </w:rPr>
        <w:t xml:space="preserve">. The RS assay can predict the likelihood of benefit from adding chemotherapy to ET in the adjuvant settings. A low-risk RS tended to have a greater clinical response to </w:t>
      </w:r>
      <w:proofErr w:type="gramStart"/>
      <w:r w:rsidRPr="00246B02">
        <w:rPr>
          <w:rFonts w:ascii="Book Antiqua" w:hAnsi="Book Antiqua" w:cs="Times New Roman"/>
          <w:color w:val="000000" w:themeColor="text1"/>
          <w:sz w:val="24"/>
          <w:szCs w:val="24"/>
        </w:rPr>
        <w:t>ET</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61]</w:t>
      </w:r>
      <w:r w:rsidRPr="00246B02">
        <w:rPr>
          <w:rFonts w:ascii="Book Antiqua" w:hAnsi="Book Antiqua" w:cs="Times New Roman"/>
          <w:color w:val="000000" w:themeColor="text1"/>
          <w:sz w:val="24"/>
          <w:szCs w:val="24"/>
        </w:rPr>
        <w:t>. Additionally, several studies have already incorporated the RS assay in the neoadjuvant setting and illustrated that the approach can be used to guide the decision of</w:t>
      </w:r>
      <w:r w:rsidR="002C2795" w:rsidRPr="00246B02">
        <w:rPr>
          <w:rFonts w:ascii="Book Antiqua" w:hAnsi="Book Antiqua" w:cs="Times New Roman"/>
          <w:color w:val="000000" w:themeColor="text1"/>
          <w:sz w:val="24"/>
          <w:szCs w:val="24"/>
        </w:rPr>
        <w:t xml:space="preserve"> neoadjuvant systemic therapy. </w:t>
      </w:r>
    </w:p>
    <w:p w14:paraId="54347A5E" w14:textId="144A86F8"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We </w:t>
      </w:r>
      <w:r w:rsidR="00D679D0" w:rsidRPr="00246B02">
        <w:rPr>
          <w:rFonts w:ascii="Book Antiqua" w:hAnsi="Book Antiqua" w:cs="Times New Roman"/>
          <w:color w:val="000000" w:themeColor="text1"/>
          <w:sz w:val="24"/>
          <w:szCs w:val="24"/>
        </w:rPr>
        <w:t>discuss</w:t>
      </w:r>
      <w:r w:rsidR="00D679D0">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the relevant trials considering the predictive role of RS assay in NAE. Ueno </w:t>
      </w:r>
      <w:r w:rsidRPr="00246B02">
        <w:rPr>
          <w:rFonts w:ascii="Book Antiqua" w:hAnsi="Book Antiqua" w:cs="Times New Roman"/>
          <w:i/>
          <w:color w:val="000000" w:themeColor="text1"/>
          <w:sz w:val="24"/>
          <w:szCs w:val="24"/>
        </w:rPr>
        <w:t xml:space="preserve">et </w:t>
      </w:r>
      <w:proofErr w:type="gramStart"/>
      <w:r w:rsidRPr="00246B02">
        <w:rPr>
          <w:rFonts w:ascii="Book Antiqua" w:hAnsi="Book Antiqua" w:cs="Times New Roman"/>
          <w:i/>
          <w:color w:val="000000" w:themeColor="text1"/>
          <w:sz w:val="24"/>
          <w:szCs w:val="24"/>
        </w:rPr>
        <w:t>al</w:t>
      </w:r>
      <w:r w:rsidR="000127BE" w:rsidRPr="00246B02">
        <w:rPr>
          <w:rFonts w:ascii="Book Antiqua" w:eastAsia="System" w:hAnsi="Book Antiqua" w:cs="Times New Roman"/>
          <w:noProof/>
          <w:color w:val="000000" w:themeColor="text1"/>
          <w:sz w:val="24"/>
          <w:szCs w:val="24"/>
          <w:vertAlign w:val="superscript"/>
        </w:rPr>
        <w:t>[</w:t>
      </w:r>
      <w:proofErr w:type="gramEnd"/>
      <w:r w:rsidR="000127BE" w:rsidRPr="00246B02">
        <w:rPr>
          <w:rFonts w:ascii="Book Antiqua" w:hAnsi="Book Antiqua" w:cs="Times New Roman"/>
          <w:noProof/>
          <w:color w:val="000000" w:themeColor="text1"/>
          <w:sz w:val="24"/>
          <w:szCs w:val="24"/>
          <w:vertAlign w:val="superscript"/>
        </w:rPr>
        <w:t>62]</w:t>
      </w:r>
      <w:r w:rsidRPr="00246B02">
        <w:rPr>
          <w:rFonts w:ascii="Book Antiqua" w:hAnsi="Book Antiqua" w:cs="Times New Roman"/>
          <w:color w:val="000000" w:themeColor="text1"/>
          <w:sz w:val="24"/>
          <w:szCs w:val="24"/>
        </w:rPr>
        <w:t xml:space="preserve"> indic</w:t>
      </w:r>
      <w:r w:rsidR="00D679D0">
        <w:rPr>
          <w:rFonts w:ascii="Book Antiqua" w:hAnsi="Book Antiqua" w:cs="Times New Roman"/>
          <w:color w:val="000000" w:themeColor="text1"/>
          <w:sz w:val="24"/>
          <w:szCs w:val="24"/>
        </w:rPr>
        <w:t>a</w:t>
      </w:r>
      <w:r w:rsidRPr="00246B02">
        <w:rPr>
          <w:rFonts w:ascii="Book Antiqua" w:hAnsi="Book Antiqua" w:cs="Times New Roman"/>
          <w:color w:val="000000" w:themeColor="text1"/>
          <w:sz w:val="24"/>
          <w:szCs w:val="24"/>
        </w:rPr>
        <w:t xml:space="preserve">ted that the low-risk group (RS &lt; 18) was more likely to benefit from presurgical exemestane treatment than the high-risk group (RS ≥ 31) in CRR (54%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22%, </w:t>
      </w:r>
      <w:r w:rsidR="002C2795" w:rsidRPr="00246B02">
        <w:rPr>
          <w:rFonts w:ascii="Book Antiqua" w:hAnsi="Book Antiqua" w:cs="Times New Roman"/>
          <w:i/>
          <w:color w:val="000000" w:themeColor="text1"/>
          <w:sz w:val="24"/>
          <w:szCs w:val="24"/>
        </w:rPr>
        <w:t>P</w:t>
      </w:r>
      <w:r w:rsidRPr="00246B02">
        <w:rPr>
          <w:rFonts w:ascii="Book Antiqua" w:hAnsi="Book Antiqua" w:cs="Times New Roman"/>
          <w:color w:val="000000" w:themeColor="text1"/>
          <w:sz w:val="24"/>
          <w:szCs w:val="24"/>
        </w:rPr>
        <w:t xml:space="preserve"> &lt; 0.001) and BCS (91%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47%, </w:t>
      </w:r>
      <w:r w:rsidR="002C2795" w:rsidRPr="00246B02">
        <w:rPr>
          <w:rFonts w:ascii="Book Antiqua" w:hAnsi="Book Antiqua" w:cs="Times New Roman"/>
          <w:i/>
          <w:color w:val="000000" w:themeColor="text1"/>
          <w:sz w:val="24"/>
          <w:szCs w:val="24"/>
        </w:rPr>
        <w:t>P</w:t>
      </w:r>
      <w:r w:rsidRPr="00246B02">
        <w:rPr>
          <w:rFonts w:ascii="Book Antiqua" w:hAnsi="Book Antiqua" w:cs="Times New Roman"/>
          <w:color w:val="000000" w:themeColor="text1"/>
          <w:sz w:val="24"/>
          <w:szCs w:val="24"/>
        </w:rPr>
        <w:t xml:space="preserve"> = 0.003). A 2017 multicenter study reported that the successful BCS rate</w:t>
      </w:r>
      <w:r w:rsidR="00D679D0">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of the low-intermediate risk group (RS 11-25) after NAE </w:t>
      </w:r>
      <w:r w:rsidR="00D679D0" w:rsidRPr="00246B02">
        <w:rPr>
          <w:rFonts w:ascii="Book Antiqua" w:hAnsi="Book Antiqua" w:cs="Times New Roman"/>
          <w:color w:val="000000" w:themeColor="text1"/>
          <w:sz w:val="24"/>
          <w:szCs w:val="24"/>
        </w:rPr>
        <w:t>w</w:t>
      </w:r>
      <w:r w:rsidR="00D679D0">
        <w:rPr>
          <w:rFonts w:ascii="Book Antiqua" w:hAnsi="Book Antiqua" w:cs="Times New Roman"/>
          <w:color w:val="000000" w:themeColor="text1"/>
          <w:sz w:val="24"/>
          <w:szCs w:val="24"/>
        </w:rPr>
        <w:t>ere</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75% and 72%, </w:t>
      </w:r>
      <w:r w:rsidR="00D679D0">
        <w:rPr>
          <w:rFonts w:ascii="Book Antiqua" w:hAnsi="Book Antiqua" w:cs="Times New Roman"/>
          <w:color w:val="000000" w:themeColor="text1"/>
          <w:sz w:val="24"/>
          <w:szCs w:val="24"/>
        </w:rPr>
        <w:t xml:space="preserve">respectively, </w:t>
      </w:r>
      <w:r w:rsidRPr="00246B02">
        <w:rPr>
          <w:rFonts w:ascii="Book Antiqua" w:hAnsi="Book Antiqua" w:cs="Times New Roman"/>
          <w:color w:val="000000" w:themeColor="text1"/>
          <w:sz w:val="24"/>
          <w:szCs w:val="24"/>
        </w:rPr>
        <w:t xml:space="preserve">which </w:t>
      </w:r>
      <w:r w:rsidR="00D679D0" w:rsidRPr="00246B02">
        <w:rPr>
          <w:rFonts w:ascii="Book Antiqua" w:hAnsi="Book Antiqua" w:cs="Times New Roman"/>
          <w:color w:val="000000" w:themeColor="text1"/>
          <w:sz w:val="24"/>
          <w:szCs w:val="24"/>
        </w:rPr>
        <w:t>w</w:t>
      </w:r>
      <w:r w:rsidR="00D679D0">
        <w:rPr>
          <w:rFonts w:ascii="Book Antiqua" w:hAnsi="Book Antiqua" w:cs="Times New Roman"/>
          <w:color w:val="000000" w:themeColor="text1"/>
          <w:sz w:val="24"/>
          <w:szCs w:val="24"/>
        </w:rPr>
        <w:t>ere</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higher than that of high-risk </w:t>
      </w:r>
      <w:proofErr w:type="gramStart"/>
      <w:r w:rsidRPr="00246B02">
        <w:rPr>
          <w:rFonts w:ascii="Book Antiqua" w:hAnsi="Book Antiqua" w:cs="Times New Roman"/>
          <w:color w:val="000000" w:themeColor="text1"/>
          <w:sz w:val="24"/>
          <w:szCs w:val="24"/>
        </w:rPr>
        <w:t>NAC</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63]</w:t>
      </w:r>
      <w:r w:rsidRPr="00246B02">
        <w:rPr>
          <w:rFonts w:ascii="Book Antiqua" w:hAnsi="Book Antiqua" w:cs="Times New Roman"/>
          <w:color w:val="000000" w:themeColor="text1"/>
          <w:sz w:val="24"/>
          <w:szCs w:val="24"/>
        </w:rPr>
        <w:t xml:space="preserve">. NAE was found to be a scientific strategy for low-risk patients. Moreover, NAE was not inferior to NAE in midrange RS score, and this finding mirrored the results in similar adjuvant settings in the TAILORx </w:t>
      </w:r>
      <w:proofErr w:type="gramStart"/>
      <w:r w:rsidRPr="00246B02">
        <w:rPr>
          <w:rFonts w:ascii="Book Antiqua" w:hAnsi="Book Antiqua" w:cs="Times New Roman"/>
          <w:color w:val="000000" w:themeColor="text1"/>
          <w:sz w:val="24"/>
          <w:szCs w:val="24"/>
        </w:rPr>
        <w:t>trial</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64]</w:t>
      </w:r>
      <w:r w:rsidRPr="00246B02">
        <w:rPr>
          <w:rFonts w:ascii="Book Antiqua" w:hAnsi="Book Antiqua" w:cs="Times New Roman"/>
          <w:color w:val="000000" w:themeColor="text1"/>
          <w:sz w:val="24"/>
          <w:szCs w:val="24"/>
        </w:rPr>
        <w:t xml:space="preserve">. Most recently, the larger, </w:t>
      </w:r>
      <w:r w:rsidRPr="00246B02">
        <w:rPr>
          <w:rFonts w:ascii="Book Antiqua" w:hAnsi="Book Antiqua" w:cs="Times New Roman"/>
          <w:color w:val="000000" w:themeColor="text1"/>
          <w:sz w:val="24"/>
          <w:szCs w:val="24"/>
        </w:rPr>
        <w:lastRenderedPageBreak/>
        <w:t>multicenter TransNEOS trial validated the feasibility of RS assay in predicting clinical response and successful BCS with neoadjuvant letrozole in 295 ER</w:t>
      </w:r>
      <w:r w:rsidR="00D679D0" w:rsidRPr="00246B02">
        <w:rPr>
          <w:rFonts w:ascii="Book Antiqua" w:hAnsi="Book Antiqua" w:cs="Times New Roman"/>
          <w:color w:val="000000" w:themeColor="text1"/>
          <w:sz w:val="24"/>
          <w:szCs w:val="24"/>
        </w:rPr>
        <w:t>+</w:t>
      </w:r>
      <w:r w:rsidR="00D679D0">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HER2- postmenopausal patients. The low RS-score group was considered to have an improved BCS rate, implying </w:t>
      </w:r>
      <w:r w:rsidR="00D679D0">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greater likelihood of response to NAE rather than NAC (CRR</w:t>
      </w:r>
      <w:r w:rsidR="00D679D0">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54%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22%, </w:t>
      </w:r>
      <w:r w:rsidRPr="00246B02">
        <w:rPr>
          <w:rFonts w:ascii="Book Antiqua" w:hAnsi="Book Antiqua" w:cs="Times New Roman"/>
          <w:i/>
          <w:color w:val="000000" w:themeColor="text1"/>
          <w:sz w:val="24"/>
          <w:szCs w:val="24"/>
        </w:rPr>
        <w:t>P</w:t>
      </w:r>
      <w:r w:rsidRPr="00246B02" w:rsidDel="002C0C71">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&lt; 0.001</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65]</w:t>
      </w:r>
      <w:r w:rsidRPr="00246B02">
        <w:rPr>
          <w:rFonts w:ascii="Book Antiqua" w:hAnsi="Book Antiqua" w:cs="Times New Roman"/>
          <w:color w:val="000000" w:themeColor="text1"/>
          <w:sz w:val="24"/>
          <w:szCs w:val="24"/>
        </w:rPr>
        <w:t>. In conclusion, the Oncotype DX assay would be a significant predictive tool for providing useful information to screen patients who would benefit from neoadjuvant systematic therapy, with NAE used for low-risk group</w:t>
      </w:r>
      <w:r w:rsidRPr="00246B02" w:rsidDel="001A7988">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and NAC for high-risk group.</w:t>
      </w:r>
    </w:p>
    <w:p w14:paraId="7C474C19"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5963FCD5" w14:textId="43ED8726"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EndoPredict assay</w:t>
      </w:r>
      <w:r w:rsidR="002C2795"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The EndoPredict</w:t>
      </w:r>
      <w:r w:rsidRPr="00246B02">
        <w:rPr>
          <w:rFonts w:ascii="Book Antiqua" w:hAnsi="Book Antiqua" w:cs="Times New Roman"/>
          <w:color w:val="000000" w:themeColor="text1"/>
          <w:sz w:val="24"/>
          <w:szCs w:val="24"/>
          <w:vertAlign w:val="superscript"/>
        </w:rPr>
        <w:t>®</w:t>
      </w:r>
      <w:r w:rsidRPr="00246B02">
        <w:rPr>
          <w:rFonts w:ascii="Book Antiqua" w:hAnsi="Book Antiqua" w:cs="Times New Roman"/>
          <w:color w:val="000000" w:themeColor="text1"/>
          <w:sz w:val="24"/>
          <w:szCs w:val="24"/>
        </w:rPr>
        <w:t xml:space="preserve"> (EP) assay is a 12-gene signature test based on eight proliferation-related and differentiation-related cancer genes and four reference genes. EP score low-risk and high-risk categories were specified in previous studies, providing a score between 0 and 15 to assess recurrence </w:t>
      </w:r>
      <w:proofErr w:type="gramStart"/>
      <w:r w:rsidRPr="00246B02">
        <w:rPr>
          <w:rFonts w:ascii="Book Antiqua" w:hAnsi="Book Antiqua" w:cs="Times New Roman"/>
          <w:color w:val="000000" w:themeColor="text1"/>
          <w:sz w:val="24"/>
          <w:szCs w:val="24"/>
        </w:rPr>
        <w:t>risk</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66]</w:t>
      </w:r>
      <w:r w:rsidRPr="00246B02">
        <w:rPr>
          <w:rFonts w:ascii="Book Antiqua" w:hAnsi="Book Antiqua" w:cs="Times New Roman"/>
          <w:color w:val="000000" w:themeColor="text1"/>
          <w:sz w:val="24"/>
          <w:szCs w:val="24"/>
        </w:rPr>
        <w:t>. EPclin is a diagnostic arithmetic genomic assay derived from the EP score by integrating clinical factor</w:t>
      </w:r>
      <w:r w:rsidR="00D679D0">
        <w:rPr>
          <w:rFonts w:ascii="Book Antiqua" w:hAnsi="Book Antiqua" w:cs="Times New Roman"/>
          <w:color w:val="000000" w:themeColor="text1"/>
          <w:sz w:val="24"/>
          <w:szCs w:val="24"/>
        </w:rPr>
        <w:t xml:space="preserve">s including </w:t>
      </w:r>
      <w:r w:rsidRPr="00246B02">
        <w:rPr>
          <w:rFonts w:ascii="Book Antiqua" w:hAnsi="Book Antiqua" w:cs="Times New Roman"/>
          <w:color w:val="000000" w:themeColor="text1"/>
          <w:sz w:val="24"/>
          <w:szCs w:val="24"/>
        </w:rPr>
        <w:t xml:space="preserve">nodal status and residual tumor size, which </w:t>
      </w:r>
      <w:r w:rsidR="00D679D0">
        <w:rPr>
          <w:rFonts w:ascii="Book Antiqua" w:hAnsi="Book Antiqua" w:cs="Times New Roman"/>
          <w:color w:val="000000" w:themeColor="text1"/>
          <w:sz w:val="24"/>
          <w:szCs w:val="24"/>
        </w:rPr>
        <w:t xml:space="preserve">are </w:t>
      </w:r>
      <w:r w:rsidRPr="00246B02">
        <w:rPr>
          <w:rFonts w:ascii="Book Antiqua" w:hAnsi="Book Antiqua" w:cs="Times New Roman"/>
          <w:color w:val="000000" w:themeColor="text1"/>
          <w:sz w:val="24"/>
          <w:szCs w:val="24"/>
        </w:rPr>
        <w:t xml:space="preserve">also involved in </w:t>
      </w:r>
      <w:proofErr w:type="gramStart"/>
      <w:r w:rsidRPr="00246B02">
        <w:rPr>
          <w:rFonts w:ascii="Book Antiqua" w:hAnsi="Book Antiqua" w:cs="Times New Roman"/>
          <w:color w:val="000000" w:themeColor="text1"/>
          <w:sz w:val="24"/>
          <w:szCs w:val="24"/>
        </w:rPr>
        <w:t>PEPI</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67]</w:t>
      </w:r>
      <w:r w:rsidRPr="00246B02">
        <w:rPr>
          <w:rFonts w:ascii="Book Antiqua" w:hAnsi="Book Antiqua" w:cs="Times New Roman"/>
          <w:color w:val="000000" w:themeColor="text1"/>
          <w:sz w:val="24"/>
          <w:szCs w:val="24"/>
        </w:rPr>
        <w:t xml:space="preserve">. EP and EPclin assays were shown to be prognostic for early and late distant </w:t>
      </w:r>
      <w:proofErr w:type="gramStart"/>
      <w:r w:rsidRPr="00246B02">
        <w:rPr>
          <w:rFonts w:ascii="Book Antiqua" w:hAnsi="Book Antiqua" w:cs="Times New Roman"/>
          <w:color w:val="000000" w:themeColor="text1"/>
          <w:sz w:val="24"/>
          <w:szCs w:val="24"/>
        </w:rPr>
        <w:t>recurrence</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68]</w:t>
      </w:r>
      <w:r w:rsidRPr="00246B02">
        <w:rPr>
          <w:rFonts w:ascii="Book Antiqua" w:hAnsi="Book Antiqua" w:cs="Times New Roman"/>
          <w:color w:val="000000" w:themeColor="text1"/>
          <w:sz w:val="24"/>
          <w:szCs w:val="24"/>
        </w:rPr>
        <w:t xml:space="preserve">. Chow </w:t>
      </w:r>
      <w:r w:rsidRPr="00246B02">
        <w:rPr>
          <w:rFonts w:ascii="Book Antiqua" w:hAnsi="Book Antiqua" w:cs="Times New Roman"/>
          <w:i/>
          <w:color w:val="000000" w:themeColor="text1"/>
          <w:sz w:val="24"/>
          <w:szCs w:val="24"/>
        </w:rPr>
        <w:t xml:space="preserve">et </w:t>
      </w:r>
      <w:proofErr w:type="gramStart"/>
      <w:r w:rsidRPr="00246B02">
        <w:rPr>
          <w:rFonts w:ascii="Book Antiqua" w:hAnsi="Book Antiqua" w:cs="Times New Roman"/>
          <w:i/>
          <w:color w:val="000000" w:themeColor="text1"/>
          <w:sz w:val="24"/>
          <w:szCs w:val="24"/>
        </w:rPr>
        <w:t>al</w:t>
      </w:r>
      <w:r w:rsidR="00863F32" w:rsidRPr="00246B02">
        <w:rPr>
          <w:rFonts w:ascii="Book Antiqua" w:eastAsia="System" w:hAnsi="Book Antiqua" w:cs="Times New Roman"/>
          <w:noProof/>
          <w:color w:val="000000" w:themeColor="text1"/>
          <w:sz w:val="24"/>
          <w:szCs w:val="24"/>
          <w:vertAlign w:val="superscript"/>
        </w:rPr>
        <w:t>[</w:t>
      </w:r>
      <w:proofErr w:type="gramEnd"/>
      <w:r w:rsidR="00863F32" w:rsidRPr="00246B02">
        <w:rPr>
          <w:rFonts w:ascii="Book Antiqua" w:hAnsi="Book Antiqua" w:cs="Times New Roman"/>
          <w:noProof/>
          <w:color w:val="000000" w:themeColor="text1"/>
          <w:sz w:val="24"/>
          <w:szCs w:val="24"/>
          <w:vertAlign w:val="superscript"/>
        </w:rPr>
        <w:t>69]</w:t>
      </w:r>
      <w:r w:rsidRPr="00246B02">
        <w:rPr>
          <w:rFonts w:ascii="Book Antiqua" w:hAnsi="Book Antiqua" w:cs="Times New Roman"/>
          <w:color w:val="000000" w:themeColor="text1"/>
          <w:sz w:val="24"/>
          <w:szCs w:val="24"/>
        </w:rPr>
        <w:t xml:space="preserve"> enrolled </w:t>
      </w:r>
      <w:r w:rsidR="00D679D0">
        <w:rPr>
          <w:rFonts w:ascii="Book Antiqua" w:hAnsi="Book Antiqua" w:cs="Times New Roman"/>
          <w:color w:val="000000" w:themeColor="text1"/>
          <w:sz w:val="24"/>
          <w:szCs w:val="24"/>
        </w:rPr>
        <w:t>20</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eligible patients with neoadjuvant letrozole plus palbociclib treatment in </w:t>
      </w:r>
      <w:r w:rsidR="00D679D0">
        <w:rPr>
          <w:rFonts w:ascii="Book Antiqua" w:hAnsi="Book Antiqua" w:cs="Times New Roman"/>
          <w:color w:val="000000" w:themeColor="text1"/>
          <w:sz w:val="24"/>
          <w:szCs w:val="24"/>
        </w:rPr>
        <w:t>four</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repeated cycles. The EP score was significantly reduced after NAE, and patients </w:t>
      </w:r>
      <w:r w:rsidR="00D679D0">
        <w:rPr>
          <w:rFonts w:ascii="Book Antiqua" w:hAnsi="Book Antiqua" w:cs="Times New Roman"/>
          <w:color w:val="000000" w:themeColor="text1"/>
          <w:sz w:val="24"/>
          <w:szCs w:val="24"/>
        </w:rPr>
        <w:t>in the</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high PEPI category had high EPclin scores, indicating that EPclin might be a better predictive marker than </w:t>
      </w:r>
      <w:proofErr w:type="gramStart"/>
      <w:r w:rsidRPr="00246B02">
        <w:rPr>
          <w:rFonts w:ascii="Book Antiqua" w:hAnsi="Book Antiqua" w:cs="Times New Roman"/>
          <w:color w:val="000000" w:themeColor="text1"/>
          <w:sz w:val="24"/>
          <w:szCs w:val="24"/>
        </w:rPr>
        <w:t>PEPI</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69]</w:t>
      </w:r>
      <w:r w:rsidRPr="00246B02">
        <w:rPr>
          <w:rFonts w:ascii="Book Antiqua" w:hAnsi="Book Antiqua" w:cs="Times New Roman"/>
          <w:color w:val="000000" w:themeColor="text1"/>
          <w:sz w:val="24"/>
          <w:szCs w:val="24"/>
        </w:rPr>
        <w:t xml:space="preserve">. A retrospective analysis of ABCSG 34 reported at SABCS 2017 also examined the predictive role of EP score. The results after 6 months of neoadjuvant letrozole treatment showed that 27.3% of low-risk and 7.7% of high-risk patients achieved residual cancer </w:t>
      </w:r>
      <w:proofErr w:type="gramStart"/>
      <w:r w:rsidRPr="00246B02">
        <w:rPr>
          <w:rFonts w:ascii="Book Antiqua" w:hAnsi="Book Antiqua" w:cs="Times New Roman"/>
          <w:color w:val="000000" w:themeColor="text1"/>
          <w:sz w:val="24"/>
          <w:szCs w:val="24"/>
        </w:rPr>
        <w:t>burden</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70]</w:t>
      </w:r>
      <w:r w:rsidRPr="00246B02">
        <w:rPr>
          <w:rFonts w:ascii="Book Antiqua" w:hAnsi="Book Antiqua" w:cs="Times New Roman"/>
          <w:color w:val="000000" w:themeColor="text1"/>
          <w:sz w:val="24"/>
          <w:szCs w:val="24"/>
        </w:rPr>
        <w:t xml:space="preserve">. The EP assay may help guide neoadjuvant therapy. Lower genomic risk is related to </w:t>
      </w:r>
      <w:r w:rsidR="00D679D0">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favorable response to NAE and worse response to NAC. </w:t>
      </w:r>
      <w:bookmarkStart w:id="4" w:name="_Hlk12049937"/>
      <w:r w:rsidRPr="00246B02">
        <w:rPr>
          <w:rFonts w:ascii="Book Antiqua" w:hAnsi="Book Antiqua" w:cs="Times New Roman"/>
          <w:color w:val="000000" w:themeColor="text1"/>
          <w:sz w:val="24"/>
          <w:szCs w:val="24"/>
        </w:rPr>
        <w:t>Further studies should be conducted to verify whether EP and EPclin</w:t>
      </w:r>
      <w:r w:rsidR="00B83ED2" w:rsidRPr="00246B02">
        <w:rPr>
          <w:rFonts w:ascii="Book Antiqua" w:hAnsi="Book Antiqua" w:cs="Times New Roman"/>
          <w:color w:val="000000" w:themeColor="text1"/>
          <w:sz w:val="24"/>
          <w:szCs w:val="24"/>
        </w:rPr>
        <w:t xml:space="preserve"> scores</w:t>
      </w:r>
      <w:r w:rsidRPr="00246B02">
        <w:rPr>
          <w:rFonts w:ascii="Book Antiqua" w:hAnsi="Book Antiqua" w:cs="Times New Roman"/>
          <w:color w:val="000000" w:themeColor="text1"/>
          <w:sz w:val="24"/>
          <w:szCs w:val="24"/>
        </w:rPr>
        <w:t xml:space="preserve"> can</w:t>
      </w:r>
      <w:r w:rsidR="00670FE4" w:rsidRPr="00246B02">
        <w:rPr>
          <w:rFonts w:ascii="Book Antiqua" w:hAnsi="Book Antiqua" w:cs="Times New Roman"/>
          <w:color w:val="000000" w:themeColor="text1"/>
          <w:sz w:val="24"/>
          <w:szCs w:val="24"/>
        </w:rPr>
        <w:t xml:space="preserve"> act</w:t>
      </w:r>
      <w:r w:rsidRPr="00246B02">
        <w:rPr>
          <w:rFonts w:ascii="Book Antiqua" w:hAnsi="Book Antiqua" w:cs="Times New Roman"/>
          <w:color w:val="000000" w:themeColor="text1"/>
          <w:sz w:val="24"/>
          <w:szCs w:val="24"/>
        </w:rPr>
        <w:t xml:space="preserve"> </w:t>
      </w:r>
      <w:r w:rsidR="00B83ED2" w:rsidRPr="00246B02">
        <w:rPr>
          <w:rFonts w:ascii="Book Antiqua" w:hAnsi="Book Antiqua" w:cs="Times New Roman"/>
          <w:color w:val="000000" w:themeColor="text1"/>
          <w:sz w:val="24"/>
          <w:szCs w:val="24"/>
        </w:rPr>
        <w:t xml:space="preserve">as alternative </w:t>
      </w:r>
      <w:r w:rsidRPr="00246B02">
        <w:rPr>
          <w:rFonts w:ascii="Book Antiqua" w:hAnsi="Book Antiqua" w:cs="Times New Roman"/>
          <w:color w:val="000000" w:themeColor="text1"/>
          <w:sz w:val="24"/>
          <w:szCs w:val="24"/>
        </w:rPr>
        <w:t xml:space="preserve">parameters </w:t>
      </w:r>
      <w:r w:rsidR="00B83ED2" w:rsidRPr="00246B02">
        <w:rPr>
          <w:rFonts w:ascii="Book Antiqua" w:hAnsi="Book Antiqua" w:cs="Times New Roman"/>
          <w:color w:val="000000" w:themeColor="text1"/>
          <w:sz w:val="24"/>
          <w:szCs w:val="24"/>
        </w:rPr>
        <w:t xml:space="preserve">for </w:t>
      </w:r>
      <w:r w:rsidRPr="00246B02">
        <w:rPr>
          <w:rFonts w:ascii="Book Antiqua" w:hAnsi="Book Antiqua" w:cs="Times New Roman"/>
          <w:color w:val="000000" w:themeColor="text1"/>
          <w:sz w:val="24"/>
          <w:szCs w:val="24"/>
        </w:rPr>
        <w:t xml:space="preserve">prognosis </w:t>
      </w:r>
      <w:r w:rsidR="00B83ED2" w:rsidRPr="00246B02">
        <w:rPr>
          <w:rFonts w:ascii="Book Antiqua" w:hAnsi="Book Antiqua" w:cs="Times New Roman"/>
          <w:color w:val="000000" w:themeColor="text1"/>
          <w:sz w:val="24"/>
          <w:szCs w:val="24"/>
        </w:rPr>
        <w:t>in NAE settings</w:t>
      </w:r>
      <w:r w:rsidRPr="00246B02">
        <w:rPr>
          <w:rFonts w:ascii="Book Antiqua" w:hAnsi="Book Antiqua" w:cs="Times New Roman"/>
          <w:color w:val="000000" w:themeColor="text1"/>
          <w:sz w:val="24"/>
          <w:szCs w:val="24"/>
        </w:rPr>
        <w:t xml:space="preserve"> in </w:t>
      </w:r>
      <w:r w:rsidR="00D679D0">
        <w:rPr>
          <w:rFonts w:ascii="Book Antiqua" w:hAnsi="Book Antiqua" w:cs="Times New Roman"/>
          <w:color w:val="000000" w:themeColor="text1"/>
          <w:sz w:val="24"/>
          <w:szCs w:val="24"/>
        </w:rPr>
        <w:t xml:space="preserve">a </w:t>
      </w:r>
      <w:r w:rsidR="00B83ED2" w:rsidRPr="00246B02">
        <w:rPr>
          <w:rFonts w:ascii="Book Antiqua" w:hAnsi="Book Antiqua" w:cs="Times New Roman"/>
          <w:color w:val="000000" w:themeColor="text1"/>
          <w:sz w:val="24"/>
          <w:szCs w:val="24"/>
        </w:rPr>
        <w:t xml:space="preserve">wide </w:t>
      </w:r>
      <w:r w:rsidRPr="00246B02">
        <w:rPr>
          <w:rFonts w:ascii="Book Antiqua" w:hAnsi="Book Antiqua" w:cs="Times New Roman"/>
          <w:color w:val="000000" w:themeColor="text1"/>
          <w:sz w:val="24"/>
          <w:szCs w:val="24"/>
        </w:rPr>
        <w:t>range of population.</w:t>
      </w:r>
      <w:bookmarkEnd w:id="4"/>
    </w:p>
    <w:p w14:paraId="6BE758C9" w14:textId="77777777" w:rsidR="00837F36" w:rsidRPr="00D679D0" w:rsidRDefault="00837F36" w:rsidP="00246B02">
      <w:pPr>
        <w:spacing w:line="360" w:lineRule="auto"/>
        <w:jc w:val="both"/>
        <w:rPr>
          <w:rFonts w:ascii="Book Antiqua" w:hAnsi="Book Antiqua" w:cs="Times New Roman"/>
          <w:color w:val="000000" w:themeColor="text1"/>
          <w:sz w:val="24"/>
          <w:szCs w:val="24"/>
        </w:rPr>
      </w:pPr>
    </w:p>
    <w:p w14:paraId="07F970E1" w14:textId="5D6CC5B5"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MammaPrint and BluePrint assay</w:t>
      </w:r>
      <w:r w:rsidR="00D679D0">
        <w:rPr>
          <w:rFonts w:ascii="Book Antiqua" w:hAnsi="Book Antiqua" w:cs="Times New Roman"/>
          <w:b/>
          <w:color w:val="000000" w:themeColor="text1"/>
          <w:sz w:val="24"/>
          <w:szCs w:val="24"/>
        </w:rPr>
        <w:t>s</w:t>
      </w:r>
      <w:r w:rsidR="00863F32"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The MammaPrint</w:t>
      </w:r>
      <w:r w:rsidRPr="00246B02">
        <w:rPr>
          <w:rFonts w:ascii="Book Antiqua" w:hAnsi="Book Antiqua" w:cs="Times New Roman"/>
          <w:color w:val="000000" w:themeColor="text1"/>
          <w:sz w:val="24"/>
          <w:szCs w:val="24"/>
          <w:vertAlign w:val="superscript"/>
        </w:rPr>
        <w:t>®</w:t>
      </w:r>
      <w:r w:rsidRPr="00246B02">
        <w:rPr>
          <w:rFonts w:ascii="Book Antiqua" w:hAnsi="Book Antiqua" w:cs="Times New Roman"/>
          <w:color w:val="000000" w:themeColor="text1"/>
          <w:sz w:val="24"/>
          <w:szCs w:val="24"/>
        </w:rPr>
        <w:t xml:space="preserve"> assay, a 70-gene genomic assay, was of great significance in the accurate guidance of treatment decisions for breast cancer patients in adjuvant </w:t>
      </w:r>
      <w:proofErr w:type="gramStart"/>
      <w:r w:rsidRPr="00246B02">
        <w:rPr>
          <w:rFonts w:ascii="Book Antiqua" w:hAnsi="Book Antiqua" w:cs="Times New Roman"/>
          <w:color w:val="000000" w:themeColor="text1"/>
          <w:sz w:val="24"/>
          <w:szCs w:val="24"/>
        </w:rPr>
        <w:t>settings</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71]</w:t>
      </w:r>
      <w:r w:rsidRPr="00246B02">
        <w:rPr>
          <w:rFonts w:ascii="Book Antiqua" w:hAnsi="Book Antiqua" w:cs="Times New Roman"/>
          <w:color w:val="000000" w:themeColor="text1"/>
          <w:sz w:val="24"/>
          <w:szCs w:val="24"/>
        </w:rPr>
        <w:t>. BluePrint</w:t>
      </w:r>
      <w:r w:rsidRPr="00246B02">
        <w:rPr>
          <w:rFonts w:ascii="Book Antiqua" w:hAnsi="Book Antiqua" w:cs="Times New Roman"/>
          <w:color w:val="000000" w:themeColor="text1"/>
          <w:sz w:val="24"/>
          <w:szCs w:val="24"/>
          <w:vertAlign w:val="superscript"/>
        </w:rPr>
        <w:t>®</w:t>
      </w:r>
      <w:r w:rsidRPr="00246B02">
        <w:rPr>
          <w:rFonts w:ascii="Book Antiqua" w:hAnsi="Book Antiqua" w:cs="Times New Roman"/>
          <w:color w:val="000000" w:themeColor="text1"/>
          <w:sz w:val="24"/>
          <w:szCs w:val="24"/>
        </w:rPr>
        <w:t xml:space="preserve">, a molecular profile that integrates the expression levels of 80 genes, can act </w:t>
      </w:r>
      <w:r w:rsidR="00B114E5" w:rsidRPr="00246B02">
        <w:rPr>
          <w:rFonts w:ascii="Book Antiqua" w:hAnsi="Book Antiqua" w:cs="Times New Roman"/>
          <w:color w:val="000000" w:themeColor="text1"/>
          <w:sz w:val="24"/>
          <w:szCs w:val="24"/>
        </w:rPr>
        <w:t xml:space="preserve">as a complement with </w:t>
      </w:r>
      <w:proofErr w:type="gramStart"/>
      <w:r w:rsidR="00B114E5" w:rsidRPr="00246B02">
        <w:rPr>
          <w:rFonts w:ascii="Book Antiqua" w:hAnsi="Book Antiqua" w:cs="Times New Roman"/>
          <w:color w:val="000000" w:themeColor="text1"/>
          <w:sz w:val="24"/>
          <w:szCs w:val="24"/>
        </w:rPr>
        <w:t>MammaPrint</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72]</w:t>
      </w:r>
      <w:r w:rsidRPr="00246B02">
        <w:rPr>
          <w:rFonts w:ascii="Book Antiqua" w:hAnsi="Book Antiqua" w:cs="Times New Roman"/>
          <w:color w:val="000000" w:themeColor="text1"/>
          <w:sz w:val="24"/>
          <w:szCs w:val="24"/>
        </w:rPr>
        <w:t xml:space="preserve">. According to MammaPrint and BluePrint assays, patients were classified into four molecular subgroups: Luminal A, Luminal B, HER2, and Basal type. The identification of chemosensitivities or endocrine sensitivities in patients with different subtypes can provide insight into the response and prognosis of neoadjuvant therapy. </w:t>
      </w:r>
      <w:r w:rsidR="00D679D0">
        <w:rPr>
          <w:rFonts w:ascii="Book Antiqua" w:hAnsi="Book Antiqua" w:cs="Times New Roman"/>
          <w:color w:val="000000" w:themeColor="text1"/>
          <w:sz w:val="24"/>
          <w:szCs w:val="24"/>
        </w:rPr>
        <w:t>The</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NBRST trial was designed to include patients with histologically proven breast cancer for selecting optimal </w:t>
      </w:r>
      <w:proofErr w:type="gramStart"/>
      <w:r w:rsidRPr="00246B02">
        <w:rPr>
          <w:rFonts w:ascii="Book Antiqua" w:hAnsi="Book Antiqua" w:cs="Times New Roman"/>
          <w:color w:val="000000" w:themeColor="text1"/>
          <w:sz w:val="24"/>
          <w:szCs w:val="24"/>
        </w:rPr>
        <w:t>therapy</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73]</w:t>
      </w:r>
      <w:r w:rsidRPr="00246B02">
        <w:rPr>
          <w:rFonts w:ascii="Book Antiqua" w:hAnsi="Book Antiqua" w:cs="Times New Roman"/>
          <w:color w:val="000000" w:themeColor="text1"/>
          <w:sz w:val="24"/>
          <w:szCs w:val="24"/>
        </w:rPr>
        <w:t xml:space="preserve">. Approximately 68% of patients with BluePrint Luminal breast cancer who received AI therapy and 29% who received tamoxifen had a clinical response in NAE. Patients with MammaPrint Luminal A-subtype tumors had similar clinical efficacy </w:t>
      </w:r>
      <w:r w:rsidR="00D679D0">
        <w:rPr>
          <w:rFonts w:ascii="Book Antiqua" w:hAnsi="Book Antiqua" w:cs="Times New Roman"/>
          <w:color w:val="000000" w:themeColor="text1"/>
          <w:sz w:val="24"/>
          <w:szCs w:val="24"/>
        </w:rPr>
        <w:t xml:space="preserve">to </w:t>
      </w:r>
      <w:r w:rsidRPr="00246B02">
        <w:rPr>
          <w:rFonts w:ascii="Book Antiqua" w:hAnsi="Book Antiqua" w:cs="Times New Roman"/>
          <w:color w:val="000000" w:themeColor="text1"/>
          <w:sz w:val="24"/>
          <w:szCs w:val="24"/>
        </w:rPr>
        <w:t>relatively high-risk Luminal B-subtype patients (CRR</w:t>
      </w:r>
      <w:r w:rsidR="00D679D0">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68.6%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66.7%</w:t>
      </w:r>
      <w:proofErr w:type="gramStart"/>
      <w:r w:rsidRPr="00246B02">
        <w:rPr>
          <w:rFonts w:ascii="Book Antiqua" w:hAnsi="Book Antiqua" w:cs="Times New Roman"/>
          <w:color w:val="000000" w:themeColor="text1"/>
          <w:sz w:val="24"/>
          <w:szCs w:val="24"/>
        </w:rPr>
        <w:t>)</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74]</w:t>
      </w:r>
      <w:r w:rsidRPr="00246B02">
        <w:rPr>
          <w:rFonts w:ascii="Book Antiqua" w:hAnsi="Book Antiqua" w:cs="Times New Roman"/>
          <w:color w:val="000000" w:themeColor="text1"/>
          <w:sz w:val="24"/>
          <w:szCs w:val="24"/>
        </w:rPr>
        <w:t xml:space="preserve">. We discovered that luminal-subtype patients determined by these genomic assays could be valuable candidates for NAE and had a promising prognosis. Limited research focused on MammaPrint and BluePrint prognostic assays for the effective stratification of breast cancer patients in neoadjuvant therapy; therefore, further prospective development is needed to guide clinicians’ decisions. </w:t>
      </w:r>
    </w:p>
    <w:p w14:paraId="076C160C" w14:textId="77777777" w:rsidR="00837F36" w:rsidRPr="00246B02" w:rsidRDefault="00837F36" w:rsidP="00246B02">
      <w:pPr>
        <w:spacing w:line="360" w:lineRule="auto"/>
        <w:jc w:val="both"/>
        <w:rPr>
          <w:rFonts w:ascii="Book Antiqua" w:hAnsi="Book Antiqua" w:cs="Times New Roman"/>
          <w:b/>
          <w:color w:val="000000" w:themeColor="text1"/>
          <w:sz w:val="24"/>
          <w:szCs w:val="24"/>
        </w:rPr>
      </w:pPr>
    </w:p>
    <w:p w14:paraId="21DBFB9B" w14:textId="30E9A040"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Four-gene predictive model</w:t>
      </w:r>
      <w:r w:rsidR="00B114E5"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 xml:space="preserve">A clinical trial reported by </w:t>
      </w:r>
      <w:r w:rsidR="00B114E5" w:rsidRPr="00246B02">
        <w:rPr>
          <w:rFonts w:ascii="Book Antiqua" w:eastAsia="等线" w:hAnsi="Book Antiqua"/>
          <w:noProof/>
          <w:color w:val="000000" w:themeColor="text1"/>
          <w:sz w:val="24"/>
          <w:szCs w:val="24"/>
        </w:rPr>
        <w:t>Turnbull</w:t>
      </w:r>
      <w:r w:rsidR="00B114E5" w:rsidRPr="00246B02">
        <w:rPr>
          <w:rFonts w:ascii="Book Antiqua" w:eastAsia="等线" w:hAnsi="Book Antiqua"/>
          <w:b/>
          <w:noProof/>
          <w:color w:val="000000" w:themeColor="text1"/>
          <w:sz w:val="24"/>
          <w:szCs w:val="24"/>
        </w:rPr>
        <w:t xml:space="preserve"> </w:t>
      </w:r>
      <w:r w:rsidRPr="00246B02">
        <w:rPr>
          <w:rFonts w:ascii="Book Antiqua" w:hAnsi="Book Antiqua" w:cs="Times New Roman"/>
          <w:i/>
          <w:color w:val="000000" w:themeColor="text1"/>
          <w:sz w:val="24"/>
          <w:szCs w:val="24"/>
        </w:rPr>
        <w:t xml:space="preserve">et </w:t>
      </w:r>
      <w:proofErr w:type="gramStart"/>
      <w:r w:rsidRPr="00246B02">
        <w:rPr>
          <w:rFonts w:ascii="Book Antiqua" w:hAnsi="Book Antiqua" w:cs="Times New Roman"/>
          <w:i/>
          <w:color w:val="000000" w:themeColor="text1"/>
          <w:sz w:val="24"/>
          <w:szCs w:val="24"/>
        </w:rPr>
        <w:t>al</w:t>
      </w:r>
      <w:r w:rsidR="00B114E5" w:rsidRPr="00246B02">
        <w:rPr>
          <w:rFonts w:ascii="Book Antiqua" w:eastAsia="System" w:hAnsi="Book Antiqua" w:cs="Times New Roman"/>
          <w:noProof/>
          <w:color w:val="000000" w:themeColor="text1"/>
          <w:sz w:val="24"/>
          <w:szCs w:val="24"/>
          <w:vertAlign w:val="superscript"/>
        </w:rPr>
        <w:t>[</w:t>
      </w:r>
      <w:proofErr w:type="gramEnd"/>
      <w:r w:rsidR="00B114E5" w:rsidRPr="00246B02">
        <w:rPr>
          <w:rFonts w:ascii="Book Antiqua" w:hAnsi="Book Antiqua" w:cs="Times New Roman"/>
          <w:noProof/>
          <w:color w:val="000000" w:themeColor="text1"/>
          <w:sz w:val="24"/>
          <w:szCs w:val="24"/>
          <w:vertAlign w:val="superscript"/>
        </w:rPr>
        <w:t>75]</w:t>
      </w:r>
      <w:r w:rsidRPr="00246B02">
        <w:rPr>
          <w:rFonts w:ascii="Book Antiqua" w:hAnsi="Book Antiqua" w:cs="Times New Roman"/>
          <w:color w:val="000000" w:themeColor="text1"/>
          <w:sz w:val="24"/>
          <w:szCs w:val="24"/>
        </w:rPr>
        <w:t xml:space="preserve"> provided a four-gene predictive model combining two pretreatment genes (immune-related </w:t>
      </w:r>
      <w:r w:rsidRPr="00246B02">
        <w:rPr>
          <w:rFonts w:ascii="Book Antiqua" w:hAnsi="Book Antiqua" w:cs="Times New Roman"/>
          <w:i/>
          <w:color w:val="000000" w:themeColor="text1"/>
          <w:sz w:val="24"/>
          <w:szCs w:val="24"/>
        </w:rPr>
        <w:t>IL6ST</w:t>
      </w:r>
      <w:r w:rsidRPr="00246B02">
        <w:rPr>
          <w:rFonts w:ascii="Book Antiqua" w:hAnsi="Book Antiqua" w:cs="Times New Roman"/>
          <w:color w:val="000000" w:themeColor="text1"/>
          <w:sz w:val="24"/>
          <w:szCs w:val="24"/>
        </w:rPr>
        <w:t xml:space="preserve"> and apoptosis-related </w:t>
      </w:r>
      <w:r w:rsidRPr="00246B02">
        <w:rPr>
          <w:rFonts w:ascii="Book Antiqua" w:hAnsi="Book Antiqua" w:cs="Times New Roman"/>
          <w:i/>
          <w:color w:val="000000" w:themeColor="text1"/>
          <w:sz w:val="24"/>
          <w:szCs w:val="24"/>
        </w:rPr>
        <w:t>NGFRAP1</w:t>
      </w:r>
      <w:r w:rsidRPr="00246B02">
        <w:rPr>
          <w:rFonts w:ascii="Book Antiqua" w:hAnsi="Book Antiqua" w:cs="Times New Roman"/>
          <w:color w:val="000000" w:themeColor="text1"/>
          <w:sz w:val="24"/>
          <w:szCs w:val="24"/>
        </w:rPr>
        <w:t xml:space="preserve">) and two on-treatment genes (proliferation-related </w:t>
      </w:r>
      <w:r w:rsidRPr="00246B02">
        <w:rPr>
          <w:rFonts w:ascii="Book Antiqua" w:hAnsi="Book Antiqua" w:cs="Times New Roman"/>
          <w:i/>
          <w:color w:val="000000" w:themeColor="text1"/>
          <w:sz w:val="24"/>
          <w:szCs w:val="24"/>
        </w:rPr>
        <w:t xml:space="preserve">ASPM </w:t>
      </w:r>
      <w:r w:rsidRPr="00246B02">
        <w:rPr>
          <w:rFonts w:ascii="Book Antiqua" w:hAnsi="Book Antiqua" w:cs="Times New Roman"/>
          <w:color w:val="000000" w:themeColor="text1"/>
          <w:sz w:val="24"/>
          <w:szCs w:val="24"/>
        </w:rPr>
        <w:t>and</w:t>
      </w:r>
      <w:r w:rsidRPr="00246B02">
        <w:rPr>
          <w:rFonts w:ascii="Book Antiqua" w:hAnsi="Book Antiqua" w:cs="Times New Roman"/>
          <w:i/>
          <w:color w:val="000000" w:themeColor="text1"/>
          <w:sz w:val="24"/>
          <w:szCs w:val="24"/>
        </w:rPr>
        <w:t xml:space="preserve"> MCM4</w:t>
      </w:r>
      <w:r w:rsidRPr="00246B02">
        <w:rPr>
          <w:rFonts w:ascii="Book Antiqua" w:hAnsi="Book Antiqua" w:cs="Times New Roman"/>
          <w:color w:val="000000" w:themeColor="text1"/>
          <w:sz w:val="24"/>
          <w:szCs w:val="24"/>
        </w:rPr>
        <w:t>) after 2 weeks of letrozole therapy to forecast clinical response with an accuracy of 96%</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75]</w:t>
      </w:r>
      <w:r w:rsidRPr="00246B02">
        <w:rPr>
          <w:rFonts w:ascii="Book Antiqua" w:hAnsi="Book Antiqua" w:cs="Times New Roman"/>
          <w:color w:val="000000" w:themeColor="text1"/>
          <w:sz w:val="24"/>
          <w:szCs w:val="24"/>
        </w:rPr>
        <w:t xml:space="preserve">. Another blinded independent setting of patients receiving anastrozole yielded similar results, with an accuracy of 91%. The gene signature can be </w:t>
      </w:r>
      <w:r w:rsidRPr="00246B02">
        <w:rPr>
          <w:rFonts w:ascii="Book Antiqua" w:hAnsi="Book Antiqua" w:cs="Times New Roman"/>
          <w:color w:val="000000" w:themeColor="text1"/>
          <w:sz w:val="24"/>
          <w:szCs w:val="24"/>
        </w:rPr>
        <w:lastRenderedPageBreak/>
        <w:t xml:space="preserve">significantly associated with RFS and BCS, and accurately measured and performed by PCR and immunohistochemistry, which can give confidence to guide treatment decisions and facilitate further </w:t>
      </w:r>
      <w:proofErr w:type="gramStart"/>
      <w:r w:rsidRPr="00246B02">
        <w:rPr>
          <w:rFonts w:ascii="Book Antiqua" w:hAnsi="Book Antiqua" w:cs="Times New Roman"/>
          <w:color w:val="000000" w:themeColor="text1"/>
          <w:sz w:val="24"/>
          <w:szCs w:val="24"/>
        </w:rPr>
        <w:t>applications</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hAnsi="Book Antiqua" w:cs="Times New Roman"/>
          <w:noProof/>
          <w:color w:val="000000" w:themeColor="text1"/>
          <w:sz w:val="24"/>
          <w:szCs w:val="24"/>
          <w:vertAlign w:val="superscript"/>
        </w:rPr>
        <w:t>76]</w:t>
      </w:r>
      <w:r w:rsidRPr="00246B02">
        <w:rPr>
          <w:rFonts w:ascii="Book Antiqua" w:hAnsi="Book Antiqua" w:cs="Times New Roman"/>
          <w:color w:val="000000" w:themeColor="text1"/>
          <w:sz w:val="24"/>
          <w:szCs w:val="24"/>
        </w:rPr>
        <w:t>. Although it is a viable result as a predictive biomarker based on one small, retrospective analysis, it needs to be confirmed in large, prospective clinical trials.</w:t>
      </w:r>
    </w:p>
    <w:p w14:paraId="0F501DB0"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0F8F9B25" w14:textId="01328DBF" w:rsidR="00837F36" w:rsidRPr="00246B02" w:rsidRDefault="00C836FF"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DISCUSSION AND FUTURE OUTLOOK</w:t>
      </w:r>
    </w:p>
    <w:p w14:paraId="067995F7" w14:textId="0DB57585"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NAE is a favorable alternate approach treatment to NAC for patients with ER+ breast cancer. Given efficacy and good tolerance associated with NAE, especially as NECT, consideration and identification of the optimal settings are of great significance for precision treatment. We consider that extended NAE therapy </w:t>
      </w:r>
      <w:r w:rsidR="00D96BEF" w:rsidRPr="00246B02">
        <w:rPr>
          <w:rFonts w:ascii="Book Antiqua" w:hAnsi="Book Antiqua" w:cs="Times New Roman"/>
          <w:color w:val="000000" w:themeColor="text1"/>
          <w:sz w:val="24"/>
          <w:szCs w:val="24"/>
        </w:rPr>
        <w:t>ha</w:t>
      </w:r>
      <w:r w:rsidR="00D96BEF">
        <w:rPr>
          <w:rFonts w:ascii="Book Antiqua" w:hAnsi="Book Antiqua" w:cs="Times New Roman"/>
          <w:color w:val="000000" w:themeColor="text1"/>
          <w:sz w:val="24"/>
          <w:szCs w:val="24"/>
        </w:rPr>
        <w:t>s</w:t>
      </w:r>
      <w:r w:rsidR="00D96BEF" w:rsidRPr="00246B02">
        <w:rPr>
          <w:rFonts w:ascii="Book Antiqua" w:hAnsi="Book Antiqua" w:cs="Times New Roman"/>
          <w:color w:val="000000" w:themeColor="text1"/>
          <w:sz w:val="24"/>
          <w:szCs w:val="24"/>
        </w:rPr>
        <w:t xml:space="preserve"> </w:t>
      </w:r>
      <w:r w:rsidR="00D96BEF">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greater potential to result in tumor regression and BCS eligibility, but the optimal treatment duration remains to be further validated. The optimal endocrine agents have been widely discussed in neoadjuvant settings. For postmenopausal patients, AIs demonstrated superiority over TAM, and clinical efficacy is biologically and clinically equivalent among letrozole, anastrozole, and exemestane. For premenopausal patients, AI plus OFS is a beneficial strategy in both adjuvant and neoadjuvant settings despite limited data, as mentioned. The effective role of fulvestrant in NAE has also been indicated above. Additional relevant studies are demanded for the helpful knowledge of endocrine agents to define the most appropriate medication and investigate combination approaches in both postmenopausal and</w:t>
      </w:r>
      <w:r w:rsidR="00600B3F" w:rsidRPr="00246B02">
        <w:rPr>
          <w:rFonts w:ascii="Book Antiqua" w:hAnsi="Book Antiqua" w:cs="Times New Roman"/>
          <w:color w:val="000000" w:themeColor="text1"/>
          <w:sz w:val="24"/>
          <w:szCs w:val="24"/>
        </w:rPr>
        <w:t xml:space="preserve"> premenopausal patients in NAE.</w:t>
      </w:r>
    </w:p>
    <w:p w14:paraId="5E1359F6" w14:textId="056A20A0"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Multiple trials have demonstrated that combination approaches with targeted agents are effective in inducing cell cycle arrest and preventing tumor progression. The potential antiproliferative effect of CDK4/6 inhibitors, especially palbociclib, has been confirmed to be broadly applicable to ER+ breast cancer patients in NAE. However, insufficient data </w:t>
      </w:r>
      <w:r w:rsidR="00D96BEF" w:rsidRPr="00246B02">
        <w:rPr>
          <w:rFonts w:ascii="Book Antiqua" w:hAnsi="Book Antiqua" w:cs="Times New Roman"/>
          <w:color w:val="000000" w:themeColor="text1"/>
          <w:sz w:val="24"/>
          <w:szCs w:val="24"/>
        </w:rPr>
        <w:t>ha</w:t>
      </w:r>
      <w:r w:rsidR="00D96BEF">
        <w:rPr>
          <w:rFonts w:ascii="Book Antiqua" w:hAnsi="Book Antiqua" w:cs="Times New Roman"/>
          <w:color w:val="000000" w:themeColor="text1"/>
          <w:sz w:val="24"/>
          <w:szCs w:val="24"/>
        </w:rPr>
        <w:t>ve</w:t>
      </w:r>
      <w:r w:rsidR="00D96BEF"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been published for PI3K/AKT/mTOR pathway inhibitors. Attempts to promote endocrine response and address mechanisms of both “</w:t>
      </w:r>
      <w:r w:rsidRPr="00C9453D">
        <w:rPr>
          <w:rFonts w:ascii="Book Antiqua" w:hAnsi="Book Antiqua" w:cs="Times New Roman"/>
          <w:i/>
          <w:color w:val="000000" w:themeColor="text1"/>
          <w:sz w:val="24"/>
          <w:szCs w:val="24"/>
        </w:rPr>
        <w:t>de novo</w:t>
      </w:r>
      <w:r w:rsidRPr="00246B02">
        <w:rPr>
          <w:rFonts w:ascii="Book Antiqua" w:hAnsi="Book Antiqua" w:cs="Times New Roman"/>
          <w:color w:val="000000" w:themeColor="text1"/>
          <w:sz w:val="24"/>
          <w:szCs w:val="24"/>
        </w:rPr>
        <w:t xml:space="preserve">” and acquired </w:t>
      </w:r>
      <w:r w:rsidRPr="00246B02">
        <w:rPr>
          <w:rFonts w:ascii="Book Antiqua" w:hAnsi="Book Antiqua" w:cs="Times New Roman"/>
          <w:color w:val="000000" w:themeColor="text1"/>
          <w:sz w:val="24"/>
          <w:szCs w:val="24"/>
        </w:rPr>
        <w:lastRenderedPageBreak/>
        <w:t xml:space="preserve">endocrine resistance by application of targeted agents through specific intracellular signaling pathways are encouraged. </w:t>
      </w:r>
    </w:p>
    <w:p w14:paraId="6EA0B76F" w14:textId="2E1A6BB0"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Apart from that, NAE will also provide a well-recognized scenario for biomarker research related to cell proliferation. The establishment of the Ki67 biomarker, which can replace the conventional clinical endpoint of tumor shrinkage, offered a feasible approach to reveal the antiproliferative effect of different </w:t>
      </w:r>
      <w:proofErr w:type="gramStart"/>
      <w:r w:rsidRPr="00246B02">
        <w:rPr>
          <w:rFonts w:ascii="Book Antiqua" w:hAnsi="Book Antiqua" w:cs="Times New Roman"/>
          <w:color w:val="000000" w:themeColor="text1"/>
          <w:sz w:val="24"/>
          <w:szCs w:val="24"/>
        </w:rPr>
        <w:t>drugs</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77]</w:t>
      </w:r>
      <w:r w:rsidRPr="00246B02">
        <w:rPr>
          <w:rFonts w:ascii="Book Antiqua" w:hAnsi="Book Antiqua" w:cs="Times New Roman"/>
          <w:color w:val="000000" w:themeColor="text1"/>
          <w:sz w:val="24"/>
          <w:szCs w:val="24"/>
        </w:rPr>
        <w:t xml:space="preserve">. Moreover, Ki67 levels in postsurgical biopsies have been validated as an effective predictive tool for prognosis and facilitated the development of biomarker-based prognosis estimation. PEPI </w:t>
      </w:r>
      <w:r w:rsidR="00D96BEF" w:rsidRPr="00246B02">
        <w:rPr>
          <w:rFonts w:ascii="Book Antiqua" w:hAnsi="Book Antiqua" w:cs="Times New Roman"/>
          <w:color w:val="000000" w:themeColor="text1"/>
          <w:sz w:val="24"/>
          <w:szCs w:val="24"/>
        </w:rPr>
        <w:t>integrat</w:t>
      </w:r>
      <w:r w:rsidR="00D96BEF">
        <w:rPr>
          <w:rFonts w:ascii="Book Antiqua" w:hAnsi="Book Antiqua" w:cs="Times New Roman"/>
          <w:color w:val="000000" w:themeColor="text1"/>
          <w:sz w:val="24"/>
          <w:szCs w:val="24"/>
        </w:rPr>
        <w:t>ing</w:t>
      </w:r>
      <w:r w:rsidR="00D96BEF"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four risk parameters associated with survival</w:t>
      </w:r>
      <w:r w:rsidR="00D96BEF">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was further confirmed to predict RFS. The ongoing and highly anticipated ALTERNATE trial aimed to assess the validity of Ki67 level measurement following 4 </w:t>
      </w:r>
      <w:r w:rsidR="00600B3F" w:rsidRPr="00246B02">
        <w:rPr>
          <w:rFonts w:ascii="Book Antiqua" w:hAnsi="Book Antiqua" w:cs="Times New Roman"/>
          <w:color w:val="000000" w:themeColor="text1"/>
          <w:sz w:val="24"/>
          <w:szCs w:val="24"/>
        </w:rPr>
        <w:t>wk</w:t>
      </w:r>
      <w:r w:rsidRPr="00246B02">
        <w:rPr>
          <w:rFonts w:ascii="Book Antiqua" w:hAnsi="Book Antiqua" w:cs="Times New Roman"/>
          <w:color w:val="000000" w:themeColor="text1"/>
          <w:sz w:val="24"/>
          <w:szCs w:val="24"/>
        </w:rPr>
        <w:t xml:space="preserve"> treatment and a modification of the PEPI score prospectively responding to anastrozole, fulvestrant, or combination </w:t>
      </w:r>
      <w:proofErr w:type="gramStart"/>
      <w:r w:rsidRPr="00246B02">
        <w:rPr>
          <w:rFonts w:ascii="Book Antiqua" w:hAnsi="Book Antiqua" w:cs="Times New Roman"/>
          <w:color w:val="000000" w:themeColor="text1"/>
          <w:sz w:val="24"/>
          <w:szCs w:val="24"/>
        </w:rPr>
        <w:t>therapy</w:t>
      </w:r>
      <w:r w:rsidRPr="00246B02">
        <w:rPr>
          <w:rFonts w:ascii="Book Antiqua" w:eastAsia="System" w:hAnsi="Book Antiqua" w:cs="Times New Roman"/>
          <w:noProof/>
          <w:color w:val="000000" w:themeColor="text1"/>
          <w:sz w:val="24"/>
          <w:szCs w:val="24"/>
          <w:vertAlign w:val="superscript"/>
        </w:rPr>
        <w:t>[</w:t>
      </w:r>
      <w:proofErr w:type="gramEnd"/>
      <w:r w:rsidRPr="00246B02">
        <w:rPr>
          <w:rFonts w:ascii="Book Antiqua" w:eastAsiaTheme="minorHAnsi" w:hAnsi="Book Antiqua" w:cs="Times New Roman"/>
          <w:noProof/>
          <w:color w:val="000000" w:themeColor="text1"/>
          <w:sz w:val="24"/>
          <w:szCs w:val="24"/>
          <w:vertAlign w:val="superscript"/>
        </w:rPr>
        <w:t>78]</w:t>
      </w:r>
      <w:r w:rsidRPr="00246B02">
        <w:rPr>
          <w:rFonts w:ascii="Book Antiqua" w:hAnsi="Book Antiqua" w:cs="Times New Roman"/>
          <w:color w:val="000000" w:themeColor="text1"/>
          <w:sz w:val="24"/>
          <w:szCs w:val="24"/>
        </w:rPr>
        <w:t xml:space="preserve">. If a biomarker-based strategy is ultimately determined, it will help guide the choice of treatment options and achieve the goal of individualized and precise treatment. </w:t>
      </w:r>
    </w:p>
    <w:p w14:paraId="641999CB" w14:textId="55929997"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Compared with the molecular profiles, gene analysis provided more accurate information in predicting response, as </w:t>
      </w:r>
      <w:bookmarkStart w:id="5" w:name="_Hlk12050178"/>
      <w:r w:rsidR="00670FE4" w:rsidRPr="00246B02">
        <w:rPr>
          <w:rFonts w:ascii="Book Antiqua" w:hAnsi="Book Antiqua" w:cs="Times New Roman"/>
          <w:color w:val="000000" w:themeColor="text1"/>
          <w:sz w:val="24"/>
          <w:szCs w:val="24"/>
        </w:rPr>
        <w:t>the results remained the same</w:t>
      </w:r>
      <w:bookmarkEnd w:id="5"/>
      <w:r w:rsidRPr="00246B02">
        <w:rPr>
          <w:rFonts w:ascii="Book Antiqua" w:hAnsi="Book Antiqua" w:cs="Times New Roman"/>
          <w:color w:val="000000" w:themeColor="text1"/>
          <w:sz w:val="24"/>
          <w:szCs w:val="24"/>
        </w:rPr>
        <w:t xml:space="preserve"> during the treatment or washout period. The predictive role of genomic assays in NAE is in its infancy. </w:t>
      </w:r>
      <w:r w:rsidR="00272C5B" w:rsidRPr="00246B02">
        <w:rPr>
          <w:rFonts w:ascii="Book Antiqua" w:hAnsi="Book Antiqua" w:cs="Times New Roman"/>
          <w:color w:val="000000" w:themeColor="text1"/>
          <w:sz w:val="24"/>
          <w:szCs w:val="24"/>
        </w:rPr>
        <w:t>The risk stratification through genetic analysis provide</w:t>
      </w:r>
      <w:r w:rsidR="00673A84" w:rsidRPr="00246B02">
        <w:rPr>
          <w:rFonts w:ascii="Book Antiqua" w:hAnsi="Book Antiqua" w:cs="Times New Roman"/>
          <w:color w:val="000000" w:themeColor="text1"/>
          <w:sz w:val="24"/>
          <w:szCs w:val="24"/>
        </w:rPr>
        <w:t>d</w:t>
      </w:r>
      <w:r w:rsidR="00272C5B" w:rsidRPr="00246B02">
        <w:rPr>
          <w:rFonts w:ascii="Book Antiqua" w:hAnsi="Book Antiqua" w:cs="Times New Roman"/>
          <w:color w:val="000000" w:themeColor="text1"/>
          <w:sz w:val="24"/>
          <w:szCs w:val="24"/>
        </w:rPr>
        <w:t xml:space="preserve"> a unique opportunity to guide neoadjuvant systemic therapies. Different genomic assays </w:t>
      </w:r>
      <w:r w:rsidR="0053546A" w:rsidRPr="00246B02">
        <w:rPr>
          <w:rFonts w:ascii="Book Antiqua" w:hAnsi="Book Antiqua" w:cs="Times New Roman"/>
          <w:color w:val="000000" w:themeColor="text1"/>
          <w:sz w:val="24"/>
          <w:szCs w:val="24"/>
        </w:rPr>
        <w:t>could</w:t>
      </w:r>
      <w:r w:rsidR="00272C5B" w:rsidRPr="00246B02">
        <w:rPr>
          <w:rFonts w:ascii="Book Antiqua" w:hAnsi="Book Antiqua" w:cs="Times New Roman"/>
          <w:color w:val="000000" w:themeColor="text1"/>
          <w:sz w:val="24"/>
          <w:szCs w:val="24"/>
        </w:rPr>
        <w:t xml:space="preserve"> evaluate recurrence risks of individuals</w:t>
      </w:r>
      <w:r w:rsidR="0053546A" w:rsidRPr="00246B02">
        <w:rPr>
          <w:rFonts w:ascii="Book Antiqua" w:hAnsi="Book Antiqua" w:cs="Times New Roman"/>
          <w:color w:val="000000" w:themeColor="text1"/>
          <w:sz w:val="24"/>
          <w:szCs w:val="24"/>
        </w:rPr>
        <w:t xml:space="preserve"> based on </w:t>
      </w:r>
      <w:bookmarkStart w:id="6" w:name="_Hlk12048860"/>
      <w:r w:rsidR="0053546A" w:rsidRPr="00246B02">
        <w:rPr>
          <w:rFonts w:ascii="Book Antiqua" w:hAnsi="Book Antiqua" w:cs="Times New Roman"/>
          <w:color w:val="000000" w:themeColor="text1"/>
          <w:sz w:val="24"/>
          <w:szCs w:val="24"/>
        </w:rPr>
        <w:t>specific related genes and statistical algorithms</w:t>
      </w:r>
      <w:bookmarkEnd w:id="6"/>
      <w:r w:rsidR="003129A1" w:rsidRPr="00246B02">
        <w:rPr>
          <w:rFonts w:ascii="Book Antiqua" w:hAnsi="Book Antiqua" w:cs="Times New Roman"/>
          <w:color w:val="000000" w:themeColor="text1"/>
          <w:sz w:val="24"/>
          <w:szCs w:val="24"/>
        </w:rPr>
        <w:t xml:space="preserve"> and provided various risk stratification</w:t>
      </w:r>
      <w:r w:rsidR="00272C5B" w:rsidRPr="00246B02">
        <w:rPr>
          <w:rFonts w:ascii="Book Antiqua" w:hAnsi="Book Antiqua" w:cs="Times New Roman"/>
          <w:color w:val="000000" w:themeColor="text1"/>
          <w:sz w:val="24"/>
          <w:szCs w:val="24"/>
        </w:rPr>
        <w:t xml:space="preserve">. </w:t>
      </w:r>
      <w:bookmarkStart w:id="7" w:name="_Hlk12048630"/>
      <w:r w:rsidRPr="00246B02">
        <w:rPr>
          <w:rFonts w:ascii="Book Antiqua" w:hAnsi="Book Antiqua" w:cs="Times New Roman"/>
          <w:color w:val="000000" w:themeColor="text1"/>
          <w:sz w:val="24"/>
          <w:szCs w:val="24"/>
        </w:rPr>
        <w:t>Oncotype Dx</w:t>
      </w:r>
      <w:bookmarkEnd w:id="7"/>
      <w:r w:rsidRPr="00246B02">
        <w:rPr>
          <w:rFonts w:ascii="Book Antiqua" w:hAnsi="Book Antiqua" w:cs="Times New Roman"/>
          <w:color w:val="000000" w:themeColor="text1"/>
          <w:sz w:val="24"/>
          <w:szCs w:val="24"/>
        </w:rPr>
        <w:t xml:space="preserve"> has been widely recognized as the most useful potential assay in NAE to screen endocrine or chemo-sensitive individuals</w:t>
      </w:r>
      <w:r w:rsidR="0027493F" w:rsidRPr="00246B02">
        <w:rPr>
          <w:rFonts w:ascii="Book Antiqua" w:hAnsi="Book Antiqua" w:cs="Times New Roman"/>
          <w:color w:val="000000" w:themeColor="text1"/>
          <w:sz w:val="24"/>
          <w:szCs w:val="24"/>
        </w:rPr>
        <w:t xml:space="preserve"> and </w:t>
      </w:r>
      <w:r w:rsidR="00D96BEF" w:rsidRPr="00246B02">
        <w:rPr>
          <w:rFonts w:ascii="Book Antiqua" w:hAnsi="Book Antiqua" w:cs="Times New Roman"/>
          <w:color w:val="000000" w:themeColor="text1"/>
          <w:sz w:val="24"/>
          <w:szCs w:val="24"/>
        </w:rPr>
        <w:t>divide</w:t>
      </w:r>
      <w:r w:rsidR="00D96BEF">
        <w:rPr>
          <w:rFonts w:ascii="Book Antiqua" w:hAnsi="Book Antiqua" w:cs="Times New Roman"/>
          <w:color w:val="000000" w:themeColor="text1"/>
          <w:sz w:val="24"/>
          <w:szCs w:val="24"/>
        </w:rPr>
        <w:t xml:space="preserve"> </w:t>
      </w:r>
      <w:r w:rsidR="0027493F" w:rsidRPr="00246B02">
        <w:rPr>
          <w:rFonts w:ascii="Book Antiqua" w:hAnsi="Book Antiqua" w:cs="Times New Roman"/>
          <w:color w:val="000000" w:themeColor="text1"/>
          <w:sz w:val="24"/>
          <w:szCs w:val="24"/>
        </w:rPr>
        <w:t>individuals according to RS scores into low-risk, moderate-risk</w:t>
      </w:r>
      <w:r w:rsidR="00D96BEF">
        <w:rPr>
          <w:rFonts w:ascii="Book Antiqua" w:hAnsi="Book Antiqua" w:cs="Times New Roman"/>
          <w:color w:val="000000" w:themeColor="text1"/>
          <w:sz w:val="24"/>
          <w:szCs w:val="24"/>
        </w:rPr>
        <w:t>,</w:t>
      </w:r>
      <w:r w:rsidR="0027493F" w:rsidRPr="00246B02">
        <w:rPr>
          <w:rFonts w:ascii="Book Antiqua" w:hAnsi="Book Antiqua" w:cs="Times New Roman"/>
          <w:color w:val="000000" w:themeColor="text1"/>
          <w:sz w:val="24"/>
          <w:szCs w:val="24"/>
        </w:rPr>
        <w:t xml:space="preserve"> and high-risk groups</w:t>
      </w:r>
      <w:r w:rsidRPr="00246B02">
        <w:rPr>
          <w:rFonts w:ascii="Book Antiqua" w:hAnsi="Book Antiqua" w:cs="Times New Roman"/>
          <w:color w:val="000000" w:themeColor="text1"/>
          <w:sz w:val="24"/>
          <w:szCs w:val="24"/>
        </w:rPr>
        <w:t xml:space="preserve">. </w:t>
      </w:r>
      <w:r w:rsidR="00090975" w:rsidRPr="00246B02">
        <w:rPr>
          <w:rFonts w:ascii="Book Antiqua" w:hAnsi="Book Antiqua" w:cs="Times New Roman"/>
          <w:color w:val="000000" w:themeColor="text1"/>
          <w:sz w:val="24"/>
          <w:szCs w:val="24"/>
        </w:rPr>
        <w:t>Inconsistent with Oncotype Dx</w:t>
      </w:r>
      <w:r w:rsidRPr="00246B02">
        <w:rPr>
          <w:rFonts w:ascii="Book Antiqua" w:hAnsi="Book Antiqua" w:cs="Times New Roman"/>
          <w:color w:val="000000" w:themeColor="text1"/>
          <w:sz w:val="24"/>
          <w:szCs w:val="24"/>
        </w:rPr>
        <w:t xml:space="preserve">, </w:t>
      </w:r>
      <w:bookmarkStart w:id="8" w:name="_Hlk12048645"/>
      <w:r w:rsidRPr="00246B02">
        <w:rPr>
          <w:rFonts w:ascii="Book Antiqua" w:hAnsi="Book Antiqua" w:cs="Times New Roman"/>
          <w:color w:val="000000" w:themeColor="text1"/>
          <w:sz w:val="24"/>
          <w:szCs w:val="24"/>
        </w:rPr>
        <w:t>Endopredict and MammaPrint</w:t>
      </w:r>
      <w:bookmarkEnd w:id="8"/>
      <w:r w:rsidRPr="00246B02">
        <w:rPr>
          <w:rFonts w:ascii="Book Antiqua" w:hAnsi="Book Antiqua" w:cs="Times New Roman"/>
          <w:color w:val="000000" w:themeColor="text1"/>
          <w:sz w:val="24"/>
          <w:szCs w:val="24"/>
        </w:rPr>
        <w:t xml:space="preserve"> assays have utility to </w:t>
      </w:r>
      <w:r w:rsidR="00D96BEF">
        <w:rPr>
          <w:rFonts w:ascii="Book Antiqua" w:hAnsi="Book Antiqua" w:cs="Times New Roman"/>
          <w:color w:val="000000" w:themeColor="text1"/>
          <w:sz w:val="24"/>
          <w:szCs w:val="24"/>
        </w:rPr>
        <w:t>classify</w:t>
      </w:r>
      <w:r w:rsidR="00D96BEF"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candidates into high-risk and low-risk groups.</w:t>
      </w:r>
      <w:r w:rsidR="00090975" w:rsidRPr="00246B02">
        <w:rPr>
          <w:rFonts w:ascii="Book Antiqua" w:hAnsi="Book Antiqua" w:cs="Times New Roman"/>
          <w:color w:val="000000" w:themeColor="text1"/>
          <w:sz w:val="24"/>
          <w:szCs w:val="24"/>
        </w:rPr>
        <w:t xml:space="preserve"> Similarly, </w:t>
      </w:r>
      <w:r w:rsidR="00D96BEF">
        <w:rPr>
          <w:rFonts w:ascii="Book Antiqua" w:hAnsi="Book Antiqua" w:cs="Times New Roman"/>
          <w:color w:val="000000" w:themeColor="text1"/>
          <w:sz w:val="24"/>
          <w:szCs w:val="24"/>
        </w:rPr>
        <w:t xml:space="preserve">the </w:t>
      </w:r>
      <w:r w:rsidR="00090975" w:rsidRPr="00246B02">
        <w:rPr>
          <w:rFonts w:ascii="Book Antiqua" w:hAnsi="Book Antiqua" w:cs="Times New Roman"/>
          <w:color w:val="000000" w:themeColor="text1"/>
          <w:sz w:val="24"/>
          <w:szCs w:val="24"/>
        </w:rPr>
        <w:t xml:space="preserve">low-risk group </w:t>
      </w:r>
      <w:r w:rsidR="00D96BEF" w:rsidRPr="00246B02">
        <w:rPr>
          <w:rFonts w:ascii="Book Antiqua" w:hAnsi="Book Antiqua" w:cs="Times New Roman"/>
          <w:color w:val="000000" w:themeColor="text1"/>
          <w:sz w:val="24"/>
          <w:szCs w:val="24"/>
        </w:rPr>
        <w:t>ha</w:t>
      </w:r>
      <w:r w:rsidR="00D96BEF">
        <w:rPr>
          <w:rFonts w:ascii="Book Antiqua" w:hAnsi="Book Antiqua" w:cs="Times New Roman"/>
          <w:color w:val="000000" w:themeColor="text1"/>
          <w:sz w:val="24"/>
          <w:szCs w:val="24"/>
        </w:rPr>
        <w:t>s a</w:t>
      </w:r>
      <w:r w:rsidR="00D96BEF" w:rsidRPr="00246B02">
        <w:rPr>
          <w:rFonts w:ascii="Book Antiqua" w:hAnsi="Book Antiqua" w:cs="Times New Roman"/>
          <w:color w:val="000000" w:themeColor="text1"/>
          <w:sz w:val="24"/>
          <w:szCs w:val="24"/>
        </w:rPr>
        <w:t xml:space="preserve"> </w:t>
      </w:r>
      <w:r w:rsidR="00090975" w:rsidRPr="00246B02">
        <w:rPr>
          <w:rFonts w:ascii="Book Antiqua" w:hAnsi="Book Antiqua" w:cs="Times New Roman"/>
          <w:color w:val="000000" w:themeColor="text1"/>
          <w:sz w:val="24"/>
          <w:szCs w:val="24"/>
        </w:rPr>
        <w:t>potential to benefit from NAE</w:t>
      </w:r>
      <w:r w:rsidR="00383F39" w:rsidRPr="00246B02">
        <w:rPr>
          <w:rFonts w:ascii="Book Antiqua" w:hAnsi="Book Antiqua" w:cs="Times New Roman"/>
          <w:color w:val="000000" w:themeColor="text1"/>
          <w:sz w:val="24"/>
          <w:szCs w:val="24"/>
        </w:rPr>
        <w:t xml:space="preserve"> and exempt from adjuvant chemotherapy</w:t>
      </w:r>
      <w:r w:rsidR="00C57108" w:rsidRPr="00246B02">
        <w:rPr>
          <w:rFonts w:ascii="Book Antiqua" w:hAnsi="Book Antiqua" w:cs="Times New Roman"/>
          <w:color w:val="000000" w:themeColor="text1"/>
          <w:sz w:val="24"/>
          <w:szCs w:val="24"/>
        </w:rPr>
        <w:t>.</w:t>
      </w:r>
      <w:r w:rsidR="003129A1" w:rsidRPr="00246B02">
        <w:rPr>
          <w:rFonts w:ascii="Book Antiqua" w:hAnsi="Book Antiqua" w:cs="Times New Roman"/>
          <w:color w:val="000000" w:themeColor="text1"/>
          <w:sz w:val="24"/>
          <w:szCs w:val="24"/>
        </w:rPr>
        <w:t xml:space="preserve"> </w:t>
      </w:r>
      <w:proofErr w:type="gramStart"/>
      <w:r w:rsidR="003129A1" w:rsidRPr="00246B02">
        <w:rPr>
          <w:rFonts w:ascii="Book Antiqua" w:hAnsi="Book Antiqua" w:cs="Times New Roman"/>
          <w:color w:val="000000" w:themeColor="text1"/>
          <w:sz w:val="24"/>
          <w:szCs w:val="24"/>
        </w:rPr>
        <w:t xml:space="preserve">Thus for, </w:t>
      </w:r>
      <w:r w:rsidRPr="00246B02">
        <w:rPr>
          <w:rFonts w:ascii="Book Antiqua" w:hAnsi="Book Antiqua" w:cs="Times New Roman"/>
          <w:color w:val="000000" w:themeColor="text1"/>
          <w:sz w:val="24"/>
          <w:szCs w:val="24"/>
        </w:rPr>
        <w:t xml:space="preserve">there are still </w:t>
      </w:r>
      <w:r w:rsidRPr="00246B02">
        <w:rPr>
          <w:rFonts w:ascii="Book Antiqua" w:hAnsi="Book Antiqua" w:cs="Times New Roman"/>
          <w:color w:val="000000" w:themeColor="text1"/>
          <w:sz w:val="24"/>
          <w:szCs w:val="24"/>
        </w:rPr>
        <w:lastRenderedPageBreak/>
        <w:t>insufficient retrospective and prospective studies to confirm the predictive role of genomic assays.</w:t>
      </w:r>
      <w:proofErr w:type="gramEnd"/>
      <w:r w:rsidRPr="00246B02">
        <w:rPr>
          <w:rFonts w:ascii="Book Antiqua" w:hAnsi="Book Antiqua" w:cs="Times New Roman"/>
          <w:color w:val="000000" w:themeColor="text1"/>
          <w:sz w:val="24"/>
          <w:szCs w:val="24"/>
        </w:rPr>
        <w:t xml:space="preserve"> We believe that with the publication of more clinical research results, genomic assays will become a useful predictive tool for clinicians to judge prognosis and guide clinical treatment.</w:t>
      </w:r>
    </w:p>
    <w:p w14:paraId="4DEC2DBA" w14:textId="77777777" w:rsidR="00600B3F" w:rsidRPr="00246B02" w:rsidRDefault="00600B3F" w:rsidP="00246B02">
      <w:pPr>
        <w:spacing w:line="360" w:lineRule="auto"/>
        <w:ind w:firstLineChars="100" w:firstLine="240"/>
        <w:jc w:val="both"/>
        <w:rPr>
          <w:rFonts w:ascii="Book Antiqua" w:hAnsi="Book Antiqua" w:cs="Times New Roman"/>
          <w:color w:val="000000" w:themeColor="text1"/>
          <w:sz w:val="24"/>
          <w:szCs w:val="24"/>
        </w:rPr>
      </w:pPr>
    </w:p>
    <w:p w14:paraId="3232606C" w14:textId="21232D8C" w:rsidR="00600B3F" w:rsidRPr="00246B02" w:rsidRDefault="00600B3F"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CONCLUSION</w:t>
      </w:r>
    </w:p>
    <w:p w14:paraId="452DFF60" w14:textId="77777777"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In conclusion, NAE can serve as a potential strategy for ER+ breast cancer. It allows the identification of suitable individuals with a good response and guides the decisions for clinical systemic treatment. We can meet our requirements of precise treatment through this platform. Although potential strategies have been proposed, the clinical practicability is lacking validity. Further explorations with large-range populations and long-term follow-up periods are demanded to verify the value of NAE. </w:t>
      </w:r>
    </w:p>
    <w:p w14:paraId="708912BC" w14:textId="77777777" w:rsidR="001D3E0F" w:rsidRPr="00246B02" w:rsidRDefault="001D3E0F" w:rsidP="00246B02">
      <w:pPr>
        <w:spacing w:line="360" w:lineRule="auto"/>
        <w:jc w:val="both"/>
        <w:rPr>
          <w:rFonts w:ascii="Book Antiqua" w:hAnsi="Book Antiqua" w:cs="Times New Roman"/>
          <w:color w:val="000000" w:themeColor="text1"/>
          <w:sz w:val="24"/>
          <w:szCs w:val="24"/>
        </w:rPr>
      </w:pPr>
    </w:p>
    <w:p w14:paraId="55A0B107" w14:textId="56508FF9" w:rsidR="001D3E0F" w:rsidRPr="00246B02" w:rsidRDefault="001D3E0F"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REFERENCES</w:t>
      </w:r>
    </w:p>
    <w:p w14:paraId="6B19439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 </w:t>
      </w:r>
      <w:r w:rsidRPr="00246B02">
        <w:rPr>
          <w:rFonts w:ascii="Book Antiqua" w:hAnsi="Book Antiqua"/>
          <w:b/>
          <w:color w:val="000000" w:themeColor="text1"/>
          <w:sz w:val="24"/>
          <w:szCs w:val="24"/>
        </w:rPr>
        <w:t>Fisher B</w:t>
      </w:r>
      <w:r w:rsidRPr="00246B02">
        <w:rPr>
          <w:rFonts w:ascii="Book Antiqua" w:hAnsi="Book Antiqua"/>
          <w:color w:val="000000" w:themeColor="text1"/>
          <w:sz w:val="24"/>
          <w:szCs w:val="24"/>
        </w:rPr>
        <w:t xml:space="preserve">, Brown A, Mamounas E, Wieand S, Robidoux A, Margolese RG, Cruz AB Jr, Fisher ER, Wickerham DL, Wolmark N, DeCillis A, Hoehn JL, Lees AW, Dimitrov NV. Effect of preoperative chemotherapy on local-regional disease in women with operable breast cancer: findings from National Surgical Adjuvant Breast and Bowel Project B-18.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1997; </w:t>
      </w:r>
      <w:r w:rsidRPr="00246B02">
        <w:rPr>
          <w:rFonts w:ascii="Book Antiqua" w:hAnsi="Book Antiqua"/>
          <w:b/>
          <w:color w:val="000000" w:themeColor="text1"/>
          <w:sz w:val="24"/>
          <w:szCs w:val="24"/>
        </w:rPr>
        <w:t>15</w:t>
      </w:r>
      <w:r w:rsidRPr="00246B02">
        <w:rPr>
          <w:rFonts w:ascii="Book Antiqua" w:hAnsi="Book Antiqua"/>
          <w:color w:val="000000" w:themeColor="text1"/>
          <w:sz w:val="24"/>
          <w:szCs w:val="24"/>
        </w:rPr>
        <w:t>: 2483-2493 [PMID: 9215816 DOI: 10.1200/JCO.1997.15.7.2483]</w:t>
      </w:r>
    </w:p>
    <w:p w14:paraId="43431D5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 </w:t>
      </w:r>
      <w:r w:rsidRPr="00246B02">
        <w:rPr>
          <w:rFonts w:ascii="Book Antiqua" w:hAnsi="Book Antiqua"/>
          <w:b/>
          <w:color w:val="000000" w:themeColor="text1"/>
          <w:sz w:val="24"/>
          <w:szCs w:val="24"/>
        </w:rPr>
        <w:t>Rastogi P</w:t>
      </w:r>
      <w:r w:rsidRPr="00246B02">
        <w:rPr>
          <w:rFonts w:ascii="Book Antiqua" w:hAnsi="Book Antiqua"/>
          <w:color w:val="000000" w:themeColor="text1"/>
          <w:sz w:val="24"/>
          <w:szCs w:val="24"/>
        </w:rPr>
        <w:t xml:space="preserve">, Anderson SJ, Bear HD, Geyer CE, Kahlenberg MS, Robidoux A, Margolese RG, Hoehn JL, Vogel VG, Dakhil SR, Tamkus D, King KM, Pajon ER, Wright MJ, Robert J, Paik S, Mamounas EP, Wolmark N. Preoperative chemotherapy: updates of National Surgical Adjuvant Breast and Bowel Project Protocols B-18 and B-27.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2008; </w:t>
      </w:r>
      <w:r w:rsidRPr="00246B02">
        <w:rPr>
          <w:rFonts w:ascii="Book Antiqua" w:hAnsi="Book Antiqua"/>
          <w:b/>
          <w:color w:val="000000" w:themeColor="text1"/>
          <w:sz w:val="24"/>
          <w:szCs w:val="24"/>
        </w:rPr>
        <w:t>26</w:t>
      </w:r>
      <w:r w:rsidRPr="00246B02">
        <w:rPr>
          <w:rFonts w:ascii="Book Antiqua" w:hAnsi="Book Antiqua"/>
          <w:color w:val="000000" w:themeColor="text1"/>
          <w:sz w:val="24"/>
          <w:szCs w:val="24"/>
        </w:rPr>
        <w:t>: 778-785 [PMID: 18258986 DOI: 10.1200/jco.2007.15.0235]</w:t>
      </w:r>
    </w:p>
    <w:p w14:paraId="00CAA8C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 </w:t>
      </w:r>
      <w:r w:rsidRPr="00246B02">
        <w:rPr>
          <w:rFonts w:ascii="Book Antiqua" w:hAnsi="Book Antiqua"/>
          <w:b/>
          <w:color w:val="000000" w:themeColor="text1"/>
          <w:sz w:val="24"/>
          <w:szCs w:val="24"/>
        </w:rPr>
        <w:t>Guarneri V</w:t>
      </w:r>
      <w:r w:rsidRPr="00246B02">
        <w:rPr>
          <w:rFonts w:ascii="Book Antiqua" w:hAnsi="Book Antiqua"/>
          <w:color w:val="000000" w:themeColor="text1"/>
          <w:sz w:val="24"/>
          <w:szCs w:val="24"/>
        </w:rPr>
        <w:t xml:space="preserve">, Broglio K, Kau SW, Cristofanilli M, Buzdar AU, Valero V, Buchholz T, Meric F, Middleton L, Hortobagyi GN, Gonzalez-Angulo AM. </w:t>
      </w:r>
      <w:proofErr w:type="gramStart"/>
      <w:r w:rsidRPr="00246B02">
        <w:rPr>
          <w:rFonts w:ascii="Book Antiqua" w:hAnsi="Book Antiqua"/>
          <w:color w:val="000000" w:themeColor="text1"/>
          <w:sz w:val="24"/>
          <w:szCs w:val="24"/>
        </w:rPr>
        <w:t xml:space="preserve">Prognostic value of pathologic complete response after primary </w:t>
      </w:r>
      <w:r w:rsidRPr="00246B02">
        <w:rPr>
          <w:rFonts w:ascii="Book Antiqua" w:hAnsi="Book Antiqua"/>
          <w:color w:val="000000" w:themeColor="text1"/>
          <w:sz w:val="24"/>
          <w:szCs w:val="24"/>
        </w:rPr>
        <w:lastRenderedPageBreak/>
        <w:t>chemotherapy in relation to hormone receptor status and other factors.</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2006; </w:t>
      </w:r>
      <w:r w:rsidRPr="00246B02">
        <w:rPr>
          <w:rFonts w:ascii="Book Antiqua" w:hAnsi="Book Antiqua"/>
          <w:b/>
          <w:color w:val="000000" w:themeColor="text1"/>
          <w:sz w:val="24"/>
          <w:szCs w:val="24"/>
        </w:rPr>
        <w:t>24</w:t>
      </w:r>
      <w:r w:rsidRPr="00246B02">
        <w:rPr>
          <w:rFonts w:ascii="Book Antiqua" w:hAnsi="Book Antiqua"/>
          <w:color w:val="000000" w:themeColor="text1"/>
          <w:sz w:val="24"/>
          <w:szCs w:val="24"/>
        </w:rPr>
        <w:t>: 1037-1044 [PMID: 16505422 DOI: 10.1200/JCO.2005.02.6914]</w:t>
      </w:r>
    </w:p>
    <w:p w14:paraId="79BA411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 </w:t>
      </w:r>
      <w:r w:rsidRPr="00246B02">
        <w:rPr>
          <w:rFonts w:ascii="Book Antiqua" w:hAnsi="Book Antiqua"/>
          <w:b/>
          <w:color w:val="000000" w:themeColor="text1"/>
          <w:sz w:val="24"/>
          <w:szCs w:val="24"/>
        </w:rPr>
        <w:t>Cortazar P</w:t>
      </w:r>
      <w:r w:rsidRPr="00246B02">
        <w:rPr>
          <w:rFonts w:ascii="Book Antiqua" w:hAnsi="Book Antiqua"/>
          <w:color w:val="000000" w:themeColor="text1"/>
          <w:sz w:val="24"/>
          <w:szCs w:val="24"/>
        </w:rPr>
        <w:t xml:space="preserve">, Zhang L, Untch M, Mehta K, Costantino JP, Wolmark N, Bonnefoi H, Cameron D, Gianni L, Valagussa P, Swain SM, Prowell T, Loibl S, Wickerham DL, Bogaerts J, Baselga J, Perou C, Blumenthal G, Blohmer J, Mamounas EP, Bergh J, Semiglazov V, Justice R, Eidtmann H, Paik S, Piccart M, Sridhara R, Fasching PA, Slaets L, Tang S, Gerber B, Geyer CE Jr, Pazdur R, Ditsch N, Rastogi P, Eiermann W, von Minckwitz G. Pathological complete response and long-term clinical benefit in breast cancer: the CTNeoBC pooled analysis. </w:t>
      </w:r>
      <w:r w:rsidRPr="00246B02">
        <w:rPr>
          <w:rFonts w:ascii="Book Antiqua" w:hAnsi="Book Antiqua"/>
          <w:i/>
          <w:color w:val="000000" w:themeColor="text1"/>
          <w:sz w:val="24"/>
          <w:szCs w:val="24"/>
        </w:rPr>
        <w:t>Lancet</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384</w:t>
      </w:r>
      <w:r w:rsidRPr="00246B02">
        <w:rPr>
          <w:rFonts w:ascii="Book Antiqua" w:hAnsi="Book Antiqua"/>
          <w:color w:val="000000" w:themeColor="text1"/>
          <w:sz w:val="24"/>
          <w:szCs w:val="24"/>
        </w:rPr>
        <w:t>: 164-172 [PMID: 24529560 DOI: 10.1016/s0140-6736(13)62422-8]</w:t>
      </w:r>
    </w:p>
    <w:p w14:paraId="795F3AC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 </w:t>
      </w:r>
      <w:r w:rsidRPr="00246B02">
        <w:rPr>
          <w:rFonts w:ascii="Book Antiqua" w:hAnsi="Book Antiqua"/>
          <w:b/>
          <w:color w:val="000000" w:themeColor="text1"/>
          <w:sz w:val="24"/>
          <w:szCs w:val="24"/>
        </w:rPr>
        <w:t>Alba E</w:t>
      </w:r>
      <w:r w:rsidRPr="00246B02">
        <w:rPr>
          <w:rFonts w:ascii="Book Antiqua" w:hAnsi="Book Antiqua"/>
          <w:color w:val="000000" w:themeColor="text1"/>
          <w:sz w:val="24"/>
          <w:szCs w:val="24"/>
        </w:rPr>
        <w:t xml:space="preserve">, Calvo L, Albanell J, De la Haba JR, Arcusa Lanza A, Chacon JI, Sanchez-Rovira P, Plazaola A, Lopez Garcia-Asenjo JA, Bermejo B, Carrasco E, Lluch A; GEICAM. Chemotherapy (CT) and hormonotherapy (HT) as neoadjuvant treatment in luminal breast cancer patients: results from the GEICAM/2006-03, a multicenter, randomized, phase-II study.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23</w:t>
      </w:r>
      <w:r w:rsidRPr="00246B02">
        <w:rPr>
          <w:rFonts w:ascii="Book Antiqua" w:hAnsi="Book Antiqua"/>
          <w:color w:val="000000" w:themeColor="text1"/>
          <w:sz w:val="24"/>
          <w:szCs w:val="24"/>
        </w:rPr>
        <w:t>: 3069-3074 [PMID: 22674146 DOI: 10.1093/annonc/mds132]</w:t>
      </w:r>
    </w:p>
    <w:p w14:paraId="555E2D5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 </w:t>
      </w:r>
      <w:r w:rsidRPr="00246B02">
        <w:rPr>
          <w:rFonts w:ascii="Book Antiqua" w:hAnsi="Book Antiqua"/>
          <w:b/>
          <w:color w:val="000000" w:themeColor="text1"/>
          <w:sz w:val="24"/>
          <w:szCs w:val="24"/>
        </w:rPr>
        <w:t>Chiba A</w:t>
      </w:r>
      <w:r w:rsidRPr="00246B02">
        <w:rPr>
          <w:rFonts w:ascii="Book Antiqua" w:hAnsi="Book Antiqua"/>
          <w:color w:val="000000" w:themeColor="text1"/>
          <w:sz w:val="24"/>
          <w:szCs w:val="24"/>
        </w:rPr>
        <w:t xml:space="preserve">, Hoskin TL, Heins CN, Hunt KK, Habermann EB, Boughey JC. Trends in Neoadjuvant Endocrine Therapy Use and Impact on Rates of Breast Conservation in Hormone Receptor-Positive Breast Cancer: A National Cancer Data Base Study. </w:t>
      </w:r>
      <w:r w:rsidRPr="00246B02">
        <w:rPr>
          <w:rFonts w:ascii="Book Antiqua" w:hAnsi="Book Antiqua"/>
          <w:i/>
          <w:color w:val="000000" w:themeColor="text1"/>
          <w:sz w:val="24"/>
          <w:szCs w:val="24"/>
        </w:rPr>
        <w:t>Ann Surg Oncol</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24</w:t>
      </w:r>
      <w:r w:rsidRPr="00246B02">
        <w:rPr>
          <w:rFonts w:ascii="Book Antiqua" w:hAnsi="Book Antiqua"/>
          <w:color w:val="000000" w:themeColor="text1"/>
          <w:sz w:val="24"/>
          <w:szCs w:val="24"/>
        </w:rPr>
        <w:t>: 418-424 [PMID: 27663568 DOI: 10.1245/s10434-016-5585-5]</w:t>
      </w:r>
    </w:p>
    <w:p w14:paraId="18FF69F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 </w:t>
      </w:r>
      <w:r w:rsidRPr="00246B02">
        <w:rPr>
          <w:rFonts w:ascii="Book Antiqua" w:hAnsi="Book Antiqua"/>
          <w:b/>
          <w:color w:val="000000" w:themeColor="text1"/>
          <w:sz w:val="24"/>
          <w:szCs w:val="24"/>
        </w:rPr>
        <w:t>Eiermann W</w:t>
      </w:r>
      <w:r w:rsidRPr="00246B02">
        <w:rPr>
          <w:rFonts w:ascii="Book Antiqua" w:hAnsi="Book Antiqua"/>
          <w:color w:val="000000" w:themeColor="text1"/>
          <w:sz w:val="24"/>
          <w:szCs w:val="24"/>
        </w:rPr>
        <w:t xml:space="preserve">, Paepke S, Appfelstaedt J, Llombart-Cussac A, Eremin J, Vinholes J, Mauriac L, Ellis M, Lassus M, Chaudri-Ross HA, Dugan M, Borgs M; Letrozole Neo-Adjuvant Breast Cancer Study Group. Preoperative treatment of postmenopausal breast cancer patients with letrozole: A randomized double-blind multicenter study.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2001; </w:t>
      </w:r>
      <w:r w:rsidRPr="00246B02">
        <w:rPr>
          <w:rFonts w:ascii="Book Antiqua" w:hAnsi="Book Antiqua"/>
          <w:b/>
          <w:color w:val="000000" w:themeColor="text1"/>
          <w:sz w:val="24"/>
          <w:szCs w:val="24"/>
        </w:rPr>
        <w:t>12</w:t>
      </w:r>
      <w:r w:rsidRPr="00246B02">
        <w:rPr>
          <w:rFonts w:ascii="Book Antiqua" w:hAnsi="Book Antiqua"/>
          <w:color w:val="000000" w:themeColor="text1"/>
          <w:sz w:val="24"/>
          <w:szCs w:val="24"/>
        </w:rPr>
        <w:t>: 1527-1532 [PMID: 11822750]</w:t>
      </w:r>
    </w:p>
    <w:p w14:paraId="1990AAA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8 </w:t>
      </w:r>
      <w:r w:rsidRPr="00246B02">
        <w:rPr>
          <w:rFonts w:ascii="Book Antiqua" w:hAnsi="Book Antiqua"/>
          <w:b/>
          <w:color w:val="000000" w:themeColor="text1"/>
          <w:sz w:val="24"/>
          <w:szCs w:val="24"/>
        </w:rPr>
        <w:t>Takei H</w:t>
      </w:r>
      <w:r w:rsidRPr="00246B02">
        <w:rPr>
          <w:rFonts w:ascii="Book Antiqua" w:hAnsi="Book Antiqua"/>
          <w:color w:val="000000" w:themeColor="text1"/>
          <w:sz w:val="24"/>
          <w:szCs w:val="24"/>
        </w:rPr>
        <w:t xml:space="preserve">, Suemasu K, Inoue K, Saito T, Okubo K, Koh J, Sato K, Tsuda H, Kurosumi M, Tabei T; Saitama Breast Cancer Clinical Study Group. </w:t>
      </w:r>
      <w:r w:rsidRPr="00246B02">
        <w:rPr>
          <w:rFonts w:ascii="Book Antiqua" w:hAnsi="Book Antiqua"/>
          <w:color w:val="000000" w:themeColor="text1"/>
          <w:sz w:val="24"/>
          <w:szCs w:val="24"/>
        </w:rPr>
        <w:lastRenderedPageBreak/>
        <w:t xml:space="preserve">Multicenter phase II trial of neoadjuvant exemestane for postmenopausal patients with hormone receptor-positive, operable breast cancer: Saitama Breast Cancer Clinical Study Group (SBCCSG-03).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2008; </w:t>
      </w:r>
      <w:r w:rsidRPr="00246B02">
        <w:rPr>
          <w:rFonts w:ascii="Book Antiqua" w:hAnsi="Book Antiqua"/>
          <w:b/>
          <w:color w:val="000000" w:themeColor="text1"/>
          <w:sz w:val="24"/>
          <w:szCs w:val="24"/>
        </w:rPr>
        <w:t>107</w:t>
      </w:r>
      <w:r w:rsidRPr="00246B02">
        <w:rPr>
          <w:rFonts w:ascii="Book Antiqua" w:hAnsi="Book Antiqua"/>
          <w:color w:val="000000" w:themeColor="text1"/>
          <w:sz w:val="24"/>
          <w:szCs w:val="24"/>
        </w:rPr>
        <w:t>: 87-94 [PMID: 18043897 DOI: 10.1007/s10549-007-9529-4]</w:t>
      </w:r>
    </w:p>
    <w:p w14:paraId="5DF0A469"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9 </w:t>
      </w:r>
      <w:r w:rsidRPr="00246B02">
        <w:rPr>
          <w:rFonts w:ascii="Book Antiqua" w:hAnsi="Book Antiqua"/>
          <w:b/>
          <w:color w:val="000000" w:themeColor="text1"/>
          <w:sz w:val="24"/>
          <w:szCs w:val="24"/>
        </w:rPr>
        <w:t>Huang L</w:t>
      </w:r>
      <w:r w:rsidRPr="00246B02">
        <w:rPr>
          <w:rFonts w:ascii="Book Antiqua" w:hAnsi="Book Antiqua"/>
          <w:color w:val="000000" w:themeColor="text1"/>
          <w:sz w:val="24"/>
          <w:szCs w:val="24"/>
        </w:rPr>
        <w:t xml:space="preserve">, Xu AM. Short-term outcomes of neoadjuvant hormonal therapy versus neoadjuvant chemotherapy in breast cancer: systematic review and meta-analysis of randomized controlled trials. </w:t>
      </w:r>
      <w:r w:rsidRPr="00246B02">
        <w:rPr>
          <w:rFonts w:ascii="Book Antiqua" w:hAnsi="Book Antiqua"/>
          <w:i/>
          <w:color w:val="000000" w:themeColor="text1"/>
          <w:sz w:val="24"/>
          <w:szCs w:val="24"/>
        </w:rPr>
        <w:t>Expert Rev Anticancer Ther</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17</w:t>
      </w:r>
      <w:r w:rsidRPr="00246B02">
        <w:rPr>
          <w:rFonts w:ascii="Book Antiqua" w:hAnsi="Book Antiqua"/>
          <w:color w:val="000000" w:themeColor="text1"/>
          <w:sz w:val="24"/>
          <w:szCs w:val="24"/>
        </w:rPr>
        <w:t>: 327-334 [PMID: 28271747 DOI: 10.1080/14737140.2017.1301208]</w:t>
      </w:r>
    </w:p>
    <w:p w14:paraId="73E029C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10 </w:t>
      </w:r>
      <w:r w:rsidRPr="00246B02">
        <w:rPr>
          <w:rFonts w:ascii="Book Antiqua" w:hAnsi="Book Antiqua"/>
          <w:b/>
          <w:color w:val="000000" w:themeColor="text1"/>
          <w:sz w:val="24"/>
          <w:szCs w:val="24"/>
        </w:rPr>
        <w:t>Spring LM</w:t>
      </w:r>
      <w:r w:rsidRPr="00246B02">
        <w:rPr>
          <w:rFonts w:ascii="Book Antiqua" w:hAnsi="Book Antiqua"/>
          <w:color w:val="000000" w:themeColor="text1"/>
          <w:sz w:val="24"/>
          <w:szCs w:val="24"/>
        </w:rPr>
        <w:t xml:space="preserve">, Gupta A, Reynolds KL, Gadd MA, Ellisen LW, Isakoff SJ, Moy B, Bardia A. Neoadjuvant Endocrine Therapy for Estrogen Receptor-Positive Breast Cancer: A Systematic Review and Meta-analysis. </w:t>
      </w:r>
      <w:r w:rsidRPr="00246B02">
        <w:rPr>
          <w:rFonts w:ascii="Book Antiqua" w:hAnsi="Book Antiqua"/>
          <w:i/>
          <w:color w:val="000000" w:themeColor="text1"/>
          <w:sz w:val="24"/>
          <w:szCs w:val="24"/>
        </w:rPr>
        <w:t>JAMA Oncol</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2</w:t>
      </w:r>
      <w:r w:rsidRPr="00246B02">
        <w:rPr>
          <w:rFonts w:ascii="Book Antiqua" w:hAnsi="Book Antiqua"/>
          <w:color w:val="000000" w:themeColor="text1"/>
          <w:sz w:val="24"/>
          <w:szCs w:val="24"/>
        </w:rPr>
        <w:t>: 1477-1486 [PMID: 27367583 DOI: 10.1001/jamaoncol.2016.1897]</w:t>
      </w:r>
    </w:p>
    <w:p w14:paraId="79AEDA9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11 </w:t>
      </w:r>
      <w:r w:rsidRPr="00246B02">
        <w:rPr>
          <w:rFonts w:ascii="Book Antiqua" w:hAnsi="Book Antiqua"/>
          <w:b/>
          <w:color w:val="000000" w:themeColor="text1"/>
          <w:sz w:val="24"/>
          <w:szCs w:val="24"/>
        </w:rPr>
        <w:t>Walker AJ</w:t>
      </w:r>
      <w:r w:rsidRPr="00246B02">
        <w:rPr>
          <w:rFonts w:ascii="Book Antiqua" w:hAnsi="Book Antiqua"/>
          <w:color w:val="000000" w:themeColor="text1"/>
          <w:sz w:val="24"/>
          <w:szCs w:val="24"/>
        </w:rPr>
        <w:t xml:space="preserve">, Wedam S, Amiri-Kordestani L, Bloomquist E, Tang S, Sridhara R, Chen W, Palmby TR, Fourie Zirkelbach J, Fu W, Liu Q, Tilley A, Kim G, Kluetz PG, McKee AE, Pazdur R. FDA Approval of Palbociclib in Combination with Fulvestrant for the Treatment of Hormone Receptor-Positive, HER2-Negative Metastatic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22</w:t>
      </w:r>
      <w:r w:rsidRPr="00246B02">
        <w:rPr>
          <w:rFonts w:ascii="Book Antiqua" w:hAnsi="Book Antiqua"/>
          <w:color w:val="000000" w:themeColor="text1"/>
          <w:sz w:val="24"/>
          <w:szCs w:val="24"/>
        </w:rPr>
        <w:t>: 4968-4972 [PMID: 27407089 DOI: 10.1158/1078-0432.ccr-16-0493]</w:t>
      </w:r>
    </w:p>
    <w:p w14:paraId="44055223"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12 </w:t>
      </w:r>
      <w:r w:rsidRPr="00246B02">
        <w:rPr>
          <w:rFonts w:ascii="Book Antiqua" w:hAnsi="Book Antiqua"/>
          <w:b/>
          <w:color w:val="000000" w:themeColor="text1"/>
          <w:sz w:val="24"/>
          <w:szCs w:val="24"/>
        </w:rPr>
        <w:t>Shah A</w:t>
      </w:r>
      <w:r w:rsidRPr="00246B02">
        <w:rPr>
          <w:rFonts w:ascii="Book Antiqua" w:hAnsi="Book Antiqua"/>
          <w:color w:val="000000" w:themeColor="text1"/>
          <w:sz w:val="24"/>
          <w:szCs w:val="24"/>
        </w:rPr>
        <w:t xml:space="preserve">, Bloomquist E, Tang S, Fu W, Bi Y, Liu Q, Yu J, Zhao P, Palmby TR, Goldberg KB, Chang CJG, Patel P, Alebachew E, Tilley A, Pierce WF, Ibrahim A, Blumenthal GM, Sridhara R, Beaver JA, Pazdur R. FDA Approval: Ribociclib for the Treatment of Postmenopausal Women with Hormone Receptor-Positive, HER2-Negative Advanced or Metastatic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24</w:t>
      </w:r>
      <w:r w:rsidRPr="00246B02">
        <w:rPr>
          <w:rFonts w:ascii="Book Antiqua" w:hAnsi="Book Antiqua"/>
          <w:color w:val="000000" w:themeColor="text1"/>
          <w:sz w:val="24"/>
          <w:szCs w:val="24"/>
        </w:rPr>
        <w:t>: 2999-3004 [PMID: 29437768 DOI: 10.1158/1078-0432.ccr-17-2369]</w:t>
      </w:r>
    </w:p>
    <w:p w14:paraId="1B2CDCDD"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13 </w:t>
      </w:r>
      <w:r w:rsidRPr="00246B02">
        <w:rPr>
          <w:rFonts w:ascii="Book Antiqua" w:hAnsi="Book Antiqua"/>
          <w:b/>
          <w:color w:val="000000" w:themeColor="text1"/>
          <w:sz w:val="24"/>
          <w:szCs w:val="24"/>
        </w:rPr>
        <w:t>Petrelli F</w:t>
      </w:r>
      <w:r w:rsidRPr="00246B02">
        <w:rPr>
          <w:rFonts w:ascii="Book Antiqua" w:hAnsi="Book Antiqua"/>
          <w:color w:val="000000" w:themeColor="text1"/>
          <w:sz w:val="24"/>
          <w:szCs w:val="24"/>
        </w:rPr>
        <w:t xml:space="preserve">, Ghidini A, Pedersini R, Cabiddu M, Borgonovo K, Parati MC, Ghilardi M, Amoroso V, Berruti A, Barni S. Comparative efficacy of palbociclib, ribociclib and abemaciclib for ER+ metastatic breast cancer: an adjusted indirect analysis of randomized controlled trials.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174</w:t>
      </w:r>
      <w:r w:rsidRPr="00246B02">
        <w:rPr>
          <w:rFonts w:ascii="Book Antiqua" w:hAnsi="Book Antiqua"/>
          <w:color w:val="000000" w:themeColor="text1"/>
          <w:sz w:val="24"/>
          <w:szCs w:val="24"/>
        </w:rPr>
        <w:t>: 597-604 [PMID: 30659432 DOI: 10.1007/s10549-019-05133-y]</w:t>
      </w:r>
    </w:p>
    <w:p w14:paraId="2321BD17"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lastRenderedPageBreak/>
        <w:t xml:space="preserve">14 </w:t>
      </w:r>
      <w:r w:rsidRPr="00246B02">
        <w:rPr>
          <w:rFonts w:ascii="Book Antiqua" w:hAnsi="Book Antiqua"/>
          <w:b/>
          <w:color w:val="000000" w:themeColor="text1"/>
          <w:sz w:val="24"/>
          <w:szCs w:val="24"/>
        </w:rPr>
        <w:t>Ying M</w:t>
      </w:r>
      <w:r w:rsidRPr="00246B02">
        <w:rPr>
          <w:rFonts w:ascii="Book Antiqua" w:hAnsi="Book Antiqua"/>
          <w:color w:val="000000" w:themeColor="text1"/>
          <w:sz w:val="24"/>
          <w:szCs w:val="24"/>
        </w:rPr>
        <w:t xml:space="preserve">, He Y, Qi M, Dong B, Lu A, Li J, Xie Y, Wang T, Lin B, Ouyang T. Value of pre-treatment biomarkers in prediction of response to neoadjuvant endocrine therapy for hormone receptor-positive postmenopausal breast cancer. </w:t>
      </w:r>
      <w:r w:rsidRPr="00246B02">
        <w:rPr>
          <w:rFonts w:ascii="Book Antiqua" w:hAnsi="Book Antiqua"/>
          <w:i/>
          <w:color w:val="000000" w:themeColor="text1"/>
          <w:sz w:val="24"/>
          <w:szCs w:val="24"/>
        </w:rPr>
        <w:t>Chin J Cancer Res</w:t>
      </w:r>
      <w:r w:rsidRPr="00246B02">
        <w:rPr>
          <w:rFonts w:ascii="Book Antiqua" w:hAnsi="Book Antiqua"/>
          <w:color w:val="000000" w:themeColor="text1"/>
          <w:sz w:val="24"/>
          <w:szCs w:val="24"/>
        </w:rPr>
        <w:t xml:space="preserve"> 2013; </w:t>
      </w:r>
      <w:r w:rsidRPr="00246B02">
        <w:rPr>
          <w:rFonts w:ascii="Book Antiqua" w:hAnsi="Book Antiqua"/>
          <w:b/>
          <w:color w:val="000000" w:themeColor="text1"/>
          <w:sz w:val="24"/>
          <w:szCs w:val="24"/>
        </w:rPr>
        <w:t>25</w:t>
      </w:r>
      <w:r w:rsidRPr="00246B02">
        <w:rPr>
          <w:rFonts w:ascii="Book Antiqua" w:hAnsi="Book Antiqua"/>
          <w:color w:val="000000" w:themeColor="text1"/>
          <w:sz w:val="24"/>
          <w:szCs w:val="24"/>
        </w:rPr>
        <w:t>: 397-404 [PMID: 23997526 DOI: 10.3978/j.issn.1000-9604.2013.08.01]</w:t>
      </w:r>
    </w:p>
    <w:p w14:paraId="605FD4AD"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15 </w:t>
      </w:r>
      <w:r w:rsidRPr="00246B02">
        <w:rPr>
          <w:rFonts w:ascii="Book Antiqua" w:hAnsi="Book Antiqua"/>
          <w:b/>
          <w:color w:val="000000" w:themeColor="text1"/>
          <w:sz w:val="24"/>
          <w:szCs w:val="24"/>
        </w:rPr>
        <w:t>Goto-Yamaguchi L</w:t>
      </w:r>
      <w:r w:rsidRPr="00246B02">
        <w:rPr>
          <w:rFonts w:ascii="Book Antiqua" w:hAnsi="Book Antiqua"/>
          <w:color w:val="000000" w:themeColor="text1"/>
          <w:sz w:val="24"/>
          <w:szCs w:val="24"/>
        </w:rPr>
        <w:t xml:space="preserve">, Yamamoto-Ibusuki M, Yamamoto Y, Fujiki Y, Tomiguchi M, Sueta A, Takeshita T, Iwase H. Therapeutic predictors of neoadjuvant endocrine therapy response in estrogen receptor-positive breast cancer with reference to optimal gene expression profiling.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172</w:t>
      </w:r>
      <w:r w:rsidRPr="00246B02">
        <w:rPr>
          <w:rFonts w:ascii="Book Antiqua" w:hAnsi="Book Antiqua"/>
          <w:color w:val="000000" w:themeColor="text1"/>
          <w:sz w:val="24"/>
          <w:szCs w:val="24"/>
        </w:rPr>
        <w:t>: 353-362 [PMID: 30151737 DOI: 10.1007/s10549-018-4933-5]</w:t>
      </w:r>
    </w:p>
    <w:p w14:paraId="576EC8F6"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16 </w:t>
      </w:r>
      <w:r w:rsidRPr="00246B02">
        <w:rPr>
          <w:rFonts w:ascii="Book Antiqua" w:hAnsi="Book Antiqua"/>
          <w:b/>
          <w:color w:val="000000" w:themeColor="text1"/>
          <w:sz w:val="24"/>
          <w:szCs w:val="24"/>
        </w:rPr>
        <w:t>Semiglazov VF</w:t>
      </w:r>
      <w:r w:rsidRPr="00246B02">
        <w:rPr>
          <w:rFonts w:ascii="Book Antiqua" w:hAnsi="Book Antiqua"/>
          <w:color w:val="000000" w:themeColor="text1"/>
          <w:sz w:val="24"/>
          <w:szCs w:val="24"/>
        </w:rPr>
        <w:t xml:space="preserve">, Semiglazov VV, Dashyan GA, Ziltsova EK, Ivanov VG, Bozhok AA, Melnikova OA, Paltuev RM, Kletzel A, Berstein LM. Phase 2 randomized trial of primary endocrine therapy versus chemotherapy in postmenopausal patients with estrogen receptor-positive breast cancer. </w:t>
      </w:r>
      <w:r w:rsidRPr="00246B02">
        <w:rPr>
          <w:rFonts w:ascii="Book Antiqua" w:hAnsi="Book Antiqua"/>
          <w:i/>
          <w:color w:val="000000" w:themeColor="text1"/>
          <w:sz w:val="24"/>
          <w:szCs w:val="24"/>
        </w:rPr>
        <w:t>Cancer</w:t>
      </w:r>
      <w:r w:rsidRPr="00246B02">
        <w:rPr>
          <w:rFonts w:ascii="Book Antiqua" w:hAnsi="Book Antiqua"/>
          <w:color w:val="000000" w:themeColor="text1"/>
          <w:sz w:val="24"/>
          <w:szCs w:val="24"/>
        </w:rPr>
        <w:t xml:space="preserve"> 2007; </w:t>
      </w:r>
      <w:r w:rsidRPr="00246B02">
        <w:rPr>
          <w:rFonts w:ascii="Book Antiqua" w:hAnsi="Book Antiqua"/>
          <w:b/>
          <w:color w:val="000000" w:themeColor="text1"/>
          <w:sz w:val="24"/>
          <w:szCs w:val="24"/>
        </w:rPr>
        <w:t>110</w:t>
      </w:r>
      <w:r w:rsidRPr="00246B02">
        <w:rPr>
          <w:rFonts w:ascii="Book Antiqua" w:hAnsi="Book Antiqua"/>
          <w:color w:val="000000" w:themeColor="text1"/>
          <w:sz w:val="24"/>
          <w:szCs w:val="24"/>
        </w:rPr>
        <w:t>: 244-254 [PMID: 17538978 DOI: 10.1002/cncr.22789]</w:t>
      </w:r>
    </w:p>
    <w:p w14:paraId="5020769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17 </w:t>
      </w:r>
      <w:r w:rsidRPr="00246B02">
        <w:rPr>
          <w:rFonts w:ascii="Book Antiqua" w:hAnsi="Book Antiqua"/>
          <w:b/>
          <w:color w:val="000000" w:themeColor="text1"/>
          <w:sz w:val="24"/>
          <w:szCs w:val="24"/>
        </w:rPr>
        <w:t>Palmieri C</w:t>
      </w:r>
      <w:r w:rsidRPr="00246B02">
        <w:rPr>
          <w:rFonts w:ascii="Book Antiqua" w:hAnsi="Book Antiqua"/>
          <w:color w:val="000000" w:themeColor="text1"/>
          <w:sz w:val="24"/>
          <w:szCs w:val="24"/>
        </w:rPr>
        <w:t xml:space="preserve">, Cleator S, Kilburn LS, Kim SB, Ahn SH, Beresford M, Gong G, Mansi J, Mallon E, Reed S, Mousa K, Fallowfield L, Cheang M, Morden J, Page K, Guttery DS, Rghebi B, Primrose L, Shaw JA, Thompson AM, Bliss JM, Coombes RC. NEOCENT: a randomised feasibility and translational study comparing neoadjuvant endocrine therapy with chemotherapy in ER-rich postmenopausal primary breast cancer.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148</w:t>
      </w:r>
      <w:r w:rsidRPr="00246B02">
        <w:rPr>
          <w:rFonts w:ascii="Book Antiqua" w:hAnsi="Book Antiqua"/>
          <w:color w:val="000000" w:themeColor="text1"/>
          <w:sz w:val="24"/>
          <w:szCs w:val="24"/>
        </w:rPr>
        <w:t>: 581-590 [PMID: 25395314 DOI: 10.1007/s10549-014-3183-4]</w:t>
      </w:r>
    </w:p>
    <w:p w14:paraId="08721D94"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18 </w:t>
      </w:r>
      <w:r w:rsidRPr="00246B02">
        <w:rPr>
          <w:rFonts w:ascii="Book Antiqua" w:hAnsi="Book Antiqua"/>
          <w:b/>
          <w:color w:val="000000" w:themeColor="text1"/>
          <w:sz w:val="24"/>
          <w:szCs w:val="24"/>
        </w:rPr>
        <w:t>Nakayama T</w:t>
      </w:r>
      <w:r w:rsidRPr="00246B02">
        <w:rPr>
          <w:rFonts w:ascii="Book Antiqua" w:hAnsi="Book Antiqua"/>
          <w:color w:val="000000" w:themeColor="text1"/>
          <w:sz w:val="24"/>
          <w:szCs w:val="24"/>
        </w:rPr>
        <w:t xml:space="preserve">, Sagara Y, Takashima T, Matsunami N, Masuda N, Miyoshi Y, Taguchi T, Aono T, Ito T, Kagimura T, Noguchi S. Randomized phase II study of anastrozole plus tegafur-uracil as neoadjuvant therapy for ER-positive breast cancer in postmenopausal Japanese women (Neo-ACET BC). </w:t>
      </w:r>
      <w:r w:rsidRPr="00246B02">
        <w:rPr>
          <w:rFonts w:ascii="Book Antiqua" w:hAnsi="Book Antiqua"/>
          <w:i/>
          <w:color w:val="000000" w:themeColor="text1"/>
          <w:sz w:val="24"/>
          <w:szCs w:val="24"/>
        </w:rPr>
        <w:t>Cancer Chemother Pharmacol</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81</w:t>
      </w:r>
      <w:r w:rsidRPr="00246B02">
        <w:rPr>
          <w:rFonts w:ascii="Book Antiqua" w:hAnsi="Book Antiqua"/>
          <w:color w:val="000000" w:themeColor="text1"/>
          <w:sz w:val="24"/>
          <w:szCs w:val="24"/>
        </w:rPr>
        <w:t>: 755-762 [PMID: 29468454 DOI: 10.1007/s00280-018-3544-5]</w:t>
      </w:r>
    </w:p>
    <w:p w14:paraId="1CE57C60" w14:textId="40068433"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19 </w:t>
      </w:r>
      <w:r w:rsidRPr="00246B02">
        <w:rPr>
          <w:rFonts w:ascii="Book Antiqua" w:hAnsi="Book Antiqua"/>
          <w:b/>
          <w:color w:val="000000" w:themeColor="text1"/>
          <w:sz w:val="24"/>
          <w:szCs w:val="24"/>
        </w:rPr>
        <w:t>Sato N</w:t>
      </w:r>
      <w:r w:rsidRPr="00246B02">
        <w:rPr>
          <w:rFonts w:ascii="Book Antiqua" w:hAnsi="Book Antiqua"/>
          <w:color w:val="000000" w:themeColor="text1"/>
          <w:sz w:val="24"/>
          <w:szCs w:val="24"/>
        </w:rPr>
        <w:t xml:space="preserve">, Masuda N, Morimoto T, Ueno T, Kanbayashi C, Kaneko K, Yasojima H, Saji S, Sasano H, Morita S, Ohno S, Toi M. Neoadjuvant </w:t>
      </w:r>
      <w:r w:rsidRPr="00246B02">
        <w:rPr>
          <w:rFonts w:ascii="Book Antiqua" w:hAnsi="Book Antiqua"/>
          <w:color w:val="000000" w:themeColor="text1"/>
          <w:sz w:val="24"/>
          <w:szCs w:val="24"/>
        </w:rPr>
        <w:lastRenderedPageBreak/>
        <w:t xml:space="preserve">endocrine therapy with exemestane followed by response-guided combination therapy with low-dose cyclophosphamide in postmenopausal patients with estrogen receptor-positive breast cancer: A multicenter, open-label, phase II study. </w:t>
      </w:r>
      <w:r w:rsidRPr="00246B02">
        <w:rPr>
          <w:rFonts w:ascii="Book Antiqua" w:hAnsi="Book Antiqua"/>
          <w:i/>
          <w:color w:val="000000" w:themeColor="text1"/>
          <w:sz w:val="24"/>
          <w:szCs w:val="24"/>
        </w:rPr>
        <w:t>Cancer Med</w:t>
      </w:r>
      <w:r w:rsidRPr="00246B02">
        <w:rPr>
          <w:rFonts w:ascii="Book Antiqua" w:hAnsi="Book Antiqua"/>
          <w:color w:val="000000" w:themeColor="text1"/>
          <w:sz w:val="24"/>
          <w:szCs w:val="24"/>
        </w:rPr>
        <w:t xml:space="preserve"> 2018 [PMID: 29905023 DOI: 10.1002/cam4.1600]</w:t>
      </w:r>
    </w:p>
    <w:p w14:paraId="2AE13EE6"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20 </w:t>
      </w:r>
      <w:r w:rsidRPr="00246B02">
        <w:rPr>
          <w:rFonts w:ascii="Book Antiqua" w:hAnsi="Book Antiqua"/>
          <w:b/>
          <w:color w:val="000000" w:themeColor="text1"/>
          <w:sz w:val="24"/>
          <w:szCs w:val="24"/>
        </w:rPr>
        <w:t>Mohammadianpanah M</w:t>
      </w:r>
      <w:r w:rsidRPr="00246B02">
        <w:rPr>
          <w:rFonts w:ascii="Book Antiqua" w:hAnsi="Book Antiqua"/>
          <w:color w:val="000000" w:themeColor="text1"/>
          <w:sz w:val="24"/>
          <w:szCs w:val="24"/>
        </w:rPr>
        <w:t xml:space="preserve">, Ashouri Y, Hoseini S, Amadloo N, Talei A, Tahmasebi S, Nasrolahi H, Mosalaei A, Omidvari S, Ansari M, Mosleh-Shirazi MA. The efficacy and safety of neoadjuvant chemotherapy +/- letrozole in postmenopausal women with locally advanced breast cancer: a randomized phase III clinical trial.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132</w:t>
      </w:r>
      <w:r w:rsidRPr="00246B02">
        <w:rPr>
          <w:rFonts w:ascii="Book Antiqua" w:hAnsi="Book Antiqua"/>
          <w:color w:val="000000" w:themeColor="text1"/>
          <w:sz w:val="24"/>
          <w:szCs w:val="24"/>
        </w:rPr>
        <w:t>: 853-861 [PMID: 22002564 DOI: 10.1007/s10549-011-1814-6]</w:t>
      </w:r>
    </w:p>
    <w:p w14:paraId="1E36D719" w14:textId="550A6D45"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21 </w:t>
      </w:r>
      <w:r w:rsidRPr="00246B02">
        <w:rPr>
          <w:rFonts w:ascii="Book Antiqua" w:hAnsi="Book Antiqua"/>
          <w:b/>
          <w:color w:val="000000" w:themeColor="text1"/>
          <w:sz w:val="24"/>
          <w:szCs w:val="24"/>
        </w:rPr>
        <w:t>Yu KD</w:t>
      </w:r>
      <w:r w:rsidRPr="00246B02">
        <w:rPr>
          <w:rFonts w:ascii="Book Antiqua" w:hAnsi="Book Antiqua"/>
          <w:color w:val="000000" w:themeColor="text1"/>
          <w:sz w:val="24"/>
          <w:szCs w:val="24"/>
        </w:rPr>
        <w:t xml:space="preserve">, Wu SY, Liu GY, Wu J, Di GH, Hu Z, Hou YF, Chen CM, Fan L, Tang LC, Shen ZZ, Wu KJ, Zhuang ZG, Zhang HW, Shao ZM. Concurrent neoadjuvant chemotherapy and estrogen deprivation in patients with estrogen receptor-positive, human epidermal growth factor receptor 2-negative breast cancer (CBCSG-036): A randomized, controlled, multicenter trial. </w:t>
      </w:r>
      <w:r w:rsidRPr="00246B02">
        <w:rPr>
          <w:rFonts w:ascii="Book Antiqua" w:hAnsi="Book Antiqua"/>
          <w:i/>
          <w:color w:val="000000" w:themeColor="text1"/>
          <w:sz w:val="24"/>
          <w:szCs w:val="24"/>
        </w:rPr>
        <w:t>Cancer</w:t>
      </w:r>
      <w:r w:rsidRPr="00246B02">
        <w:rPr>
          <w:rFonts w:ascii="Book Antiqua" w:hAnsi="Book Antiqua"/>
          <w:color w:val="000000" w:themeColor="text1"/>
          <w:sz w:val="24"/>
          <w:szCs w:val="24"/>
        </w:rPr>
        <w:t xml:space="preserve"> 2019 [PMID: 30892700 DOI: 10.1002/cncr.32057]</w:t>
      </w:r>
    </w:p>
    <w:p w14:paraId="38E68FE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22 </w:t>
      </w:r>
      <w:r w:rsidRPr="00246B02">
        <w:rPr>
          <w:rFonts w:ascii="Book Antiqua" w:hAnsi="Book Antiqua"/>
          <w:b/>
          <w:color w:val="000000" w:themeColor="text1"/>
          <w:sz w:val="24"/>
          <w:szCs w:val="24"/>
        </w:rPr>
        <w:t>Carpenter R</w:t>
      </w:r>
      <w:r w:rsidRPr="00246B02">
        <w:rPr>
          <w:rFonts w:ascii="Book Antiqua" w:hAnsi="Book Antiqua"/>
          <w:color w:val="000000" w:themeColor="text1"/>
          <w:sz w:val="24"/>
          <w:szCs w:val="24"/>
        </w:rPr>
        <w:t xml:space="preserve">, Doughty JC, Cordiner C, Moss N, Gandhi A, Wilson C, Andrews C, Ellis G, Gui G, Skene AI. </w:t>
      </w:r>
      <w:proofErr w:type="gramStart"/>
      <w:r w:rsidRPr="00246B02">
        <w:rPr>
          <w:rFonts w:ascii="Book Antiqua" w:hAnsi="Book Antiqua"/>
          <w:color w:val="000000" w:themeColor="text1"/>
          <w:sz w:val="24"/>
          <w:szCs w:val="24"/>
        </w:rPr>
        <w:t>Optimum duration of neoadjuvant letrozole to permit breast conserving surgery.</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144</w:t>
      </w:r>
      <w:r w:rsidRPr="00246B02">
        <w:rPr>
          <w:rFonts w:ascii="Book Antiqua" w:hAnsi="Book Antiqua"/>
          <w:color w:val="000000" w:themeColor="text1"/>
          <w:sz w:val="24"/>
          <w:szCs w:val="24"/>
        </w:rPr>
        <w:t>: 569-576 [PMID: 24562823 DOI: 10.1007/s10549-014-2835-8]</w:t>
      </w:r>
    </w:p>
    <w:p w14:paraId="002A949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23 </w:t>
      </w:r>
      <w:r w:rsidRPr="00246B02">
        <w:rPr>
          <w:rFonts w:ascii="Book Antiqua" w:hAnsi="Book Antiqua"/>
          <w:b/>
          <w:color w:val="000000" w:themeColor="text1"/>
          <w:sz w:val="24"/>
          <w:szCs w:val="24"/>
        </w:rPr>
        <w:t>Krainick-Strobel UE</w:t>
      </w:r>
      <w:r w:rsidRPr="00246B02">
        <w:rPr>
          <w:rFonts w:ascii="Book Antiqua" w:hAnsi="Book Antiqua"/>
          <w:color w:val="000000" w:themeColor="text1"/>
          <w:sz w:val="24"/>
          <w:szCs w:val="24"/>
        </w:rPr>
        <w:t xml:space="preserve">, Lichtenegger W, Wallwiener D, Tulusan AH, Jänicke F, Bastert G, Kiesel L, Wackwitz B, Paepke S. Neoadjuvant letrozole in postmenopausal estrogen and/or progesterone receptor positive breast cancer: a phase IIb/III trial to investigate optimal duration of preoperative endocrine therapy. </w:t>
      </w:r>
      <w:r w:rsidRPr="00246B02">
        <w:rPr>
          <w:rFonts w:ascii="Book Antiqua" w:hAnsi="Book Antiqua"/>
          <w:i/>
          <w:color w:val="000000" w:themeColor="text1"/>
          <w:sz w:val="24"/>
          <w:szCs w:val="24"/>
        </w:rPr>
        <w:t>BMC Cancer</w:t>
      </w:r>
      <w:r w:rsidRPr="00246B02">
        <w:rPr>
          <w:rFonts w:ascii="Book Antiqua" w:hAnsi="Book Antiqua"/>
          <w:color w:val="000000" w:themeColor="text1"/>
          <w:sz w:val="24"/>
          <w:szCs w:val="24"/>
        </w:rPr>
        <w:t xml:space="preserve"> 2008; </w:t>
      </w:r>
      <w:r w:rsidRPr="00246B02">
        <w:rPr>
          <w:rFonts w:ascii="Book Antiqua" w:hAnsi="Book Antiqua"/>
          <w:b/>
          <w:color w:val="000000" w:themeColor="text1"/>
          <w:sz w:val="24"/>
          <w:szCs w:val="24"/>
        </w:rPr>
        <w:t>8</w:t>
      </w:r>
      <w:r w:rsidRPr="00246B02">
        <w:rPr>
          <w:rFonts w:ascii="Book Antiqua" w:hAnsi="Book Antiqua"/>
          <w:color w:val="000000" w:themeColor="text1"/>
          <w:sz w:val="24"/>
          <w:szCs w:val="24"/>
        </w:rPr>
        <w:t>: 62 [PMID: 18302747 DOI: 10.1186/1471-2407-8-62]</w:t>
      </w:r>
    </w:p>
    <w:p w14:paraId="7C9417C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24 </w:t>
      </w:r>
      <w:r w:rsidRPr="00246B02">
        <w:rPr>
          <w:rFonts w:ascii="Book Antiqua" w:hAnsi="Book Antiqua"/>
          <w:b/>
          <w:color w:val="000000" w:themeColor="text1"/>
          <w:sz w:val="24"/>
          <w:szCs w:val="24"/>
        </w:rPr>
        <w:t>Hojo T</w:t>
      </w:r>
      <w:r w:rsidRPr="00246B02">
        <w:rPr>
          <w:rFonts w:ascii="Book Antiqua" w:hAnsi="Book Antiqua"/>
          <w:color w:val="000000" w:themeColor="text1"/>
          <w:sz w:val="24"/>
          <w:szCs w:val="24"/>
        </w:rPr>
        <w:t xml:space="preserve">, Kinoshita T, Imoto S, Shimizu C, Isaka H, Ito H, Imi K, Wada N, Ando M, Fujiwara Y. Use of the neo-adjuvant exemestane in post-menopausal estrogen receptor-positive breast cancer: a randomized phase II trial (PTEX46) </w:t>
      </w:r>
      <w:r w:rsidRPr="00246B02">
        <w:rPr>
          <w:rFonts w:ascii="Book Antiqua" w:hAnsi="Book Antiqua"/>
          <w:color w:val="000000" w:themeColor="text1"/>
          <w:sz w:val="24"/>
          <w:szCs w:val="24"/>
        </w:rPr>
        <w:lastRenderedPageBreak/>
        <w:t xml:space="preserve">to investigate the optimal duration of preoperative endocrine therapy. </w:t>
      </w:r>
      <w:r w:rsidRPr="00246B02">
        <w:rPr>
          <w:rFonts w:ascii="Book Antiqua" w:hAnsi="Book Antiqua"/>
          <w:i/>
          <w:color w:val="000000" w:themeColor="text1"/>
          <w:sz w:val="24"/>
          <w:szCs w:val="24"/>
        </w:rPr>
        <w:t>Breast</w:t>
      </w:r>
      <w:r w:rsidRPr="00246B02">
        <w:rPr>
          <w:rFonts w:ascii="Book Antiqua" w:hAnsi="Book Antiqua"/>
          <w:color w:val="000000" w:themeColor="text1"/>
          <w:sz w:val="24"/>
          <w:szCs w:val="24"/>
        </w:rPr>
        <w:t xml:space="preserve"> 2013; </w:t>
      </w:r>
      <w:r w:rsidRPr="00246B02">
        <w:rPr>
          <w:rFonts w:ascii="Book Antiqua" w:hAnsi="Book Antiqua"/>
          <w:b/>
          <w:color w:val="000000" w:themeColor="text1"/>
          <w:sz w:val="24"/>
          <w:szCs w:val="24"/>
        </w:rPr>
        <w:t>22</w:t>
      </w:r>
      <w:r w:rsidRPr="00246B02">
        <w:rPr>
          <w:rFonts w:ascii="Book Antiqua" w:hAnsi="Book Antiqua"/>
          <w:color w:val="000000" w:themeColor="text1"/>
          <w:sz w:val="24"/>
          <w:szCs w:val="24"/>
        </w:rPr>
        <w:t>: 263-267 [PMID: 23587451 DOI: 10.1016/j.breast.2013.03.002]</w:t>
      </w:r>
    </w:p>
    <w:p w14:paraId="58606DA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25 </w:t>
      </w:r>
      <w:r w:rsidRPr="00246B02">
        <w:rPr>
          <w:rFonts w:ascii="Book Antiqua" w:hAnsi="Book Antiqua"/>
          <w:b/>
          <w:color w:val="000000" w:themeColor="text1"/>
          <w:sz w:val="24"/>
          <w:szCs w:val="24"/>
        </w:rPr>
        <w:t>Fontein DB</w:t>
      </w:r>
      <w:r w:rsidRPr="00246B02">
        <w:rPr>
          <w:rFonts w:ascii="Book Antiqua" w:hAnsi="Book Antiqua"/>
          <w:color w:val="000000" w:themeColor="text1"/>
          <w:sz w:val="24"/>
          <w:szCs w:val="24"/>
        </w:rPr>
        <w:t xml:space="preserve">, Charehbili A, Nortier JW, Meershoek-Klein Kranenbarg E, Kroep JR, Putter H, van Riet Y, Nieuwenhuijzen GA, de Valk B, Terwogt JM, Algie GD, Liefers GJ, Linn S, van de Velde CJ. </w:t>
      </w:r>
      <w:proofErr w:type="gramStart"/>
      <w:r w:rsidRPr="00246B02">
        <w:rPr>
          <w:rFonts w:ascii="Book Antiqua" w:hAnsi="Book Antiqua"/>
          <w:color w:val="000000" w:themeColor="text1"/>
          <w:sz w:val="24"/>
          <w:szCs w:val="24"/>
        </w:rPr>
        <w:t>Efficacy of six month neoadjuvant endocrine therapy in postmenopausal, hormone receptor-positive breast cancer patients--a phase II trial.</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Eur J Cancer</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50</w:t>
      </w:r>
      <w:r w:rsidRPr="00246B02">
        <w:rPr>
          <w:rFonts w:ascii="Book Antiqua" w:hAnsi="Book Antiqua"/>
          <w:color w:val="000000" w:themeColor="text1"/>
          <w:sz w:val="24"/>
          <w:szCs w:val="24"/>
        </w:rPr>
        <w:t>: 2190-2200 [PMID: 24970786 DOI: 10.1016/j.ejca.2014.05.010]</w:t>
      </w:r>
    </w:p>
    <w:p w14:paraId="065C8C33"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26 </w:t>
      </w:r>
      <w:r w:rsidRPr="00246B02">
        <w:rPr>
          <w:rFonts w:ascii="Book Antiqua" w:hAnsi="Book Antiqua"/>
          <w:b/>
          <w:color w:val="000000" w:themeColor="text1"/>
          <w:sz w:val="24"/>
          <w:szCs w:val="24"/>
        </w:rPr>
        <w:t>Smith IE</w:t>
      </w:r>
      <w:r w:rsidRPr="00246B02">
        <w:rPr>
          <w:rFonts w:ascii="Book Antiqua" w:hAnsi="Book Antiqua"/>
          <w:color w:val="000000" w:themeColor="text1"/>
          <w:sz w:val="24"/>
          <w:szCs w:val="24"/>
        </w:rPr>
        <w:t xml:space="preserve">, Dowsett M, Ebbs SR, Dixon JM, Skene A, Blohmer JU, Ashley SE, Francis S, Boeddinghaus I, Walsh G; IMPACT Trialists Group. Neoadjuvant treatment of postmenopausal breast cancer with anastrozole, tamoxifen, or both in combination: the Immediate Preoperative Anastrozole, Tamoxifen, or Combined with Tamoxifen (IMPACT) multicenter double-blind randomized trial.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2005; </w:t>
      </w:r>
      <w:r w:rsidRPr="00246B02">
        <w:rPr>
          <w:rFonts w:ascii="Book Antiqua" w:hAnsi="Book Antiqua"/>
          <w:b/>
          <w:color w:val="000000" w:themeColor="text1"/>
          <w:sz w:val="24"/>
          <w:szCs w:val="24"/>
        </w:rPr>
        <w:t>23</w:t>
      </w:r>
      <w:r w:rsidRPr="00246B02">
        <w:rPr>
          <w:rFonts w:ascii="Book Antiqua" w:hAnsi="Book Antiqua"/>
          <w:color w:val="000000" w:themeColor="text1"/>
          <w:sz w:val="24"/>
          <w:szCs w:val="24"/>
        </w:rPr>
        <w:t>: 5108-5116 [PMID: 15998903 DOI: 10.1200/jco.2005.04.005]</w:t>
      </w:r>
    </w:p>
    <w:p w14:paraId="277B27CB"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27 </w:t>
      </w:r>
      <w:r w:rsidRPr="00246B02">
        <w:rPr>
          <w:rFonts w:ascii="Book Antiqua" w:hAnsi="Book Antiqua"/>
          <w:b/>
          <w:color w:val="000000" w:themeColor="text1"/>
          <w:sz w:val="24"/>
          <w:szCs w:val="24"/>
        </w:rPr>
        <w:t>Cataliotti L</w:t>
      </w:r>
      <w:r w:rsidRPr="00246B02">
        <w:rPr>
          <w:rFonts w:ascii="Book Antiqua" w:hAnsi="Book Antiqua"/>
          <w:color w:val="000000" w:themeColor="text1"/>
          <w:sz w:val="24"/>
          <w:szCs w:val="24"/>
        </w:rPr>
        <w:t xml:space="preserve">, Buzdar AU, Noguchi S, Bines J, Takatsuka Y, Petrakova K, Dube P, de Oliveira CT. Comparison of anastrozole versus tamoxifen as preoperative therapy in postmenopausal women with hormone receptor-positive breast cancer: the Pre-Operative "Arimidex" Compared to Tamoxifen (PROACT) trial. </w:t>
      </w:r>
      <w:r w:rsidRPr="00246B02">
        <w:rPr>
          <w:rFonts w:ascii="Book Antiqua" w:hAnsi="Book Antiqua"/>
          <w:i/>
          <w:color w:val="000000" w:themeColor="text1"/>
          <w:sz w:val="24"/>
          <w:szCs w:val="24"/>
        </w:rPr>
        <w:t>Cancer</w:t>
      </w:r>
      <w:r w:rsidRPr="00246B02">
        <w:rPr>
          <w:rFonts w:ascii="Book Antiqua" w:hAnsi="Book Antiqua"/>
          <w:color w:val="000000" w:themeColor="text1"/>
          <w:sz w:val="24"/>
          <w:szCs w:val="24"/>
        </w:rPr>
        <w:t xml:space="preserve"> 2006; </w:t>
      </w:r>
      <w:r w:rsidRPr="00246B02">
        <w:rPr>
          <w:rFonts w:ascii="Book Antiqua" w:hAnsi="Book Antiqua"/>
          <w:b/>
          <w:color w:val="000000" w:themeColor="text1"/>
          <w:sz w:val="24"/>
          <w:szCs w:val="24"/>
        </w:rPr>
        <w:t>106</w:t>
      </w:r>
      <w:r w:rsidRPr="00246B02">
        <w:rPr>
          <w:rFonts w:ascii="Book Antiqua" w:hAnsi="Book Antiqua"/>
          <w:color w:val="000000" w:themeColor="text1"/>
          <w:sz w:val="24"/>
          <w:szCs w:val="24"/>
        </w:rPr>
        <w:t>: 2095-2103 [PMID: 16598749 DOI: 10.1002/cncr.21872]</w:t>
      </w:r>
    </w:p>
    <w:p w14:paraId="3AB2511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28 </w:t>
      </w:r>
      <w:r w:rsidRPr="00246B02">
        <w:rPr>
          <w:rFonts w:ascii="Book Antiqua" w:hAnsi="Book Antiqua"/>
          <w:b/>
          <w:color w:val="000000" w:themeColor="text1"/>
          <w:sz w:val="24"/>
          <w:szCs w:val="24"/>
        </w:rPr>
        <w:t>Di Leo A</w:t>
      </w:r>
      <w:r w:rsidRPr="00246B02">
        <w:rPr>
          <w:rFonts w:ascii="Book Antiqua" w:hAnsi="Book Antiqua"/>
          <w:color w:val="000000" w:themeColor="text1"/>
          <w:sz w:val="24"/>
          <w:szCs w:val="24"/>
        </w:rPr>
        <w:t xml:space="preserve">, Jerusalem G, Petruzelka L, Torres R, Bondarenko IN, Khasanov R, Verhoeven D, Pedrini JL, Smirnova I, Lichinitser MR, Pendergrass K, Garnett S, Lindemann JP, Sapunar F, Martin M. Results of the CONFIRM phase III trial comparing fulvestrant 250 mg with fulvestrant 500 mg in postmenopausal women with estrogen receptor-positive advanced breast cancer.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2010; </w:t>
      </w:r>
      <w:r w:rsidRPr="00246B02">
        <w:rPr>
          <w:rFonts w:ascii="Book Antiqua" w:hAnsi="Book Antiqua"/>
          <w:b/>
          <w:color w:val="000000" w:themeColor="text1"/>
          <w:sz w:val="24"/>
          <w:szCs w:val="24"/>
        </w:rPr>
        <w:t>28</w:t>
      </w:r>
      <w:r w:rsidRPr="00246B02">
        <w:rPr>
          <w:rFonts w:ascii="Book Antiqua" w:hAnsi="Book Antiqua"/>
          <w:color w:val="000000" w:themeColor="text1"/>
          <w:sz w:val="24"/>
          <w:szCs w:val="24"/>
        </w:rPr>
        <w:t>: 4594-4600 [PMID: 20855825 DOI: 10.1200/jco.2010.28.8415]</w:t>
      </w:r>
    </w:p>
    <w:p w14:paraId="65DEB27B" w14:textId="1E93ED41"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29 </w:t>
      </w:r>
      <w:r w:rsidRPr="00246B02">
        <w:rPr>
          <w:rFonts w:ascii="Book Antiqua" w:hAnsi="Book Antiqua"/>
          <w:b/>
          <w:color w:val="000000" w:themeColor="text1"/>
          <w:sz w:val="24"/>
          <w:szCs w:val="24"/>
        </w:rPr>
        <w:t>Kuter I</w:t>
      </w:r>
      <w:r w:rsidRPr="00246B02">
        <w:rPr>
          <w:rFonts w:ascii="Book Antiqua" w:hAnsi="Book Antiqua"/>
          <w:color w:val="000000" w:themeColor="text1"/>
          <w:sz w:val="24"/>
          <w:szCs w:val="24"/>
        </w:rPr>
        <w:t xml:space="preserve">, Gee JM, Hegg R, Singer CF, Badwe RA, Lowe ES, Emeribe UA, Anderson E, Sapunar F, Finlay P, Nicholson RI, Bines J, Harbeck N. </w:t>
      </w:r>
      <w:r w:rsidRPr="00246B02">
        <w:rPr>
          <w:rFonts w:ascii="Book Antiqua" w:hAnsi="Book Antiqua"/>
          <w:color w:val="000000" w:themeColor="text1"/>
          <w:sz w:val="24"/>
          <w:szCs w:val="24"/>
        </w:rPr>
        <w:lastRenderedPageBreak/>
        <w:t>Dose-dependent change in</w:t>
      </w:r>
      <w:r w:rsidR="00E07C38">
        <w:rPr>
          <w:rFonts w:ascii="Book Antiqua" w:hAnsi="Book Antiqua"/>
          <w:color w:val="000000" w:themeColor="text1"/>
          <w:sz w:val="24"/>
          <w:szCs w:val="24"/>
        </w:rPr>
        <w:t xml:space="preserve"> biomarkers during neoadjuvant </w:t>
      </w:r>
      <w:r w:rsidRPr="00246B02">
        <w:rPr>
          <w:rFonts w:ascii="Book Antiqua" w:hAnsi="Book Antiqua"/>
          <w:color w:val="000000" w:themeColor="text1"/>
          <w:sz w:val="24"/>
          <w:szCs w:val="24"/>
        </w:rPr>
        <w:t>endocrine therapy with ful</w:t>
      </w:r>
      <w:r w:rsidR="00E07C38">
        <w:rPr>
          <w:rFonts w:ascii="Book Antiqua" w:hAnsi="Book Antiqua"/>
          <w:color w:val="000000" w:themeColor="text1"/>
          <w:sz w:val="24"/>
          <w:szCs w:val="24"/>
        </w:rPr>
        <w:t xml:space="preserve">vestrant: results from NEWEST, </w:t>
      </w:r>
      <w:r w:rsidRPr="00246B02">
        <w:rPr>
          <w:rFonts w:ascii="Book Antiqua" w:hAnsi="Book Antiqua"/>
          <w:color w:val="000000" w:themeColor="text1"/>
          <w:sz w:val="24"/>
          <w:szCs w:val="24"/>
        </w:rPr>
        <w:t xml:space="preserve">a randomized Phase II study.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133</w:t>
      </w:r>
      <w:r w:rsidRPr="00246B02">
        <w:rPr>
          <w:rFonts w:ascii="Book Antiqua" w:hAnsi="Book Antiqua"/>
          <w:color w:val="000000" w:themeColor="text1"/>
          <w:sz w:val="24"/>
          <w:szCs w:val="24"/>
        </w:rPr>
        <w:t>: 237-246 [PMID: 22286314 DOI: 10.1007/s10549-011-1947-7]</w:t>
      </w:r>
    </w:p>
    <w:p w14:paraId="2B71F69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30 </w:t>
      </w:r>
      <w:r w:rsidRPr="00246B02">
        <w:rPr>
          <w:rFonts w:ascii="Book Antiqua" w:hAnsi="Book Antiqua"/>
          <w:b/>
          <w:color w:val="000000" w:themeColor="text1"/>
          <w:sz w:val="24"/>
          <w:szCs w:val="24"/>
        </w:rPr>
        <w:t>Quenel-Tueux N</w:t>
      </w:r>
      <w:r w:rsidRPr="00246B02">
        <w:rPr>
          <w:rFonts w:ascii="Book Antiqua" w:hAnsi="Book Antiqua"/>
          <w:color w:val="000000" w:themeColor="text1"/>
          <w:sz w:val="24"/>
          <w:szCs w:val="24"/>
        </w:rPr>
        <w:t xml:space="preserve">, Debled M, Rudewicz J, MacGrogan G, Pulido M, Mauriac L, Dalenc F, Bachelot T, Lortal B, Breton-Callu C, Madranges N, de Lara CT, Fournier M, Bonnefoi H, Soueidan H, Nikolski M, Gros A, Daly C, Wood H, Rabbitts P, Iggo R. Clinical and genomic analysis of a randomised phase II study evaluating anastrozole and fulvestrant in postmenopausal patients treated for large operable or locally advanced hormone-receptor-positive breast cancer. </w:t>
      </w:r>
      <w:r w:rsidRPr="00246B02">
        <w:rPr>
          <w:rFonts w:ascii="Book Antiqua" w:hAnsi="Book Antiqua"/>
          <w:i/>
          <w:color w:val="000000" w:themeColor="text1"/>
          <w:sz w:val="24"/>
          <w:szCs w:val="24"/>
        </w:rPr>
        <w:t>Br J Cancer</w:t>
      </w:r>
      <w:r w:rsidRPr="00246B02">
        <w:rPr>
          <w:rFonts w:ascii="Book Antiqua" w:hAnsi="Book Antiqua"/>
          <w:color w:val="000000" w:themeColor="text1"/>
          <w:sz w:val="24"/>
          <w:szCs w:val="24"/>
        </w:rPr>
        <w:t xml:space="preserve"> 2015; </w:t>
      </w:r>
      <w:r w:rsidRPr="00246B02">
        <w:rPr>
          <w:rFonts w:ascii="Book Antiqua" w:hAnsi="Book Antiqua"/>
          <w:b/>
          <w:color w:val="000000" w:themeColor="text1"/>
          <w:sz w:val="24"/>
          <w:szCs w:val="24"/>
        </w:rPr>
        <w:t>113</w:t>
      </w:r>
      <w:r w:rsidRPr="00246B02">
        <w:rPr>
          <w:rFonts w:ascii="Book Antiqua" w:hAnsi="Book Antiqua"/>
          <w:color w:val="000000" w:themeColor="text1"/>
          <w:sz w:val="24"/>
          <w:szCs w:val="24"/>
        </w:rPr>
        <w:t>: 585-594 [PMID: 26171933 DOI: 10.1038/bjc.2015.247]</w:t>
      </w:r>
    </w:p>
    <w:p w14:paraId="4E0D095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31 </w:t>
      </w:r>
      <w:r w:rsidRPr="00246B02">
        <w:rPr>
          <w:rFonts w:ascii="Book Antiqua" w:hAnsi="Book Antiqua"/>
          <w:b/>
          <w:color w:val="000000" w:themeColor="text1"/>
          <w:sz w:val="24"/>
          <w:szCs w:val="24"/>
        </w:rPr>
        <w:t>Lerebours F</w:t>
      </w:r>
      <w:r w:rsidRPr="00246B02">
        <w:rPr>
          <w:rFonts w:ascii="Book Antiqua" w:hAnsi="Book Antiqua"/>
          <w:color w:val="000000" w:themeColor="text1"/>
          <w:sz w:val="24"/>
          <w:szCs w:val="24"/>
        </w:rPr>
        <w:t xml:space="preserve">, Rivera S, Mouret-Reynier MA, Alran S, Venat-Bouvet L, Kerbrat P, Salmon R, Becette V, Bourgier C, Cherel P, Boussion V, Balleyguier C, Thibault F, Lavau-Denes S, Nabholz JM, Sigal B, Trassard M, Mathieu MC, Martin AL, Lemonnier J, Mouret-Fourme E. Randomized phase 2 neoadjuvant trial evaluating anastrozole and fulvestrant efficacy for postmenopausal, estrogen receptor-positive, human epidermal growth factor receptor 2-negative breast cancer patients: Results of the UNICANCER CARMINA 02 French trial (UCBG 0609). </w:t>
      </w:r>
      <w:r w:rsidRPr="00246B02">
        <w:rPr>
          <w:rFonts w:ascii="Book Antiqua" w:hAnsi="Book Antiqua"/>
          <w:i/>
          <w:color w:val="000000" w:themeColor="text1"/>
          <w:sz w:val="24"/>
          <w:szCs w:val="24"/>
        </w:rPr>
        <w:t>Cancer</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122</w:t>
      </w:r>
      <w:r w:rsidRPr="00246B02">
        <w:rPr>
          <w:rFonts w:ascii="Book Antiqua" w:hAnsi="Book Antiqua"/>
          <w:color w:val="000000" w:themeColor="text1"/>
          <w:sz w:val="24"/>
          <w:szCs w:val="24"/>
        </w:rPr>
        <w:t>: 3032-3040 [PMID: 27315583 DOI: 10.1002/cncr.30143]</w:t>
      </w:r>
    </w:p>
    <w:p w14:paraId="652D3C2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32 </w:t>
      </w:r>
      <w:r w:rsidRPr="00246B02">
        <w:rPr>
          <w:rFonts w:ascii="Book Antiqua" w:hAnsi="Book Antiqua"/>
          <w:b/>
          <w:color w:val="000000" w:themeColor="text1"/>
          <w:sz w:val="24"/>
          <w:szCs w:val="24"/>
        </w:rPr>
        <w:t>Ellis MJ</w:t>
      </w:r>
      <w:r w:rsidRPr="00246B02">
        <w:rPr>
          <w:rFonts w:ascii="Book Antiqua" w:hAnsi="Book Antiqua"/>
          <w:color w:val="000000" w:themeColor="text1"/>
          <w:sz w:val="24"/>
          <w:szCs w:val="24"/>
        </w:rPr>
        <w:t xml:space="preserve">, Suman VJ, Hoog J, Lin L, Snider J, Prat A, Parker JS, Luo J, DeSchryver K, Allred DC, Esserman LJ, Unzeitig GW, Margenthaler J, Babiera GV, Marcom PK, Guenther JM, Watson MA, Leitch M, Hunt K, Olson JA. Randomized phase II neoadjuvant comparison between letrozole, anastrozole, and exemestane for postmenopausal women with estrogen receptor-rich stage 2 to 3 breast cancer: clinical and biomarker outcomes and predictive value of the baseline PAM50-based intrinsic subtype--ACOSOG Z1031.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29</w:t>
      </w:r>
      <w:r w:rsidRPr="00246B02">
        <w:rPr>
          <w:rFonts w:ascii="Book Antiqua" w:hAnsi="Book Antiqua"/>
          <w:color w:val="000000" w:themeColor="text1"/>
          <w:sz w:val="24"/>
          <w:szCs w:val="24"/>
        </w:rPr>
        <w:t>: 2342-2349 [PMID: 21555689 DOI: 10.1200/JCO.2010.31.6950]</w:t>
      </w:r>
    </w:p>
    <w:p w14:paraId="136A932B"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lastRenderedPageBreak/>
        <w:t xml:space="preserve">33 </w:t>
      </w:r>
      <w:r w:rsidRPr="00246B02">
        <w:rPr>
          <w:rFonts w:ascii="Book Antiqua" w:hAnsi="Book Antiqua"/>
          <w:b/>
          <w:color w:val="000000" w:themeColor="text1"/>
          <w:sz w:val="24"/>
          <w:szCs w:val="24"/>
        </w:rPr>
        <w:t>Torrisi R</w:t>
      </w:r>
      <w:r w:rsidRPr="00246B02">
        <w:rPr>
          <w:rFonts w:ascii="Book Antiqua" w:hAnsi="Book Antiqua"/>
          <w:color w:val="000000" w:themeColor="text1"/>
          <w:sz w:val="24"/>
          <w:szCs w:val="24"/>
        </w:rPr>
        <w:t xml:space="preserve">, Bagnardi V, Pruneri G, Ghisini R, Bottiglieri L, Magni E, Veronesi P, D'Alessandro C, Luini A, Dellapasqua S, Viale G, Goldhirsch A, Colleoni M. Antitumour and biological effects of letrozole and GnRH analogue as primary therapy in premenopausal women with ER and PgR positive locally advanced operable breast cancer. </w:t>
      </w:r>
      <w:r w:rsidRPr="00246B02">
        <w:rPr>
          <w:rFonts w:ascii="Book Antiqua" w:hAnsi="Book Antiqua"/>
          <w:i/>
          <w:color w:val="000000" w:themeColor="text1"/>
          <w:sz w:val="24"/>
          <w:szCs w:val="24"/>
        </w:rPr>
        <w:t>Br J Cancer</w:t>
      </w:r>
      <w:r w:rsidRPr="00246B02">
        <w:rPr>
          <w:rFonts w:ascii="Book Antiqua" w:hAnsi="Book Antiqua"/>
          <w:color w:val="000000" w:themeColor="text1"/>
          <w:sz w:val="24"/>
          <w:szCs w:val="24"/>
        </w:rPr>
        <w:t xml:space="preserve"> 2007; </w:t>
      </w:r>
      <w:r w:rsidRPr="00246B02">
        <w:rPr>
          <w:rFonts w:ascii="Book Antiqua" w:hAnsi="Book Antiqua"/>
          <w:b/>
          <w:color w:val="000000" w:themeColor="text1"/>
          <w:sz w:val="24"/>
          <w:szCs w:val="24"/>
        </w:rPr>
        <w:t>97</w:t>
      </w:r>
      <w:r w:rsidRPr="00246B02">
        <w:rPr>
          <w:rFonts w:ascii="Book Antiqua" w:hAnsi="Book Antiqua"/>
          <w:color w:val="000000" w:themeColor="text1"/>
          <w:sz w:val="24"/>
          <w:szCs w:val="24"/>
        </w:rPr>
        <w:t>: 802-808 [PMID: 17712311 DOI: 10.1038/sj.bjc.6603947]</w:t>
      </w:r>
    </w:p>
    <w:p w14:paraId="7A9CA60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34 </w:t>
      </w:r>
      <w:r w:rsidRPr="00246B02">
        <w:rPr>
          <w:rFonts w:ascii="Book Antiqua" w:hAnsi="Book Antiqua"/>
          <w:b/>
          <w:color w:val="000000" w:themeColor="text1"/>
          <w:sz w:val="24"/>
          <w:szCs w:val="24"/>
        </w:rPr>
        <w:t>Masuda N</w:t>
      </w:r>
      <w:r w:rsidRPr="00246B02">
        <w:rPr>
          <w:rFonts w:ascii="Book Antiqua" w:hAnsi="Book Antiqua"/>
          <w:color w:val="000000" w:themeColor="text1"/>
          <w:sz w:val="24"/>
          <w:szCs w:val="24"/>
        </w:rPr>
        <w:t xml:space="preserve">, Sagara Y, Kinoshita T, Iwata H, Nakamura S, Yanagita Y, Nishimura R, Iwase H, Kamigaki S, Takei H, Noguchi S. Neoadjuvant anastrozole versus tamoxifen in patients receiving goserelin for premenopausal breast cancer (STAGE): a double-blind, randomised phase 3 trial. </w:t>
      </w:r>
      <w:r w:rsidRPr="00246B02">
        <w:rPr>
          <w:rFonts w:ascii="Book Antiqua" w:hAnsi="Book Antiqua"/>
          <w:i/>
          <w:color w:val="000000" w:themeColor="text1"/>
          <w:sz w:val="24"/>
          <w:szCs w:val="24"/>
        </w:rPr>
        <w:t>Lancet Oncol</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13</w:t>
      </w:r>
      <w:r w:rsidRPr="00246B02">
        <w:rPr>
          <w:rFonts w:ascii="Book Antiqua" w:hAnsi="Book Antiqua"/>
          <w:color w:val="000000" w:themeColor="text1"/>
          <w:sz w:val="24"/>
          <w:szCs w:val="24"/>
        </w:rPr>
        <w:t>: 345-352 [PMID: 22265697 DOI: 10.1016/s1470-2045(11)70373-4]</w:t>
      </w:r>
    </w:p>
    <w:p w14:paraId="669A000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35 </w:t>
      </w:r>
      <w:r w:rsidRPr="00246B02">
        <w:rPr>
          <w:rFonts w:ascii="Book Antiqua" w:hAnsi="Book Antiqua"/>
          <w:b/>
          <w:color w:val="000000" w:themeColor="text1"/>
          <w:sz w:val="24"/>
          <w:szCs w:val="24"/>
        </w:rPr>
        <w:t>Dellapasqua S</w:t>
      </w:r>
      <w:r w:rsidRPr="00246B02">
        <w:rPr>
          <w:rFonts w:ascii="Book Antiqua" w:hAnsi="Book Antiqua"/>
          <w:color w:val="000000" w:themeColor="text1"/>
          <w:sz w:val="24"/>
          <w:szCs w:val="24"/>
        </w:rPr>
        <w:t xml:space="preserve">, Gray KP, Munzone E, Rubino D, Gianni L, Johansson H, Viale G, Ribi K, Bernhard J, Kammler R, Maibach R, Rabaglio-Poretti M, Ruepp B, Di Leo A, Coates AS, Gelber RD, Regan MM, Goldhirsch A, Colleoni M; International Breast Cancer Study Group. Neoadjuvant Degarelix Versus Triptorelin in Premenopausal Patients Who Receive Letrozole for Locally Advanced Endocrine-Responsive Breast Cancer: A Randomized Phase II Trial.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37</w:t>
      </w:r>
      <w:r w:rsidRPr="00246B02">
        <w:rPr>
          <w:rFonts w:ascii="Book Antiqua" w:hAnsi="Book Antiqua"/>
          <w:color w:val="000000" w:themeColor="text1"/>
          <w:sz w:val="24"/>
          <w:szCs w:val="24"/>
        </w:rPr>
        <w:t>: 386-395 [PMID: 30589600 DOI: 10.1200/jco.18.00296]</w:t>
      </w:r>
    </w:p>
    <w:p w14:paraId="3CFF1FA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36 </w:t>
      </w:r>
      <w:r w:rsidRPr="00246B02">
        <w:rPr>
          <w:rFonts w:ascii="Book Antiqua" w:hAnsi="Book Antiqua"/>
          <w:b/>
          <w:color w:val="000000" w:themeColor="text1"/>
          <w:sz w:val="24"/>
          <w:szCs w:val="24"/>
        </w:rPr>
        <w:t>Lange CA</w:t>
      </w:r>
      <w:r w:rsidRPr="00246B02">
        <w:rPr>
          <w:rFonts w:ascii="Book Antiqua" w:hAnsi="Book Antiqua"/>
          <w:color w:val="000000" w:themeColor="text1"/>
          <w:sz w:val="24"/>
          <w:szCs w:val="24"/>
        </w:rPr>
        <w:t xml:space="preserve">, Yee D. Killing the second messenger: targeting loss of cell cycle control in endocrine-resistant breast cancer. </w:t>
      </w:r>
      <w:r w:rsidRPr="00246B02">
        <w:rPr>
          <w:rFonts w:ascii="Book Antiqua" w:hAnsi="Book Antiqua"/>
          <w:i/>
          <w:color w:val="000000" w:themeColor="text1"/>
          <w:sz w:val="24"/>
          <w:szCs w:val="24"/>
        </w:rPr>
        <w:t>Endocr Relat Cancer</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18</w:t>
      </w:r>
      <w:r w:rsidRPr="00246B02">
        <w:rPr>
          <w:rFonts w:ascii="Book Antiqua" w:hAnsi="Book Antiqua"/>
          <w:color w:val="000000" w:themeColor="text1"/>
          <w:sz w:val="24"/>
          <w:szCs w:val="24"/>
        </w:rPr>
        <w:t>: C19-C24 [PMID: 21613412 DOI: 10.1530/erc-11-0112]</w:t>
      </w:r>
    </w:p>
    <w:p w14:paraId="226EE63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37 </w:t>
      </w:r>
      <w:r w:rsidRPr="00246B02">
        <w:rPr>
          <w:rFonts w:ascii="Book Antiqua" w:hAnsi="Book Antiqua"/>
          <w:b/>
          <w:color w:val="000000" w:themeColor="text1"/>
          <w:sz w:val="24"/>
          <w:szCs w:val="24"/>
        </w:rPr>
        <w:t>Johnston S</w:t>
      </w:r>
      <w:r w:rsidRPr="00246B02">
        <w:rPr>
          <w:rFonts w:ascii="Book Antiqua" w:hAnsi="Book Antiqua"/>
          <w:color w:val="000000" w:themeColor="text1"/>
          <w:sz w:val="24"/>
          <w:szCs w:val="24"/>
        </w:rPr>
        <w:t xml:space="preserve">, Puhalla S, Wheatley D, Ring A, Barry P, Holcombe C, Boileau JF, Provencher L, Robidoux A, Rimawi M, McIntosh SA, Shalaby I, Stein RC, Thirlwell M, Dolling D, Morden J, Snowdon C, Perry S, Cornman C, Batten LM, Jeffs LK, Dodson A, Martins V, Modi A, Osborne CK, Pogue-Geile KL, Cheang MCU, Wolmark N, Julian TB, Fisher K, MacKenzie M, Wilcox M, Huang Bartlett C, Koehler M, Dowsett M, Bliss JM, Jacobs SA. </w:t>
      </w:r>
      <w:proofErr w:type="gramStart"/>
      <w:r w:rsidRPr="00246B02">
        <w:rPr>
          <w:rFonts w:ascii="Book Antiqua" w:hAnsi="Book Antiqua"/>
          <w:color w:val="000000" w:themeColor="text1"/>
          <w:sz w:val="24"/>
          <w:szCs w:val="24"/>
        </w:rPr>
        <w:t xml:space="preserve">Randomized Phase II Study Evaluating Palbociclib in Addition to Letrozole as Neoadjuvant Therapy in Estrogen Receptor-Positive Early Breast Cancer: </w:t>
      </w:r>
      <w:r w:rsidRPr="00246B02">
        <w:rPr>
          <w:rFonts w:ascii="Book Antiqua" w:hAnsi="Book Antiqua"/>
          <w:color w:val="000000" w:themeColor="text1"/>
          <w:sz w:val="24"/>
          <w:szCs w:val="24"/>
        </w:rPr>
        <w:lastRenderedPageBreak/>
        <w:t>PALLET Trial.</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37</w:t>
      </w:r>
      <w:r w:rsidRPr="00246B02">
        <w:rPr>
          <w:rFonts w:ascii="Book Antiqua" w:hAnsi="Book Antiqua"/>
          <w:color w:val="000000" w:themeColor="text1"/>
          <w:sz w:val="24"/>
          <w:szCs w:val="24"/>
        </w:rPr>
        <w:t>: 178-189 [PMID: 30523750 DOI: 10.1200/jco.18.01624]</w:t>
      </w:r>
    </w:p>
    <w:p w14:paraId="1383D3C9"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38 </w:t>
      </w:r>
      <w:r w:rsidRPr="00246B02">
        <w:rPr>
          <w:rFonts w:ascii="Book Antiqua" w:hAnsi="Book Antiqua"/>
          <w:b/>
          <w:color w:val="000000" w:themeColor="text1"/>
          <w:sz w:val="24"/>
          <w:szCs w:val="24"/>
        </w:rPr>
        <w:t>Ma CX</w:t>
      </w:r>
      <w:r w:rsidRPr="00246B02">
        <w:rPr>
          <w:rFonts w:ascii="Book Antiqua" w:hAnsi="Book Antiqua"/>
          <w:color w:val="000000" w:themeColor="text1"/>
          <w:sz w:val="24"/>
          <w:szCs w:val="24"/>
        </w:rPr>
        <w:t xml:space="preserve">, Gao F, Luo J, Northfelt DW, Goetz M, Forero A, Hoog J, Naughton M, Ademuyiwa F, Suresh R, Anderson KS, Margenthaler J, Aft R, Hobday T, Moynihan T, Gillanders W, Cyr A, Eberlein TJ, Hieken T, Krontiras H, Guo Z, Lee MV, Spies NC, Skidmore ZL, Griffith OL, Griffith M, Thomas S, Bumb C, Vij K, Bartlett CH, Koehler M, Al-Kateb H, Sanati S, Ellis MJ. NeoPalAna: Neoadjuvant Palbociclib, a Cyclin-Dependent Kinase 4/6 Inhibitor, and Anastrozole for Clinical Stage 2 or 3 Estrogen Receptor-Positive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23</w:t>
      </w:r>
      <w:r w:rsidRPr="00246B02">
        <w:rPr>
          <w:rFonts w:ascii="Book Antiqua" w:hAnsi="Book Antiqua"/>
          <w:color w:val="000000" w:themeColor="text1"/>
          <w:sz w:val="24"/>
          <w:szCs w:val="24"/>
        </w:rPr>
        <w:t>: 4055-4065 [PMID: 28270497 DOI: 10.1158/1078-0432.ccr-16-3206]</w:t>
      </w:r>
    </w:p>
    <w:p w14:paraId="436071C7"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39 </w:t>
      </w:r>
      <w:r w:rsidRPr="00246B02">
        <w:rPr>
          <w:rFonts w:ascii="Book Antiqua" w:hAnsi="Book Antiqua"/>
          <w:b/>
          <w:color w:val="000000" w:themeColor="text1"/>
          <w:sz w:val="24"/>
          <w:szCs w:val="24"/>
        </w:rPr>
        <w:t>Cristofanilli M</w:t>
      </w:r>
      <w:r w:rsidRPr="00246B02">
        <w:rPr>
          <w:rFonts w:ascii="Book Antiqua" w:hAnsi="Book Antiqua"/>
          <w:color w:val="000000" w:themeColor="text1"/>
          <w:sz w:val="24"/>
          <w:szCs w:val="24"/>
        </w:rPr>
        <w:t xml:space="preserve">, Turner NC, Bondarenko I, Ro J, Im SA, Masuda N, Colleoni M, DeMichele A, Loi S, Verma S, Iwata H, Harbeck N, Zhang K, Theall KP, Jiang Y, Bartlett CH, Koehler M, Slamon D. Fulvestrant plus palbociclib versus fulvestrant plus placebo for treatment of hormone-receptor-positive, HER2-negative metastatic breast cancer that progressed on previous endocrine therapy (PALOMA-3): final analysis of the multicentre, double-blind, phase 3 randomised controlled trial. </w:t>
      </w:r>
      <w:r w:rsidRPr="00246B02">
        <w:rPr>
          <w:rFonts w:ascii="Book Antiqua" w:hAnsi="Book Antiqua"/>
          <w:i/>
          <w:color w:val="000000" w:themeColor="text1"/>
          <w:sz w:val="24"/>
          <w:szCs w:val="24"/>
        </w:rPr>
        <w:t>Lancet Oncol</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17</w:t>
      </w:r>
      <w:r w:rsidRPr="00246B02">
        <w:rPr>
          <w:rFonts w:ascii="Book Antiqua" w:hAnsi="Book Antiqua"/>
          <w:color w:val="000000" w:themeColor="text1"/>
          <w:sz w:val="24"/>
          <w:szCs w:val="24"/>
        </w:rPr>
        <w:t>: 425-439 [PMID: 26947331 DOI: 10.1016/s1470-2045(15)00613-0]</w:t>
      </w:r>
    </w:p>
    <w:p w14:paraId="65F9BC2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40 </w:t>
      </w:r>
      <w:r w:rsidRPr="00246B02">
        <w:rPr>
          <w:rFonts w:ascii="Book Antiqua" w:hAnsi="Book Antiqua"/>
          <w:b/>
          <w:color w:val="000000" w:themeColor="text1"/>
          <w:sz w:val="24"/>
          <w:szCs w:val="24"/>
        </w:rPr>
        <w:t>Arnedos M</w:t>
      </w:r>
      <w:r w:rsidRPr="00246B02">
        <w:rPr>
          <w:rFonts w:ascii="Book Antiqua" w:hAnsi="Book Antiqua"/>
          <w:color w:val="000000" w:themeColor="text1"/>
          <w:sz w:val="24"/>
          <w:szCs w:val="24"/>
        </w:rPr>
        <w:t xml:space="preserve">, Bayar MA, Cheaib B, Scott V, Bouakka I, Valent A, Adam J, Leroux-Kozal V, Marty V, Rapinat A, Mazouni C, Sarfati B, Bieche I, Balleyguier C, Gentien D, Delaloge S, Lacroix-Triki M, Michiels S, Andre F. Modulation of Rb phosphorylation and antiproliferative response to palbociclib: the preoperative-palbociclib (POP) randomized clinical trial.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29</w:t>
      </w:r>
      <w:r w:rsidRPr="00246B02">
        <w:rPr>
          <w:rFonts w:ascii="Book Antiqua" w:hAnsi="Book Antiqua"/>
          <w:color w:val="000000" w:themeColor="text1"/>
          <w:sz w:val="24"/>
          <w:szCs w:val="24"/>
        </w:rPr>
        <w:t>: 1755-1762 [PMID: 29893769 DOI: 10.1093/annonc/mdy202]</w:t>
      </w:r>
    </w:p>
    <w:p w14:paraId="38B319DA" w14:textId="6A53FEA5"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41 </w:t>
      </w:r>
      <w:r w:rsidRPr="00246B02">
        <w:rPr>
          <w:rFonts w:ascii="Book Antiqua" w:hAnsi="Book Antiqua"/>
          <w:b/>
          <w:color w:val="000000" w:themeColor="text1"/>
          <w:sz w:val="24"/>
          <w:szCs w:val="24"/>
        </w:rPr>
        <w:t>Finn RS</w:t>
      </w:r>
      <w:r w:rsidRPr="00246B02">
        <w:rPr>
          <w:rFonts w:ascii="Book Antiqua" w:hAnsi="Book Antiqua"/>
          <w:color w:val="000000" w:themeColor="text1"/>
          <w:sz w:val="24"/>
          <w:szCs w:val="24"/>
        </w:rPr>
        <w:t>, Dering J, Conklin D, Kalous O, Cohen DJ, Desai AJ, Ginther C, Atefi M, Chen I, Fowst C, Los G, Slamon DJ. PD 0332991, a selective cyclin D kinase 4/6 inhibitor, preferentially</w:t>
      </w:r>
      <w:r w:rsidR="00D4398B">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inhibits proliferation of luminal estrogen receptor-positive human</w:t>
      </w:r>
      <w:r w:rsidR="00D4398B">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 xml:space="preserve">breast cancer cell lines in vitro. </w:t>
      </w:r>
      <w:r w:rsidRPr="00246B02">
        <w:rPr>
          <w:rFonts w:ascii="Book Antiqua" w:hAnsi="Book Antiqua"/>
          <w:i/>
          <w:color w:val="000000" w:themeColor="text1"/>
          <w:sz w:val="24"/>
          <w:szCs w:val="24"/>
        </w:rPr>
        <w:t>Breast Cancer Res</w:t>
      </w:r>
      <w:r w:rsidRPr="00246B02">
        <w:rPr>
          <w:rFonts w:ascii="Book Antiqua" w:hAnsi="Book Antiqua"/>
          <w:color w:val="000000" w:themeColor="text1"/>
          <w:sz w:val="24"/>
          <w:szCs w:val="24"/>
        </w:rPr>
        <w:t xml:space="preserve"> 2009; </w:t>
      </w:r>
      <w:r w:rsidRPr="00246B02">
        <w:rPr>
          <w:rFonts w:ascii="Book Antiqua" w:hAnsi="Book Antiqua"/>
          <w:b/>
          <w:color w:val="000000" w:themeColor="text1"/>
          <w:sz w:val="24"/>
          <w:szCs w:val="24"/>
        </w:rPr>
        <w:t>11</w:t>
      </w:r>
      <w:r w:rsidRPr="00246B02">
        <w:rPr>
          <w:rFonts w:ascii="Book Antiqua" w:hAnsi="Book Antiqua"/>
          <w:color w:val="000000" w:themeColor="text1"/>
          <w:sz w:val="24"/>
          <w:szCs w:val="24"/>
        </w:rPr>
        <w:t>: R77 [PMID: 19874578 DOI: 10.1186/bcr2419]</w:t>
      </w:r>
    </w:p>
    <w:p w14:paraId="49F38E3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lastRenderedPageBreak/>
        <w:t xml:space="preserve">42 </w:t>
      </w:r>
      <w:r w:rsidRPr="00246B02">
        <w:rPr>
          <w:rFonts w:ascii="Book Antiqua" w:hAnsi="Book Antiqua"/>
          <w:b/>
          <w:color w:val="000000" w:themeColor="text1"/>
          <w:sz w:val="24"/>
          <w:szCs w:val="24"/>
        </w:rPr>
        <w:t>Curigliano G</w:t>
      </w:r>
      <w:r w:rsidRPr="00246B02">
        <w:rPr>
          <w:rFonts w:ascii="Book Antiqua" w:hAnsi="Book Antiqua"/>
          <w:color w:val="000000" w:themeColor="text1"/>
          <w:sz w:val="24"/>
          <w:szCs w:val="24"/>
        </w:rPr>
        <w:t xml:space="preserve">, Gómez Pardo P, Meric-Bernstam F, Conte P, Lolkema MP, Beck JT, Bardia A, Martínez García M, Penault-Llorca F, Dhuria S, Tang Z, Solovieff N, Miller M, Di Tomaso E, Hurvitz SA. Ribociclib plus letrozole in early breast cancer: A presurgical, window-of-opportunity study. </w:t>
      </w:r>
      <w:r w:rsidRPr="00246B02">
        <w:rPr>
          <w:rFonts w:ascii="Book Antiqua" w:hAnsi="Book Antiqua"/>
          <w:i/>
          <w:color w:val="000000" w:themeColor="text1"/>
          <w:sz w:val="24"/>
          <w:szCs w:val="24"/>
        </w:rPr>
        <w:t>Breast</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28</w:t>
      </w:r>
      <w:r w:rsidRPr="00246B02">
        <w:rPr>
          <w:rFonts w:ascii="Book Antiqua" w:hAnsi="Book Antiqua"/>
          <w:color w:val="000000" w:themeColor="text1"/>
          <w:sz w:val="24"/>
          <w:szCs w:val="24"/>
        </w:rPr>
        <w:t>: 191-198 [PMID: 27336726 DOI: 10.1016/j.breast.2016.06.008]</w:t>
      </w:r>
    </w:p>
    <w:p w14:paraId="1FA2F161" w14:textId="57178203" w:rsidR="00246B02" w:rsidRPr="00246B02" w:rsidRDefault="009B6581" w:rsidP="00246B02">
      <w:pPr>
        <w:spacing w:line="360" w:lineRule="auto"/>
        <w:jc w:val="both"/>
        <w:rPr>
          <w:rFonts w:ascii="Book Antiqua" w:hAnsi="Book Antiqua"/>
          <w:color w:val="000000" w:themeColor="text1"/>
          <w:sz w:val="24"/>
          <w:szCs w:val="24"/>
        </w:rPr>
      </w:pPr>
      <w:proofErr w:type="gramStart"/>
      <w:r>
        <w:rPr>
          <w:rFonts w:ascii="Book Antiqua" w:hAnsi="Book Antiqua"/>
          <w:color w:val="000000" w:themeColor="text1"/>
          <w:sz w:val="24"/>
          <w:szCs w:val="24"/>
        </w:rPr>
        <w:t xml:space="preserve">43 </w:t>
      </w:r>
      <w:r w:rsidR="00246B02" w:rsidRPr="00246B02">
        <w:rPr>
          <w:rFonts w:ascii="Book Antiqua" w:hAnsi="Book Antiqua"/>
          <w:color w:val="000000" w:themeColor="text1"/>
          <w:sz w:val="24"/>
          <w:szCs w:val="24"/>
        </w:rPr>
        <w:t>Abemaciclib Shows Promise for Early Breast Cancer.</w:t>
      </w:r>
      <w:proofErr w:type="gramEnd"/>
      <w:r w:rsidR="00246B02" w:rsidRPr="00246B02">
        <w:rPr>
          <w:rFonts w:ascii="Book Antiqua" w:hAnsi="Book Antiqua"/>
          <w:color w:val="000000" w:themeColor="text1"/>
          <w:sz w:val="24"/>
          <w:szCs w:val="24"/>
        </w:rPr>
        <w:t xml:space="preserve"> </w:t>
      </w:r>
      <w:r w:rsidR="00246B02" w:rsidRPr="00246B02">
        <w:rPr>
          <w:rFonts w:ascii="Book Antiqua" w:hAnsi="Book Antiqua"/>
          <w:i/>
          <w:color w:val="000000" w:themeColor="text1"/>
          <w:sz w:val="24"/>
          <w:szCs w:val="24"/>
        </w:rPr>
        <w:t>Cancer Discov</w:t>
      </w:r>
      <w:r w:rsidR="00246B02" w:rsidRPr="00246B02">
        <w:rPr>
          <w:rFonts w:ascii="Book Antiqua" w:hAnsi="Book Antiqua"/>
          <w:color w:val="000000" w:themeColor="text1"/>
          <w:sz w:val="24"/>
          <w:szCs w:val="24"/>
        </w:rPr>
        <w:t xml:space="preserve"> 2017; </w:t>
      </w:r>
      <w:r w:rsidR="00246B02" w:rsidRPr="00246B02">
        <w:rPr>
          <w:rFonts w:ascii="Book Antiqua" w:hAnsi="Book Antiqua"/>
          <w:b/>
          <w:color w:val="000000" w:themeColor="text1"/>
          <w:sz w:val="24"/>
          <w:szCs w:val="24"/>
        </w:rPr>
        <w:t>7</w:t>
      </w:r>
      <w:r w:rsidR="00246B02" w:rsidRPr="00246B02">
        <w:rPr>
          <w:rFonts w:ascii="Book Antiqua" w:hAnsi="Book Antiqua"/>
          <w:color w:val="000000" w:themeColor="text1"/>
          <w:sz w:val="24"/>
          <w:szCs w:val="24"/>
        </w:rPr>
        <w:t>: 119-120 [PMID: 27986713 DOI: 10.1158/2159-8290.cd-nb2016-160]</w:t>
      </w:r>
    </w:p>
    <w:p w14:paraId="4912C837"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44 </w:t>
      </w:r>
      <w:r w:rsidRPr="00246B02">
        <w:rPr>
          <w:rFonts w:ascii="Book Antiqua" w:hAnsi="Book Antiqua"/>
          <w:b/>
          <w:color w:val="000000" w:themeColor="text1"/>
          <w:sz w:val="24"/>
          <w:szCs w:val="24"/>
        </w:rPr>
        <w:t>Zhang T</w:t>
      </w:r>
      <w:r w:rsidRPr="00246B02">
        <w:rPr>
          <w:rFonts w:ascii="Book Antiqua" w:hAnsi="Book Antiqua"/>
          <w:color w:val="000000" w:themeColor="text1"/>
          <w:sz w:val="24"/>
          <w:szCs w:val="24"/>
        </w:rPr>
        <w:t xml:space="preserve">, Feng F, Yao Y, Qi L, Tian J, Zhou C, Dong S, Wang X, Sun C. Efficacy and acceptability of neoadjuvant endocrine therapy in patients with hormone receptor-positive breast cancer: A network meta-analysis. </w:t>
      </w:r>
      <w:r w:rsidRPr="00246B02">
        <w:rPr>
          <w:rFonts w:ascii="Book Antiqua" w:hAnsi="Book Antiqua"/>
          <w:i/>
          <w:color w:val="000000" w:themeColor="text1"/>
          <w:sz w:val="24"/>
          <w:szCs w:val="24"/>
        </w:rPr>
        <w:t>J Cell Physiol</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234</w:t>
      </w:r>
      <w:r w:rsidRPr="00246B02">
        <w:rPr>
          <w:rFonts w:ascii="Book Antiqua" w:hAnsi="Book Antiqua"/>
          <w:color w:val="000000" w:themeColor="text1"/>
          <w:sz w:val="24"/>
          <w:szCs w:val="24"/>
        </w:rPr>
        <w:t>: 12393-12403 [PMID: 30652307 DOI: 10.1002/jcp.28068]</w:t>
      </w:r>
    </w:p>
    <w:p w14:paraId="7097C5B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45 </w:t>
      </w:r>
      <w:r w:rsidRPr="00246B02">
        <w:rPr>
          <w:rFonts w:ascii="Book Antiqua" w:hAnsi="Book Antiqua"/>
          <w:b/>
          <w:color w:val="000000" w:themeColor="text1"/>
          <w:sz w:val="24"/>
          <w:szCs w:val="24"/>
        </w:rPr>
        <w:t>Ma CX</w:t>
      </w:r>
      <w:r w:rsidRPr="00246B02">
        <w:rPr>
          <w:rFonts w:ascii="Book Antiqua" w:hAnsi="Book Antiqua"/>
          <w:color w:val="000000" w:themeColor="text1"/>
          <w:sz w:val="24"/>
          <w:szCs w:val="24"/>
        </w:rPr>
        <w:t xml:space="preserve">, Sanchez C, Gao F, Crowder R, Naughton M, Pluard T, Creekmore A, Guo Z, Hoog J, Lockhart AC, Doyle A, Erlichman C, Ellis MJ. A Phase I Study of the AKT Inhibitor MK-2206 in Combination with Hormonal Therapy in Postmenopausal Women with Estrogen Receptor-Positive Metastatic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22</w:t>
      </w:r>
      <w:r w:rsidRPr="00246B02">
        <w:rPr>
          <w:rFonts w:ascii="Book Antiqua" w:hAnsi="Book Antiqua"/>
          <w:color w:val="000000" w:themeColor="text1"/>
          <w:sz w:val="24"/>
          <w:szCs w:val="24"/>
        </w:rPr>
        <w:t>: 2650-2658 [PMID: 26783290 DOI: 10.1158/1078-0432.ccr-15-2160]</w:t>
      </w:r>
    </w:p>
    <w:p w14:paraId="0989C2BF" w14:textId="32CC9490"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46 </w:t>
      </w:r>
      <w:r w:rsidRPr="00246B02">
        <w:rPr>
          <w:rFonts w:ascii="Book Antiqua" w:hAnsi="Book Antiqua"/>
          <w:b/>
          <w:color w:val="000000" w:themeColor="text1"/>
          <w:sz w:val="24"/>
          <w:szCs w:val="24"/>
        </w:rPr>
        <w:t>Ma CX</w:t>
      </w:r>
      <w:r w:rsidRPr="00246B02">
        <w:rPr>
          <w:rFonts w:ascii="Book Antiqua" w:hAnsi="Book Antiqua"/>
          <w:color w:val="000000" w:themeColor="text1"/>
          <w:sz w:val="24"/>
          <w:szCs w:val="24"/>
        </w:rPr>
        <w:t xml:space="preserve">, Suman V, Goetz MP, Northfelt D, Burkard ME, Ademuyiwa F, Naughton M, Margenthaler J, Aft R, Gray R, Tevaarwerk A, Wilke L, Haddad T, Moynihan T, Loprinzi C, Hieken T, Barnell EK, Skidmore ZL, Feng YY, Krysiak K, Hoog J, Guo Z, Nehring L, Wisinski KB, Mardis E, Hagemann IS, Vij K, Sanati S, Al-Kateb H, Griffith OL, Griffith M, Doyle L, Erlichman C, Ellis MJ. </w:t>
      </w:r>
      <w:proofErr w:type="gramStart"/>
      <w:r w:rsidRPr="00246B02">
        <w:rPr>
          <w:rFonts w:ascii="Book Antiqua" w:hAnsi="Book Antiqua"/>
          <w:color w:val="000000" w:themeColor="text1"/>
          <w:sz w:val="24"/>
          <w:szCs w:val="24"/>
        </w:rPr>
        <w:t>A Phase II Trial of Neoadjuvant MK-2206, an AKT Inhibitor, with Anastrozole</w:t>
      </w:r>
      <w:r w:rsidR="009B6581">
        <w:rPr>
          <w:rFonts w:ascii="Book Antiqua" w:hAnsi="Book Antiqua"/>
          <w:color w:val="000000" w:themeColor="text1"/>
          <w:sz w:val="24"/>
          <w:szCs w:val="24"/>
        </w:rPr>
        <w:t xml:space="preserve"> in Clinical Stage II or III </w:t>
      </w:r>
      <w:r w:rsidRPr="00246B02">
        <w:rPr>
          <w:rFonts w:ascii="Book Antiqua" w:hAnsi="Book Antiqua"/>
          <w:color w:val="000000" w:themeColor="text1"/>
          <w:sz w:val="24"/>
          <w:szCs w:val="24"/>
        </w:rPr>
        <w:t>PIK3</w:t>
      </w:r>
      <w:r w:rsidR="009B6581">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CA-Mutant ER-Positive and HER2-Negative Breast Cancer.</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23</w:t>
      </w:r>
      <w:r w:rsidRPr="00246B02">
        <w:rPr>
          <w:rFonts w:ascii="Book Antiqua" w:hAnsi="Book Antiqua"/>
          <w:color w:val="000000" w:themeColor="text1"/>
          <w:sz w:val="24"/>
          <w:szCs w:val="24"/>
        </w:rPr>
        <w:t>: 6823-6832 [PMID: 28874413 DOI: 10.1158/1078-0432.ccr-17-1260]</w:t>
      </w:r>
    </w:p>
    <w:p w14:paraId="0500E033"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47 </w:t>
      </w:r>
      <w:r w:rsidRPr="00246B02">
        <w:rPr>
          <w:rFonts w:ascii="Book Antiqua" w:hAnsi="Book Antiqua"/>
          <w:b/>
          <w:color w:val="000000" w:themeColor="text1"/>
          <w:sz w:val="24"/>
          <w:szCs w:val="24"/>
        </w:rPr>
        <w:t>Hare SH</w:t>
      </w:r>
      <w:r w:rsidRPr="00246B02">
        <w:rPr>
          <w:rFonts w:ascii="Book Antiqua" w:hAnsi="Book Antiqua"/>
          <w:color w:val="000000" w:themeColor="text1"/>
          <w:sz w:val="24"/>
          <w:szCs w:val="24"/>
        </w:rPr>
        <w:t xml:space="preserve">, Harvey AJ. </w:t>
      </w:r>
      <w:proofErr w:type="gramStart"/>
      <w:r w:rsidRPr="00246B02">
        <w:rPr>
          <w:rFonts w:ascii="Book Antiqua" w:hAnsi="Book Antiqua"/>
          <w:color w:val="000000" w:themeColor="text1"/>
          <w:sz w:val="24"/>
          <w:szCs w:val="24"/>
        </w:rPr>
        <w:t>mTOR</w:t>
      </w:r>
      <w:proofErr w:type="gramEnd"/>
      <w:r w:rsidRPr="00246B02">
        <w:rPr>
          <w:rFonts w:ascii="Book Antiqua" w:hAnsi="Book Antiqua"/>
          <w:color w:val="000000" w:themeColor="text1"/>
          <w:sz w:val="24"/>
          <w:szCs w:val="24"/>
        </w:rPr>
        <w:t xml:space="preserve"> function and therapeutic targeting in breast cancer. </w:t>
      </w:r>
      <w:r w:rsidRPr="00246B02">
        <w:rPr>
          <w:rFonts w:ascii="Book Antiqua" w:hAnsi="Book Antiqua"/>
          <w:i/>
          <w:color w:val="000000" w:themeColor="text1"/>
          <w:sz w:val="24"/>
          <w:szCs w:val="24"/>
        </w:rPr>
        <w:t>Am J Cancer Res</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7</w:t>
      </w:r>
      <w:r w:rsidRPr="00246B02">
        <w:rPr>
          <w:rFonts w:ascii="Book Antiqua" w:hAnsi="Book Antiqua"/>
          <w:color w:val="000000" w:themeColor="text1"/>
          <w:sz w:val="24"/>
          <w:szCs w:val="24"/>
        </w:rPr>
        <w:t>: 383-404 [PMID: 28400999]</w:t>
      </w:r>
    </w:p>
    <w:p w14:paraId="0DA5AA9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48 </w:t>
      </w:r>
      <w:r w:rsidRPr="00246B02">
        <w:rPr>
          <w:rFonts w:ascii="Book Antiqua" w:hAnsi="Book Antiqua"/>
          <w:b/>
          <w:color w:val="000000" w:themeColor="text1"/>
          <w:sz w:val="24"/>
          <w:szCs w:val="24"/>
        </w:rPr>
        <w:t>Baselga J</w:t>
      </w:r>
      <w:r w:rsidRPr="00246B02">
        <w:rPr>
          <w:rFonts w:ascii="Book Antiqua" w:hAnsi="Book Antiqua"/>
          <w:color w:val="000000" w:themeColor="text1"/>
          <w:sz w:val="24"/>
          <w:szCs w:val="24"/>
        </w:rPr>
        <w:t xml:space="preserve">, Semiglazov V, van Dam P, Manikhas A, Bellet M, Mayordomo J, Campone M, Kubista E, Greil R, Bianchi G, Steinseifer J, Molloy B, Tokaji E, </w:t>
      </w:r>
      <w:r w:rsidRPr="00246B02">
        <w:rPr>
          <w:rFonts w:ascii="Book Antiqua" w:hAnsi="Book Antiqua"/>
          <w:color w:val="000000" w:themeColor="text1"/>
          <w:sz w:val="24"/>
          <w:szCs w:val="24"/>
        </w:rPr>
        <w:lastRenderedPageBreak/>
        <w:t xml:space="preserve">Gardner H, Phillips P, Stumm M, Lane HA, Dixon JM, Jonat W, Rugo HS. Phase II randomized study of neoadjuvant everolimus plus letrozole compared with placebo plus letrozole in patients with estrogen receptor-positive breast cancer.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2009; </w:t>
      </w:r>
      <w:r w:rsidRPr="00246B02">
        <w:rPr>
          <w:rFonts w:ascii="Book Antiqua" w:hAnsi="Book Antiqua"/>
          <w:b/>
          <w:color w:val="000000" w:themeColor="text1"/>
          <w:sz w:val="24"/>
          <w:szCs w:val="24"/>
        </w:rPr>
        <w:t>27</w:t>
      </w:r>
      <w:r w:rsidRPr="00246B02">
        <w:rPr>
          <w:rFonts w:ascii="Book Antiqua" w:hAnsi="Book Antiqua"/>
          <w:color w:val="000000" w:themeColor="text1"/>
          <w:sz w:val="24"/>
          <w:szCs w:val="24"/>
        </w:rPr>
        <w:t>: 2630-2637 [PMID: 19380449 DOI: 10.1200/jco.2008.18.8391]</w:t>
      </w:r>
    </w:p>
    <w:p w14:paraId="278E4730" w14:textId="136CBD91"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49 </w:t>
      </w:r>
      <w:r w:rsidRPr="00246B02">
        <w:rPr>
          <w:rFonts w:ascii="Book Antiqua" w:hAnsi="Book Antiqua"/>
          <w:b/>
          <w:color w:val="000000" w:themeColor="text1"/>
          <w:sz w:val="24"/>
          <w:szCs w:val="24"/>
        </w:rPr>
        <w:t>Wu W,</w:t>
      </w:r>
      <w:r w:rsidR="009F2018">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Deng H, Rao N, You N, Yang Y, Cao M, Liu J. Neoadjuvant everolimus plus letrozole versus fluorouracil, epirubicin and cyclophosphamide for ER-positive, HER2-negative breast cancer: study protocol for a</w:t>
      </w:r>
      <w:r w:rsidR="009F2018">
        <w:rPr>
          <w:rFonts w:ascii="Book Antiqua" w:hAnsi="Book Antiqua"/>
          <w:color w:val="000000" w:themeColor="text1"/>
          <w:sz w:val="24"/>
          <w:szCs w:val="24"/>
        </w:rPr>
        <w:t xml:space="preserve"> randomized pilot trial.</w:t>
      </w:r>
      <w:r w:rsidR="009F2018" w:rsidRPr="009F2018">
        <w:rPr>
          <w:rFonts w:ascii="Book Antiqua" w:hAnsi="Book Antiqua"/>
          <w:i/>
          <w:color w:val="000000" w:themeColor="text1"/>
          <w:sz w:val="24"/>
          <w:szCs w:val="24"/>
        </w:rPr>
        <w:t xml:space="preserve"> Trials</w:t>
      </w:r>
      <w:r w:rsidRPr="00246B02">
        <w:rPr>
          <w:rFonts w:ascii="Book Antiqua" w:hAnsi="Book Antiqua"/>
          <w:color w:val="000000" w:themeColor="text1"/>
          <w:sz w:val="24"/>
          <w:szCs w:val="24"/>
        </w:rPr>
        <w:t xml:space="preserve"> 2017;</w:t>
      </w:r>
      <w:r w:rsidR="009F2018">
        <w:rPr>
          <w:rFonts w:ascii="Book Antiqua" w:hAnsi="Book Antiqua" w:hint="eastAsia"/>
          <w:color w:val="000000" w:themeColor="text1"/>
          <w:sz w:val="24"/>
          <w:szCs w:val="24"/>
        </w:rPr>
        <w:t xml:space="preserve"> </w:t>
      </w:r>
      <w:r w:rsidR="009F2018" w:rsidRPr="009F2018">
        <w:rPr>
          <w:rFonts w:ascii="Book Antiqua" w:hAnsi="Book Antiqua"/>
          <w:b/>
          <w:color w:val="000000" w:themeColor="text1"/>
          <w:sz w:val="24"/>
          <w:szCs w:val="24"/>
        </w:rPr>
        <w:t>18</w:t>
      </w:r>
      <w:r w:rsidRPr="00246B02">
        <w:rPr>
          <w:rFonts w:ascii="Book Antiqua" w:hAnsi="Book Antiqua"/>
          <w:color w:val="000000" w:themeColor="text1"/>
          <w:sz w:val="24"/>
          <w:szCs w:val="24"/>
        </w:rPr>
        <w:t>:</w:t>
      </w:r>
      <w:r w:rsidR="009F2018">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497 [PMID:</w:t>
      </w:r>
      <w:r w:rsidR="009F2018">
        <w:rPr>
          <w:rFonts w:ascii="Book Antiqua" w:hAnsi="Book Antiqua" w:hint="eastAsia"/>
          <w:color w:val="000000" w:themeColor="text1"/>
          <w:sz w:val="24"/>
          <w:szCs w:val="24"/>
        </w:rPr>
        <w:t xml:space="preserve"> </w:t>
      </w:r>
      <w:r w:rsidR="009F2018" w:rsidRPr="009F2018">
        <w:rPr>
          <w:rFonts w:ascii="Book Antiqua" w:hAnsi="Book Antiqua"/>
          <w:color w:val="000000" w:themeColor="text1"/>
          <w:sz w:val="24"/>
          <w:szCs w:val="24"/>
        </w:rPr>
        <w:t>29070044</w:t>
      </w:r>
      <w:r w:rsidRPr="00246B02">
        <w:rPr>
          <w:rFonts w:ascii="Book Antiqua" w:hAnsi="Book Antiqua"/>
          <w:color w:val="000000" w:themeColor="text1"/>
          <w:sz w:val="24"/>
          <w:szCs w:val="24"/>
        </w:rPr>
        <w:t xml:space="preserve"> DOI: 10.1186/s13063-017-2228-5]</w:t>
      </w:r>
    </w:p>
    <w:p w14:paraId="2F147C83" w14:textId="2EE0200D" w:rsidR="005A403A" w:rsidRPr="005A403A" w:rsidRDefault="005A403A" w:rsidP="00246B02">
      <w:pPr>
        <w:spacing w:line="360" w:lineRule="auto"/>
        <w:jc w:val="both"/>
        <w:rPr>
          <w:rFonts w:ascii="Book Antiqua" w:hAnsi="Book Antiqua"/>
          <w:sz w:val="24"/>
          <w:szCs w:val="24"/>
        </w:rPr>
      </w:pPr>
      <w:r w:rsidRPr="005A403A">
        <w:rPr>
          <w:rFonts w:ascii="Book Antiqua" w:hAnsi="Book Antiqua"/>
          <w:b/>
          <w:bCs/>
          <w:sz w:val="24"/>
          <w:szCs w:val="24"/>
        </w:rPr>
        <w:t>50 Wang W</w:t>
      </w:r>
      <w:r w:rsidRPr="005A403A">
        <w:rPr>
          <w:rFonts w:ascii="Book Antiqua" w:hAnsi="Book Antiqua"/>
          <w:sz w:val="24"/>
          <w:szCs w:val="24"/>
        </w:rPr>
        <w:t xml:space="preserve">, Liu C, Zhou W, Xia T, Xie H, Wang S. Network Meta-Analysis of the Effectiveness of Neoadjuvant Endocrine Therapy for Postmenopausal, HR-Positive Breast Cancer. </w:t>
      </w:r>
      <w:r w:rsidRPr="005A403A">
        <w:rPr>
          <w:rFonts w:ascii="Book Antiqua" w:hAnsi="Book Antiqua"/>
          <w:i/>
          <w:iCs/>
          <w:sz w:val="24"/>
          <w:szCs w:val="24"/>
        </w:rPr>
        <w:t>Sci Rep</w:t>
      </w:r>
      <w:r w:rsidRPr="005A403A">
        <w:rPr>
          <w:rFonts w:ascii="Book Antiqua" w:hAnsi="Book Antiqua"/>
          <w:sz w:val="24"/>
          <w:szCs w:val="24"/>
        </w:rPr>
        <w:t xml:space="preserve"> 2016; </w:t>
      </w:r>
      <w:r w:rsidRPr="005A403A">
        <w:rPr>
          <w:rFonts w:ascii="Book Antiqua" w:hAnsi="Book Antiqua"/>
          <w:b/>
          <w:bCs/>
          <w:sz w:val="24"/>
          <w:szCs w:val="24"/>
        </w:rPr>
        <w:t>6</w:t>
      </w:r>
      <w:r w:rsidRPr="005A403A">
        <w:rPr>
          <w:rFonts w:ascii="Book Antiqua" w:hAnsi="Book Antiqua"/>
          <w:sz w:val="24"/>
          <w:szCs w:val="24"/>
        </w:rPr>
        <w:t>: 25615 [PMID: 27174543 DOI: 10.1038/srep25615]</w:t>
      </w:r>
    </w:p>
    <w:p w14:paraId="78A18752" w14:textId="3FF9699C"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51 </w:t>
      </w:r>
      <w:r w:rsidRPr="00246B02">
        <w:rPr>
          <w:rFonts w:ascii="Book Antiqua" w:hAnsi="Book Antiqua"/>
          <w:b/>
          <w:color w:val="000000" w:themeColor="text1"/>
          <w:sz w:val="24"/>
          <w:szCs w:val="24"/>
        </w:rPr>
        <w:t>Dowsett M</w:t>
      </w:r>
      <w:r w:rsidRPr="00246B02">
        <w:rPr>
          <w:rFonts w:ascii="Book Antiqua" w:hAnsi="Book Antiqua"/>
          <w:color w:val="000000" w:themeColor="text1"/>
          <w:sz w:val="24"/>
          <w:szCs w:val="24"/>
        </w:rPr>
        <w:t xml:space="preserve">, Nielsen TO, A'Hern R, Bartlett J, Coombes RC, Cuzick J, Ellis M, Henry NL, Hugh JC, Lively T, McShane L, Paik S, Penault-Llorca F, Prudkin L, Regan M, Salter J, Sotiriou C, Smith IE, Viale G, Zujewski JA, Hayes DF; International Ki-67 in Breast Cancer Working Group. Assessment of Ki67 in breast cancer: recommendations from the International Ki67 in Breast Cancer working group. </w:t>
      </w:r>
      <w:r w:rsidRPr="00246B02">
        <w:rPr>
          <w:rFonts w:ascii="Book Antiqua" w:hAnsi="Book Antiqua"/>
          <w:i/>
          <w:color w:val="000000" w:themeColor="text1"/>
          <w:sz w:val="24"/>
          <w:szCs w:val="24"/>
        </w:rPr>
        <w:t>J Natl Cancer Inst</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103</w:t>
      </w:r>
      <w:r w:rsidRPr="00246B02">
        <w:rPr>
          <w:rFonts w:ascii="Book Antiqua" w:hAnsi="Book Antiqua"/>
          <w:color w:val="000000" w:themeColor="text1"/>
          <w:sz w:val="24"/>
          <w:szCs w:val="24"/>
        </w:rPr>
        <w:t>: 1656-1664 [PMID: 21960707 DOI: 10.1093/jnci/djr393]</w:t>
      </w:r>
    </w:p>
    <w:p w14:paraId="67D15776"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52 </w:t>
      </w:r>
      <w:r w:rsidRPr="00246B02">
        <w:rPr>
          <w:rFonts w:ascii="Book Antiqua" w:hAnsi="Book Antiqua"/>
          <w:b/>
          <w:color w:val="000000" w:themeColor="text1"/>
          <w:sz w:val="24"/>
          <w:szCs w:val="24"/>
        </w:rPr>
        <w:t>Gallardo A</w:t>
      </w:r>
      <w:r w:rsidRPr="00246B02">
        <w:rPr>
          <w:rFonts w:ascii="Book Antiqua" w:hAnsi="Book Antiqua"/>
          <w:color w:val="000000" w:themeColor="text1"/>
          <w:sz w:val="24"/>
          <w:szCs w:val="24"/>
        </w:rPr>
        <w:t xml:space="preserve">, Garcia-Valdecasas B, Murata P, Teran R, Lopez L, Barnadas A, Lerma E. Inverse relationship between Ki67 and survival in early luminal breast cancer: confirmation in a multivariate analysis.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167</w:t>
      </w:r>
      <w:r w:rsidRPr="00246B02">
        <w:rPr>
          <w:rFonts w:ascii="Book Antiqua" w:hAnsi="Book Antiqua"/>
          <w:color w:val="000000" w:themeColor="text1"/>
          <w:sz w:val="24"/>
          <w:szCs w:val="24"/>
        </w:rPr>
        <w:t>: 31-37 [PMID: 28865009 DOI: 10.1007/s10549-017-4486-z]</w:t>
      </w:r>
    </w:p>
    <w:p w14:paraId="651541AD"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53 </w:t>
      </w:r>
      <w:r w:rsidRPr="00246B02">
        <w:rPr>
          <w:rFonts w:ascii="Book Antiqua" w:hAnsi="Book Antiqua"/>
          <w:b/>
          <w:color w:val="000000" w:themeColor="text1"/>
          <w:sz w:val="24"/>
          <w:szCs w:val="24"/>
        </w:rPr>
        <w:t>Penault-Llorca F</w:t>
      </w:r>
      <w:r w:rsidRPr="00246B02">
        <w:rPr>
          <w:rFonts w:ascii="Book Antiqua" w:hAnsi="Book Antiqua"/>
          <w:color w:val="000000" w:themeColor="text1"/>
          <w:sz w:val="24"/>
          <w:szCs w:val="24"/>
        </w:rPr>
        <w:t xml:space="preserve">, Radosevic-Robin N. Ki67 assessment in breast cancer: an update. </w:t>
      </w:r>
      <w:r w:rsidRPr="00246B02">
        <w:rPr>
          <w:rFonts w:ascii="Book Antiqua" w:hAnsi="Book Antiqua"/>
          <w:i/>
          <w:color w:val="000000" w:themeColor="text1"/>
          <w:sz w:val="24"/>
          <w:szCs w:val="24"/>
        </w:rPr>
        <w:t>Pathology</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49</w:t>
      </w:r>
      <w:r w:rsidRPr="00246B02">
        <w:rPr>
          <w:rFonts w:ascii="Book Antiqua" w:hAnsi="Book Antiqua"/>
          <w:color w:val="000000" w:themeColor="text1"/>
          <w:sz w:val="24"/>
          <w:szCs w:val="24"/>
        </w:rPr>
        <w:t>: 166-171 [PMID: 28065411 DOI: 10.1016/j.pathol.2016.11.006]</w:t>
      </w:r>
    </w:p>
    <w:p w14:paraId="7B8574B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54 </w:t>
      </w:r>
      <w:r w:rsidRPr="00246B02">
        <w:rPr>
          <w:rFonts w:ascii="Book Antiqua" w:hAnsi="Book Antiqua"/>
          <w:b/>
          <w:color w:val="000000" w:themeColor="text1"/>
          <w:sz w:val="24"/>
          <w:szCs w:val="24"/>
        </w:rPr>
        <w:t>DeCensi A</w:t>
      </w:r>
      <w:r w:rsidRPr="00246B02">
        <w:rPr>
          <w:rFonts w:ascii="Book Antiqua" w:hAnsi="Book Antiqua"/>
          <w:color w:val="000000" w:themeColor="text1"/>
          <w:sz w:val="24"/>
          <w:szCs w:val="24"/>
        </w:rPr>
        <w:t xml:space="preserve">, Guerrieri-Gonzaga A, Gandini S, Serrano D, Cazzaniga M, Mora S, Johansson H, Lien EA, Pruneri G, Viale G, Bonanni B. Prognostic </w:t>
      </w:r>
      <w:r w:rsidRPr="00246B02">
        <w:rPr>
          <w:rFonts w:ascii="Book Antiqua" w:hAnsi="Book Antiqua"/>
          <w:color w:val="000000" w:themeColor="text1"/>
          <w:sz w:val="24"/>
          <w:szCs w:val="24"/>
        </w:rPr>
        <w:lastRenderedPageBreak/>
        <w:t xml:space="preserve">significance of Ki-67 labeling index after short-term presurgical tamoxifen in women with ER-positive breast cancer.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22</w:t>
      </w:r>
      <w:r w:rsidRPr="00246B02">
        <w:rPr>
          <w:rFonts w:ascii="Book Antiqua" w:hAnsi="Book Antiqua"/>
          <w:color w:val="000000" w:themeColor="text1"/>
          <w:sz w:val="24"/>
          <w:szCs w:val="24"/>
        </w:rPr>
        <w:t>: 582-587 [PMID: 20716629 DOI: 10.1093/annonc/mdq427]</w:t>
      </w:r>
    </w:p>
    <w:p w14:paraId="49DAAB41" w14:textId="0080FD0A"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55 </w:t>
      </w:r>
      <w:r w:rsidRPr="00246B02">
        <w:rPr>
          <w:rFonts w:ascii="Book Antiqua" w:hAnsi="Book Antiqua"/>
          <w:b/>
          <w:color w:val="000000" w:themeColor="text1"/>
          <w:sz w:val="24"/>
          <w:szCs w:val="24"/>
        </w:rPr>
        <w:t>Guarneri V</w:t>
      </w:r>
      <w:r w:rsidRPr="00246B02">
        <w:rPr>
          <w:rFonts w:ascii="Book Antiqua" w:hAnsi="Book Antiqua"/>
          <w:color w:val="000000" w:themeColor="text1"/>
          <w:sz w:val="24"/>
          <w:szCs w:val="24"/>
        </w:rPr>
        <w:t xml:space="preserve">, Dieci MV, Bisagni G, Frassoldati A, Bianchi GV, De Salvo GL, Orvieto E, Urso L, Pascual T, Paré L, Galván P, Ambroggi M, Giorgi CA, Moretti G, Griguolo G, Vicini R, Prat A, Conte PF. De-escalated therapy for HR+/HER2+ breast cancer patients with Ki67 response after 2 weeks letrozole: results of the PerELISA neoadjuvant study.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2019 [PMID: 30778520 DOI: 10.1093/annonc/mdz055]</w:t>
      </w:r>
    </w:p>
    <w:p w14:paraId="64E8A75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56 </w:t>
      </w:r>
      <w:r w:rsidRPr="00246B02">
        <w:rPr>
          <w:rFonts w:ascii="Book Antiqua" w:hAnsi="Book Antiqua"/>
          <w:b/>
          <w:color w:val="000000" w:themeColor="text1"/>
          <w:sz w:val="24"/>
          <w:szCs w:val="24"/>
        </w:rPr>
        <w:t>Dowsett M</w:t>
      </w:r>
      <w:r w:rsidRPr="00246B02">
        <w:rPr>
          <w:rFonts w:ascii="Book Antiqua" w:hAnsi="Book Antiqua"/>
          <w:color w:val="000000" w:themeColor="text1"/>
          <w:sz w:val="24"/>
          <w:szCs w:val="24"/>
        </w:rPr>
        <w:t xml:space="preserve">, Smith I, Robertson J, Robison L, Pinhel I, Johnson L, Salter J, Dunbier A, Anderson H, Ghazoui Z, Skene T, Evans A, A'Hern R, Iskender A, Wilcox M, Bliss J. Endocrine therapy, new biologicals, and new study designs for presurgical studies in breast cancer. </w:t>
      </w:r>
      <w:r w:rsidRPr="00246B02">
        <w:rPr>
          <w:rFonts w:ascii="Book Antiqua" w:hAnsi="Book Antiqua"/>
          <w:i/>
          <w:color w:val="000000" w:themeColor="text1"/>
          <w:sz w:val="24"/>
          <w:szCs w:val="24"/>
        </w:rPr>
        <w:t>J Natl Cancer Inst Monogr</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2011</w:t>
      </w:r>
      <w:r w:rsidRPr="00246B02">
        <w:rPr>
          <w:rFonts w:ascii="Book Antiqua" w:hAnsi="Book Antiqua"/>
          <w:color w:val="000000" w:themeColor="text1"/>
          <w:sz w:val="24"/>
          <w:szCs w:val="24"/>
        </w:rPr>
        <w:t>: 120-123 [PMID: 22043057 DOI: 10.1093/jncimonographs/lgr034]</w:t>
      </w:r>
    </w:p>
    <w:p w14:paraId="4C67ABF0"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57 </w:t>
      </w:r>
      <w:r w:rsidRPr="00246B02">
        <w:rPr>
          <w:rFonts w:ascii="Book Antiqua" w:hAnsi="Book Antiqua"/>
          <w:b/>
          <w:color w:val="000000" w:themeColor="text1"/>
          <w:sz w:val="24"/>
          <w:szCs w:val="24"/>
        </w:rPr>
        <w:t>Ellis MJ</w:t>
      </w:r>
      <w:r w:rsidRPr="00246B02">
        <w:rPr>
          <w:rFonts w:ascii="Book Antiqua" w:hAnsi="Book Antiqua"/>
          <w:color w:val="000000" w:themeColor="text1"/>
          <w:sz w:val="24"/>
          <w:szCs w:val="24"/>
        </w:rPr>
        <w:t xml:space="preserve">, Tao Y, Luo J, A'Hern R, Evans DB, Bhatnagar AS, Chaudri Ross HA, von Kameke A, Miller WR, Smith I, Eiermann W, Dowsett M. Outcome prediction for estrogen receptor-positive breast cancer based on postneoadjuvant endocrine therapy tumor characteristics. </w:t>
      </w:r>
      <w:r w:rsidRPr="00246B02">
        <w:rPr>
          <w:rFonts w:ascii="Book Antiqua" w:hAnsi="Book Antiqua"/>
          <w:i/>
          <w:color w:val="000000" w:themeColor="text1"/>
          <w:sz w:val="24"/>
          <w:szCs w:val="24"/>
        </w:rPr>
        <w:t>J Natl Cancer Inst</w:t>
      </w:r>
      <w:r w:rsidRPr="00246B02">
        <w:rPr>
          <w:rFonts w:ascii="Book Antiqua" w:hAnsi="Book Antiqua"/>
          <w:color w:val="000000" w:themeColor="text1"/>
          <w:sz w:val="24"/>
          <w:szCs w:val="24"/>
        </w:rPr>
        <w:t xml:space="preserve"> 2008; </w:t>
      </w:r>
      <w:r w:rsidRPr="00246B02">
        <w:rPr>
          <w:rFonts w:ascii="Book Antiqua" w:hAnsi="Book Antiqua"/>
          <w:b/>
          <w:color w:val="000000" w:themeColor="text1"/>
          <w:sz w:val="24"/>
          <w:szCs w:val="24"/>
        </w:rPr>
        <w:t>100</w:t>
      </w:r>
      <w:r w:rsidRPr="00246B02">
        <w:rPr>
          <w:rFonts w:ascii="Book Antiqua" w:hAnsi="Book Antiqua"/>
          <w:color w:val="000000" w:themeColor="text1"/>
          <w:sz w:val="24"/>
          <w:szCs w:val="24"/>
        </w:rPr>
        <w:t>: 1380-1388 [PMID: 18812550 DOI: 10.1093/jnci/djn309]</w:t>
      </w:r>
    </w:p>
    <w:p w14:paraId="403BE40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58 </w:t>
      </w:r>
      <w:r w:rsidRPr="00246B02">
        <w:rPr>
          <w:rFonts w:ascii="Book Antiqua" w:hAnsi="Book Antiqua"/>
          <w:b/>
          <w:color w:val="000000" w:themeColor="text1"/>
          <w:sz w:val="24"/>
          <w:szCs w:val="24"/>
        </w:rPr>
        <w:t>Ellis MJ</w:t>
      </w:r>
      <w:r w:rsidRPr="00246B02">
        <w:rPr>
          <w:rFonts w:ascii="Book Antiqua" w:hAnsi="Book Antiqua"/>
          <w:color w:val="000000" w:themeColor="text1"/>
          <w:sz w:val="24"/>
          <w:szCs w:val="24"/>
        </w:rPr>
        <w:t xml:space="preserve">, Suman VJ, Hoog J, Goncalves R, Sanati S, Creighton CJ, DeSchryver K, Crouch E, Brink A, Watson M, Luo J, Tao Y, Barnes M, Dowsett M, Budd GT, Winer E, Silverman P, Esserman L, Carey L, Ma CX, Unzeitig G, Pluard T, Whitworth P, Babiera G, Guenther JM, Dayao Z, Ota D, Leitch M, Olson JA Jr, Allred DC, Hunt K. Ki67 Proliferation Index as a Tool for Chemotherapy Decisions During and After Neoadjuvant Aromatase Inhibitor Treatment of Breast Cancer: Results From the American College of Surgeons Oncology Group Z1031 Trial (Alliance).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35</w:t>
      </w:r>
      <w:r w:rsidRPr="00246B02">
        <w:rPr>
          <w:rFonts w:ascii="Book Antiqua" w:hAnsi="Book Antiqua"/>
          <w:color w:val="000000" w:themeColor="text1"/>
          <w:sz w:val="24"/>
          <w:szCs w:val="24"/>
        </w:rPr>
        <w:t>: 1061-1069 [PMID: 28045625 DOI: 10.1200/JCO.2016.69.4406]</w:t>
      </w:r>
    </w:p>
    <w:p w14:paraId="54A822E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59 </w:t>
      </w:r>
      <w:r w:rsidRPr="00246B02">
        <w:rPr>
          <w:rFonts w:ascii="Book Antiqua" w:hAnsi="Book Antiqua"/>
          <w:b/>
          <w:color w:val="000000" w:themeColor="text1"/>
          <w:sz w:val="24"/>
          <w:szCs w:val="24"/>
        </w:rPr>
        <w:t>Dzimitrowicz H</w:t>
      </w:r>
      <w:r w:rsidRPr="00246B02">
        <w:rPr>
          <w:rFonts w:ascii="Book Antiqua" w:hAnsi="Book Antiqua"/>
          <w:color w:val="000000" w:themeColor="text1"/>
          <w:sz w:val="24"/>
          <w:szCs w:val="24"/>
        </w:rPr>
        <w:t xml:space="preserve">, Mougalian S, Storms S, Hurd S, Chagpar AB, Killelea BK, Horowitz NR, Lannin DR, Harigopal M, Hofstatter E, DiGiovanna MP, </w:t>
      </w:r>
      <w:r w:rsidRPr="00246B02">
        <w:rPr>
          <w:rFonts w:ascii="Book Antiqua" w:hAnsi="Book Antiqua"/>
          <w:color w:val="000000" w:themeColor="text1"/>
          <w:sz w:val="24"/>
          <w:szCs w:val="24"/>
        </w:rPr>
        <w:lastRenderedPageBreak/>
        <w:t xml:space="preserve">Adelson KB, Silber A, Abu-Khalaf M, Chung G, Zaheer W, Abdelghany O, Hatzis C, Pusztai L, Sanft TB. </w:t>
      </w:r>
      <w:proofErr w:type="gramStart"/>
      <w:r w:rsidRPr="00246B02">
        <w:rPr>
          <w:rFonts w:ascii="Book Antiqua" w:hAnsi="Book Antiqua"/>
          <w:color w:val="000000" w:themeColor="text1"/>
          <w:sz w:val="24"/>
          <w:szCs w:val="24"/>
        </w:rPr>
        <w:t>Impacts of Early Guideline-Directed 21-Gene Recurrence Score Testing on Adjuvant Therapy Decision Making.</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J Oncol Pract</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13</w:t>
      </w:r>
      <w:r w:rsidRPr="00246B02">
        <w:rPr>
          <w:rFonts w:ascii="Book Antiqua" w:hAnsi="Book Antiqua"/>
          <w:color w:val="000000" w:themeColor="text1"/>
          <w:sz w:val="24"/>
          <w:szCs w:val="24"/>
        </w:rPr>
        <w:t>: e1012-e1020 [PMID: 29048991 DOI: 10.1200/jop.2017.022731]</w:t>
      </w:r>
    </w:p>
    <w:p w14:paraId="514FFEDD"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60 </w:t>
      </w:r>
      <w:r w:rsidRPr="00246B02">
        <w:rPr>
          <w:rFonts w:ascii="Book Antiqua" w:hAnsi="Book Antiqua"/>
          <w:b/>
          <w:color w:val="000000" w:themeColor="text1"/>
          <w:sz w:val="24"/>
          <w:szCs w:val="24"/>
        </w:rPr>
        <w:t>Albain KS</w:t>
      </w:r>
      <w:r w:rsidRPr="00246B02">
        <w:rPr>
          <w:rFonts w:ascii="Book Antiqua" w:hAnsi="Book Antiqua"/>
          <w:color w:val="000000" w:themeColor="text1"/>
          <w:sz w:val="24"/>
          <w:szCs w:val="24"/>
        </w:rPr>
        <w:t xml:space="preserve">, Barlow WE, Shak S, Hortobagyi GN, Livingston RB, Yeh IT, Ravdin P, Bugarini R, Baehner FL, Davidson NE, Sledge GW, Winer EP, Hudis C, Ingle JN, Perez EA, Pritchard KI, Shepherd L, Gralow JR, Yoshizawa C, Allred DC, Osborne CK, Hayes DF; Breast Cancer Intergroup of North America. Prognostic and predictive value of the 21-gene recurrence score assay in postmenopausal women with node-positive, oestrogen-receptor-positive breast cancer on chemotherapy: a retrospective analysis of a randomised trial. </w:t>
      </w:r>
      <w:r w:rsidRPr="00246B02">
        <w:rPr>
          <w:rFonts w:ascii="Book Antiqua" w:hAnsi="Book Antiqua"/>
          <w:i/>
          <w:color w:val="000000" w:themeColor="text1"/>
          <w:sz w:val="24"/>
          <w:szCs w:val="24"/>
        </w:rPr>
        <w:t>Lancet Oncol</w:t>
      </w:r>
      <w:r w:rsidRPr="00246B02">
        <w:rPr>
          <w:rFonts w:ascii="Book Antiqua" w:hAnsi="Book Antiqua"/>
          <w:color w:val="000000" w:themeColor="text1"/>
          <w:sz w:val="24"/>
          <w:szCs w:val="24"/>
        </w:rPr>
        <w:t xml:space="preserve"> 2010; </w:t>
      </w:r>
      <w:r w:rsidRPr="00246B02">
        <w:rPr>
          <w:rFonts w:ascii="Book Antiqua" w:hAnsi="Book Antiqua"/>
          <w:b/>
          <w:color w:val="000000" w:themeColor="text1"/>
          <w:sz w:val="24"/>
          <w:szCs w:val="24"/>
        </w:rPr>
        <w:t>11</w:t>
      </w:r>
      <w:r w:rsidRPr="00246B02">
        <w:rPr>
          <w:rFonts w:ascii="Book Antiqua" w:hAnsi="Book Antiqua"/>
          <w:color w:val="000000" w:themeColor="text1"/>
          <w:sz w:val="24"/>
          <w:szCs w:val="24"/>
        </w:rPr>
        <w:t>: 55-65 [PMID: 20005174 DOI: 10.1016/s1470-2045(09)70314-6]</w:t>
      </w:r>
    </w:p>
    <w:p w14:paraId="04F1434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61 </w:t>
      </w:r>
      <w:r w:rsidRPr="00246B02">
        <w:rPr>
          <w:rFonts w:ascii="Book Antiqua" w:hAnsi="Book Antiqua"/>
          <w:b/>
          <w:color w:val="000000" w:themeColor="text1"/>
          <w:sz w:val="24"/>
          <w:szCs w:val="24"/>
        </w:rPr>
        <w:t>Gluz O</w:t>
      </w:r>
      <w:r w:rsidRPr="00246B02">
        <w:rPr>
          <w:rFonts w:ascii="Book Antiqua" w:hAnsi="Book Antiqua"/>
          <w:color w:val="000000" w:themeColor="text1"/>
          <w:sz w:val="24"/>
          <w:szCs w:val="24"/>
        </w:rPr>
        <w:t xml:space="preserve">, Nitz UA, Christgen M, Kates RE, Shak S, Clemens M, Kraemer S, Aktas B, Kuemmel S, Reimer T, Kusche M, Heyl V, Lorenz-Salehi F, Just M, Hofmann D, Degenhardt T, Liedtke C, Svedman C, Wuerstlein R, Kreipe HH, Harbeck N. West German Study Group Phase III PlanB Trial: First Prospective Outcome Data for the 21-Gene Recurrence Score Assay and Concordance of Prognostic Markers by Central and Local Pathology Assessment.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34</w:t>
      </w:r>
      <w:r w:rsidRPr="00246B02">
        <w:rPr>
          <w:rFonts w:ascii="Book Antiqua" w:hAnsi="Book Antiqua"/>
          <w:color w:val="000000" w:themeColor="text1"/>
          <w:sz w:val="24"/>
          <w:szCs w:val="24"/>
        </w:rPr>
        <w:t>: 2341-2349 [PMID: 26926676 DOI: 10.1200/jco.2015.63.5383]</w:t>
      </w:r>
    </w:p>
    <w:p w14:paraId="36AF7A60"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62 </w:t>
      </w:r>
      <w:r w:rsidRPr="00246B02">
        <w:rPr>
          <w:rFonts w:ascii="Book Antiqua" w:hAnsi="Book Antiqua"/>
          <w:b/>
          <w:color w:val="000000" w:themeColor="text1"/>
          <w:sz w:val="24"/>
          <w:szCs w:val="24"/>
        </w:rPr>
        <w:t>Ueno T</w:t>
      </w:r>
      <w:r w:rsidRPr="00246B02">
        <w:rPr>
          <w:rFonts w:ascii="Book Antiqua" w:hAnsi="Book Antiqua"/>
          <w:color w:val="000000" w:themeColor="text1"/>
          <w:sz w:val="24"/>
          <w:szCs w:val="24"/>
        </w:rPr>
        <w:t xml:space="preserve">, Masuda N, Yamanaka T, Saji S, Kuroi K, Sato N, Takei H, Yamamoto Y, Ohno S, Yamashita H, Hisamatsu K, Aogi K, Iwata H, Sasano H, Toi M. Evaluating the 21-gene assay Recurrence Score® as a predictor of clinical response to 24 weeks of neoadjuvant exemestane in estrogen receptor-positive breast cancer. </w:t>
      </w:r>
      <w:r w:rsidRPr="00246B02">
        <w:rPr>
          <w:rFonts w:ascii="Book Antiqua" w:hAnsi="Book Antiqua"/>
          <w:i/>
          <w:color w:val="000000" w:themeColor="text1"/>
          <w:sz w:val="24"/>
          <w:szCs w:val="24"/>
        </w:rPr>
        <w:t>Int J Clin Oncol</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19</w:t>
      </w:r>
      <w:r w:rsidRPr="00246B02">
        <w:rPr>
          <w:rFonts w:ascii="Book Antiqua" w:hAnsi="Book Antiqua"/>
          <w:color w:val="000000" w:themeColor="text1"/>
          <w:sz w:val="24"/>
          <w:szCs w:val="24"/>
        </w:rPr>
        <w:t>: 607-613 [PMID: 24101215 DOI: 10.1007/s10147-013-0614-x]</w:t>
      </w:r>
    </w:p>
    <w:p w14:paraId="04F67E7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63 </w:t>
      </w:r>
      <w:r w:rsidRPr="00246B02">
        <w:rPr>
          <w:rFonts w:ascii="Book Antiqua" w:hAnsi="Book Antiqua"/>
          <w:b/>
          <w:color w:val="000000" w:themeColor="text1"/>
          <w:sz w:val="24"/>
          <w:szCs w:val="24"/>
        </w:rPr>
        <w:t>Bear HD</w:t>
      </w:r>
      <w:r w:rsidRPr="00246B02">
        <w:rPr>
          <w:rFonts w:ascii="Book Antiqua" w:hAnsi="Book Antiqua"/>
          <w:color w:val="000000" w:themeColor="text1"/>
          <w:sz w:val="24"/>
          <w:szCs w:val="24"/>
        </w:rPr>
        <w:t xml:space="preserve">, Wan W, Robidoux A, Rubin P, Limentani S, White RL Jr, Granfortuna J, Hopkins JO, Oldham D, Rodriguez A, Sing AP. Using the 21-gene assay from core needle biopsies to choose neoadjuvant therapy for </w:t>
      </w:r>
      <w:r w:rsidRPr="00246B02">
        <w:rPr>
          <w:rFonts w:ascii="Book Antiqua" w:hAnsi="Book Antiqua"/>
          <w:color w:val="000000" w:themeColor="text1"/>
          <w:sz w:val="24"/>
          <w:szCs w:val="24"/>
        </w:rPr>
        <w:lastRenderedPageBreak/>
        <w:t xml:space="preserve">breast cancer: A multicenter trial. </w:t>
      </w:r>
      <w:r w:rsidRPr="00246B02">
        <w:rPr>
          <w:rFonts w:ascii="Book Antiqua" w:hAnsi="Book Antiqua"/>
          <w:i/>
          <w:color w:val="000000" w:themeColor="text1"/>
          <w:sz w:val="24"/>
          <w:szCs w:val="24"/>
        </w:rPr>
        <w:t>J Surg Oncol</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115</w:t>
      </w:r>
      <w:r w:rsidRPr="00246B02">
        <w:rPr>
          <w:rFonts w:ascii="Book Antiqua" w:hAnsi="Book Antiqua"/>
          <w:color w:val="000000" w:themeColor="text1"/>
          <w:sz w:val="24"/>
          <w:szCs w:val="24"/>
        </w:rPr>
        <w:t>: 917-923 [PMID: 28407247 DOI: 10.1002/jso.24610]</w:t>
      </w:r>
    </w:p>
    <w:p w14:paraId="7F5E1036" w14:textId="77777777" w:rsidR="00246B02" w:rsidRPr="00246B02" w:rsidRDefault="00246B02" w:rsidP="00246B02">
      <w:pPr>
        <w:spacing w:line="360" w:lineRule="auto"/>
        <w:jc w:val="both"/>
        <w:rPr>
          <w:rFonts w:ascii="Book Antiqua" w:hAnsi="Book Antiqua"/>
          <w:color w:val="000000" w:themeColor="text1"/>
          <w:sz w:val="24"/>
          <w:szCs w:val="24"/>
        </w:rPr>
      </w:pPr>
      <w:proofErr w:type="gramStart"/>
      <w:r w:rsidRPr="00246B02">
        <w:rPr>
          <w:rFonts w:ascii="Book Antiqua" w:hAnsi="Book Antiqua"/>
          <w:color w:val="000000" w:themeColor="text1"/>
          <w:sz w:val="24"/>
          <w:szCs w:val="24"/>
        </w:rPr>
        <w:t xml:space="preserve">64 </w:t>
      </w:r>
      <w:r w:rsidRPr="00246B02">
        <w:rPr>
          <w:rFonts w:ascii="Book Antiqua" w:hAnsi="Book Antiqua"/>
          <w:b/>
          <w:color w:val="000000" w:themeColor="text1"/>
          <w:sz w:val="24"/>
          <w:szCs w:val="24"/>
        </w:rPr>
        <w:t>Succop P</w:t>
      </w:r>
      <w:r w:rsidRPr="00246B02">
        <w:rPr>
          <w:rFonts w:ascii="Book Antiqua" w:hAnsi="Book Antiqua"/>
          <w:color w:val="000000" w:themeColor="text1"/>
          <w:sz w:val="24"/>
          <w:szCs w:val="24"/>
        </w:rPr>
        <w:t>, Bornschein R, Brown K, Tseng CY.</w:t>
      </w:r>
      <w:proofErr w:type="gramEnd"/>
      <w:r w:rsidRPr="00246B02">
        <w:rPr>
          <w:rFonts w:ascii="Book Antiqua" w:hAnsi="Book Antiqua"/>
          <w:color w:val="000000" w:themeColor="text1"/>
          <w:sz w:val="24"/>
          <w:szCs w:val="24"/>
        </w:rPr>
        <w:t xml:space="preserve"> </w:t>
      </w:r>
      <w:proofErr w:type="gramStart"/>
      <w:r w:rsidRPr="00246B02">
        <w:rPr>
          <w:rFonts w:ascii="Book Antiqua" w:hAnsi="Book Antiqua"/>
          <w:color w:val="000000" w:themeColor="text1"/>
          <w:sz w:val="24"/>
          <w:szCs w:val="24"/>
        </w:rPr>
        <w:t>An empirical comparison of lead exposure pathway models.</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Environ Health Perspect</w:t>
      </w:r>
      <w:r w:rsidRPr="00246B02">
        <w:rPr>
          <w:rFonts w:ascii="Book Antiqua" w:hAnsi="Book Antiqua"/>
          <w:color w:val="000000" w:themeColor="text1"/>
          <w:sz w:val="24"/>
          <w:szCs w:val="24"/>
        </w:rPr>
        <w:t xml:space="preserve"> 1998; </w:t>
      </w:r>
      <w:r w:rsidRPr="00246B02">
        <w:rPr>
          <w:rFonts w:ascii="Book Antiqua" w:hAnsi="Book Antiqua"/>
          <w:b/>
          <w:color w:val="000000" w:themeColor="text1"/>
          <w:sz w:val="24"/>
          <w:szCs w:val="24"/>
        </w:rPr>
        <w:t>106 Suppl 6</w:t>
      </w:r>
      <w:r w:rsidRPr="00246B02">
        <w:rPr>
          <w:rFonts w:ascii="Book Antiqua" w:hAnsi="Book Antiqua"/>
          <w:color w:val="000000" w:themeColor="text1"/>
          <w:sz w:val="24"/>
          <w:szCs w:val="24"/>
        </w:rPr>
        <w:t>: 1577-1583 [PMID: 9860917 DOI: 10.1056/NEJMoa1804710]</w:t>
      </w:r>
    </w:p>
    <w:p w14:paraId="56A0F34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65 </w:t>
      </w:r>
      <w:r w:rsidRPr="00246B02">
        <w:rPr>
          <w:rFonts w:ascii="Book Antiqua" w:hAnsi="Book Antiqua"/>
          <w:b/>
          <w:color w:val="000000" w:themeColor="text1"/>
          <w:sz w:val="24"/>
          <w:szCs w:val="24"/>
        </w:rPr>
        <w:t>Iwata H</w:t>
      </w:r>
      <w:r w:rsidRPr="00246B02">
        <w:rPr>
          <w:rFonts w:ascii="Book Antiqua" w:hAnsi="Book Antiqua"/>
          <w:color w:val="000000" w:themeColor="text1"/>
          <w:sz w:val="24"/>
          <w:szCs w:val="24"/>
        </w:rPr>
        <w:t xml:space="preserve">, Masuda N, Yamamoto Y, Fujisawa T, Toyama T, Kashiwaba M, Ohtani S, Taira N, Sakai T, Hasegawa Y, Nakamura R, Akabane H, Shibahara Y, Sasano H, Yamaguchi T, Sakamaki K, Bailey H, Cherbavaz DB, Jakubowski DM, Sugiyama N, Chao C, Ohashi Y. Validation of the 21-gene test as a predictor of clinical response to neoadjuvant hormonal therapy for ER+, HER2-negative breast cancer: the TransNEOS study.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173</w:t>
      </w:r>
      <w:r w:rsidRPr="00246B02">
        <w:rPr>
          <w:rFonts w:ascii="Book Antiqua" w:hAnsi="Book Antiqua"/>
          <w:color w:val="000000" w:themeColor="text1"/>
          <w:sz w:val="24"/>
          <w:szCs w:val="24"/>
        </w:rPr>
        <w:t>: 123-133 [PMID: 30242578 DOI: 10.1007/s10549-018-4964-y]</w:t>
      </w:r>
    </w:p>
    <w:p w14:paraId="77A2012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66 </w:t>
      </w:r>
      <w:r w:rsidRPr="00246B02">
        <w:rPr>
          <w:rFonts w:ascii="Book Antiqua" w:hAnsi="Book Antiqua"/>
          <w:b/>
          <w:color w:val="000000" w:themeColor="text1"/>
          <w:sz w:val="24"/>
          <w:szCs w:val="24"/>
        </w:rPr>
        <w:t>Filipits M</w:t>
      </w:r>
      <w:r w:rsidRPr="00246B02">
        <w:rPr>
          <w:rFonts w:ascii="Book Antiqua" w:hAnsi="Book Antiqua"/>
          <w:color w:val="000000" w:themeColor="text1"/>
          <w:sz w:val="24"/>
          <w:szCs w:val="24"/>
        </w:rPr>
        <w:t xml:space="preserve">, Rudas M, Jakesz R, Dubsky P, Fitzal F, Singer CF, Dietze O, Greil R, Jelen A, Sevelda P, Freibauer C, Müller V, Jänicke F, Schmidt M, Kölbl H, Rody A, Kaufmann M, Schroth W, Brauch H, Schwab M, Fritz P, Weber KE, Feder IS, Hennig G, Kronenwett R, Gehrmann M, Gnant M; EP Investigators. A new molecular predictor of distant recurrence in ER-positive, HER2-negative breast cancer adds independent information to conventional clinical risk factors.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17</w:t>
      </w:r>
      <w:r w:rsidRPr="00246B02">
        <w:rPr>
          <w:rFonts w:ascii="Book Antiqua" w:hAnsi="Book Antiqua"/>
          <w:color w:val="000000" w:themeColor="text1"/>
          <w:sz w:val="24"/>
          <w:szCs w:val="24"/>
        </w:rPr>
        <w:t>: 6012-6020 [PMID: 21807638 DOI: 10.1158/1078-0432.ccr-11-0926]</w:t>
      </w:r>
    </w:p>
    <w:p w14:paraId="1D13E40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67 </w:t>
      </w:r>
      <w:r w:rsidRPr="00246B02">
        <w:rPr>
          <w:rFonts w:ascii="Book Antiqua" w:hAnsi="Book Antiqua"/>
          <w:b/>
          <w:color w:val="000000" w:themeColor="text1"/>
          <w:sz w:val="24"/>
          <w:szCs w:val="24"/>
        </w:rPr>
        <w:t>Fitzal F</w:t>
      </w:r>
      <w:r w:rsidRPr="00246B02">
        <w:rPr>
          <w:rFonts w:ascii="Book Antiqua" w:hAnsi="Book Antiqua"/>
          <w:color w:val="000000" w:themeColor="text1"/>
          <w:sz w:val="24"/>
          <w:szCs w:val="24"/>
        </w:rPr>
        <w:t xml:space="preserve">, Filipits M, Rudas M, Greil R, Dietze O, Samonigg H, Lax S, Herz W, Dubsky P, Bartsch R, Kronenwett R, Gnant M. The genomic expression test EndoPredict is a prognostic tool for identifying risk of local recurrence in postmenopausal endocrine receptor-positive, her2neu-negative breast cancer patients randomised within the prospective ABCSG 8 trial. </w:t>
      </w:r>
      <w:r w:rsidRPr="00246B02">
        <w:rPr>
          <w:rFonts w:ascii="Book Antiqua" w:hAnsi="Book Antiqua"/>
          <w:i/>
          <w:color w:val="000000" w:themeColor="text1"/>
          <w:sz w:val="24"/>
          <w:szCs w:val="24"/>
        </w:rPr>
        <w:t>Br J Cancer</w:t>
      </w:r>
      <w:r w:rsidRPr="00246B02">
        <w:rPr>
          <w:rFonts w:ascii="Book Antiqua" w:hAnsi="Book Antiqua"/>
          <w:color w:val="000000" w:themeColor="text1"/>
          <w:sz w:val="24"/>
          <w:szCs w:val="24"/>
        </w:rPr>
        <w:t xml:space="preserve"> 2015; </w:t>
      </w:r>
      <w:r w:rsidRPr="00246B02">
        <w:rPr>
          <w:rFonts w:ascii="Book Antiqua" w:hAnsi="Book Antiqua"/>
          <w:b/>
          <w:color w:val="000000" w:themeColor="text1"/>
          <w:sz w:val="24"/>
          <w:szCs w:val="24"/>
        </w:rPr>
        <w:t>112</w:t>
      </w:r>
      <w:r w:rsidRPr="00246B02">
        <w:rPr>
          <w:rFonts w:ascii="Book Antiqua" w:hAnsi="Book Antiqua"/>
          <w:color w:val="000000" w:themeColor="text1"/>
          <w:sz w:val="24"/>
          <w:szCs w:val="24"/>
        </w:rPr>
        <w:t>: 1405-1410 [PMID: 25867274 DOI: 10.1038/bjc.2015.98]</w:t>
      </w:r>
    </w:p>
    <w:p w14:paraId="1F1FC1B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68 </w:t>
      </w:r>
      <w:r w:rsidRPr="00246B02">
        <w:rPr>
          <w:rFonts w:ascii="Book Antiqua" w:hAnsi="Book Antiqua"/>
          <w:b/>
          <w:color w:val="000000" w:themeColor="text1"/>
          <w:sz w:val="24"/>
          <w:szCs w:val="24"/>
        </w:rPr>
        <w:t>Dubsky P</w:t>
      </w:r>
      <w:r w:rsidRPr="00246B02">
        <w:rPr>
          <w:rFonts w:ascii="Book Antiqua" w:hAnsi="Book Antiqua"/>
          <w:color w:val="000000" w:themeColor="text1"/>
          <w:sz w:val="24"/>
          <w:szCs w:val="24"/>
        </w:rPr>
        <w:t xml:space="preserve">, Brase JC, Jakesz R, Rudas M, Singer CF, Greil R, Dietze O, Luisser I, Klug E, Sedivy R, Bachner M, Mayr D, Schmidt M, Gehrmann MC, Petry C, Weber KE, Fisch K, Kronenwett R, Gnant M, Filipits M; Austrian Breast and Colorectal Cancer Study Group (ABCSG). The EndoPredict score </w:t>
      </w:r>
      <w:r w:rsidRPr="00246B02">
        <w:rPr>
          <w:rFonts w:ascii="Book Antiqua" w:hAnsi="Book Antiqua"/>
          <w:color w:val="000000" w:themeColor="text1"/>
          <w:sz w:val="24"/>
          <w:szCs w:val="24"/>
        </w:rPr>
        <w:lastRenderedPageBreak/>
        <w:t xml:space="preserve">provides prognostic information on late distant metastases in ER+/HER2- breast cancer patients. </w:t>
      </w:r>
      <w:r w:rsidRPr="00246B02">
        <w:rPr>
          <w:rFonts w:ascii="Book Antiqua" w:hAnsi="Book Antiqua"/>
          <w:i/>
          <w:color w:val="000000" w:themeColor="text1"/>
          <w:sz w:val="24"/>
          <w:szCs w:val="24"/>
        </w:rPr>
        <w:t>Br J Cancer</w:t>
      </w:r>
      <w:r w:rsidRPr="00246B02">
        <w:rPr>
          <w:rFonts w:ascii="Book Antiqua" w:hAnsi="Book Antiqua"/>
          <w:color w:val="000000" w:themeColor="text1"/>
          <w:sz w:val="24"/>
          <w:szCs w:val="24"/>
        </w:rPr>
        <w:t xml:space="preserve"> 2013; </w:t>
      </w:r>
      <w:r w:rsidRPr="00246B02">
        <w:rPr>
          <w:rFonts w:ascii="Book Antiqua" w:hAnsi="Book Antiqua"/>
          <w:b/>
          <w:color w:val="000000" w:themeColor="text1"/>
          <w:sz w:val="24"/>
          <w:szCs w:val="24"/>
        </w:rPr>
        <w:t>109</w:t>
      </w:r>
      <w:r w:rsidRPr="00246B02">
        <w:rPr>
          <w:rFonts w:ascii="Book Antiqua" w:hAnsi="Book Antiqua"/>
          <w:color w:val="000000" w:themeColor="text1"/>
          <w:sz w:val="24"/>
          <w:szCs w:val="24"/>
        </w:rPr>
        <w:t>: 2959-2964 [PMID: 24157828 DOI: 10.1038/bjc.2013.671]</w:t>
      </w:r>
    </w:p>
    <w:p w14:paraId="2057C69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69 </w:t>
      </w:r>
      <w:r w:rsidRPr="00246B02">
        <w:rPr>
          <w:rFonts w:ascii="Book Antiqua" w:hAnsi="Book Antiqua"/>
          <w:b/>
          <w:color w:val="000000" w:themeColor="text1"/>
          <w:sz w:val="24"/>
          <w:szCs w:val="24"/>
        </w:rPr>
        <w:t>Chow LWC</w:t>
      </w:r>
      <w:r w:rsidRPr="00246B02">
        <w:rPr>
          <w:rFonts w:ascii="Book Antiqua" w:hAnsi="Book Antiqua"/>
          <w:color w:val="000000" w:themeColor="text1"/>
          <w:sz w:val="24"/>
          <w:szCs w:val="24"/>
        </w:rPr>
        <w:t xml:space="preserve">, Morita S, Chow CYC, Ng WK, Toi M. Neoadjuvant palbociclib on ER+ breast cancer (N007): clinical response and EndoPredict's value. </w:t>
      </w:r>
      <w:r w:rsidRPr="00246B02">
        <w:rPr>
          <w:rFonts w:ascii="Book Antiqua" w:hAnsi="Book Antiqua"/>
          <w:i/>
          <w:color w:val="000000" w:themeColor="text1"/>
          <w:sz w:val="24"/>
          <w:szCs w:val="24"/>
        </w:rPr>
        <w:t>Endocr Relat Cancer</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25</w:t>
      </w:r>
      <w:r w:rsidRPr="00246B02">
        <w:rPr>
          <w:rFonts w:ascii="Book Antiqua" w:hAnsi="Book Antiqua"/>
          <w:color w:val="000000" w:themeColor="text1"/>
          <w:sz w:val="24"/>
          <w:szCs w:val="24"/>
        </w:rPr>
        <w:t>: 123-130 [PMID: 29158285 DOI: 10.1530/erc-17-0396]</w:t>
      </w:r>
    </w:p>
    <w:p w14:paraId="626AC71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70 </w:t>
      </w:r>
      <w:r w:rsidRPr="00246B02">
        <w:rPr>
          <w:rFonts w:ascii="Book Antiqua" w:hAnsi="Book Antiqua"/>
          <w:b/>
          <w:color w:val="000000" w:themeColor="text1"/>
          <w:sz w:val="24"/>
          <w:szCs w:val="24"/>
        </w:rPr>
        <w:t>Rinnerthaler G</w:t>
      </w:r>
      <w:r w:rsidRPr="00246B02">
        <w:rPr>
          <w:rFonts w:ascii="Book Antiqua" w:hAnsi="Book Antiqua"/>
          <w:color w:val="000000" w:themeColor="text1"/>
          <w:sz w:val="24"/>
          <w:szCs w:val="24"/>
        </w:rPr>
        <w:t xml:space="preserve">, Gampenrieder SP, Greil R. SABCS 2017: lifestyle factors, hormone receptor-positive advanced disease, liquid biopsies, and prognosis. </w:t>
      </w:r>
      <w:r w:rsidRPr="00246B02">
        <w:rPr>
          <w:rFonts w:ascii="Book Antiqua" w:hAnsi="Book Antiqua"/>
          <w:i/>
          <w:color w:val="000000" w:themeColor="text1"/>
          <w:sz w:val="24"/>
          <w:szCs w:val="24"/>
        </w:rPr>
        <w:t>Memo</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11</w:t>
      </w:r>
      <w:r w:rsidRPr="00246B02">
        <w:rPr>
          <w:rFonts w:ascii="Book Antiqua" w:hAnsi="Book Antiqua"/>
          <w:color w:val="000000" w:themeColor="text1"/>
          <w:sz w:val="24"/>
          <w:szCs w:val="24"/>
        </w:rPr>
        <w:t>: 208-212 [PMID: 30220928 DOI: 10.1007/s12254-018-0433-x]</w:t>
      </w:r>
    </w:p>
    <w:p w14:paraId="35652363"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71 </w:t>
      </w:r>
      <w:r w:rsidRPr="00246B02">
        <w:rPr>
          <w:rFonts w:ascii="Book Antiqua" w:hAnsi="Book Antiqua"/>
          <w:b/>
          <w:color w:val="000000" w:themeColor="text1"/>
          <w:sz w:val="24"/>
          <w:szCs w:val="24"/>
        </w:rPr>
        <w:t>Beumer I</w:t>
      </w:r>
      <w:r w:rsidRPr="00246B02">
        <w:rPr>
          <w:rFonts w:ascii="Book Antiqua" w:hAnsi="Book Antiqua"/>
          <w:color w:val="000000" w:themeColor="text1"/>
          <w:sz w:val="24"/>
          <w:szCs w:val="24"/>
        </w:rPr>
        <w:t xml:space="preserve">, Witteveen A, Delahaye L, Wehkamp D, Snel M, Dreezen C, Zheng J, Floore A, Brink G, Chan B, Linn S, Bernards R, </w:t>
      </w:r>
      <w:proofErr w:type="gramStart"/>
      <w:r w:rsidRPr="00246B02">
        <w:rPr>
          <w:rFonts w:ascii="Book Antiqua" w:hAnsi="Book Antiqua"/>
          <w:color w:val="000000" w:themeColor="text1"/>
          <w:sz w:val="24"/>
          <w:szCs w:val="24"/>
        </w:rPr>
        <w:t>van 't</w:t>
      </w:r>
      <w:proofErr w:type="gramEnd"/>
      <w:r w:rsidRPr="00246B02">
        <w:rPr>
          <w:rFonts w:ascii="Book Antiqua" w:hAnsi="Book Antiqua"/>
          <w:color w:val="000000" w:themeColor="text1"/>
          <w:sz w:val="24"/>
          <w:szCs w:val="24"/>
        </w:rPr>
        <w:t xml:space="preserve"> Veer L, Glas A. Equivalence of MammaPrint array types in clinical trials and diagnostics.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156</w:t>
      </w:r>
      <w:r w:rsidRPr="00246B02">
        <w:rPr>
          <w:rFonts w:ascii="Book Antiqua" w:hAnsi="Book Antiqua"/>
          <w:color w:val="000000" w:themeColor="text1"/>
          <w:sz w:val="24"/>
          <w:szCs w:val="24"/>
        </w:rPr>
        <w:t>: 279-287 [PMID: 27002507 DOI: 10.1007/s10549-016-3764-5]</w:t>
      </w:r>
    </w:p>
    <w:p w14:paraId="040B58D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72 </w:t>
      </w:r>
      <w:r w:rsidRPr="00246B02">
        <w:rPr>
          <w:rFonts w:ascii="Book Antiqua" w:hAnsi="Book Antiqua"/>
          <w:b/>
          <w:color w:val="000000" w:themeColor="text1"/>
          <w:sz w:val="24"/>
          <w:szCs w:val="24"/>
        </w:rPr>
        <w:t>Krijgsman O</w:t>
      </w:r>
      <w:r w:rsidRPr="00246B02">
        <w:rPr>
          <w:rFonts w:ascii="Book Antiqua" w:hAnsi="Book Antiqua"/>
          <w:color w:val="000000" w:themeColor="text1"/>
          <w:sz w:val="24"/>
          <w:szCs w:val="24"/>
        </w:rPr>
        <w:t xml:space="preserve">, Roepman P, Zwart W, Carroll JS, Tian S, de Snoo FA, Bender RA, Bernards R, Glas AM. A diagnostic gene profile for molecular subtyping of breast cancer associated with treatment response.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133</w:t>
      </w:r>
      <w:r w:rsidRPr="00246B02">
        <w:rPr>
          <w:rFonts w:ascii="Book Antiqua" w:hAnsi="Book Antiqua"/>
          <w:color w:val="000000" w:themeColor="text1"/>
          <w:sz w:val="24"/>
          <w:szCs w:val="24"/>
        </w:rPr>
        <w:t>: 37-47 [PMID: 21814749 DOI: 10.1007/s10549-011-1683-z]</w:t>
      </w:r>
    </w:p>
    <w:p w14:paraId="425D1690"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73 </w:t>
      </w:r>
      <w:r w:rsidRPr="00246B02">
        <w:rPr>
          <w:rFonts w:ascii="Book Antiqua" w:hAnsi="Book Antiqua"/>
          <w:b/>
          <w:color w:val="000000" w:themeColor="text1"/>
          <w:sz w:val="24"/>
          <w:szCs w:val="24"/>
        </w:rPr>
        <w:t>Whitworth P</w:t>
      </w:r>
      <w:r w:rsidRPr="00246B02">
        <w:rPr>
          <w:rFonts w:ascii="Book Antiqua" w:hAnsi="Book Antiqua"/>
          <w:color w:val="000000" w:themeColor="text1"/>
          <w:sz w:val="24"/>
          <w:szCs w:val="24"/>
        </w:rPr>
        <w:t xml:space="preserve">, Stork-Sloots L, de Snoo FA, Richards P, Rotkis M, Beatty J, Mislowsky A, Pellicane JV, Nguyen B, Lee L, Nash C, Gittleman M, Akbari S, Beitsch PD. Chemosensitivity predicted by BluePrint 80-gene functional subtype and MammaPrint in the Prospective Neoadjuvant Breast Registry Symphony Trial (NBRST). </w:t>
      </w:r>
      <w:r w:rsidRPr="00246B02">
        <w:rPr>
          <w:rFonts w:ascii="Book Antiqua" w:hAnsi="Book Antiqua"/>
          <w:i/>
          <w:color w:val="000000" w:themeColor="text1"/>
          <w:sz w:val="24"/>
          <w:szCs w:val="24"/>
        </w:rPr>
        <w:t>Ann Surg Oncol</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21</w:t>
      </w:r>
      <w:r w:rsidRPr="00246B02">
        <w:rPr>
          <w:rFonts w:ascii="Book Antiqua" w:hAnsi="Book Antiqua"/>
          <w:color w:val="000000" w:themeColor="text1"/>
          <w:sz w:val="24"/>
          <w:szCs w:val="24"/>
        </w:rPr>
        <w:t>: 3261-3267 [PMID: 25099655 DOI: 10.1245/s10434-014-3908-y]</w:t>
      </w:r>
    </w:p>
    <w:p w14:paraId="08376AF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74 </w:t>
      </w:r>
      <w:r w:rsidRPr="00246B02">
        <w:rPr>
          <w:rFonts w:ascii="Book Antiqua" w:hAnsi="Book Antiqua"/>
          <w:b/>
          <w:color w:val="000000" w:themeColor="text1"/>
          <w:sz w:val="24"/>
          <w:szCs w:val="24"/>
        </w:rPr>
        <w:t>Whitworth P</w:t>
      </w:r>
      <w:r w:rsidRPr="00246B02">
        <w:rPr>
          <w:rFonts w:ascii="Book Antiqua" w:hAnsi="Book Antiqua"/>
          <w:color w:val="000000" w:themeColor="text1"/>
          <w:sz w:val="24"/>
          <w:szCs w:val="24"/>
        </w:rPr>
        <w:t xml:space="preserve">, Beitsch P, Mislowsky A, Pellicane JV, Nash C, Murray M, Lee LA, Dul CL, Rotkis M, Baron P, Stork-Sloots L, de Snoo FA, Beatty J. Chemosensitivity and Endocrine Sensitivity in Clinical Luminal Breast Cancer Patients in the Prospective Neoadjuvant Breast Registry Symphony Trial </w:t>
      </w:r>
      <w:r w:rsidRPr="00246B02">
        <w:rPr>
          <w:rFonts w:ascii="Book Antiqua" w:hAnsi="Book Antiqua"/>
          <w:color w:val="000000" w:themeColor="text1"/>
          <w:sz w:val="24"/>
          <w:szCs w:val="24"/>
        </w:rPr>
        <w:lastRenderedPageBreak/>
        <w:t xml:space="preserve">(NBRST) Predicted by Molecular Subtyping. </w:t>
      </w:r>
      <w:r w:rsidRPr="00246B02">
        <w:rPr>
          <w:rFonts w:ascii="Book Antiqua" w:hAnsi="Book Antiqua"/>
          <w:i/>
          <w:color w:val="000000" w:themeColor="text1"/>
          <w:sz w:val="24"/>
          <w:szCs w:val="24"/>
        </w:rPr>
        <w:t>Ann Surg Oncol</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24</w:t>
      </w:r>
      <w:r w:rsidRPr="00246B02">
        <w:rPr>
          <w:rFonts w:ascii="Book Antiqua" w:hAnsi="Book Antiqua"/>
          <w:color w:val="000000" w:themeColor="text1"/>
          <w:sz w:val="24"/>
          <w:szCs w:val="24"/>
        </w:rPr>
        <w:t>: 669-675 [PMID: 27770345 DOI: 10.1245/s10434-016-5600-x]</w:t>
      </w:r>
    </w:p>
    <w:p w14:paraId="510EE7E9"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75 </w:t>
      </w:r>
      <w:r w:rsidRPr="00246B02">
        <w:rPr>
          <w:rFonts w:ascii="Book Antiqua" w:hAnsi="Book Antiqua"/>
          <w:b/>
          <w:color w:val="000000" w:themeColor="text1"/>
          <w:sz w:val="24"/>
          <w:szCs w:val="24"/>
        </w:rPr>
        <w:t>Turnbull AK</w:t>
      </w:r>
      <w:r w:rsidRPr="00246B02">
        <w:rPr>
          <w:rFonts w:ascii="Book Antiqua" w:hAnsi="Book Antiqua"/>
          <w:color w:val="000000" w:themeColor="text1"/>
          <w:sz w:val="24"/>
          <w:szCs w:val="24"/>
        </w:rPr>
        <w:t xml:space="preserve">, Arthur LM, Renshaw L, Larionov AA, Kay C, Dunbier AK, Thomas JS, Dowsett M, Sims AH, Dixon JM. </w:t>
      </w:r>
      <w:proofErr w:type="gramStart"/>
      <w:r w:rsidRPr="00246B02">
        <w:rPr>
          <w:rFonts w:ascii="Book Antiqua" w:hAnsi="Book Antiqua"/>
          <w:color w:val="000000" w:themeColor="text1"/>
          <w:sz w:val="24"/>
          <w:szCs w:val="24"/>
        </w:rPr>
        <w:t>Accurate Prediction and Validation of Response to Endocrine Therapy in Breast Cancer.</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2015; </w:t>
      </w:r>
      <w:r w:rsidRPr="00246B02">
        <w:rPr>
          <w:rFonts w:ascii="Book Antiqua" w:hAnsi="Book Antiqua"/>
          <w:b/>
          <w:color w:val="000000" w:themeColor="text1"/>
          <w:sz w:val="24"/>
          <w:szCs w:val="24"/>
        </w:rPr>
        <w:t>33</w:t>
      </w:r>
      <w:r w:rsidRPr="00246B02">
        <w:rPr>
          <w:rFonts w:ascii="Book Antiqua" w:hAnsi="Book Antiqua"/>
          <w:color w:val="000000" w:themeColor="text1"/>
          <w:sz w:val="24"/>
          <w:szCs w:val="24"/>
        </w:rPr>
        <w:t>: 2270-2278 [PMID: 26033813 DOI: 10.1200/JCO.2014.57.8963]</w:t>
      </w:r>
    </w:p>
    <w:p w14:paraId="43E3A43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76 </w:t>
      </w:r>
      <w:r w:rsidRPr="00246B02">
        <w:rPr>
          <w:rFonts w:ascii="Book Antiqua" w:hAnsi="Book Antiqua"/>
          <w:b/>
          <w:color w:val="000000" w:themeColor="text1"/>
          <w:sz w:val="24"/>
          <w:szCs w:val="24"/>
        </w:rPr>
        <w:t>Sestak I</w:t>
      </w:r>
      <w:r w:rsidRPr="00246B02">
        <w:rPr>
          <w:rFonts w:ascii="Book Antiqua" w:hAnsi="Book Antiqua"/>
          <w:color w:val="000000" w:themeColor="text1"/>
          <w:sz w:val="24"/>
          <w:szCs w:val="24"/>
        </w:rPr>
        <w:t xml:space="preserve">, Buus R, Cuzick J, Dubsky P, Kronenwett R, Denkert C, Ferree S, Sgroi D, Schnabel C, Baehner FL, Mallon E, Dowsett M. Comparison of the Performance of 6 Prognostic Signatures for Estrogen Receptor-Positive Breast Cancer: A Secondary Analysis of a Randomized Clinical Trial. </w:t>
      </w:r>
      <w:r w:rsidRPr="00246B02">
        <w:rPr>
          <w:rFonts w:ascii="Book Antiqua" w:hAnsi="Book Antiqua"/>
          <w:i/>
          <w:color w:val="000000" w:themeColor="text1"/>
          <w:sz w:val="24"/>
          <w:szCs w:val="24"/>
        </w:rPr>
        <w:t>JAMA Oncol</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4</w:t>
      </w:r>
      <w:r w:rsidRPr="00246B02">
        <w:rPr>
          <w:rFonts w:ascii="Book Antiqua" w:hAnsi="Book Antiqua"/>
          <w:color w:val="000000" w:themeColor="text1"/>
          <w:sz w:val="24"/>
          <w:szCs w:val="24"/>
        </w:rPr>
        <w:t>: 545-553 [PMID: 29450494 DOI: 10.1001/jamaoncol.2017.5524]</w:t>
      </w:r>
    </w:p>
    <w:p w14:paraId="0F20CD1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77 </w:t>
      </w:r>
      <w:r w:rsidRPr="00246B02">
        <w:rPr>
          <w:rFonts w:ascii="Book Antiqua" w:hAnsi="Book Antiqua"/>
          <w:b/>
          <w:color w:val="000000" w:themeColor="text1"/>
          <w:sz w:val="24"/>
          <w:szCs w:val="24"/>
        </w:rPr>
        <w:t>Gellert P</w:t>
      </w:r>
      <w:r w:rsidRPr="00246B02">
        <w:rPr>
          <w:rFonts w:ascii="Book Antiqua" w:hAnsi="Book Antiqua"/>
          <w:color w:val="000000" w:themeColor="text1"/>
          <w:sz w:val="24"/>
          <w:szCs w:val="24"/>
        </w:rPr>
        <w:t xml:space="preserve">, Segal CV, Gao Q, López-Knowles E, Martin LA, Dodson A, Li T, Miller CA, Lu C, Mardis ER, Gillman A, Morden J, Graf M, Sidhu K, Evans A, Shere M, Holcombe C, McIntosh SA, Bundred N, Skene A, Maxwell W, Robertson J, Bliss JM, Smith I, Dowsett M; POETIC Trial Management Group and Trialists. </w:t>
      </w:r>
      <w:proofErr w:type="gramStart"/>
      <w:r w:rsidRPr="00246B02">
        <w:rPr>
          <w:rFonts w:ascii="Book Antiqua" w:hAnsi="Book Antiqua"/>
          <w:color w:val="000000" w:themeColor="text1"/>
          <w:sz w:val="24"/>
          <w:szCs w:val="24"/>
        </w:rPr>
        <w:t>Impact of mutational profiles on response of primary oestrogen receptor-positive breast cancers to oestrogen deprivation.</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Nat Commun</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7</w:t>
      </w:r>
      <w:r w:rsidRPr="00246B02">
        <w:rPr>
          <w:rFonts w:ascii="Book Antiqua" w:hAnsi="Book Antiqua"/>
          <w:color w:val="000000" w:themeColor="text1"/>
          <w:sz w:val="24"/>
          <w:szCs w:val="24"/>
        </w:rPr>
        <w:t>: 13294 [PMID: 27827358 DOI: 10.1038/ncomms13294]</w:t>
      </w:r>
    </w:p>
    <w:p w14:paraId="7869D5A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78 </w:t>
      </w:r>
      <w:r w:rsidRPr="00246B02">
        <w:rPr>
          <w:rFonts w:ascii="Book Antiqua" w:hAnsi="Book Antiqua"/>
          <w:b/>
          <w:color w:val="000000" w:themeColor="text1"/>
          <w:sz w:val="24"/>
          <w:szCs w:val="24"/>
        </w:rPr>
        <w:t>Suman VJ</w:t>
      </w:r>
      <w:r w:rsidRPr="00246B02">
        <w:rPr>
          <w:rFonts w:ascii="Book Antiqua" w:hAnsi="Book Antiqua"/>
          <w:color w:val="000000" w:themeColor="text1"/>
          <w:sz w:val="24"/>
          <w:szCs w:val="24"/>
        </w:rPr>
        <w:t xml:space="preserve">, Ellis MJ, Ma CX. The ALTERNATE trial: assessing a biomarker driven strategy for the treatment of post-menopausal women with ER+/Her2- invasive breast cancer. </w:t>
      </w:r>
      <w:r w:rsidRPr="00246B02">
        <w:rPr>
          <w:rFonts w:ascii="Book Antiqua" w:hAnsi="Book Antiqua"/>
          <w:i/>
          <w:color w:val="000000" w:themeColor="text1"/>
          <w:sz w:val="24"/>
          <w:szCs w:val="24"/>
        </w:rPr>
        <w:t>Chin Clin Oncol</w:t>
      </w:r>
      <w:r w:rsidRPr="00246B02">
        <w:rPr>
          <w:rFonts w:ascii="Book Antiqua" w:hAnsi="Book Antiqua"/>
          <w:color w:val="000000" w:themeColor="text1"/>
          <w:sz w:val="24"/>
          <w:szCs w:val="24"/>
        </w:rPr>
        <w:t xml:space="preserve"> 2015; </w:t>
      </w:r>
      <w:r w:rsidRPr="00246B02">
        <w:rPr>
          <w:rFonts w:ascii="Book Antiqua" w:hAnsi="Book Antiqua"/>
          <w:b/>
          <w:color w:val="000000" w:themeColor="text1"/>
          <w:sz w:val="24"/>
          <w:szCs w:val="24"/>
        </w:rPr>
        <w:t>4</w:t>
      </w:r>
      <w:r w:rsidRPr="00246B02">
        <w:rPr>
          <w:rFonts w:ascii="Book Antiqua" w:hAnsi="Book Antiqua"/>
          <w:color w:val="000000" w:themeColor="text1"/>
          <w:sz w:val="24"/>
          <w:szCs w:val="24"/>
        </w:rPr>
        <w:t>: 34 [PMID: 26408301 DOI: 10.3978/j.issn.2304-3865.2015.09.01]</w:t>
      </w:r>
    </w:p>
    <w:p w14:paraId="0F358A9C" w14:textId="77777777" w:rsidR="00246B02" w:rsidRPr="00246B02" w:rsidRDefault="00246B02" w:rsidP="00246B02">
      <w:pPr>
        <w:spacing w:line="360" w:lineRule="auto"/>
        <w:jc w:val="both"/>
        <w:rPr>
          <w:rFonts w:ascii="Book Antiqua" w:hAnsi="Book Antiqua"/>
          <w:color w:val="000000" w:themeColor="text1"/>
          <w:sz w:val="24"/>
          <w:szCs w:val="24"/>
        </w:rPr>
      </w:pPr>
      <w:proofErr w:type="gramStart"/>
      <w:r w:rsidRPr="00246B02">
        <w:rPr>
          <w:rFonts w:ascii="Book Antiqua" w:hAnsi="Book Antiqua"/>
          <w:color w:val="000000" w:themeColor="text1"/>
          <w:sz w:val="24"/>
          <w:szCs w:val="24"/>
        </w:rPr>
        <w:t xml:space="preserve">79 </w:t>
      </w:r>
      <w:r w:rsidRPr="00246B02">
        <w:rPr>
          <w:rFonts w:ascii="Book Antiqua" w:hAnsi="Book Antiqua"/>
          <w:b/>
          <w:color w:val="000000" w:themeColor="text1"/>
          <w:sz w:val="24"/>
          <w:szCs w:val="24"/>
        </w:rPr>
        <w:t>Nwabo Kamdje AH</w:t>
      </w:r>
      <w:r w:rsidRPr="00246B02">
        <w:rPr>
          <w:rFonts w:ascii="Book Antiqua" w:hAnsi="Book Antiqua"/>
          <w:color w:val="000000" w:themeColor="text1"/>
          <w:sz w:val="24"/>
          <w:szCs w:val="24"/>
        </w:rPr>
        <w:t>, Seke Etet PF, Vecchio L, Muller JM, Krampera M, Lukong KE.</w:t>
      </w:r>
      <w:proofErr w:type="gramEnd"/>
      <w:r w:rsidRPr="00246B02">
        <w:rPr>
          <w:rFonts w:ascii="Book Antiqua" w:hAnsi="Book Antiqua"/>
          <w:color w:val="000000" w:themeColor="text1"/>
          <w:sz w:val="24"/>
          <w:szCs w:val="24"/>
        </w:rPr>
        <w:t xml:space="preserve"> </w:t>
      </w:r>
      <w:proofErr w:type="gramStart"/>
      <w:r w:rsidRPr="00246B02">
        <w:rPr>
          <w:rFonts w:ascii="Book Antiqua" w:hAnsi="Book Antiqua"/>
          <w:color w:val="000000" w:themeColor="text1"/>
          <w:sz w:val="24"/>
          <w:szCs w:val="24"/>
        </w:rPr>
        <w:t>Signaling pathways in breast cancer: therapeutic targeting of the microenvironment.</w:t>
      </w:r>
      <w:proofErr w:type="gramEnd"/>
      <w:r w:rsidRPr="00246B02">
        <w:rPr>
          <w:rFonts w:ascii="Book Antiqua" w:hAnsi="Book Antiqua"/>
          <w:color w:val="000000" w:themeColor="text1"/>
          <w:sz w:val="24"/>
          <w:szCs w:val="24"/>
        </w:rPr>
        <w:t xml:space="preserve"> </w:t>
      </w:r>
      <w:r w:rsidRPr="00246B02">
        <w:rPr>
          <w:rFonts w:ascii="Book Antiqua" w:hAnsi="Book Antiqua"/>
          <w:i/>
          <w:color w:val="000000" w:themeColor="text1"/>
          <w:sz w:val="24"/>
          <w:szCs w:val="24"/>
        </w:rPr>
        <w:t>Cell Signal</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26</w:t>
      </w:r>
      <w:r w:rsidRPr="00246B02">
        <w:rPr>
          <w:rFonts w:ascii="Book Antiqua" w:hAnsi="Book Antiqua"/>
          <w:color w:val="000000" w:themeColor="text1"/>
          <w:sz w:val="24"/>
          <w:szCs w:val="24"/>
        </w:rPr>
        <w:t>: 2843-2856 [PMID: 25093804 DOI: 10.1016/j.cellsig.2014.07.034]</w:t>
      </w:r>
    </w:p>
    <w:p w14:paraId="32E4FD56" w14:textId="3BE37ED6" w:rsidR="001D3E0F" w:rsidRPr="009B6581"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80 </w:t>
      </w:r>
      <w:r w:rsidRPr="00246B02">
        <w:rPr>
          <w:rFonts w:ascii="Book Antiqua" w:hAnsi="Book Antiqua"/>
          <w:b/>
          <w:color w:val="000000" w:themeColor="text1"/>
          <w:sz w:val="24"/>
          <w:szCs w:val="24"/>
        </w:rPr>
        <w:t>Herrera-Abreu MT</w:t>
      </w:r>
      <w:r w:rsidRPr="00246B02">
        <w:rPr>
          <w:rFonts w:ascii="Book Antiqua" w:hAnsi="Book Antiqua"/>
          <w:color w:val="000000" w:themeColor="text1"/>
          <w:sz w:val="24"/>
          <w:szCs w:val="24"/>
        </w:rPr>
        <w:t xml:space="preserve">, Palafox M, Asghar U, Rivas MA, Cutts RJ, Garcia-Murillas I, Pearson A, Guzman M, Rodriguez O, Grueso J, Bellet M, Cortés J, Elliott R, Pancholi S, Baselga J, Dowsett M, Martin LA, Turner NC, Serra V. Early Adaptation and Acquired Resistance to CDK4/6 Inhibition in </w:t>
      </w:r>
      <w:r w:rsidRPr="00246B02">
        <w:rPr>
          <w:rFonts w:ascii="Book Antiqua" w:hAnsi="Book Antiqua"/>
          <w:color w:val="000000" w:themeColor="text1"/>
          <w:sz w:val="24"/>
          <w:szCs w:val="24"/>
        </w:rPr>
        <w:lastRenderedPageBreak/>
        <w:t xml:space="preserve">Estrogen Receptor-Positive Breast Cancer. </w:t>
      </w:r>
      <w:r w:rsidRPr="00246B02">
        <w:rPr>
          <w:rFonts w:ascii="Book Antiqua" w:hAnsi="Book Antiqua"/>
          <w:i/>
          <w:color w:val="000000" w:themeColor="text1"/>
          <w:sz w:val="24"/>
          <w:szCs w:val="24"/>
        </w:rPr>
        <w:t>Cancer Res</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76</w:t>
      </w:r>
      <w:r w:rsidRPr="00246B02">
        <w:rPr>
          <w:rFonts w:ascii="Book Antiqua" w:hAnsi="Book Antiqua"/>
          <w:color w:val="000000" w:themeColor="text1"/>
          <w:sz w:val="24"/>
          <w:szCs w:val="24"/>
        </w:rPr>
        <w:t>: 2301-2313 [PMID: 27020857 DOI: 10.1158/0008-5472.CAN-15-0728]</w:t>
      </w:r>
    </w:p>
    <w:p w14:paraId="050A05E7" w14:textId="41AC3DCE" w:rsidR="001D3E0F" w:rsidRPr="00246B02" w:rsidRDefault="001D3E0F" w:rsidP="009B6581">
      <w:pPr>
        <w:spacing w:line="360" w:lineRule="auto"/>
        <w:jc w:val="right"/>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P-Reviewer: </w:t>
      </w:r>
      <w:r w:rsidRPr="00246B02">
        <w:rPr>
          <w:rFonts w:ascii="Book Antiqua" w:hAnsi="Book Antiqua"/>
          <w:color w:val="000000" w:themeColor="text1"/>
          <w:sz w:val="24"/>
          <w:szCs w:val="24"/>
        </w:rPr>
        <w:t xml:space="preserve">Demonacos C, Garg R </w:t>
      </w:r>
      <w:r w:rsidRPr="00246B02">
        <w:rPr>
          <w:rFonts w:ascii="Book Antiqua" w:hAnsi="Book Antiqua"/>
          <w:b/>
          <w:color w:val="000000" w:themeColor="text1"/>
          <w:sz w:val="24"/>
          <w:szCs w:val="24"/>
        </w:rPr>
        <w:t xml:space="preserve">S-Editor: </w:t>
      </w:r>
      <w:r w:rsidRPr="00246B02">
        <w:rPr>
          <w:rFonts w:ascii="Book Antiqua" w:hAnsi="Book Antiqua"/>
          <w:color w:val="000000" w:themeColor="text1"/>
          <w:sz w:val="24"/>
          <w:szCs w:val="24"/>
        </w:rPr>
        <w:t>Wang JL</w:t>
      </w:r>
      <w:r w:rsidRPr="00246B02">
        <w:rPr>
          <w:rFonts w:ascii="Book Antiqua" w:hAnsi="Book Antiqua"/>
          <w:b/>
          <w:color w:val="000000" w:themeColor="text1"/>
          <w:sz w:val="24"/>
          <w:szCs w:val="24"/>
        </w:rPr>
        <w:t xml:space="preserve"> L-Editor: </w:t>
      </w:r>
      <w:r w:rsidR="00B65A83" w:rsidRPr="00C9453D">
        <w:rPr>
          <w:rFonts w:ascii="Book Antiqua" w:hAnsi="Book Antiqua"/>
          <w:color w:val="000000" w:themeColor="text1"/>
          <w:sz w:val="24"/>
          <w:szCs w:val="24"/>
        </w:rPr>
        <w:t>Wang TQ</w:t>
      </w:r>
      <w:r w:rsidR="00B65A83">
        <w:rPr>
          <w:rFonts w:ascii="Book Antiqua" w:hAnsi="Book Antiqua"/>
          <w:b/>
          <w:color w:val="000000" w:themeColor="text1"/>
          <w:sz w:val="24"/>
          <w:szCs w:val="24"/>
        </w:rPr>
        <w:t xml:space="preserve"> </w:t>
      </w:r>
      <w:r w:rsidRPr="00246B02">
        <w:rPr>
          <w:rFonts w:ascii="Book Antiqua" w:hAnsi="Book Antiqua"/>
          <w:b/>
          <w:color w:val="000000" w:themeColor="text1"/>
          <w:sz w:val="24"/>
          <w:szCs w:val="24"/>
        </w:rPr>
        <w:t>E-Editor:</w:t>
      </w:r>
      <w:r w:rsidR="008A5003" w:rsidRPr="008A5003">
        <w:rPr>
          <w:rFonts w:ascii="Book Antiqua" w:hAnsi="Book Antiqua"/>
          <w:b/>
          <w:color w:val="000000" w:themeColor="text1"/>
          <w:sz w:val="24"/>
          <w:szCs w:val="24"/>
        </w:rPr>
        <w:t xml:space="preserve"> </w:t>
      </w:r>
      <w:r w:rsidR="008A5003" w:rsidRPr="008A5003">
        <w:rPr>
          <w:rFonts w:ascii="Book Antiqua" w:hAnsi="Book Antiqua"/>
          <w:color w:val="000000" w:themeColor="text1"/>
          <w:sz w:val="24"/>
          <w:szCs w:val="24"/>
        </w:rPr>
        <w:t>Wu YXJ</w:t>
      </w:r>
    </w:p>
    <w:p w14:paraId="6C91101C" w14:textId="77777777" w:rsidR="001D3E0F" w:rsidRPr="00246B02" w:rsidRDefault="001D3E0F" w:rsidP="00246B02">
      <w:pPr>
        <w:pStyle w:val="ac"/>
        <w:spacing w:line="360" w:lineRule="auto"/>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 </w:t>
      </w:r>
      <w:bookmarkStart w:id="9" w:name="_GoBack"/>
      <w:bookmarkEnd w:id="9"/>
    </w:p>
    <w:p w14:paraId="1423EDEC" w14:textId="77777777" w:rsidR="001D3E0F" w:rsidRPr="00246B02" w:rsidRDefault="001D3E0F" w:rsidP="00246B02">
      <w:pPr>
        <w:snapToGrid w:val="0"/>
        <w:spacing w:line="360" w:lineRule="auto"/>
        <w:jc w:val="both"/>
        <w:rPr>
          <w:rFonts w:ascii="Book Antiqua" w:hAnsi="Book Antiqua" w:cs="Helvetica"/>
          <w:b/>
          <w:color w:val="000000" w:themeColor="text1"/>
          <w:sz w:val="24"/>
          <w:szCs w:val="24"/>
        </w:rPr>
      </w:pPr>
      <w:r w:rsidRPr="00246B02">
        <w:rPr>
          <w:rFonts w:ascii="Book Antiqua" w:hAnsi="Book Antiqua" w:cs="Helvetica"/>
          <w:b/>
          <w:color w:val="000000" w:themeColor="text1"/>
          <w:sz w:val="24"/>
          <w:szCs w:val="24"/>
        </w:rPr>
        <w:t xml:space="preserve">Specialty type: </w:t>
      </w:r>
      <w:r w:rsidRPr="00246B02">
        <w:rPr>
          <w:rFonts w:ascii="Book Antiqua" w:eastAsia="微软雅黑" w:hAnsi="Book Antiqua"/>
          <w:color w:val="000000" w:themeColor="text1"/>
          <w:sz w:val="24"/>
          <w:szCs w:val="24"/>
        </w:rPr>
        <w:t>Medicine, research and experimental</w:t>
      </w:r>
    </w:p>
    <w:p w14:paraId="416B31DA" w14:textId="77777777" w:rsidR="001D3E0F" w:rsidRPr="00246B02" w:rsidRDefault="001D3E0F" w:rsidP="00246B02">
      <w:pPr>
        <w:snapToGrid w:val="0"/>
        <w:spacing w:line="360" w:lineRule="auto"/>
        <w:jc w:val="both"/>
        <w:rPr>
          <w:rFonts w:ascii="Book Antiqua" w:hAnsi="Book Antiqua" w:cs="Helvetica"/>
          <w:b/>
          <w:color w:val="000000" w:themeColor="text1"/>
          <w:sz w:val="24"/>
          <w:szCs w:val="24"/>
        </w:rPr>
      </w:pPr>
      <w:r w:rsidRPr="00246B02">
        <w:rPr>
          <w:rFonts w:ascii="Book Antiqua" w:hAnsi="Book Antiqua" w:cs="Helvetica"/>
          <w:b/>
          <w:color w:val="000000" w:themeColor="text1"/>
          <w:sz w:val="24"/>
          <w:szCs w:val="24"/>
        </w:rPr>
        <w:t xml:space="preserve">Country of origin: </w:t>
      </w:r>
      <w:r w:rsidRPr="00246B02">
        <w:rPr>
          <w:rFonts w:ascii="Book Antiqua" w:hAnsi="Book Antiqua"/>
          <w:color w:val="000000" w:themeColor="text1"/>
          <w:sz w:val="24"/>
          <w:szCs w:val="24"/>
        </w:rPr>
        <w:t>China</w:t>
      </w:r>
    </w:p>
    <w:p w14:paraId="48645E19" w14:textId="77777777" w:rsidR="001D3E0F" w:rsidRPr="00246B02" w:rsidRDefault="001D3E0F" w:rsidP="00246B02">
      <w:pPr>
        <w:snapToGrid w:val="0"/>
        <w:spacing w:line="360" w:lineRule="auto"/>
        <w:jc w:val="both"/>
        <w:rPr>
          <w:rFonts w:ascii="Book Antiqua" w:hAnsi="Book Antiqua" w:cs="Helvetica"/>
          <w:b/>
          <w:color w:val="000000" w:themeColor="text1"/>
          <w:sz w:val="24"/>
          <w:szCs w:val="24"/>
        </w:rPr>
      </w:pPr>
      <w:r w:rsidRPr="00246B02">
        <w:rPr>
          <w:rFonts w:ascii="Book Antiqua" w:hAnsi="Book Antiqua" w:cs="Helvetica"/>
          <w:b/>
          <w:color w:val="000000" w:themeColor="text1"/>
          <w:sz w:val="24"/>
          <w:szCs w:val="24"/>
        </w:rPr>
        <w:t>Peer-review report classification</w:t>
      </w:r>
    </w:p>
    <w:p w14:paraId="4D7AC01F" w14:textId="77777777"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 xml:space="preserve">Grade </w:t>
      </w:r>
      <w:proofErr w:type="gramStart"/>
      <w:r w:rsidRPr="00246B02">
        <w:rPr>
          <w:rFonts w:ascii="Book Antiqua" w:hAnsi="Book Antiqua" w:cs="Helvetica"/>
          <w:color w:val="000000" w:themeColor="text1"/>
          <w:sz w:val="24"/>
          <w:szCs w:val="24"/>
        </w:rPr>
        <w:t>A</w:t>
      </w:r>
      <w:proofErr w:type="gramEnd"/>
      <w:r w:rsidRPr="00246B02">
        <w:rPr>
          <w:rFonts w:ascii="Book Antiqua" w:hAnsi="Book Antiqua" w:cs="Helvetica"/>
          <w:color w:val="000000" w:themeColor="text1"/>
          <w:sz w:val="24"/>
          <w:szCs w:val="24"/>
        </w:rPr>
        <w:t xml:space="preserve"> (Excellent): 0</w:t>
      </w:r>
    </w:p>
    <w:p w14:paraId="79293355" w14:textId="77777777"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B (Very good): B, B</w:t>
      </w:r>
    </w:p>
    <w:p w14:paraId="3CA34E6C" w14:textId="0F8850E8"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C (Good): 0</w:t>
      </w:r>
    </w:p>
    <w:p w14:paraId="60045987" w14:textId="77777777"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D (Fair): 0</w:t>
      </w:r>
    </w:p>
    <w:p w14:paraId="21EB7725" w14:textId="77777777"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E (Poor): 0</w:t>
      </w:r>
    </w:p>
    <w:p w14:paraId="10AADEAB" w14:textId="77777777" w:rsidR="007625B2" w:rsidRPr="00246B02" w:rsidRDefault="007625B2" w:rsidP="00246B02">
      <w:pPr>
        <w:pageBreakBefore/>
        <w:spacing w:line="360" w:lineRule="auto"/>
        <w:jc w:val="both"/>
        <w:rPr>
          <w:rFonts w:ascii="Book Antiqua" w:hAnsi="Book Antiqua" w:cs="Times New Roman"/>
          <w:b/>
          <w:color w:val="000000" w:themeColor="text1"/>
          <w:sz w:val="24"/>
          <w:szCs w:val="24"/>
        </w:rPr>
      </w:pPr>
    </w:p>
    <w:p w14:paraId="130CE3BA" w14:textId="77777777" w:rsidR="001D3E0F" w:rsidRPr="00246B02" w:rsidRDefault="001D3E0F" w:rsidP="00246B02">
      <w:pPr>
        <w:pageBreakBefore/>
        <w:spacing w:line="360" w:lineRule="auto"/>
        <w:jc w:val="both"/>
        <w:rPr>
          <w:rFonts w:ascii="Book Antiqua" w:hAnsi="Book Antiqua" w:cs="Times New Roman"/>
          <w:b/>
          <w:color w:val="000000" w:themeColor="text1"/>
          <w:sz w:val="24"/>
          <w:szCs w:val="24"/>
        </w:rPr>
        <w:sectPr w:rsidR="001D3E0F" w:rsidRPr="00246B02" w:rsidSect="007625B2">
          <w:pgSz w:w="11906" w:h="16838"/>
          <w:pgMar w:top="1440" w:right="1800" w:bottom="1440" w:left="1800" w:header="851" w:footer="992" w:gutter="0"/>
          <w:cols w:space="425"/>
          <w:docGrid w:type="lines" w:linePitch="312"/>
        </w:sectPr>
      </w:pPr>
    </w:p>
    <w:p w14:paraId="062D02F7" w14:textId="684B9BDC" w:rsidR="00837F36" w:rsidRPr="00246B02" w:rsidRDefault="0021493C" w:rsidP="00246B02">
      <w:pPr>
        <w:pageBreakBefore/>
        <w:spacing w:line="360" w:lineRule="auto"/>
        <w:jc w:val="both"/>
        <w:rPr>
          <w:rFonts w:ascii="Book Antiqua" w:hAnsi="Book Antiqua" w:cs="Times New Roman"/>
          <w:b/>
          <w:color w:val="000000" w:themeColor="text1"/>
          <w:sz w:val="24"/>
          <w:szCs w:val="24"/>
        </w:rPr>
      </w:pPr>
      <w:r w:rsidRPr="00246B02">
        <w:rPr>
          <w:rFonts w:ascii="Book Antiqua" w:eastAsiaTheme="minorHAnsi" w:hAnsi="Book Antiqua" w:cs="Times New Roman"/>
          <w:noProof/>
          <w:color w:val="000000" w:themeColor="text1"/>
          <w:sz w:val="24"/>
          <w:szCs w:val="24"/>
        </w:rPr>
        <w:lastRenderedPageBreak/>
        <w:drawing>
          <wp:anchor distT="0" distB="0" distL="114300" distR="114300" simplePos="0" relativeHeight="251658240" behindDoc="0" locked="0" layoutInCell="1" allowOverlap="1" wp14:anchorId="2253B280" wp14:editId="29450DC8">
            <wp:simplePos x="0" y="0"/>
            <wp:positionH relativeFrom="column">
              <wp:posOffset>353779</wp:posOffset>
            </wp:positionH>
            <wp:positionV relativeFrom="paragraph">
              <wp:posOffset>537</wp:posOffset>
            </wp:positionV>
            <wp:extent cx="4417060" cy="2892425"/>
            <wp:effectExtent l="0" t="0" r="2540" b="3175"/>
            <wp:wrapSquare wrapText="bothSides"/>
            <wp:docPr id="3" name="图片 3" descr="C:\Users\apple\Desktop\综述啊综述\表格集合\targeted ag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Desktop\综述啊综述\表格集合\targeted agen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7060" cy="2892425"/>
                    </a:xfrm>
                    <a:prstGeom prst="rect">
                      <a:avLst/>
                    </a:prstGeom>
                    <a:noFill/>
                    <a:ln>
                      <a:noFill/>
                    </a:ln>
                  </pic:spPr>
                </pic:pic>
              </a:graphicData>
            </a:graphic>
          </wp:anchor>
        </w:drawing>
      </w:r>
    </w:p>
    <w:p w14:paraId="07D78418" w14:textId="66413490" w:rsidR="00837F36" w:rsidRPr="00246B02" w:rsidRDefault="00101E63"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 </w:t>
      </w:r>
    </w:p>
    <w:p w14:paraId="5FF955B6" w14:textId="11ACB02A" w:rsidR="00C57108" w:rsidRPr="00246B02" w:rsidRDefault="006604ED" w:rsidP="00246B02">
      <w:pPr>
        <w:spacing w:line="360" w:lineRule="auto"/>
        <w:jc w:val="both"/>
        <w:rPr>
          <w:rFonts w:ascii="Book Antiqua" w:eastAsiaTheme="minorHAnsi" w:hAnsi="Book Antiqua" w:cs="Times New Roman"/>
          <w:color w:val="000000" w:themeColor="text1"/>
          <w:sz w:val="24"/>
          <w:szCs w:val="24"/>
        </w:rPr>
      </w:pPr>
      <w:r w:rsidRPr="00246B02">
        <w:rPr>
          <w:rFonts w:ascii="Book Antiqua" w:hAnsi="Book Antiqua" w:cs="Times New Roman"/>
          <w:b/>
          <w:color w:val="000000" w:themeColor="text1"/>
          <w:sz w:val="24"/>
          <w:szCs w:val="24"/>
        </w:rPr>
        <w:t xml:space="preserve">Figure 1 </w:t>
      </w:r>
      <w:proofErr w:type="gramStart"/>
      <w:r w:rsidRPr="00246B02">
        <w:rPr>
          <w:rFonts w:ascii="Book Antiqua" w:hAnsi="Book Antiqua" w:cs="Times New Roman"/>
          <w:b/>
          <w:color w:val="000000" w:themeColor="text1"/>
          <w:sz w:val="24"/>
          <w:szCs w:val="24"/>
        </w:rPr>
        <w:t>The</w:t>
      </w:r>
      <w:proofErr w:type="gramEnd"/>
      <w:r w:rsidRPr="00246B02">
        <w:rPr>
          <w:rFonts w:ascii="Book Antiqua" w:hAnsi="Book Antiqua" w:cs="Times New Roman"/>
          <w:b/>
          <w:color w:val="000000" w:themeColor="text1"/>
          <w:sz w:val="24"/>
          <w:szCs w:val="24"/>
        </w:rPr>
        <w:t xml:space="preserve"> crosstalk between </w:t>
      </w:r>
      <w:r w:rsidR="00600B3F" w:rsidRPr="00246B02">
        <w:rPr>
          <w:rFonts w:ascii="Book Antiqua" w:eastAsiaTheme="minorHAnsi" w:hAnsi="Book Antiqua" w:cs="Times New Roman"/>
          <w:b/>
          <w:color w:val="000000" w:themeColor="text1"/>
          <w:sz w:val="24"/>
          <w:szCs w:val="24"/>
        </w:rPr>
        <w:t>estrogen receptor</w:t>
      </w:r>
      <w:r w:rsidR="00600B3F" w:rsidRPr="00246B02">
        <w:rPr>
          <w:rFonts w:ascii="Book Antiqua" w:hAnsi="Book Antiqua" w:cs="Times New Roman"/>
          <w:b/>
          <w:color w:val="000000" w:themeColor="text1"/>
          <w:sz w:val="24"/>
          <w:szCs w:val="24"/>
        </w:rPr>
        <w:t xml:space="preserve"> </w:t>
      </w:r>
      <w:r w:rsidRPr="00246B02">
        <w:rPr>
          <w:rFonts w:ascii="Book Antiqua" w:hAnsi="Book Antiqua" w:cs="Times New Roman"/>
          <w:b/>
          <w:color w:val="000000" w:themeColor="text1"/>
          <w:sz w:val="24"/>
          <w:szCs w:val="24"/>
        </w:rPr>
        <w:t xml:space="preserve">and </w:t>
      </w:r>
      <w:r w:rsidR="00600B3F" w:rsidRPr="00246B02">
        <w:rPr>
          <w:rFonts w:ascii="Book Antiqua" w:eastAsiaTheme="minorHAnsi" w:hAnsi="Book Antiqua" w:cs="Times New Roman"/>
          <w:b/>
          <w:color w:val="000000" w:themeColor="text1"/>
          <w:sz w:val="24"/>
          <w:szCs w:val="24"/>
        </w:rPr>
        <w:t>growth factor receptor</w:t>
      </w:r>
      <w:r w:rsidR="00600B3F" w:rsidRPr="00246B02">
        <w:rPr>
          <w:rFonts w:ascii="Book Antiqua" w:hAnsi="Book Antiqua" w:cs="Times New Roman"/>
          <w:b/>
          <w:color w:val="000000" w:themeColor="text1"/>
          <w:sz w:val="24"/>
          <w:szCs w:val="24"/>
        </w:rPr>
        <w:t xml:space="preserve"> </w:t>
      </w:r>
      <w:r w:rsidRPr="00246B02">
        <w:rPr>
          <w:rFonts w:ascii="Book Antiqua" w:hAnsi="Book Antiqua" w:cs="Times New Roman"/>
          <w:b/>
          <w:color w:val="000000" w:themeColor="text1"/>
          <w:sz w:val="24"/>
          <w:szCs w:val="24"/>
        </w:rPr>
        <w:t>intracellular signaling pathways.</w:t>
      </w:r>
      <w:r w:rsidR="00600B3F" w:rsidRPr="00246B02">
        <w:rPr>
          <w:rFonts w:ascii="Book Antiqua" w:hAnsi="Book Antiqua" w:cs="Times New Roman"/>
          <w:b/>
          <w:color w:val="000000" w:themeColor="text1"/>
          <w:sz w:val="24"/>
          <w:szCs w:val="24"/>
        </w:rPr>
        <w:t xml:space="preserve"> </w:t>
      </w:r>
      <w:r w:rsidR="00600B3F" w:rsidRPr="00246B02">
        <w:rPr>
          <w:rFonts w:ascii="Book Antiqua" w:eastAsiaTheme="minorHAnsi" w:hAnsi="Book Antiqua" w:cs="Times New Roman"/>
          <w:color w:val="000000" w:themeColor="text1"/>
          <w:sz w:val="24"/>
          <w:szCs w:val="24"/>
        </w:rPr>
        <w:t>Growth factor receptors</w:t>
      </w:r>
      <w:r w:rsidR="00600B3F" w:rsidRPr="00246B02">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GFRs</w:t>
      </w:r>
      <w:r w:rsidR="00600B3F" w:rsidRPr="00246B02">
        <w:rPr>
          <w:rFonts w:ascii="Book Antiqua" w:hAnsi="Book Antiqua" w:cs="Times New Roman"/>
          <w:color w:val="000000" w:themeColor="text1"/>
          <w:sz w:val="24"/>
          <w:szCs w:val="24"/>
        </w:rPr>
        <w:t>)</w:t>
      </w:r>
      <w:r w:rsidR="00837F36" w:rsidRPr="00246B02">
        <w:rPr>
          <w:rFonts w:ascii="Book Antiqua" w:hAnsi="Book Antiqua" w:cs="Times New Roman"/>
          <w:color w:val="000000" w:themeColor="text1"/>
          <w:sz w:val="24"/>
          <w:szCs w:val="24"/>
        </w:rPr>
        <w:t xml:space="preserve"> activate the downstream PI3K/AKT/mTOR signaling pathway and the</w:t>
      </w:r>
      <w:r w:rsidR="00963471">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 xml:space="preserve">Cyclin D1/CDK4/6 complex, while the ER-E2 complex has the same </w:t>
      </w:r>
      <w:proofErr w:type="gramStart"/>
      <w:r w:rsidR="00837F36" w:rsidRPr="00246B02">
        <w:rPr>
          <w:rFonts w:ascii="Book Antiqua" w:hAnsi="Book Antiqua" w:cs="Times New Roman"/>
          <w:color w:val="000000" w:themeColor="text1"/>
          <w:sz w:val="24"/>
          <w:szCs w:val="24"/>
        </w:rPr>
        <w:t>effect</w:t>
      </w:r>
      <w:r w:rsidR="00837F36" w:rsidRPr="00246B02">
        <w:rPr>
          <w:rFonts w:ascii="Book Antiqua" w:eastAsia="System" w:hAnsi="Book Antiqua" w:cs="Times New Roman"/>
          <w:noProof/>
          <w:color w:val="000000" w:themeColor="text1"/>
          <w:sz w:val="24"/>
          <w:szCs w:val="24"/>
          <w:vertAlign w:val="superscript"/>
        </w:rPr>
        <w:t>[</w:t>
      </w:r>
      <w:proofErr w:type="gramEnd"/>
      <w:r w:rsidR="00837F36" w:rsidRPr="00246B02">
        <w:rPr>
          <w:rFonts w:ascii="Book Antiqua" w:eastAsiaTheme="minorHAnsi" w:hAnsi="Book Antiqua" w:cs="Times New Roman"/>
          <w:noProof/>
          <w:color w:val="000000" w:themeColor="text1"/>
          <w:sz w:val="24"/>
          <w:szCs w:val="24"/>
          <w:vertAlign w:val="superscript"/>
        </w:rPr>
        <w:t>79]</w:t>
      </w:r>
      <w:r w:rsidR="00837F36" w:rsidRPr="00246B02">
        <w:rPr>
          <w:rFonts w:ascii="Book Antiqua" w:hAnsi="Book Antiqua" w:cs="Times New Roman"/>
          <w:color w:val="000000" w:themeColor="text1"/>
          <w:sz w:val="24"/>
          <w:szCs w:val="24"/>
        </w:rPr>
        <w:t xml:space="preserve">. The Cyclin D1/CDK4/6 complex drives cell proliferation by inducing Rb phosphorylation and promotes cell cycle from G1 phase to S phase in the </w:t>
      </w:r>
      <w:proofErr w:type="gramStart"/>
      <w:r w:rsidR="00837F36" w:rsidRPr="00246B02">
        <w:rPr>
          <w:rFonts w:ascii="Book Antiqua" w:hAnsi="Book Antiqua" w:cs="Times New Roman"/>
          <w:color w:val="000000" w:themeColor="text1"/>
          <w:sz w:val="24"/>
          <w:szCs w:val="24"/>
        </w:rPr>
        <w:t>nucleus</w:t>
      </w:r>
      <w:r w:rsidR="00837F36" w:rsidRPr="00246B02">
        <w:rPr>
          <w:rFonts w:ascii="Book Antiqua" w:eastAsia="System" w:hAnsi="Book Antiqua" w:cs="Times New Roman"/>
          <w:noProof/>
          <w:color w:val="000000" w:themeColor="text1"/>
          <w:sz w:val="24"/>
          <w:szCs w:val="24"/>
          <w:vertAlign w:val="superscript"/>
        </w:rPr>
        <w:t>[</w:t>
      </w:r>
      <w:proofErr w:type="gramEnd"/>
      <w:r w:rsidR="00837F36" w:rsidRPr="00246B02">
        <w:rPr>
          <w:rFonts w:ascii="Book Antiqua" w:eastAsiaTheme="minorHAnsi" w:hAnsi="Book Antiqua" w:cs="Times New Roman"/>
          <w:noProof/>
          <w:color w:val="000000" w:themeColor="text1"/>
          <w:sz w:val="24"/>
          <w:szCs w:val="24"/>
          <w:vertAlign w:val="superscript"/>
        </w:rPr>
        <w:t>80]</w:t>
      </w:r>
      <w:r w:rsidR="00837F36" w:rsidRPr="00246B02">
        <w:rPr>
          <w:rFonts w:ascii="Book Antiqua" w:hAnsi="Book Antiqua" w:cs="Times New Roman"/>
          <w:color w:val="000000" w:themeColor="text1"/>
          <w:sz w:val="24"/>
          <w:szCs w:val="24"/>
        </w:rPr>
        <w:t xml:space="preserve">. Targeted agents against </w:t>
      </w:r>
      <w:r w:rsidR="00963471">
        <w:rPr>
          <w:rFonts w:ascii="Book Antiqua" w:hAnsi="Book Antiqua" w:cs="Times New Roman"/>
          <w:color w:val="000000" w:themeColor="text1"/>
          <w:sz w:val="24"/>
          <w:szCs w:val="24"/>
        </w:rPr>
        <w:t xml:space="preserve">the </w:t>
      </w:r>
      <w:r w:rsidR="00837F36" w:rsidRPr="00246B02">
        <w:rPr>
          <w:rFonts w:ascii="Book Antiqua" w:hAnsi="Book Antiqua" w:cs="Times New Roman"/>
          <w:color w:val="000000" w:themeColor="text1"/>
          <w:sz w:val="24"/>
          <w:szCs w:val="24"/>
        </w:rPr>
        <w:t>CDK4/6 pathway and the PI3K/AKT/mTOR pathway can trigger cell cycle arrest a</w:t>
      </w:r>
      <w:r w:rsidR="00E859C8" w:rsidRPr="00246B02">
        <w:rPr>
          <w:rFonts w:ascii="Book Antiqua" w:hAnsi="Book Antiqua" w:cs="Times New Roman"/>
          <w:color w:val="000000" w:themeColor="text1"/>
          <w:sz w:val="24"/>
          <w:szCs w:val="24"/>
        </w:rPr>
        <w:t xml:space="preserve">nd control tumor progression. </w:t>
      </w:r>
      <w:r w:rsidR="00837F36" w:rsidRPr="00246B02">
        <w:rPr>
          <w:rFonts w:ascii="Book Antiqua" w:eastAsiaTheme="minorHAnsi" w:hAnsi="Book Antiqua" w:cs="Times New Roman"/>
          <w:color w:val="000000" w:themeColor="text1"/>
          <w:sz w:val="24"/>
          <w:szCs w:val="24"/>
        </w:rPr>
        <w:t xml:space="preserve">ER: </w:t>
      </w:r>
      <w:r w:rsidR="00E859C8" w:rsidRPr="00246B02">
        <w:rPr>
          <w:rFonts w:ascii="Book Antiqua" w:eastAsiaTheme="minorHAnsi" w:hAnsi="Book Antiqua" w:cs="Times New Roman"/>
          <w:color w:val="000000" w:themeColor="text1"/>
          <w:sz w:val="24"/>
          <w:szCs w:val="24"/>
        </w:rPr>
        <w:t xml:space="preserve">Estrogen </w:t>
      </w:r>
      <w:r w:rsidR="00837F36" w:rsidRPr="00246B02">
        <w:rPr>
          <w:rFonts w:ascii="Book Antiqua" w:eastAsiaTheme="minorHAnsi" w:hAnsi="Book Antiqua" w:cs="Times New Roman"/>
          <w:color w:val="000000" w:themeColor="text1"/>
          <w:sz w:val="24"/>
          <w:szCs w:val="24"/>
        </w:rPr>
        <w:t xml:space="preserve">receptor; GFR: </w:t>
      </w:r>
      <w:r w:rsidR="00E859C8" w:rsidRPr="00246B02">
        <w:rPr>
          <w:rFonts w:ascii="Book Antiqua" w:eastAsiaTheme="minorHAnsi" w:hAnsi="Book Antiqua" w:cs="Times New Roman"/>
          <w:color w:val="000000" w:themeColor="text1"/>
          <w:sz w:val="24"/>
          <w:szCs w:val="24"/>
        </w:rPr>
        <w:t xml:space="preserve">Growth </w:t>
      </w:r>
      <w:r w:rsidR="00837F36" w:rsidRPr="00246B02">
        <w:rPr>
          <w:rFonts w:ascii="Book Antiqua" w:eastAsiaTheme="minorHAnsi" w:hAnsi="Book Antiqua" w:cs="Times New Roman"/>
          <w:color w:val="000000" w:themeColor="text1"/>
          <w:sz w:val="24"/>
          <w:szCs w:val="24"/>
        </w:rPr>
        <w:t xml:space="preserve">factor receptor; CDK4/6: </w:t>
      </w:r>
      <w:r w:rsidR="00E859C8" w:rsidRPr="00246B02">
        <w:rPr>
          <w:rFonts w:ascii="Book Antiqua" w:eastAsiaTheme="minorHAnsi" w:hAnsi="Book Antiqua" w:cs="Times New Roman"/>
          <w:color w:val="000000" w:themeColor="text1"/>
          <w:sz w:val="24"/>
          <w:szCs w:val="24"/>
        </w:rPr>
        <w:t>Cyclin</w:t>
      </w:r>
      <w:r w:rsidR="00837F36" w:rsidRPr="00246B02">
        <w:rPr>
          <w:rFonts w:ascii="Book Antiqua" w:eastAsiaTheme="minorHAnsi" w:hAnsi="Book Antiqua" w:cs="Times New Roman"/>
          <w:color w:val="000000" w:themeColor="text1"/>
          <w:sz w:val="24"/>
          <w:szCs w:val="24"/>
        </w:rPr>
        <w:t xml:space="preserve">-dependent kinase; PI3K: </w:t>
      </w:r>
      <w:r w:rsidR="00E859C8" w:rsidRPr="00246B02">
        <w:rPr>
          <w:rFonts w:ascii="Book Antiqua" w:eastAsiaTheme="minorHAnsi" w:hAnsi="Book Antiqua" w:cs="Times New Roman"/>
          <w:color w:val="000000" w:themeColor="text1"/>
          <w:sz w:val="24"/>
          <w:szCs w:val="24"/>
        </w:rPr>
        <w:t xml:space="preserve">Phosphatidylinositol </w:t>
      </w:r>
      <w:r w:rsidR="00837F36" w:rsidRPr="00246B02">
        <w:rPr>
          <w:rFonts w:ascii="Book Antiqua" w:eastAsiaTheme="minorHAnsi" w:hAnsi="Book Antiqua" w:cs="Times New Roman"/>
          <w:color w:val="000000" w:themeColor="text1"/>
          <w:sz w:val="24"/>
          <w:szCs w:val="24"/>
        </w:rPr>
        <w:t xml:space="preserve">3-kinase; PIP2: </w:t>
      </w:r>
      <w:r w:rsidR="00E859C8" w:rsidRPr="00246B02">
        <w:rPr>
          <w:rFonts w:ascii="Book Antiqua" w:eastAsiaTheme="minorHAnsi" w:hAnsi="Book Antiqua" w:cs="Times New Roman"/>
          <w:color w:val="000000" w:themeColor="text1"/>
          <w:sz w:val="24"/>
          <w:szCs w:val="24"/>
        </w:rPr>
        <w:t xml:space="preserve">Phosphatidylinositol </w:t>
      </w:r>
      <w:r w:rsidR="00837F36" w:rsidRPr="00246B02">
        <w:rPr>
          <w:rFonts w:ascii="Book Antiqua" w:eastAsiaTheme="minorHAnsi" w:hAnsi="Book Antiqua" w:cs="Times New Roman"/>
          <w:color w:val="000000" w:themeColor="text1"/>
          <w:sz w:val="24"/>
          <w:szCs w:val="24"/>
        </w:rPr>
        <w:t>4</w:t>
      </w:r>
      <w:proofErr w:type="gramStart"/>
      <w:r w:rsidR="00837F36" w:rsidRPr="00246B02">
        <w:rPr>
          <w:rFonts w:ascii="Book Antiqua" w:eastAsiaTheme="minorHAnsi" w:hAnsi="Book Antiqua" w:cs="Times New Roman"/>
          <w:color w:val="000000" w:themeColor="text1"/>
          <w:sz w:val="24"/>
          <w:szCs w:val="24"/>
        </w:rPr>
        <w:t>,5</w:t>
      </w:r>
      <w:proofErr w:type="gramEnd"/>
      <w:r w:rsidR="00837F36" w:rsidRPr="00246B02">
        <w:rPr>
          <w:rFonts w:ascii="Book Antiqua" w:eastAsiaTheme="minorHAnsi" w:hAnsi="Book Antiqua" w:cs="Times New Roman"/>
          <w:color w:val="000000" w:themeColor="text1"/>
          <w:sz w:val="24"/>
          <w:szCs w:val="24"/>
        </w:rPr>
        <w:t xml:space="preserve">-biphosphate; PIP3: </w:t>
      </w:r>
      <w:r w:rsidR="00E859C8" w:rsidRPr="00246B02">
        <w:rPr>
          <w:rFonts w:ascii="Book Antiqua" w:eastAsiaTheme="minorHAnsi" w:hAnsi="Book Antiqua" w:cs="Times New Roman"/>
          <w:color w:val="000000" w:themeColor="text1"/>
          <w:sz w:val="24"/>
          <w:szCs w:val="24"/>
        </w:rPr>
        <w:t xml:space="preserve">Phosphatidylinositol </w:t>
      </w:r>
      <w:r w:rsidR="00837F36" w:rsidRPr="00246B02">
        <w:rPr>
          <w:rFonts w:ascii="Book Antiqua" w:eastAsiaTheme="minorHAnsi" w:hAnsi="Book Antiqua" w:cs="Times New Roman"/>
          <w:color w:val="000000" w:themeColor="text1"/>
          <w:sz w:val="24"/>
          <w:szCs w:val="24"/>
        </w:rPr>
        <w:t xml:space="preserve">triphosphate; mTOR: </w:t>
      </w:r>
      <w:r w:rsidR="00E859C8" w:rsidRPr="00246B02">
        <w:rPr>
          <w:rFonts w:ascii="Book Antiqua" w:eastAsiaTheme="minorHAnsi" w:hAnsi="Book Antiqua" w:cs="Times New Roman"/>
          <w:color w:val="000000" w:themeColor="text1"/>
          <w:sz w:val="24"/>
          <w:szCs w:val="24"/>
        </w:rPr>
        <w:t xml:space="preserve">Mammalian </w:t>
      </w:r>
      <w:r w:rsidRPr="00246B02">
        <w:rPr>
          <w:rFonts w:ascii="Book Antiqua" w:eastAsiaTheme="minorHAnsi" w:hAnsi="Book Antiqua" w:cs="Times New Roman"/>
          <w:color w:val="000000" w:themeColor="text1"/>
          <w:sz w:val="24"/>
          <w:szCs w:val="24"/>
        </w:rPr>
        <w:t xml:space="preserve">target of rapamycin; Rb: </w:t>
      </w:r>
      <w:r w:rsidR="00E859C8" w:rsidRPr="00246B02">
        <w:rPr>
          <w:rFonts w:ascii="Book Antiqua" w:eastAsiaTheme="minorHAnsi" w:hAnsi="Book Antiqua" w:cs="Times New Roman"/>
          <w:color w:val="000000" w:themeColor="text1"/>
          <w:sz w:val="24"/>
          <w:szCs w:val="24"/>
        </w:rPr>
        <w:t xml:space="preserve">Retinoblastoma </w:t>
      </w:r>
      <w:r w:rsidRPr="00246B02">
        <w:rPr>
          <w:rFonts w:ascii="Book Antiqua" w:eastAsiaTheme="minorHAnsi" w:hAnsi="Book Antiqua" w:cs="Times New Roman"/>
          <w:color w:val="000000" w:themeColor="text1"/>
          <w:sz w:val="24"/>
          <w:szCs w:val="24"/>
        </w:rPr>
        <w:t>protein</w:t>
      </w:r>
      <w:r w:rsidR="00E859C8" w:rsidRPr="00246B02">
        <w:rPr>
          <w:rFonts w:ascii="Book Antiqua" w:eastAsiaTheme="minorHAnsi" w:hAnsi="Book Antiqua" w:cs="Times New Roman"/>
          <w:color w:val="000000" w:themeColor="text1"/>
          <w:sz w:val="24"/>
          <w:szCs w:val="24"/>
        </w:rPr>
        <w:t>.</w:t>
      </w:r>
    </w:p>
    <w:p w14:paraId="7553776D"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1E1998AB"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5702AC90"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1CA3055A"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35111CE5"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6C8E56CE"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2BA4FFF8"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3AA91E05" w14:textId="6527A81D" w:rsidR="005239CB" w:rsidRPr="00246B02" w:rsidRDefault="005239CB" w:rsidP="00246B02">
      <w:pPr>
        <w:spacing w:line="360" w:lineRule="auto"/>
        <w:jc w:val="both"/>
        <w:rPr>
          <w:rFonts w:ascii="Book Antiqua" w:eastAsiaTheme="minorHAnsi" w:hAnsi="Book Antiqua" w:cs="Times New Roman"/>
          <w:b/>
          <w:color w:val="000000" w:themeColor="text1"/>
          <w:sz w:val="24"/>
          <w:szCs w:val="24"/>
        </w:rPr>
      </w:pPr>
      <w:r w:rsidRPr="00246B02">
        <w:rPr>
          <w:rFonts w:ascii="Book Antiqua" w:eastAsiaTheme="minorHAnsi" w:hAnsi="Book Antiqua" w:cs="Times New Roman"/>
          <w:b/>
          <w:color w:val="000000" w:themeColor="text1"/>
          <w:sz w:val="24"/>
          <w:szCs w:val="24"/>
        </w:rPr>
        <w:t xml:space="preserve">Table 1 </w:t>
      </w:r>
      <w:bookmarkStart w:id="10" w:name="_Hlk12047584"/>
      <w:r w:rsidRPr="00246B02">
        <w:rPr>
          <w:rFonts w:ascii="Book Antiqua" w:eastAsiaTheme="minorHAnsi" w:hAnsi="Book Antiqua" w:cs="Times New Roman"/>
          <w:b/>
          <w:color w:val="000000" w:themeColor="text1"/>
          <w:sz w:val="24"/>
          <w:szCs w:val="24"/>
        </w:rPr>
        <w:t>Neoadjuvant endocrine therapy and neoadjuvant chemo-endocrine therapy as potential approaches in the neoadjuvant settings</w:t>
      </w:r>
      <w:bookmarkEnd w:id="10"/>
    </w:p>
    <w:p w14:paraId="73FC8C8E" w14:textId="77777777" w:rsidR="005239CB" w:rsidRPr="00246B02" w:rsidRDefault="005239CB" w:rsidP="00246B02">
      <w:pPr>
        <w:spacing w:line="360" w:lineRule="auto"/>
        <w:jc w:val="both"/>
        <w:rPr>
          <w:rFonts w:ascii="Book Antiqua" w:hAnsi="Book Antiqua" w:cs="Times New Roman"/>
          <w:color w:val="000000" w:themeColor="text1"/>
          <w:sz w:val="24"/>
          <w:szCs w:val="24"/>
        </w:rPr>
        <w:sectPr w:rsidR="005239CB" w:rsidRPr="00246B02" w:rsidSect="007625B2">
          <w:pgSz w:w="11906" w:h="16838"/>
          <w:pgMar w:top="1440" w:right="1800" w:bottom="1440" w:left="1800" w:header="851" w:footer="992" w:gutter="0"/>
          <w:cols w:space="425"/>
          <w:docGrid w:type="lines" w:linePitch="312"/>
        </w:sectPr>
      </w:pPr>
    </w:p>
    <w:tbl>
      <w:tblPr>
        <w:tblW w:w="14034" w:type="dxa"/>
        <w:tblBorders>
          <w:top w:val="single" w:sz="4" w:space="0" w:color="auto"/>
          <w:bottom w:val="single" w:sz="4" w:space="0" w:color="auto"/>
        </w:tblBorders>
        <w:tblLook w:val="04A0" w:firstRow="1" w:lastRow="0" w:firstColumn="1" w:lastColumn="0" w:noHBand="0" w:noVBand="1"/>
      </w:tblPr>
      <w:tblGrid>
        <w:gridCol w:w="2694"/>
        <w:gridCol w:w="4961"/>
        <w:gridCol w:w="1216"/>
        <w:gridCol w:w="1938"/>
        <w:gridCol w:w="1843"/>
        <w:gridCol w:w="1417"/>
      </w:tblGrid>
      <w:tr w:rsidR="00517BC0" w:rsidRPr="00246B02" w14:paraId="1C84D635" w14:textId="77777777" w:rsidTr="00AB3D52">
        <w:trPr>
          <w:trHeight w:val="285"/>
        </w:trPr>
        <w:tc>
          <w:tcPr>
            <w:tcW w:w="2694" w:type="dxa"/>
            <w:tcBorders>
              <w:top w:val="single" w:sz="4" w:space="0" w:color="auto"/>
              <w:bottom w:val="single" w:sz="4" w:space="0" w:color="auto"/>
            </w:tcBorders>
            <w:shd w:val="clear" w:color="auto" w:fill="auto"/>
            <w:noWrap/>
            <w:vAlign w:val="center"/>
            <w:hideMark/>
          </w:tcPr>
          <w:p w14:paraId="71E68247" w14:textId="28EEEBAA"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lastRenderedPageBreak/>
              <w:t xml:space="preserve">Clinical </w:t>
            </w:r>
            <w:r w:rsidR="00AB3D52" w:rsidRPr="00246B02">
              <w:rPr>
                <w:rFonts w:ascii="Book Antiqua" w:eastAsia="等线" w:hAnsi="Book Antiqua" w:cs="宋体"/>
                <w:b/>
                <w:color w:val="000000" w:themeColor="text1"/>
                <w:kern w:val="0"/>
                <w:sz w:val="24"/>
                <w:szCs w:val="24"/>
              </w:rPr>
              <w:t>trial</w:t>
            </w:r>
          </w:p>
        </w:tc>
        <w:tc>
          <w:tcPr>
            <w:tcW w:w="4961" w:type="dxa"/>
            <w:tcBorders>
              <w:top w:val="single" w:sz="4" w:space="0" w:color="auto"/>
              <w:bottom w:val="single" w:sz="4" w:space="0" w:color="auto"/>
            </w:tcBorders>
            <w:shd w:val="clear" w:color="auto" w:fill="auto"/>
            <w:noWrap/>
            <w:vAlign w:val="center"/>
            <w:hideMark/>
          </w:tcPr>
          <w:p w14:paraId="3320C891" w14:textId="064B50A0"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 xml:space="preserve">Treatment </w:t>
            </w:r>
            <w:r w:rsidR="005239CB" w:rsidRPr="00246B02">
              <w:rPr>
                <w:rFonts w:ascii="Book Antiqua" w:eastAsia="等线" w:hAnsi="Book Antiqua" w:cs="宋体"/>
                <w:b/>
                <w:color w:val="000000" w:themeColor="text1"/>
                <w:kern w:val="0"/>
                <w:sz w:val="24"/>
                <w:szCs w:val="24"/>
              </w:rPr>
              <w:t xml:space="preserve">arms </w:t>
            </w:r>
            <w:r w:rsidRPr="00246B02">
              <w:rPr>
                <w:rFonts w:ascii="Book Antiqua" w:eastAsia="等线" w:hAnsi="Book Antiqua" w:cs="宋体"/>
                <w:b/>
                <w:color w:val="000000" w:themeColor="text1"/>
                <w:kern w:val="0"/>
                <w:sz w:val="24"/>
                <w:szCs w:val="24"/>
              </w:rPr>
              <w:t>(</w:t>
            </w:r>
            <w:r w:rsidRPr="00246B02">
              <w:rPr>
                <w:rFonts w:ascii="Book Antiqua" w:eastAsia="等线" w:hAnsi="Book Antiqua" w:cs="宋体"/>
                <w:b/>
                <w:i/>
                <w:color w:val="000000" w:themeColor="text1"/>
                <w:kern w:val="0"/>
                <w:sz w:val="24"/>
                <w:szCs w:val="24"/>
              </w:rPr>
              <w:t>n</w:t>
            </w:r>
            <w:r w:rsidRPr="00246B02">
              <w:rPr>
                <w:rFonts w:ascii="Book Antiqua" w:eastAsia="等线" w:hAnsi="Book Antiqua" w:cs="宋体"/>
                <w:b/>
                <w:color w:val="000000" w:themeColor="text1"/>
                <w:kern w:val="0"/>
                <w:sz w:val="24"/>
                <w:szCs w:val="24"/>
              </w:rPr>
              <w:t>)</w:t>
            </w:r>
          </w:p>
        </w:tc>
        <w:tc>
          <w:tcPr>
            <w:tcW w:w="1181" w:type="dxa"/>
            <w:tcBorders>
              <w:top w:val="single" w:sz="4" w:space="0" w:color="auto"/>
              <w:bottom w:val="single" w:sz="4" w:space="0" w:color="auto"/>
            </w:tcBorders>
            <w:shd w:val="clear" w:color="auto" w:fill="auto"/>
            <w:noWrap/>
            <w:vAlign w:val="center"/>
            <w:hideMark/>
          </w:tcPr>
          <w:p w14:paraId="0BBB3660" w14:textId="77777777"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Duration</w:t>
            </w:r>
          </w:p>
        </w:tc>
        <w:tc>
          <w:tcPr>
            <w:tcW w:w="1938" w:type="dxa"/>
            <w:tcBorders>
              <w:top w:val="single" w:sz="4" w:space="0" w:color="auto"/>
              <w:bottom w:val="single" w:sz="4" w:space="0" w:color="auto"/>
            </w:tcBorders>
            <w:shd w:val="clear" w:color="auto" w:fill="auto"/>
            <w:noWrap/>
            <w:vAlign w:val="center"/>
            <w:hideMark/>
          </w:tcPr>
          <w:p w14:paraId="2821B03B" w14:textId="2A38129B"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 xml:space="preserve">Primary </w:t>
            </w:r>
            <w:r w:rsidR="005239CB" w:rsidRPr="00246B02">
              <w:rPr>
                <w:rFonts w:ascii="Book Antiqua" w:eastAsia="等线" w:hAnsi="Book Antiqua" w:cs="宋体"/>
                <w:b/>
                <w:color w:val="000000" w:themeColor="text1"/>
                <w:kern w:val="0"/>
                <w:sz w:val="24"/>
                <w:szCs w:val="24"/>
              </w:rPr>
              <w:t>endpoint</w:t>
            </w:r>
          </w:p>
        </w:tc>
        <w:tc>
          <w:tcPr>
            <w:tcW w:w="1843" w:type="dxa"/>
            <w:tcBorders>
              <w:top w:val="single" w:sz="4" w:space="0" w:color="auto"/>
              <w:bottom w:val="single" w:sz="4" w:space="0" w:color="auto"/>
            </w:tcBorders>
            <w:shd w:val="clear" w:color="auto" w:fill="auto"/>
            <w:noWrap/>
            <w:vAlign w:val="center"/>
            <w:hideMark/>
          </w:tcPr>
          <w:p w14:paraId="2F72997B" w14:textId="77777777"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ORR</w:t>
            </w:r>
          </w:p>
        </w:tc>
        <w:tc>
          <w:tcPr>
            <w:tcW w:w="1417" w:type="dxa"/>
            <w:tcBorders>
              <w:top w:val="single" w:sz="4" w:space="0" w:color="auto"/>
              <w:bottom w:val="single" w:sz="4" w:space="0" w:color="auto"/>
            </w:tcBorders>
            <w:shd w:val="clear" w:color="auto" w:fill="auto"/>
            <w:noWrap/>
            <w:vAlign w:val="center"/>
            <w:hideMark/>
          </w:tcPr>
          <w:p w14:paraId="5A76D98D" w14:textId="0CDE05E1"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BCS</w:t>
            </w:r>
            <w:r w:rsidR="00C105EA" w:rsidRPr="00246B02">
              <w:rPr>
                <w:rFonts w:ascii="Book Antiqua" w:eastAsia="等线" w:hAnsi="Book Antiqua" w:cs="宋体"/>
                <w:b/>
                <w:color w:val="000000" w:themeColor="text1"/>
                <w:kern w:val="0"/>
                <w:sz w:val="24"/>
                <w:szCs w:val="24"/>
              </w:rPr>
              <w:t xml:space="preserve"> rate</w:t>
            </w:r>
          </w:p>
        </w:tc>
      </w:tr>
      <w:tr w:rsidR="00517BC0" w:rsidRPr="00246B02" w14:paraId="07326248" w14:textId="77777777" w:rsidTr="00AB3D52">
        <w:trPr>
          <w:trHeight w:val="795"/>
        </w:trPr>
        <w:tc>
          <w:tcPr>
            <w:tcW w:w="2694" w:type="dxa"/>
            <w:tcBorders>
              <w:top w:val="single" w:sz="4" w:space="0" w:color="auto"/>
            </w:tcBorders>
            <w:shd w:val="clear" w:color="auto" w:fill="auto"/>
            <w:noWrap/>
            <w:vAlign w:val="center"/>
            <w:hideMark/>
          </w:tcPr>
          <w:p w14:paraId="2635A479" w14:textId="23CEB275"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Semiglazov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[16</w:t>
            </w:r>
            <w:r w:rsidRPr="00246B02">
              <w:rPr>
                <w:rFonts w:ascii="Book Antiqua" w:hAnsi="Book Antiqua" w:cs="Times New Roman"/>
                <w:noProof/>
                <w:color w:val="000000" w:themeColor="text1"/>
                <w:sz w:val="24"/>
                <w:szCs w:val="24"/>
                <w:vertAlign w:val="superscript"/>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2007</w:t>
            </w:r>
          </w:p>
        </w:tc>
        <w:tc>
          <w:tcPr>
            <w:tcW w:w="4961" w:type="dxa"/>
            <w:tcBorders>
              <w:top w:val="single" w:sz="4" w:space="0" w:color="auto"/>
            </w:tcBorders>
            <w:shd w:val="clear" w:color="auto" w:fill="auto"/>
            <w:vAlign w:val="center"/>
            <w:hideMark/>
          </w:tcPr>
          <w:p w14:paraId="72F37C89" w14:textId="70D39945" w:rsidR="00C57108" w:rsidRPr="00246B02" w:rsidRDefault="005239CB">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w:t>
            </w:r>
            <w:r w:rsidR="008F3D4B"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EXE 25</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or ANA 1</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(121)</w:t>
            </w:r>
            <w:r w:rsidRPr="00246B02">
              <w:rPr>
                <w:rFonts w:ascii="Book Antiqua" w:eastAsia="等线" w:hAnsi="Book Antiqua" w:cs="宋体"/>
                <w:color w:val="000000" w:themeColor="text1"/>
                <w:kern w:val="0"/>
                <w:sz w:val="24"/>
                <w:szCs w:val="24"/>
              </w:rPr>
              <w:t>; (</w:t>
            </w:r>
            <w:r w:rsidR="00C57108" w:rsidRPr="00246B02">
              <w:rPr>
                <w:rFonts w:ascii="Book Antiqua" w:eastAsia="等线" w:hAnsi="Book Antiqua" w:cs="宋体"/>
                <w:color w:val="000000" w:themeColor="text1"/>
                <w:kern w:val="0"/>
                <w:sz w:val="24"/>
                <w:szCs w:val="24"/>
              </w:rPr>
              <w:t>B</w:t>
            </w:r>
            <w:r w:rsidRPr="00246B02">
              <w:rPr>
                <w:rFonts w:ascii="Book Antiqua" w:eastAsia="等线" w:hAnsi="Book Antiqua" w:cs="宋体"/>
                <w:color w:val="000000" w:themeColor="text1"/>
                <w:kern w:val="0"/>
                <w:sz w:val="24"/>
                <w:szCs w:val="24"/>
              </w:rPr>
              <w:t>)</w:t>
            </w:r>
            <w:r w:rsidR="00C57108" w:rsidRPr="00246B02">
              <w:rPr>
                <w:rFonts w:ascii="Book Antiqua" w:eastAsia="等线" w:hAnsi="Book Antiqua" w:cs="宋体"/>
                <w:color w:val="000000" w:themeColor="text1"/>
                <w:kern w:val="0"/>
                <w:sz w:val="24"/>
                <w:szCs w:val="24"/>
              </w:rPr>
              <w:t xml:space="preserve"> N</w:t>
            </w:r>
            <w:r w:rsidR="00C105EA" w:rsidRPr="00246B02">
              <w:rPr>
                <w:rFonts w:ascii="Book Antiqua" w:eastAsia="等线" w:hAnsi="Book Antiqua" w:cs="宋体"/>
                <w:color w:val="000000" w:themeColor="text1"/>
                <w:kern w:val="0"/>
                <w:sz w:val="24"/>
                <w:szCs w:val="24"/>
              </w:rPr>
              <w:t>AC</w:t>
            </w:r>
            <w:r w:rsidR="00C57108" w:rsidRPr="00246B02">
              <w:rPr>
                <w:rFonts w:ascii="Book Antiqua" w:eastAsia="等线" w:hAnsi="Book Antiqua" w:cs="宋体"/>
                <w:color w:val="000000" w:themeColor="text1"/>
                <w:kern w:val="0"/>
                <w:sz w:val="24"/>
                <w:szCs w:val="24"/>
              </w:rPr>
              <w:t>:</w:t>
            </w:r>
            <w:r w:rsidR="008F3D4B" w:rsidRPr="00246B02">
              <w:rPr>
                <w:rFonts w:ascii="Book Antiqua" w:eastAsia="等线" w:hAnsi="Book Antiqua" w:cs="宋体"/>
                <w:color w:val="000000" w:themeColor="text1"/>
                <w:kern w:val="0"/>
                <w:sz w:val="24"/>
                <w:szCs w:val="24"/>
              </w:rPr>
              <w:t xml:space="preserve"> </w:t>
            </w:r>
            <w:r w:rsidR="00963471">
              <w:rPr>
                <w:rFonts w:ascii="Book Antiqua" w:eastAsia="等线" w:hAnsi="Book Antiqua" w:cs="宋体"/>
                <w:color w:val="000000" w:themeColor="text1"/>
                <w:kern w:val="0"/>
                <w:sz w:val="24"/>
                <w:szCs w:val="24"/>
              </w:rPr>
              <w:t>d</w:t>
            </w:r>
            <w:r w:rsidR="00963471" w:rsidRPr="00246B02">
              <w:rPr>
                <w:rFonts w:ascii="Book Antiqua" w:eastAsia="等线" w:hAnsi="Book Antiqua" w:cs="宋体"/>
                <w:color w:val="000000" w:themeColor="text1"/>
                <w:kern w:val="0"/>
                <w:sz w:val="24"/>
                <w:szCs w:val="24"/>
              </w:rPr>
              <w:t xml:space="preserve">oxorubicin </w:t>
            </w:r>
            <w:r w:rsidR="00C57108" w:rsidRPr="00246B02">
              <w:rPr>
                <w:rFonts w:ascii="Book Antiqua" w:eastAsia="等线" w:hAnsi="Book Antiqua" w:cs="宋体"/>
                <w:color w:val="000000" w:themeColor="text1"/>
                <w:kern w:val="0"/>
                <w:sz w:val="24"/>
                <w:szCs w:val="24"/>
              </w:rPr>
              <w:t>60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 xml:space="preserve">2 </w:t>
            </w:r>
            <w:r w:rsidR="00C57108" w:rsidRPr="00246B02">
              <w:rPr>
                <w:rFonts w:ascii="Book Antiqua" w:eastAsia="等线" w:hAnsi="Book Antiqua" w:cs="宋体"/>
                <w:color w:val="000000" w:themeColor="text1"/>
                <w:kern w:val="0"/>
                <w:sz w:val="24"/>
                <w:szCs w:val="24"/>
              </w:rPr>
              <w:t>pluspaclitaxel 200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(118</w:t>
            </w:r>
            <w:r w:rsidRPr="00246B02">
              <w:rPr>
                <w:rFonts w:ascii="Book Antiqua" w:eastAsia="等线" w:hAnsi="Book Antiqua" w:cs="宋体"/>
                <w:color w:val="000000" w:themeColor="text1"/>
                <w:kern w:val="0"/>
                <w:sz w:val="24"/>
                <w:szCs w:val="24"/>
              </w:rPr>
              <w:t>)</w:t>
            </w:r>
          </w:p>
        </w:tc>
        <w:tc>
          <w:tcPr>
            <w:tcW w:w="1181" w:type="dxa"/>
            <w:tcBorders>
              <w:top w:val="single" w:sz="4" w:space="0" w:color="auto"/>
            </w:tcBorders>
            <w:shd w:val="clear" w:color="auto" w:fill="auto"/>
            <w:noWrap/>
            <w:vAlign w:val="center"/>
            <w:hideMark/>
          </w:tcPr>
          <w:p w14:paraId="01FD9806" w14:textId="57E012F0"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3</w:t>
            </w:r>
            <w:r w:rsidR="00AB3D52" w:rsidRPr="00246B02">
              <w:rPr>
                <w:rFonts w:ascii="Book Antiqua" w:eastAsia="等线" w:hAnsi="Book Antiqua" w:cs="宋体"/>
                <w:color w:val="000000" w:themeColor="text1"/>
                <w:kern w:val="0"/>
                <w:sz w:val="24"/>
                <w:szCs w:val="24"/>
              </w:rPr>
              <w:t xml:space="preserve"> mo</w:t>
            </w:r>
          </w:p>
        </w:tc>
        <w:tc>
          <w:tcPr>
            <w:tcW w:w="1938" w:type="dxa"/>
            <w:tcBorders>
              <w:top w:val="single" w:sz="4" w:space="0" w:color="auto"/>
            </w:tcBorders>
            <w:shd w:val="clear" w:color="auto" w:fill="auto"/>
            <w:vAlign w:val="center"/>
            <w:hideMark/>
          </w:tcPr>
          <w:p w14:paraId="78BDC238"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clinical palpation</w:t>
            </w:r>
          </w:p>
        </w:tc>
        <w:tc>
          <w:tcPr>
            <w:tcW w:w="1843" w:type="dxa"/>
            <w:tcBorders>
              <w:top w:val="single" w:sz="4" w:space="0" w:color="auto"/>
            </w:tcBorders>
            <w:shd w:val="clear" w:color="auto" w:fill="auto"/>
            <w:vAlign w:val="center"/>
            <w:hideMark/>
          </w:tcPr>
          <w:p w14:paraId="22D0C659" w14:textId="02968283"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64%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64% (</w:t>
            </w:r>
            <w:r w:rsidR="005239CB" w:rsidRPr="00246B02">
              <w:rPr>
                <w:rFonts w:ascii="Book Antiqua" w:eastAsia="等线" w:hAnsi="Book Antiqua" w:cs="宋体"/>
                <w:i/>
                <w:color w:val="000000" w:themeColor="text1"/>
                <w:kern w:val="0"/>
                <w:sz w:val="24"/>
                <w:szCs w:val="24"/>
              </w:rPr>
              <w:t xml:space="preserve">P </w:t>
            </w:r>
            <w:r w:rsidRPr="00246B02">
              <w:rPr>
                <w:rFonts w:ascii="Book Antiqua" w:eastAsia="等线" w:hAnsi="Book Antiqua" w:cs="宋体"/>
                <w:color w:val="000000" w:themeColor="text1"/>
                <w:kern w:val="0"/>
                <w:sz w:val="24"/>
                <w:szCs w:val="24"/>
              </w:rPr>
              <w:t>&gt;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0.5</w:t>
            </w:r>
            <w:r w:rsidR="00AB3D52" w:rsidRPr="00246B02">
              <w:rPr>
                <w:rFonts w:ascii="Book Antiqua" w:eastAsia="等线" w:hAnsi="Book Antiqua" w:cs="宋体"/>
                <w:color w:val="000000" w:themeColor="text1"/>
                <w:kern w:val="0"/>
                <w:sz w:val="24"/>
                <w:szCs w:val="24"/>
              </w:rPr>
              <w:t>)</w:t>
            </w:r>
          </w:p>
        </w:tc>
        <w:tc>
          <w:tcPr>
            <w:tcW w:w="1417" w:type="dxa"/>
            <w:tcBorders>
              <w:top w:val="single" w:sz="4" w:space="0" w:color="auto"/>
            </w:tcBorders>
            <w:shd w:val="clear" w:color="auto" w:fill="auto"/>
            <w:vAlign w:val="center"/>
            <w:hideMark/>
          </w:tcPr>
          <w:p w14:paraId="3E561362" w14:textId="31976C6C"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33%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24</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0.58</w:t>
            </w:r>
            <w:r w:rsidRPr="00246B02">
              <w:rPr>
                <w:rFonts w:ascii="Book Antiqua" w:eastAsia="等线" w:hAnsi="Book Antiqua" w:cs="宋体"/>
                <w:color w:val="000000" w:themeColor="text1"/>
                <w:kern w:val="0"/>
                <w:sz w:val="24"/>
                <w:szCs w:val="24"/>
              </w:rPr>
              <w:t>）</w:t>
            </w:r>
          </w:p>
        </w:tc>
      </w:tr>
      <w:tr w:rsidR="00517BC0" w:rsidRPr="00246B02" w14:paraId="53EECC2E" w14:textId="77777777" w:rsidTr="00AB3D52">
        <w:trPr>
          <w:trHeight w:val="825"/>
        </w:trPr>
        <w:tc>
          <w:tcPr>
            <w:tcW w:w="2694" w:type="dxa"/>
            <w:shd w:val="clear" w:color="auto" w:fill="auto"/>
            <w:noWrap/>
            <w:vAlign w:val="center"/>
            <w:hideMark/>
          </w:tcPr>
          <w:p w14:paraId="68C51542" w14:textId="50C658FB"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Alba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[5</w:t>
            </w:r>
            <w:r w:rsidRPr="00246B02">
              <w:rPr>
                <w:rFonts w:ascii="Book Antiqua" w:hAnsi="Book Antiqua" w:cs="Times New Roman"/>
                <w:noProof/>
                <w:color w:val="000000" w:themeColor="text1"/>
                <w:sz w:val="24"/>
                <w:szCs w:val="24"/>
                <w:vertAlign w:val="superscript"/>
              </w:rPr>
              <w:t>]</w:t>
            </w:r>
            <w:r w:rsidR="005239CB" w:rsidRPr="00246B02">
              <w:rPr>
                <w:rFonts w:ascii="Book Antiqua" w:hAnsi="Book Antiqua" w:cs="Times New Roman"/>
                <w:noProof/>
                <w:color w:val="000000" w:themeColor="text1"/>
                <w:sz w:val="24"/>
                <w:szCs w:val="24"/>
              </w:rPr>
              <w:t xml:space="preserve">, </w:t>
            </w:r>
            <w:r w:rsidRPr="00246B02">
              <w:rPr>
                <w:rFonts w:ascii="Book Antiqua" w:eastAsia="等线" w:hAnsi="Book Antiqua" w:cs="宋体"/>
                <w:color w:val="000000" w:themeColor="text1"/>
                <w:kern w:val="0"/>
                <w:sz w:val="24"/>
                <w:szCs w:val="24"/>
              </w:rPr>
              <w:t>2012</w:t>
            </w:r>
          </w:p>
        </w:tc>
        <w:tc>
          <w:tcPr>
            <w:tcW w:w="4961" w:type="dxa"/>
            <w:shd w:val="clear" w:color="auto" w:fill="auto"/>
            <w:vAlign w:val="center"/>
            <w:hideMark/>
          </w:tcPr>
          <w:p w14:paraId="6BCD7F7B" w14:textId="20C0DD6F"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 EXE 25</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(41-47</w:t>
            </w:r>
            <w:r w:rsidRPr="00246B02">
              <w:rPr>
                <w:rFonts w:ascii="Book Antiqua" w:eastAsia="等线" w:hAnsi="Book Antiqua" w:cs="宋体"/>
                <w:color w:val="000000" w:themeColor="text1"/>
                <w:kern w:val="0"/>
                <w:sz w:val="24"/>
                <w:szCs w:val="24"/>
              </w:rPr>
              <w:t>); (</w:t>
            </w:r>
            <w:r w:rsidR="00C57108" w:rsidRPr="00246B02">
              <w:rPr>
                <w:rFonts w:ascii="Book Antiqua" w:eastAsia="等线" w:hAnsi="Book Antiqua" w:cs="宋体"/>
                <w:color w:val="000000" w:themeColor="text1"/>
                <w:kern w:val="0"/>
                <w:sz w:val="24"/>
                <w:szCs w:val="24"/>
              </w:rPr>
              <w:t>B</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AC</w:t>
            </w:r>
            <w:r w:rsidR="00C57108" w:rsidRPr="00246B02">
              <w:rPr>
                <w:rFonts w:ascii="Book Antiqua" w:eastAsia="等线" w:hAnsi="Book Antiqua" w:cs="宋体"/>
                <w:color w:val="000000" w:themeColor="text1"/>
                <w:kern w:val="0"/>
                <w:sz w:val="24"/>
                <w:szCs w:val="24"/>
              </w:rPr>
              <w:t>:</w:t>
            </w:r>
            <w:r w:rsidR="00517BC0"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Epirubicin 90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plus cyclophosphamide 600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then docetaxel 100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 xml:space="preserve"> 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(EC-T) (41-48)</w:t>
            </w:r>
          </w:p>
        </w:tc>
        <w:tc>
          <w:tcPr>
            <w:tcW w:w="1181" w:type="dxa"/>
            <w:shd w:val="clear" w:color="auto" w:fill="auto"/>
            <w:noWrap/>
            <w:vAlign w:val="center"/>
            <w:hideMark/>
          </w:tcPr>
          <w:p w14:paraId="45A09136" w14:textId="5A76AC28"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24</w:t>
            </w:r>
            <w:r w:rsidR="00AB3D52" w:rsidRPr="00246B02">
              <w:rPr>
                <w:rFonts w:ascii="Book Antiqua" w:eastAsia="等线" w:hAnsi="Book Antiqua" w:cs="宋体"/>
                <w:color w:val="000000" w:themeColor="text1"/>
                <w:kern w:val="0"/>
                <w:sz w:val="24"/>
                <w:szCs w:val="24"/>
              </w:rPr>
              <w:t xml:space="preserve"> wk</w:t>
            </w:r>
          </w:p>
        </w:tc>
        <w:tc>
          <w:tcPr>
            <w:tcW w:w="1938" w:type="dxa"/>
            <w:shd w:val="clear" w:color="auto" w:fill="auto"/>
            <w:noWrap/>
            <w:vAlign w:val="center"/>
            <w:hideMark/>
          </w:tcPr>
          <w:p w14:paraId="3BEFA473"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MRI</w:t>
            </w:r>
          </w:p>
        </w:tc>
        <w:tc>
          <w:tcPr>
            <w:tcW w:w="1843" w:type="dxa"/>
            <w:shd w:val="clear" w:color="auto" w:fill="auto"/>
            <w:vAlign w:val="center"/>
            <w:hideMark/>
          </w:tcPr>
          <w:p w14:paraId="7384B5D4" w14:textId="5BF57DF2"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48%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66%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0.075)</w:t>
            </w:r>
          </w:p>
        </w:tc>
        <w:tc>
          <w:tcPr>
            <w:tcW w:w="1417" w:type="dxa"/>
            <w:shd w:val="clear" w:color="auto" w:fill="auto"/>
            <w:vAlign w:val="center"/>
            <w:hideMark/>
          </w:tcPr>
          <w:p w14:paraId="45406EFD" w14:textId="10D9EF5D"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56%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47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0.2369)</w:t>
            </w:r>
          </w:p>
        </w:tc>
      </w:tr>
      <w:tr w:rsidR="00517BC0" w:rsidRPr="00246B02" w14:paraId="60EF484F" w14:textId="77777777" w:rsidTr="00AB3D52">
        <w:trPr>
          <w:trHeight w:val="1215"/>
        </w:trPr>
        <w:tc>
          <w:tcPr>
            <w:tcW w:w="2694" w:type="dxa"/>
            <w:shd w:val="clear" w:color="auto" w:fill="auto"/>
            <w:vAlign w:val="center"/>
            <w:hideMark/>
          </w:tcPr>
          <w:p w14:paraId="4950E5BA" w14:textId="1DF87780"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Palmieri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[17</w:t>
            </w:r>
            <w:r w:rsidRPr="00246B02">
              <w:rPr>
                <w:rFonts w:ascii="Book Antiqua" w:hAnsi="Book Antiqua" w:cs="Times New Roman"/>
                <w:noProof/>
                <w:color w:val="000000" w:themeColor="text1"/>
                <w:sz w:val="24"/>
                <w:szCs w:val="24"/>
                <w:vertAlign w:val="superscript"/>
              </w:rPr>
              <w:t>]</w:t>
            </w:r>
            <w:r w:rsidR="005239CB" w:rsidRPr="00246B02">
              <w:rPr>
                <w:rFonts w:ascii="Book Antiqua" w:hAnsi="Book Antiqua" w:cs="Times New Roman"/>
                <w:noProof/>
                <w:color w:val="000000" w:themeColor="text1"/>
                <w:sz w:val="24"/>
                <w:szCs w:val="24"/>
              </w:rPr>
              <w:t>,</w:t>
            </w:r>
            <w:r w:rsidRPr="00246B02">
              <w:rPr>
                <w:rFonts w:ascii="Book Antiqua" w:eastAsia="等线" w:hAnsi="Book Antiqua" w:cs="宋体"/>
                <w:color w:val="000000" w:themeColor="text1"/>
                <w:kern w:val="0"/>
                <w:sz w:val="24"/>
                <w:szCs w:val="24"/>
              </w:rPr>
              <w:t>2014 (NEOCENT)</w:t>
            </w:r>
          </w:p>
        </w:tc>
        <w:tc>
          <w:tcPr>
            <w:tcW w:w="4961" w:type="dxa"/>
            <w:shd w:val="clear" w:color="auto" w:fill="auto"/>
            <w:vAlign w:val="center"/>
            <w:hideMark/>
          </w:tcPr>
          <w:p w14:paraId="3F89EE3B" w14:textId="00ABD4F8" w:rsidR="00C57108" w:rsidRPr="00246B02" w:rsidRDefault="005239CB" w:rsidP="00963471">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 LET 2.5</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(22)</w:t>
            </w:r>
            <w:r w:rsidRPr="00246B02">
              <w:rPr>
                <w:rFonts w:ascii="Book Antiqua" w:eastAsia="等线" w:hAnsi="Book Antiqua" w:cs="宋体"/>
                <w:color w:val="000000" w:themeColor="text1"/>
                <w:kern w:val="0"/>
                <w:sz w:val="24"/>
                <w:szCs w:val="24"/>
              </w:rPr>
              <w:t xml:space="preserve">; (B)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AC</w:t>
            </w:r>
            <w:r w:rsidR="00C57108" w:rsidRPr="00246B02">
              <w:rPr>
                <w:rFonts w:ascii="Book Antiqua" w:eastAsia="等线" w:hAnsi="Book Antiqua" w:cs="宋体"/>
                <w:color w:val="000000" w:themeColor="text1"/>
                <w:kern w:val="0"/>
                <w:sz w:val="24"/>
                <w:szCs w:val="24"/>
              </w:rPr>
              <w:t>: 5-fluorouracil 500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epirubicin 100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plus</w:t>
            </w:r>
            <w:r w:rsidR="00517BC0"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cyclophosphamide 500 mg/m</w:t>
            </w:r>
            <w:r w:rsidR="00C57108" w:rsidRPr="00246B02">
              <w:rPr>
                <w:rFonts w:ascii="Book Antiqua" w:eastAsia="等线" w:hAnsi="Book Antiqua" w:cs="宋体"/>
                <w:color w:val="000000" w:themeColor="text1"/>
                <w:kern w:val="0"/>
                <w:sz w:val="24"/>
                <w:szCs w:val="24"/>
                <w:vertAlign w:val="superscript"/>
              </w:rPr>
              <w:t>2</w:t>
            </w:r>
            <w:r w:rsidR="00C57108" w:rsidRPr="00246B02">
              <w:rPr>
                <w:rFonts w:ascii="Book Antiqua" w:eastAsia="等线" w:hAnsi="Book Antiqua" w:cs="宋体"/>
                <w:color w:val="000000" w:themeColor="text1"/>
                <w:kern w:val="0"/>
                <w:sz w:val="24"/>
                <w:szCs w:val="24"/>
              </w:rPr>
              <w:t xml:space="preserve"> (FE100C) (22)</w:t>
            </w:r>
          </w:p>
        </w:tc>
        <w:tc>
          <w:tcPr>
            <w:tcW w:w="1181" w:type="dxa"/>
            <w:shd w:val="clear" w:color="auto" w:fill="auto"/>
            <w:noWrap/>
            <w:vAlign w:val="center"/>
            <w:hideMark/>
          </w:tcPr>
          <w:p w14:paraId="29852939" w14:textId="6DC7D8A4"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18-23 </w:t>
            </w:r>
            <w:r w:rsidR="00AB3D52" w:rsidRPr="00246B02">
              <w:rPr>
                <w:rFonts w:ascii="Book Antiqua" w:eastAsia="等线" w:hAnsi="Book Antiqua" w:cs="宋体"/>
                <w:color w:val="000000" w:themeColor="text1"/>
                <w:kern w:val="0"/>
                <w:sz w:val="24"/>
                <w:szCs w:val="24"/>
              </w:rPr>
              <w:t>wk</w:t>
            </w:r>
          </w:p>
        </w:tc>
        <w:tc>
          <w:tcPr>
            <w:tcW w:w="1938" w:type="dxa"/>
            <w:shd w:val="clear" w:color="auto" w:fill="auto"/>
            <w:vAlign w:val="center"/>
            <w:hideMark/>
          </w:tcPr>
          <w:p w14:paraId="748B36BC" w14:textId="5B15ECF5" w:rsidR="00C57108" w:rsidRPr="00246B02" w:rsidRDefault="00C57108">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ultrasound</w:t>
            </w:r>
            <w:r w:rsidR="00963471">
              <w:rPr>
                <w:rFonts w:ascii="Book Antiqua" w:eastAsia="等线" w:hAnsi="Book Antiqua" w:cs="宋体"/>
                <w:color w:val="000000" w:themeColor="text1"/>
                <w:kern w:val="0"/>
                <w:sz w:val="24"/>
                <w:szCs w:val="24"/>
              </w:rPr>
              <w:t xml:space="preserve"> and </w:t>
            </w:r>
            <w:r w:rsidRPr="00246B02">
              <w:rPr>
                <w:rFonts w:ascii="Book Antiqua" w:eastAsia="等线" w:hAnsi="Book Antiqua" w:cs="宋体"/>
                <w:color w:val="000000" w:themeColor="text1"/>
                <w:kern w:val="0"/>
                <w:sz w:val="24"/>
                <w:szCs w:val="24"/>
              </w:rPr>
              <w:t>mammography</w:t>
            </w:r>
          </w:p>
        </w:tc>
        <w:tc>
          <w:tcPr>
            <w:tcW w:w="1843" w:type="dxa"/>
            <w:shd w:val="clear" w:color="auto" w:fill="auto"/>
            <w:vAlign w:val="center"/>
            <w:hideMark/>
          </w:tcPr>
          <w:p w14:paraId="1BBFD1FF" w14:textId="5A178E20"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59.1% </w:t>
            </w:r>
            <w:r w:rsidRPr="00246B02">
              <w:rPr>
                <w:rFonts w:ascii="Book Antiqua" w:eastAsia="等线" w:hAnsi="Book Antiqua" w:cs="宋体"/>
                <w:i/>
                <w:color w:val="000000" w:themeColor="text1"/>
                <w:kern w:val="0"/>
                <w:sz w:val="24"/>
                <w:szCs w:val="24"/>
              </w:rPr>
              <w:t>vs</w:t>
            </w:r>
            <w:r w:rsidRPr="00246B02">
              <w:rPr>
                <w:rFonts w:ascii="Book Antiqua" w:eastAsia="等线" w:hAnsi="Book Antiqua" w:cs="宋体"/>
                <w:color w:val="000000" w:themeColor="text1"/>
                <w:kern w:val="0"/>
                <w:sz w:val="24"/>
                <w:szCs w:val="24"/>
              </w:rPr>
              <w:t xml:space="preserve"> 54.5%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0.32)</w:t>
            </w:r>
          </w:p>
        </w:tc>
        <w:tc>
          <w:tcPr>
            <w:tcW w:w="1417" w:type="dxa"/>
            <w:shd w:val="clear" w:color="auto" w:fill="auto"/>
            <w:noWrap/>
            <w:vAlign w:val="center"/>
            <w:hideMark/>
          </w:tcPr>
          <w:p w14:paraId="28E7D551"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p>
        </w:tc>
      </w:tr>
      <w:tr w:rsidR="00517BC0" w:rsidRPr="00246B02" w14:paraId="48B8FA84" w14:textId="77777777" w:rsidTr="00AB3D52">
        <w:trPr>
          <w:trHeight w:val="1065"/>
        </w:trPr>
        <w:tc>
          <w:tcPr>
            <w:tcW w:w="2694" w:type="dxa"/>
            <w:shd w:val="clear" w:color="auto" w:fill="auto"/>
            <w:vAlign w:val="center"/>
            <w:hideMark/>
          </w:tcPr>
          <w:p w14:paraId="56B5EE44" w14:textId="1AD18689"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Nakayama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[18</w:t>
            </w:r>
            <w:r w:rsidRPr="00246B02">
              <w:rPr>
                <w:rFonts w:ascii="Book Antiqua" w:hAnsi="Book Antiqua" w:cs="Times New Roman"/>
                <w:noProof/>
                <w:color w:val="000000" w:themeColor="text1"/>
                <w:sz w:val="24"/>
                <w:szCs w:val="24"/>
                <w:vertAlign w:val="superscript"/>
              </w:rPr>
              <w:t>]</w:t>
            </w:r>
            <w:r w:rsidR="005239CB" w:rsidRPr="00246B02">
              <w:rPr>
                <w:rFonts w:ascii="Book Antiqua" w:hAnsi="Book Antiqua" w:cs="Times New Roman"/>
                <w:noProof/>
                <w:color w:val="000000" w:themeColor="text1"/>
                <w:sz w:val="24"/>
                <w:szCs w:val="24"/>
              </w:rPr>
              <w:t>,</w:t>
            </w:r>
            <w:r w:rsidR="005239CB" w:rsidRPr="00246B02">
              <w:rPr>
                <w:rFonts w:ascii="Book Antiqua" w:hAnsi="Book Antiqua" w:cs="Times New Roman"/>
                <w:noProof/>
                <w:color w:val="000000" w:themeColor="text1"/>
                <w:sz w:val="24"/>
                <w:szCs w:val="24"/>
                <w:vertAlign w:val="superscript"/>
              </w:rPr>
              <w:t xml:space="preserve"> </w:t>
            </w:r>
            <w:r w:rsidRPr="00246B02">
              <w:rPr>
                <w:rFonts w:ascii="Book Antiqua" w:eastAsia="等线" w:hAnsi="Book Antiqua" w:cs="宋体"/>
                <w:color w:val="000000" w:themeColor="text1"/>
                <w:kern w:val="0"/>
                <w:sz w:val="24"/>
                <w:szCs w:val="24"/>
              </w:rPr>
              <w:t>2018 (Neo-ACET BC)</w:t>
            </w:r>
          </w:p>
        </w:tc>
        <w:tc>
          <w:tcPr>
            <w:tcW w:w="4961" w:type="dxa"/>
            <w:shd w:val="clear" w:color="auto" w:fill="auto"/>
            <w:vAlign w:val="center"/>
            <w:hideMark/>
          </w:tcPr>
          <w:p w14:paraId="1C82924D" w14:textId="3129C9A4"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 ANA 1mg/d (29)</w:t>
            </w:r>
            <w:r w:rsidRPr="00246B02">
              <w:rPr>
                <w:rFonts w:ascii="Book Antiqua" w:eastAsia="等线" w:hAnsi="Book Antiqua" w:cs="宋体"/>
                <w:color w:val="000000" w:themeColor="text1"/>
                <w:kern w:val="0"/>
                <w:sz w:val="24"/>
                <w:szCs w:val="24"/>
              </w:rPr>
              <w:t xml:space="preserve">; (B) </w:t>
            </w:r>
            <w:r w:rsidR="006E48C9" w:rsidRPr="00246B02">
              <w:rPr>
                <w:rFonts w:ascii="Book Antiqua" w:eastAsia="等线" w:hAnsi="Book Antiqua" w:cs="宋体"/>
                <w:color w:val="000000" w:themeColor="text1"/>
                <w:kern w:val="0"/>
                <w:sz w:val="24"/>
                <w:szCs w:val="24"/>
              </w:rPr>
              <w:t>NCET: ANA</w:t>
            </w:r>
            <w:r w:rsidR="00C57108" w:rsidRPr="00246B02">
              <w:rPr>
                <w:rFonts w:ascii="Book Antiqua" w:eastAsia="等线" w:hAnsi="Book Antiqua" w:cs="宋体"/>
                <w:color w:val="000000" w:themeColor="text1"/>
                <w:kern w:val="0"/>
                <w:sz w:val="24"/>
                <w:szCs w:val="24"/>
              </w:rPr>
              <w:t xml:space="preserve"> 1mg/d plus tegafur/uracil (UFT) 270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(28)</w:t>
            </w:r>
          </w:p>
        </w:tc>
        <w:tc>
          <w:tcPr>
            <w:tcW w:w="1181" w:type="dxa"/>
            <w:shd w:val="clear" w:color="auto" w:fill="auto"/>
            <w:noWrap/>
            <w:vAlign w:val="center"/>
            <w:hideMark/>
          </w:tcPr>
          <w:p w14:paraId="58336784" w14:textId="7003C96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24 </w:t>
            </w:r>
            <w:r w:rsidR="00AB3D52" w:rsidRPr="00246B02">
              <w:rPr>
                <w:rFonts w:ascii="Book Antiqua" w:eastAsia="等线" w:hAnsi="Book Antiqua" w:cs="宋体"/>
                <w:color w:val="000000" w:themeColor="text1"/>
                <w:kern w:val="0"/>
                <w:sz w:val="24"/>
                <w:szCs w:val="24"/>
              </w:rPr>
              <w:t>wk</w:t>
            </w:r>
          </w:p>
        </w:tc>
        <w:tc>
          <w:tcPr>
            <w:tcW w:w="1938" w:type="dxa"/>
            <w:shd w:val="clear" w:color="auto" w:fill="auto"/>
            <w:noWrap/>
            <w:vAlign w:val="center"/>
            <w:hideMark/>
          </w:tcPr>
          <w:p w14:paraId="47172119" w14:textId="73305C0D" w:rsidR="00C57108" w:rsidRPr="00246B02" w:rsidRDefault="00C57108">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MRI</w:t>
            </w:r>
            <w:r w:rsidR="00963471">
              <w:rPr>
                <w:rFonts w:ascii="Book Antiqua" w:eastAsia="等线" w:hAnsi="Book Antiqua" w:cs="宋体"/>
                <w:color w:val="000000" w:themeColor="text1"/>
                <w:kern w:val="0"/>
                <w:sz w:val="24"/>
                <w:szCs w:val="24"/>
              </w:rPr>
              <w:t xml:space="preserve"> and </w:t>
            </w:r>
            <w:r w:rsidRPr="00246B02">
              <w:rPr>
                <w:rFonts w:ascii="Book Antiqua" w:eastAsia="等线" w:hAnsi="Book Antiqua" w:cs="宋体"/>
                <w:color w:val="000000" w:themeColor="text1"/>
                <w:kern w:val="0"/>
                <w:sz w:val="24"/>
                <w:szCs w:val="24"/>
              </w:rPr>
              <w:t>CT</w:t>
            </w:r>
          </w:p>
        </w:tc>
        <w:tc>
          <w:tcPr>
            <w:tcW w:w="1843" w:type="dxa"/>
            <w:shd w:val="clear" w:color="auto" w:fill="auto"/>
            <w:vAlign w:val="center"/>
            <w:hideMark/>
          </w:tcPr>
          <w:p w14:paraId="5D5D965F" w14:textId="7E3CDEE8"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39.3%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14.3%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0.0683)</w:t>
            </w:r>
          </w:p>
        </w:tc>
        <w:tc>
          <w:tcPr>
            <w:tcW w:w="1417" w:type="dxa"/>
            <w:shd w:val="clear" w:color="auto" w:fill="auto"/>
            <w:noWrap/>
            <w:vAlign w:val="center"/>
            <w:hideMark/>
          </w:tcPr>
          <w:p w14:paraId="6A5E8FA1"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p>
        </w:tc>
      </w:tr>
      <w:tr w:rsidR="00517BC0" w:rsidRPr="00246B02" w14:paraId="6FAFFCF1" w14:textId="77777777" w:rsidTr="00AB3D52">
        <w:trPr>
          <w:trHeight w:val="810"/>
        </w:trPr>
        <w:tc>
          <w:tcPr>
            <w:tcW w:w="2694" w:type="dxa"/>
            <w:shd w:val="clear" w:color="auto" w:fill="auto"/>
            <w:noWrap/>
            <w:vAlign w:val="center"/>
            <w:hideMark/>
          </w:tcPr>
          <w:p w14:paraId="7C52B495" w14:textId="7323079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Sato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[19</w:t>
            </w:r>
            <w:r w:rsidRPr="00246B02">
              <w:rPr>
                <w:rFonts w:ascii="Book Antiqua" w:hAnsi="Book Antiqua" w:cs="Times New Roman"/>
                <w:noProof/>
                <w:color w:val="000000" w:themeColor="text1"/>
                <w:sz w:val="24"/>
                <w:szCs w:val="24"/>
                <w:vertAlign w:val="superscript"/>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2018</w:t>
            </w:r>
          </w:p>
        </w:tc>
        <w:tc>
          <w:tcPr>
            <w:tcW w:w="4961" w:type="dxa"/>
            <w:shd w:val="clear" w:color="auto" w:fill="auto"/>
            <w:vAlign w:val="center"/>
            <w:hideMark/>
          </w:tcPr>
          <w:p w14:paraId="0BE6A202" w14:textId="09078E13"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 EXE 25mg/d (14)</w:t>
            </w:r>
            <w:r w:rsidRPr="00246B02">
              <w:rPr>
                <w:rFonts w:ascii="Book Antiqua" w:eastAsia="等线" w:hAnsi="Book Antiqua" w:cs="宋体"/>
                <w:color w:val="000000" w:themeColor="text1"/>
                <w:kern w:val="0"/>
                <w:sz w:val="24"/>
                <w:szCs w:val="24"/>
              </w:rPr>
              <w:t xml:space="preserve">; (B) </w:t>
            </w:r>
            <w:r w:rsidR="00C57108" w:rsidRPr="00246B02">
              <w:rPr>
                <w:rFonts w:ascii="Book Antiqua" w:eastAsia="等线" w:hAnsi="Book Antiqua" w:cs="宋体"/>
                <w:color w:val="000000" w:themeColor="text1"/>
                <w:kern w:val="0"/>
                <w:sz w:val="24"/>
                <w:szCs w:val="24"/>
              </w:rPr>
              <w:t>NCET:</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EXE 25</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plus cyclophosphamide 50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(42)</w:t>
            </w:r>
          </w:p>
        </w:tc>
        <w:tc>
          <w:tcPr>
            <w:tcW w:w="1181" w:type="dxa"/>
            <w:shd w:val="clear" w:color="auto" w:fill="auto"/>
            <w:noWrap/>
            <w:vAlign w:val="center"/>
            <w:hideMark/>
          </w:tcPr>
          <w:p w14:paraId="29E1CD2B" w14:textId="5D8B2065"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24 </w:t>
            </w:r>
            <w:r w:rsidR="00AB3D52" w:rsidRPr="00246B02">
              <w:rPr>
                <w:rFonts w:ascii="Book Antiqua" w:eastAsia="等线" w:hAnsi="Book Antiqua" w:cs="宋体"/>
                <w:color w:val="000000" w:themeColor="text1"/>
                <w:kern w:val="0"/>
                <w:sz w:val="24"/>
                <w:szCs w:val="24"/>
              </w:rPr>
              <w:t>wk</w:t>
            </w:r>
          </w:p>
        </w:tc>
        <w:tc>
          <w:tcPr>
            <w:tcW w:w="1938" w:type="dxa"/>
            <w:shd w:val="clear" w:color="auto" w:fill="auto"/>
            <w:vAlign w:val="center"/>
            <w:hideMark/>
          </w:tcPr>
          <w:p w14:paraId="5688A510"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clinical palpation</w:t>
            </w:r>
          </w:p>
        </w:tc>
        <w:tc>
          <w:tcPr>
            <w:tcW w:w="1843" w:type="dxa"/>
            <w:shd w:val="clear" w:color="auto" w:fill="auto"/>
            <w:vAlign w:val="center"/>
            <w:hideMark/>
          </w:tcPr>
          <w:p w14:paraId="53314ABA" w14:textId="0C10476A"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85%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54%</w:t>
            </w:r>
            <w:r w:rsidR="00AB3D52"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(at weeks 24)</w:t>
            </w:r>
            <w:r w:rsidR="00AB3D52"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 xml:space="preserve">71%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00AB3D52" w:rsidRPr="00246B02">
              <w:rPr>
                <w:rFonts w:ascii="Book Antiqua" w:eastAsia="等线" w:hAnsi="Book Antiqua" w:cs="宋体"/>
                <w:color w:val="000000" w:themeColor="text1"/>
                <w:kern w:val="0"/>
                <w:sz w:val="24"/>
                <w:szCs w:val="24"/>
              </w:rPr>
              <w:t xml:space="preserve">71% </w:t>
            </w:r>
            <w:r w:rsidRPr="00246B02">
              <w:rPr>
                <w:rFonts w:ascii="Book Antiqua" w:eastAsia="等线" w:hAnsi="Book Antiqua" w:cs="宋体"/>
                <w:color w:val="000000" w:themeColor="text1"/>
                <w:kern w:val="0"/>
                <w:sz w:val="24"/>
                <w:szCs w:val="24"/>
              </w:rPr>
              <w:t>(at weeks 36)</w:t>
            </w:r>
          </w:p>
        </w:tc>
        <w:tc>
          <w:tcPr>
            <w:tcW w:w="1417" w:type="dxa"/>
            <w:shd w:val="clear" w:color="auto" w:fill="auto"/>
            <w:vAlign w:val="center"/>
            <w:hideMark/>
          </w:tcPr>
          <w:p w14:paraId="250C9B56" w14:textId="77617DE6" w:rsidR="00C57108" w:rsidRPr="00246B02" w:rsidRDefault="00963471" w:rsidP="00AE09BD">
            <w:pPr>
              <w:spacing w:line="360" w:lineRule="auto"/>
              <w:jc w:val="both"/>
              <w:rPr>
                <w:rFonts w:ascii="Book Antiqua" w:eastAsia="等线" w:hAnsi="Book Antiqua" w:cs="宋体"/>
                <w:color w:val="000000" w:themeColor="text1"/>
                <w:kern w:val="0"/>
                <w:sz w:val="24"/>
                <w:szCs w:val="24"/>
              </w:rPr>
            </w:pPr>
            <w:r>
              <w:rPr>
                <w:rFonts w:ascii="Book Antiqua" w:eastAsia="等线" w:hAnsi="Book Antiqua" w:cs="宋体"/>
                <w:color w:val="000000" w:themeColor="text1"/>
                <w:kern w:val="0"/>
                <w:sz w:val="24"/>
                <w:szCs w:val="24"/>
              </w:rPr>
              <w:t>N</w:t>
            </w:r>
            <w:r w:rsidR="00C57108" w:rsidRPr="00246B02">
              <w:rPr>
                <w:rFonts w:ascii="Book Antiqua" w:eastAsia="等线" w:hAnsi="Book Antiqua" w:cs="宋体"/>
                <w:color w:val="000000" w:themeColor="text1"/>
                <w:kern w:val="0"/>
                <w:sz w:val="24"/>
                <w:szCs w:val="24"/>
              </w:rPr>
              <w:t>o increased rate</w:t>
            </w:r>
            <w:r>
              <w:rPr>
                <w:rFonts w:ascii="Book Antiqua" w:eastAsia="等线" w:hAnsi="Book Antiqua" w:cs="宋体"/>
                <w:color w:val="000000" w:themeColor="text1"/>
                <w:kern w:val="0"/>
                <w:sz w:val="24"/>
                <w:szCs w:val="24"/>
              </w:rPr>
              <w:t xml:space="preserve"> shown</w:t>
            </w:r>
          </w:p>
        </w:tc>
      </w:tr>
      <w:tr w:rsidR="00517BC0" w:rsidRPr="00246B02" w14:paraId="3AF6A258" w14:textId="77777777" w:rsidTr="00AB3D52">
        <w:trPr>
          <w:trHeight w:val="990"/>
        </w:trPr>
        <w:tc>
          <w:tcPr>
            <w:tcW w:w="2694" w:type="dxa"/>
            <w:shd w:val="clear" w:color="auto" w:fill="auto"/>
            <w:noWrap/>
            <w:vAlign w:val="center"/>
            <w:hideMark/>
          </w:tcPr>
          <w:p w14:paraId="6914FC72" w14:textId="507A9556" w:rsidR="00C57108" w:rsidRPr="00246B02" w:rsidRDefault="00AB3D52"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Mohammadianpanah </w:t>
            </w:r>
            <w:r w:rsidR="00A00700" w:rsidRPr="00246B02">
              <w:rPr>
                <w:rFonts w:ascii="Book Antiqua" w:eastAsia="等线" w:hAnsi="Book Antiqua" w:cs="宋体"/>
                <w:i/>
                <w:color w:val="000000" w:themeColor="text1"/>
                <w:kern w:val="0"/>
                <w:sz w:val="24"/>
                <w:szCs w:val="24"/>
              </w:rPr>
              <w:t>et al</w:t>
            </w:r>
            <w:r w:rsidR="00C57108" w:rsidRPr="00246B02">
              <w:rPr>
                <w:rFonts w:ascii="Book Antiqua" w:eastAsia="System" w:hAnsi="Book Antiqua" w:cs="Times New Roman"/>
                <w:noProof/>
                <w:color w:val="000000" w:themeColor="text1"/>
                <w:sz w:val="24"/>
                <w:szCs w:val="24"/>
                <w:vertAlign w:val="superscript"/>
              </w:rPr>
              <w:t xml:space="preserve"> [20</w:t>
            </w:r>
            <w:r w:rsidR="00C57108" w:rsidRPr="00246B02">
              <w:rPr>
                <w:rFonts w:ascii="Book Antiqua" w:hAnsi="Book Antiqua" w:cs="Times New Roman"/>
                <w:noProof/>
                <w:color w:val="000000" w:themeColor="text1"/>
                <w:sz w:val="24"/>
                <w:szCs w:val="24"/>
                <w:vertAlign w:val="superscript"/>
              </w:rPr>
              <w:t>]</w:t>
            </w:r>
            <w:r w:rsidR="005239CB"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2012</w:t>
            </w:r>
          </w:p>
        </w:tc>
        <w:tc>
          <w:tcPr>
            <w:tcW w:w="4961" w:type="dxa"/>
            <w:shd w:val="clear" w:color="auto" w:fill="auto"/>
            <w:vAlign w:val="center"/>
            <w:hideMark/>
          </w:tcPr>
          <w:p w14:paraId="6525970D" w14:textId="01E21C2A"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NCT: 5-fluorouracil 600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doxorubicin 60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and cyclophosphamide 600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6E48C9" w:rsidRPr="00246B02" w:rsidDel="006E48C9">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(FAC) (51)</w:t>
            </w:r>
            <w:r w:rsidRPr="00246B02">
              <w:rPr>
                <w:rFonts w:ascii="Book Antiqua" w:eastAsia="等线" w:hAnsi="Book Antiqua" w:cs="宋体"/>
                <w:color w:val="000000" w:themeColor="text1"/>
                <w:kern w:val="0"/>
                <w:sz w:val="24"/>
                <w:szCs w:val="24"/>
              </w:rPr>
              <w:t>; (B)</w:t>
            </w:r>
            <w:r w:rsidR="00C57108" w:rsidRPr="00246B02">
              <w:rPr>
                <w:rFonts w:ascii="Book Antiqua" w:eastAsia="等线" w:hAnsi="Book Antiqua" w:cs="宋体"/>
                <w:color w:val="000000" w:themeColor="text1"/>
                <w:kern w:val="0"/>
                <w:sz w:val="24"/>
                <w:szCs w:val="24"/>
              </w:rPr>
              <w:t xml:space="preserve"> NCET:</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letrozole 2.5</w:t>
            </w:r>
            <w:r w:rsidR="00AB3D52"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plus FAC (50)</w:t>
            </w:r>
          </w:p>
        </w:tc>
        <w:tc>
          <w:tcPr>
            <w:tcW w:w="1181" w:type="dxa"/>
            <w:shd w:val="clear" w:color="auto" w:fill="auto"/>
            <w:noWrap/>
            <w:vAlign w:val="center"/>
            <w:hideMark/>
          </w:tcPr>
          <w:p w14:paraId="6E20AE4D" w14:textId="28419488"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9–13 </w:t>
            </w:r>
            <w:r w:rsidR="00AB3D52" w:rsidRPr="00246B02">
              <w:rPr>
                <w:rFonts w:ascii="Book Antiqua" w:eastAsia="等线" w:hAnsi="Book Antiqua" w:cs="宋体"/>
                <w:color w:val="000000" w:themeColor="text1"/>
                <w:kern w:val="0"/>
                <w:sz w:val="24"/>
                <w:szCs w:val="24"/>
              </w:rPr>
              <w:t>wk</w:t>
            </w:r>
          </w:p>
        </w:tc>
        <w:tc>
          <w:tcPr>
            <w:tcW w:w="1938" w:type="dxa"/>
            <w:shd w:val="clear" w:color="auto" w:fill="auto"/>
            <w:vAlign w:val="center"/>
            <w:hideMark/>
          </w:tcPr>
          <w:p w14:paraId="76CBC558" w14:textId="77777777" w:rsidR="00C57108" w:rsidRPr="00246B02" w:rsidRDefault="00C57108" w:rsidP="00246B02">
            <w:pPr>
              <w:spacing w:line="360" w:lineRule="auto"/>
              <w:ind w:firstLineChars="153" w:firstLine="367"/>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clinical palpation</w:t>
            </w:r>
          </w:p>
        </w:tc>
        <w:tc>
          <w:tcPr>
            <w:tcW w:w="1843" w:type="dxa"/>
            <w:shd w:val="clear" w:color="auto" w:fill="auto"/>
            <w:vAlign w:val="center"/>
            <w:hideMark/>
          </w:tcPr>
          <w:p w14:paraId="025EA71A" w14:textId="0DB25945"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10.2%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25.5%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0.049)</w:t>
            </w:r>
          </w:p>
        </w:tc>
        <w:tc>
          <w:tcPr>
            <w:tcW w:w="1417" w:type="dxa"/>
            <w:shd w:val="clear" w:color="auto" w:fill="auto"/>
            <w:noWrap/>
            <w:vAlign w:val="center"/>
            <w:hideMark/>
          </w:tcPr>
          <w:p w14:paraId="043D33BE"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p>
        </w:tc>
      </w:tr>
      <w:tr w:rsidR="00517BC0" w:rsidRPr="00246B02" w14:paraId="635199CF" w14:textId="77777777" w:rsidTr="00AB3D52">
        <w:trPr>
          <w:trHeight w:val="885"/>
        </w:trPr>
        <w:tc>
          <w:tcPr>
            <w:tcW w:w="2694" w:type="dxa"/>
            <w:shd w:val="clear" w:color="auto" w:fill="auto"/>
            <w:vAlign w:val="center"/>
            <w:hideMark/>
          </w:tcPr>
          <w:p w14:paraId="0F025FB3" w14:textId="09BFE953"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Yu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[21</w:t>
            </w:r>
            <w:r w:rsidRPr="00246B02">
              <w:rPr>
                <w:rFonts w:ascii="Book Antiqua" w:hAnsi="Book Antiqua" w:cs="Times New Roman"/>
                <w:noProof/>
                <w:color w:val="000000" w:themeColor="text1"/>
                <w:sz w:val="24"/>
                <w:szCs w:val="24"/>
                <w:vertAlign w:val="superscript"/>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2019 (CSCSG-036)</w:t>
            </w:r>
          </w:p>
        </w:tc>
        <w:tc>
          <w:tcPr>
            <w:tcW w:w="4961" w:type="dxa"/>
            <w:shd w:val="clear" w:color="auto" w:fill="auto"/>
            <w:vAlign w:val="center"/>
            <w:hideMark/>
          </w:tcPr>
          <w:p w14:paraId="691E19E9" w14:textId="39DAD24B"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(A)</w:t>
            </w:r>
            <w:r w:rsidR="00673A84"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NCT: EC-T or FEC-T (124)</w:t>
            </w:r>
            <w:r w:rsidRPr="00246B02">
              <w:rPr>
                <w:rFonts w:ascii="Book Antiqua" w:eastAsia="等线" w:hAnsi="Book Antiqua" w:cs="宋体"/>
                <w:color w:val="000000" w:themeColor="text1"/>
                <w:kern w:val="0"/>
                <w:sz w:val="24"/>
                <w:szCs w:val="24"/>
              </w:rPr>
              <w:t xml:space="preserve">; (B) </w:t>
            </w:r>
            <w:r w:rsidR="00C57108" w:rsidRPr="00246B02">
              <w:rPr>
                <w:rFonts w:ascii="Book Antiqua" w:eastAsia="等线" w:hAnsi="Book Antiqua" w:cs="宋体"/>
                <w:color w:val="000000" w:themeColor="text1"/>
                <w:kern w:val="0"/>
                <w:sz w:val="24"/>
                <w:szCs w:val="24"/>
              </w:rPr>
              <w:t>NCET: letrozole 2.5</w:t>
            </w:r>
            <w:r w:rsidR="00AB3D52"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plus EC-T or FEC-T (Tleuprorelin) (125)</w:t>
            </w:r>
          </w:p>
        </w:tc>
        <w:tc>
          <w:tcPr>
            <w:tcW w:w="1181" w:type="dxa"/>
            <w:shd w:val="clear" w:color="auto" w:fill="auto"/>
            <w:noWrap/>
            <w:vAlign w:val="center"/>
            <w:hideMark/>
          </w:tcPr>
          <w:p w14:paraId="42D4EF37" w14:textId="3D847950"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8-9</w:t>
            </w:r>
            <w:r w:rsidR="00AB3D52" w:rsidRPr="00246B02">
              <w:rPr>
                <w:rFonts w:ascii="Book Antiqua" w:eastAsia="等线" w:hAnsi="Book Antiqua" w:cs="宋体"/>
                <w:color w:val="000000" w:themeColor="text1"/>
                <w:kern w:val="0"/>
                <w:sz w:val="24"/>
                <w:szCs w:val="24"/>
              </w:rPr>
              <w:t xml:space="preserve"> wk</w:t>
            </w:r>
          </w:p>
        </w:tc>
        <w:tc>
          <w:tcPr>
            <w:tcW w:w="1938" w:type="dxa"/>
            <w:shd w:val="clear" w:color="auto" w:fill="auto"/>
            <w:vAlign w:val="center"/>
            <w:hideMark/>
          </w:tcPr>
          <w:p w14:paraId="7DE9D636"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MRI</w:t>
            </w:r>
          </w:p>
        </w:tc>
        <w:tc>
          <w:tcPr>
            <w:tcW w:w="1843" w:type="dxa"/>
            <w:shd w:val="clear" w:color="auto" w:fill="auto"/>
            <w:vAlign w:val="center"/>
            <w:hideMark/>
          </w:tcPr>
          <w:p w14:paraId="0ECBCF87" w14:textId="1BC9CAFD"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72.6%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84.8%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0.02)</w:t>
            </w:r>
          </w:p>
        </w:tc>
        <w:tc>
          <w:tcPr>
            <w:tcW w:w="1417" w:type="dxa"/>
            <w:shd w:val="clear" w:color="auto" w:fill="auto"/>
            <w:noWrap/>
            <w:vAlign w:val="center"/>
            <w:hideMark/>
          </w:tcPr>
          <w:p w14:paraId="3BE535E6"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p>
        </w:tc>
      </w:tr>
    </w:tbl>
    <w:p w14:paraId="2F5E4C70" w14:textId="3B574E25" w:rsidR="00D53D95" w:rsidRPr="00246B02" w:rsidRDefault="00C105EA" w:rsidP="00246B02">
      <w:pPr>
        <w:spacing w:line="360" w:lineRule="auto"/>
        <w:jc w:val="both"/>
        <w:rPr>
          <w:rFonts w:ascii="Book Antiqua" w:hAnsi="Book Antiqua" w:cs="Times New Roman"/>
          <w:color w:val="000000" w:themeColor="text1"/>
          <w:sz w:val="24"/>
          <w:szCs w:val="24"/>
        </w:rPr>
      </w:pPr>
      <w:r w:rsidRPr="00246B02">
        <w:rPr>
          <w:rFonts w:ascii="Book Antiqua" w:eastAsiaTheme="minorHAnsi" w:hAnsi="Book Antiqua" w:cs="Times New Roman"/>
          <w:color w:val="000000" w:themeColor="text1"/>
          <w:sz w:val="24"/>
          <w:szCs w:val="24"/>
        </w:rPr>
        <w:lastRenderedPageBreak/>
        <w:t xml:space="preserve">NAE: </w:t>
      </w:r>
      <w:r w:rsidR="005239CB" w:rsidRPr="00246B02">
        <w:rPr>
          <w:rFonts w:ascii="Book Antiqua" w:eastAsiaTheme="minorHAnsi" w:hAnsi="Book Antiqua" w:cs="Times New Roman"/>
          <w:color w:val="000000" w:themeColor="text1"/>
          <w:sz w:val="24"/>
          <w:szCs w:val="24"/>
        </w:rPr>
        <w:t xml:space="preserve">Neoadjuvant </w:t>
      </w:r>
      <w:r w:rsidRPr="00246B02">
        <w:rPr>
          <w:rFonts w:ascii="Book Antiqua" w:eastAsiaTheme="minorHAnsi" w:hAnsi="Book Antiqua" w:cs="Times New Roman"/>
          <w:color w:val="000000" w:themeColor="text1"/>
          <w:sz w:val="24"/>
          <w:szCs w:val="24"/>
        </w:rPr>
        <w:t xml:space="preserve">endocrine therapy; NAC: </w:t>
      </w:r>
      <w:r w:rsidR="00AB3D52" w:rsidRPr="00246B02">
        <w:rPr>
          <w:rFonts w:ascii="Book Antiqua" w:eastAsiaTheme="minorHAnsi" w:hAnsi="Book Antiqua" w:cs="Times New Roman"/>
          <w:color w:val="000000" w:themeColor="text1"/>
          <w:sz w:val="24"/>
          <w:szCs w:val="24"/>
        </w:rPr>
        <w:t xml:space="preserve">Neoadjuvant </w:t>
      </w:r>
      <w:r w:rsidRPr="00246B02">
        <w:rPr>
          <w:rFonts w:ascii="Book Antiqua" w:eastAsiaTheme="minorHAnsi" w:hAnsi="Book Antiqua" w:cs="Times New Roman"/>
          <w:color w:val="000000" w:themeColor="text1"/>
          <w:sz w:val="24"/>
          <w:szCs w:val="24"/>
        </w:rPr>
        <w:t xml:space="preserve">chemotherapy; </w:t>
      </w:r>
      <w:r w:rsidR="00673A84" w:rsidRPr="00246B02">
        <w:rPr>
          <w:rFonts w:ascii="Book Antiqua" w:eastAsiaTheme="minorHAnsi" w:hAnsi="Book Antiqua" w:cs="Times New Roman"/>
          <w:color w:val="000000" w:themeColor="text1"/>
          <w:sz w:val="24"/>
          <w:szCs w:val="24"/>
        </w:rPr>
        <w:t xml:space="preserve">NCET: </w:t>
      </w:r>
      <w:r w:rsidR="00AB3D52" w:rsidRPr="00246B02">
        <w:rPr>
          <w:rFonts w:ascii="Book Antiqua" w:eastAsiaTheme="minorHAnsi" w:hAnsi="Book Antiqua" w:cs="Times New Roman"/>
          <w:color w:val="000000" w:themeColor="text1"/>
          <w:sz w:val="24"/>
          <w:szCs w:val="24"/>
        </w:rPr>
        <w:t xml:space="preserve">Neoadjuvant </w:t>
      </w:r>
      <w:r w:rsidR="00673A84" w:rsidRPr="00246B02">
        <w:rPr>
          <w:rFonts w:ascii="Book Antiqua" w:eastAsiaTheme="minorHAnsi" w:hAnsi="Book Antiqua" w:cs="Times New Roman"/>
          <w:color w:val="000000" w:themeColor="text1"/>
          <w:sz w:val="24"/>
          <w:szCs w:val="24"/>
        </w:rPr>
        <w:t xml:space="preserve">chemo-endocrine therapy; </w:t>
      </w:r>
      <w:r w:rsidRPr="00246B02">
        <w:rPr>
          <w:rFonts w:ascii="Book Antiqua" w:eastAsiaTheme="minorHAnsi" w:hAnsi="Book Antiqua" w:cs="Times New Roman"/>
          <w:color w:val="000000" w:themeColor="text1"/>
          <w:sz w:val="24"/>
          <w:szCs w:val="24"/>
        </w:rPr>
        <w:t>EXE:</w:t>
      </w:r>
      <w:r w:rsidRPr="00246B02">
        <w:rPr>
          <w:rFonts w:ascii="Book Antiqua" w:hAnsi="Book Antiqua" w:cs="Times New Roman"/>
          <w:color w:val="000000" w:themeColor="text1"/>
          <w:sz w:val="24"/>
          <w:szCs w:val="24"/>
        </w:rPr>
        <w:t xml:space="preserve"> </w:t>
      </w:r>
      <w:r w:rsidR="00AB3D52" w:rsidRPr="00246B02">
        <w:rPr>
          <w:rFonts w:ascii="Book Antiqua" w:hAnsi="Book Antiqua" w:cs="Times New Roman"/>
          <w:color w:val="000000" w:themeColor="text1"/>
          <w:sz w:val="24"/>
          <w:szCs w:val="24"/>
        </w:rPr>
        <w:t>Exemestane</w:t>
      </w:r>
      <w:r w:rsidRPr="00246B02">
        <w:rPr>
          <w:rFonts w:ascii="Book Antiqua" w:hAnsi="Book Antiqua" w:cs="Times New Roman"/>
          <w:color w:val="000000" w:themeColor="text1"/>
          <w:sz w:val="24"/>
          <w:szCs w:val="24"/>
        </w:rPr>
        <w:t xml:space="preserve">; ANA: </w:t>
      </w:r>
      <w:r w:rsidR="00AB3D52" w:rsidRPr="00246B02">
        <w:rPr>
          <w:rFonts w:ascii="Book Antiqua" w:hAnsi="Book Antiqua" w:cs="Times New Roman"/>
          <w:color w:val="000000" w:themeColor="text1"/>
          <w:sz w:val="24"/>
          <w:szCs w:val="24"/>
        </w:rPr>
        <w:t>Anastrozole</w:t>
      </w:r>
      <w:r w:rsidRPr="00246B02">
        <w:rPr>
          <w:rFonts w:ascii="Book Antiqua" w:hAnsi="Book Antiqua" w:cs="Times New Roman"/>
          <w:color w:val="000000" w:themeColor="text1"/>
          <w:sz w:val="24"/>
          <w:szCs w:val="24"/>
        </w:rPr>
        <w:t xml:space="preserve">; LET: </w:t>
      </w:r>
      <w:r w:rsidR="00AB3D52" w:rsidRPr="00246B02">
        <w:rPr>
          <w:rFonts w:ascii="Book Antiqua" w:hAnsi="Book Antiqua" w:cs="Times New Roman"/>
          <w:color w:val="000000" w:themeColor="text1"/>
          <w:sz w:val="24"/>
          <w:szCs w:val="24"/>
        </w:rPr>
        <w:t>Letrozole</w:t>
      </w:r>
      <w:r w:rsidRPr="00246B02">
        <w:rPr>
          <w:rFonts w:ascii="Book Antiqua" w:hAnsi="Book Antiqua" w:cs="Times New Roman"/>
          <w:color w:val="000000" w:themeColor="text1"/>
          <w:sz w:val="24"/>
          <w:szCs w:val="24"/>
        </w:rPr>
        <w:t xml:space="preserve">; OR: </w:t>
      </w:r>
      <w:r w:rsidR="00AB3D52" w:rsidRPr="00246B02">
        <w:rPr>
          <w:rFonts w:ascii="Book Antiqua" w:hAnsi="Book Antiqua" w:cs="Times New Roman"/>
          <w:color w:val="000000" w:themeColor="text1"/>
          <w:sz w:val="24"/>
          <w:szCs w:val="24"/>
        </w:rPr>
        <w:t xml:space="preserve">Objective </w:t>
      </w:r>
      <w:r w:rsidRPr="00246B02">
        <w:rPr>
          <w:rFonts w:ascii="Book Antiqua" w:hAnsi="Book Antiqua" w:cs="Times New Roman"/>
          <w:color w:val="000000" w:themeColor="text1"/>
          <w:sz w:val="24"/>
          <w:szCs w:val="24"/>
        </w:rPr>
        <w:t xml:space="preserve">response; BCS: </w:t>
      </w:r>
      <w:r w:rsidR="00AB3D52" w:rsidRPr="00246B02">
        <w:rPr>
          <w:rFonts w:ascii="Book Antiqua" w:hAnsi="Book Antiqua" w:cs="Times New Roman"/>
          <w:color w:val="000000" w:themeColor="text1"/>
          <w:sz w:val="24"/>
          <w:szCs w:val="24"/>
        </w:rPr>
        <w:t>Breast</w:t>
      </w:r>
      <w:r w:rsidRPr="00246B02">
        <w:rPr>
          <w:rFonts w:ascii="Book Antiqua" w:hAnsi="Book Antiqua" w:cs="Times New Roman"/>
          <w:color w:val="000000" w:themeColor="text1"/>
          <w:sz w:val="24"/>
          <w:szCs w:val="24"/>
        </w:rPr>
        <w:t>-conserving surgery</w:t>
      </w:r>
      <w:r w:rsidR="00AB3D52" w:rsidRPr="00246B02">
        <w:rPr>
          <w:rFonts w:ascii="Book Antiqua" w:hAnsi="Book Antiqua" w:cs="Times New Roman"/>
          <w:color w:val="000000" w:themeColor="text1"/>
          <w:sz w:val="24"/>
          <w:szCs w:val="24"/>
        </w:rPr>
        <w:t>.</w:t>
      </w:r>
    </w:p>
    <w:p w14:paraId="6272F86C" w14:textId="77777777" w:rsidR="00AB3D52" w:rsidRPr="00246B02" w:rsidRDefault="00AB3D52" w:rsidP="00246B02">
      <w:pPr>
        <w:spacing w:line="360" w:lineRule="auto"/>
        <w:jc w:val="both"/>
        <w:rPr>
          <w:rFonts w:ascii="Book Antiqua" w:hAnsi="Book Antiqua" w:cs="Times New Roman"/>
          <w:color w:val="000000" w:themeColor="text1"/>
          <w:sz w:val="24"/>
          <w:szCs w:val="24"/>
        </w:rPr>
      </w:pPr>
    </w:p>
    <w:p w14:paraId="54865F44" w14:textId="77777777" w:rsidR="00AB3D52" w:rsidRPr="00246B02" w:rsidRDefault="00AB3D52"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br w:type="page"/>
      </w:r>
    </w:p>
    <w:p w14:paraId="79D5AD2C" w14:textId="49FB9B6C" w:rsidR="00AB3D52" w:rsidRPr="00246B02" w:rsidRDefault="00AB3D52" w:rsidP="00246B02">
      <w:pPr>
        <w:spacing w:line="360" w:lineRule="auto"/>
        <w:jc w:val="both"/>
        <w:rPr>
          <w:rFonts w:ascii="Book Antiqua" w:eastAsiaTheme="minorHAnsi" w:hAnsi="Book Antiqua" w:cs="Times New Roman"/>
          <w:b/>
          <w:color w:val="000000" w:themeColor="text1"/>
          <w:sz w:val="24"/>
          <w:szCs w:val="24"/>
        </w:rPr>
      </w:pPr>
      <w:r w:rsidRPr="00246B02">
        <w:rPr>
          <w:rFonts w:ascii="Book Antiqua" w:eastAsiaTheme="minorHAnsi" w:hAnsi="Book Antiqua" w:cs="Times New Roman"/>
          <w:b/>
          <w:color w:val="000000" w:themeColor="text1"/>
          <w:sz w:val="24"/>
          <w:szCs w:val="24"/>
        </w:rPr>
        <w:lastRenderedPageBreak/>
        <w:t xml:space="preserve">Table 2 </w:t>
      </w:r>
      <w:proofErr w:type="gramStart"/>
      <w:r w:rsidRPr="00246B02">
        <w:rPr>
          <w:rFonts w:ascii="Book Antiqua" w:eastAsiaTheme="minorHAnsi" w:hAnsi="Book Antiqua" w:cs="Times New Roman"/>
          <w:b/>
          <w:color w:val="000000" w:themeColor="text1"/>
          <w:sz w:val="24"/>
          <w:szCs w:val="24"/>
        </w:rPr>
        <w:t>The</w:t>
      </w:r>
      <w:proofErr w:type="gramEnd"/>
      <w:r w:rsidRPr="00246B02">
        <w:rPr>
          <w:rFonts w:ascii="Book Antiqua" w:eastAsiaTheme="minorHAnsi" w:hAnsi="Book Antiqua" w:cs="Times New Roman"/>
          <w:b/>
          <w:color w:val="000000" w:themeColor="text1"/>
          <w:sz w:val="24"/>
          <w:szCs w:val="24"/>
        </w:rPr>
        <w:t xml:space="preserve"> optimal duration and optimal endocrine agents of neoadjuvant endocrine therapy</w:t>
      </w:r>
    </w:p>
    <w:p w14:paraId="3EE532AB" w14:textId="77777777" w:rsidR="00AB3D52" w:rsidRPr="00246B02" w:rsidRDefault="00AB3D52" w:rsidP="00246B02">
      <w:pPr>
        <w:spacing w:line="360" w:lineRule="auto"/>
        <w:jc w:val="both"/>
        <w:rPr>
          <w:rFonts w:ascii="Book Antiqua" w:eastAsiaTheme="minorHAnsi" w:hAnsi="Book Antiqua" w:cs="Times New Roman"/>
          <w:color w:val="000000" w:themeColor="text1"/>
          <w:sz w:val="24"/>
          <w:szCs w:val="24"/>
        </w:rPr>
        <w:sectPr w:rsidR="00AB3D52" w:rsidRPr="00246B02" w:rsidSect="00AB3D52">
          <w:pgSz w:w="16840" w:h="16443" w:orient="landscape"/>
          <w:pgMar w:top="1797" w:right="1440" w:bottom="1797" w:left="1440" w:header="851" w:footer="992" w:gutter="0"/>
          <w:cols w:space="425"/>
          <w:docGrid w:type="lines" w:linePitch="312"/>
        </w:sectPr>
      </w:pPr>
    </w:p>
    <w:tbl>
      <w:tblPr>
        <w:tblpPr w:leftFromText="180" w:rightFromText="180" w:vertAnchor="page" w:horzAnchor="page" w:tblpXSpec="center" w:tblpY="1441"/>
        <w:tblW w:w="5000" w:type="pct"/>
        <w:tblBorders>
          <w:top w:val="single" w:sz="4" w:space="0" w:color="auto"/>
          <w:bottom w:val="single" w:sz="4" w:space="0" w:color="auto"/>
        </w:tblBorders>
        <w:tblLook w:val="04A0" w:firstRow="1" w:lastRow="0" w:firstColumn="1" w:lastColumn="0" w:noHBand="0" w:noVBand="1"/>
      </w:tblPr>
      <w:tblGrid>
        <w:gridCol w:w="2434"/>
        <w:gridCol w:w="1976"/>
        <w:gridCol w:w="2594"/>
        <w:gridCol w:w="1318"/>
        <w:gridCol w:w="2092"/>
        <w:gridCol w:w="1902"/>
        <w:gridCol w:w="1860"/>
      </w:tblGrid>
      <w:tr w:rsidR="00CC310E" w:rsidRPr="00246B02" w14:paraId="5CCDCB0F" w14:textId="77777777" w:rsidTr="00CC310E">
        <w:trPr>
          <w:trHeight w:val="415"/>
        </w:trPr>
        <w:tc>
          <w:tcPr>
            <w:tcW w:w="858" w:type="pct"/>
            <w:tcBorders>
              <w:top w:val="single" w:sz="4" w:space="0" w:color="auto"/>
              <w:bottom w:val="single" w:sz="4" w:space="0" w:color="auto"/>
            </w:tcBorders>
            <w:shd w:val="clear" w:color="000000" w:fill="FFFFFF"/>
            <w:vAlign w:val="center"/>
            <w:hideMark/>
          </w:tcPr>
          <w:p w14:paraId="578E8CF0" w14:textId="7227DE95"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lastRenderedPageBreak/>
              <w:t xml:space="preserve">Clinical </w:t>
            </w:r>
            <w:r w:rsidR="00E903A7" w:rsidRPr="00246B02">
              <w:rPr>
                <w:rFonts w:ascii="Book Antiqua" w:eastAsia="微软雅黑" w:hAnsi="Book Antiqua" w:cs="宋体"/>
                <w:b/>
                <w:color w:val="000000" w:themeColor="text1"/>
                <w:kern w:val="0"/>
                <w:sz w:val="24"/>
                <w:szCs w:val="24"/>
              </w:rPr>
              <w:t>trial</w:t>
            </w:r>
          </w:p>
        </w:tc>
        <w:tc>
          <w:tcPr>
            <w:tcW w:w="697" w:type="pct"/>
            <w:tcBorders>
              <w:top w:val="single" w:sz="4" w:space="0" w:color="auto"/>
              <w:bottom w:val="single" w:sz="4" w:space="0" w:color="auto"/>
            </w:tcBorders>
            <w:shd w:val="clear" w:color="000000" w:fill="FFFFFF"/>
            <w:vAlign w:val="center"/>
          </w:tcPr>
          <w:p w14:paraId="12C1BA97" w14:textId="7E92E80C"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Patient characteristics</w:t>
            </w:r>
          </w:p>
        </w:tc>
        <w:tc>
          <w:tcPr>
            <w:tcW w:w="915" w:type="pct"/>
            <w:tcBorders>
              <w:top w:val="single" w:sz="4" w:space="0" w:color="auto"/>
              <w:bottom w:val="single" w:sz="4" w:space="0" w:color="auto"/>
            </w:tcBorders>
            <w:shd w:val="clear" w:color="000000" w:fill="FFFFFF"/>
            <w:vAlign w:val="center"/>
            <w:hideMark/>
          </w:tcPr>
          <w:p w14:paraId="2D1FFFCF" w14:textId="1740753A"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 xml:space="preserve">Treatment </w:t>
            </w:r>
            <w:r w:rsidR="00E903A7" w:rsidRPr="00246B02">
              <w:rPr>
                <w:rFonts w:ascii="Book Antiqua" w:eastAsia="微软雅黑" w:hAnsi="Book Antiqua" w:cs="宋体"/>
                <w:b/>
                <w:color w:val="000000" w:themeColor="text1"/>
                <w:kern w:val="0"/>
                <w:sz w:val="24"/>
                <w:szCs w:val="24"/>
              </w:rPr>
              <w:t xml:space="preserve">arms </w:t>
            </w:r>
            <w:r w:rsidRPr="00246B02">
              <w:rPr>
                <w:rFonts w:ascii="Book Antiqua" w:eastAsia="微软雅黑" w:hAnsi="Book Antiqua" w:cs="宋体"/>
                <w:b/>
                <w:color w:val="000000" w:themeColor="text1"/>
                <w:kern w:val="0"/>
                <w:sz w:val="24"/>
                <w:szCs w:val="24"/>
              </w:rPr>
              <w:t>(</w:t>
            </w:r>
            <w:r w:rsidRPr="00246B02">
              <w:rPr>
                <w:rFonts w:ascii="Book Antiqua" w:eastAsia="微软雅黑" w:hAnsi="Book Antiqua" w:cs="宋体"/>
                <w:b/>
                <w:i/>
                <w:color w:val="000000" w:themeColor="text1"/>
                <w:kern w:val="0"/>
                <w:sz w:val="24"/>
                <w:szCs w:val="24"/>
              </w:rPr>
              <w:t>n</w:t>
            </w:r>
            <w:r w:rsidRPr="00246B02">
              <w:rPr>
                <w:rFonts w:ascii="Book Antiqua" w:eastAsia="微软雅黑" w:hAnsi="Book Antiqua" w:cs="宋体"/>
                <w:b/>
                <w:color w:val="000000" w:themeColor="text1"/>
                <w:kern w:val="0"/>
                <w:sz w:val="24"/>
                <w:szCs w:val="24"/>
              </w:rPr>
              <w:t>)</w:t>
            </w:r>
          </w:p>
          <w:p w14:paraId="3FA57095" w14:textId="77777777"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p>
        </w:tc>
        <w:tc>
          <w:tcPr>
            <w:tcW w:w="465" w:type="pct"/>
            <w:tcBorders>
              <w:top w:val="single" w:sz="4" w:space="0" w:color="auto"/>
              <w:bottom w:val="single" w:sz="4" w:space="0" w:color="auto"/>
            </w:tcBorders>
            <w:shd w:val="clear" w:color="000000" w:fill="FFFFFF"/>
            <w:vAlign w:val="center"/>
            <w:hideMark/>
          </w:tcPr>
          <w:p w14:paraId="48DCC970" w14:textId="77777777"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Duration</w:t>
            </w:r>
          </w:p>
        </w:tc>
        <w:tc>
          <w:tcPr>
            <w:tcW w:w="738" w:type="pct"/>
            <w:tcBorders>
              <w:top w:val="single" w:sz="4" w:space="0" w:color="auto"/>
              <w:bottom w:val="single" w:sz="4" w:space="0" w:color="auto"/>
            </w:tcBorders>
            <w:shd w:val="clear" w:color="000000" w:fill="FFFFFF"/>
            <w:vAlign w:val="center"/>
          </w:tcPr>
          <w:p w14:paraId="5928A833" w14:textId="03607D7F"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 xml:space="preserve">Primary </w:t>
            </w:r>
            <w:r w:rsidR="00E903A7" w:rsidRPr="00246B02">
              <w:rPr>
                <w:rFonts w:ascii="Book Antiqua" w:eastAsia="微软雅黑" w:hAnsi="Book Antiqua" w:cs="宋体"/>
                <w:b/>
                <w:color w:val="000000" w:themeColor="text1"/>
                <w:kern w:val="0"/>
                <w:sz w:val="24"/>
                <w:szCs w:val="24"/>
              </w:rPr>
              <w:t>endpoint</w:t>
            </w:r>
          </w:p>
        </w:tc>
        <w:tc>
          <w:tcPr>
            <w:tcW w:w="671" w:type="pct"/>
            <w:tcBorders>
              <w:top w:val="single" w:sz="4" w:space="0" w:color="auto"/>
              <w:bottom w:val="single" w:sz="4" w:space="0" w:color="auto"/>
            </w:tcBorders>
            <w:shd w:val="clear" w:color="000000" w:fill="FFFFFF"/>
            <w:vAlign w:val="center"/>
            <w:hideMark/>
          </w:tcPr>
          <w:p w14:paraId="07C9968E" w14:textId="77777777"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ORR</w:t>
            </w:r>
          </w:p>
        </w:tc>
        <w:tc>
          <w:tcPr>
            <w:tcW w:w="656" w:type="pct"/>
            <w:tcBorders>
              <w:top w:val="single" w:sz="4" w:space="0" w:color="auto"/>
              <w:bottom w:val="single" w:sz="4" w:space="0" w:color="auto"/>
            </w:tcBorders>
            <w:shd w:val="clear" w:color="000000" w:fill="FFFFFF"/>
            <w:vAlign w:val="center"/>
            <w:hideMark/>
          </w:tcPr>
          <w:p w14:paraId="5BA179E2" w14:textId="777B7B52" w:rsidR="00D53D95" w:rsidRPr="00246B02" w:rsidRDefault="00D53D95" w:rsidP="00246B02">
            <w:pPr>
              <w:spacing w:line="360" w:lineRule="auto"/>
              <w:ind w:firstLineChars="50" w:firstLine="120"/>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BCS</w:t>
            </w:r>
            <w:r w:rsidR="00673A84" w:rsidRPr="00246B02">
              <w:rPr>
                <w:rFonts w:ascii="Book Antiqua" w:eastAsia="微软雅黑" w:hAnsi="Book Antiqua" w:cs="宋体"/>
                <w:b/>
                <w:color w:val="000000" w:themeColor="text1"/>
                <w:kern w:val="0"/>
                <w:sz w:val="24"/>
                <w:szCs w:val="24"/>
              </w:rPr>
              <w:t xml:space="preserve"> rate</w:t>
            </w:r>
          </w:p>
        </w:tc>
      </w:tr>
      <w:tr w:rsidR="00CC310E" w:rsidRPr="00246B02" w14:paraId="3D41638B" w14:textId="77777777" w:rsidTr="00CC310E">
        <w:trPr>
          <w:trHeight w:val="415"/>
        </w:trPr>
        <w:tc>
          <w:tcPr>
            <w:tcW w:w="858" w:type="pct"/>
            <w:tcBorders>
              <w:top w:val="single" w:sz="4" w:space="0" w:color="auto"/>
            </w:tcBorders>
            <w:shd w:val="clear" w:color="000000" w:fill="FFFFFF"/>
            <w:vAlign w:val="center"/>
          </w:tcPr>
          <w:p w14:paraId="73608B24" w14:textId="2302A5A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Krainick-Strobel </w:t>
            </w:r>
            <w:r w:rsidR="00A00700" w:rsidRPr="00246B02">
              <w:rPr>
                <w:rFonts w:ascii="Book Antiqua" w:eastAsia="微软雅黑"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23]</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2008</w:t>
            </w:r>
          </w:p>
        </w:tc>
        <w:tc>
          <w:tcPr>
            <w:tcW w:w="697" w:type="pct"/>
            <w:tcBorders>
              <w:top w:val="single" w:sz="4" w:space="0" w:color="auto"/>
            </w:tcBorders>
            <w:shd w:val="clear" w:color="000000" w:fill="FFFFFF"/>
            <w:vAlign w:val="center"/>
          </w:tcPr>
          <w:p w14:paraId="59C6D5D1" w14:textId="627706D6"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tcBorders>
              <w:top w:val="single" w:sz="4" w:space="0" w:color="auto"/>
            </w:tcBorders>
            <w:shd w:val="clear" w:color="000000" w:fill="FFFFFF"/>
            <w:vAlign w:val="center"/>
          </w:tcPr>
          <w:p w14:paraId="3C05A8F0" w14:textId="51852548"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LET</w:t>
            </w:r>
            <w:r w:rsidR="008F3D4B"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(33)</w:t>
            </w:r>
          </w:p>
        </w:tc>
        <w:tc>
          <w:tcPr>
            <w:tcW w:w="465" w:type="pct"/>
            <w:tcBorders>
              <w:top w:val="single" w:sz="4" w:space="0" w:color="auto"/>
            </w:tcBorders>
            <w:shd w:val="clear" w:color="000000" w:fill="FFFFFF"/>
            <w:vAlign w:val="center"/>
          </w:tcPr>
          <w:p w14:paraId="402EDC40" w14:textId="4FBC34C8"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4-8 </w:t>
            </w:r>
            <w:r w:rsidR="00101E63" w:rsidRPr="00246B02">
              <w:rPr>
                <w:rFonts w:ascii="Book Antiqua" w:eastAsia="微软雅黑" w:hAnsi="Book Antiqua" w:cs="宋体"/>
                <w:color w:val="000000" w:themeColor="text1"/>
                <w:kern w:val="0"/>
                <w:sz w:val="24"/>
                <w:szCs w:val="24"/>
              </w:rPr>
              <w:t>mo</w:t>
            </w:r>
          </w:p>
        </w:tc>
        <w:tc>
          <w:tcPr>
            <w:tcW w:w="738" w:type="pct"/>
            <w:tcBorders>
              <w:top w:val="single" w:sz="4" w:space="0" w:color="auto"/>
            </w:tcBorders>
            <w:shd w:val="clear" w:color="000000" w:fill="FFFFFF"/>
            <w:vAlign w:val="center"/>
          </w:tcPr>
          <w:p w14:paraId="60C44DA7" w14:textId="0DE2EED4"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p w14:paraId="65E3E7AB" w14:textId="64DD002E" w:rsidR="00D53D95" w:rsidRPr="00246B02" w:rsidRDefault="00963471" w:rsidP="00246B02">
            <w:pPr>
              <w:spacing w:line="360" w:lineRule="auto"/>
              <w:ind w:rightChars="-97" w:right="-204"/>
              <w:jc w:val="both"/>
              <w:rPr>
                <w:rFonts w:ascii="Book Antiqua" w:eastAsia="微软雅黑" w:hAnsi="Book Antiqua" w:cs="宋体"/>
                <w:color w:val="000000" w:themeColor="text1"/>
                <w:kern w:val="0"/>
                <w:sz w:val="24"/>
                <w:szCs w:val="24"/>
              </w:rPr>
            </w:pPr>
            <w:r>
              <w:rPr>
                <w:rFonts w:ascii="Book Antiqua" w:eastAsia="微软雅黑" w:hAnsi="Book Antiqua" w:cs="宋体"/>
                <w:color w:val="000000" w:themeColor="text1"/>
                <w:kern w:val="0"/>
                <w:sz w:val="24"/>
                <w:szCs w:val="24"/>
              </w:rPr>
              <w:t>m</w:t>
            </w:r>
            <w:r w:rsidRPr="00246B02">
              <w:rPr>
                <w:rFonts w:ascii="Book Antiqua" w:eastAsia="微软雅黑" w:hAnsi="Book Antiqua" w:cs="宋体"/>
                <w:color w:val="000000" w:themeColor="text1"/>
                <w:kern w:val="0"/>
                <w:sz w:val="24"/>
                <w:szCs w:val="24"/>
              </w:rPr>
              <w:t>ammography</w:t>
            </w:r>
            <w:r w:rsidR="00D53D95" w:rsidRPr="00246B02">
              <w:rPr>
                <w:rFonts w:ascii="Book Antiqua" w:eastAsia="微软雅黑" w:hAnsi="Book Antiqua" w:cs="宋体"/>
                <w:color w:val="000000" w:themeColor="text1"/>
                <w:kern w:val="0"/>
                <w:sz w:val="24"/>
                <w:szCs w:val="24"/>
              </w:rPr>
              <w:t>, ultrasound</w:t>
            </w:r>
            <w:r>
              <w:rPr>
                <w:rFonts w:ascii="Book Antiqua" w:eastAsia="微软雅黑" w:hAnsi="Book Antiqua" w:cs="宋体"/>
                <w:color w:val="000000" w:themeColor="text1"/>
                <w:kern w:val="0"/>
                <w:sz w:val="24"/>
                <w:szCs w:val="24"/>
              </w:rPr>
              <w:t>,</w:t>
            </w:r>
          </w:p>
          <w:p w14:paraId="733B6974"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and BCS</w:t>
            </w:r>
          </w:p>
        </w:tc>
        <w:tc>
          <w:tcPr>
            <w:tcW w:w="671" w:type="pct"/>
            <w:tcBorders>
              <w:top w:val="single" w:sz="4" w:space="0" w:color="auto"/>
            </w:tcBorders>
            <w:shd w:val="clear" w:color="000000" w:fill="FFFFFF"/>
            <w:vAlign w:val="center"/>
          </w:tcPr>
          <w:p w14:paraId="230B419D" w14:textId="2D2447A1"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55%</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24%</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at 4 and &gt;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 xml:space="preserve">4 </w:t>
            </w:r>
            <w:r w:rsidR="00101E63" w:rsidRPr="00246B02">
              <w:rPr>
                <w:rFonts w:ascii="Book Antiqua" w:eastAsia="微软雅黑" w:hAnsi="Book Antiqua" w:cs="宋体"/>
                <w:color w:val="000000" w:themeColor="text1"/>
                <w:kern w:val="0"/>
                <w:sz w:val="24"/>
                <w:szCs w:val="24"/>
              </w:rPr>
              <w:t>mo</w:t>
            </w:r>
          </w:p>
        </w:tc>
        <w:tc>
          <w:tcPr>
            <w:tcW w:w="656" w:type="pct"/>
            <w:tcBorders>
              <w:top w:val="single" w:sz="4" w:space="0" w:color="auto"/>
            </w:tcBorders>
            <w:shd w:val="clear" w:color="000000" w:fill="FFFFFF"/>
            <w:vAlign w:val="center"/>
          </w:tcPr>
          <w:p w14:paraId="2D700375" w14:textId="261275A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71%</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80%</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at 4 and &gt;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 xml:space="preserve">4 </w:t>
            </w:r>
            <w:r w:rsidR="00101E63" w:rsidRPr="00246B02">
              <w:rPr>
                <w:rFonts w:ascii="Book Antiqua" w:eastAsia="微软雅黑" w:hAnsi="Book Antiqua" w:cs="宋体"/>
                <w:color w:val="000000" w:themeColor="text1"/>
                <w:kern w:val="0"/>
                <w:sz w:val="24"/>
                <w:szCs w:val="24"/>
              </w:rPr>
              <w:t>mo</w:t>
            </w:r>
          </w:p>
        </w:tc>
      </w:tr>
      <w:tr w:rsidR="00CC310E" w:rsidRPr="00246B02" w14:paraId="17AA18DA" w14:textId="77777777" w:rsidTr="00CC310E">
        <w:trPr>
          <w:trHeight w:val="415"/>
        </w:trPr>
        <w:tc>
          <w:tcPr>
            <w:tcW w:w="858" w:type="pct"/>
            <w:shd w:val="clear" w:color="000000" w:fill="FFFFFF"/>
            <w:vAlign w:val="center"/>
          </w:tcPr>
          <w:p w14:paraId="2EE2E515" w14:textId="77E497C6"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Fontein </w:t>
            </w:r>
            <w:r w:rsidR="00A00700" w:rsidRPr="00246B02">
              <w:rPr>
                <w:rFonts w:ascii="Book Antiqua" w:eastAsia="微软雅黑"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25]</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2014</w:t>
            </w:r>
          </w:p>
        </w:tc>
        <w:tc>
          <w:tcPr>
            <w:tcW w:w="697" w:type="pct"/>
            <w:shd w:val="clear" w:color="000000" w:fill="FFFFFF"/>
            <w:vAlign w:val="center"/>
          </w:tcPr>
          <w:p w14:paraId="7D4A2569" w14:textId="28E085F4"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208A23FC"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EXE (102)</w:t>
            </w:r>
          </w:p>
        </w:tc>
        <w:tc>
          <w:tcPr>
            <w:tcW w:w="465" w:type="pct"/>
            <w:shd w:val="clear" w:color="000000" w:fill="FFFFFF"/>
            <w:vAlign w:val="center"/>
          </w:tcPr>
          <w:p w14:paraId="6E933151" w14:textId="5949319E"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w:t>
            </w:r>
            <w:r w:rsidR="00101E63" w:rsidRPr="00246B02">
              <w:rPr>
                <w:rFonts w:ascii="Book Antiqua" w:eastAsia="微软雅黑" w:hAnsi="Book Antiqua" w:cs="宋体"/>
                <w:color w:val="000000" w:themeColor="text1"/>
                <w:kern w:val="0"/>
                <w:sz w:val="24"/>
                <w:szCs w:val="24"/>
              </w:rPr>
              <w:t xml:space="preserve"> mo</w:t>
            </w:r>
            <w:r w:rsidR="00101E63" w:rsidRPr="00246B02">
              <w:rPr>
                <w:rFonts w:ascii="Book Antiqua" w:eastAsia="微软雅黑" w:hAnsi="Book Antiqua" w:cs="宋体"/>
                <w:i/>
                <w:color w:val="000000" w:themeColor="text1"/>
                <w:kern w:val="0"/>
                <w:sz w:val="24"/>
                <w:szCs w:val="24"/>
              </w:rPr>
              <w:t xml:space="preserve"> </w:t>
            </w:r>
            <w:r w:rsidRPr="00246B02">
              <w:rPr>
                <w:rFonts w:ascii="Book Antiqua" w:eastAsia="微软雅黑" w:hAnsi="Book Antiqua" w:cs="宋体"/>
                <w:i/>
                <w:color w:val="000000" w:themeColor="text1"/>
                <w:kern w:val="0"/>
                <w:sz w:val="24"/>
                <w:szCs w:val="24"/>
              </w:rPr>
              <w:t>vs</w:t>
            </w:r>
            <w:r w:rsidRPr="00246B02">
              <w:rPr>
                <w:rFonts w:ascii="Book Antiqua" w:eastAsia="微软雅黑" w:hAnsi="Book Antiqua" w:cs="宋体"/>
                <w:color w:val="000000" w:themeColor="text1"/>
                <w:kern w:val="0"/>
                <w:sz w:val="24"/>
                <w:szCs w:val="24"/>
              </w:rPr>
              <w:t xml:space="preserve"> 6</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1FD7E82A" w14:textId="68DE58DB"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 at 3 and 6 months</w:t>
            </w:r>
          </w:p>
        </w:tc>
        <w:tc>
          <w:tcPr>
            <w:tcW w:w="671" w:type="pct"/>
            <w:shd w:val="clear" w:color="000000" w:fill="FFFFFF"/>
            <w:vAlign w:val="center"/>
          </w:tcPr>
          <w:p w14:paraId="38F250ED" w14:textId="159F1E9F"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58.7%</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68.3%</w:t>
            </w:r>
          </w:p>
        </w:tc>
        <w:tc>
          <w:tcPr>
            <w:tcW w:w="656" w:type="pct"/>
            <w:shd w:val="clear" w:color="000000" w:fill="FFFFFF"/>
            <w:vAlign w:val="center"/>
          </w:tcPr>
          <w:p w14:paraId="71F3239C" w14:textId="5592F08A"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61.8%</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70.6%</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0.012)</w:t>
            </w:r>
          </w:p>
        </w:tc>
      </w:tr>
      <w:tr w:rsidR="00CC310E" w:rsidRPr="00246B02" w14:paraId="514BDFB0" w14:textId="77777777" w:rsidTr="00CC310E">
        <w:trPr>
          <w:trHeight w:val="415"/>
        </w:trPr>
        <w:tc>
          <w:tcPr>
            <w:tcW w:w="858" w:type="pct"/>
            <w:shd w:val="clear" w:color="000000" w:fill="FFFFFF"/>
            <w:vAlign w:val="center"/>
          </w:tcPr>
          <w:p w14:paraId="47B50C54" w14:textId="4B7524D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Carpenter </w:t>
            </w:r>
            <w:r w:rsidR="00A00700" w:rsidRPr="00246B02">
              <w:rPr>
                <w:rFonts w:ascii="Book Antiqua" w:eastAsia="微软雅黑"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22]</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2014</w:t>
            </w:r>
          </w:p>
        </w:tc>
        <w:tc>
          <w:tcPr>
            <w:tcW w:w="697" w:type="pct"/>
            <w:shd w:val="clear" w:color="000000" w:fill="FFFFFF"/>
            <w:vAlign w:val="center"/>
          </w:tcPr>
          <w:p w14:paraId="07A6C5C4"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 Postmenopausal</w:t>
            </w:r>
          </w:p>
        </w:tc>
        <w:tc>
          <w:tcPr>
            <w:tcW w:w="915" w:type="pct"/>
            <w:shd w:val="clear" w:color="000000" w:fill="FFFFFF"/>
            <w:vAlign w:val="center"/>
          </w:tcPr>
          <w:p w14:paraId="23FD9C1D" w14:textId="7ED23F23"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LET</w:t>
            </w:r>
            <w:r w:rsidR="008F3D4B"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(146)</w:t>
            </w:r>
          </w:p>
        </w:tc>
        <w:tc>
          <w:tcPr>
            <w:tcW w:w="465" w:type="pct"/>
            <w:shd w:val="clear" w:color="000000" w:fill="FFFFFF"/>
            <w:vAlign w:val="center"/>
          </w:tcPr>
          <w:p w14:paraId="535AC8F2" w14:textId="682211F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3–12</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5CDBBF88"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Optimal duration to permit BCS</w:t>
            </w:r>
          </w:p>
        </w:tc>
        <w:tc>
          <w:tcPr>
            <w:tcW w:w="671" w:type="pct"/>
            <w:shd w:val="clear" w:color="000000" w:fill="FFFFFF"/>
            <w:vAlign w:val="center"/>
          </w:tcPr>
          <w:p w14:paraId="754FB984"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w:t>
            </w:r>
          </w:p>
        </w:tc>
        <w:tc>
          <w:tcPr>
            <w:tcW w:w="656" w:type="pct"/>
            <w:shd w:val="clear" w:color="000000" w:fill="FFFFFF"/>
            <w:vAlign w:val="center"/>
          </w:tcPr>
          <w:p w14:paraId="0E8CF97D" w14:textId="536CD8CF"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7.5 </w:t>
            </w:r>
            <w:r w:rsidR="00101E63" w:rsidRPr="00246B02">
              <w:rPr>
                <w:rFonts w:ascii="Book Antiqua" w:eastAsia="微软雅黑" w:hAnsi="Book Antiqua" w:cs="宋体"/>
                <w:color w:val="000000" w:themeColor="text1"/>
                <w:kern w:val="0"/>
                <w:sz w:val="24"/>
                <w:szCs w:val="24"/>
              </w:rPr>
              <w:t>mo</w:t>
            </w:r>
          </w:p>
        </w:tc>
      </w:tr>
      <w:tr w:rsidR="00CC310E" w:rsidRPr="00246B02" w14:paraId="59C4D6DD" w14:textId="77777777" w:rsidTr="00CC310E">
        <w:trPr>
          <w:trHeight w:val="454"/>
        </w:trPr>
        <w:tc>
          <w:tcPr>
            <w:tcW w:w="858" w:type="pct"/>
            <w:shd w:val="clear" w:color="000000" w:fill="FFFFFF"/>
            <w:vAlign w:val="center"/>
            <w:hideMark/>
          </w:tcPr>
          <w:p w14:paraId="079EE73B" w14:textId="7C3327A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Eiermann </w:t>
            </w:r>
            <w:r w:rsidR="00A00700" w:rsidRPr="00246B02">
              <w:rPr>
                <w:rFonts w:ascii="Book Antiqua" w:eastAsia="微软雅黑"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7]</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2001</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(PO24)</w:t>
            </w:r>
          </w:p>
        </w:tc>
        <w:tc>
          <w:tcPr>
            <w:tcW w:w="697" w:type="pct"/>
            <w:shd w:val="clear" w:color="000000" w:fill="FFFFFF"/>
            <w:vAlign w:val="center"/>
          </w:tcPr>
          <w:p w14:paraId="76197BAD"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 Postmenopausal</w:t>
            </w:r>
          </w:p>
        </w:tc>
        <w:tc>
          <w:tcPr>
            <w:tcW w:w="915" w:type="pct"/>
            <w:shd w:val="clear" w:color="000000" w:fill="FFFFFF"/>
            <w:vAlign w:val="center"/>
            <w:hideMark/>
          </w:tcPr>
          <w:p w14:paraId="0CE3FF7A" w14:textId="48250CCC"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LET</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2.5</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(162)</w:t>
            </w:r>
            <w:r w:rsidRPr="00246B02">
              <w:rPr>
                <w:rFonts w:ascii="Book Antiqua" w:eastAsia="微软雅黑" w:hAnsi="Book Antiqua" w:cs="宋体"/>
                <w:color w:val="000000" w:themeColor="text1"/>
                <w:kern w:val="0"/>
                <w:sz w:val="24"/>
                <w:szCs w:val="24"/>
              </w:rPr>
              <w:t>; (B)</w:t>
            </w:r>
            <w:r w:rsidR="00D53D95" w:rsidRPr="00246B02">
              <w:rPr>
                <w:rFonts w:ascii="Book Antiqua" w:eastAsia="微软雅黑" w:hAnsi="Book Antiqua" w:cs="宋体"/>
                <w:color w:val="000000" w:themeColor="text1"/>
                <w:kern w:val="0"/>
                <w:sz w:val="24"/>
                <w:szCs w:val="24"/>
              </w:rPr>
              <w:t xml:space="preserve"> TAM</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20</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(223)</w:t>
            </w:r>
          </w:p>
        </w:tc>
        <w:tc>
          <w:tcPr>
            <w:tcW w:w="465" w:type="pct"/>
            <w:shd w:val="clear" w:color="000000" w:fill="FFFFFF"/>
            <w:vAlign w:val="center"/>
            <w:hideMark/>
          </w:tcPr>
          <w:p w14:paraId="21CC90A3" w14:textId="5549CB2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3FD58239"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tc>
        <w:tc>
          <w:tcPr>
            <w:tcW w:w="671" w:type="pct"/>
            <w:shd w:val="clear" w:color="000000" w:fill="FFFFFF"/>
            <w:vAlign w:val="center"/>
            <w:hideMark/>
          </w:tcPr>
          <w:p w14:paraId="5E087F43" w14:textId="37835818"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55%</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36%</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&lt;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0.001)</w:t>
            </w:r>
          </w:p>
        </w:tc>
        <w:tc>
          <w:tcPr>
            <w:tcW w:w="656" w:type="pct"/>
            <w:shd w:val="clear" w:color="000000" w:fill="FFFFFF"/>
            <w:vAlign w:val="center"/>
            <w:hideMark/>
          </w:tcPr>
          <w:p w14:paraId="3394426B" w14:textId="186D329F"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45%</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 xml:space="preserve">P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0.022)</w:t>
            </w:r>
          </w:p>
        </w:tc>
      </w:tr>
      <w:tr w:rsidR="00CC310E" w:rsidRPr="00246B02" w14:paraId="2A065856" w14:textId="77777777" w:rsidTr="00CC310E">
        <w:trPr>
          <w:trHeight w:val="860"/>
        </w:trPr>
        <w:tc>
          <w:tcPr>
            <w:tcW w:w="858" w:type="pct"/>
            <w:shd w:val="clear" w:color="000000" w:fill="FFFFFF"/>
            <w:vAlign w:val="center"/>
            <w:hideMark/>
          </w:tcPr>
          <w:p w14:paraId="48ADF24D" w14:textId="17DC5EF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Smith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微软雅黑" w:hAnsi="Book Antiqua" w:cs="宋体"/>
                <w:color w:val="000000" w:themeColor="text1"/>
                <w:kern w:val="0"/>
                <w:sz w:val="24"/>
                <w:szCs w:val="24"/>
              </w:rPr>
              <w:t xml:space="preserve"> </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26]</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(IMPACT)</w:t>
            </w:r>
          </w:p>
        </w:tc>
        <w:tc>
          <w:tcPr>
            <w:tcW w:w="697" w:type="pct"/>
            <w:shd w:val="clear" w:color="000000" w:fill="FFFFFF"/>
            <w:vAlign w:val="center"/>
          </w:tcPr>
          <w:p w14:paraId="1B9AFA60" w14:textId="4EA29604"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hideMark/>
          </w:tcPr>
          <w:p w14:paraId="200C99B4" w14:textId="1FB145A1"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ANA</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1</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(113)</w:t>
            </w:r>
            <w:r w:rsidRPr="00246B02">
              <w:rPr>
                <w:rFonts w:ascii="Book Antiqua" w:eastAsia="微软雅黑" w:hAnsi="Book Antiqua" w:cs="宋体"/>
                <w:color w:val="000000" w:themeColor="text1"/>
                <w:kern w:val="0"/>
                <w:sz w:val="24"/>
                <w:szCs w:val="24"/>
              </w:rPr>
              <w:t xml:space="preserve">; (B) </w:t>
            </w:r>
            <w:r w:rsidR="00D53D95" w:rsidRPr="00246B02">
              <w:rPr>
                <w:rFonts w:ascii="Book Antiqua" w:eastAsia="微软雅黑" w:hAnsi="Book Antiqua" w:cs="宋体"/>
                <w:color w:val="000000" w:themeColor="text1"/>
                <w:kern w:val="0"/>
                <w:sz w:val="24"/>
                <w:szCs w:val="24"/>
              </w:rPr>
              <w:t>TAM</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20</w:t>
            </w:r>
            <w:r w:rsidRPr="00246B02">
              <w:rPr>
                <w:rFonts w:ascii="Book Antiqua" w:eastAsia="微软雅黑" w:hAnsi="Book Antiqua" w:cs="宋体"/>
                <w:color w:val="000000" w:themeColor="text1"/>
                <w:kern w:val="0"/>
                <w:sz w:val="24"/>
                <w:szCs w:val="24"/>
              </w:rPr>
              <w:t xml:space="preserve"> </w:t>
            </w:r>
            <w:r w:rsidR="00CC310E">
              <w:rPr>
                <w:rFonts w:ascii="Book Antiqua" w:eastAsia="微软雅黑" w:hAnsi="Book Antiqua" w:cs="宋体"/>
                <w:color w:val="000000" w:themeColor="text1"/>
                <w:kern w:val="0"/>
                <w:sz w:val="24"/>
                <w:szCs w:val="24"/>
              </w:rPr>
              <w:t>mg/d (108)</w:t>
            </w:r>
          </w:p>
        </w:tc>
        <w:tc>
          <w:tcPr>
            <w:tcW w:w="465" w:type="pct"/>
            <w:shd w:val="clear" w:color="000000" w:fill="FFFFFF"/>
            <w:vAlign w:val="center"/>
            <w:hideMark/>
          </w:tcPr>
          <w:p w14:paraId="1E716190" w14:textId="0B40A529"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12 </w:t>
            </w:r>
            <w:r w:rsidR="00101E63" w:rsidRPr="00246B02">
              <w:rPr>
                <w:rFonts w:ascii="Book Antiqua" w:eastAsia="微软雅黑" w:hAnsi="Book Antiqua" w:cs="宋体"/>
                <w:color w:val="000000" w:themeColor="text1"/>
                <w:kern w:val="0"/>
                <w:sz w:val="24"/>
                <w:szCs w:val="24"/>
              </w:rPr>
              <w:t>wk</w:t>
            </w:r>
          </w:p>
        </w:tc>
        <w:tc>
          <w:tcPr>
            <w:tcW w:w="738" w:type="pct"/>
            <w:shd w:val="clear" w:color="000000" w:fill="FFFFFF"/>
            <w:vAlign w:val="center"/>
          </w:tcPr>
          <w:p w14:paraId="7EB89C9D"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ultrasound</w:t>
            </w:r>
          </w:p>
        </w:tc>
        <w:tc>
          <w:tcPr>
            <w:tcW w:w="671" w:type="pct"/>
            <w:shd w:val="clear" w:color="000000" w:fill="FFFFFF"/>
            <w:vAlign w:val="center"/>
            <w:hideMark/>
          </w:tcPr>
          <w:p w14:paraId="0EEB7AB6" w14:textId="4C086DA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37%</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36%</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 xml:space="preserve">P </w:t>
            </w:r>
            <w:r w:rsidRPr="00246B02">
              <w:rPr>
                <w:rFonts w:ascii="Book Antiqua" w:eastAsia="微软雅黑" w:hAnsi="Book Antiqua" w:cs="宋体"/>
                <w:color w:val="000000" w:themeColor="text1"/>
                <w:kern w:val="0"/>
                <w:sz w:val="24"/>
                <w:szCs w:val="24"/>
              </w:rPr>
              <w:t>&lt;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0.087)</w:t>
            </w:r>
          </w:p>
        </w:tc>
        <w:tc>
          <w:tcPr>
            <w:tcW w:w="656" w:type="pct"/>
            <w:shd w:val="clear" w:color="000000" w:fill="FFFFFF"/>
            <w:vAlign w:val="center"/>
            <w:hideMark/>
          </w:tcPr>
          <w:p w14:paraId="7C7184F3" w14:textId="00135FEB"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41%</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31%</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 xml:space="preserve">P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0.23)</w:t>
            </w:r>
          </w:p>
        </w:tc>
      </w:tr>
      <w:tr w:rsidR="00CC310E" w:rsidRPr="00246B02" w14:paraId="09A8FC07" w14:textId="77777777" w:rsidTr="00CC310E">
        <w:trPr>
          <w:trHeight w:val="682"/>
        </w:trPr>
        <w:tc>
          <w:tcPr>
            <w:tcW w:w="858" w:type="pct"/>
            <w:shd w:val="clear" w:color="000000" w:fill="FFFFFF"/>
            <w:vAlign w:val="center"/>
            <w:hideMark/>
          </w:tcPr>
          <w:p w14:paraId="5077B109" w14:textId="4CA9598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Catalioth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27]</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2006</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(PROACT)</w:t>
            </w:r>
          </w:p>
        </w:tc>
        <w:tc>
          <w:tcPr>
            <w:tcW w:w="697" w:type="pct"/>
            <w:shd w:val="clear" w:color="000000" w:fill="FFFFFF"/>
            <w:vAlign w:val="center"/>
          </w:tcPr>
          <w:p w14:paraId="1ACF7F49" w14:textId="1E86BB04"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lastRenderedPageBreak/>
              <w:t>Postmenopausal</w:t>
            </w:r>
          </w:p>
        </w:tc>
        <w:tc>
          <w:tcPr>
            <w:tcW w:w="915" w:type="pct"/>
            <w:shd w:val="clear" w:color="000000" w:fill="FFFFFF"/>
            <w:vAlign w:val="center"/>
            <w:hideMark/>
          </w:tcPr>
          <w:p w14:paraId="7832420F" w14:textId="0634B830"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 xml:space="preserve">(A) </w:t>
            </w:r>
            <w:r w:rsidR="00D53D95" w:rsidRPr="00246B02">
              <w:rPr>
                <w:rFonts w:ascii="Book Antiqua" w:eastAsia="微软雅黑" w:hAnsi="Book Antiqua" w:cs="宋体"/>
                <w:color w:val="000000" w:themeColor="text1"/>
                <w:kern w:val="0"/>
                <w:sz w:val="24"/>
                <w:szCs w:val="24"/>
              </w:rPr>
              <w:t>ANA</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1</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(228)</w:t>
            </w:r>
            <w:r w:rsidRPr="00246B02">
              <w:rPr>
                <w:rFonts w:ascii="Book Antiqua" w:eastAsia="微软雅黑" w:hAnsi="Book Antiqua" w:cs="宋体"/>
                <w:color w:val="000000" w:themeColor="text1"/>
                <w:kern w:val="0"/>
                <w:sz w:val="24"/>
                <w:szCs w:val="24"/>
              </w:rPr>
              <w:t>; (B)</w:t>
            </w:r>
            <w:r w:rsidR="00D53D95" w:rsidRPr="00246B02">
              <w:rPr>
                <w:rFonts w:ascii="Book Antiqua" w:eastAsia="微软雅黑" w:hAnsi="Book Antiqua" w:cs="宋体"/>
                <w:color w:val="000000" w:themeColor="text1"/>
                <w:kern w:val="0"/>
                <w:sz w:val="24"/>
                <w:szCs w:val="24"/>
              </w:rPr>
              <w:t xml:space="preserve"> TAM</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20</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lastRenderedPageBreak/>
              <w:t>mg/d (223)</w:t>
            </w:r>
          </w:p>
        </w:tc>
        <w:tc>
          <w:tcPr>
            <w:tcW w:w="465" w:type="pct"/>
            <w:shd w:val="clear" w:color="000000" w:fill="FFFFFF"/>
            <w:vAlign w:val="center"/>
            <w:hideMark/>
          </w:tcPr>
          <w:p w14:paraId="3B1D29EB" w14:textId="55490A5E"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3</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68DDE892"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ultrasound</w:t>
            </w:r>
          </w:p>
        </w:tc>
        <w:tc>
          <w:tcPr>
            <w:tcW w:w="671" w:type="pct"/>
            <w:shd w:val="clear" w:color="000000" w:fill="FFFFFF"/>
            <w:vAlign w:val="center"/>
            <w:hideMark/>
          </w:tcPr>
          <w:p w14:paraId="651B732B" w14:textId="470F99D5"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50.0%</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46.2%</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 xml:space="preserve">P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0.037)</w:t>
            </w:r>
          </w:p>
        </w:tc>
        <w:tc>
          <w:tcPr>
            <w:tcW w:w="656" w:type="pct"/>
            <w:shd w:val="clear" w:color="000000" w:fill="FFFFFF"/>
            <w:vAlign w:val="center"/>
            <w:hideMark/>
          </w:tcPr>
          <w:p w14:paraId="4700EDA0" w14:textId="13836246"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38.1%</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29.9%</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0.11)</w:t>
            </w:r>
          </w:p>
        </w:tc>
      </w:tr>
      <w:tr w:rsidR="00CC310E" w:rsidRPr="00246B02" w14:paraId="71AE24B8" w14:textId="77777777" w:rsidTr="00CC310E">
        <w:trPr>
          <w:trHeight w:val="682"/>
        </w:trPr>
        <w:tc>
          <w:tcPr>
            <w:tcW w:w="858" w:type="pct"/>
            <w:shd w:val="clear" w:color="000000" w:fill="FFFFFF"/>
            <w:vAlign w:val="center"/>
          </w:tcPr>
          <w:p w14:paraId="56FB19D4" w14:textId="7AAE3CED"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 xml:space="preserve">Semiglazov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00AB3D52" w:rsidRPr="00246B02">
              <w:rPr>
                <w:rFonts w:ascii="Book Antiqua" w:eastAsia="微软雅黑" w:hAnsi="Book Antiqua" w:cs="宋体"/>
                <w:color w:val="000000" w:themeColor="text1"/>
                <w:kern w:val="0"/>
                <w:sz w:val="24"/>
                <w:szCs w:val="24"/>
                <w:vertAlign w:val="superscript"/>
              </w:rPr>
              <w:t>[16]</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2015</w:t>
            </w:r>
          </w:p>
        </w:tc>
        <w:tc>
          <w:tcPr>
            <w:tcW w:w="697" w:type="pct"/>
            <w:shd w:val="clear" w:color="000000" w:fill="FFFFFF"/>
            <w:vAlign w:val="center"/>
          </w:tcPr>
          <w:p w14:paraId="713E3E84" w14:textId="5E80BB7C" w:rsidR="00D53D95" w:rsidRPr="00CC310E"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w:t>
            </w:r>
            <w:r w:rsidR="003D1270">
              <w:rPr>
                <w:rFonts w:ascii="Book Antiqua" w:eastAsia="微软雅黑" w:hAnsi="Book Antiqua" w:cs="宋体" w:hint="eastAsia"/>
                <w:color w:val="000000" w:themeColor="text1"/>
                <w:kern w:val="0"/>
                <w:sz w:val="24"/>
                <w:szCs w:val="24"/>
              </w:rPr>
              <w:t xml:space="preserve"> </w:t>
            </w:r>
            <w:r w:rsidR="00CC310E">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7178BB7C" w14:textId="5B8ADB9E"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EXE (76)</w:t>
            </w:r>
            <w:r w:rsidRPr="00246B02">
              <w:rPr>
                <w:rFonts w:ascii="Book Antiqua" w:eastAsia="微软雅黑" w:hAnsi="Book Antiqua" w:cs="宋体"/>
                <w:color w:val="000000" w:themeColor="text1"/>
                <w:kern w:val="0"/>
                <w:sz w:val="24"/>
                <w:szCs w:val="24"/>
              </w:rPr>
              <w:t>; (B)</w:t>
            </w:r>
            <w:r w:rsidR="00D53D95" w:rsidRPr="00246B02">
              <w:rPr>
                <w:rFonts w:ascii="Book Antiqua" w:eastAsia="微软雅黑" w:hAnsi="Book Antiqua" w:cs="宋体"/>
                <w:color w:val="000000" w:themeColor="text1"/>
                <w:kern w:val="0"/>
                <w:sz w:val="24"/>
                <w:szCs w:val="24"/>
              </w:rPr>
              <w:t xml:space="preserve"> TAM (75)</w:t>
            </w:r>
          </w:p>
        </w:tc>
        <w:tc>
          <w:tcPr>
            <w:tcW w:w="465" w:type="pct"/>
            <w:shd w:val="clear" w:color="000000" w:fill="FFFFFF"/>
            <w:vAlign w:val="center"/>
          </w:tcPr>
          <w:p w14:paraId="3FBD7C28" w14:textId="4E6E563A"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6350EAF6"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tc>
        <w:tc>
          <w:tcPr>
            <w:tcW w:w="671" w:type="pct"/>
            <w:shd w:val="clear" w:color="000000" w:fill="FFFFFF"/>
            <w:vAlign w:val="center"/>
          </w:tcPr>
          <w:p w14:paraId="2F0764D8" w14:textId="5B728CD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76.3%</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40%</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0.05)</w:t>
            </w:r>
          </w:p>
        </w:tc>
        <w:tc>
          <w:tcPr>
            <w:tcW w:w="656" w:type="pct"/>
            <w:shd w:val="clear" w:color="000000" w:fill="FFFFFF"/>
            <w:vAlign w:val="center"/>
          </w:tcPr>
          <w:p w14:paraId="2BEB01BB" w14:textId="52102588"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36.8%</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20%</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0.05)</w:t>
            </w:r>
          </w:p>
        </w:tc>
      </w:tr>
      <w:tr w:rsidR="00CC310E" w:rsidRPr="00246B02" w14:paraId="1A964AA2" w14:textId="77777777" w:rsidTr="00CC310E">
        <w:trPr>
          <w:trHeight w:val="682"/>
        </w:trPr>
        <w:tc>
          <w:tcPr>
            <w:tcW w:w="858" w:type="pct"/>
            <w:shd w:val="clear" w:color="000000" w:fill="FFFFFF"/>
            <w:vAlign w:val="center"/>
          </w:tcPr>
          <w:p w14:paraId="29EFAB82" w14:textId="49A150E6"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AdvPTimesB"/>
                <w:color w:val="000000" w:themeColor="text1"/>
                <w:kern w:val="0"/>
                <w:sz w:val="24"/>
                <w:szCs w:val="24"/>
              </w:rPr>
              <w:t xml:space="preserve">Kuter </w:t>
            </w:r>
            <w:r w:rsidR="00A00700" w:rsidRPr="00246B02">
              <w:rPr>
                <w:rFonts w:ascii="Book Antiqua" w:hAnsi="Book Antiqua" w:cs="AdvPTimesB"/>
                <w:i/>
                <w:color w:val="000000" w:themeColor="text1"/>
                <w:kern w:val="0"/>
                <w:sz w:val="24"/>
                <w:szCs w:val="24"/>
              </w:rPr>
              <w:t xml:space="preserve">et </w:t>
            </w:r>
            <w:r w:rsidR="00AB3D52" w:rsidRPr="00246B02">
              <w:rPr>
                <w:rFonts w:ascii="Book Antiqua" w:hAnsi="Book Antiqua" w:cs="AdvPTimesB"/>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29]</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hAnsi="Book Antiqua" w:cs="AdvPTimesB"/>
                <w:color w:val="000000" w:themeColor="text1"/>
                <w:kern w:val="0"/>
                <w:sz w:val="24"/>
                <w:szCs w:val="24"/>
              </w:rPr>
              <w:t>2012</w:t>
            </w:r>
            <w:r w:rsidR="00101E63" w:rsidRPr="00246B02">
              <w:rPr>
                <w:rFonts w:ascii="Book Antiqua" w:hAnsi="Book Antiqua" w:cs="AdvPTimesB"/>
                <w:color w:val="000000" w:themeColor="text1"/>
                <w:kern w:val="0"/>
                <w:sz w:val="24"/>
                <w:szCs w:val="24"/>
              </w:rPr>
              <w:t xml:space="preserve"> </w:t>
            </w:r>
            <w:r w:rsidR="00101E63" w:rsidRPr="00246B02">
              <w:rPr>
                <w:rFonts w:ascii="Book Antiqua" w:eastAsia="微软雅黑" w:hAnsi="Book Antiqua" w:cs="宋体"/>
                <w:color w:val="000000" w:themeColor="text1"/>
                <w:kern w:val="0"/>
                <w:sz w:val="24"/>
                <w:szCs w:val="24"/>
              </w:rPr>
              <w:t>(</w:t>
            </w:r>
            <w:r w:rsidRPr="00246B02">
              <w:rPr>
                <w:rFonts w:ascii="Book Antiqua" w:eastAsia="微软雅黑" w:hAnsi="Book Antiqua" w:cs="宋体"/>
                <w:color w:val="000000" w:themeColor="text1"/>
                <w:kern w:val="0"/>
                <w:sz w:val="24"/>
                <w:szCs w:val="24"/>
              </w:rPr>
              <w:t>NEWEST</w:t>
            </w:r>
            <w:r w:rsidR="00101E63" w:rsidRPr="00246B02">
              <w:rPr>
                <w:rFonts w:ascii="Book Antiqua" w:eastAsia="微软雅黑" w:hAnsi="Book Antiqua" w:cs="宋体"/>
                <w:color w:val="000000" w:themeColor="text1"/>
                <w:kern w:val="0"/>
                <w:sz w:val="24"/>
                <w:szCs w:val="24"/>
              </w:rPr>
              <w:t>)</w:t>
            </w:r>
          </w:p>
        </w:tc>
        <w:tc>
          <w:tcPr>
            <w:tcW w:w="697" w:type="pct"/>
            <w:shd w:val="clear" w:color="000000" w:fill="FFFFFF"/>
            <w:vAlign w:val="center"/>
          </w:tcPr>
          <w:p w14:paraId="345FF2CA" w14:textId="62013FC8"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63B1BD5E" w14:textId="496AD1DC" w:rsidR="00D53D95" w:rsidRPr="00246B02" w:rsidRDefault="00101E63" w:rsidP="00246B02">
            <w:pPr>
              <w:spacing w:line="360" w:lineRule="auto"/>
              <w:jc w:val="both"/>
              <w:rPr>
                <w:rFonts w:ascii="Book Antiqua" w:hAnsi="Book Antiqua" w:cs="AdvPTimes"/>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hAnsi="Book Antiqua" w:cs="AdvPTimes"/>
                <w:color w:val="000000" w:themeColor="text1"/>
                <w:kern w:val="0"/>
                <w:sz w:val="24"/>
                <w:szCs w:val="24"/>
              </w:rPr>
              <w:t>FUL</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500 mg/mo (109)</w:t>
            </w:r>
            <w:r w:rsidRPr="00246B02">
              <w:rPr>
                <w:rFonts w:ascii="Book Antiqua" w:hAnsi="Book Antiqua" w:cs="AdvPTimes"/>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(B)</w:t>
            </w:r>
            <w:r w:rsidR="00D53D95" w:rsidRPr="00246B02">
              <w:rPr>
                <w:rFonts w:ascii="Book Antiqua" w:hAnsi="Book Antiqua" w:cs="AdvPTimes"/>
                <w:color w:val="000000" w:themeColor="text1"/>
                <w:kern w:val="0"/>
                <w:sz w:val="24"/>
                <w:szCs w:val="24"/>
              </w:rPr>
              <w:t xml:space="preserve"> FUL</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250 mg/mo (102)</w:t>
            </w:r>
          </w:p>
        </w:tc>
        <w:tc>
          <w:tcPr>
            <w:tcW w:w="465" w:type="pct"/>
            <w:shd w:val="clear" w:color="000000" w:fill="FFFFFF"/>
            <w:vAlign w:val="center"/>
          </w:tcPr>
          <w:p w14:paraId="34BAB23D" w14:textId="09BC3C8C"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16 </w:t>
            </w:r>
            <w:r w:rsidR="00101E63" w:rsidRPr="00246B02">
              <w:rPr>
                <w:rFonts w:ascii="Book Antiqua" w:eastAsia="微软雅黑" w:hAnsi="Book Antiqua" w:cs="宋体"/>
                <w:color w:val="000000" w:themeColor="text1"/>
                <w:kern w:val="0"/>
                <w:sz w:val="24"/>
                <w:szCs w:val="24"/>
              </w:rPr>
              <w:t>wk</w:t>
            </w:r>
          </w:p>
        </w:tc>
        <w:tc>
          <w:tcPr>
            <w:tcW w:w="738" w:type="pct"/>
            <w:shd w:val="clear" w:color="000000" w:fill="FFFFFF"/>
            <w:vAlign w:val="center"/>
          </w:tcPr>
          <w:p w14:paraId="7954A7FF" w14:textId="0D5CCD3D" w:rsidR="00D53D95" w:rsidRPr="00246B02" w:rsidRDefault="00D53D95" w:rsidP="00C9453D">
            <w:pPr>
              <w:autoSpaceDE w:val="0"/>
              <w:autoSpaceDN w:val="0"/>
              <w:adjustRightInd w:val="0"/>
              <w:spacing w:line="360" w:lineRule="auto"/>
              <w:jc w:val="both"/>
              <w:rPr>
                <w:rFonts w:ascii="Book Antiqua" w:hAnsi="Book Antiqua" w:cs="AdvPTimes"/>
                <w:color w:val="000000" w:themeColor="text1"/>
                <w:kern w:val="0"/>
                <w:sz w:val="24"/>
                <w:szCs w:val="24"/>
              </w:rPr>
            </w:pPr>
            <w:r w:rsidRPr="00246B02">
              <w:rPr>
                <w:rFonts w:ascii="Book Antiqua" w:hAnsi="Book Antiqua" w:cs="AdvPTimes"/>
                <w:color w:val="000000" w:themeColor="text1"/>
                <w:kern w:val="0"/>
                <w:sz w:val="24"/>
                <w:szCs w:val="24"/>
              </w:rPr>
              <w:t xml:space="preserve">Expression of </w:t>
            </w:r>
            <w:r w:rsidR="00963471">
              <w:rPr>
                <w:rFonts w:ascii="Book Antiqua" w:hAnsi="Book Antiqua" w:cs="AdvPTimes"/>
                <w:color w:val="000000" w:themeColor="text1"/>
                <w:kern w:val="0"/>
                <w:sz w:val="24"/>
                <w:szCs w:val="24"/>
              </w:rPr>
              <w:t>K</w:t>
            </w:r>
            <w:r w:rsidR="00963471" w:rsidRPr="00246B02">
              <w:rPr>
                <w:rFonts w:ascii="Book Antiqua" w:hAnsi="Book Antiqua" w:cs="AdvPTimes"/>
                <w:color w:val="000000" w:themeColor="text1"/>
                <w:kern w:val="0"/>
                <w:sz w:val="24"/>
                <w:szCs w:val="24"/>
              </w:rPr>
              <w:t>i67</w:t>
            </w:r>
          </w:p>
        </w:tc>
        <w:tc>
          <w:tcPr>
            <w:tcW w:w="671" w:type="pct"/>
            <w:shd w:val="clear" w:color="000000" w:fill="FFFFFF"/>
            <w:vAlign w:val="center"/>
          </w:tcPr>
          <w:p w14:paraId="71547505" w14:textId="4D11EDDA" w:rsidR="00D53D95" w:rsidRPr="00246B02" w:rsidRDefault="00D53D95" w:rsidP="00246B02">
            <w:pPr>
              <w:autoSpaceDE w:val="0"/>
              <w:autoSpaceDN w:val="0"/>
              <w:adjustRightInd w:val="0"/>
              <w:spacing w:line="360" w:lineRule="auto"/>
              <w:jc w:val="both"/>
              <w:rPr>
                <w:rFonts w:ascii="Book Antiqua" w:hAnsi="Book Antiqua" w:cs="AdvPTimes"/>
                <w:color w:val="000000" w:themeColor="text1"/>
                <w:kern w:val="0"/>
                <w:sz w:val="24"/>
                <w:szCs w:val="24"/>
              </w:rPr>
            </w:pPr>
            <w:r w:rsidRPr="00246B02">
              <w:rPr>
                <w:rFonts w:ascii="Book Antiqua" w:hAnsi="Book Antiqua" w:cs="AdvPTimes"/>
                <w:color w:val="000000" w:themeColor="text1"/>
                <w:kern w:val="0"/>
                <w:sz w:val="24"/>
                <w:szCs w:val="24"/>
              </w:rPr>
              <w:t>17.4</w:t>
            </w:r>
            <w:r w:rsidR="00101E63" w:rsidRPr="00246B02">
              <w:rPr>
                <w:rFonts w:ascii="Book Antiqua" w:hAnsi="Book Antiqua" w:cs="AdvPTimes"/>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hAnsi="Book Antiqua" w:cs="AdvPTimes"/>
                <w:color w:val="000000" w:themeColor="text1"/>
                <w:kern w:val="0"/>
                <w:sz w:val="24"/>
                <w:szCs w:val="24"/>
              </w:rPr>
              <w:t>11.8% at week 4</w:t>
            </w:r>
            <w:r w:rsidR="00101E63" w:rsidRPr="00246B02">
              <w:rPr>
                <w:rFonts w:ascii="Book Antiqua" w:hAnsi="Book Antiqua" w:cs="AdvPTimes"/>
                <w:color w:val="000000" w:themeColor="text1"/>
                <w:kern w:val="0"/>
                <w:sz w:val="24"/>
                <w:szCs w:val="24"/>
              </w:rPr>
              <w:t xml:space="preserve">; </w:t>
            </w:r>
            <w:r w:rsidRPr="00246B02">
              <w:rPr>
                <w:rFonts w:ascii="Book Antiqua" w:hAnsi="Book Antiqua" w:cs="AdvPTimes"/>
                <w:color w:val="000000" w:themeColor="text1"/>
                <w:kern w:val="0"/>
                <w:sz w:val="24"/>
                <w:szCs w:val="24"/>
              </w:rPr>
              <w:t>22.9</w:t>
            </w:r>
            <w:r w:rsidR="00101E63" w:rsidRPr="00246B02">
              <w:rPr>
                <w:rFonts w:ascii="Book Antiqua" w:hAnsi="Book Antiqua" w:cs="AdvPTimes"/>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00101E63" w:rsidRPr="00246B02">
              <w:rPr>
                <w:rFonts w:ascii="Book Antiqua" w:hAnsi="Book Antiqua" w:cs="AdvPTimes"/>
                <w:color w:val="000000" w:themeColor="text1"/>
                <w:kern w:val="0"/>
                <w:sz w:val="24"/>
                <w:szCs w:val="24"/>
              </w:rPr>
              <w:t xml:space="preserve">20.6% </w:t>
            </w:r>
            <w:r w:rsidRPr="00246B02">
              <w:rPr>
                <w:rFonts w:ascii="Book Antiqua" w:hAnsi="Book Antiqua" w:cs="AdvPTimes"/>
                <w:color w:val="000000" w:themeColor="text1"/>
                <w:kern w:val="0"/>
                <w:sz w:val="24"/>
                <w:szCs w:val="24"/>
              </w:rPr>
              <w:t>at week 16</w:t>
            </w:r>
          </w:p>
        </w:tc>
        <w:tc>
          <w:tcPr>
            <w:tcW w:w="656" w:type="pct"/>
            <w:shd w:val="clear" w:color="000000" w:fill="FFFFFF"/>
            <w:vAlign w:val="center"/>
          </w:tcPr>
          <w:p w14:paraId="501A4357"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w:t>
            </w:r>
          </w:p>
        </w:tc>
      </w:tr>
      <w:tr w:rsidR="00CC310E" w:rsidRPr="00246B02" w14:paraId="0417385C" w14:textId="77777777" w:rsidTr="00CC310E">
        <w:trPr>
          <w:trHeight w:val="682"/>
        </w:trPr>
        <w:tc>
          <w:tcPr>
            <w:tcW w:w="858" w:type="pct"/>
            <w:shd w:val="clear" w:color="000000" w:fill="FFFFFF"/>
            <w:vAlign w:val="center"/>
          </w:tcPr>
          <w:p w14:paraId="7F65F2C3" w14:textId="573CED29" w:rsidR="00D53D95" w:rsidRPr="00246B02" w:rsidRDefault="00D53D95" w:rsidP="00246B02">
            <w:pPr>
              <w:spacing w:line="360" w:lineRule="auto"/>
              <w:jc w:val="both"/>
              <w:rPr>
                <w:rFonts w:ascii="Book Antiqua" w:hAnsi="Book Antiqua" w:cs="AdvPTimesB"/>
                <w:color w:val="000000" w:themeColor="text1"/>
                <w:kern w:val="0"/>
                <w:sz w:val="24"/>
                <w:szCs w:val="24"/>
              </w:rPr>
            </w:pPr>
            <w:r w:rsidRPr="00246B02">
              <w:rPr>
                <w:rFonts w:ascii="Book Antiqua" w:hAnsi="Book Antiqua" w:cs="AdvPTimesB"/>
                <w:color w:val="000000" w:themeColor="text1"/>
                <w:kern w:val="0"/>
                <w:sz w:val="24"/>
                <w:szCs w:val="24"/>
              </w:rPr>
              <w:t xml:space="preserve">Quenel-Tueux </w:t>
            </w:r>
            <w:r w:rsidR="00A00700" w:rsidRPr="00246B02">
              <w:rPr>
                <w:rFonts w:ascii="Book Antiqua" w:hAnsi="Book Antiqua" w:cs="AdvPTimesB"/>
                <w:i/>
                <w:color w:val="000000" w:themeColor="text1"/>
                <w:kern w:val="0"/>
                <w:sz w:val="24"/>
                <w:szCs w:val="24"/>
              </w:rPr>
              <w:t xml:space="preserve">et </w:t>
            </w:r>
            <w:r w:rsidR="00AB3D52" w:rsidRPr="00246B02">
              <w:rPr>
                <w:rFonts w:ascii="Book Antiqua" w:hAnsi="Book Antiqua" w:cs="AdvPTimesB"/>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30]</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hAnsi="Book Antiqua" w:cs="AdvPTimesB"/>
                <w:color w:val="000000" w:themeColor="text1"/>
                <w:kern w:val="0"/>
                <w:sz w:val="24"/>
                <w:szCs w:val="24"/>
              </w:rPr>
              <w:t>2015</w:t>
            </w:r>
          </w:p>
        </w:tc>
        <w:tc>
          <w:tcPr>
            <w:tcW w:w="697" w:type="pct"/>
            <w:shd w:val="clear" w:color="000000" w:fill="FFFFFF"/>
            <w:vAlign w:val="center"/>
          </w:tcPr>
          <w:p w14:paraId="15739B79" w14:textId="375CD805"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62B77EBD" w14:textId="1AD04D41" w:rsidR="00D53D95" w:rsidRPr="00246B02" w:rsidRDefault="00101E63" w:rsidP="00246B02">
            <w:pPr>
              <w:spacing w:line="360" w:lineRule="auto"/>
              <w:jc w:val="both"/>
              <w:rPr>
                <w:rFonts w:ascii="Book Antiqua" w:hAnsi="Book Antiqua" w:cs="AdvPTimes"/>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hAnsi="Book Antiqua" w:cs="AdvPTimes"/>
                <w:color w:val="000000" w:themeColor="text1"/>
                <w:kern w:val="0"/>
                <w:sz w:val="24"/>
                <w:szCs w:val="24"/>
              </w:rPr>
              <w:t>ANA</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1</w:t>
            </w:r>
            <w:r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mg/d (61)</w:t>
            </w:r>
            <w:r w:rsidRPr="00246B02">
              <w:rPr>
                <w:rFonts w:ascii="Book Antiqua" w:hAnsi="Book Antiqua" w:cs="AdvPTimes"/>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 xml:space="preserve">(B) </w:t>
            </w:r>
            <w:r w:rsidR="00D53D95" w:rsidRPr="00246B02">
              <w:rPr>
                <w:rFonts w:ascii="Book Antiqua" w:hAnsi="Book Antiqua" w:cs="AdvPTimes"/>
                <w:color w:val="000000" w:themeColor="text1"/>
                <w:kern w:val="0"/>
                <w:sz w:val="24"/>
                <w:szCs w:val="24"/>
              </w:rPr>
              <w:t>FUL</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500</w:t>
            </w:r>
            <w:r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mg/mo (59)</w:t>
            </w:r>
          </w:p>
        </w:tc>
        <w:tc>
          <w:tcPr>
            <w:tcW w:w="465" w:type="pct"/>
            <w:shd w:val="clear" w:color="000000" w:fill="FFFFFF"/>
            <w:vAlign w:val="center"/>
          </w:tcPr>
          <w:p w14:paraId="34860E26" w14:textId="50D154E1"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15D99A74" w14:textId="77777777" w:rsidR="00D53D95" w:rsidRPr="00246B02" w:rsidRDefault="00D53D95" w:rsidP="00246B02">
            <w:pPr>
              <w:autoSpaceDE w:val="0"/>
              <w:autoSpaceDN w:val="0"/>
              <w:adjustRightInd w:val="0"/>
              <w:spacing w:line="360" w:lineRule="auto"/>
              <w:jc w:val="both"/>
              <w:rPr>
                <w:rFonts w:ascii="Book Antiqua" w:hAnsi="Book Antiqua" w:cs="AdvPTimes"/>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tc>
        <w:tc>
          <w:tcPr>
            <w:tcW w:w="671" w:type="pct"/>
            <w:shd w:val="clear" w:color="000000" w:fill="FFFFFF"/>
            <w:vAlign w:val="center"/>
          </w:tcPr>
          <w:p w14:paraId="58071507" w14:textId="0F8068F9" w:rsidR="00D53D95" w:rsidRPr="00246B02" w:rsidRDefault="00D53D95" w:rsidP="00246B02">
            <w:pPr>
              <w:autoSpaceDE w:val="0"/>
              <w:autoSpaceDN w:val="0"/>
              <w:adjustRightInd w:val="0"/>
              <w:spacing w:line="360" w:lineRule="auto"/>
              <w:jc w:val="both"/>
              <w:rPr>
                <w:rFonts w:ascii="Book Antiqua" w:hAnsi="Book Antiqua" w:cs="AdvPTimes"/>
                <w:color w:val="000000" w:themeColor="text1"/>
                <w:kern w:val="0"/>
                <w:sz w:val="24"/>
                <w:szCs w:val="24"/>
              </w:rPr>
            </w:pPr>
            <w:r w:rsidRPr="00246B02">
              <w:rPr>
                <w:rFonts w:ascii="Book Antiqua" w:hAnsi="Book Antiqua" w:cs="AdvPTimes"/>
                <w:color w:val="000000" w:themeColor="text1"/>
                <w:kern w:val="0"/>
                <w:sz w:val="24"/>
                <w:szCs w:val="24"/>
              </w:rPr>
              <w:t xml:space="preserve">58.9%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hAnsi="Book Antiqua" w:cs="AdvPTimes"/>
                <w:color w:val="000000" w:themeColor="text1"/>
                <w:kern w:val="0"/>
                <w:sz w:val="24"/>
                <w:szCs w:val="24"/>
              </w:rPr>
              <w:t>53.8%</w:t>
            </w:r>
          </w:p>
        </w:tc>
        <w:tc>
          <w:tcPr>
            <w:tcW w:w="656" w:type="pct"/>
            <w:shd w:val="clear" w:color="000000" w:fill="FFFFFF"/>
            <w:vAlign w:val="center"/>
          </w:tcPr>
          <w:p w14:paraId="22BE92EC" w14:textId="4C47DE4A"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58.9%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50%</w:t>
            </w:r>
          </w:p>
        </w:tc>
      </w:tr>
      <w:tr w:rsidR="00CC310E" w:rsidRPr="00246B02" w14:paraId="685D34B8" w14:textId="77777777" w:rsidTr="00CC310E">
        <w:trPr>
          <w:trHeight w:val="682"/>
        </w:trPr>
        <w:tc>
          <w:tcPr>
            <w:tcW w:w="858" w:type="pct"/>
            <w:shd w:val="clear" w:color="000000" w:fill="FFFFFF"/>
            <w:vAlign w:val="center"/>
          </w:tcPr>
          <w:p w14:paraId="0758AFBE" w14:textId="6731137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Guarneri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31]</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2014</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(CARMINA 02)</w:t>
            </w:r>
          </w:p>
        </w:tc>
        <w:tc>
          <w:tcPr>
            <w:tcW w:w="697" w:type="pct"/>
            <w:shd w:val="clear" w:color="000000" w:fill="FFFFFF"/>
            <w:vAlign w:val="center"/>
          </w:tcPr>
          <w:p w14:paraId="705AD287" w14:textId="2DE42D26" w:rsidR="00D53D95" w:rsidRPr="00246B02" w:rsidRDefault="00D53D95" w:rsidP="0008597B">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 Her2-;</w:t>
            </w:r>
            <w:r w:rsidR="0008597B">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56D3789A" w14:textId="673C6E49" w:rsidR="00D53D95" w:rsidRPr="00246B02" w:rsidRDefault="00101E63" w:rsidP="00246B02">
            <w:pPr>
              <w:spacing w:line="360" w:lineRule="auto"/>
              <w:jc w:val="both"/>
              <w:rPr>
                <w:rFonts w:ascii="Book Antiqua" w:hAnsi="Book Antiqua" w:cs="AdvPTimes"/>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ANA</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1</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(59)</w:t>
            </w:r>
            <w:r w:rsidRPr="00246B02">
              <w:rPr>
                <w:rFonts w:ascii="Book Antiqua" w:eastAsia="微软雅黑" w:hAnsi="Book Antiqua" w:cs="宋体"/>
                <w:color w:val="000000" w:themeColor="text1"/>
                <w:kern w:val="0"/>
                <w:sz w:val="24"/>
                <w:szCs w:val="24"/>
              </w:rPr>
              <w:t>; (B)</w:t>
            </w:r>
            <w:r w:rsidR="00D53D95" w:rsidRPr="00246B02">
              <w:rPr>
                <w:rFonts w:ascii="Book Antiqua" w:hAnsi="Book Antiqua" w:cs="AdvPTimes"/>
                <w:color w:val="000000" w:themeColor="text1"/>
                <w:kern w:val="0"/>
                <w:sz w:val="24"/>
                <w:szCs w:val="24"/>
              </w:rPr>
              <w:t xml:space="preserve"> FUL</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500</w:t>
            </w:r>
            <w:r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mg/mo (57)</w:t>
            </w:r>
          </w:p>
        </w:tc>
        <w:tc>
          <w:tcPr>
            <w:tcW w:w="465" w:type="pct"/>
            <w:shd w:val="clear" w:color="000000" w:fill="FFFFFF"/>
            <w:vAlign w:val="center"/>
          </w:tcPr>
          <w:p w14:paraId="09C68C9B" w14:textId="33C17F75"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210CD5ED"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tc>
        <w:tc>
          <w:tcPr>
            <w:tcW w:w="671" w:type="pct"/>
            <w:shd w:val="clear" w:color="000000" w:fill="FFFFFF"/>
            <w:vAlign w:val="center"/>
          </w:tcPr>
          <w:p w14:paraId="0477A0BF" w14:textId="5427A20B"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52.6%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36.8%</w:t>
            </w:r>
          </w:p>
        </w:tc>
        <w:tc>
          <w:tcPr>
            <w:tcW w:w="656" w:type="pct"/>
            <w:shd w:val="clear" w:color="000000" w:fill="FFFFFF"/>
            <w:vAlign w:val="center"/>
          </w:tcPr>
          <w:p w14:paraId="4C07F560" w14:textId="7EF1BC9B"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57.6%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50%</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0.5 not significant)</w:t>
            </w:r>
          </w:p>
        </w:tc>
      </w:tr>
      <w:tr w:rsidR="00CC310E" w:rsidRPr="00246B02" w14:paraId="4EB118B7" w14:textId="77777777" w:rsidTr="00CC310E">
        <w:trPr>
          <w:trHeight w:val="821"/>
        </w:trPr>
        <w:tc>
          <w:tcPr>
            <w:tcW w:w="858" w:type="pct"/>
            <w:shd w:val="clear" w:color="000000" w:fill="FFFFFF"/>
            <w:vAlign w:val="center"/>
            <w:hideMark/>
          </w:tcPr>
          <w:p w14:paraId="0B2179AE" w14:textId="11CB198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Ellis </w:t>
            </w:r>
            <w:r w:rsidRPr="00246B02">
              <w:rPr>
                <w:rFonts w:ascii="Book Antiqua" w:eastAsia="微软雅黑" w:hAnsi="Book Antiqua" w:cs="宋体"/>
                <w:i/>
                <w:color w:val="000000" w:themeColor="text1"/>
                <w:kern w:val="0"/>
                <w:sz w:val="24"/>
                <w:szCs w:val="24"/>
              </w:rPr>
              <w:t>et</w:t>
            </w:r>
            <w:r w:rsidR="00AB3D52" w:rsidRPr="00246B02">
              <w:rPr>
                <w:rFonts w:ascii="Book Antiqua" w:eastAsia="微软雅黑" w:hAnsi="Book Antiqua" w:cs="宋体"/>
                <w:color w:val="000000" w:themeColor="text1"/>
                <w:kern w:val="0"/>
                <w:sz w:val="24"/>
                <w:szCs w:val="24"/>
              </w:rPr>
              <w:t xml:space="preserve">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32]</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2011 (ACOSOG Z1031)</w:t>
            </w:r>
          </w:p>
        </w:tc>
        <w:tc>
          <w:tcPr>
            <w:tcW w:w="697" w:type="pct"/>
            <w:shd w:val="clear" w:color="000000" w:fill="FFFFFF"/>
            <w:vAlign w:val="center"/>
          </w:tcPr>
          <w:p w14:paraId="1E45CFD8"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(Allred score 6-8) postmenopausal</w:t>
            </w:r>
          </w:p>
          <w:p w14:paraId="77435DD1"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T2-T4cN0-3M0</w:t>
            </w:r>
          </w:p>
        </w:tc>
        <w:tc>
          <w:tcPr>
            <w:tcW w:w="915" w:type="pct"/>
            <w:shd w:val="clear" w:color="000000" w:fill="FFFFFF"/>
            <w:vAlign w:val="center"/>
            <w:hideMark/>
          </w:tcPr>
          <w:p w14:paraId="2ACE6777" w14:textId="723C5994"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EXE 25 mg/d</w:t>
            </w:r>
            <w:r w:rsidR="00D53D95" w:rsidRPr="00246B02">
              <w:rPr>
                <w:rFonts w:ascii="Book Antiqua" w:eastAsia="微软雅黑" w:hAnsi="Book Antiqua" w:cs="宋体"/>
                <w:color w:val="000000" w:themeColor="text1"/>
                <w:kern w:val="0"/>
                <w:sz w:val="24"/>
                <w:szCs w:val="24"/>
              </w:rPr>
              <w:t>（</w:t>
            </w:r>
            <w:r w:rsidR="00D53D95" w:rsidRPr="00246B02">
              <w:rPr>
                <w:rFonts w:ascii="Book Antiqua" w:eastAsia="微软雅黑" w:hAnsi="Book Antiqua" w:cs="宋体"/>
                <w:color w:val="000000" w:themeColor="text1"/>
                <w:kern w:val="0"/>
                <w:sz w:val="24"/>
                <w:szCs w:val="24"/>
              </w:rPr>
              <w:t>124</w:t>
            </w:r>
            <w:r w:rsidRPr="00246B02">
              <w:rPr>
                <w:rFonts w:ascii="Book Antiqua" w:eastAsia="微软雅黑" w:hAnsi="Book Antiqua" w:cs="宋体"/>
                <w:color w:val="000000" w:themeColor="text1"/>
                <w:kern w:val="0"/>
                <w:sz w:val="24"/>
                <w:szCs w:val="24"/>
              </w:rPr>
              <w:t>）</w:t>
            </w:r>
            <w:r w:rsidRPr="00246B02">
              <w:rPr>
                <w:rFonts w:ascii="Book Antiqua" w:eastAsia="微软雅黑" w:hAnsi="Book Antiqua" w:cs="宋体"/>
                <w:color w:val="000000" w:themeColor="text1"/>
                <w:kern w:val="0"/>
                <w:sz w:val="24"/>
                <w:szCs w:val="24"/>
              </w:rPr>
              <w:t>; (B)</w:t>
            </w:r>
            <w:r w:rsidR="00D53D95" w:rsidRPr="00246B02">
              <w:rPr>
                <w:rFonts w:ascii="Book Antiqua" w:eastAsia="微软雅黑" w:hAnsi="Book Antiqua" w:cs="宋体"/>
                <w:color w:val="000000" w:themeColor="text1"/>
                <w:kern w:val="0"/>
                <w:sz w:val="24"/>
                <w:szCs w:val="24"/>
              </w:rPr>
              <w:t xml:space="preserve"> LET</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2.5 mg/d (128)</w:t>
            </w:r>
            <w:r w:rsidRPr="00246B02">
              <w:rPr>
                <w:rFonts w:ascii="Book Antiqua" w:eastAsia="微软雅黑" w:hAnsi="Book Antiqua" w:cs="宋体"/>
                <w:color w:val="000000" w:themeColor="text1"/>
                <w:kern w:val="0"/>
                <w:sz w:val="24"/>
                <w:szCs w:val="24"/>
              </w:rPr>
              <w:t xml:space="preserve">; (C) </w:t>
            </w:r>
            <w:r w:rsidR="00D53D95" w:rsidRPr="00246B02">
              <w:rPr>
                <w:rFonts w:ascii="Book Antiqua" w:eastAsia="微软雅黑" w:hAnsi="Book Antiqua" w:cs="宋体"/>
                <w:color w:val="000000" w:themeColor="text1"/>
                <w:kern w:val="0"/>
                <w:sz w:val="24"/>
                <w:szCs w:val="24"/>
              </w:rPr>
              <w:t>ANA 1 mg/d</w:t>
            </w:r>
            <w:r w:rsidR="00D53D95" w:rsidRPr="00246B02">
              <w:rPr>
                <w:rFonts w:ascii="Book Antiqua" w:eastAsia="微软雅黑" w:hAnsi="Book Antiqua" w:cs="宋体"/>
                <w:color w:val="000000" w:themeColor="text1"/>
                <w:kern w:val="0"/>
                <w:sz w:val="24"/>
                <w:szCs w:val="24"/>
              </w:rPr>
              <w:t>（</w:t>
            </w:r>
            <w:r w:rsidR="00D53D95" w:rsidRPr="00246B02">
              <w:rPr>
                <w:rFonts w:ascii="Book Antiqua" w:eastAsia="微软雅黑" w:hAnsi="Book Antiqua" w:cs="宋体"/>
                <w:color w:val="000000" w:themeColor="text1"/>
                <w:kern w:val="0"/>
                <w:sz w:val="24"/>
                <w:szCs w:val="24"/>
              </w:rPr>
              <w:t>125</w:t>
            </w:r>
            <w:r w:rsidR="00D53D95" w:rsidRPr="00246B02">
              <w:rPr>
                <w:rFonts w:ascii="Book Antiqua" w:eastAsia="微软雅黑" w:hAnsi="Book Antiqua" w:cs="宋体"/>
                <w:color w:val="000000" w:themeColor="text1"/>
                <w:kern w:val="0"/>
                <w:sz w:val="24"/>
                <w:szCs w:val="24"/>
              </w:rPr>
              <w:t>）</w:t>
            </w:r>
            <w:r w:rsidRPr="00246B02">
              <w:rPr>
                <w:rFonts w:ascii="Book Antiqua" w:eastAsia="微软雅黑" w:hAnsi="Book Antiqua" w:cs="宋体"/>
                <w:color w:val="000000" w:themeColor="text1"/>
                <w:kern w:val="0"/>
                <w:sz w:val="24"/>
                <w:szCs w:val="24"/>
              </w:rPr>
              <w:t>;</w:t>
            </w:r>
          </w:p>
        </w:tc>
        <w:tc>
          <w:tcPr>
            <w:tcW w:w="465" w:type="pct"/>
            <w:shd w:val="clear" w:color="000000" w:fill="FFFFFF"/>
            <w:vAlign w:val="center"/>
            <w:hideMark/>
          </w:tcPr>
          <w:p w14:paraId="4B63F86D" w14:textId="7BB3DD5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16-18</w:t>
            </w:r>
            <w:r w:rsidR="00101E63" w:rsidRPr="00246B02">
              <w:rPr>
                <w:rFonts w:ascii="Book Antiqua" w:eastAsia="微软雅黑" w:hAnsi="Book Antiqua" w:cs="宋体"/>
                <w:color w:val="000000" w:themeColor="text1"/>
                <w:kern w:val="0"/>
                <w:sz w:val="24"/>
                <w:szCs w:val="24"/>
              </w:rPr>
              <w:t xml:space="preserve"> wk</w:t>
            </w:r>
          </w:p>
        </w:tc>
        <w:tc>
          <w:tcPr>
            <w:tcW w:w="738" w:type="pct"/>
            <w:shd w:val="clear" w:color="000000" w:fill="FFFFFF"/>
            <w:vAlign w:val="center"/>
          </w:tcPr>
          <w:p w14:paraId="553E5047"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clinical palpation</w:t>
            </w:r>
          </w:p>
        </w:tc>
        <w:tc>
          <w:tcPr>
            <w:tcW w:w="671" w:type="pct"/>
            <w:shd w:val="clear" w:color="000000" w:fill="FFFFFF"/>
            <w:vAlign w:val="center"/>
            <w:hideMark/>
          </w:tcPr>
          <w:p w14:paraId="529A9619" w14:textId="1A93F38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69.1%</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62.9%</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74.8%</w:t>
            </w:r>
          </w:p>
        </w:tc>
        <w:tc>
          <w:tcPr>
            <w:tcW w:w="656" w:type="pct"/>
            <w:shd w:val="clear" w:color="000000" w:fill="FFFFFF"/>
            <w:vAlign w:val="center"/>
            <w:hideMark/>
          </w:tcPr>
          <w:p w14:paraId="0F7D22EA" w14:textId="7C0C2A0E"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45.2%</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40%</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48.7%</w:t>
            </w:r>
          </w:p>
        </w:tc>
      </w:tr>
      <w:tr w:rsidR="00CC310E" w:rsidRPr="00246B02" w14:paraId="79D0453E" w14:textId="77777777" w:rsidTr="00CC310E">
        <w:trPr>
          <w:trHeight w:val="632"/>
        </w:trPr>
        <w:tc>
          <w:tcPr>
            <w:tcW w:w="858" w:type="pct"/>
            <w:shd w:val="clear" w:color="000000" w:fill="FFFFFF"/>
            <w:vAlign w:val="center"/>
          </w:tcPr>
          <w:p w14:paraId="31B39469" w14:textId="509F70A3"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Theme="minorHAnsi" w:hAnsi="Book Antiqua" w:cs="Times New Roman"/>
                <w:color w:val="000000" w:themeColor="text1"/>
                <w:sz w:val="24"/>
                <w:szCs w:val="24"/>
              </w:rPr>
              <w:t xml:space="preserve">Torrisi </w:t>
            </w:r>
            <w:r w:rsidR="00A00700" w:rsidRPr="00246B02">
              <w:rPr>
                <w:rFonts w:ascii="Book Antiqua" w:eastAsiaTheme="minorHAnsi" w:hAnsi="Book Antiqua" w:cs="Times New Roman"/>
                <w:i/>
                <w:color w:val="000000" w:themeColor="text1"/>
                <w:sz w:val="24"/>
                <w:szCs w:val="24"/>
              </w:rPr>
              <w:t xml:space="preserve">et </w:t>
            </w:r>
            <w:r w:rsidR="00AB3D52" w:rsidRPr="00246B02">
              <w:rPr>
                <w:rFonts w:ascii="Book Antiqua" w:eastAsiaTheme="minorHAnsi" w:hAnsi="Book Antiqua" w:cs="Times New Roman"/>
                <w:i/>
                <w:color w:val="000000" w:themeColor="text1"/>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33]</w:t>
            </w:r>
            <w:r w:rsidR="00101E63"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2007</w:t>
            </w:r>
          </w:p>
        </w:tc>
        <w:tc>
          <w:tcPr>
            <w:tcW w:w="697" w:type="pct"/>
            <w:shd w:val="clear" w:color="000000" w:fill="FFFFFF"/>
            <w:vAlign w:val="center"/>
          </w:tcPr>
          <w:p w14:paraId="373E1E02" w14:textId="7F9FC43F"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ER+ </w:t>
            </w:r>
            <w:r w:rsidRPr="00246B02">
              <w:rPr>
                <w:rFonts w:ascii="Book Antiqua" w:eastAsiaTheme="minorHAnsi" w:hAnsi="Book Antiqua" w:cs="Times New Roman"/>
                <w:color w:val="000000" w:themeColor="text1"/>
                <w:sz w:val="24"/>
                <w:szCs w:val="24"/>
              </w:rPr>
              <w:lastRenderedPageBreak/>
              <w:t>T2-T4N0N2</w:t>
            </w:r>
            <w:r w:rsidR="00CC310E">
              <w:rPr>
                <w:rFonts w:ascii="Book Antiqua" w:eastAsiaTheme="minorHAnsi" w:hAnsi="Book Antiqua" w:cs="Times New Roman" w:hint="eastAsia"/>
                <w:color w:val="000000" w:themeColor="text1"/>
                <w:sz w:val="24"/>
                <w:szCs w:val="24"/>
              </w:rPr>
              <w:t xml:space="preserve">; </w:t>
            </w:r>
            <w:r w:rsidRPr="00246B02">
              <w:rPr>
                <w:rFonts w:ascii="Book Antiqua" w:eastAsiaTheme="minorHAnsi" w:hAnsi="Book Antiqua" w:cs="Times New Roman"/>
                <w:color w:val="000000" w:themeColor="text1"/>
                <w:sz w:val="24"/>
                <w:szCs w:val="24"/>
              </w:rPr>
              <w:t>premenopausal</w:t>
            </w:r>
          </w:p>
        </w:tc>
        <w:tc>
          <w:tcPr>
            <w:tcW w:w="915" w:type="pct"/>
            <w:shd w:val="clear" w:color="000000" w:fill="FFFFFF"/>
            <w:vAlign w:val="center"/>
          </w:tcPr>
          <w:p w14:paraId="7D28EE7F" w14:textId="169BCE0C" w:rsidR="00D53D95" w:rsidRPr="00246B02" w:rsidRDefault="008F3D4B" w:rsidP="00246B02">
            <w:pPr>
              <w:spacing w:line="360" w:lineRule="auto"/>
              <w:jc w:val="both"/>
              <w:rPr>
                <w:rFonts w:ascii="Book Antiqua" w:eastAsiaTheme="minorHAnsi" w:hAnsi="Book Antiqua" w:cs="Times New Roman"/>
                <w:color w:val="000000" w:themeColor="text1"/>
                <w:sz w:val="24"/>
                <w:szCs w:val="24"/>
              </w:rPr>
            </w:pPr>
            <w:r w:rsidRPr="00246B02">
              <w:rPr>
                <w:rFonts w:ascii="Book Antiqua" w:eastAsiaTheme="minorHAnsi" w:hAnsi="Book Antiqua" w:cs="Times New Roman"/>
                <w:color w:val="000000" w:themeColor="text1"/>
                <w:sz w:val="24"/>
                <w:szCs w:val="24"/>
              </w:rPr>
              <w:lastRenderedPageBreak/>
              <w:t xml:space="preserve">LET </w:t>
            </w:r>
            <w:r w:rsidR="00D53D95" w:rsidRPr="00246B02">
              <w:rPr>
                <w:rFonts w:ascii="Book Antiqua" w:eastAsia="微软雅黑" w:hAnsi="Book Antiqua" w:cs="宋体"/>
                <w:color w:val="000000" w:themeColor="text1"/>
                <w:kern w:val="0"/>
                <w:sz w:val="24"/>
                <w:szCs w:val="24"/>
              </w:rPr>
              <w:t>2.5</w:t>
            </w:r>
            <w:r w:rsidR="00101E63"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plus</w:t>
            </w:r>
            <w:r w:rsidR="00101E63" w:rsidRPr="00246B02">
              <w:rPr>
                <w:rFonts w:ascii="Book Antiqua" w:eastAsia="微软雅黑" w:hAnsi="Book Antiqua" w:cs="宋体"/>
                <w:color w:val="000000" w:themeColor="text1"/>
                <w:kern w:val="0"/>
                <w:sz w:val="24"/>
                <w:szCs w:val="24"/>
              </w:rPr>
              <w:t xml:space="preserve"> </w:t>
            </w:r>
            <w:r w:rsidR="00D53D95" w:rsidRPr="00246B02">
              <w:rPr>
                <w:rFonts w:ascii="Book Antiqua" w:eastAsiaTheme="minorHAnsi" w:hAnsi="Book Antiqua" w:cs="Times New Roman"/>
                <w:color w:val="000000" w:themeColor="text1"/>
                <w:sz w:val="24"/>
                <w:szCs w:val="24"/>
              </w:rPr>
              <w:lastRenderedPageBreak/>
              <w:t>GnRH</w:t>
            </w:r>
            <w:r w:rsidRPr="00246B02">
              <w:rPr>
                <w:rFonts w:ascii="Book Antiqua" w:eastAsiaTheme="minorHAnsi" w:hAnsi="Book Antiqua" w:cs="Times New Roman"/>
                <w:color w:val="000000" w:themeColor="text1"/>
                <w:sz w:val="24"/>
                <w:szCs w:val="24"/>
              </w:rPr>
              <w:t>a</w:t>
            </w:r>
            <w:r w:rsidR="00D53D95" w:rsidRPr="00246B02">
              <w:rPr>
                <w:rFonts w:ascii="Book Antiqua" w:eastAsiaTheme="minorHAnsi" w:hAnsi="Book Antiqua" w:cs="Times New Roman"/>
                <w:color w:val="000000" w:themeColor="text1"/>
                <w:sz w:val="24"/>
                <w:szCs w:val="24"/>
              </w:rPr>
              <w:t xml:space="preserve"> </w:t>
            </w:r>
            <w:r w:rsidR="00D53D95" w:rsidRPr="00246B02">
              <w:rPr>
                <w:rFonts w:ascii="Book Antiqua" w:eastAsia="微软雅黑" w:hAnsi="Book Antiqua" w:cs="宋体"/>
                <w:color w:val="000000" w:themeColor="text1"/>
                <w:kern w:val="0"/>
                <w:sz w:val="24"/>
                <w:szCs w:val="24"/>
              </w:rPr>
              <w:t>11.25</w:t>
            </w:r>
            <w:r w:rsidR="00101E63"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mg/3</w:t>
            </w:r>
            <w:r w:rsidR="00101E63"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mo</w:t>
            </w:r>
            <w:r w:rsidR="00D53D95" w:rsidRPr="00246B02">
              <w:rPr>
                <w:rFonts w:ascii="Book Antiqua" w:eastAsiaTheme="minorHAnsi" w:hAnsi="Book Antiqua" w:cs="Times New Roman"/>
                <w:color w:val="000000" w:themeColor="text1"/>
                <w:sz w:val="24"/>
                <w:szCs w:val="24"/>
              </w:rPr>
              <w:t xml:space="preserve"> (32)</w:t>
            </w:r>
          </w:p>
        </w:tc>
        <w:tc>
          <w:tcPr>
            <w:tcW w:w="465" w:type="pct"/>
            <w:shd w:val="clear" w:color="000000" w:fill="FFFFFF"/>
            <w:vAlign w:val="center"/>
          </w:tcPr>
          <w:p w14:paraId="265271FA" w14:textId="65BBE1E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4</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43EB56C4"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 xml:space="preserve">OR by clinical </w:t>
            </w:r>
            <w:r w:rsidRPr="00246B02">
              <w:rPr>
                <w:rFonts w:ascii="Book Antiqua" w:hAnsi="Book Antiqua" w:cs="GvmjrxAdvTT35fd26db"/>
                <w:color w:val="000000" w:themeColor="text1"/>
                <w:kern w:val="0"/>
                <w:sz w:val="24"/>
                <w:szCs w:val="24"/>
              </w:rPr>
              <w:lastRenderedPageBreak/>
              <w:t>palpation</w:t>
            </w:r>
          </w:p>
        </w:tc>
        <w:tc>
          <w:tcPr>
            <w:tcW w:w="671" w:type="pct"/>
            <w:shd w:val="clear" w:color="000000" w:fill="FFFFFF"/>
            <w:vAlign w:val="center"/>
          </w:tcPr>
          <w:p w14:paraId="366C79F7"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50%</w:t>
            </w:r>
          </w:p>
        </w:tc>
        <w:tc>
          <w:tcPr>
            <w:tcW w:w="656" w:type="pct"/>
            <w:shd w:val="clear" w:color="000000" w:fill="FFFFFF"/>
            <w:vAlign w:val="center"/>
          </w:tcPr>
          <w:p w14:paraId="7A8FCD9F"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47%</w:t>
            </w:r>
          </w:p>
        </w:tc>
      </w:tr>
      <w:tr w:rsidR="00CC310E" w:rsidRPr="00246B02" w14:paraId="3FF12CD9" w14:textId="77777777" w:rsidTr="00CC310E">
        <w:trPr>
          <w:trHeight w:val="632"/>
        </w:trPr>
        <w:tc>
          <w:tcPr>
            <w:tcW w:w="858" w:type="pct"/>
            <w:shd w:val="clear" w:color="000000" w:fill="FFFFFF"/>
            <w:vAlign w:val="center"/>
          </w:tcPr>
          <w:p w14:paraId="2427BB25" w14:textId="2C4E572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 xml:space="preserve">Masuda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微软雅黑" w:hAnsi="Book Antiqua" w:cs="宋体"/>
                <w:color w:val="000000" w:themeColor="text1"/>
                <w:kern w:val="0"/>
                <w:sz w:val="24"/>
                <w:szCs w:val="24"/>
              </w:rPr>
              <w:t xml:space="preserve"> </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34]</w:t>
            </w:r>
            <w:r w:rsidR="00101E63"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2012</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(STAGE)</w:t>
            </w:r>
          </w:p>
        </w:tc>
        <w:tc>
          <w:tcPr>
            <w:tcW w:w="697" w:type="pct"/>
            <w:shd w:val="clear" w:color="000000" w:fill="FFFFFF"/>
            <w:vAlign w:val="center"/>
          </w:tcPr>
          <w:p w14:paraId="23434F6A" w14:textId="099E9A83" w:rsidR="00D53D95" w:rsidRPr="00246B02" w:rsidRDefault="00803F6F" w:rsidP="00803F6F">
            <w:pPr>
              <w:spacing w:line="360" w:lineRule="auto"/>
              <w:jc w:val="both"/>
              <w:rPr>
                <w:rFonts w:ascii="Book Antiqua" w:eastAsia="微软雅黑" w:hAnsi="Book Antiqua" w:cs="宋体"/>
                <w:color w:val="000000" w:themeColor="text1"/>
                <w:kern w:val="0"/>
                <w:sz w:val="24"/>
                <w:szCs w:val="24"/>
              </w:rPr>
            </w:pPr>
            <w:r>
              <w:rPr>
                <w:rFonts w:ascii="Book Antiqua" w:eastAsia="微软雅黑" w:hAnsi="Book Antiqua" w:cs="宋体"/>
                <w:color w:val="000000" w:themeColor="text1"/>
                <w:kern w:val="0"/>
                <w:sz w:val="24"/>
                <w:szCs w:val="24"/>
              </w:rPr>
              <w:t>ER+ and/or PR+ Her2-</w:t>
            </w:r>
            <w:r w:rsidR="00D53D95" w:rsidRPr="00246B02">
              <w:rPr>
                <w:rFonts w:ascii="Book Antiqua" w:eastAsia="微软雅黑" w:hAnsi="Book Antiqua" w:cs="宋体"/>
                <w:color w:val="000000" w:themeColor="text1"/>
                <w:kern w:val="0"/>
                <w:sz w:val="24"/>
                <w:szCs w:val="24"/>
              </w:rPr>
              <w:t>;</w:t>
            </w:r>
            <w:r>
              <w:rPr>
                <w:rFonts w:ascii="Book Antiqua" w:eastAsia="微软雅黑" w:hAnsi="Book Antiqua" w:cs="宋体" w:hint="eastAsia"/>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Premenopausal</w:t>
            </w:r>
          </w:p>
        </w:tc>
        <w:tc>
          <w:tcPr>
            <w:tcW w:w="915" w:type="pct"/>
            <w:shd w:val="clear" w:color="000000" w:fill="FFFFFF"/>
            <w:vAlign w:val="center"/>
          </w:tcPr>
          <w:p w14:paraId="04C1FE84" w14:textId="66E725FB"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ANA 1</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goseretin</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3.6</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mg/mo</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(98)</w:t>
            </w:r>
            <w:r w:rsidRPr="00246B02">
              <w:rPr>
                <w:rFonts w:ascii="Book Antiqua" w:eastAsia="微软雅黑" w:hAnsi="Book Antiqua" w:cs="宋体"/>
                <w:color w:val="000000" w:themeColor="text1"/>
                <w:kern w:val="0"/>
                <w:sz w:val="24"/>
                <w:szCs w:val="24"/>
              </w:rPr>
              <w:t xml:space="preserve">; (B) </w:t>
            </w:r>
            <w:r w:rsidR="00D53D95" w:rsidRPr="00246B02">
              <w:rPr>
                <w:rFonts w:ascii="Book Antiqua" w:eastAsia="微软雅黑" w:hAnsi="Book Antiqua" w:cs="宋体"/>
                <w:color w:val="000000" w:themeColor="text1"/>
                <w:kern w:val="0"/>
                <w:sz w:val="24"/>
                <w:szCs w:val="24"/>
              </w:rPr>
              <w:t>TAM 20</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goseretin</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3.6</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mg/mo</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(99)</w:t>
            </w:r>
          </w:p>
        </w:tc>
        <w:tc>
          <w:tcPr>
            <w:tcW w:w="465" w:type="pct"/>
            <w:shd w:val="clear" w:color="000000" w:fill="FFFFFF"/>
            <w:vAlign w:val="center"/>
          </w:tcPr>
          <w:p w14:paraId="214DC3D4" w14:textId="72AB4EA1"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24 </w:t>
            </w:r>
            <w:r w:rsidR="00101E63" w:rsidRPr="00246B02">
              <w:rPr>
                <w:rFonts w:ascii="Book Antiqua" w:eastAsia="微软雅黑" w:hAnsi="Book Antiqua" w:cs="宋体"/>
                <w:color w:val="000000" w:themeColor="text1"/>
                <w:kern w:val="0"/>
                <w:sz w:val="24"/>
                <w:szCs w:val="24"/>
              </w:rPr>
              <w:t>wk</w:t>
            </w:r>
          </w:p>
        </w:tc>
        <w:tc>
          <w:tcPr>
            <w:tcW w:w="738" w:type="pct"/>
            <w:shd w:val="clear" w:color="000000" w:fill="FFFFFF"/>
            <w:vAlign w:val="center"/>
          </w:tcPr>
          <w:p w14:paraId="3F5E667F"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ultrasound</w:t>
            </w:r>
          </w:p>
        </w:tc>
        <w:tc>
          <w:tcPr>
            <w:tcW w:w="671" w:type="pct"/>
            <w:shd w:val="clear" w:color="000000" w:fill="FFFFFF"/>
            <w:vAlign w:val="center"/>
          </w:tcPr>
          <w:p w14:paraId="3B03F93D" w14:textId="3FD17D83"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70.4%</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50.5%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0.004)</w:t>
            </w:r>
          </w:p>
        </w:tc>
        <w:tc>
          <w:tcPr>
            <w:tcW w:w="656" w:type="pct"/>
            <w:shd w:val="clear" w:color="000000" w:fill="FFFFFF"/>
            <w:vAlign w:val="center"/>
          </w:tcPr>
          <w:p w14:paraId="227D6750" w14:textId="3AEFE944"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85.7%</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67.6%</w:t>
            </w:r>
          </w:p>
        </w:tc>
      </w:tr>
      <w:tr w:rsidR="00CC310E" w:rsidRPr="00246B02" w14:paraId="5991BC39" w14:textId="77777777" w:rsidTr="00CC310E">
        <w:trPr>
          <w:trHeight w:val="975"/>
        </w:trPr>
        <w:tc>
          <w:tcPr>
            <w:tcW w:w="858" w:type="pct"/>
            <w:shd w:val="clear" w:color="000000" w:fill="FFFFFF"/>
            <w:vAlign w:val="center"/>
          </w:tcPr>
          <w:p w14:paraId="4AF79AF8" w14:textId="60C3E743"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Dellapasqua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35]</w:t>
            </w:r>
            <w:r w:rsidR="00101E63"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2019</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(TREND)</w:t>
            </w:r>
          </w:p>
        </w:tc>
        <w:tc>
          <w:tcPr>
            <w:tcW w:w="697" w:type="pct"/>
            <w:shd w:val="clear" w:color="000000" w:fill="FFFFFF"/>
            <w:vAlign w:val="center"/>
          </w:tcPr>
          <w:p w14:paraId="1800F423" w14:textId="5664D96E" w:rsidR="00D53D95" w:rsidRPr="00246B02" w:rsidRDefault="00CC310E" w:rsidP="00CC310E">
            <w:pPr>
              <w:spacing w:line="360" w:lineRule="auto"/>
              <w:jc w:val="both"/>
              <w:rPr>
                <w:rFonts w:ascii="Book Antiqua" w:eastAsia="微软雅黑" w:hAnsi="Book Antiqua" w:cs="宋体"/>
                <w:color w:val="000000" w:themeColor="text1"/>
                <w:kern w:val="0"/>
                <w:sz w:val="24"/>
                <w:szCs w:val="24"/>
              </w:rPr>
            </w:pPr>
            <w:r>
              <w:rPr>
                <w:rFonts w:ascii="Book Antiqua" w:eastAsia="微软雅黑" w:hAnsi="Book Antiqua" w:cs="宋体"/>
                <w:color w:val="000000" w:themeColor="text1"/>
                <w:kern w:val="0"/>
                <w:sz w:val="24"/>
                <w:szCs w:val="24"/>
              </w:rPr>
              <w:t>ER+ and/or PR+ Her2-</w:t>
            </w:r>
            <w:r w:rsidR="00D53D95" w:rsidRPr="00246B02">
              <w:rPr>
                <w:rFonts w:ascii="Book Antiqua" w:eastAsia="微软雅黑" w:hAnsi="Book Antiqua" w:cs="宋体"/>
                <w:color w:val="000000" w:themeColor="text1"/>
                <w:kern w:val="0"/>
                <w:sz w:val="24"/>
                <w:szCs w:val="24"/>
              </w:rPr>
              <w:t>;</w:t>
            </w:r>
            <w:r>
              <w:rPr>
                <w:rFonts w:ascii="Book Antiqua" w:eastAsia="微软雅黑" w:hAnsi="Book Antiqua" w:cs="宋体" w:hint="eastAsia"/>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Premenopausal</w:t>
            </w:r>
          </w:p>
        </w:tc>
        <w:tc>
          <w:tcPr>
            <w:tcW w:w="915" w:type="pct"/>
            <w:shd w:val="clear" w:color="000000" w:fill="FFFFFF"/>
            <w:vAlign w:val="center"/>
          </w:tcPr>
          <w:p w14:paraId="35DE2B27" w14:textId="3C3A5F8C" w:rsidR="00D53D95" w:rsidRPr="00246B02" w:rsidRDefault="00101E63" w:rsidP="00C9453D">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Triptorelin + letrozole (26)</w:t>
            </w:r>
            <w:r w:rsidRPr="00246B02">
              <w:rPr>
                <w:rFonts w:ascii="Book Antiqua" w:eastAsia="微软雅黑" w:hAnsi="Book Antiqua" w:cs="宋体"/>
                <w:color w:val="000000" w:themeColor="text1"/>
                <w:kern w:val="0"/>
                <w:sz w:val="24"/>
                <w:szCs w:val="24"/>
              </w:rPr>
              <w:t xml:space="preserve">; (B) </w:t>
            </w:r>
            <w:r w:rsidR="00DC0151">
              <w:rPr>
                <w:rFonts w:ascii="Book Antiqua" w:eastAsia="微软雅黑" w:hAnsi="Book Antiqua" w:cs="宋体"/>
                <w:color w:val="000000" w:themeColor="text1"/>
                <w:kern w:val="0"/>
                <w:sz w:val="24"/>
                <w:szCs w:val="24"/>
              </w:rPr>
              <w:t>d</w:t>
            </w:r>
            <w:r w:rsidR="00DC0151" w:rsidRPr="00246B02">
              <w:rPr>
                <w:rFonts w:ascii="Book Antiqua" w:eastAsia="微软雅黑" w:hAnsi="Book Antiqua" w:cs="宋体"/>
                <w:color w:val="000000" w:themeColor="text1"/>
                <w:kern w:val="0"/>
                <w:sz w:val="24"/>
                <w:szCs w:val="24"/>
              </w:rPr>
              <w:t xml:space="preserve">egarelix </w:t>
            </w:r>
            <w:r w:rsidR="00D53D95" w:rsidRPr="00246B02">
              <w:rPr>
                <w:rFonts w:ascii="Book Antiqua" w:eastAsia="微软雅黑" w:hAnsi="Book Antiqua" w:cs="宋体"/>
                <w:color w:val="000000" w:themeColor="text1"/>
                <w:kern w:val="0"/>
                <w:sz w:val="24"/>
                <w:szCs w:val="24"/>
              </w:rPr>
              <w:t>+ letrozole (25)</w:t>
            </w:r>
          </w:p>
        </w:tc>
        <w:tc>
          <w:tcPr>
            <w:tcW w:w="465" w:type="pct"/>
            <w:shd w:val="clear" w:color="000000" w:fill="FFFFFF"/>
            <w:vAlign w:val="center"/>
          </w:tcPr>
          <w:p w14:paraId="272A3C7A" w14:textId="25D07B34"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1A5EEED6" w14:textId="26DA50C8" w:rsidR="00D53D95" w:rsidRPr="00246B02" w:rsidRDefault="00101E63" w:rsidP="00246B02">
            <w:pPr>
              <w:spacing w:line="360" w:lineRule="auto"/>
              <w:jc w:val="both"/>
              <w:rPr>
                <w:rFonts w:ascii="Book Antiqua" w:hAnsi="Book Antiqua" w:cs="GvmjrxAdvTT35fd26db"/>
                <w:color w:val="000000" w:themeColor="text1"/>
                <w:kern w:val="0"/>
                <w:sz w:val="24"/>
                <w:szCs w:val="24"/>
              </w:rPr>
            </w:pPr>
            <w:r w:rsidRPr="00246B02">
              <w:rPr>
                <w:rFonts w:ascii="Book Antiqua" w:hAnsi="Book Antiqua" w:cs="GvmjrxAdvTT35fd26db"/>
                <w:color w:val="000000" w:themeColor="text1"/>
                <w:kern w:val="0"/>
                <w:sz w:val="24"/>
                <w:szCs w:val="24"/>
              </w:rPr>
              <w:t xml:space="preserve">Time </w:t>
            </w:r>
            <w:r w:rsidR="00D53D95" w:rsidRPr="00246B02">
              <w:rPr>
                <w:rFonts w:ascii="Book Antiqua" w:hAnsi="Book Antiqua" w:cs="GvmjrxAdvTT35fd26db"/>
                <w:color w:val="000000" w:themeColor="text1"/>
                <w:kern w:val="0"/>
                <w:sz w:val="24"/>
                <w:szCs w:val="24"/>
              </w:rPr>
              <w:t>to optimal OFS</w:t>
            </w:r>
          </w:p>
        </w:tc>
        <w:tc>
          <w:tcPr>
            <w:tcW w:w="671" w:type="pct"/>
            <w:shd w:val="clear" w:color="000000" w:fill="FFFFFF"/>
            <w:vAlign w:val="center"/>
          </w:tcPr>
          <w:p w14:paraId="46FD4B67"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AdvOTd710a12c"/>
                <w:color w:val="000000" w:themeColor="text1"/>
                <w:kern w:val="0"/>
                <w:sz w:val="24"/>
                <w:szCs w:val="24"/>
              </w:rPr>
              <w:t xml:space="preserve">46.2%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44.0%</w:t>
            </w:r>
          </w:p>
        </w:tc>
        <w:tc>
          <w:tcPr>
            <w:tcW w:w="656" w:type="pct"/>
            <w:shd w:val="clear" w:color="000000" w:fill="FFFFFF"/>
            <w:vAlign w:val="center"/>
          </w:tcPr>
          <w:p w14:paraId="7E428914" w14:textId="61D6663C"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AdvOTd710a12c"/>
                <w:color w:val="000000" w:themeColor="text1"/>
                <w:kern w:val="0"/>
                <w:sz w:val="24"/>
                <w:szCs w:val="24"/>
              </w:rPr>
              <w:t>52.2%</w:t>
            </w:r>
            <w:r w:rsidR="00101E63" w:rsidRPr="00246B02">
              <w:rPr>
                <w:rFonts w:ascii="Book Antiqua" w:hAnsi="Book Antiqua" w:cs="AdvOTd710a12c"/>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42.3%</w:t>
            </w:r>
          </w:p>
        </w:tc>
      </w:tr>
    </w:tbl>
    <w:p w14:paraId="42019629" w14:textId="77777777" w:rsidR="00AB3D52" w:rsidRPr="00246B02" w:rsidRDefault="00AB3D52" w:rsidP="00246B02">
      <w:pPr>
        <w:spacing w:line="360" w:lineRule="auto"/>
        <w:jc w:val="both"/>
        <w:rPr>
          <w:rFonts w:ascii="Book Antiqua" w:eastAsiaTheme="minorHAnsi" w:hAnsi="Book Antiqua" w:cs="Times New Roman"/>
          <w:color w:val="000000" w:themeColor="text1"/>
          <w:sz w:val="24"/>
          <w:szCs w:val="24"/>
        </w:rPr>
      </w:pPr>
    </w:p>
    <w:p w14:paraId="1B2CC0AD" w14:textId="1343AAF0" w:rsidR="00C04A27" w:rsidRPr="00246B02" w:rsidRDefault="00C04A27" w:rsidP="00246B02">
      <w:pPr>
        <w:spacing w:line="360" w:lineRule="auto"/>
        <w:jc w:val="both"/>
        <w:rPr>
          <w:rFonts w:ascii="Book Antiqua" w:hAnsi="Book Antiqua" w:cs="Times New Roman"/>
          <w:color w:val="000000" w:themeColor="text1"/>
          <w:sz w:val="24"/>
          <w:szCs w:val="24"/>
        </w:rPr>
      </w:pPr>
      <w:r w:rsidRPr="00246B02">
        <w:rPr>
          <w:rFonts w:ascii="Book Antiqua" w:eastAsiaTheme="minorHAnsi" w:hAnsi="Book Antiqua" w:cs="Times New Roman"/>
          <w:color w:val="000000" w:themeColor="text1"/>
          <w:sz w:val="24"/>
          <w:szCs w:val="24"/>
        </w:rPr>
        <w:t xml:space="preserve">ER: </w:t>
      </w:r>
      <w:r w:rsidR="00AB3D52" w:rsidRPr="00246B02">
        <w:rPr>
          <w:rFonts w:ascii="Book Antiqua" w:eastAsiaTheme="minorHAnsi" w:hAnsi="Book Antiqua" w:cs="Times New Roman"/>
          <w:color w:val="000000" w:themeColor="text1"/>
          <w:sz w:val="24"/>
          <w:szCs w:val="24"/>
        </w:rPr>
        <w:t xml:space="preserve">Estrogen </w:t>
      </w:r>
      <w:r w:rsidRPr="00246B02">
        <w:rPr>
          <w:rFonts w:ascii="Book Antiqua" w:eastAsiaTheme="minorHAnsi" w:hAnsi="Book Antiqua" w:cs="Times New Roman"/>
          <w:color w:val="000000" w:themeColor="text1"/>
          <w:sz w:val="24"/>
          <w:szCs w:val="24"/>
        </w:rPr>
        <w:t xml:space="preserve">receptor; PR: </w:t>
      </w:r>
      <w:r w:rsidR="00AB3D52" w:rsidRPr="00246B02">
        <w:rPr>
          <w:rFonts w:ascii="Book Antiqua" w:eastAsiaTheme="minorHAnsi" w:hAnsi="Book Antiqua" w:cs="Times New Roman"/>
          <w:color w:val="000000" w:themeColor="text1"/>
          <w:sz w:val="24"/>
          <w:szCs w:val="24"/>
        </w:rPr>
        <w:t xml:space="preserve">Progesterone </w:t>
      </w:r>
      <w:r w:rsidRPr="00246B02">
        <w:rPr>
          <w:rFonts w:ascii="Book Antiqua" w:eastAsiaTheme="minorHAnsi" w:hAnsi="Book Antiqua" w:cs="Times New Roman"/>
          <w:color w:val="000000" w:themeColor="text1"/>
          <w:sz w:val="24"/>
          <w:szCs w:val="24"/>
        </w:rPr>
        <w:t>receptor; EXE:</w:t>
      </w:r>
      <w:r w:rsidRPr="00246B02">
        <w:rPr>
          <w:rFonts w:ascii="Book Antiqua" w:hAnsi="Book Antiqua" w:cs="Times New Roman"/>
          <w:color w:val="000000" w:themeColor="text1"/>
          <w:sz w:val="24"/>
          <w:szCs w:val="24"/>
        </w:rPr>
        <w:t xml:space="preserve"> </w:t>
      </w:r>
      <w:r w:rsidR="00AB3D52" w:rsidRPr="00246B02">
        <w:rPr>
          <w:rFonts w:ascii="Book Antiqua" w:hAnsi="Book Antiqua" w:cs="Times New Roman"/>
          <w:color w:val="000000" w:themeColor="text1"/>
          <w:sz w:val="24"/>
          <w:szCs w:val="24"/>
        </w:rPr>
        <w:t>Exemestane</w:t>
      </w:r>
      <w:r w:rsidRPr="00246B02">
        <w:rPr>
          <w:rFonts w:ascii="Book Antiqua" w:hAnsi="Book Antiqua" w:cs="Times New Roman"/>
          <w:color w:val="000000" w:themeColor="text1"/>
          <w:sz w:val="24"/>
          <w:szCs w:val="24"/>
        </w:rPr>
        <w:t xml:space="preserve">; ANA: </w:t>
      </w:r>
      <w:r w:rsidR="00AB3D52" w:rsidRPr="00246B02">
        <w:rPr>
          <w:rFonts w:ascii="Book Antiqua" w:hAnsi="Book Antiqua" w:cs="Times New Roman"/>
          <w:color w:val="000000" w:themeColor="text1"/>
          <w:sz w:val="24"/>
          <w:szCs w:val="24"/>
        </w:rPr>
        <w:t>Anastrozole</w:t>
      </w:r>
      <w:r w:rsidRPr="00246B02">
        <w:rPr>
          <w:rFonts w:ascii="Book Antiqua" w:hAnsi="Book Antiqua" w:cs="Times New Roman"/>
          <w:color w:val="000000" w:themeColor="text1"/>
          <w:sz w:val="24"/>
          <w:szCs w:val="24"/>
        </w:rPr>
        <w:t xml:space="preserve">; LET: </w:t>
      </w:r>
      <w:r w:rsidR="00AB3D52" w:rsidRPr="00246B02">
        <w:rPr>
          <w:rFonts w:ascii="Book Antiqua" w:hAnsi="Book Antiqua" w:cs="Times New Roman"/>
          <w:color w:val="000000" w:themeColor="text1"/>
          <w:sz w:val="24"/>
          <w:szCs w:val="24"/>
        </w:rPr>
        <w:t>Letrozole</w:t>
      </w:r>
      <w:r w:rsidRPr="00246B02">
        <w:rPr>
          <w:rFonts w:ascii="Book Antiqua" w:hAnsi="Book Antiqua" w:cs="Times New Roman"/>
          <w:color w:val="000000" w:themeColor="text1"/>
          <w:sz w:val="24"/>
          <w:szCs w:val="24"/>
        </w:rPr>
        <w:t xml:space="preserve">; </w:t>
      </w:r>
      <w:r w:rsidR="00673A84" w:rsidRPr="00246B02">
        <w:rPr>
          <w:rFonts w:ascii="Book Antiqua" w:hAnsi="Book Antiqua" w:cs="Times New Roman"/>
          <w:color w:val="000000" w:themeColor="text1"/>
          <w:sz w:val="24"/>
          <w:szCs w:val="24"/>
        </w:rPr>
        <w:t xml:space="preserve">FUL: </w:t>
      </w:r>
      <w:r w:rsidR="00AB3D52" w:rsidRPr="00246B02">
        <w:rPr>
          <w:rFonts w:ascii="Book Antiqua" w:hAnsi="Book Antiqua" w:cs="Times New Roman"/>
          <w:color w:val="000000" w:themeColor="text1"/>
          <w:sz w:val="24"/>
          <w:szCs w:val="24"/>
        </w:rPr>
        <w:t>Fulvestrant</w:t>
      </w:r>
      <w:r w:rsidR="00673A8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TAM: </w:t>
      </w:r>
      <w:r w:rsidR="00AB3D52" w:rsidRPr="00246B02">
        <w:rPr>
          <w:rFonts w:ascii="Book Antiqua" w:hAnsi="Book Antiqua" w:cs="Times New Roman"/>
          <w:color w:val="000000" w:themeColor="text1"/>
          <w:sz w:val="24"/>
          <w:szCs w:val="24"/>
        </w:rPr>
        <w:t>Tamoxifen</w:t>
      </w:r>
      <w:r w:rsidRPr="00246B02">
        <w:rPr>
          <w:rFonts w:ascii="Book Antiqua" w:hAnsi="Book Antiqua" w:cs="Times New Roman"/>
          <w:color w:val="000000" w:themeColor="text1"/>
          <w:sz w:val="24"/>
          <w:szCs w:val="24"/>
        </w:rPr>
        <w:t xml:space="preserve">; OR: </w:t>
      </w:r>
      <w:r w:rsidR="00AB3D52" w:rsidRPr="00246B02">
        <w:rPr>
          <w:rFonts w:ascii="Book Antiqua" w:hAnsi="Book Antiqua" w:cs="Times New Roman"/>
          <w:color w:val="000000" w:themeColor="text1"/>
          <w:sz w:val="24"/>
          <w:szCs w:val="24"/>
        </w:rPr>
        <w:t xml:space="preserve">Objective </w:t>
      </w:r>
      <w:r w:rsidRPr="00246B02">
        <w:rPr>
          <w:rFonts w:ascii="Book Antiqua" w:hAnsi="Book Antiqua" w:cs="Times New Roman"/>
          <w:color w:val="000000" w:themeColor="text1"/>
          <w:sz w:val="24"/>
          <w:szCs w:val="24"/>
        </w:rPr>
        <w:t xml:space="preserve">response; OFS: </w:t>
      </w:r>
      <w:r w:rsidR="00AB3D52" w:rsidRPr="00246B02">
        <w:rPr>
          <w:rFonts w:ascii="Book Antiqua" w:hAnsi="Book Antiqua" w:cs="Times New Roman"/>
          <w:color w:val="000000" w:themeColor="text1"/>
          <w:sz w:val="24"/>
          <w:szCs w:val="24"/>
        </w:rPr>
        <w:t xml:space="preserve">Ovarian </w:t>
      </w:r>
      <w:r w:rsidRPr="00246B02">
        <w:rPr>
          <w:rFonts w:ascii="Book Antiqua" w:hAnsi="Book Antiqua" w:cs="Times New Roman"/>
          <w:color w:val="000000" w:themeColor="text1"/>
          <w:sz w:val="24"/>
          <w:szCs w:val="24"/>
        </w:rPr>
        <w:t xml:space="preserve">function suppression; BCS: </w:t>
      </w:r>
      <w:r w:rsidR="00AB3D52" w:rsidRPr="00246B02">
        <w:rPr>
          <w:rFonts w:ascii="Book Antiqua" w:hAnsi="Book Antiqua" w:cs="Times New Roman"/>
          <w:color w:val="000000" w:themeColor="text1"/>
          <w:sz w:val="24"/>
          <w:szCs w:val="24"/>
        </w:rPr>
        <w:t>Breast</w:t>
      </w:r>
      <w:r w:rsidRPr="00246B02">
        <w:rPr>
          <w:rFonts w:ascii="Book Antiqua" w:hAnsi="Book Antiqua" w:cs="Times New Roman"/>
          <w:color w:val="000000" w:themeColor="text1"/>
          <w:sz w:val="24"/>
          <w:szCs w:val="24"/>
        </w:rPr>
        <w:t>-conserving surgery</w:t>
      </w:r>
      <w:r w:rsidR="00AB3D52" w:rsidRPr="00246B02">
        <w:rPr>
          <w:rFonts w:ascii="Book Antiqua" w:hAnsi="Book Antiqua" w:cs="Times New Roman"/>
          <w:color w:val="000000" w:themeColor="text1"/>
          <w:sz w:val="24"/>
          <w:szCs w:val="24"/>
        </w:rPr>
        <w:t>.</w:t>
      </w:r>
    </w:p>
    <w:p w14:paraId="56EEB7E9" w14:textId="1F12494D" w:rsidR="00101E63" w:rsidRPr="00246B02" w:rsidRDefault="00101E63"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br w:type="page"/>
      </w:r>
    </w:p>
    <w:p w14:paraId="6B9320E8" w14:textId="725BC04A" w:rsidR="00101E63" w:rsidRPr="00246B02" w:rsidRDefault="00101E63" w:rsidP="00246B02">
      <w:pPr>
        <w:spacing w:line="360" w:lineRule="auto"/>
        <w:jc w:val="both"/>
        <w:rPr>
          <w:rFonts w:ascii="Book Antiqua" w:eastAsiaTheme="minorHAnsi" w:hAnsi="Book Antiqua" w:cs="Times New Roman"/>
          <w:b/>
          <w:color w:val="000000" w:themeColor="text1"/>
          <w:sz w:val="24"/>
          <w:szCs w:val="24"/>
        </w:rPr>
      </w:pPr>
      <w:r w:rsidRPr="00246B02">
        <w:rPr>
          <w:rFonts w:ascii="Book Antiqua" w:eastAsiaTheme="minorHAnsi" w:hAnsi="Book Antiqua" w:cs="Times New Roman"/>
          <w:b/>
          <w:color w:val="000000" w:themeColor="text1"/>
          <w:sz w:val="24"/>
          <w:szCs w:val="24"/>
        </w:rPr>
        <w:lastRenderedPageBreak/>
        <w:t xml:space="preserve">Table 3 </w:t>
      </w:r>
      <w:proofErr w:type="gramStart"/>
      <w:r w:rsidRPr="00246B02">
        <w:rPr>
          <w:rFonts w:ascii="Book Antiqua" w:eastAsiaTheme="minorHAnsi" w:hAnsi="Book Antiqua" w:cs="Times New Roman"/>
          <w:b/>
          <w:color w:val="000000" w:themeColor="text1"/>
          <w:sz w:val="24"/>
          <w:szCs w:val="24"/>
        </w:rPr>
        <w:t>The</w:t>
      </w:r>
      <w:proofErr w:type="gramEnd"/>
      <w:r w:rsidRPr="00246B02">
        <w:rPr>
          <w:rFonts w:ascii="Book Antiqua" w:eastAsiaTheme="minorHAnsi" w:hAnsi="Book Antiqua" w:cs="Times New Roman"/>
          <w:b/>
          <w:color w:val="000000" w:themeColor="text1"/>
          <w:sz w:val="24"/>
          <w:szCs w:val="24"/>
        </w:rPr>
        <w:t xml:space="preserve"> optimal targeted agents</w:t>
      </w:r>
    </w:p>
    <w:p w14:paraId="44ECD968" w14:textId="77777777" w:rsidR="00101E63" w:rsidRPr="00246B02" w:rsidRDefault="00101E63" w:rsidP="00246B02">
      <w:pPr>
        <w:spacing w:line="360" w:lineRule="auto"/>
        <w:jc w:val="both"/>
        <w:rPr>
          <w:rFonts w:ascii="Book Antiqua" w:eastAsiaTheme="minorHAnsi" w:hAnsi="Book Antiqua" w:cs="Times New Roman"/>
          <w:color w:val="000000" w:themeColor="text1"/>
          <w:sz w:val="24"/>
          <w:szCs w:val="24"/>
        </w:rPr>
        <w:sectPr w:rsidR="00101E63" w:rsidRPr="00246B02" w:rsidSect="00AB3D52">
          <w:pgSz w:w="16840" w:h="16443" w:orient="landscape"/>
          <w:pgMar w:top="1797" w:right="1440" w:bottom="4780" w:left="1440" w:header="851" w:footer="992" w:gutter="0"/>
          <w:cols w:space="425"/>
          <w:docGrid w:type="lines" w:linePitch="312"/>
        </w:sectPr>
      </w:pPr>
    </w:p>
    <w:tbl>
      <w:tblPr>
        <w:tblpPr w:leftFromText="180" w:rightFromText="180" w:vertAnchor="page" w:horzAnchor="page" w:tblpXSpec="center" w:tblpY="1861"/>
        <w:tblW w:w="5489" w:type="pct"/>
        <w:tblBorders>
          <w:top w:val="single" w:sz="4" w:space="0" w:color="auto"/>
          <w:bottom w:val="single" w:sz="4" w:space="0" w:color="auto"/>
        </w:tblBorders>
        <w:tblLook w:val="04A0" w:firstRow="1" w:lastRow="0" w:firstColumn="1" w:lastColumn="0" w:noHBand="0" w:noVBand="1"/>
      </w:tblPr>
      <w:tblGrid>
        <w:gridCol w:w="2612"/>
        <w:gridCol w:w="4450"/>
        <w:gridCol w:w="1232"/>
        <w:gridCol w:w="3196"/>
        <w:gridCol w:w="4070"/>
      </w:tblGrid>
      <w:tr w:rsidR="00246B02" w:rsidRPr="00246B02" w14:paraId="74611A6D" w14:textId="77777777" w:rsidTr="00E903A7">
        <w:trPr>
          <w:trHeight w:val="975"/>
        </w:trPr>
        <w:tc>
          <w:tcPr>
            <w:tcW w:w="839" w:type="pct"/>
            <w:tcBorders>
              <w:top w:val="single" w:sz="4" w:space="0" w:color="auto"/>
              <w:bottom w:val="single" w:sz="4" w:space="0" w:color="auto"/>
            </w:tcBorders>
            <w:shd w:val="clear" w:color="000000" w:fill="FFFFFF"/>
            <w:vAlign w:val="center"/>
          </w:tcPr>
          <w:p w14:paraId="1EE87C80" w14:textId="26705527" w:rsidR="00DF7141" w:rsidRPr="00246B02" w:rsidRDefault="00DF7141"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lastRenderedPageBreak/>
              <w:t xml:space="preserve">Clinical </w:t>
            </w:r>
            <w:r w:rsidR="00E903A7" w:rsidRPr="00246B02">
              <w:rPr>
                <w:rFonts w:ascii="Book Antiqua" w:eastAsia="微软雅黑" w:hAnsi="Book Antiqua" w:cs="宋体"/>
                <w:b/>
                <w:color w:val="000000" w:themeColor="text1"/>
                <w:kern w:val="0"/>
                <w:sz w:val="24"/>
                <w:szCs w:val="24"/>
              </w:rPr>
              <w:t>trial</w:t>
            </w:r>
          </w:p>
        </w:tc>
        <w:tc>
          <w:tcPr>
            <w:tcW w:w="1430" w:type="pct"/>
            <w:tcBorders>
              <w:top w:val="single" w:sz="4" w:space="0" w:color="auto"/>
              <w:bottom w:val="single" w:sz="4" w:space="0" w:color="auto"/>
            </w:tcBorders>
            <w:shd w:val="clear" w:color="000000" w:fill="FFFFFF"/>
            <w:vAlign w:val="center"/>
          </w:tcPr>
          <w:p w14:paraId="1DBDFBEF" w14:textId="7B73D618" w:rsidR="00DF7141" w:rsidRPr="00246B02" w:rsidRDefault="00DF7141"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 xml:space="preserve">Treatment </w:t>
            </w:r>
            <w:r w:rsidR="00101E63" w:rsidRPr="00246B02">
              <w:rPr>
                <w:rFonts w:ascii="Book Antiqua" w:eastAsia="微软雅黑" w:hAnsi="Book Antiqua" w:cs="宋体"/>
                <w:b/>
                <w:color w:val="000000" w:themeColor="text1"/>
                <w:kern w:val="0"/>
                <w:sz w:val="24"/>
                <w:szCs w:val="24"/>
              </w:rPr>
              <w:t xml:space="preserve">arms </w:t>
            </w:r>
            <w:r w:rsidRPr="00246B02">
              <w:rPr>
                <w:rFonts w:ascii="Book Antiqua" w:eastAsia="微软雅黑" w:hAnsi="Book Antiqua" w:cs="宋体"/>
                <w:b/>
                <w:color w:val="000000" w:themeColor="text1"/>
                <w:kern w:val="0"/>
                <w:sz w:val="24"/>
                <w:szCs w:val="24"/>
              </w:rPr>
              <w:t>(</w:t>
            </w:r>
            <w:r w:rsidRPr="00246B02">
              <w:rPr>
                <w:rFonts w:ascii="Book Antiqua" w:eastAsia="微软雅黑" w:hAnsi="Book Antiqua" w:cs="宋体"/>
                <w:b/>
                <w:i/>
                <w:color w:val="000000" w:themeColor="text1"/>
                <w:kern w:val="0"/>
                <w:sz w:val="24"/>
                <w:szCs w:val="24"/>
              </w:rPr>
              <w:t>n</w:t>
            </w:r>
            <w:r w:rsidRPr="00246B02">
              <w:rPr>
                <w:rFonts w:ascii="Book Antiqua" w:eastAsia="微软雅黑" w:hAnsi="Book Antiqua" w:cs="宋体"/>
                <w:b/>
                <w:color w:val="000000" w:themeColor="text1"/>
                <w:kern w:val="0"/>
                <w:sz w:val="24"/>
                <w:szCs w:val="24"/>
              </w:rPr>
              <w:t>)</w:t>
            </w:r>
          </w:p>
        </w:tc>
        <w:tc>
          <w:tcPr>
            <w:tcW w:w="396" w:type="pct"/>
            <w:tcBorders>
              <w:top w:val="single" w:sz="4" w:space="0" w:color="auto"/>
              <w:bottom w:val="single" w:sz="4" w:space="0" w:color="auto"/>
            </w:tcBorders>
            <w:shd w:val="clear" w:color="000000" w:fill="FFFFFF"/>
            <w:vAlign w:val="center"/>
          </w:tcPr>
          <w:p w14:paraId="1C76C177" w14:textId="77777777" w:rsidR="00DF7141" w:rsidRPr="00246B02" w:rsidRDefault="00DF7141"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Duration</w:t>
            </w:r>
          </w:p>
        </w:tc>
        <w:tc>
          <w:tcPr>
            <w:tcW w:w="1027" w:type="pct"/>
            <w:tcBorders>
              <w:top w:val="single" w:sz="4" w:space="0" w:color="auto"/>
              <w:bottom w:val="single" w:sz="4" w:space="0" w:color="auto"/>
            </w:tcBorders>
            <w:shd w:val="clear" w:color="000000" w:fill="FFFFFF"/>
            <w:vAlign w:val="center"/>
          </w:tcPr>
          <w:p w14:paraId="12E8AA34" w14:textId="31C1A061" w:rsidR="00DF7141" w:rsidRPr="00246B02" w:rsidRDefault="00DF7141"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 xml:space="preserve">Primary </w:t>
            </w:r>
            <w:r w:rsidR="00E903A7" w:rsidRPr="00246B02">
              <w:rPr>
                <w:rFonts w:ascii="Book Antiqua" w:eastAsia="微软雅黑" w:hAnsi="Book Antiqua" w:cs="宋体"/>
                <w:b/>
                <w:color w:val="000000" w:themeColor="text1"/>
                <w:kern w:val="0"/>
                <w:sz w:val="24"/>
                <w:szCs w:val="24"/>
              </w:rPr>
              <w:t>endpoint</w:t>
            </w:r>
          </w:p>
        </w:tc>
        <w:tc>
          <w:tcPr>
            <w:tcW w:w="1308" w:type="pct"/>
            <w:tcBorders>
              <w:top w:val="single" w:sz="4" w:space="0" w:color="auto"/>
              <w:bottom w:val="single" w:sz="4" w:space="0" w:color="auto"/>
            </w:tcBorders>
            <w:shd w:val="clear" w:color="000000" w:fill="FFFFFF"/>
            <w:vAlign w:val="center"/>
          </w:tcPr>
          <w:p w14:paraId="02D65AAC" w14:textId="549BBA5D" w:rsidR="00DF7141" w:rsidRPr="00246B02" w:rsidRDefault="00DF7141" w:rsidP="00246B02">
            <w:pPr>
              <w:spacing w:line="360" w:lineRule="auto"/>
              <w:jc w:val="both"/>
              <w:rPr>
                <w:rFonts w:ascii="Book Antiqua" w:hAnsi="Book Antiqua" w:cs="AdvOTd710a12c"/>
                <w:b/>
                <w:color w:val="000000" w:themeColor="text1"/>
                <w:kern w:val="0"/>
                <w:sz w:val="24"/>
                <w:szCs w:val="24"/>
              </w:rPr>
            </w:pPr>
            <w:r w:rsidRPr="00246B02">
              <w:rPr>
                <w:rFonts w:ascii="Book Antiqua" w:hAnsi="Book Antiqua" w:cs="AdvOTd710a12c"/>
                <w:b/>
                <w:color w:val="000000" w:themeColor="text1"/>
                <w:kern w:val="0"/>
                <w:sz w:val="24"/>
                <w:szCs w:val="24"/>
              </w:rPr>
              <w:t>Response (</w:t>
            </w:r>
            <w:r w:rsidRPr="00246B02">
              <w:rPr>
                <w:rFonts w:ascii="Book Antiqua" w:eastAsia="微软雅黑" w:hAnsi="Book Antiqua" w:cs="宋体"/>
                <w:b/>
                <w:color w:val="000000" w:themeColor="text1"/>
                <w:kern w:val="0"/>
                <w:sz w:val="24"/>
                <w:szCs w:val="24"/>
              </w:rPr>
              <w:t xml:space="preserve"> Primary </w:t>
            </w:r>
            <w:r w:rsidR="00E903A7" w:rsidRPr="00246B02">
              <w:rPr>
                <w:rFonts w:ascii="Book Antiqua" w:eastAsia="微软雅黑" w:hAnsi="Book Antiqua" w:cs="宋体"/>
                <w:b/>
                <w:color w:val="000000" w:themeColor="text1"/>
                <w:kern w:val="0"/>
                <w:sz w:val="24"/>
                <w:szCs w:val="24"/>
              </w:rPr>
              <w:t>endpoint</w:t>
            </w:r>
            <w:r w:rsidRPr="00246B02">
              <w:rPr>
                <w:rFonts w:ascii="Book Antiqua" w:hAnsi="Book Antiqua" w:cs="AdvOTd710a12c"/>
                <w:b/>
                <w:color w:val="000000" w:themeColor="text1"/>
                <w:kern w:val="0"/>
                <w:sz w:val="24"/>
                <w:szCs w:val="24"/>
              </w:rPr>
              <w:t>)</w:t>
            </w:r>
          </w:p>
        </w:tc>
      </w:tr>
      <w:tr w:rsidR="00246B02" w:rsidRPr="00246B02" w14:paraId="6FCD7955" w14:textId="77777777" w:rsidTr="00E903A7">
        <w:trPr>
          <w:trHeight w:val="975"/>
        </w:trPr>
        <w:tc>
          <w:tcPr>
            <w:tcW w:w="839" w:type="pct"/>
            <w:tcBorders>
              <w:top w:val="single" w:sz="4" w:space="0" w:color="auto"/>
            </w:tcBorders>
            <w:shd w:val="clear" w:color="000000" w:fill="FFFFFF"/>
            <w:vAlign w:val="center"/>
          </w:tcPr>
          <w:p w14:paraId="41C1FBAF" w14:textId="24E631A1"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Johnston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37]</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2019</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(PALLET)</w:t>
            </w:r>
          </w:p>
        </w:tc>
        <w:tc>
          <w:tcPr>
            <w:tcW w:w="1430" w:type="pct"/>
            <w:tcBorders>
              <w:top w:val="single" w:sz="4" w:space="0" w:color="auto"/>
            </w:tcBorders>
            <w:shd w:val="clear" w:color="000000" w:fill="FFFFFF"/>
            <w:vAlign w:val="center"/>
          </w:tcPr>
          <w:p w14:paraId="5DB000DC" w14:textId="715D4368"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LET 14</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(103)</w:t>
            </w:r>
            <w:r w:rsidRPr="00246B02">
              <w:rPr>
                <w:rFonts w:ascii="Book Antiqua" w:eastAsia="微软雅黑" w:hAnsi="Book Antiqua" w:cs="宋体"/>
                <w:color w:val="000000" w:themeColor="text1"/>
                <w:kern w:val="0"/>
                <w:sz w:val="24"/>
                <w:szCs w:val="24"/>
              </w:rPr>
              <w:t xml:space="preserve">; (B) </w:t>
            </w:r>
            <w:r w:rsidR="00DF7141" w:rsidRPr="00246B02">
              <w:rPr>
                <w:rFonts w:ascii="Book Antiqua" w:eastAsia="微软雅黑" w:hAnsi="Book Antiqua" w:cs="宋体"/>
                <w:color w:val="000000" w:themeColor="text1"/>
                <w:kern w:val="0"/>
                <w:sz w:val="24"/>
                <w:szCs w:val="24"/>
              </w:rPr>
              <w:t>LET 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followed by LET +</w:t>
            </w:r>
            <w:r w:rsidR="00963471">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PAL 12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(68)</w:t>
            </w:r>
            <w:r w:rsidRPr="00246B02">
              <w:rPr>
                <w:rFonts w:ascii="Book Antiqua" w:eastAsia="微软雅黑" w:hAnsi="Book Antiqua" w:cs="宋体"/>
                <w:color w:val="000000" w:themeColor="text1"/>
                <w:kern w:val="0"/>
                <w:sz w:val="24"/>
                <w:szCs w:val="24"/>
              </w:rPr>
              <w:t xml:space="preserve">; (C) </w:t>
            </w:r>
            <w:r w:rsidR="00DF7141" w:rsidRPr="00246B02">
              <w:rPr>
                <w:rFonts w:ascii="Book Antiqua" w:eastAsia="微软雅黑" w:hAnsi="Book Antiqua" w:cs="宋体"/>
                <w:color w:val="000000" w:themeColor="text1"/>
                <w:kern w:val="0"/>
                <w:sz w:val="24"/>
                <w:szCs w:val="24"/>
              </w:rPr>
              <w:t>PAL 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followed by LET +</w:t>
            </w:r>
            <w:r w:rsidR="00963471">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PAL (69)</w:t>
            </w:r>
            <w:r w:rsidRPr="00246B02">
              <w:rPr>
                <w:rFonts w:ascii="Book Antiqua" w:eastAsia="微软雅黑" w:hAnsi="Book Antiqua" w:cs="宋体"/>
                <w:color w:val="000000" w:themeColor="text1"/>
                <w:kern w:val="0"/>
                <w:sz w:val="24"/>
                <w:szCs w:val="24"/>
              </w:rPr>
              <w:t>; (D)</w:t>
            </w:r>
            <w:r w:rsidR="00DF7141" w:rsidRPr="00246B02">
              <w:rPr>
                <w:rFonts w:ascii="Book Antiqua" w:eastAsia="微软雅黑" w:hAnsi="Book Antiqua" w:cs="宋体"/>
                <w:color w:val="000000" w:themeColor="text1"/>
                <w:kern w:val="0"/>
                <w:sz w:val="24"/>
                <w:szCs w:val="24"/>
              </w:rPr>
              <w:t xml:space="preserve"> LET +</w:t>
            </w:r>
            <w:r w:rsidR="00963471">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PAL 14</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(67)</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LET</w:t>
            </w:r>
            <w:r w:rsidR="00DF7141"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2.5 mg/d PAL: 125</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mg/d</w:t>
            </w:r>
          </w:p>
        </w:tc>
        <w:tc>
          <w:tcPr>
            <w:tcW w:w="396" w:type="pct"/>
            <w:tcBorders>
              <w:top w:val="single" w:sz="4" w:space="0" w:color="auto"/>
            </w:tcBorders>
            <w:shd w:val="clear" w:color="000000" w:fill="FFFFFF"/>
            <w:vAlign w:val="center"/>
          </w:tcPr>
          <w:p w14:paraId="441DF307" w14:textId="1C318B0E"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14</w:t>
            </w:r>
            <w:r w:rsidR="00E903A7" w:rsidRPr="00246B02">
              <w:rPr>
                <w:rFonts w:ascii="Book Antiqua" w:eastAsia="微软雅黑" w:hAnsi="Book Antiqua" w:cs="宋体"/>
                <w:color w:val="000000" w:themeColor="text1"/>
                <w:kern w:val="0"/>
                <w:sz w:val="24"/>
                <w:szCs w:val="24"/>
              </w:rPr>
              <w:t xml:space="preserve"> wk</w:t>
            </w:r>
          </w:p>
        </w:tc>
        <w:tc>
          <w:tcPr>
            <w:tcW w:w="1027" w:type="pct"/>
            <w:tcBorders>
              <w:top w:val="single" w:sz="4" w:space="0" w:color="auto"/>
            </w:tcBorders>
            <w:shd w:val="clear" w:color="000000" w:fill="FFFFFF"/>
            <w:vAlign w:val="center"/>
          </w:tcPr>
          <w:p w14:paraId="66B7DD6F" w14:textId="71BF79CB" w:rsidR="00DF7141" w:rsidRPr="00246B02" w:rsidRDefault="00E903A7"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Clinical </w:t>
            </w:r>
            <w:r w:rsidR="00DF7141" w:rsidRPr="00246B02">
              <w:rPr>
                <w:rFonts w:ascii="Book Antiqua" w:hAnsi="Book Antiqua" w:cs="AdvOTd710a12c"/>
                <w:color w:val="000000" w:themeColor="text1"/>
                <w:kern w:val="0"/>
                <w:sz w:val="24"/>
                <w:szCs w:val="24"/>
              </w:rPr>
              <w:t>response by ultrasound</w:t>
            </w:r>
            <w:r w:rsidRPr="00246B02">
              <w:rPr>
                <w:rFonts w:ascii="Book Antiqua" w:hAnsi="Book Antiqua" w:cs="AdvOTd710a12c"/>
                <w:color w:val="000000" w:themeColor="text1"/>
                <w:kern w:val="0"/>
                <w:sz w:val="24"/>
                <w:szCs w:val="24"/>
              </w:rPr>
              <w:t xml:space="preserve"> and median </w:t>
            </w:r>
            <w:r w:rsidR="00DF7141" w:rsidRPr="00246B02">
              <w:rPr>
                <w:rFonts w:ascii="Book Antiqua" w:hAnsi="Book Antiqua" w:cs="AdvOTd710a12c"/>
                <w:color w:val="000000" w:themeColor="text1"/>
                <w:kern w:val="0"/>
                <w:sz w:val="24"/>
                <w:szCs w:val="24"/>
              </w:rPr>
              <w:t>log-fold change in Ki-67 expression</w:t>
            </w:r>
          </w:p>
        </w:tc>
        <w:tc>
          <w:tcPr>
            <w:tcW w:w="1308" w:type="pct"/>
            <w:tcBorders>
              <w:top w:val="single" w:sz="4" w:space="0" w:color="auto"/>
            </w:tcBorders>
            <w:shd w:val="clear" w:color="000000" w:fill="FFFFFF"/>
            <w:vAlign w:val="center"/>
          </w:tcPr>
          <w:p w14:paraId="637738DE" w14:textId="6C4688BE"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A </w:t>
            </w:r>
            <w:r w:rsidRPr="00246B02">
              <w:rPr>
                <w:rFonts w:ascii="Book Antiqua" w:hAnsi="Book Antiqua" w:cs="AdvOTa82dc243.I"/>
                <w:i/>
                <w:color w:val="000000" w:themeColor="text1"/>
                <w:kern w:val="0"/>
                <w:sz w:val="24"/>
                <w:szCs w:val="24"/>
              </w:rPr>
              <w:t>vs</w:t>
            </w:r>
            <w:r w:rsidRPr="00246B02">
              <w:rPr>
                <w:rFonts w:ascii="Book Antiqua" w:hAnsi="Book Antiqua" w:cs="AdvOTa82dc243.I"/>
                <w:color w:val="000000" w:themeColor="text1"/>
                <w:kern w:val="0"/>
                <w:sz w:val="24"/>
                <w:szCs w:val="24"/>
              </w:rPr>
              <w:t xml:space="preserve"> </w:t>
            </w:r>
            <w:r w:rsidR="00E903A7" w:rsidRPr="00246B02">
              <w:rPr>
                <w:rFonts w:ascii="Book Antiqua" w:hAnsi="Book Antiqua" w:cs="AdvOTd710a12c"/>
                <w:color w:val="000000" w:themeColor="text1"/>
                <w:kern w:val="0"/>
                <w:sz w:val="24"/>
                <w:szCs w:val="24"/>
              </w:rPr>
              <w:t xml:space="preserve">B + C + D: </w:t>
            </w:r>
            <w:r w:rsidRPr="00246B02">
              <w:rPr>
                <w:rFonts w:ascii="Book Antiqua" w:hAnsi="Book Antiqua" w:cs="AdvOTd710a12c"/>
                <w:color w:val="000000" w:themeColor="text1"/>
                <w:kern w:val="0"/>
                <w:sz w:val="24"/>
                <w:szCs w:val="24"/>
              </w:rPr>
              <w:t xml:space="preserve">54.3% </w:t>
            </w:r>
            <w:r w:rsidRPr="00246B02">
              <w:rPr>
                <w:rFonts w:ascii="Book Antiqua" w:hAnsi="Book Antiqua" w:cs="AdvOTd710a12c"/>
                <w:i/>
                <w:color w:val="000000" w:themeColor="text1"/>
                <w:kern w:val="0"/>
                <w:sz w:val="24"/>
                <w:szCs w:val="24"/>
              </w:rPr>
              <w:t>v</w:t>
            </w:r>
            <w:r w:rsidR="00E903A7" w:rsidRPr="00246B02">
              <w:rPr>
                <w:rFonts w:ascii="Book Antiqua" w:hAnsi="Book Antiqua" w:cs="AdvOTd710a12c"/>
                <w:i/>
                <w:color w:val="000000" w:themeColor="text1"/>
                <w:kern w:val="0"/>
                <w:sz w:val="24"/>
                <w:szCs w:val="24"/>
              </w:rPr>
              <w:t>s</w:t>
            </w:r>
            <w:r w:rsidRPr="00246B02">
              <w:rPr>
                <w:rFonts w:ascii="Book Antiqua" w:hAnsi="Book Antiqua" w:cs="AdvOTd710a12c"/>
                <w:color w:val="000000" w:themeColor="text1"/>
                <w:kern w:val="0"/>
                <w:sz w:val="24"/>
                <w:szCs w:val="24"/>
              </w:rPr>
              <w:t xml:space="preserve"> 49.5% (</w:t>
            </w:r>
            <w:r w:rsidR="00E903A7" w:rsidRPr="00246B02">
              <w:rPr>
                <w:rFonts w:ascii="Book Antiqua" w:hAnsi="Book Antiqua" w:cs="AdvOTd710a12c"/>
                <w:i/>
                <w:color w:val="000000" w:themeColor="text1"/>
                <w:kern w:val="0"/>
                <w:sz w:val="24"/>
                <w:szCs w:val="24"/>
              </w:rPr>
              <w:t>P</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0.2)</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 xml:space="preserve">-2.2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-4.1(</w:t>
            </w:r>
            <w:r w:rsidR="00E903A7" w:rsidRPr="00246B02">
              <w:rPr>
                <w:rFonts w:ascii="Book Antiqua" w:hAnsi="Book Antiqua" w:cs="AdvOTd710a12c"/>
                <w:i/>
                <w:color w:val="000000" w:themeColor="text1"/>
                <w:kern w:val="0"/>
                <w:sz w:val="24"/>
                <w:szCs w:val="24"/>
              </w:rPr>
              <w:t>P</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&lt;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0.001)</w:t>
            </w:r>
          </w:p>
        </w:tc>
      </w:tr>
      <w:tr w:rsidR="00246B02" w:rsidRPr="00246B02" w14:paraId="22C5951F" w14:textId="77777777" w:rsidTr="00E903A7">
        <w:trPr>
          <w:trHeight w:val="975"/>
        </w:trPr>
        <w:tc>
          <w:tcPr>
            <w:tcW w:w="839" w:type="pct"/>
            <w:shd w:val="clear" w:color="000000" w:fill="FFFFFF"/>
            <w:vAlign w:val="center"/>
          </w:tcPr>
          <w:p w14:paraId="055795DE" w14:textId="27177E3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Ma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38]</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2017</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(NeoPalAna)</w:t>
            </w:r>
          </w:p>
        </w:tc>
        <w:tc>
          <w:tcPr>
            <w:tcW w:w="1430" w:type="pct"/>
            <w:shd w:val="clear" w:color="000000" w:fill="FFFFFF"/>
            <w:vAlign w:val="center"/>
          </w:tcPr>
          <w:p w14:paraId="46BA612C" w14:textId="215C0FD4" w:rsidR="00DF7141" w:rsidRPr="00246B02" w:rsidRDefault="00DF7141" w:rsidP="00246B02">
            <w:pPr>
              <w:spacing w:line="360" w:lineRule="auto"/>
              <w:jc w:val="both"/>
              <w:rPr>
                <w:rFonts w:ascii="Book Antiqua" w:eastAsia="TimesNewRoman" w:hAnsi="Book Antiqua" w:cs="TimesNewRoman"/>
                <w:color w:val="000000" w:themeColor="text1"/>
                <w:kern w:val="0"/>
                <w:sz w:val="24"/>
                <w:szCs w:val="24"/>
              </w:rPr>
            </w:pPr>
            <w:r w:rsidRPr="00246B02">
              <w:rPr>
                <w:rFonts w:ascii="Book Antiqua" w:eastAsia="微软雅黑" w:hAnsi="Book Antiqua" w:cs="宋体"/>
                <w:color w:val="000000" w:themeColor="text1"/>
                <w:kern w:val="0"/>
                <w:sz w:val="24"/>
                <w:szCs w:val="24"/>
              </w:rPr>
              <w:t>ANA 1</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w:t>
            </w:r>
            <w:r w:rsidR="00E903A7" w:rsidRPr="00246B02">
              <w:rPr>
                <w:rFonts w:ascii="Book Antiqua" w:eastAsia="微软雅黑" w:hAnsi="Book Antiqua" w:cs="宋体"/>
                <w:color w:val="000000" w:themeColor="text1"/>
                <w:kern w:val="0"/>
                <w:sz w:val="24"/>
                <w:szCs w:val="24"/>
              </w:rPr>
              <w:t xml:space="preserve">plus goserelin if premenopausal) </w:t>
            </w:r>
            <w:r w:rsidRPr="00246B02">
              <w:rPr>
                <w:rFonts w:ascii="Book Antiqua" w:eastAsia="微软雅黑" w:hAnsi="Book Antiqua" w:cs="宋体"/>
                <w:color w:val="000000" w:themeColor="text1"/>
                <w:kern w:val="0"/>
                <w:sz w:val="24"/>
                <w:szCs w:val="24"/>
              </w:rPr>
              <w:t>followed by PAL 125</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on C1D1 (50)</w:t>
            </w:r>
          </w:p>
        </w:tc>
        <w:tc>
          <w:tcPr>
            <w:tcW w:w="396" w:type="pct"/>
            <w:shd w:val="clear" w:color="000000" w:fill="FFFFFF"/>
            <w:vAlign w:val="center"/>
          </w:tcPr>
          <w:p w14:paraId="772EB052" w14:textId="35D53E04"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5 </w:t>
            </w:r>
            <w:r w:rsidR="00E903A7" w:rsidRPr="00246B02">
              <w:rPr>
                <w:rFonts w:ascii="Book Antiqua" w:eastAsia="微软雅黑" w:hAnsi="Book Antiqua" w:cs="宋体"/>
                <w:color w:val="000000" w:themeColor="text1"/>
                <w:kern w:val="0"/>
                <w:sz w:val="24"/>
                <w:szCs w:val="24"/>
              </w:rPr>
              <w:t>mo</w:t>
            </w:r>
          </w:p>
        </w:tc>
        <w:tc>
          <w:tcPr>
            <w:tcW w:w="1027" w:type="pct"/>
            <w:shd w:val="clear" w:color="000000" w:fill="FFFFFF"/>
            <w:vAlign w:val="center"/>
          </w:tcPr>
          <w:p w14:paraId="552F23BD" w14:textId="0089D0FD"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CCCA (Ki67</w:t>
            </w:r>
            <w:r w:rsidR="00963471">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&lt; 2.7%) on palbociclib plus anastrozole</w:t>
            </w:r>
          </w:p>
        </w:tc>
        <w:tc>
          <w:tcPr>
            <w:tcW w:w="1308" w:type="pct"/>
            <w:shd w:val="clear" w:color="000000" w:fill="FFFFFF"/>
            <w:vAlign w:val="center"/>
          </w:tcPr>
          <w:p w14:paraId="60908184" w14:textId="4A490419"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C1D1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C1D15:</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 xml:space="preserve">26%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87% (</w:t>
            </w:r>
            <w:r w:rsidR="00E903A7" w:rsidRPr="00246B02">
              <w:rPr>
                <w:rFonts w:ascii="Book Antiqua" w:hAnsi="Book Antiqua" w:cs="AdvOTd710a12c"/>
                <w:i/>
                <w:color w:val="000000" w:themeColor="text1"/>
                <w:kern w:val="0"/>
                <w:sz w:val="24"/>
                <w:szCs w:val="24"/>
              </w:rPr>
              <w:t xml:space="preserve">P </w:t>
            </w:r>
            <w:r w:rsidRPr="00246B02">
              <w:rPr>
                <w:rFonts w:ascii="Book Antiqua" w:hAnsi="Book Antiqua" w:cs="AdvOTd710a12c"/>
                <w:color w:val="000000" w:themeColor="text1"/>
                <w:kern w:val="0"/>
                <w:sz w:val="24"/>
                <w:szCs w:val="24"/>
              </w:rPr>
              <w:t>&lt;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0.001)</w:t>
            </w:r>
          </w:p>
        </w:tc>
      </w:tr>
      <w:tr w:rsidR="00246B02" w:rsidRPr="00246B02" w14:paraId="67B08B49" w14:textId="77777777" w:rsidTr="00E903A7">
        <w:trPr>
          <w:trHeight w:val="975"/>
        </w:trPr>
        <w:tc>
          <w:tcPr>
            <w:tcW w:w="839" w:type="pct"/>
            <w:shd w:val="clear" w:color="000000" w:fill="FFFFFF"/>
            <w:vAlign w:val="center"/>
          </w:tcPr>
          <w:p w14:paraId="5FED3CAD" w14:textId="5F67052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Arnedos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40]</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2018</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(POP)</w:t>
            </w:r>
          </w:p>
        </w:tc>
        <w:tc>
          <w:tcPr>
            <w:tcW w:w="1430" w:type="pct"/>
            <w:shd w:val="clear" w:color="000000" w:fill="FFFFFF"/>
            <w:vAlign w:val="center"/>
          </w:tcPr>
          <w:p w14:paraId="17534D0F" w14:textId="3E7F8419" w:rsidR="00DF7141" w:rsidRPr="00246B02" w:rsidRDefault="00E903A7" w:rsidP="00C9453D">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PAL 125</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mg/d</w:t>
            </w:r>
            <w:r w:rsidR="00DF7141" w:rsidRPr="00246B02">
              <w:rPr>
                <w:rFonts w:ascii="Book Antiqua" w:eastAsia="AdvOT07517017" w:hAnsi="Book Antiqua" w:cs="AdvOT07517017"/>
                <w:color w:val="000000" w:themeColor="text1"/>
                <w:kern w:val="0"/>
                <w:sz w:val="24"/>
                <w:szCs w:val="24"/>
              </w:rPr>
              <w:t xml:space="preserve"> (74)</w:t>
            </w:r>
            <w:r w:rsidRPr="00246B02">
              <w:rPr>
                <w:rFonts w:ascii="Book Antiqua" w:eastAsia="AdvOT07517017" w:hAnsi="Book Antiqua" w:cs="AdvOT07517017"/>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 xml:space="preserve">(B) </w:t>
            </w:r>
            <w:r w:rsidR="00DC0151">
              <w:rPr>
                <w:rFonts w:ascii="Book Antiqua" w:eastAsia="微软雅黑" w:hAnsi="Book Antiqua" w:cs="宋体"/>
                <w:color w:val="000000" w:themeColor="text1"/>
                <w:kern w:val="0"/>
                <w:sz w:val="24"/>
                <w:szCs w:val="24"/>
              </w:rPr>
              <w:t>p</w:t>
            </w:r>
            <w:r w:rsidR="00DC0151" w:rsidRPr="00246B02">
              <w:rPr>
                <w:rFonts w:ascii="Book Antiqua" w:eastAsia="微软雅黑" w:hAnsi="Book Antiqua" w:cs="宋体"/>
                <w:color w:val="000000" w:themeColor="text1"/>
                <w:kern w:val="0"/>
                <w:sz w:val="24"/>
                <w:szCs w:val="24"/>
              </w:rPr>
              <w:t xml:space="preserve">lacebo </w:t>
            </w:r>
            <w:r w:rsidR="00DF7141" w:rsidRPr="00246B02">
              <w:rPr>
                <w:rFonts w:ascii="Book Antiqua" w:eastAsia="微软雅黑" w:hAnsi="Book Antiqua" w:cs="宋体"/>
                <w:color w:val="000000" w:themeColor="text1"/>
                <w:kern w:val="0"/>
                <w:sz w:val="24"/>
                <w:szCs w:val="24"/>
              </w:rPr>
              <w:t>(26)</w:t>
            </w:r>
          </w:p>
        </w:tc>
        <w:tc>
          <w:tcPr>
            <w:tcW w:w="396" w:type="pct"/>
            <w:shd w:val="clear" w:color="000000" w:fill="FFFFFF"/>
            <w:vAlign w:val="center"/>
          </w:tcPr>
          <w:p w14:paraId="71C00818" w14:textId="03CDBFB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14 </w:t>
            </w:r>
            <w:r w:rsidR="00E903A7" w:rsidRPr="00246B02">
              <w:rPr>
                <w:rFonts w:ascii="Book Antiqua" w:eastAsia="微软雅黑" w:hAnsi="Book Antiqua" w:cs="宋体"/>
                <w:color w:val="000000" w:themeColor="text1"/>
                <w:kern w:val="0"/>
                <w:sz w:val="24"/>
                <w:szCs w:val="24"/>
              </w:rPr>
              <w:t>d</w:t>
            </w:r>
          </w:p>
        </w:tc>
        <w:tc>
          <w:tcPr>
            <w:tcW w:w="1027" w:type="pct"/>
            <w:shd w:val="clear" w:color="000000" w:fill="FFFFFF"/>
            <w:vAlign w:val="center"/>
          </w:tcPr>
          <w:p w14:paraId="6F038424" w14:textId="59B06658"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Antiproliferative response, defined as lnKi67 &lt;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1 at day five</w:t>
            </w:r>
          </w:p>
        </w:tc>
        <w:tc>
          <w:tcPr>
            <w:tcW w:w="1308" w:type="pct"/>
            <w:shd w:val="clear" w:color="000000" w:fill="FFFFFF"/>
            <w:vAlign w:val="center"/>
          </w:tcPr>
          <w:p w14:paraId="74F149FE" w14:textId="33BAB472"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58%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12% (</w:t>
            </w:r>
            <w:r w:rsidRPr="00246B02">
              <w:rPr>
                <w:rFonts w:ascii="Book Antiqua" w:hAnsi="Book Antiqua" w:cs="AdvOTd710a12c"/>
                <w:i/>
                <w:color w:val="000000" w:themeColor="text1"/>
                <w:kern w:val="0"/>
                <w:sz w:val="24"/>
                <w:szCs w:val="24"/>
              </w:rPr>
              <w:t>P</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&lt;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0.001)</w:t>
            </w:r>
          </w:p>
        </w:tc>
      </w:tr>
      <w:tr w:rsidR="00246B02" w:rsidRPr="00246B02" w14:paraId="4F8B2149" w14:textId="77777777" w:rsidTr="00E903A7">
        <w:trPr>
          <w:trHeight w:val="975"/>
        </w:trPr>
        <w:tc>
          <w:tcPr>
            <w:tcW w:w="839" w:type="pct"/>
            <w:shd w:val="clear" w:color="000000" w:fill="FFFFFF"/>
            <w:vAlign w:val="center"/>
          </w:tcPr>
          <w:p w14:paraId="70759A67" w14:textId="3D8AC582"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Curigliano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42]</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2016</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(MONALEESA-1)</w:t>
            </w:r>
          </w:p>
        </w:tc>
        <w:tc>
          <w:tcPr>
            <w:tcW w:w="1430" w:type="pct"/>
            <w:shd w:val="clear" w:color="000000" w:fill="FFFFFF"/>
            <w:vAlign w:val="center"/>
          </w:tcPr>
          <w:p w14:paraId="0025F95C" w14:textId="7FDF7C3E"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LET 2.5 mg/d (2)</w:t>
            </w:r>
            <w:r w:rsidRPr="00246B02">
              <w:rPr>
                <w:rFonts w:ascii="Book Antiqua" w:eastAsia="微软雅黑" w:hAnsi="Book Antiqua" w:cs="宋体"/>
                <w:color w:val="000000" w:themeColor="text1"/>
                <w:kern w:val="0"/>
                <w:sz w:val="24"/>
                <w:szCs w:val="24"/>
              </w:rPr>
              <w:t xml:space="preserve">; (B) </w:t>
            </w:r>
            <w:r w:rsidR="00DF7141" w:rsidRPr="00246B02">
              <w:rPr>
                <w:rFonts w:ascii="Book Antiqua" w:eastAsia="微软雅黑" w:hAnsi="Book Antiqua" w:cs="宋体"/>
                <w:color w:val="000000" w:themeColor="text1"/>
                <w:kern w:val="0"/>
                <w:sz w:val="24"/>
                <w:szCs w:val="24"/>
              </w:rPr>
              <w:t>LET 2.5 mg/d + RIB 400 mg/d (6)</w:t>
            </w:r>
            <w:r w:rsidRPr="00246B02">
              <w:rPr>
                <w:rFonts w:ascii="Book Antiqua" w:eastAsia="微软雅黑" w:hAnsi="Book Antiqua" w:cs="宋体"/>
                <w:color w:val="000000" w:themeColor="text1"/>
                <w:kern w:val="0"/>
                <w:sz w:val="24"/>
                <w:szCs w:val="24"/>
              </w:rPr>
              <w:t xml:space="preserve">; (C) </w:t>
            </w:r>
            <w:r w:rsidR="00DF7141" w:rsidRPr="00246B02">
              <w:rPr>
                <w:rFonts w:ascii="Book Antiqua" w:eastAsia="微软雅黑" w:hAnsi="Book Antiqua" w:cs="宋体"/>
                <w:color w:val="000000" w:themeColor="text1"/>
                <w:kern w:val="0"/>
                <w:sz w:val="24"/>
                <w:szCs w:val="24"/>
              </w:rPr>
              <w:t>LET 2.5 mg/d + RIB 600 mg/d (3)</w:t>
            </w:r>
          </w:p>
        </w:tc>
        <w:tc>
          <w:tcPr>
            <w:tcW w:w="396" w:type="pct"/>
            <w:shd w:val="clear" w:color="000000" w:fill="FFFFFF"/>
            <w:vAlign w:val="center"/>
          </w:tcPr>
          <w:p w14:paraId="4BDBF7F7" w14:textId="14D8047F"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14 </w:t>
            </w:r>
            <w:r w:rsidR="00E903A7" w:rsidRPr="00246B02">
              <w:rPr>
                <w:rFonts w:ascii="Book Antiqua" w:eastAsia="微软雅黑" w:hAnsi="Book Antiqua" w:cs="宋体"/>
                <w:color w:val="000000" w:themeColor="text1"/>
                <w:kern w:val="0"/>
                <w:sz w:val="24"/>
                <w:szCs w:val="24"/>
              </w:rPr>
              <w:t>d</w:t>
            </w:r>
          </w:p>
        </w:tc>
        <w:tc>
          <w:tcPr>
            <w:tcW w:w="1027" w:type="pct"/>
            <w:shd w:val="clear" w:color="000000" w:fill="FFFFFF"/>
            <w:vAlign w:val="center"/>
          </w:tcPr>
          <w:p w14:paraId="50C4ABC0" w14:textId="77777777"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mean decreases in the Ki67-positive cell fraction from baseline </w:t>
            </w:r>
          </w:p>
        </w:tc>
        <w:tc>
          <w:tcPr>
            <w:tcW w:w="1308" w:type="pct"/>
            <w:shd w:val="clear" w:color="000000" w:fill="FFFFFF"/>
            <w:vAlign w:val="center"/>
          </w:tcPr>
          <w:p w14:paraId="1AABE55F" w14:textId="4FCF8600"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A</w:t>
            </w:r>
            <w:r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 xml:space="preserve"> 69% (range 38</w:t>
            </w:r>
            <w:r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-100%)</w:t>
            </w:r>
            <w:r w:rsidRPr="00246B02">
              <w:rPr>
                <w:rFonts w:ascii="Book Antiqua" w:eastAsia="微软雅黑" w:hAnsi="Book Antiqua" w:cs="宋体"/>
                <w:color w:val="000000" w:themeColor="text1"/>
                <w:kern w:val="0"/>
                <w:sz w:val="24"/>
                <w:szCs w:val="24"/>
              </w:rPr>
              <w:t>; (B) 96% (range 78%-100%); (C)</w:t>
            </w:r>
            <w:r w:rsidR="00DF7141" w:rsidRPr="00246B02">
              <w:rPr>
                <w:rFonts w:ascii="Book Antiqua" w:eastAsia="微软雅黑" w:hAnsi="Book Antiqua" w:cs="宋体"/>
                <w:color w:val="000000" w:themeColor="text1"/>
                <w:kern w:val="0"/>
                <w:sz w:val="24"/>
                <w:szCs w:val="24"/>
              </w:rPr>
              <w:t xml:space="preserve"> 92% (range 75</w:t>
            </w:r>
            <w:r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-100%)</w:t>
            </w:r>
          </w:p>
        </w:tc>
      </w:tr>
      <w:tr w:rsidR="00246B02" w:rsidRPr="00246B02" w14:paraId="45540526" w14:textId="77777777" w:rsidTr="00E903A7">
        <w:trPr>
          <w:trHeight w:val="975"/>
        </w:trPr>
        <w:tc>
          <w:tcPr>
            <w:tcW w:w="839" w:type="pct"/>
            <w:shd w:val="clear" w:color="000000" w:fill="FFFFFF"/>
            <w:vAlign w:val="center"/>
          </w:tcPr>
          <w:p w14:paraId="2788DB11" w14:textId="77777777"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Neo-MONARCH</w:t>
            </w:r>
          </w:p>
        </w:tc>
        <w:tc>
          <w:tcPr>
            <w:tcW w:w="1430" w:type="pct"/>
            <w:shd w:val="clear" w:color="000000" w:fill="FFFFFF"/>
            <w:vAlign w:val="center"/>
          </w:tcPr>
          <w:p w14:paraId="26FAD1B9" w14:textId="56C59800"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ANA 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w:t>
            </w:r>
            <w:r w:rsidRPr="00246B02">
              <w:rPr>
                <w:rFonts w:ascii="Book Antiqua" w:eastAsia="微软雅黑" w:hAnsi="Book Antiqua" w:cs="宋体"/>
                <w:color w:val="000000" w:themeColor="text1"/>
                <w:kern w:val="0"/>
                <w:sz w:val="24"/>
                <w:szCs w:val="24"/>
              </w:rPr>
              <w:t xml:space="preserve">; (B) abemaciclib 2 w; (C) </w:t>
            </w:r>
            <w:r w:rsidR="00DF7141" w:rsidRPr="00246B02">
              <w:rPr>
                <w:rFonts w:ascii="Book Antiqua" w:eastAsia="微软雅黑" w:hAnsi="Book Antiqua" w:cs="宋体"/>
                <w:color w:val="000000" w:themeColor="text1"/>
                <w:kern w:val="0"/>
                <w:sz w:val="24"/>
                <w:szCs w:val="24"/>
              </w:rPr>
              <w:t>ANA + abemaciclib 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followed by ANA+ abemaciclib 12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w:t>
            </w:r>
          </w:p>
        </w:tc>
        <w:tc>
          <w:tcPr>
            <w:tcW w:w="396" w:type="pct"/>
            <w:shd w:val="clear" w:color="000000" w:fill="FFFFFF"/>
            <w:vAlign w:val="center"/>
          </w:tcPr>
          <w:p w14:paraId="7F4C68AA" w14:textId="1B73B94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14 </w:t>
            </w:r>
            <w:r w:rsidR="00E903A7" w:rsidRPr="00246B02">
              <w:rPr>
                <w:rFonts w:ascii="Book Antiqua" w:eastAsia="微软雅黑" w:hAnsi="Book Antiqua" w:cs="宋体"/>
                <w:color w:val="000000" w:themeColor="text1"/>
                <w:kern w:val="0"/>
                <w:sz w:val="24"/>
                <w:szCs w:val="24"/>
              </w:rPr>
              <w:t>wk</w:t>
            </w:r>
          </w:p>
        </w:tc>
        <w:tc>
          <w:tcPr>
            <w:tcW w:w="1027" w:type="pct"/>
            <w:shd w:val="clear" w:color="000000" w:fill="FFFFFF"/>
            <w:vAlign w:val="center"/>
          </w:tcPr>
          <w:p w14:paraId="31584662" w14:textId="1101BAAB" w:rsidR="00DF7141" w:rsidRPr="00246B02" w:rsidRDefault="00E903A7"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Changes </w:t>
            </w:r>
            <w:r w:rsidR="00DF7141" w:rsidRPr="00246B02">
              <w:rPr>
                <w:rFonts w:ascii="Book Antiqua" w:hAnsi="Book Antiqua" w:cs="AdvOTd710a12c"/>
                <w:color w:val="000000" w:themeColor="text1"/>
                <w:kern w:val="0"/>
                <w:sz w:val="24"/>
                <w:szCs w:val="24"/>
              </w:rPr>
              <w:t>in Ki67 expression</w:t>
            </w:r>
          </w:p>
        </w:tc>
        <w:tc>
          <w:tcPr>
            <w:tcW w:w="1308" w:type="pct"/>
            <w:shd w:val="clear" w:color="000000" w:fill="FFFFFF"/>
            <w:vAlign w:val="center"/>
          </w:tcPr>
          <w:p w14:paraId="2B9D1C50" w14:textId="3CFB7F22" w:rsidR="00DF7141" w:rsidRPr="00246B02" w:rsidRDefault="00963471" w:rsidP="00246B02">
            <w:pPr>
              <w:spacing w:line="360" w:lineRule="auto"/>
              <w:jc w:val="both"/>
              <w:rPr>
                <w:rFonts w:ascii="Book Antiqua" w:hAnsi="Book Antiqua" w:cs="AdvOTd710a12c"/>
                <w:color w:val="000000" w:themeColor="text1"/>
                <w:kern w:val="0"/>
                <w:sz w:val="24"/>
                <w:szCs w:val="24"/>
              </w:rPr>
            </w:pPr>
            <w:r>
              <w:rPr>
                <w:rFonts w:ascii="Book Antiqua" w:hAnsi="Book Antiqua" w:cs="Times New Roman"/>
                <w:color w:val="000000" w:themeColor="text1"/>
                <w:sz w:val="24"/>
                <w:szCs w:val="24"/>
              </w:rPr>
              <w:t>R</w:t>
            </w:r>
            <w:r w:rsidRPr="00246B02">
              <w:rPr>
                <w:rFonts w:ascii="Book Antiqua" w:hAnsi="Book Antiqua" w:cs="Times New Roman"/>
                <w:color w:val="000000" w:themeColor="text1"/>
                <w:sz w:val="24"/>
                <w:szCs w:val="24"/>
              </w:rPr>
              <w:t xml:space="preserve">educed </w:t>
            </w:r>
            <w:r w:rsidR="00DF7141" w:rsidRPr="00246B02">
              <w:rPr>
                <w:rFonts w:ascii="Book Antiqua" w:hAnsi="Book Antiqua" w:cs="Times New Roman"/>
                <w:color w:val="000000" w:themeColor="text1"/>
                <w:sz w:val="24"/>
                <w:szCs w:val="24"/>
              </w:rPr>
              <w:t xml:space="preserve">Ki67 in patients 15% </w:t>
            </w:r>
            <w:r w:rsidR="00E903A7" w:rsidRPr="00246B02">
              <w:rPr>
                <w:rFonts w:ascii="Book Antiqua" w:hAnsi="Book Antiqua" w:cs="Arial"/>
                <w:i/>
                <w:color w:val="000000" w:themeColor="text1"/>
                <w:sz w:val="24"/>
                <w:szCs w:val="24"/>
                <w:shd w:val="clear" w:color="auto" w:fill="FFFFFF"/>
              </w:rPr>
              <w:t>vs</w:t>
            </w:r>
            <w:r w:rsidR="00E903A7" w:rsidRPr="00246B02">
              <w:rPr>
                <w:rFonts w:ascii="Book Antiqua" w:hAnsi="Book Antiqua" w:cs="Arial"/>
                <w:color w:val="000000" w:themeColor="text1"/>
                <w:sz w:val="24"/>
                <w:szCs w:val="24"/>
                <w:shd w:val="clear" w:color="auto" w:fill="FFFFFF"/>
              </w:rPr>
              <w:t xml:space="preserve"> </w:t>
            </w:r>
            <w:r w:rsidR="00E903A7" w:rsidRPr="00246B02">
              <w:rPr>
                <w:rFonts w:ascii="Book Antiqua" w:hAnsi="Book Antiqua" w:cs="Times New Roman"/>
                <w:color w:val="000000" w:themeColor="text1"/>
                <w:sz w:val="24"/>
                <w:szCs w:val="24"/>
              </w:rPr>
              <w:t>59%</w:t>
            </w:r>
            <w:r w:rsidR="00E903A7" w:rsidRPr="00246B02">
              <w:rPr>
                <w:rFonts w:ascii="Book Antiqua" w:hAnsi="Book Antiqua" w:cs="Arial"/>
                <w:i/>
                <w:color w:val="000000" w:themeColor="text1"/>
                <w:sz w:val="24"/>
                <w:szCs w:val="24"/>
                <w:shd w:val="clear" w:color="auto" w:fill="FFFFFF"/>
              </w:rPr>
              <w:t xml:space="preserve"> vs</w:t>
            </w:r>
            <w:r w:rsidR="00E903A7" w:rsidRPr="00246B02">
              <w:rPr>
                <w:rFonts w:ascii="Book Antiqua" w:hAnsi="Book Antiqua" w:cs="Times New Roman"/>
                <w:color w:val="000000" w:themeColor="text1"/>
                <w:sz w:val="24"/>
                <w:szCs w:val="24"/>
              </w:rPr>
              <w:t xml:space="preserve"> </w:t>
            </w:r>
            <w:r w:rsidR="00DF7141" w:rsidRPr="00246B02">
              <w:rPr>
                <w:rFonts w:ascii="Book Antiqua" w:hAnsi="Book Antiqua" w:cs="Times New Roman"/>
                <w:color w:val="000000" w:themeColor="text1"/>
                <w:sz w:val="24"/>
                <w:szCs w:val="24"/>
              </w:rPr>
              <w:t xml:space="preserve">66% </w:t>
            </w:r>
          </w:p>
        </w:tc>
      </w:tr>
      <w:tr w:rsidR="00246B02" w:rsidRPr="00246B02" w14:paraId="456C71AC" w14:textId="77777777" w:rsidTr="00E903A7">
        <w:trPr>
          <w:trHeight w:val="975"/>
        </w:trPr>
        <w:tc>
          <w:tcPr>
            <w:tcW w:w="839" w:type="pct"/>
            <w:shd w:val="clear" w:color="000000" w:fill="FFFFFF"/>
            <w:vAlign w:val="center"/>
          </w:tcPr>
          <w:p w14:paraId="6488C7F7" w14:textId="21DEB279"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Ma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46]</w:t>
            </w:r>
            <w:r w:rsidR="00E903A7" w:rsidRPr="00246B02">
              <w:rPr>
                <w:rFonts w:ascii="Book Antiqua" w:eastAsiaTheme="minorHAnsi" w:hAnsi="Book Antiqua" w:cs="Times New Roman"/>
                <w:noProof/>
                <w:color w:val="000000" w:themeColor="text1"/>
                <w:sz w:val="24"/>
                <w:szCs w:val="24"/>
              </w:rPr>
              <w:t>,</w:t>
            </w:r>
            <w:r w:rsidR="00E903A7" w:rsidRPr="00246B02">
              <w:rPr>
                <w:rFonts w:ascii="Book Antiqua" w:eastAsiaTheme="minorHAnsi" w:hAnsi="Book Antiqua" w:cs="Times New Roman"/>
                <w:noProof/>
                <w:color w:val="000000" w:themeColor="text1"/>
                <w:sz w:val="24"/>
                <w:szCs w:val="24"/>
                <w:vertAlign w:val="superscript"/>
              </w:rPr>
              <w:t xml:space="preserve"> </w:t>
            </w:r>
            <w:r w:rsidRPr="00246B02">
              <w:rPr>
                <w:rFonts w:ascii="Book Antiqua" w:eastAsia="微软雅黑" w:hAnsi="Book Antiqua" w:cs="宋体"/>
                <w:color w:val="000000" w:themeColor="text1"/>
                <w:kern w:val="0"/>
                <w:sz w:val="24"/>
                <w:szCs w:val="24"/>
              </w:rPr>
              <w:t>2017</w:t>
            </w:r>
          </w:p>
        </w:tc>
        <w:tc>
          <w:tcPr>
            <w:tcW w:w="1430" w:type="pct"/>
            <w:shd w:val="clear" w:color="000000" w:fill="FFFFFF"/>
            <w:vAlign w:val="center"/>
          </w:tcPr>
          <w:p w14:paraId="35D7654F" w14:textId="4B3A0F69"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ANA 1</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(plus goserelin if premenopausal)</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followed by MK-2206 125</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mg/w (16)</w:t>
            </w:r>
          </w:p>
        </w:tc>
        <w:tc>
          <w:tcPr>
            <w:tcW w:w="396" w:type="pct"/>
            <w:shd w:val="clear" w:color="000000" w:fill="FFFFFF"/>
            <w:vAlign w:val="center"/>
          </w:tcPr>
          <w:p w14:paraId="235660F1" w14:textId="2151915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4 </w:t>
            </w:r>
            <w:r w:rsidR="00E903A7" w:rsidRPr="00246B02">
              <w:rPr>
                <w:rFonts w:ascii="Book Antiqua" w:eastAsia="微软雅黑" w:hAnsi="Book Antiqua" w:cs="宋体"/>
                <w:color w:val="000000" w:themeColor="text1"/>
                <w:kern w:val="0"/>
                <w:sz w:val="24"/>
                <w:szCs w:val="24"/>
              </w:rPr>
              <w:t>mo</w:t>
            </w:r>
          </w:p>
        </w:tc>
        <w:tc>
          <w:tcPr>
            <w:tcW w:w="1027" w:type="pct"/>
            <w:shd w:val="clear" w:color="000000" w:fill="FFFFFF"/>
            <w:vAlign w:val="center"/>
          </w:tcPr>
          <w:p w14:paraId="43D1BDD7" w14:textId="77777777"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pCR rate</w:t>
            </w:r>
          </w:p>
        </w:tc>
        <w:tc>
          <w:tcPr>
            <w:tcW w:w="1308" w:type="pct"/>
            <w:shd w:val="clear" w:color="000000" w:fill="FFFFFF"/>
            <w:vAlign w:val="center"/>
          </w:tcPr>
          <w:p w14:paraId="606CB519" w14:textId="77777777"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0%</w:t>
            </w:r>
          </w:p>
        </w:tc>
      </w:tr>
      <w:tr w:rsidR="00246B02" w:rsidRPr="00246B02" w14:paraId="70E6A33C" w14:textId="77777777" w:rsidTr="00E903A7">
        <w:trPr>
          <w:trHeight w:val="975"/>
        </w:trPr>
        <w:tc>
          <w:tcPr>
            <w:tcW w:w="839" w:type="pct"/>
            <w:shd w:val="clear" w:color="000000" w:fill="FFFFFF"/>
            <w:vAlign w:val="center"/>
          </w:tcPr>
          <w:p w14:paraId="168F8284" w14:textId="44A5FF0F"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Baselga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48]</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2009</w:t>
            </w:r>
          </w:p>
        </w:tc>
        <w:tc>
          <w:tcPr>
            <w:tcW w:w="1430" w:type="pct"/>
            <w:shd w:val="clear" w:color="000000" w:fill="FFFFFF"/>
            <w:vAlign w:val="center"/>
          </w:tcPr>
          <w:p w14:paraId="3D411100" w14:textId="6F0066B8"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LET 2.5 mg/d+ placebo</w:t>
            </w:r>
            <w:r w:rsidRPr="00246B02">
              <w:rPr>
                <w:rFonts w:ascii="Book Antiqua" w:eastAsia="微软雅黑" w:hAnsi="Book Antiqua" w:cs="宋体"/>
                <w:color w:val="000000" w:themeColor="text1"/>
                <w:kern w:val="0"/>
                <w:sz w:val="24"/>
                <w:szCs w:val="24"/>
              </w:rPr>
              <w:t xml:space="preserve">; (B) </w:t>
            </w:r>
            <w:r w:rsidR="00DF7141" w:rsidRPr="00246B02">
              <w:rPr>
                <w:rFonts w:ascii="Book Antiqua" w:eastAsia="微软雅黑" w:hAnsi="Book Antiqua" w:cs="宋体"/>
                <w:color w:val="000000" w:themeColor="text1"/>
                <w:kern w:val="0"/>
                <w:sz w:val="24"/>
                <w:szCs w:val="24"/>
              </w:rPr>
              <w:t>LET 2.5 mg/d+</w:t>
            </w:r>
            <w:r w:rsidR="00DF7141" w:rsidRPr="00246B02">
              <w:rPr>
                <w:rFonts w:ascii="Book Antiqua" w:hAnsi="Book Antiqua" w:cs="Arial"/>
                <w:color w:val="000000" w:themeColor="text1"/>
                <w:sz w:val="24"/>
                <w:szCs w:val="24"/>
                <w:shd w:val="clear" w:color="auto" w:fill="FFFFFF"/>
              </w:rPr>
              <w:t xml:space="preserve"> everolimus 10 mg/d</w:t>
            </w:r>
          </w:p>
        </w:tc>
        <w:tc>
          <w:tcPr>
            <w:tcW w:w="396" w:type="pct"/>
            <w:shd w:val="clear" w:color="000000" w:fill="FFFFFF"/>
            <w:vAlign w:val="center"/>
          </w:tcPr>
          <w:p w14:paraId="0435EF77" w14:textId="4016961A"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4 </w:t>
            </w:r>
            <w:r w:rsidR="00E903A7" w:rsidRPr="00246B02">
              <w:rPr>
                <w:rFonts w:ascii="Book Antiqua" w:eastAsia="微软雅黑" w:hAnsi="Book Antiqua" w:cs="宋体"/>
                <w:color w:val="000000" w:themeColor="text1"/>
                <w:kern w:val="0"/>
                <w:sz w:val="24"/>
                <w:szCs w:val="24"/>
              </w:rPr>
              <w:t>mo</w:t>
            </w:r>
          </w:p>
        </w:tc>
        <w:tc>
          <w:tcPr>
            <w:tcW w:w="1027" w:type="pct"/>
            <w:shd w:val="clear" w:color="000000" w:fill="FFFFFF"/>
            <w:vAlign w:val="center"/>
          </w:tcPr>
          <w:p w14:paraId="6EE498CB" w14:textId="0A62F0D7"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rial"/>
                <w:color w:val="000000" w:themeColor="text1"/>
                <w:sz w:val="24"/>
                <w:szCs w:val="24"/>
                <w:shd w:val="clear" w:color="auto" w:fill="FFFFFF"/>
              </w:rPr>
              <w:t>OR by clinical palpation</w:t>
            </w:r>
          </w:p>
        </w:tc>
        <w:tc>
          <w:tcPr>
            <w:tcW w:w="1308" w:type="pct"/>
            <w:shd w:val="clear" w:color="000000" w:fill="FFFFFF"/>
            <w:vAlign w:val="center"/>
          </w:tcPr>
          <w:p w14:paraId="2789EA1A" w14:textId="5CAD5B5B"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rial"/>
                <w:color w:val="000000" w:themeColor="text1"/>
                <w:sz w:val="24"/>
                <w:szCs w:val="24"/>
                <w:shd w:val="clear" w:color="auto" w:fill="FFFFFF"/>
              </w:rPr>
              <w:t xml:space="preserve">68.1% </w:t>
            </w:r>
            <w:r w:rsidRPr="00246B02">
              <w:rPr>
                <w:rFonts w:ascii="Book Antiqua" w:hAnsi="Book Antiqua" w:cs="Arial"/>
                <w:i/>
                <w:color w:val="000000" w:themeColor="text1"/>
                <w:sz w:val="24"/>
                <w:szCs w:val="24"/>
                <w:shd w:val="clear" w:color="auto" w:fill="FFFFFF"/>
              </w:rPr>
              <w:t>v</w:t>
            </w:r>
            <w:r w:rsidR="00E903A7" w:rsidRPr="00246B02">
              <w:rPr>
                <w:rFonts w:ascii="Book Antiqua" w:hAnsi="Book Antiqua" w:cs="Arial"/>
                <w:i/>
                <w:color w:val="000000" w:themeColor="text1"/>
                <w:sz w:val="24"/>
                <w:szCs w:val="24"/>
                <w:shd w:val="clear" w:color="auto" w:fill="FFFFFF"/>
              </w:rPr>
              <w:t>s</w:t>
            </w:r>
            <w:r w:rsidRPr="00246B02">
              <w:rPr>
                <w:rFonts w:ascii="Book Antiqua" w:hAnsi="Book Antiqua" w:cs="Arial"/>
                <w:color w:val="000000" w:themeColor="text1"/>
                <w:sz w:val="24"/>
                <w:szCs w:val="24"/>
                <w:shd w:val="clear" w:color="auto" w:fill="FFFFFF"/>
              </w:rPr>
              <w:t xml:space="preserve"> 59.1% (</w:t>
            </w:r>
            <w:r w:rsidR="00E903A7" w:rsidRPr="00246B02">
              <w:rPr>
                <w:rFonts w:ascii="Book Antiqua" w:hAnsi="Book Antiqua" w:cs="Arial"/>
                <w:i/>
                <w:color w:val="000000" w:themeColor="text1"/>
                <w:sz w:val="24"/>
                <w:szCs w:val="24"/>
                <w:shd w:val="clear" w:color="auto" w:fill="FFFFFF"/>
              </w:rPr>
              <w:t>P</w:t>
            </w:r>
            <w:r w:rsidR="00E903A7" w:rsidRPr="00246B02">
              <w:rPr>
                <w:rFonts w:ascii="Book Antiqua" w:hAnsi="Book Antiqua" w:cs="Arial"/>
                <w:color w:val="000000" w:themeColor="text1"/>
                <w:sz w:val="24"/>
                <w:szCs w:val="24"/>
                <w:shd w:val="clear" w:color="auto" w:fill="FFFFFF"/>
              </w:rPr>
              <w:t xml:space="preserve"> </w:t>
            </w:r>
            <w:r w:rsidRPr="00246B02">
              <w:rPr>
                <w:rFonts w:ascii="Book Antiqua" w:hAnsi="Book Antiqua" w:cs="Arial"/>
                <w:color w:val="000000" w:themeColor="text1"/>
                <w:sz w:val="24"/>
                <w:szCs w:val="24"/>
                <w:shd w:val="clear" w:color="auto" w:fill="FFFFFF"/>
              </w:rPr>
              <w:t>=</w:t>
            </w:r>
            <w:r w:rsidR="00E903A7" w:rsidRPr="00246B02">
              <w:rPr>
                <w:rFonts w:ascii="Book Antiqua" w:hAnsi="Book Antiqua" w:cs="Arial"/>
                <w:color w:val="000000" w:themeColor="text1"/>
                <w:sz w:val="24"/>
                <w:szCs w:val="24"/>
                <w:shd w:val="clear" w:color="auto" w:fill="FFFFFF"/>
              </w:rPr>
              <w:t xml:space="preserve"> </w:t>
            </w:r>
            <w:r w:rsidRPr="00246B02">
              <w:rPr>
                <w:rFonts w:ascii="Book Antiqua" w:hAnsi="Book Antiqua" w:cs="Arial"/>
                <w:color w:val="000000" w:themeColor="text1"/>
                <w:sz w:val="24"/>
                <w:szCs w:val="24"/>
                <w:shd w:val="clear" w:color="auto" w:fill="FFFFFF"/>
              </w:rPr>
              <w:t>0.062)</w:t>
            </w:r>
          </w:p>
        </w:tc>
      </w:tr>
    </w:tbl>
    <w:p w14:paraId="3332814B" w14:textId="77777777" w:rsidR="00101E63" w:rsidRPr="00246B02" w:rsidRDefault="00101E63" w:rsidP="00246B02">
      <w:pPr>
        <w:spacing w:line="360" w:lineRule="auto"/>
        <w:jc w:val="both"/>
        <w:rPr>
          <w:rFonts w:ascii="Book Antiqua" w:eastAsiaTheme="minorHAnsi" w:hAnsi="Book Antiqua" w:cs="Times New Roman"/>
          <w:color w:val="000000" w:themeColor="text1"/>
          <w:sz w:val="24"/>
          <w:szCs w:val="24"/>
        </w:rPr>
      </w:pPr>
    </w:p>
    <w:p w14:paraId="32B953A7" w14:textId="3AA90B6D" w:rsidR="00513D1B" w:rsidRPr="00246B02" w:rsidRDefault="00C04A27" w:rsidP="00246B02">
      <w:pPr>
        <w:spacing w:line="360" w:lineRule="auto"/>
        <w:jc w:val="both"/>
        <w:rPr>
          <w:rFonts w:ascii="Book Antiqua" w:hAnsi="Book Antiqua" w:cs="Times New Roman"/>
          <w:color w:val="000000" w:themeColor="text1"/>
          <w:sz w:val="24"/>
          <w:szCs w:val="24"/>
        </w:rPr>
      </w:pPr>
      <w:r w:rsidRPr="00246B02">
        <w:rPr>
          <w:rFonts w:ascii="Book Antiqua" w:eastAsiaTheme="minorHAnsi" w:hAnsi="Book Antiqua" w:cs="Times New Roman"/>
          <w:color w:val="000000" w:themeColor="text1"/>
          <w:sz w:val="24"/>
          <w:szCs w:val="24"/>
        </w:rPr>
        <w:t xml:space="preserve">ER: </w:t>
      </w:r>
      <w:r w:rsidR="00E903A7" w:rsidRPr="00246B02">
        <w:rPr>
          <w:rFonts w:ascii="Book Antiqua" w:eastAsiaTheme="minorHAnsi" w:hAnsi="Book Antiqua" w:cs="Times New Roman"/>
          <w:color w:val="000000" w:themeColor="text1"/>
          <w:sz w:val="24"/>
          <w:szCs w:val="24"/>
        </w:rPr>
        <w:t xml:space="preserve">Estrogen </w:t>
      </w:r>
      <w:r w:rsidRPr="00246B02">
        <w:rPr>
          <w:rFonts w:ascii="Book Antiqua" w:eastAsiaTheme="minorHAnsi" w:hAnsi="Book Antiqua" w:cs="Times New Roman"/>
          <w:color w:val="000000" w:themeColor="text1"/>
          <w:sz w:val="24"/>
          <w:szCs w:val="24"/>
        </w:rPr>
        <w:t xml:space="preserve">receptor; PR: </w:t>
      </w:r>
      <w:r w:rsidR="00E903A7" w:rsidRPr="00246B02">
        <w:rPr>
          <w:rFonts w:ascii="Book Antiqua" w:eastAsiaTheme="minorHAnsi" w:hAnsi="Book Antiqua" w:cs="Times New Roman"/>
          <w:color w:val="000000" w:themeColor="text1"/>
          <w:sz w:val="24"/>
          <w:szCs w:val="24"/>
        </w:rPr>
        <w:t xml:space="preserve">Progesterone </w:t>
      </w:r>
      <w:r w:rsidRPr="00246B02">
        <w:rPr>
          <w:rFonts w:ascii="Book Antiqua" w:eastAsiaTheme="minorHAnsi" w:hAnsi="Book Antiqua" w:cs="Times New Roman"/>
          <w:color w:val="000000" w:themeColor="text1"/>
          <w:sz w:val="24"/>
          <w:szCs w:val="24"/>
        </w:rPr>
        <w:t xml:space="preserve">receptor; </w:t>
      </w:r>
      <w:r w:rsidRPr="00246B02">
        <w:rPr>
          <w:rFonts w:ascii="Book Antiqua" w:hAnsi="Book Antiqua" w:cs="Times New Roman"/>
          <w:color w:val="000000" w:themeColor="text1"/>
          <w:sz w:val="24"/>
          <w:szCs w:val="24"/>
        </w:rPr>
        <w:t xml:space="preserve">LET: </w:t>
      </w:r>
      <w:r w:rsidR="00E903A7" w:rsidRPr="00246B02">
        <w:rPr>
          <w:rFonts w:ascii="Book Antiqua" w:hAnsi="Book Antiqua" w:cs="Times New Roman"/>
          <w:color w:val="000000" w:themeColor="text1"/>
          <w:sz w:val="24"/>
          <w:szCs w:val="24"/>
        </w:rPr>
        <w:t>Letrozole</w:t>
      </w:r>
      <w:r w:rsidRPr="00246B02">
        <w:rPr>
          <w:rFonts w:ascii="Book Antiqua" w:hAnsi="Book Antiqua" w:cs="Times New Roman"/>
          <w:color w:val="000000" w:themeColor="text1"/>
          <w:sz w:val="24"/>
          <w:szCs w:val="24"/>
        </w:rPr>
        <w:t xml:space="preserve">; ANA: </w:t>
      </w:r>
      <w:r w:rsidR="00E903A7" w:rsidRPr="00246B02">
        <w:rPr>
          <w:rFonts w:ascii="Book Antiqua" w:hAnsi="Book Antiqua" w:cs="Times New Roman"/>
          <w:color w:val="000000" w:themeColor="text1"/>
          <w:sz w:val="24"/>
          <w:szCs w:val="24"/>
        </w:rPr>
        <w:t>Anastrozole</w:t>
      </w:r>
      <w:r w:rsidRPr="00246B02">
        <w:rPr>
          <w:rFonts w:ascii="Book Antiqua" w:hAnsi="Book Antiqua" w:cs="Times New Roman"/>
          <w:color w:val="000000" w:themeColor="text1"/>
          <w:sz w:val="24"/>
          <w:szCs w:val="24"/>
        </w:rPr>
        <w:t xml:space="preserve">; </w:t>
      </w:r>
      <w:r w:rsidR="00315805" w:rsidRPr="00246B02">
        <w:rPr>
          <w:rFonts w:ascii="Book Antiqua" w:hAnsi="Book Antiqua" w:cs="Times New Roman"/>
          <w:color w:val="000000" w:themeColor="text1"/>
          <w:sz w:val="24"/>
          <w:szCs w:val="24"/>
        </w:rPr>
        <w:t xml:space="preserve">PAL: </w:t>
      </w:r>
      <w:r w:rsidR="00E903A7" w:rsidRPr="00246B02">
        <w:rPr>
          <w:rFonts w:ascii="Book Antiqua" w:hAnsi="Book Antiqua" w:cs="Times New Roman"/>
          <w:color w:val="000000" w:themeColor="text1"/>
          <w:sz w:val="24"/>
          <w:szCs w:val="24"/>
        </w:rPr>
        <w:t>Palbociclib</w:t>
      </w:r>
      <w:r w:rsidR="00315805" w:rsidRPr="00246B02">
        <w:rPr>
          <w:rFonts w:ascii="Book Antiqua" w:hAnsi="Book Antiqua" w:cs="Times New Roman"/>
          <w:color w:val="000000" w:themeColor="text1"/>
          <w:sz w:val="24"/>
          <w:szCs w:val="24"/>
        </w:rPr>
        <w:t xml:space="preserve">; RIB: </w:t>
      </w:r>
      <w:r w:rsidR="00E903A7" w:rsidRPr="00246B02">
        <w:rPr>
          <w:rFonts w:ascii="Book Antiqua" w:hAnsi="Book Antiqua" w:cs="Times New Roman"/>
          <w:color w:val="000000" w:themeColor="text1"/>
          <w:sz w:val="24"/>
          <w:szCs w:val="24"/>
        </w:rPr>
        <w:t>Ribociclib</w:t>
      </w:r>
      <w:r w:rsidRPr="00246B02">
        <w:rPr>
          <w:rFonts w:ascii="Book Antiqua" w:hAnsi="Book Antiqua" w:cs="Times New Roman"/>
          <w:color w:val="000000" w:themeColor="text1"/>
          <w:sz w:val="24"/>
          <w:szCs w:val="24"/>
        </w:rPr>
        <w:t xml:space="preserve">; OR: </w:t>
      </w:r>
      <w:r w:rsidR="00E903A7" w:rsidRPr="00246B02">
        <w:rPr>
          <w:rFonts w:ascii="Book Antiqua" w:hAnsi="Book Antiqua" w:cs="Times New Roman"/>
          <w:color w:val="000000" w:themeColor="text1"/>
          <w:sz w:val="24"/>
          <w:szCs w:val="24"/>
        </w:rPr>
        <w:t xml:space="preserve">Objective </w:t>
      </w:r>
      <w:r w:rsidRPr="00246B02">
        <w:rPr>
          <w:rFonts w:ascii="Book Antiqua" w:hAnsi="Book Antiqua" w:cs="Times New Roman"/>
          <w:color w:val="000000" w:themeColor="text1"/>
          <w:sz w:val="24"/>
          <w:szCs w:val="24"/>
        </w:rPr>
        <w:t xml:space="preserve">response; </w:t>
      </w:r>
      <w:r w:rsidR="00315805" w:rsidRPr="00246B02">
        <w:rPr>
          <w:rFonts w:ascii="Book Antiqua" w:hAnsi="Book Antiqua" w:cs="Times New Roman"/>
          <w:color w:val="000000" w:themeColor="text1"/>
          <w:sz w:val="24"/>
          <w:szCs w:val="24"/>
        </w:rPr>
        <w:t xml:space="preserve">CCCA: </w:t>
      </w:r>
      <w:r w:rsidR="00E903A7" w:rsidRPr="00246B02">
        <w:rPr>
          <w:rFonts w:ascii="Book Antiqua" w:hAnsi="Book Antiqua" w:cs="Times New Roman"/>
          <w:color w:val="000000" w:themeColor="text1"/>
          <w:sz w:val="24"/>
          <w:szCs w:val="24"/>
        </w:rPr>
        <w:t xml:space="preserve">Complete </w:t>
      </w:r>
      <w:r w:rsidR="00315805" w:rsidRPr="00246B02">
        <w:rPr>
          <w:rFonts w:ascii="Book Antiqua" w:hAnsi="Book Antiqua" w:cs="Times New Roman"/>
          <w:color w:val="000000" w:themeColor="text1"/>
          <w:sz w:val="24"/>
          <w:szCs w:val="24"/>
        </w:rPr>
        <w:t>cell-cycle arrest</w:t>
      </w:r>
      <w:r w:rsidRPr="00246B02">
        <w:rPr>
          <w:rFonts w:ascii="Book Antiqua" w:hAnsi="Book Antiqua" w:cs="Times New Roman"/>
          <w:color w:val="000000" w:themeColor="text1"/>
          <w:sz w:val="24"/>
          <w:szCs w:val="24"/>
        </w:rPr>
        <w:t xml:space="preserve">; </w:t>
      </w:r>
      <w:r w:rsidR="00315805" w:rsidRPr="00246B02">
        <w:rPr>
          <w:rFonts w:ascii="Book Antiqua" w:hAnsi="Book Antiqua" w:cs="Times New Roman"/>
          <w:color w:val="000000" w:themeColor="text1"/>
          <w:sz w:val="24"/>
          <w:szCs w:val="24"/>
        </w:rPr>
        <w:t xml:space="preserve">pCR: </w:t>
      </w:r>
      <w:r w:rsidR="00E903A7" w:rsidRPr="00246B02">
        <w:rPr>
          <w:rFonts w:ascii="Book Antiqua" w:hAnsi="Book Antiqua" w:cs="Times New Roman"/>
          <w:color w:val="000000" w:themeColor="text1"/>
          <w:sz w:val="24"/>
          <w:szCs w:val="24"/>
        </w:rPr>
        <w:t xml:space="preserve">Pathological </w:t>
      </w:r>
      <w:r w:rsidR="00315805" w:rsidRPr="00246B02">
        <w:rPr>
          <w:rFonts w:ascii="Book Antiqua" w:hAnsi="Book Antiqua" w:cs="Times New Roman"/>
          <w:color w:val="000000" w:themeColor="text1"/>
          <w:sz w:val="24"/>
          <w:szCs w:val="24"/>
        </w:rPr>
        <w:t xml:space="preserve">complete response; </w:t>
      </w:r>
      <w:r w:rsidRPr="00246B02">
        <w:rPr>
          <w:rFonts w:ascii="Book Antiqua" w:hAnsi="Book Antiqua" w:cs="Times New Roman"/>
          <w:color w:val="000000" w:themeColor="text1"/>
          <w:sz w:val="24"/>
          <w:szCs w:val="24"/>
        </w:rPr>
        <w:t xml:space="preserve">BCS: </w:t>
      </w:r>
      <w:r w:rsidR="00E903A7" w:rsidRPr="00246B02">
        <w:rPr>
          <w:rFonts w:ascii="Book Antiqua" w:hAnsi="Book Antiqua" w:cs="Times New Roman"/>
          <w:color w:val="000000" w:themeColor="text1"/>
          <w:sz w:val="24"/>
          <w:szCs w:val="24"/>
        </w:rPr>
        <w:t>Breast</w:t>
      </w:r>
      <w:r w:rsidRPr="00246B02">
        <w:rPr>
          <w:rFonts w:ascii="Book Antiqua" w:hAnsi="Book Antiqua" w:cs="Times New Roman"/>
          <w:color w:val="000000" w:themeColor="text1"/>
          <w:sz w:val="24"/>
          <w:szCs w:val="24"/>
        </w:rPr>
        <w:t>-conserving surge</w:t>
      </w:r>
      <w:r w:rsidR="00513D1B" w:rsidRPr="00246B02">
        <w:rPr>
          <w:rFonts w:ascii="Book Antiqua" w:hAnsi="Book Antiqua" w:cs="Times New Roman"/>
          <w:color w:val="000000" w:themeColor="text1"/>
          <w:sz w:val="24"/>
          <w:szCs w:val="24"/>
        </w:rPr>
        <w:t>ry</w:t>
      </w:r>
      <w:r w:rsidR="00E903A7" w:rsidRPr="00246B02">
        <w:rPr>
          <w:rFonts w:ascii="Book Antiqua" w:hAnsi="Book Antiqua" w:cs="Times New Roman"/>
          <w:color w:val="000000" w:themeColor="text1"/>
          <w:sz w:val="24"/>
          <w:szCs w:val="24"/>
        </w:rPr>
        <w:t>.</w:t>
      </w:r>
    </w:p>
    <w:p w14:paraId="61DFA288" w14:textId="77777777" w:rsidR="00E903A7" w:rsidRPr="00246B02" w:rsidRDefault="00E903A7" w:rsidP="00246B02">
      <w:pPr>
        <w:spacing w:line="360" w:lineRule="auto"/>
        <w:jc w:val="both"/>
        <w:rPr>
          <w:rFonts w:ascii="Book Antiqua" w:hAnsi="Book Antiqua" w:cs="Times New Roman"/>
          <w:color w:val="000000" w:themeColor="text1"/>
          <w:sz w:val="24"/>
          <w:szCs w:val="24"/>
        </w:rPr>
      </w:pPr>
    </w:p>
    <w:p w14:paraId="105DDB7E" w14:textId="353F64D9" w:rsidR="00E903A7" w:rsidRPr="00246B02" w:rsidRDefault="00E903A7"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color w:val="000000" w:themeColor="text1"/>
          <w:sz w:val="24"/>
          <w:szCs w:val="24"/>
        </w:rPr>
        <w:br w:type="page"/>
      </w:r>
      <w:r w:rsidRPr="00246B02">
        <w:rPr>
          <w:rFonts w:ascii="Book Antiqua" w:hAnsi="Book Antiqua" w:cs="Times New Roman"/>
          <w:b/>
          <w:color w:val="000000" w:themeColor="text1"/>
          <w:sz w:val="24"/>
          <w:szCs w:val="24"/>
        </w:rPr>
        <w:lastRenderedPageBreak/>
        <w:t xml:space="preserve">Table 4 Genomic assays to predict outcome in </w:t>
      </w:r>
      <w:r w:rsidRPr="00246B02">
        <w:rPr>
          <w:rFonts w:ascii="Book Antiqua" w:eastAsiaTheme="minorHAnsi" w:hAnsi="Book Antiqua" w:cs="Times New Roman"/>
          <w:b/>
          <w:color w:val="000000" w:themeColor="text1"/>
          <w:sz w:val="24"/>
          <w:szCs w:val="24"/>
        </w:rPr>
        <w:t>neoadjuvant endocrine therapy</w:t>
      </w:r>
    </w:p>
    <w:p w14:paraId="5B6B13E5" w14:textId="35E725E3" w:rsidR="00E903A7" w:rsidRPr="00246B02" w:rsidRDefault="00E903A7" w:rsidP="00246B02">
      <w:pPr>
        <w:spacing w:line="360" w:lineRule="auto"/>
        <w:jc w:val="both"/>
        <w:rPr>
          <w:rFonts w:ascii="Book Antiqua" w:hAnsi="Book Antiqua" w:cs="Times New Roman"/>
          <w:color w:val="000000" w:themeColor="text1"/>
          <w:sz w:val="24"/>
          <w:szCs w:val="24"/>
        </w:rPr>
      </w:pPr>
    </w:p>
    <w:p w14:paraId="7FA54C4E" w14:textId="77777777" w:rsidR="00E903A7" w:rsidRPr="00246B02" w:rsidRDefault="00E903A7" w:rsidP="00246B02">
      <w:pPr>
        <w:spacing w:line="360" w:lineRule="auto"/>
        <w:jc w:val="both"/>
        <w:rPr>
          <w:rFonts w:ascii="Book Antiqua" w:hAnsi="Book Antiqua" w:cs="Times New Roman"/>
          <w:color w:val="000000" w:themeColor="text1"/>
          <w:sz w:val="24"/>
          <w:szCs w:val="24"/>
        </w:rPr>
      </w:pPr>
    </w:p>
    <w:p w14:paraId="036D3A2F" w14:textId="77777777" w:rsidR="00E903A7" w:rsidRPr="00246B02" w:rsidRDefault="00E903A7" w:rsidP="00246B02">
      <w:pPr>
        <w:spacing w:line="360" w:lineRule="auto"/>
        <w:jc w:val="both"/>
        <w:rPr>
          <w:rFonts w:ascii="Book Antiqua" w:hAnsi="Book Antiqua" w:cs="Times New Roman"/>
          <w:color w:val="000000" w:themeColor="text1"/>
          <w:sz w:val="24"/>
          <w:szCs w:val="24"/>
        </w:rPr>
        <w:sectPr w:rsidR="00E903A7" w:rsidRPr="00246B02" w:rsidSect="00C57108">
          <w:pgSz w:w="16838" w:h="11906" w:orient="landscape"/>
          <w:pgMar w:top="1800" w:right="1440" w:bottom="1800" w:left="1440" w:header="851" w:footer="992" w:gutter="0"/>
          <w:cols w:space="425"/>
          <w:docGrid w:type="lines" w:linePitch="312"/>
        </w:sectPr>
      </w:pPr>
    </w:p>
    <w:tbl>
      <w:tblPr>
        <w:tblStyle w:val="61"/>
        <w:tblpPr w:leftFromText="180" w:rightFromText="180" w:vertAnchor="text" w:horzAnchor="margin" w:tblpY="78"/>
        <w:tblW w:w="13958" w:type="dxa"/>
        <w:shd w:val="clear" w:color="auto" w:fill="FFFFFF" w:themeFill="background1"/>
        <w:tblLook w:val="04A0" w:firstRow="1" w:lastRow="0" w:firstColumn="1" w:lastColumn="0" w:noHBand="0" w:noVBand="1"/>
      </w:tblPr>
      <w:tblGrid>
        <w:gridCol w:w="2405"/>
        <w:gridCol w:w="1134"/>
        <w:gridCol w:w="4116"/>
        <w:gridCol w:w="1409"/>
        <w:gridCol w:w="3269"/>
        <w:gridCol w:w="1625"/>
      </w:tblGrid>
      <w:tr w:rsidR="00246B02" w:rsidRPr="00246B02" w14:paraId="1DEBE83E" w14:textId="77777777" w:rsidTr="00E903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00" w:themeColor="text1"/>
            </w:tcBorders>
            <w:shd w:val="clear" w:color="auto" w:fill="FFFFFF" w:themeFill="background1"/>
            <w:noWrap/>
            <w:hideMark/>
          </w:tcPr>
          <w:p w14:paraId="0ACAEA83" w14:textId="17492334" w:rsidR="00513D1B" w:rsidRPr="00246B02" w:rsidRDefault="00E903A7" w:rsidP="00246B02">
            <w:pPr>
              <w:spacing w:line="360" w:lineRule="auto"/>
              <w:jc w:val="both"/>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lastRenderedPageBreak/>
              <w:t xml:space="preserve">Genomic </w:t>
            </w:r>
            <w:r w:rsidR="00513D1B" w:rsidRPr="00246B02">
              <w:rPr>
                <w:rFonts w:ascii="Book Antiqua" w:eastAsia="等线" w:hAnsi="Book Antiqua" w:cs="Times New Roman"/>
                <w:kern w:val="0"/>
                <w:sz w:val="24"/>
                <w:szCs w:val="24"/>
              </w:rPr>
              <w:t>assay</w:t>
            </w:r>
          </w:p>
        </w:tc>
        <w:tc>
          <w:tcPr>
            <w:tcW w:w="1134" w:type="dxa"/>
            <w:tcBorders>
              <w:top w:val="single" w:sz="4" w:space="0" w:color="000000" w:themeColor="text1"/>
            </w:tcBorders>
            <w:shd w:val="clear" w:color="auto" w:fill="FFFFFF" w:themeFill="background1"/>
            <w:noWrap/>
            <w:hideMark/>
          </w:tcPr>
          <w:p w14:paraId="259369F3" w14:textId="6BD85249"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t xml:space="preserve">Gene </w:t>
            </w:r>
            <w:r w:rsidR="00513D1B" w:rsidRPr="00246B02">
              <w:rPr>
                <w:rFonts w:ascii="Book Antiqua" w:eastAsia="等线" w:hAnsi="Book Antiqua" w:cs="Times New Roman"/>
                <w:kern w:val="0"/>
                <w:sz w:val="24"/>
                <w:szCs w:val="24"/>
              </w:rPr>
              <w:t>number</w:t>
            </w:r>
          </w:p>
        </w:tc>
        <w:tc>
          <w:tcPr>
            <w:tcW w:w="4116" w:type="dxa"/>
            <w:tcBorders>
              <w:top w:val="single" w:sz="4" w:space="0" w:color="000000" w:themeColor="text1"/>
            </w:tcBorders>
            <w:shd w:val="clear" w:color="auto" w:fill="FFFFFF" w:themeFill="background1"/>
            <w:noWrap/>
            <w:hideMark/>
          </w:tcPr>
          <w:p w14:paraId="23545842" w14:textId="5AC46F52"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t xml:space="preserve">Genomic </w:t>
            </w:r>
            <w:r w:rsidR="00513D1B" w:rsidRPr="00246B02">
              <w:rPr>
                <w:rFonts w:ascii="Book Antiqua" w:eastAsia="等线" w:hAnsi="Book Antiqua" w:cs="Times New Roman"/>
                <w:kern w:val="0"/>
                <w:sz w:val="24"/>
                <w:szCs w:val="24"/>
              </w:rPr>
              <w:t>information</w:t>
            </w:r>
          </w:p>
        </w:tc>
        <w:tc>
          <w:tcPr>
            <w:tcW w:w="1409" w:type="dxa"/>
            <w:tcBorders>
              <w:top w:val="single" w:sz="4" w:space="0" w:color="000000" w:themeColor="text1"/>
            </w:tcBorders>
            <w:shd w:val="clear" w:color="auto" w:fill="FFFFFF" w:themeFill="background1"/>
            <w:noWrap/>
            <w:hideMark/>
          </w:tcPr>
          <w:p w14:paraId="75CAB2AA" w14:textId="4BBD781B"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t>Method</w:t>
            </w:r>
          </w:p>
        </w:tc>
        <w:tc>
          <w:tcPr>
            <w:tcW w:w="3269" w:type="dxa"/>
            <w:tcBorders>
              <w:top w:val="single" w:sz="4" w:space="0" w:color="000000" w:themeColor="text1"/>
            </w:tcBorders>
            <w:shd w:val="clear" w:color="auto" w:fill="FFFFFF" w:themeFill="background1"/>
            <w:noWrap/>
            <w:hideMark/>
          </w:tcPr>
          <w:p w14:paraId="7C352A07" w14:textId="53AD9A75"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t xml:space="preserve">Current </w:t>
            </w:r>
            <w:r w:rsidR="00513D1B" w:rsidRPr="00246B02">
              <w:rPr>
                <w:rFonts w:ascii="Book Antiqua" w:eastAsia="等线" w:hAnsi="Book Antiqua" w:cs="Times New Roman"/>
                <w:kern w:val="0"/>
                <w:sz w:val="24"/>
                <w:szCs w:val="24"/>
              </w:rPr>
              <w:t>results in NAE</w:t>
            </w:r>
          </w:p>
        </w:tc>
        <w:tc>
          <w:tcPr>
            <w:tcW w:w="1625" w:type="dxa"/>
            <w:tcBorders>
              <w:top w:val="single" w:sz="4" w:space="0" w:color="000000" w:themeColor="text1"/>
            </w:tcBorders>
            <w:shd w:val="clear" w:color="auto" w:fill="FFFFFF" w:themeFill="background1"/>
          </w:tcPr>
          <w:p w14:paraId="1E9A3B91" w14:textId="0A510AB3"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References</w:t>
            </w:r>
          </w:p>
        </w:tc>
      </w:tr>
      <w:tr w:rsidR="00246B02" w:rsidRPr="00246B02" w14:paraId="4244B64E" w14:textId="77777777" w:rsidTr="00E903A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000000" w:themeColor="text1"/>
            </w:tcBorders>
            <w:shd w:val="clear" w:color="auto" w:fill="FFFFFF" w:themeFill="background1"/>
            <w:noWrap/>
            <w:hideMark/>
          </w:tcPr>
          <w:p w14:paraId="7E395FB2" w14:textId="77777777" w:rsidR="00513D1B" w:rsidRPr="00246B02" w:rsidRDefault="00513D1B" w:rsidP="00246B02">
            <w:pPr>
              <w:spacing w:line="360" w:lineRule="auto"/>
              <w:jc w:val="both"/>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Oncotype DX</w:t>
            </w:r>
            <w:r w:rsidRPr="00246B02">
              <w:rPr>
                <w:rFonts w:ascii="Book Antiqua" w:eastAsia="等线" w:hAnsi="Book Antiqua" w:cs="Times New Roman"/>
                <w:kern w:val="0"/>
                <w:sz w:val="24"/>
                <w:szCs w:val="24"/>
                <w:vertAlign w:val="superscript"/>
              </w:rPr>
              <w:t>®</w:t>
            </w:r>
          </w:p>
        </w:tc>
        <w:tc>
          <w:tcPr>
            <w:tcW w:w="1134" w:type="dxa"/>
            <w:vMerge w:val="restart"/>
            <w:tcBorders>
              <w:top w:val="single" w:sz="4" w:space="0" w:color="000000" w:themeColor="text1"/>
            </w:tcBorders>
            <w:shd w:val="clear" w:color="auto" w:fill="FFFFFF" w:themeFill="background1"/>
            <w:noWrap/>
            <w:hideMark/>
          </w:tcPr>
          <w:p w14:paraId="7A19334F" w14:textId="732056A5"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21</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(16+5)</w:t>
            </w:r>
          </w:p>
        </w:tc>
        <w:tc>
          <w:tcPr>
            <w:tcW w:w="4116" w:type="dxa"/>
            <w:tcBorders>
              <w:top w:val="single" w:sz="4" w:space="0" w:color="000000" w:themeColor="text1"/>
            </w:tcBorders>
            <w:shd w:val="clear" w:color="auto" w:fill="FFFFFF" w:themeFill="background1"/>
            <w:noWrap/>
            <w:hideMark/>
          </w:tcPr>
          <w:p w14:paraId="33D26373" w14:textId="2478E5B5"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Proliferative</w:t>
            </w:r>
            <w:r w:rsidR="00513D1B" w:rsidRPr="00246B02">
              <w:rPr>
                <w:rFonts w:ascii="Book Antiqua" w:eastAsia="等线" w:hAnsi="Book Antiqua" w:cs="Times New Roman"/>
                <w:kern w:val="0"/>
                <w:sz w:val="24"/>
                <w:szCs w:val="24"/>
              </w:rPr>
              <w:t>-related genes</w:t>
            </w:r>
            <w:r w:rsidRPr="00246B02">
              <w:rPr>
                <w:rFonts w:ascii="Book Antiqua" w:eastAsia="等线" w:hAnsi="Book Antiqua" w:cs="Times New Roman"/>
                <w:kern w:val="0"/>
                <w:sz w:val="24"/>
                <w:szCs w:val="24"/>
              </w:rPr>
              <w:t>:</w:t>
            </w:r>
            <w:r w:rsidR="00513D1B"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Ki67</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AURKA</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BIRC5</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CCNB1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MYBL2</w:t>
            </w:r>
          </w:p>
        </w:tc>
        <w:tc>
          <w:tcPr>
            <w:tcW w:w="1409" w:type="dxa"/>
            <w:vMerge w:val="restart"/>
            <w:tcBorders>
              <w:top w:val="single" w:sz="4" w:space="0" w:color="000000" w:themeColor="text1"/>
            </w:tcBorders>
            <w:shd w:val="clear" w:color="auto" w:fill="FFFFFF" w:themeFill="background1"/>
            <w:noWrap/>
            <w:hideMark/>
          </w:tcPr>
          <w:p w14:paraId="293DEF19"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QRT-PCR</w:t>
            </w:r>
          </w:p>
        </w:tc>
        <w:tc>
          <w:tcPr>
            <w:tcW w:w="3269" w:type="dxa"/>
            <w:vMerge w:val="restart"/>
            <w:tcBorders>
              <w:top w:val="single" w:sz="4" w:space="0" w:color="000000" w:themeColor="text1"/>
            </w:tcBorders>
            <w:shd w:val="clear" w:color="auto" w:fill="FFFFFF" w:themeFill="background1"/>
            <w:noWrap/>
            <w:hideMark/>
          </w:tcPr>
          <w:p w14:paraId="4E602202" w14:textId="3446C08B"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Recurrence score;</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 xml:space="preserve">low RS results imply </w:t>
            </w:r>
            <w:r w:rsidR="00DC0151">
              <w:rPr>
                <w:rFonts w:ascii="Book Antiqua" w:eastAsia="等线" w:hAnsi="Book Antiqua" w:cs="Times New Roman"/>
                <w:kern w:val="0"/>
                <w:sz w:val="24"/>
                <w:szCs w:val="24"/>
              </w:rPr>
              <w:t xml:space="preserve">a </w:t>
            </w:r>
            <w:r w:rsidRPr="00246B02">
              <w:rPr>
                <w:rFonts w:ascii="Book Antiqua" w:eastAsia="等线" w:hAnsi="Book Antiqua" w:cs="Times New Roman"/>
                <w:kern w:val="0"/>
                <w:sz w:val="24"/>
                <w:szCs w:val="24"/>
              </w:rPr>
              <w:t>greate</w:t>
            </w:r>
            <w:r w:rsidR="00E903A7" w:rsidRPr="00246B02">
              <w:rPr>
                <w:rFonts w:ascii="Book Antiqua" w:eastAsia="等线" w:hAnsi="Book Antiqua" w:cs="Times New Roman"/>
                <w:kern w:val="0"/>
                <w:sz w:val="24"/>
                <w:szCs w:val="24"/>
              </w:rPr>
              <w:t>r likelihood of response to NAE</w:t>
            </w:r>
          </w:p>
        </w:tc>
        <w:tc>
          <w:tcPr>
            <w:tcW w:w="1625" w:type="dxa"/>
            <w:vMerge w:val="restart"/>
            <w:tcBorders>
              <w:top w:val="single" w:sz="4" w:space="0" w:color="000000" w:themeColor="text1"/>
            </w:tcBorders>
            <w:shd w:val="clear" w:color="auto" w:fill="FFFFFF" w:themeFill="background1"/>
          </w:tcPr>
          <w:p w14:paraId="59057ACB"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vertAlign w:val="superscript"/>
              </w:rPr>
            </w:pP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vertAlign w:val="superscript"/>
              </w:rPr>
              <w:t>[62-63]</w:t>
            </w:r>
          </w:p>
        </w:tc>
      </w:tr>
      <w:tr w:rsidR="00246B02" w:rsidRPr="00246B02" w14:paraId="6AB94312" w14:textId="77777777" w:rsidTr="00E903A7">
        <w:trPr>
          <w:trHeight w:val="417"/>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6112B224"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2548E6D2"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78CBD4A9" w14:textId="20FE9B8E" w:rsidR="00513D1B" w:rsidRPr="00246B02" w:rsidRDefault="00E903A7"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Invasive-related genes: </w:t>
            </w:r>
            <w:r w:rsidRPr="00246B02">
              <w:rPr>
                <w:rFonts w:ascii="Book Antiqua" w:eastAsia="等线" w:hAnsi="Book Antiqua" w:cs="Times New Roman"/>
                <w:i/>
                <w:kern w:val="0"/>
                <w:sz w:val="24"/>
                <w:szCs w:val="24"/>
              </w:rPr>
              <w:t>MMP11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CTSL2</w:t>
            </w:r>
          </w:p>
        </w:tc>
        <w:tc>
          <w:tcPr>
            <w:tcW w:w="1409" w:type="dxa"/>
            <w:vMerge/>
            <w:shd w:val="clear" w:color="auto" w:fill="FFFFFF" w:themeFill="background1"/>
            <w:noWrap/>
            <w:hideMark/>
          </w:tcPr>
          <w:p w14:paraId="3EAA5773"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27E99A97"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47DC5518"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673AF7F1" w14:textId="77777777" w:rsidTr="00E903A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604F0312"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5235BB34"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725BA8C8" w14:textId="0B052B30"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Estrogen</w:t>
            </w:r>
            <w:r w:rsidR="00513D1B" w:rsidRPr="00246B02">
              <w:rPr>
                <w:rFonts w:ascii="Book Antiqua" w:eastAsia="等线" w:hAnsi="Book Antiqua" w:cs="Times New Roman"/>
                <w:kern w:val="0"/>
                <w:sz w:val="24"/>
                <w:szCs w:val="24"/>
              </w:rPr>
              <w:t>-related</w:t>
            </w:r>
            <w:r w:rsidRPr="00246B02">
              <w:rPr>
                <w:rFonts w:ascii="Book Antiqua" w:eastAsia="等线" w:hAnsi="Book Antiqua" w:cs="Times New Roman"/>
                <w:kern w:val="0"/>
                <w:sz w:val="24"/>
                <w:szCs w:val="24"/>
              </w:rPr>
              <w:t xml:space="preserve"> genes: </w:t>
            </w:r>
            <w:r w:rsidRPr="00246B02">
              <w:rPr>
                <w:rFonts w:ascii="Book Antiqua" w:eastAsia="等线" w:hAnsi="Book Antiqua" w:cs="Times New Roman"/>
                <w:i/>
                <w:kern w:val="0"/>
                <w:sz w:val="24"/>
                <w:szCs w:val="24"/>
              </w:rPr>
              <w:t>ESR1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PGR</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BCL2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SCUBE2</w:t>
            </w:r>
          </w:p>
        </w:tc>
        <w:tc>
          <w:tcPr>
            <w:tcW w:w="1409" w:type="dxa"/>
            <w:vMerge/>
            <w:shd w:val="clear" w:color="auto" w:fill="FFFFFF" w:themeFill="background1"/>
            <w:noWrap/>
            <w:hideMark/>
          </w:tcPr>
          <w:p w14:paraId="4166FA44"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269BD50D"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43491F1A"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54CF16E5" w14:textId="77777777" w:rsidTr="00E903A7">
        <w:trPr>
          <w:trHeight w:val="385"/>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5C46CE09"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235B2848"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7B25130A" w14:textId="751D5680"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H</w:t>
            </w:r>
            <w:r w:rsidR="00E903A7" w:rsidRPr="00246B02">
              <w:rPr>
                <w:rFonts w:ascii="Book Antiqua" w:eastAsia="等线" w:hAnsi="Book Antiqua" w:cs="Times New Roman"/>
                <w:kern w:val="0"/>
                <w:sz w:val="24"/>
                <w:szCs w:val="24"/>
              </w:rPr>
              <w:t xml:space="preserve">ER2-related genes: </w:t>
            </w:r>
            <w:r w:rsidR="00E903A7" w:rsidRPr="00246B02">
              <w:rPr>
                <w:rFonts w:ascii="Book Antiqua" w:eastAsia="等线" w:hAnsi="Book Antiqua" w:cs="Times New Roman"/>
                <w:i/>
                <w:kern w:val="0"/>
                <w:sz w:val="24"/>
                <w:szCs w:val="24"/>
              </w:rPr>
              <w:t>ERBB2</w:t>
            </w:r>
            <w:r w:rsidR="00E903A7" w:rsidRPr="00246B02">
              <w:rPr>
                <w:rFonts w:ascii="Book Antiqua" w:eastAsia="等线" w:hAnsi="Book Antiqua" w:cs="Times New Roman"/>
                <w:kern w:val="0"/>
                <w:sz w:val="24"/>
                <w:szCs w:val="24"/>
              </w:rPr>
              <w:t xml:space="preserve">, </w:t>
            </w:r>
            <w:r w:rsidR="00E903A7" w:rsidRPr="00246B02">
              <w:rPr>
                <w:rFonts w:ascii="Book Antiqua" w:eastAsia="等线" w:hAnsi="Book Antiqua" w:cs="Times New Roman"/>
                <w:i/>
                <w:kern w:val="0"/>
                <w:sz w:val="24"/>
                <w:szCs w:val="24"/>
              </w:rPr>
              <w:t>GRB7</w:t>
            </w:r>
          </w:p>
        </w:tc>
        <w:tc>
          <w:tcPr>
            <w:tcW w:w="1409" w:type="dxa"/>
            <w:vMerge/>
            <w:shd w:val="clear" w:color="auto" w:fill="FFFFFF" w:themeFill="background1"/>
            <w:noWrap/>
            <w:hideMark/>
          </w:tcPr>
          <w:p w14:paraId="5858725F"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54289D92"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3531DBEE"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4451F208" w14:textId="77777777" w:rsidTr="00E903A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27AE3C70"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62516815"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6812CDD6" w14:textId="01DFD667"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Other </w:t>
            </w:r>
            <w:r w:rsidR="00513D1B" w:rsidRPr="00246B02">
              <w:rPr>
                <w:rFonts w:ascii="Book Antiqua" w:eastAsia="等线" w:hAnsi="Book Antiqua" w:cs="Times New Roman"/>
                <w:kern w:val="0"/>
                <w:sz w:val="24"/>
                <w:szCs w:val="24"/>
              </w:rPr>
              <w:t xml:space="preserve">genes: </w:t>
            </w:r>
            <w:r w:rsidR="00513D1B" w:rsidRPr="00246B02">
              <w:rPr>
                <w:rFonts w:ascii="Book Antiqua" w:eastAsia="等线" w:hAnsi="Book Antiqua" w:cs="Times New Roman"/>
                <w:i/>
                <w:kern w:val="0"/>
                <w:sz w:val="24"/>
                <w:szCs w:val="24"/>
              </w:rPr>
              <w:t>GSTM1</w:t>
            </w:r>
            <w:r w:rsidR="00513D1B"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CD68</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BAG1</w:t>
            </w:r>
          </w:p>
        </w:tc>
        <w:tc>
          <w:tcPr>
            <w:tcW w:w="1409" w:type="dxa"/>
            <w:vMerge/>
            <w:shd w:val="clear" w:color="auto" w:fill="FFFFFF" w:themeFill="background1"/>
            <w:noWrap/>
            <w:hideMark/>
          </w:tcPr>
          <w:p w14:paraId="346F6D46"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31BFEACD"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2A9F822E"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19894FD1" w14:textId="77777777" w:rsidTr="00E903A7">
        <w:trPr>
          <w:trHeight w:val="692"/>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16BEF626"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36F5D018"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0F3CFCB7" w14:textId="044D7895" w:rsidR="00513D1B" w:rsidRPr="00246B02" w:rsidRDefault="00E903A7"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Reference </w:t>
            </w:r>
            <w:r w:rsidR="00513D1B" w:rsidRPr="00246B02">
              <w:rPr>
                <w:rFonts w:ascii="Book Antiqua" w:eastAsia="等线" w:hAnsi="Book Antiqua" w:cs="Times New Roman"/>
                <w:kern w:val="0"/>
                <w:sz w:val="24"/>
                <w:szCs w:val="24"/>
              </w:rPr>
              <w:t>genes: </w:t>
            </w:r>
            <w:r w:rsidR="00513D1B" w:rsidRPr="00246B02">
              <w:rPr>
                <w:rFonts w:ascii="Book Antiqua" w:eastAsia="等线" w:hAnsi="Book Antiqua" w:cs="Times New Roman"/>
                <w:i/>
                <w:kern w:val="0"/>
                <w:sz w:val="24"/>
                <w:szCs w:val="24"/>
              </w:rPr>
              <w:t>ACTB</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GAPDH</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RPLPO</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GUS</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TFRC</w:t>
            </w:r>
          </w:p>
        </w:tc>
        <w:tc>
          <w:tcPr>
            <w:tcW w:w="1409" w:type="dxa"/>
            <w:vMerge/>
            <w:shd w:val="clear" w:color="auto" w:fill="FFFFFF" w:themeFill="background1"/>
            <w:noWrap/>
            <w:hideMark/>
          </w:tcPr>
          <w:p w14:paraId="31B7C3B6"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71DBDEAD"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1AFA9094"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337B49EF" w14:textId="77777777" w:rsidTr="00E903A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FFFFFF" w:themeFill="background1"/>
            <w:noWrap/>
            <w:hideMark/>
          </w:tcPr>
          <w:p w14:paraId="5F61BFF1" w14:textId="6C4A9F49" w:rsidR="00513D1B" w:rsidRPr="00246B02" w:rsidRDefault="00513D1B" w:rsidP="00246B02">
            <w:pPr>
              <w:spacing w:line="360" w:lineRule="auto"/>
              <w:jc w:val="both"/>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EndoPredict</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(EP)</w:t>
            </w:r>
          </w:p>
        </w:tc>
        <w:tc>
          <w:tcPr>
            <w:tcW w:w="1134" w:type="dxa"/>
            <w:vMerge w:val="restart"/>
            <w:shd w:val="clear" w:color="auto" w:fill="FFFFFF" w:themeFill="background1"/>
            <w:noWrap/>
            <w:hideMark/>
          </w:tcPr>
          <w:p w14:paraId="440D748A" w14:textId="3AA8F4D9"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12</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(8+4)</w:t>
            </w:r>
          </w:p>
        </w:tc>
        <w:tc>
          <w:tcPr>
            <w:tcW w:w="4116" w:type="dxa"/>
            <w:shd w:val="clear" w:color="auto" w:fill="FFFFFF" w:themeFill="background1"/>
            <w:noWrap/>
            <w:hideMark/>
          </w:tcPr>
          <w:p w14:paraId="533CB2DD" w14:textId="59FA51C8"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Proliferative</w:t>
            </w:r>
            <w:r w:rsidR="00513D1B" w:rsidRPr="00246B02">
              <w:rPr>
                <w:rFonts w:ascii="Book Antiqua" w:eastAsia="等线" w:hAnsi="Book Antiqua" w:cs="Times New Roman"/>
                <w:kern w:val="0"/>
                <w:sz w:val="24"/>
                <w:szCs w:val="24"/>
              </w:rPr>
              <w:t>-re</w:t>
            </w:r>
            <w:r w:rsidRPr="00246B02">
              <w:rPr>
                <w:rFonts w:ascii="Book Antiqua" w:eastAsia="等线" w:hAnsi="Book Antiqua" w:cs="Times New Roman"/>
                <w:kern w:val="0"/>
                <w:sz w:val="24"/>
                <w:szCs w:val="24"/>
              </w:rPr>
              <w:t xml:space="preserve">lated genes: </w:t>
            </w:r>
            <w:r w:rsidRPr="00246B02">
              <w:rPr>
                <w:rFonts w:ascii="Book Antiqua" w:eastAsia="等线" w:hAnsi="Book Antiqua" w:cs="Times New Roman"/>
                <w:i/>
                <w:kern w:val="0"/>
                <w:sz w:val="24"/>
                <w:szCs w:val="24"/>
              </w:rPr>
              <w:t>BIRC5</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UBE2C</w:t>
            </w:r>
            <w:r w:rsidRPr="00246B02">
              <w:rPr>
                <w:rFonts w:ascii="Book Antiqua" w:eastAsia="等线" w:hAnsi="Book Antiqua" w:cs="Times New Roman"/>
                <w:kern w:val="0"/>
                <w:sz w:val="24"/>
                <w:szCs w:val="24"/>
              </w:rPr>
              <w:t>, DHCR7</w:t>
            </w:r>
          </w:p>
        </w:tc>
        <w:tc>
          <w:tcPr>
            <w:tcW w:w="1409" w:type="dxa"/>
            <w:vMerge w:val="restart"/>
            <w:shd w:val="clear" w:color="auto" w:fill="FFFFFF" w:themeFill="background1"/>
            <w:noWrap/>
            <w:hideMark/>
          </w:tcPr>
          <w:p w14:paraId="5AA6B53B"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QRT-PCR</w:t>
            </w:r>
          </w:p>
        </w:tc>
        <w:tc>
          <w:tcPr>
            <w:tcW w:w="3269" w:type="dxa"/>
            <w:vMerge w:val="restart"/>
            <w:shd w:val="clear" w:color="auto" w:fill="FFFFFF" w:themeFill="background1"/>
            <w:noWrap/>
            <w:hideMark/>
          </w:tcPr>
          <w:p w14:paraId="48837652" w14:textId="71A14E3A"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Lower </w:t>
            </w:r>
            <w:r w:rsidR="00513D1B" w:rsidRPr="00246B02">
              <w:rPr>
                <w:rFonts w:ascii="Book Antiqua" w:eastAsia="等线" w:hAnsi="Book Antiqua" w:cs="Times New Roman"/>
                <w:kern w:val="0"/>
                <w:sz w:val="24"/>
                <w:szCs w:val="24"/>
              </w:rPr>
              <w:t>genomic risk related to favorable response.</w:t>
            </w:r>
          </w:p>
        </w:tc>
        <w:tc>
          <w:tcPr>
            <w:tcW w:w="1625" w:type="dxa"/>
            <w:vMerge w:val="restart"/>
            <w:shd w:val="clear" w:color="auto" w:fill="FFFFFF" w:themeFill="background1"/>
          </w:tcPr>
          <w:p w14:paraId="765EF21D"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vertAlign w:val="superscript"/>
              </w:rPr>
            </w:pPr>
            <w:r w:rsidRPr="00246B02">
              <w:rPr>
                <w:rFonts w:ascii="Book Antiqua" w:eastAsia="等线" w:hAnsi="Book Antiqua" w:cs="Times New Roman"/>
                <w:kern w:val="0"/>
                <w:sz w:val="24"/>
                <w:szCs w:val="24"/>
                <w:vertAlign w:val="superscript"/>
              </w:rPr>
              <w:t>[69]</w:t>
            </w:r>
          </w:p>
        </w:tc>
      </w:tr>
      <w:tr w:rsidR="00246B02" w:rsidRPr="00246B02" w14:paraId="611A92AE" w14:textId="77777777" w:rsidTr="00E903A7">
        <w:trPr>
          <w:trHeight w:val="692"/>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1BD011FF"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184F11A5"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2C64AEA6" w14:textId="37FF900B" w:rsidR="00513D1B" w:rsidRPr="00246B02" w:rsidRDefault="00E903A7"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Estrogen</w:t>
            </w:r>
            <w:r w:rsidR="00513D1B" w:rsidRPr="00246B02">
              <w:rPr>
                <w:rFonts w:ascii="Book Antiqua" w:eastAsia="等线" w:hAnsi="Book Antiqua" w:cs="Times New Roman"/>
                <w:kern w:val="0"/>
                <w:sz w:val="24"/>
                <w:szCs w:val="24"/>
              </w:rPr>
              <w:t xml:space="preserve">-related genes: </w:t>
            </w:r>
            <w:r w:rsidR="00513D1B" w:rsidRPr="00246B02">
              <w:rPr>
                <w:rFonts w:ascii="Book Antiqua" w:eastAsia="等线" w:hAnsi="Book Antiqua" w:cs="Times New Roman"/>
                <w:i/>
                <w:kern w:val="0"/>
                <w:sz w:val="24"/>
                <w:szCs w:val="24"/>
              </w:rPr>
              <w:t>RBBP8</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IL6ST</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AZGP1</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MGP</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STC2</w:t>
            </w:r>
          </w:p>
        </w:tc>
        <w:tc>
          <w:tcPr>
            <w:tcW w:w="1409" w:type="dxa"/>
            <w:vMerge/>
            <w:shd w:val="clear" w:color="auto" w:fill="FFFFFF" w:themeFill="background1"/>
            <w:noWrap/>
            <w:hideMark/>
          </w:tcPr>
          <w:p w14:paraId="2D8CE9A0"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11EB785E"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11756E71"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09E9A97B" w14:textId="77777777" w:rsidTr="00E903A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537A0ECD"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0C96B667"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0CE03E6D" w14:textId="48CAF15E"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Reference </w:t>
            </w:r>
            <w:r w:rsidR="00513D1B" w:rsidRPr="00246B02">
              <w:rPr>
                <w:rFonts w:ascii="Book Antiqua" w:eastAsia="等线" w:hAnsi="Book Antiqua" w:cs="Times New Roman"/>
                <w:kern w:val="0"/>
                <w:sz w:val="24"/>
                <w:szCs w:val="24"/>
              </w:rPr>
              <w:t xml:space="preserve">genes: </w:t>
            </w:r>
            <w:r w:rsidR="00513D1B" w:rsidRPr="00246B02">
              <w:rPr>
                <w:rFonts w:ascii="Book Antiqua" w:eastAsia="等线" w:hAnsi="Book Antiqua" w:cs="Times New Roman"/>
                <w:i/>
                <w:kern w:val="0"/>
                <w:sz w:val="24"/>
                <w:szCs w:val="24"/>
              </w:rPr>
              <w:t>CALM1</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OAZ1</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lastRenderedPageBreak/>
              <w:t>RPL37A</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HBB</w:t>
            </w:r>
          </w:p>
        </w:tc>
        <w:tc>
          <w:tcPr>
            <w:tcW w:w="1409" w:type="dxa"/>
            <w:vMerge/>
            <w:shd w:val="clear" w:color="auto" w:fill="FFFFFF" w:themeFill="background1"/>
            <w:noWrap/>
            <w:hideMark/>
          </w:tcPr>
          <w:p w14:paraId="11C78722"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2E97EB49"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152A1162"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081B45B6" w14:textId="77777777" w:rsidTr="00E903A7">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14:paraId="77BFA982" w14:textId="35D364CF" w:rsidR="00513D1B" w:rsidRPr="00246B02" w:rsidRDefault="00513D1B" w:rsidP="00246B02">
            <w:pPr>
              <w:spacing w:line="360" w:lineRule="auto"/>
              <w:jc w:val="both"/>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lastRenderedPageBreak/>
              <w:t>MammaPrint</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(and BluepPrint)</w:t>
            </w:r>
          </w:p>
        </w:tc>
        <w:tc>
          <w:tcPr>
            <w:tcW w:w="1134" w:type="dxa"/>
            <w:shd w:val="clear" w:color="auto" w:fill="FFFFFF" w:themeFill="background1"/>
            <w:noWrap/>
            <w:hideMark/>
          </w:tcPr>
          <w:p w14:paraId="0ED6E0BB"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70</w:t>
            </w:r>
          </w:p>
        </w:tc>
        <w:tc>
          <w:tcPr>
            <w:tcW w:w="4116" w:type="dxa"/>
            <w:shd w:val="clear" w:color="auto" w:fill="FFFFFF" w:themeFill="background1"/>
            <w:noWrap/>
            <w:hideMark/>
          </w:tcPr>
          <w:p w14:paraId="64782D30" w14:textId="0B39582A"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i/>
                <w:kern w:val="0"/>
                <w:sz w:val="24"/>
                <w:szCs w:val="24"/>
              </w:rPr>
              <w:t>AA555029_RC</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ALDH4A1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AP2B1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AYTL2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BBC3</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C16orf61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C20orf46</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C9orf30</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CCNE2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CDC42BPA</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CDCA7</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CENPA</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COL4A2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DCK</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DIAPH3</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DTL</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EBF4</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ECT2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EGLN1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ESM1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EXT1</w:t>
            </w:r>
            <w:r w:rsidR="00E903A7" w:rsidRPr="00246B02">
              <w:rPr>
                <w:rFonts w:ascii="Book Antiqua" w:eastAsia="等线" w:hAnsi="Book Antiqua" w:cs="Times New Roman"/>
                <w:kern w:val="0"/>
                <w:sz w:val="24"/>
                <w:szCs w:val="24"/>
              </w:rPr>
              <w:t>,</w:t>
            </w:r>
            <w:r w:rsidRPr="00246B02">
              <w:rPr>
                <w:rFonts w:ascii="Book Antiqua" w:eastAsia="等线" w:hAnsi="Book Antiqua" w:cs="Times New Roman"/>
                <w:kern w:val="0"/>
                <w:sz w:val="24"/>
                <w:szCs w:val="24"/>
              </w:rPr>
              <w:t xml:space="preserve"> </w:t>
            </w:r>
            <w:r w:rsidR="00E903A7" w:rsidRPr="00246B02">
              <w:rPr>
                <w:rFonts w:ascii="Book Antiqua" w:eastAsia="等线" w:hAnsi="Book Antiqua" w:cs="Times New Roman"/>
                <w:i/>
                <w:kern w:val="0"/>
                <w:sz w:val="24"/>
                <w:szCs w:val="24"/>
              </w:rPr>
              <w:t>etc.</w:t>
            </w:r>
          </w:p>
        </w:tc>
        <w:tc>
          <w:tcPr>
            <w:tcW w:w="1409" w:type="dxa"/>
            <w:shd w:val="clear" w:color="auto" w:fill="FFFFFF" w:themeFill="background1"/>
            <w:noWrap/>
            <w:hideMark/>
          </w:tcPr>
          <w:p w14:paraId="716A80AC"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Microarray analysis</w:t>
            </w:r>
          </w:p>
        </w:tc>
        <w:tc>
          <w:tcPr>
            <w:tcW w:w="3269" w:type="dxa"/>
            <w:shd w:val="clear" w:color="auto" w:fill="FFFFFF" w:themeFill="background1"/>
            <w:noWrap/>
            <w:hideMark/>
          </w:tcPr>
          <w:p w14:paraId="1DD73874" w14:textId="4B7E7F35"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Distinguish breast cancer subtypes;</w:t>
            </w:r>
            <w:r w:rsidR="00E903A7" w:rsidRPr="00246B02">
              <w:rPr>
                <w:rFonts w:ascii="Book Antiqua" w:eastAsia="等线" w:hAnsi="Book Antiqua" w:cs="Times New Roman"/>
                <w:kern w:val="0"/>
                <w:sz w:val="24"/>
                <w:szCs w:val="24"/>
              </w:rPr>
              <w:t xml:space="preserve"> luminal</w:t>
            </w:r>
            <w:r w:rsidRPr="00246B02">
              <w:rPr>
                <w:rFonts w:ascii="Book Antiqua" w:eastAsia="等线" w:hAnsi="Book Antiqua" w:cs="Times New Roman"/>
                <w:kern w:val="0"/>
                <w:sz w:val="24"/>
                <w:szCs w:val="24"/>
              </w:rPr>
              <w:t>-subtype pati</w:t>
            </w:r>
            <w:r w:rsidR="00E903A7" w:rsidRPr="00246B02">
              <w:rPr>
                <w:rFonts w:ascii="Book Antiqua" w:eastAsia="等线" w:hAnsi="Book Antiqua" w:cs="Times New Roman"/>
                <w:kern w:val="0"/>
                <w:sz w:val="24"/>
                <w:szCs w:val="24"/>
              </w:rPr>
              <w:t>ents have a promising prognosis</w:t>
            </w:r>
          </w:p>
        </w:tc>
        <w:tc>
          <w:tcPr>
            <w:tcW w:w="1625" w:type="dxa"/>
            <w:shd w:val="clear" w:color="auto" w:fill="FFFFFF" w:themeFill="background1"/>
          </w:tcPr>
          <w:p w14:paraId="649D7841"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vertAlign w:val="superscript"/>
              </w:rPr>
            </w:pPr>
            <w:r w:rsidRPr="00246B02">
              <w:rPr>
                <w:rFonts w:ascii="Book Antiqua" w:eastAsia="等线" w:hAnsi="Book Antiqua" w:cs="Times New Roman"/>
                <w:kern w:val="0"/>
                <w:sz w:val="24"/>
                <w:szCs w:val="24"/>
                <w:vertAlign w:val="superscript"/>
              </w:rPr>
              <w:t xml:space="preserve"> [73]</w:t>
            </w:r>
          </w:p>
        </w:tc>
      </w:tr>
      <w:tr w:rsidR="00246B02" w:rsidRPr="00246B02" w14:paraId="73F8F28C" w14:textId="77777777" w:rsidTr="00E903A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FFFFFF" w:themeFill="background1"/>
            <w:noWrap/>
            <w:hideMark/>
          </w:tcPr>
          <w:p w14:paraId="194E0068" w14:textId="2511339D" w:rsidR="00513D1B" w:rsidRPr="00246B02" w:rsidRDefault="00E903A7" w:rsidP="00246B02">
            <w:pPr>
              <w:spacing w:line="360" w:lineRule="auto"/>
              <w:jc w:val="both"/>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Four</w:t>
            </w:r>
            <w:r w:rsidR="00513D1B" w:rsidRPr="00246B02">
              <w:rPr>
                <w:rFonts w:ascii="Book Antiqua" w:eastAsia="等线" w:hAnsi="Book Antiqua" w:cs="Times New Roman"/>
                <w:kern w:val="0"/>
                <w:sz w:val="24"/>
                <w:szCs w:val="24"/>
              </w:rPr>
              <w:t>-gene predictive model</w:t>
            </w:r>
          </w:p>
          <w:p w14:paraId="60724C7A"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val="restart"/>
            <w:shd w:val="clear" w:color="auto" w:fill="FFFFFF" w:themeFill="background1"/>
            <w:noWrap/>
            <w:hideMark/>
          </w:tcPr>
          <w:p w14:paraId="67B794FE" w14:textId="376870A2"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4</w:t>
            </w:r>
          </w:p>
        </w:tc>
        <w:tc>
          <w:tcPr>
            <w:tcW w:w="4116" w:type="dxa"/>
            <w:shd w:val="clear" w:color="auto" w:fill="FFFFFF" w:themeFill="background1"/>
            <w:noWrap/>
            <w:hideMark/>
          </w:tcPr>
          <w:p w14:paraId="08DBB29D" w14:textId="1955724F"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Proliferative-related</w:t>
            </w:r>
            <w:r w:rsidR="00DC0151">
              <w:rPr>
                <w:rFonts w:ascii="Book Antiqua" w:eastAsia="等线" w:hAnsi="Book Antiqua" w:cs="Times New Roman"/>
                <w:kern w:val="0"/>
                <w:sz w:val="24"/>
                <w:szCs w:val="24"/>
              </w:rPr>
              <w:t xml:space="preserve"> genes</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ASPM</w:t>
            </w:r>
            <w:r w:rsidRPr="00246B02">
              <w:rPr>
                <w:rFonts w:ascii="Book Antiqua" w:eastAsia="等线" w:hAnsi="Book Antiqua" w:cs="Times New Roman"/>
                <w:kern w:val="0"/>
                <w:sz w:val="24"/>
                <w:szCs w:val="24"/>
              </w:rPr>
              <w:t xml:space="preserve"> and </w:t>
            </w:r>
            <w:r w:rsidRPr="00246B02">
              <w:rPr>
                <w:rFonts w:ascii="Book Antiqua" w:eastAsia="等线" w:hAnsi="Book Antiqua" w:cs="Times New Roman"/>
                <w:i/>
                <w:kern w:val="0"/>
                <w:sz w:val="24"/>
                <w:szCs w:val="24"/>
              </w:rPr>
              <w:t>MCM4</w:t>
            </w:r>
          </w:p>
        </w:tc>
        <w:tc>
          <w:tcPr>
            <w:tcW w:w="1409" w:type="dxa"/>
            <w:vMerge w:val="restart"/>
            <w:shd w:val="clear" w:color="auto" w:fill="FFFFFF" w:themeFill="background1"/>
            <w:noWrap/>
            <w:hideMark/>
          </w:tcPr>
          <w:p w14:paraId="6F5FD872"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QRT-PCR or IHC</w:t>
            </w:r>
          </w:p>
          <w:p w14:paraId="4AFF7C15"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　</w:t>
            </w:r>
          </w:p>
        </w:tc>
        <w:tc>
          <w:tcPr>
            <w:tcW w:w="3269" w:type="dxa"/>
            <w:vMerge w:val="restart"/>
            <w:shd w:val="clear" w:color="auto" w:fill="FFFFFF" w:themeFill="background1"/>
            <w:noWrap/>
            <w:hideMark/>
          </w:tcPr>
          <w:p w14:paraId="46481668" w14:textId="5214471B"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Associated to RFS and BCS</w:t>
            </w:r>
          </w:p>
          <w:p w14:paraId="56907962"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　</w:t>
            </w:r>
          </w:p>
        </w:tc>
        <w:tc>
          <w:tcPr>
            <w:tcW w:w="1625" w:type="dxa"/>
            <w:vMerge w:val="restart"/>
            <w:shd w:val="clear" w:color="auto" w:fill="FFFFFF" w:themeFill="background1"/>
          </w:tcPr>
          <w:p w14:paraId="7F8D8A20"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vertAlign w:val="superscript"/>
              </w:rPr>
            </w:pPr>
            <w:r w:rsidRPr="00246B02">
              <w:rPr>
                <w:rFonts w:ascii="Book Antiqua" w:eastAsia="等线" w:hAnsi="Book Antiqua" w:cs="Times New Roman"/>
                <w:kern w:val="0"/>
                <w:sz w:val="24"/>
                <w:szCs w:val="24"/>
                <w:vertAlign w:val="superscript"/>
              </w:rPr>
              <w:t>[75]</w:t>
            </w:r>
          </w:p>
        </w:tc>
      </w:tr>
      <w:tr w:rsidR="00246B02" w:rsidRPr="00246B02" w14:paraId="442B6D2B" w14:textId="77777777" w:rsidTr="00E903A7">
        <w:trPr>
          <w:trHeight w:val="83"/>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307DC7B1"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64629B41"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35EAF12B" w14:textId="70C257AC" w:rsidR="00513D1B" w:rsidRPr="00246B02" w:rsidRDefault="00E903A7"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Immune-related gene: </w:t>
            </w:r>
            <w:r w:rsidRPr="00246B02">
              <w:rPr>
                <w:rFonts w:ascii="Book Antiqua" w:eastAsia="等线" w:hAnsi="Book Antiqua" w:cs="Times New Roman"/>
                <w:i/>
                <w:kern w:val="0"/>
                <w:sz w:val="24"/>
                <w:szCs w:val="24"/>
              </w:rPr>
              <w:t>IL6ST</w:t>
            </w:r>
          </w:p>
        </w:tc>
        <w:tc>
          <w:tcPr>
            <w:tcW w:w="1409" w:type="dxa"/>
            <w:vMerge/>
            <w:shd w:val="clear" w:color="auto" w:fill="FFFFFF" w:themeFill="background1"/>
            <w:noWrap/>
            <w:hideMark/>
          </w:tcPr>
          <w:p w14:paraId="1132CF52"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65484851"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210B28DD"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3C1A7E45" w14:textId="77777777" w:rsidTr="00E903A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tcPr>
          <w:p w14:paraId="5107DE04"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tcPr>
          <w:p w14:paraId="35DD1FA9"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tcPr>
          <w:p w14:paraId="7F1478EC" w14:textId="3B9232B1"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Apoptosis </w:t>
            </w:r>
            <w:r w:rsidR="00513D1B" w:rsidRPr="00246B02">
              <w:rPr>
                <w:rFonts w:ascii="Book Antiqua" w:eastAsia="等线" w:hAnsi="Book Antiqua" w:cs="Times New Roman"/>
                <w:kern w:val="0"/>
                <w:sz w:val="24"/>
                <w:szCs w:val="24"/>
              </w:rPr>
              <w:t>induction-related gene</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NGFRAP1</w:t>
            </w:r>
          </w:p>
        </w:tc>
        <w:tc>
          <w:tcPr>
            <w:tcW w:w="1409" w:type="dxa"/>
            <w:vMerge/>
            <w:shd w:val="clear" w:color="auto" w:fill="FFFFFF" w:themeFill="background1"/>
            <w:noWrap/>
          </w:tcPr>
          <w:p w14:paraId="4F6FF077"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tcPr>
          <w:p w14:paraId="1468F374"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19506409"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r>
    </w:tbl>
    <w:p w14:paraId="5AADB30D" w14:textId="18F943B7" w:rsidR="00BF5B41" w:rsidRPr="00246B02" w:rsidRDefault="00E903A7" w:rsidP="00246B02">
      <w:pPr>
        <w:spacing w:line="360" w:lineRule="auto"/>
        <w:jc w:val="both"/>
        <w:rPr>
          <w:rFonts w:ascii="Book Antiqua" w:eastAsiaTheme="minorHAnsi" w:hAnsi="Book Antiqua" w:cs="Times New Roman"/>
          <w:b/>
          <w:color w:val="000000" w:themeColor="text1"/>
          <w:sz w:val="24"/>
          <w:szCs w:val="24"/>
        </w:rPr>
      </w:pPr>
      <w:r w:rsidRPr="00246B02">
        <w:rPr>
          <w:rFonts w:ascii="Book Antiqua" w:eastAsia="等线" w:hAnsi="Book Antiqua" w:cs="Times New Roman"/>
          <w:color w:val="000000" w:themeColor="text1"/>
          <w:kern w:val="0"/>
          <w:sz w:val="24"/>
          <w:szCs w:val="24"/>
        </w:rPr>
        <w:t>NAE:</w:t>
      </w:r>
      <w:r w:rsidRPr="00246B02">
        <w:rPr>
          <w:rFonts w:ascii="Book Antiqua" w:eastAsiaTheme="minorHAnsi" w:hAnsi="Book Antiqua" w:cs="Times New Roman"/>
          <w:color w:val="000000" w:themeColor="text1"/>
          <w:sz w:val="24"/>
          <w:szCs w:val="24"/>
        </w:rPr>
        <w:t xml:space="preserve"> Neoadjuvant endocrine therapy;</w:t>
      </w:r>
      <w:r w:rsidRPr="00246B02">
        <w:rPr>
          <w:rFonts w:ascii="Book Antiqua" w:eastAsia="等线" w:hAnsi="Book Antiqua" w:cs="Times New Roman"/>
          <w:color w:val="000000" w:themeColor="text1"/>
          <w:kern w:val="0"/>
          <w:sz w:val="24"/>
          <w:szCs w:val="24"/>
        </w:rPr>
        <w:t xml:space="preserve"> QRT-PCR: Quantitative real time polymerase chain reaction; IHC:</w:t>
      </w:r>
      <w:r w:rsidRPr="00246B02">
        <w:rPr>
          <w:rFonts w:ascii="Book Antiqua" w:hAnsi="Book Antiqua"/>
          <w:color w:val="000000" w:themeColor="text1"/>
          <w:sz w:val="24"/>
          <w:szCs w:val="24"/>
        </w:rPr>
        <w:t xml:space="preserve"> </w:t>
      </w:r>
      <w:r w:rsidRPr="00246B02">
        <w:rPr>
          <w:rFonts w:ascii="Book Antiqua" w:eastAsia="等线" w:hAnsi="Book Antiqua" w:cs="Times New Roman"/>
          <w:color w:val="000000" w:themeColor="text1"/>
          <w:kern w:val="0"/>
          <w:sz w:val="24"/>
          <w:szCs w:val="24"/>
        </w:rPr>
        <w:t>Immunohistochemistry</w:t>
      </w:r>
      <w:r w:rsidRPr="00C9453D">
        <w:rPr>
          <w:rFonts w:ascii="Book Antiqua" w:eastAsiaTheme="minorHAnsi" w:hAnsi="Book Antiqua" w:cs="Times New Roman"/>
          <w:color w:val="000000" w:themeColor="text1"/>
          <w:sz w:val="24"/>
          <w:szCs w:val="24"/>
        </w:rPr>
        <w:t>.</w:t>
      </w:r>
    </w:p>
    <w:p w14:paraId="767D0190" w14:textId="77777777" w:rsidR="00E903A7" w:rsidRPr="00246B02" w:rsidRDefault="00E903A7" w:rsidP="00246B02">
      <w:pPr>
        <w:spacing w:line="360" w:lineRule="auto"/>
        <w:jc w:val="both"/>
        <w:rPr>
          <w:rFonts w:ascii="Book Antiqua" w:hAnsi="Book Antiqua" w:cs="Times New Roman"/>
          <w:color w:val="000000" w:themeColor="text1"/>
          <w:sz w:val="24"/>
          <w:szCs w:val="24"/>
        </w:rPr>
        <w:sectPr w:rsidR="00E903A7" w:rsidRPr="00246B02" w:rsidSect="00C57108">
          <w:pgSz w:w="16838" w:h="11906" w:orient="landscape"/>
          <w:pgMar w:top="1800" w:right="1440" w:bottom="1800" w:left="1440" w:header="851" w:footer="992" w:gutter="0"/>
          <w:cols w:space="425"/>
          <w:docGrid w:type="lines" w:linePitch="312"/>
        </w:sectPr>
      </w:pPr>
    </w:p>
    <w:p w14:paraId="21D0C5B8" w14:textId="5EEE3A9D" w:rsidR="00513D1B" w:rsidRPr="00246B02" w:rsidRDefault="00513D1B" w:rsidP="00246B02">
      <w:pPr>
        <w:pageBreakBefore/>
        <w:widowControl w:val="0"/>
        <w:spacing w:line="360" w:lineRule="auto"/>
        <w:jc w:val="both"/>
        <w:rPr>
          <w:rFonts w:ascii="Book Antiqua" w:hAnsi="Book Antiqua" w:cs="Times New Roman"/>
          <w:b/>
          <w:color w:val="000000" w:themeColor="text1"/>
          <w:sz w:val="24"/>
          <w:szCs w:val="24"/>
        </w:rPr>
      </w:pPr>
    </w:p>
    <w:sectPr w:rsidR="00513D1B" w:rsidRPr="00246B02" w:rsidSect="004327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65AC6" w14:textId="77777777" w:rsidR="00672D1D" w:rsidRDefault="00672D1D" w:rsidP="008B5D6E">
      <w:r>
        <w:separator/>
      </w:r>
    </w:p>
  </w:endnote>
  <w:endnote w:type="continuationSeparator" w:id="0">
    <w:p w14:paraId="298C6806" w14:textId="77777777" w:rsidR="00672D1D" w:rsidRDefault="00672D1D" w:rsidP="008B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ystem">
    <w:altName w:val="FZD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dvOTd710a12c">
    <w:altName w:val="Arial"/>
    <w:panose1 w:val="00000000000000000000"/>
    <w:charset w:val="00"/>
    <w:family w:val="swiss"/>
    <w:notTrueType/>
    <w:pitch w:val="default"/>
    <w:sig w:usb0="00000003" w:usb1="00000000" w:usb2="00000000" w:usb3="00000000" w:csb0="00000001" w:csb1="00000000"/>
  </w:font>
  <w:font w:name="GvmjrxAdvTT35fd26db">
    <w:altName w:val="Cambria"/>
    <w:panose1 w:val="00000000000000000000"/>
    <w:charset w:val="00"/>
    <w:family w:val="roman"/>
    <w:notTrueType/>
    <w:pitch w:val="default"/>
    <w:sig w:usb0="00000003" w:usb1="00000000" w:usb2="00000000" w:usb3="00000000" w:csb0="00000001" w:csb1="00000000"/>
  </w:font>
  <w:font w:name="AdvPTimesB">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OTa82dc243.I">
    <w:altName w:val="Calibri"/>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dvOT07517017">
    <w:altName w:val="微软雅黑"/>
    <w:panose1 w:val="00000000000000000000"/>
    <w:charset w:val="86"/>
    <w:family w:val="auto"/>
    <w:notTrueType/>
    <w:pitch w:val="default"/>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50880" w14:textId="77777777" w:rsidR="00672D1D" w:rsidRDefault="00672D1D" w:rsidP="008B5D6E">
      <w:r>
        <w:separator/>
      </w:r>
    </w:p>
  </w:footnote>
  <w:footnote w:type="continuationSeparator" w:id="0">
    <w:p w14:paraId="7795A7C8" w14:textId="77777777" w:rsidR="00672D1D" w:rsidRDefault="00672D1D" w:rsidP="008B5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7F36"/>
    <w:rsid w:val="00005A60"/>
    <w:rsid w:val="000127BE"/>
    <w:rsid w:val="00066F45"/>
    <w:rsid w:val="0008597B"/>
    <w:rsid w:val="00087EC1"/>
    <w:rsid w:val="00090975"/>
    <w:rsid w:val="000C519E"/>
    <w:rsid w:val="00101E63"/>
    <w:rsid w:val="00120F14"/>
    <w:rsid w:val="00123A19"/>
    <w:rsid w:val="00146B8E"/>
    <w:rsid w:val="00186323"/>
    <w:rsid w:val="00187124"/>
    <w:rsid w:val="001D3E0F"/>
    <w:rsid w:val="001E6AF8"/>
    <w:rsid w:val="001F5D0E"/>
    <w:rsid w:val="0021493C"/>
    <w:rsid w:val="00220741"/>
    <w:rsid w:val="00246B02"/>
    <w:rsid w:val="00272C5B"/>
    <w:rsid w:val="0027493F"/>
    <w:rsid w:val="002A2BE2"/>
    <w:rsid w:val="002C2795"/>
    <w:rsid w:val="002D4EAE"/>
    <w:rsid w:val="002F0251"/>
    <w:rsid w:val="003129A1"/>
    <w:rsid w:val="003138E7"/>
    <w:rsid w:val="00315805"/>
    <w:rsid w:val="00317D76"/>
    <w:rsid w:val="00345F94"/>
    <w:rsid w:val="00383F39"/>
    <w:rsid w:val="00390527"/>
    <w:rsid w:val="003905DB"/>
    <w:rsid w:val="0039248A"/>
    <w:rsid w:val="003A1ACB"/>
    <w:rsid w:val="003A34FE"/>
    <w:rsid w:val="003C245C"/>
    <w:rsid w:val="003D1270"/>
    <w:rsid w:val="003F5037"/>
    <w:rsid w:val="004113CD"/>
    <w:rsid w:val="00430F10"/>
    <w:rsid w:val="004327BB"/>
    <w:rsid w:val="00444BBD"/>
    <w:rsid w:val="00462A99"/>
    <w:rsid w:val="00465CA2"/>
    <w:rsid w:val="00467969"/>
    <w:rsid w:val="00497F30"/>
    <w:rsid w:val="004D6B76"/>
    <w:rsid w:val="004E5C82"/>
    <w:rsid w:val="00504556"/>
    <w:rsid w:val="00513D1B"/>
    <w:rsid w:val="00517BC0"/>
    <w:rsid w:val="005239CB"/>
    <w:rsid w:val="0053546A"/>
    <w:rsid w:val="00537255"/>
    <w:rsid w:val="005A403A"/>
    <w:rsid w:val="00600B3F"/>
    <w:rsid w:val="00641283"/>
    <w:rsid w:val="00646A17"/>
    <w:rsid w:val="006604ED"/>
    <w:rsid w:val="00670FE4"/>
    <w:rsid w:val="00672D1D"/>
    <w:rsid w:val="00673A84"/>
    <w:rsid w:val="006B3407"/>
    <w:rsid w:val="006C7BD3"/>
    <w:rsid w:val="006E48C9"/>
    <w:rsid w:val="007012F8"/>
    <w:rsid w:val="00704A35"/>
    <w:rsid w:val="00726836"/>
    <w:rsid w:val="00727109"/>
    <w:rsid w:val="00734243"/>
    <w:rsid w:val="00734F4C"/>
    <w:rsid w:val="00743CC7"/>
    <w:rsid w:val="00743CEF"/>
    <w:rsid w:val="0074410C"/>
    <w:rsid w:val="007625B2"/>
    <w:rsid w:val="007A0AF0"/>
    <w:rsid w:val="007B1E5A"/>
    <w:rsid w:val="007D088D"/>
    <w:rsid w:val="007F647C"/>
    <w:rsid w:val="008010D2"/>
    <w:rsid w:val="00803F6F"/>
    <w:rsid w:val="00814908"/>
    <w:rsid w:val="00831941"/>
    <w:rsid w:val="00837F36"/>
    <w:rsid w:val="00863F32"/>
    <w:rsid w:val="00897AE3"/>
    <w:rsid w:val="008A5003"/>
    <w:rsid w:val="008B5D6E"/>
    <w:rsid w:val="008C0FA8"/>
    <w:rsid w:val="008C266C"/>
    <w:rsid w:val="008F3D4B"/>
    <w:rsid w:val="00963471"/>
    <w:rsid w:val="00975B21"/>
    <w:rsid w:val="009A1FF0"/>
    <w:rsid w:val="009B1501"/>
    <w:rsid w:val="009B6581"/>
    <w:rsid w:val="009B669B"/>
    <w:rsid w:val="009E3AC1"/>
    <w:rsid w:val="009F2018"/>
    <w:rsid w:val="00A00700"/>
    <w:rsid w:val="00A0260B"/>
    <w:rsid w:val="00A04C3D"/>
    <w:rsid w:val="00A17DF5"/>
    <w:rsid w:val="00A44FE6"/>
    <w:rsid w:val="00A76892"/>
    <w:rsid w:val="00A9321E"/>
    <w:rsid w:val="00AB3D52"/>
    <w:rsid w:val="00AD1911"/>
    <w:rsid w:val="00AE09BD"/>
    <w:rsid w:val="00AE17CB"/>
    <w:rsid w:val="00B114E5"/>
    <w:rsid w:val="00B25403"/>
    <w:rsid w:val="00B41288"/>
    <w:rsid w:val="00B65A83"/>
    <w:rsid w:val="00B65EBC"/>
    <w:rsid w:val="00B73FE2"/>
    <w:rsid w:val="00B82364"/>
    <w:rsid w:val="00B83ED2"/>
    <w:rsid w:val="00BA5201"/>
    <w:rsid w:val="00BB4489"/>
    <w:rsid w:val="00BC42CD"/>
    <w:rsid w:val="00BD72EB"/>
    <w:rsid w:val="00BE21C3"/>
    <w:rsid w:val="00BF5B41"/>
    <w:rsid w:val="00C04A27"/>
    <w:rsid w:val="00C105EA"/>
    <w:rsid w:val="00C4010F"/>
    <w:rsid w:val="00C57108"/>
    <w:rsid w:val="00C630A1"/>
    <w:rsid w:val="00C71F1C"/>
    <w:rsid w:val="00C72839"/>
    <w:rsid w:val="00C75ED5"/>
    <w:rsid w:val="00C836FF"/>
    <w:rsid w:val="00C9453D"/>
    <w:rsid w:val="00CA02AC"/>
    <w:rsid w:val="00CC310E"/>
    <w:rsid w:val="00CF36F0"/>
    <w:rsid w:val="00CF3A77"/>
    <w:rsid w:val="00D309FB"/>
    <w:rsid w:val="00D4398B"/>
    <w:rsid w:val="00D53D95"/>
    <w:rsid w:val="00D679D0"/>
    <w:rsid w:val="00D816B2"/>
    <w:rsid w:val="00D96BEF"/>
    <w:rsid w:val="00DC0151"/>
    <w:rsid w:val="00DD77D1"/>
    <w:rsid w:val="00DF7141"/>
    <w:rsid w:val="00DF71F6"/>
    <w:rsid w:val="00E07C38"/>
    <w:rsid w:val="00E267A5"/>
    <w:rsid w:val="00E304D6"/>
    <w:rsid w:val="00E32532"/>
    <w:rsid w:val="00E5318D"/>
    <w:rsid w:val="00E75CC3"/>
    <w:rsid w:val="00E847A9"/>
    <w:rsid w:val="00E859C8"/>
    <w:rsid w:val="00E903A7"/>
    <w:rsid w:val="00EE19C5"/>
    <w:rsid w:val="00F11E96"/>
    <w:rsid w:val="00F147CC"/>
    <w:rsid w:val="00F169A8"/>
    <w:rsid w:val="00F258D4"/>
    <w:rsid w:val="00F37DDB"/>
    <w:rsid w:val="00F40734"/>
    <w:rsid w:val="00F43BB0"/>
    <w:rsid w:val="00F71035"/>
    <w:rsid w:val="00F75ADA"/>
    <w:rsid w:val="00F768BA"/>
    <w:rsid w:val="00F80885"/>
    <w:rsid w:val="00F871DA"/>
    <w:rsid w:val="00F968C4"/>
    <w:rsid w:val="00FC203F"/>
    <w:rsid w:val="00FC67E2"/>
    <w:rsid w:val="00FD07CE"/>
    <w:rsid w:val="00FE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7F36"/>
    <w:rPr>
      <w:rFonts w:ascii="Times New Roman" w:hAnsi="Times New Roman" w:cs="Times New Roman"/>
      <w:sz w:val="18"/>
      <w:szCs w:val="18"/>
    </w:rPr>
  </w:style>
  <w:style w:type="character" w:customStyle="1" w:styleId="Char">
    <w:name w:val="批注框文本 Char"/>
    <w:basedOn w:val="a0"/>
    <w:link w:val="a3"/>
    <w:uiPriority w:val="99"/>
    <w:semiHidden/>
    <w:rsid w:val="00837F36"/>
    <w:rPr>
      <w:rFonts w:ascii="Times New Roman" w:hAnsi="Times New Roman" w:cs="Times New Roman"/>
      <w:sz w:val="18"/>
      <w:szCs w:val="18"/>
    </w:rPr>
  </w:style>
  <w:style w:type="character" w:styleId="a4">
    <w:name w:val="annotation reference"/>
    <w:basedOn w:val="a0"/>
    <w:uiPriority w:val="99"/>
    <w:semiHidden/>
    <w:unhideWhenUsed/>
    <w:rsid w:val="00837F36"/>
    <w:rPr>
      <w:sz w:val="16"/>
      <w:szCs w:val="16"/>
    </w:rPr>
  </w:style>
  <w:style w:type="paragraph" w:styleId="a5">
    <w:name w:val="annotation text"/>
    <w:basedOn w:val="a"/>
    <w:link w:val="Char0"/>
    <w:uiPriority w:val="99"/>
    <w:semiHidden/>
    <w:unhideWhenUsed/>
    <w:qFormat/>
    <w:rsid w:val="00837F36"/>
    <w:rPr>
      <w:sz w:val="20"/>
      <w:szCs w:val="20"/>
    </w:rPr>
  </w:style>
  <w:style w:type="character" w:customStyle="1" w:styleId="Char0">
    <w:name w:val="批注文字 Char"/>
    <w:basedOn w:val="a0"/>
    <w:link w:val="a5"/>
    <w:uiPriority w:val="99"/>
    <w:semiHidden/>
    <w:qFormat/>
    <w:rsid w:val="00837F36"/>
    <w:rPr>
      <w:sz w:val="20"/>
      <w:szCs w:val="20"/>
    </w:rPr>
  </w:style>
  <w:style w:type="paragraph" w:styleId="a6">
    <w:name w:val="annotation subject"/>
    <w:basedOn w:val="a5"/>
    <w:next w:val="a5"/>
    <w:link w:val="Char1"/>
    <w:uiPriority w:val="99"/>
    <w:semiHidden/>
    <w:unhideWhenUsed/>
    <w:rsid w:val="00837F36"/>
    <w:rPr>
      <w:b/>
      <w:bCs/>
    </w:rPr>
  </w:style>
  <w:style w:type="character" w:customStyle="1" w:styleId="Char1">
    <w:name w:val="批注主题 Char"/>
    <w:basedOn w:val="Char0"/>
    <w:link w:val="a6"/>
    <w:uiPriority w:val="99"/>
    <w:semiHidden/>
    <w:rsid w:val="00837F36"/>
    <w:rPr>
      <w:b/>
      <w:bCs/>
      <w:sz w:val="20"/>
      <w:szCs w:val="20"/>
    </w:rPr>
  </w:style>
  <w:style w:type="paragraph" w:styleId="a7">
    <w:name w:val="List Paragraph"/>
    <w:basedOn w:val="a"/>
    <w:uiPriority w:val="34"/>
    <w:qFormat/>
    <w:rsid w:val="00837F36"/>
    <w:pPr>
      <w:ind w:left="720"/>
      <w:contextualSpacing/>
    </w:pPr>
  </w:style>
  <w:style w:type="paragraph" w:styleId="a8">
    <w:name w:val="Revision"/>
    <w:hidden/>
    <w:uiPriority w:val="99"/>
    <w:semiHidden/>
    <w:rsid w:val="00837F36"/>
  </w:style>
  <w:style w:type="paragraph" w:styleId="a9">
    <w:name w:val="header"/>
    <w:basedOn w:val="a"/>
    <w:link w:val="Char2"/>
    <w:uiPriority w:val="99"/>
    <w:unhideWhenUsed/>
    <w:rsid w:val="00837F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37F36"/>
    <w:rPr>
      <w:sz w:val="18"/>
      <w:szCs w:val="18"/>
    </w:rPr>
  </w:style>
  <w:style w:type="paragraph" w:styleId="aa">
    <w:name w:val="footer"/>
    <w:basedOn w:val="a"/>
    <w:link w:val="Char3"/>
    <w:uiPriority w:val="99"/>
    <w:unhideWhenUsed/>
    <w:rsid w:val="00837F36"/>
    <w:pPr>
      <w:tabs>
        <w:tab w:val="center" w:pos="4153"/>
        <w:tab w:val="right" w:pos="8306"/>
      </w:tabs>
      <w:snapToGrid w:val="0"/>
    </w:pPr>
    <w:rPr>
      <w:sz w:val="18"/>
      <w:szCs w:val="18"/>
    </w:rPr>
  </w:style>
  <w:style w:type="character" w:customStyle="1" w:styleId="Char3">
    <w:name w:val="页脚 Char"/>
    <w:basedOn w:val="a0"/>
    <w:link w:val="aa"/>
    <w:uiPriority w:val="99"/>
    <w:rsid w:val="00837F36"/>
    <w:rPr>
      <w:sz w:val="18"/>
      <w:szCs w:val="18"/>
    </w:rPr>
  </w:style>
  <w:style w:type="paragraph" w:customStyle="1" w:styleId="EndNoteBibliographyTitle">
    <w:name w:val="EndNote Bibliography Title"/>
    <w:basedOn w:val="a"/>
    <w:link w:val="EndNoteBibliographyTitle0"/>
    <w:rsid w:val="00837F3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837F36"/>
    <w:rPr>
      <w:rFonts w:ascii="等线" w:eastAsia="等线" w:hAnsi="等线"/>
      <w:noProof/>
      <w:sz w:val="20"/>
    </w:rPr>
  </w:style>
  <w:style w:type="paragraph" w:customStyle="1" w:styleId="EndNoteBibliography">
    <w:name w:val="EndNote Bibliography"/>
    <w:basedOn w:val="a"/>
    <w:link w:val="EndNoteBibliography0"/>
    <w:rsid w:val="00837F36"/>
    <w:rPr>
      <w:rFonts w:ascii="等线" w:eastAsia="等线" w:hAnsi="等线"/>
      <w:noProof/>
      <w:sz w:val="20"/>
    </w:rPr>
  </w:style>
  <w:style w:type="character" w:customStyle="1" w:styleId="EndNoteBibliography0">
    <w:name w:val="EndNote Bibliography 字符"/>
    <w:basedOn w:val="a0"/>
    <w:link w:val="EndNoteBibliography"/>
    <w:rsid w:val="00837F36"/>
    <w:rPr>
      <w:rFonts w:ascii="等线" w:eastAsia="等线" w:hAnsi="等线"/>
      <w:noProof/>
      <w:sz w:val="20"/>
    </w:rPr>
  </w:style>
  <w:style w:type="character" w:styleId="ab">
    <w:name w:val="Hyperlink"/>
    <w:basedOn w:val="a0"/>
    <w:uiPriority w:val="99"/>
    <w:unhideWhenUsed/>
    <w:rsid w:val="00837F36"/>
    <w:rPr>
      <w:color w:val="0000FF"/>
      <w:u w:val="single"/>
    </w:rPr>
  </w:style>
  <w:style w:type="character" w:customStyle="1" w:styleId="apple-converted-space">
    <w:name w:val="apple-converted-space"/>
    <w:basedOn w:val="a0"/>
    <w:rsid w:val="00837F36"/>
  </w:style>
  <w:style w:type="table" w:customStyle="1" w:styleId="1">
    <w:name w:val="网格型浅色1"/>
    <w:basedOn w:val="a1"/>
    <w:uiPriority w:val="40"/>
    <w:rsid w:val="00005A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1">
    <w:name w:val="清单表 6 彩色1"/>
    <w:basedOn w:val="a1"/>
    <w:uiPriority w:val="51"/>
    <w:rsid w:val="00005A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D77D1"/>
    <w:pPr>
      <w:widowControl w:val="0"/>
      <w:autoSpaceDE w:val="0"/>
      <w:autoSpaceDN w:val="0"/>
      <w:adjustRightInd w:val="0"/>
    </w:pPr>
    <w:rPr>
      <w:rFonts w:ascii="Book Antiqua" w:hAnsi="Book Antiqua" w:cs="Book Antiqua"/>
      <w:color w:val="000000"/>
      <w:kern w:val="0"/>
      <w:sz w:val="24"/>
      <w:szCs w:val="24"/>
    </w:rPr>
  </w:style>
  <w:style w:type="character" w:customStyle="1" w:styleId="UnresolvedMention1">
    <w:name w:val="Unresolved Mention1"/>
    <w:basedOn w:val="a0"/>
    <w:uiPriority w:val="99"/>
    <w:semiHidden/>
    <w:unhideWhenUsed/>
    <w:rsid w:val="00187124"/>
    <w:rPr>
      <w:color w:val="605E5C"/>
      <w:shd w:val="clear" w:color="auto" w:fill="E1DFDD"/>
    </w:rPr>
  </w:style>
  <w:style w:type="paragraph" w:styleId="ac">
    <w:name w:val="Plain Text"/>
    <w:basedOn w:val="a"/>
    <w:link w:val="Char4"/>
    <w:unhideWhenUsed/>
    <w:rsid w:val="001D3E0F"/>
    <w:pPr>
      <w:widowControl w:val="0"/>
      <w:spacing w:line="240" w:lineRule="auto"/>
      <w:jc w:val="both"/>
    </w:pPr>
    <w:rPr>
      <w:rFonts w:ascii="宋体" w:eastAsia="宋体" w:hAnsi="Courier New" w:cs="Courier New"/>
    </w:rPr>
  </w:style>
  <w:style w:type="character" w:customStyle="1" w:styleId="Char4">
    <w:name w:val="纯文本 Char"/>
    <w:basedOn w:val="a0"/>
    <w:link w:val="ac"/>
    <w:rsid w:val="001D3E0F"/>
    <w:rPr>
      <w:rFonts w:ascii="宋体" w:eastAsia="宋体"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7F36"/>
    <w:rPr>
      <w:rFonts w:ascii="Times New Roman" w:hAnsi="Times New Roman" w:cs="Times New Roman"/>
      <w:sz w:val="18"/>
      <w:szCs w:val="18"/>
    </w:rPr>
  </w:style>
  <w:style w:type="character" w:customStyle="1" w:styleId="Char">
    <w:name w:val="批注框文本 Char"/>
    <w:basedOn w:val="a0"/>
    <w:link w:val="a3"/>
    <w:uiPriority w:val="99"/>
    <w:semiHidden/>
    <w:rsid w:val="00837F36"/>
    <w:rPr>
      <w:rFonts w:ascii="Times New Roman" w:hAnsi="Times New Roman" w:cs="Times New Roman"/>
      <w:sz w:val="18"/>
      <w:szCs w:val="18"/>
    </w:rPr>
  </w:style>
  <w:style w:type="character" w:styleId="a4">
    <w:name w:val="annotation reference"/>
    <w:basedOn w:val="a0"/>
    <w:uiPriority w:val="99"/>
    <w:semiHidden/>
    <w:unhideWhenUsed/>
    <w:rsid w:val="00837F36"/>
    <w:rPr>
      <w:sz w:val="16"/>
      <w:szCs w:val="16"/>
    </w:rPr>
  </w:style>
  <w:style w:type="paragraph" w:styleId="a5">
    <w:name w:val="annotation text"/>
    <w:basedOn w:val="a"/>
    <w:link w:val="Char0"/>
    <w:uiPriority w:val="99"/>
    <w:semiHidden/>
    <w:unhideWhenUsed/>
    <w:qFormat/>
    <w:rsid w:val="00837F36"/>
    <w:rPr>
      <w:sz w:val="20"/>
      <w:szCs w:val="20"/>
    </w:rPr>
  </w:style>
  <w:style w:type="character" w:customStyle="1" w:styleId="Char0">
    <w:name w:val="批注文字 Char"/>
    <w:basedOn w:val="a0"/>
    <w:link w:val="a5"/>
    <w:uiPriority w:val="99"/>
    <w:semiHidden/>
    <w:qFormat/>
    <w:rsid w:val="00837F36"/>
    <w:rPr>
      <w:sz w:val="20"/>
      <w:szCs w:val="20"/>
    </w:rPr>
  </w:style>
  <w:style w:type="paragraph" w:styleId="a6">
    <w:name w:val="annotation subject"/>
    <w:basedOn w:val="a5"/>
    <w:next w:val="a5"/>
    <w:link w:val="Char1"/>
    <w:uiPriority w:val="99"/>
    <w:semiHidden/>
    <w:unhideWhenUsed/>
    <w:rsid w:val="00837F36"/>
    <w:rPr>
      <w:b/>
      <w:bCs/>
    </w:rPr>
  </w:style>
  <w:style w:type="character" w:customStyle="1" w:styleId="Char1">
    <w:name w:val="批注主题 Char"/>
    <w:basedOn w:val="Char0"/>
    <w:link w:val="a6"/>
    <w:uiPriority w:val="99"/>
    <w:semiHidden/>
    <w:rsid w:val="00837F36"/>
    <w:rPr>
      <w:b/>
      <w:bCs/>
      <w:sz w:val="20"/>
      <w:szCs w:val="20"/>
    </w:rPr>
  </w:style>
  <w:style w:type="paragraph" w:styleId="a7">
    <w:name w:val="List Paragraph"/>
    <w:basedOn w:val="a"/>
    <w:uiPriority w:val="34"/>
    <w:qFormat/>
    <w:rsid w:val="00837F36"/>
    <w:pPr>
      <w:ind w:left="720"/>
      <w:contextualSpacing/>
    </w:pPr>
  </w:style>
  <w:style w:type="paragraph" w:styleId="a8">
    <w:name w:val="Revision"/>
    <w:hidden/>
    <w:uiPriority w:val="99"/>
    <w:semiHidden/>
    <w:rsid w:val="00837F36"/>
  </w:style>
  <w:style w:type="paragraph" w:styleId="a9">
    <w:name w:val="header"/>
    <w:basedOn w:val="a"/>
    <w:link w:val="Char2"/>
    <w:uiPriority w:val="99"/>
    <w:unhideWhenUsed/>
    <w:rsid w:val="00837F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37F36"/>
    <w:rPr>
      <w:sz w:val="18"/>
      <w:szCs w:val="18"/>
    </w:rPr>
  </w:style>
  <w:style w:type="paragraph" w:styleId="aa">
    <w:name w:val="footer"/>
    <w:basedOn w:val="a"/>
    <w:link w:val="Char3"/>
    <w:uiPriority w:val="99"/>
    <w:unhideWhenUsed/>
    <w:rsid w:val="00837F36"/>
    <w:pPr>
      <w:tabs>
        <w:tab w:val="center" w:pos="4153"/>
        <w:tab w:val="right" w:pos="8306"/>
      </w:tabs>
      <w:snapToGrid w:val="0"/>
    </w:pPr>
    <w:rPr>
      <w:sz w:val="18"/>
      <w:szCs w:val="18"/>
    </w:rPr>
  </w:style>
  <w:style w:type="character" w:customStyle="1" w:styleId="Char3">
    <w:name w:val="页脚 Char"/>
    <w:basedOn w:val="a0"/>
    <w:link w:val="aa"/>
    <w:uiPriority w:val="99"/>
    <w:rsid w:val="00837F36"/>
    <w:rPr>
      <w:sz w:val="18"/>
      <w:szCs w:val="18"/>
    </w:rPr>
  </w:style>
  <w:style w:type="paragraph" w:customStyle="1" w:styleId="EndNoteBibliographyTitle">
    <w:name w:val="EndNote Bibliography Title"/>
    <w:basedOn w:val="a"/>
    <w:link w:val="EndNoteBibliographyTitle0"/>
    <w:rsid w:val="00837F3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837F36"/>
    <w:rPr>
      <w:rFonts w:ascii="等线" w:eastAsia="等线" w:hAnsi="等线"/>
      <w:noProof/>
      <w:sz w:val="20"/>
    </w:rPr>
  </w:style>
  <w:style w:type="paragraph" w:customStyle="1" w:styleId="EndNoteBibliography">
    <w:name w:val="EndNote Bibliography"/>
    <w:basedOn w:val="a"/>
    <w:link w:val="EndNoteBibliography0"/>
    <w:rsid w:val="00837F36"/>
    <w:rPr>
      <w:rFonts w:ascii="等线" w:eastAsia="等线" w:hAnsi="等线"/>
      <w:noProof/>
      <w:sz w:val="20"/>
    </w:rPr>
  </w:style>
  <w:style w:type="character" w:customStyle="1" w:styleId="EndNoteBibliography0">
    <w:name w:val="EndNote Bibliography 字符"/>
    <w:basedOn w:val="a0"/>
    <w:link w:val="EndNoteBibliography"/>
    <w:rsid w:val="00837F36"/>
    <w:rPr>
      <w:rFonts w:ascii="等线" w:eastAsia="等线" w:hAnsi="等线"/>
      <w:noProof/>
      <w:sz w:val="20"/>
    </w:rPr>
  </w:style>
  <w:style w:type="character" w:styleId="ab">
    <w:name w:val="Hyperlink"/>
    <w:basedOn w:val="a0"/>
    <w:uiPriority w:val="99"/>
    <w:unhideWhenUsed/>
    <w:rsid w:val="00837F36"/>
    <w:rPr>
      <w:color w:val="0000FF"/>
      <w:u w:val="single"/>
    </w:rPr>
  </w:style>
  <w:style w:type="character" w:customStyle="1" w:styleId="apple-converted-space">
    <w:name w:val="apple-converted-space"/>
    <w:basedOn w:val="a0"/>
    <w:rsid w:val="00837F36"/>
  </w:style>
  <w:style w:type="table" w:customStyle="1" w:styleId="1">
    <w:name w:val="网格型浅色1"/>
    <w:basedOn w:val="a1"/>
    <w:uiPriority w:val="40"/>
    <w:rsid w:val="00005A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1">
    <w:name w:val="清单表 6 彩色1"/>
    <w:basedOn w:val="a1"/>
    <w:uiPriority w:val="51"/>
    <w:rsid w:val="00005A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D77D1"/>
    <w:pPr>
      <w:widowControl w:val="0"/>
      <w:autoSpaceDE w:val="0"/>
      <w:autoSpaceDN w:val="0"/>
      <w:adjustRightInd w:val="0"/>
    </w:pPr>
    <w:rPr>
      <w:rFonts w:ascii="Book Antiqua" w:hAnsi="Book Antiqua" w:cs="Book Antiqua"/>
      <w:color w:val="000000"/>
      <w:kern w:val="0"/>
      <w:sz w:val="24"/>
      <w:szCs w:val="24"/>
    </w:rPr>
  </w:style>
  <w:style w:type="character" w:customStyle="1" w:styleId="UnresolvedMention1">
    <w:name w:val="Unresolved Mention1"/>
    <w:basedOn w:val="a0"/>
    <w:uiPriority w:val="99"/>
    <w:semiHidden/>
    <w:unhideWhenUsed/>
    <w:rsid w:val="00187124"/>
    <w:rPr>
      <w:color w:val="605E5C"/>
      <w:shd w:val="clear" w:color="auto" w:fill="E1DFDD"/>
    </w:rPr>
  </w:style>
  <w:style w:type="paragraph" w:styleId="ac">
    <w:name w:val="Plain Text"/>
    <w:basedOn w:val="a"/>
    <w:link w:val="Char4"/>
    <w:unhideWhenUsed/>
    <w:rsid w:val="001D3E0F"/>
    <w:pPr>
      <w:widowControl w:val="0"/>
      <w:spacing w:line="240" w:lineRule="auto"/>
      <w:jc w:val="both"/>
    </w:pPr>
    <w:rPr>
      <w:rFonts w:ascii="宋体" w:eastAsia="宋体" w:hAnsi="Courier New" w:cs="Courier New"/>
    </w:rPr>
  </w:style>
  <w:style w:type="character" w:customStyle="1" w:styleId="Char4">
    <w:name w:val="纯文本 Char"/>
    <w:basedOn w:val="a0"/>
    <w:link w:val="ac"/>
    <w:rsid w:val="001D3E0F"/>
    <w:rPr>
      <w:rFonts w:ascii="宋体" w:eastAsia="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yingying@cm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503A-AB7D-4FE0-A108-0C4C373C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12060</Words>
  <Characters>68743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user</cp:lastModifiedBy>
  <cp:revision>6</cp:revision>
  <dcterms:created xsi:type="dcterms:W3CDTF">2019-07-12T06:35:00Z</dcterms:created>
  <dcterms:modified xsi:type="dcterms:W3CDTF">2019-08-06T02:03:00Z</dcterms:modified>
</cp:coreProperties>
</file>