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33" w:rsidRPr="00FC25F6" w:rsidRDefault="00E42C33" w:rsidP="00DE7591">
      <w:pPr>
        <w:pStyle w:val="af0"/>
        <w:spacing w:line="360" w:lineRule="auto"/>
        <w:jc w:val="both"/>
        <w:rPr>
          <w:rFonts w:ascii="Book Antiqua" w:hAnsi="Book Antiqua"/>
          <w:bCs/>
          <w:sz w:val="24"/>
          <w:szCs w:val="24"/>
        </w:rPr>
      </w:pPr>
      <w:r w:rsidRPr="00FC25F6">
        <w:rPr>
          <w:rFonts w:ascii="Book Antiqua" w:hAnsi="Book Antiqua"/>
          <w:b/>
          <w:sz w:val="24"/>
          <w:szCs w:val="24"/>
        </w:rPr>
        <w:t xml:space="preserve">Name of journal: </w:t>
      </w:r>
      <w:r w:rsidRPr="00FC25F6">
        <w:rPr>
          <w:rFonts w:ascii="Book Antiqua" w:hAnsi="Book Antiqua"/>
          <w:bCs/>
          <w:i/>
          <w:sz w:val="24"/>
          <w:szCs w:val="24"/>
        </w:rPr>
        <w:t>World</w:t>
      </w:r>
      <w:r w:rsidRPr="00FC25F6">
        <w:rPr>
          <w:rFonts w:ascii="Book Antiqua" w:hAnsi="Book Antiqua"/>
          <w:bCs/>
          <w:sz w:val="24"/>
          <w:szCs w:val="24"/>
        </w:rPr>
        <w:t xml:space="preserve"> </w:t>
      </w:r>
      <w:r w:rsidRPr="00FC25F6">
        <w:rPr>
          <w:rFonts w:ascii="Book Antiqua" w:hAnsi="Book Antiqua"/>
          <w:bCs/>
          <w:i/>
          <w:sz w:val="24"/>
          <w:szCs w:val="24"/>
        </w:rPr>
        <w:t>Journal</w:t>
      </w:r>
      <w:r w:rsidRPr="00FC25F6">
        <w:rPr>
          <w:rFonts w:ascii="Book Antiqua" w:hAnsi="Book Antiqua"/>
          <w:bCs/>
          <w:sz w:val="24"/>
          <w:szCs w:val="24"/>
        </w:rPr>
        <w:t xml:space="preserve"> </w:t>
      </w:r>
      <w:r w:rsidRPr="00FC25F6">
        <w:rPr>
          <w:rFonts w:ascii="Book Antiqua" w:hAnsi="Book Antiqua"/>
          <w:bCs/>
          <w:i/>
          <w:sz w:val="24"/>
          <w:szCs w:val="24"/>
        </w:rPr>
        <w:t>of</w:t>
      </w:r>
      <w:r w:rsidRPr="00FC25F6">
        <w:rPr>
          <w:rFonts w:ascii="Book Antiqua" w:hAnsi="Book Antiqua"/>
          <w:bCs/>
          <w:sz w:val="24"/>
          <w:szCs w:val="24"/>
        </w:rPr>
        <w:t xml:space="preserve"> </w:t>
      </w:r>
      <w:r w:rsidR="00CE5FB6" w:rsidRPr="00FC25F6">
        <w:rPr>
          <w:rFonts w:ascii="Book Antiqua" w:hAnsi="Book Antiqua"/>
          <w:bCs/>
          <w:i/>
          <w:sz w:val="24"/>
          <w:szCs w:val="24"/>
        </w:rPr>
        <w:t>Clinical Cases</w:t>
      </w:r>
    </w:p>
    <w:p w:rsidR="00CE5FB6" w:rsidRPr="00FC25F6" w:rsidRDefault="00CE5FB6" w:rsidP="00DE7591">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FC25F6">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FC25F6">
        <w:rPr>
          <w:rFonts w:ascii="Book Antiqua" w:hAnsi="Book Antiqua" w:cs="Times New Roman"/>
          <w:color w:val="auto"/>
          <w:sz w:val="24"/>
          <w:szCs w:val="24"/>
          <w:lang w:val="en-US" w:eastAsia="zh-CN"/>
        </w:rPr>
        <w:t xml:space="preserve"> 49988</w:t>
      </w:r>
    </w:p>
    <w:p w:rsidR="009A10A8" w:rsidRPr="00FC25F6" w:rsidRDefault="00E42C33" w:rsidP="00DE7591">
      <w:pPr>
        <w:spacing w:after="0" w:line="360" w:lineRule="auto"/>
        <w:jc w:val="both"/>
        <w:rPr>
          <w:rFonts w:ascii="Book Antiqua" w:hAnsi="Book Antiqua"/>
          <w:bCs/>
          <w:sz w:val="24"/>
          <w:szCs w:val="24"/>
        </w:rPr>
      </w:pPr>
      <w:r w:rsidRPr="00FC25F6">
        <w:rPr>
          <w:rFonts w:ascii="Book Antiqua" w:hAnsi="Book Antiqua"/>
          <w:b/>
          <w:sz w:val="24"/>
          <w:szCs w:val="24"/>
        </w:rPr>
        <w:t xml:space="preserve">Manuscript Type: </w:t>
      </w:r>
      <w:r w:rsidR="009A10A8" w:rsidRPr="00FC25F6">
        <w:rPr>
          <w:rFonts w:ascii="Book Antiqua" w:hAnsi="Book Antiqua"/>
          <w:bCs/>
          <w:sz w:val="24"/>
          <w:szCs w:val="24"/>
        </w:rPr>
        <w:t>ORIGINAL ARTICLE</w:t>
      </w:r>
    </w:p>
    <w:p w:rsidR="009A10A8" w:rsidRPr="00FC25F6" w:rsidRDefault="009A10A8" w:rsidP="00DE7591">
      <w:pPr>
        <w:spacing w:after="0" w:line="360" w:lineRule="auto"/>
        <w:jc w:val="both"/>
        <w:rPr>
          <w:rFonts w:ascii="Book Antiqua" w:hAnsi="Book Antiqua"/>
          <w:b/>
          <w:sz w:val="24"/>
          <w:szCs w:val="24"/>
        </w:rPr>
      </w:pPr>
    </w:p>
    <w:p w:rsidR="00E42C33" w:rsidRPr="00FC25F6" w:rsidRDefault="009A10A8" w:rsidP="00DE7591">
      <w:pPr>
        <w:spacing w:after="0" w:line="360" w:lineRule="auto"/>
        <w:jc w:val="both"/>
        <w:rPr>
          <w:rFonts w:ascii="Book Antiqua" w:hAnsi="Book Antiqua"/>
          <w:b/>
          <w:i/>
          <w:iCs/>
          <w:sz w:val="24"/>
          <w:szCs w:val="24"/>
        </w:rPr>
      </w:pPr>
      <w:r w:rsidRPr="00FC25F6">
        <w:rPr>
          <w:rFonts w:ascii="Book Antiqua" w:hAnsi="Book Antiqua"/>
          <w:b/>
          <w:i/>
          <w:iCs/>
          <w:sz w:val="24"/>
          <w:szCs w:val="24"/>
        </w:rPr>
        <w:t>Retrospective Study</w:t>
      </w:r>
    </w:p>
    <w:p w:rsidR="00E42C33" w:rsidRPr="00FC25F6" w:rsidRDefault="00E42C33" w:rsidP="00DE7591">
      <w:pPr>
        <w:spacing w:after="0" w:line="360" w:lineRule="auto"/>
        <w:jc w:val="both"/>
        <w:rPr>
          <w:rFonts w:ascii="Book Antiqua" w:hAnsi="Book Antiqua"/>
          <w:b/>
          <w:sz w:val="24"/>
          <w:szCs w:val="24"/>
        </w:rPr>
      </w:pPr>
      <w:bookmarkStart w:id="6" w:name="OLE_LINK12"/>
      <w:r w:rsidRPr="00FC25F6">
        <w:rPr>
          <w:rFonts w:ascii="Book Antiqua" w:hAnsi="Book Antiqua"/>
          <w:b/>
          <w:sz w:val="24"/>
          <w:szCs w:val="24"/>
        </w:rPr>
        <w:t xml:space="preserve">Predictors of </w:t>
      </w:r>
      <w:proofErr w:type="spellStart"/>
      <w:r w:rsidRPr="00FC25F6">
        <w:rPr>
          <w:rFonts w:ascii="Book Antiqua" w:hAnsi="Book Antiqua"/>
          <w:b/>
          <w:sz w:val="24"/>
          <w:szCs w:val="24"/>
        </w:rPr>
        <w:t>rebleeding</w:t>
      </w:r>
      <w:proofErr w:type="spellEnd"/>
      <w:r w:rsidRPr="00FC25F6">
        <w:rPr>
          <w:rFonts w:ascii="Book Antiqua" w:hAnsi="Book Antiqua"/>
          <w:b/>
          <w:sz w:val="24"/>
          <w:szCs w:val="24"/>
        </w:rPr>
        <w:t xml:space="preserve"> and in-hospital mortality in patients with </w:t>
      </w:r>
      <w:proofErr w:type="spellStart"/>
      <w:r w:rsidRPr="00FC25F6">
        <w:rPr>
          <w:rFonts w:ascii="Book Antiqua" w:hAnsi="Book Antiqua"/>
          <w:b/>
          <w:sz w:val="24"/>
          <w:szCs w:val="24"/>
        </w:rPr>
        <w:t>nonvariceal</w:t>
      </w:r>
      <w:proofErr w:type="spellEnd"/>
      <w:r w:rsidRPr="00FC25F6">
        <w:rPr>
          <w:rFonts w:ascii="Book Antiqua" w:hAnsi="Book Antiqua"/>
          <w:b/>
          <w:sz w:val="24"/>
          <w:szCs w:val="24"/>
        </w:rPr>
        <w:t xml:space="preserve"> upper digestive bleeding</w:t>
      </w:r>
    </w:p>
    <w:bookmarkEnd w:id="6"/>
    <w:p w:rsidR="00187450" w:rsidRPr="00FC25F6" w:rsidRDefault="00187450" w:rsidP="00DE7591">
      <w:pPr>
        <w:spacing w:after="0" w:line="360" w:lineRule="auto"/>
        <w:jc w:val="both"/>
        <w:rPr>
          <w:rFonts w:ascii="Book Antiqua" w:hAnsi="Book Antiqua"/>
          <w:b/>
          <w:sz w:val="24"/>
          <w:szCs w:val="24"/>
        </w:rPr>
      </w:pPr>
    </w:p>
    <w:p w:rsidR="00E42C33" w:rsidRPr="00B20780" w:rsidRDefault="00E42C33" w:rsidP="00DE7591">
      <w:pPr>
        <w:spacing w:after="0" w:line="360" w:lineRule="auto"/>
        <w:jc w:val="both"/>
        <w:rPr>
          <w:rFonts w:ascii="Book Antiqua" w:hAnsi="Book Antiqua"/>
          <w:bCs/>
          <w:sz w:val="24"/>
          <w:szCs w:val="24"/>
        </w:rPr>
      </w:pPr>
      <w:r w:rsidRPr="00B20780">
        <w:rPr>
          <w:rFonts w:ascii="Book Antiqua" w:hAnsi="Book Antiqua"/>
          <w:bCs/>
          <w:sz w:val="24"/>
          <w:szCs w:val="24"/>
        </w:rPr>
        <w:t xml:space="preserve">Lazar DC </w:t>
      </w:r>
      <w:r w:rsidRPr="00B20780">
        <w:rPr>
          <w:rFonts w:ascii="Book Antiqua" w:hAnsi="Book Antiqua"/>
          <w:bCs/>
          <w:i/>
          <w:sz w:val="24"/>
          <w:szCs w:val="24"/>
        </w:rPr>
        <w:t>et al</w:t>
      </w:r>
      <w:r w:rsidRPr="00B20780">
        <w:rPr>
          <w:rFonts w:ascii="Book Antiqua" w:hAnsi="Book Antiqua"/>
          <w:bCs/>
          <w:sz w:val="24"/>
          <w:szCs w:val="24"/>
        </w:rPr>
        <w:t xml:space="preserve">. </w:t>
      </w:r>
      <w:bookmarkStart w:id="7" w:name="OLE_LINK13"/>
      <w:bookmarkStart w:id="8" w:name="OLE_LINK14"/>
      <w:r w:rsidR="00916BD4" w:rsidRPr="00B20780">
        <w:rPr>
          <w:rFonts w:ascii="Book Antiqua" w:hAnsi="Book Antiqua"/>
          <w:bCs/>
          <w:sz w:val="24"/>
          <w:szCs w:val="24"/>
        </w:rPr>
        <w:t>NVUDB</w:t>
      </w:r>
      <w:r w:rsidRPr="00B20780">
        <w:rPr>
          <w:rFonts w:ascii="Book Antiqua" w:hAnsi="Book Antiqua"/>
          <w:bCs/>
          <w:sz w:val="24"/>
          <w:szCs w:val="24"/>
        </w:rPr>
        <w:t xml:space="preserve">: </w:t>
      </w:r>
      <w:r w:rsidR="009A10A8" w:rsidRPr="00B20780">
        <w:rPr>
          <w:rFonts w:ascii="Book Antiqua" w:hAnsi="Book Antiqua"/>
          <w:bCs/>
          <w:sz w:val="24"/>
          <w:szCs w:val="24"/>
        </w:rPr>
        <w:t xml:space="preserve">Poor </w:t>
      </w:r>
      <w:r w:rsidRPr="00B20780">
        <w:rPr>
          <w:rFonts w:ascii="Book Antiqua" w:hAnsi="Book Antiqua"/>
          <w:bCs/>
          <w:sz w:val="24"/>
          <w:szCs w:val="24"/>
        </w:rPr>
        <w:t>outcome predictors</w:t>
      </w:r>
      <w:bookmarkEnd w:id="7"/>
      <w:bookmarkEnd w:id="8"/>
    </w:p>
    <w:p w:rsidR="00187450" w:rsidRPr="00B20780" w:rsidRDefault="00187450" w:rsidP="00DE7591">
      <w:pPr>
        <w:spacing w:after="0" w:line="360" w:lineRule="auto"/>
        <w:jc w:val="both"/>
        <w:rPr>
          <w:rFonts w:ascii="Book Antiqua" w:hAnsi="Book Antiqua"/>
          <w:bCs/>
          <w:sz w:val="24"/>
          <w:szCs w:val="24"/>
        </w:rPr>
      </w:pPr>
    </w:p>
    <w:p w:rsidR="00E42C33" w:rsidRPr="00B20780" w:rsidRDefault="00E42C33" w:rsidP="00DE7591">
      <w:pPr>
        <w:spacing w:after="0" w:line="360" w:lineRule="auto"/>
        <w:jc w:val="both"/>
        <w:rPr>
          <w:rFonts w:ascii="Book Antiqua" w:hAnsi="Book Antiqua"/>
          <w:bCs/>
          <w:sz w:val="24"/>
          <w:szCs w:val="24"/>
          <w:vertAlign w:val="superscript"/>
          <w:lang w:val="ro-RO"/>
        </w:rPr>
      </w:pPr>
      <w:r w:rsidRPr="00B20780">
        <w:rPr>
          <w:rFonts w:ascii="Book Antiqua" w:hAnsi="Book Antiqua"/>
          <w:bCs/>
          <w:sz w:val="24"/>
          <w:szCs w:val="24"/>
        </w:rPr>
        <w:t xml:space="preserve">Daniela Cornelia </w:t>
      </w:r>
      <w:proofErr w:type="spellStart"/>
      <w:r w:rsidRPr="00B20780">
        <w:rPr>
          <w:rFonts w:ascii="Book Antiqua" w:hAnsi="Book Antiqua"/>
          <w:bCs/>
          <w:sz w:val="24"/>
          <w:szCs w:val="24"/>
        </w:rPr>
        <w:t>Lazăr</w:t>
      </w:r>
      <w:proofErr w:type="spellEnd"/>
      <w:r w:rsidRPr="00B20780">
        <w:rPr>
          <w:rFonts w:ascii="Book Antiqua" w:hAnsi="Book Antiqua"/>
          <w:bCs/>
          <w:sz w:val="24"/>
          <w:szCs w:val="24"/>
        </w:rPr>
        <w:t xml:space="preserve">, </w:t>
      </w:r>
      <w:proofErr w:type="spellStart"/>
      <w:r w:rsidRPr="00B20780">
        <w:rPr>
          <w:rFonts w:ascii="Book Antiqua" w:hAnsi="Book Antiqua"/>
          <w:bCs/>
          <w:sz w:val="24"/>
          <w:szCs w:val="24"/>
        </w:rPr>
        <w:t>Sorin</w:t>
      </w:r>
      <w:proofErr w:type="spellEnd"/>
      <w:r w:rsidRPr="00B20780">
        <w:rPr>
          <w:rFonts w:ascii="Book Antiqua" w:hAnsi="Book Antiqua"/>
          <w:bCs/>
          <w:sz w:val="24"/>
          <w:szCs w:val="24"/>
        </w:rPr>
        <w:t xml:space="preserve"> </w:t>
      </w:r>
      <w:proofErr w:type="spellStart"/>
      <w:r w:rsidRPr="00B20780">
        <w:rPr>
          <w:rFonts w:ascii="Book Antiqua" w:hAnsi="Book Antiqua"/>
          <w:bCs/>
          <w:sz w:val="24"/>
          <w:szCs w:val="24"/>
        </w:rPr>
        <w:t>Ursoniu</w:t>
      </w:r>
      <w:proofErr w:type="spellEnd"/>
      <w:r w:rsidRPr="00B20780">
        <w:rPr>
          <w:rFonts w:ascii="Book Antiqua" w:hAnsi="Book Antiqua"/>
          <w:bCs/>
          <w:sz w:val="24"/>
          <w:szCs w:val="24"/>
        </w:rPr>
        <w:t xml:space="preserve">, Adrian </w:t>
      </w:r>
      <w:r w:rsidRPr="00B20780">
        <w:rPr>
          <w:rFonts w:ascii="Book Antiqua" w:hAnsi="Book Antiqua"/>
          <w:bCs/>
          <w:sz w:val="24"/>
          <w:szCs w:val="24"/>
          <w:lang w:val="ro-RO"/>
        </w:rPr>
        <w:t>Goldi</w:t>
      </w:r>
      <w:r w:rsidR="00070D99" w:rsidRPr="00B20780">
        <w:rPr>
          <w:rFonts w:ascii="Book Antiqua" w:hAnsi="Book Antiqua"/>
          <w:bCs/>
          <w:sz w:val="24"/>
          <w:szCs w:val="24"/>
          <w:lang w:val="ro-RO"/>
        </w:rPr>
        <w:t>ş</w:t>
      </w:r>
    </w:p>
    <w:p w:rsidR="00187450" w:rsidRPr="00B20780" w:rsidRDefault="00187450" w:rsidP="00DE7591">
      <w:pPr>
        <w:spacing w:after="0" w:line="360" w:lineRule="auto"/>
        <w:jc w:val="both"/>
        <w:rPr>
          <w:rFonts w:ascii="Book Antiqua" w:hAnsi="Book Antiqua"/>
          <w:b/>
          <w:sz w:val="24"/>
          <w:szCs w:val="24"/>
        </w:rPr>
      </w:pPr>
    </w:p>
    <w:p w:rsidR="009A10A8" w:rsidRPr="00B20780" w:rsidRDefault="009A10A8" w:rsidP="00DE7591">
      <w:pPr>
        <w:pStyle w:val="a4"/>
        <w:spacing w:line="360" w:lineRule="auto"/>
        <w:jc w:val="both"/>
        <w:rPr>
          <w:rFonts w:ascii="Book Antiqua" w:hAnsi="Book Antiqua"/>
          <w:b w:val="0"/>
          <w:bCs w:val="0"/>
        </w:rPr>
      </w:pPr>
      <w:r w:rsidRPr="00B20780">
        <w:rPr>
          <w:rFonts w:ascii="Book Antiqua" w:hAnsi="Book Antiqua"/>
          <w:bCs w:val="0"/>
        </w:rPr>
        <w:t xml:space="preserve">Daniela Cornelia </w:t>
      </w:r>
      <w:proofErr w:type="spellStart"/>
      <w:r w:rsidRPr="00B20780">
        <w:rPr>
          <w:rFonts w:ascii="Book Antiqua" w:hAnsi="Book Antiqua"/>
          <w:bCs w:val="0"/>
        </w:rPr>
        <w:t>Lazăr</w:t>
      </w:r>
      <w:proofErr w:type="spellEnd"/>
      <w:r w:rsidRPr="00B20780">
        <w:rPr>
          <w:rFonts w:ascii="Book Antiqua" w:hAnsi="Book Antiqua"/>
          <w:bCs w:val="0"/>
        </w:rPr>
        <w:t>,</w:t>
      </w:r>
      <w:r w:rsidRPr="00B20780">
        <w:rPr>
          <w:rFonts w:ascii="Book Antiqua" w:hAnsi="Book Antiqua"/>
          <w:b w:val="0"/>
        </w:rPr>
        <w:t xml:space="preserve"> </w:t>
      </w:r>
      <w:r w:rsidR="00E42C33" w:rsidRPr="00B20780">
        <w:rPr>
          <w:rFonts w:ascii="Book Antiqua" w:hAnsi="Book Antiqua"/>
          <w:b w:val="0"/>
          <w:bCs w:val="0"/>
        </w:rPr>
        <w:t>Department of Internal Medicine I, University Medical Clinic</w:t>
      </w:r>
      <w:r w:rsidRPr="00B20780">
        <w:rPr>
          <w:rFonts w:ascii="Book Antiqua" w:hAnsi="Book Antiqua"/>
          <w:b w:val="0"/>
          <w:bCs w:val="0"/>
        </w:rPr>
        <w:t xml:space="preserve">, University of Medicine and Pharmacy “Victor </w:t>
      </w:r>
      <w:proofErr w:type="spellStart"/>
      <w:r w:rsidRPr="00B20780">
        <w:rPr>
          <w:rFonts w:ascii="Book Antiqua" w:hAnsi="Book Antiqua"/>
          <w:b w:val="0"/>
          <w:bCs w:val="0"/>
        </w:rPr>
        <w:t>Babeş</w:t>
      </w:r>
      <w:proofErr w:type="spellEnd"/>
      <w:r w:rsidRPr="00B20780">
        <w:rPr>
          <w:rFonts w:ascii="Book Antiqua" w:hAnsi="Book Antiqua"/>
          <w:b w:val="0"/>
          <w:bCs w:val="0"/>
        </w:rPr>
        <w:t xml:space="preserve">”, </w:t>
      </w:r>
      <w:proofErr w:type="spellStart"/>
      <w:r w:rsidRPr="00B20780">
        <w:rPr>
          <w:rFonts w:ascii="Book Antiqua" w:hAnsi="Book Antiqua"/>
          <w:b w:val="0"/>
          <w:bCs w:val="0"/>
        </w:rPr>
        <w:t>Timişoara</w:t>
      </w:r>
      <w:proofErr w:type="spellEnd"/>
      <w:r w:rsidRPr="00B20780">
        <w:rPr>
          <w:rFonts w:ascii="Book Antiqua" w:hAnsi="Book Antiqua"/>
          <w:b w:val="0"/>
          <w:bCs w:val="0"/>
        </w:rPr>
        <w:t xml:space="preserve"> 300041, </w:t>
      </w:r>
      <w:bookmarkStart w:id="9" w:name="OLE_LINK7"/>
      <w:proofErr w:type="spellStart"/>
      <w:r w:rsidRPr="00B20780">
        <w:rPr>
          <w:rFonts w:ascii="Book Antiqua" w:hAnsi="Book Antiqua"/>
          <w:b w:val="0"/>
          <w:bCs w:val="0"/>
        </w:rPr>
        <w:t>Timiş</w:t>
      </w:r>
      <w:proofErr w:type="spellEnd"/>
      <w:r w:rsidRPr="00B20780">
        <w:rPr>
          <w:rFonts w:ascii="Book Antiqua" w:hAnsi="Book Antiqua"/>
          <w:b w:val="0"/>
          <w:bCs w:val="0"/>
        </w:rPr>
        <w:t xml:space="preserve"> County</w:t>
      </w:r>
      <w:bookmarkEnd w:id="9"/>
      <w:r w:rsidRPr="00B20780">
        <w:rPr>
          <w:rFonts w:ascii="Book Antiqua" w:hAnsi="Book Antiqua"/>
          <w:b w:val="0"/>
          <w:bCs w:val="0"/>
        </w:rPr>
        <w:t>, Romania</w:t>
      </w:r>
    </w:p>
    <w:p w:rsidR="00E42C33" w:rsidRPr="00B20780" w:rsidRDefault="00E42C33" w:rsidP="00DE7591">
      <w:pPr>
        <w:pStyle w:val="a4"/>
        <w:spacing w:line="360" w:lineRule="auto"/>
        <w:jc w:val="both"/>
        <w:rPr>
          <w:rFonts w:ascii="Book Antiqua" w:hAnsi="Book Antiqua"/>
          <w:b w:val="0"/>
          <w:bCs w:val="0"/>
        </w:rPr>
      </w:pPr>
    </w:p>
    <w:p w:rsidR="009A10A8" w:rsidRPr="00B20780" w:rsidRDefault="009A10A8" w:rsidP="00DE7591">
      <w:pPr>
        <w:pStyle w:val="a4"/>
        <w:spacing w:line="360" w:lineRule="auto"/>
        <w:jc w:val="both"/>
        <w:rPr>
          <w:rFonts w:ascii="Book Antiqua" w:hAnsi="Book Antiqua"/>
          <w:b w:val="0"/>
          <w:bCs w:val="0"/>
        </w:rPr>
      </w:pPr>
      <w:proofErr w:type="spellStart"/>
      <w:r w:rsidRPr="00B20780">
        <w:rPr>
          <w:rFonts w:ascii="Book Antiqua" w:hAnsi="Book Antiqua"/>
          <w:bCs w:val="0"/>
        </w:rPr>
        <w:t>Sorin</w:t>
      </w:r>
      <w:proofErr w:type="spellEnd"/>
      <w:r w:rsidRPr="00B20780">
        <w:rPr>
          <w:rFonts w:ascii="Book Antiqua" w:hAnsi="Book Antiqua"/>
          <w:bCs w:val="0"/>
        </w:rPr>
        <w:t xml:space="preserve"> </w:t>
      </w:r>
      <w:proofErr w:type="spellStart"/>
      <w:r w:rsidRPr="00B20780">
        <w:rPr>
          <w:rFonts w:ascii="Book Antiqua" w:hAnsi="Book Antiqua"/>
          <w:bCs w:val="0"/>
        </w:rPr>
        <w:t>Ursoniu</w:t>
      </w:r>
      <w:proofErr w:type="spellEnd"/>
      <w:r w:rsidRPr="00B20780">
        <w:rPr>
          <w:rFonts w:ascii="Book Antiqua" w:hAnsi="Book Antiqua"/>
          <w:bCs w:val="0"/>
        </w:rPr>
        <w:t>,</w:t>
      </w:r>
      <w:r w:rsidRPr="00B20780">
        <w:rPr>
          <w:rFonts w:ascii="Book Antiqua" w:hAnsi="Book Antiqua"/>
          <w:b w:val="0"/>
        </w:rPr>
        <w:t xml:space="preserve"> </w:t>
      </w:r>
      <w:r w:rsidR="00E42C33" w:rsidRPr="00B20780">
        <w:rPr>
          <w:rFonts w:ascii="Book Antiqua" w:hAnsi="Book Antiqua"/>
          <w:b w:val="0"/>
        </w:rPr>
        <w:t>Department of Public Health and Health Management</w:t>
      </w:r>
      <w:r w:rsidRPr="00B20780">
        <w:rPr>
          <w:rFonts w:ascii="Book Antiqua" w:hAnsi="Book Antiqua"/>
          <w:b w:val="0"/>
        </w:rPr>
        <w:t>,</w:t>
      </w:r>
      <w:r w:rsidRPr="00B20780">
        <w:rPr>
          <w:rFonts w:ascii="Book Antiqua" w:hAnsi="Book Antiqua"/>
          <w:b w:val="0"/>
          <w:bCs w:val="0"/>
        </w:rPr>
        <w:t xml:space="preserve"> University of Medicine and Pharmacy “Victor </w:t>
      </w:r>
      <w:proofErr w:type="spellStart"/>
      <w:r w:rsidRPr="00B20780">
        <w:rPr>
          <w:rFonts w:ascii="Book Antiqua" w:hAnsi="Book Antiqua"/>
          <w:b w:val="0"/>
          <w:bCs w:val="0"/>
        </w:rPr>
        <w:t>Babeş</w:t>
      </w:r>
      <w:proofErr w:type="spellEnd"/>
      <w:r w:rsidRPr="00B20780">
        <w:rPr>
          <w:rFonts w:ascii="Book Antiqua" w:hAnsi="Book Antiqua"/>
          <w:b w:val="0"/>
          <w:bCs w:val="0"/>
        </w:rPr>
        <w:t xml:space="preserve">”, </w:t>
      </w:r>
      <w:proofErr w:type="spellStart"/>
      <w:r w:rsidRPr="00B20780">
        <w:rPr>
          <w:rFonts w:ascii="Book Antiqua" w:hAnsi="Book Antiqua"/>
          <w:b w:val="0"/>
          <w:bCs w:val="0"/>
        </w:rPr>
        <w:t>Timişoara</w:t>
      </w:r>
      <w:proofErr w:type="spellEnd"/>
      <w:r w:rsidRPr="00B20780">
        <w:rPr>
          <w:rFonts w:ascii="Book Antiqua" w:hAnsi="Book Antiqua"/>
          <w:b w:val="0"/>
          <w:bCs w:val="0"/>
        </w:rPr>
        <w:t xml:space="preserve"> 300041, </w:t>
      </w:r>
      <w:proofErr w:type="spellStart"/>
      <w:r w:rsidRPr="00B20780">
        <w:rPr>
          <w:rFonts w:ascii="Book Antiqua" w:hAnsi="Book Antiqua"/>
          <w:b w:val="0"/>
          <w:bCs w:val="0"/>
        </w:rPr>
        <w:t>Timiş</w:t>
      </w:r>
      <w:proofErr w:type="spellEnd"/>
      <w:r w:rsidRPr="00B20780">
        <w:rPr>
          <w:rFonts w:ascii="Book Antiqua" w:hAnsi="Book Antiqua"/>
          <w:b w:val="0"/>
          <w:bCs w:val="0"/>
        </w:rPr>
        <w:t xml:space="preserve"> County, Romania</w:t>
      </w:r>
    </w:p>
    <w:p w:rsidR="00E42C33" w:rsidRPr="00B20780" w:rsidRDefault="00E42C33" w:rsidP="00DE7591">
      <w:pPr>
        <w:pStyle w:val="a4"/>
        <w:spacing w:line="360" w:lineRule="auto"/>
        <w:jc w:val="both"/>
        <w:rPr>
          <w:rFonts w:ascii="Book Antiqua" w:hAnsi="Book Antiqua"/>
          <w:b w:val="0"/>
        </w:rPr>
      </w:pPr>
    </w:p>
    <w:p w:rsidR="00E42C33" w:rsidRPr="00B20780" w:rsidRDefault="009A10A8" w:rsidP="00DE7591">
      <w:pPr>
        <w:pStyle w:val="a4"/>
        <w:spacing w:line="360" w:lineRule="auto"/>
        <w:jc w:val="both"/>
        <w:rPr>
          <w:rFonts w:ascii="Book Antiqua" w:hAnsi="Book Antiqua"/>
          <w:b w:val="0"/>
          <w:bCs w:val="0"/>
        </w:rPr>
      </w:pPr>
      <w:r w:rsidRPr="00B20780">
        <w:rPr>
          <w:rFonts w:ascii="Book Antiqua" w:hAnsi="Book Antiqua"/>
          <w:bCs w:val="0"/>
        </w:rPr>
        <w:t xml:space="preserve">Adrian </w:t>
      </w:r>
      <w:r w:rsidRPr="00B20780">
        <w:rPr>
          <w:rFonts w:ascii="Book Antiqua" w:hAnsi="Book Antiqua"/>
          <w:bCs w:val="0"/>
          <w:lang w:val="ro-RO"/>
        </w:rPr>
        <w:t>Goldiş</w:t>
      </w:r>
      <w:r w:rsidRPr="00B20780">
        <w:rPr>
          <w:rFonts w:ascii="Book Antiqua" w:hAnsi="Book Antiqua"/>
          <w:bCs w:val="0"/>
          <w:lang w:val="ro-RO" w:eastAsia="zh-CN"/>
        </w:rPr>
        <w:t>,</w:t>
      </w:r>
      <w:r w:rsidR="00E42C33" w:rsidRPr="00B20780">
        <w:rPr>
          <w:rFonts w:ascii="Book Antiqua" w:hAnsi="Book Antiqua"/>
          <w:b w:val="0"/>
          <w:bCs w:val="0"/>
        </w:rPr>
        <w:t xml:space="preserve"> Department of Gastroenterology and Hepatology</w:t>
      </w:r>
      <w:r w:rsidRPr="00B20780">
        <w:rPr>
          <w:rFonts w:ascii="Book Antiqua" w:hAnsi="Book Antiqua"/>
          <w:b w:val="0"/>
          <w:bCs w:val="0"/>
        </w:rPr>
        <w:t>,</w:t>
      </w:r>
      <w:r w:rsidRPr="00B20780">
        <w:rPr>
          <w:rFonts w:ascii="Book Antiqua" w:hAnsi="Book Antiqua"/>
          <w:b w:val="0"/>
          <w:bCs w:val="0"/>
          <w:lang w:eastAsia="zh-CN"/>
        </w:rPr>
        <w:t xml:space="preserve"> </w:t>
      </w:r>
      <w:r w:rsidR="00E42C33" w:rsidRPr="00B20780">
        <w:rPr>
          <w:rFonts w:ascii="Book Antiqua" w:hAnsi="Book Antiqua"/>
          <w:b w:val="0"/>
          <w:bCs w:val="0"/>
        </w:rPr>
        <w:t xml:space="preserve">University of Medicine and Pharmacy “Victor </w:t>
      </w:r>
      <w:proofErr w:type="spellStart"/>
      <w:r w:rsidR="00E42C33" w:rsidRPr="00B20780">
        <w:rPr>
          <w:rFonts w:ascii="Book Antiqua" w:hAnsi="Book Antiqua"/>
          <w:b w:val="0"/>
          <w:bCs w:val="0"/>
        </w:rPr>
        <w:t>Babeş</w:t>
      </w:r>
      <w:proofErr w:type="spellEnd"/>
      <w:r w:rsidR="00E42C33" w:rsidRPr="00B20780">
        <w:rPr>
          <w:rFonts w:ascii="Book Antiqua" w:hAnsi="Book Antiqua"/>
          <w:b w:val="0"/>
          <w:bCs w:val="0"/>
        </w:rPr>
        <w:t xml:space="preserve">”, </w:t>
      </w:r>
      <w:proofErr w:type="spellStart"/>
      <w:r w:rsidR="00E42C33" w:rsidRPr="00B20780">
        <w:rPr>
          <w:rFonts w:ascii="Book Antiqua" w:hAnsi="Book Antiqua"/>
          <w:b w:val="0"/>
          <w:bCs w:val="0"/>
        </w:rPr>
        <w:t>Timişoara</w:t>
      </w:r>
      <w:proofErr w:type="spellEnd"/>
      <w:r w:rsidRPr="00B20780">
        <w:rPr>
          <w:rFonts w:ascii="Book Antiqua" w:hAnsi="Book Antiqua"/>
          <w:b w:val="0"/>
          <w:bCs w:val="0"/>
        </w:rPr>
        <w:t xml:space="preserve"> 300041</w:t>
      </w:r>
      <w:r w:rsidR="00E42C33" w:rsidRPr="00B20780">
        <w:rPr>
          <w:rFonts w:ascii="Book Antiqua" w:hAnsi="Book Antiqua"/>
          <w:b w:val="0"/>
          <w:bCs w:val="0"/>
        </w:rPr>
        <w:t xml:space="preserve">, </w:t>
      </w:r>
      <w:proofErr w:type="spellStart"/>
      <w:r w:rsidR="00E42C33" w:rsidRPr="00B20780">
        <w:rPr>
          <w:rFonts w:ascii="Book Antiqua" w:hAnsi="Book Antiqua"/>
          <w:b w:val="0"/>
          <w:bCs w:val="0"/>
        </w:rPr>
        <w:t>Timiş</w:t>
      </w:r>
      <w:proofErr w:type="spellEnd"/>
      <w:r w:rsidR="00E42C33" w:rsidRPr="00B20780">
        <w:rPr>
          <w:rFonts w:ascii="Book Antiqua" w:hAnsi="Book Antiqua"/>
          <w:b w:val="0"/>
          <w:bCs w:val="0"/>
        </w:rPr>
        <w:t xml:space="preserve"> County, Romania</w:t>
      </w:r>
    </w:p>
    <w:p w:rsidR="00187450" w:rsidRPr="00B20780" w:rsidRDefault="00187450" w:rsidP="00DE7591">
      <w:pPr>
        <w:pStyle w:val="a4"/>
        <w:spacing w:line="360" w:lineRule="auto"/>
        <w:jc w:val="both"/>
        <w:rPr>
          <w:rFonts w:ascii="Book Antiqua" w:hAnsi="Book Antiqua"/>
          <w:b w:val="0"/>
          <w:bCs w:val="0"/>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ORCID number: </w:t>
      </w:r>
      <w:r w:rsidR="00E42C33" w:rsidRPr="00B20780">
        <w:rPr>
          <w:rFonts w:ascii="Book Antiqua" w:hAnsi="Book Antiqua"/>
          <w:b w:val="0"/>
          <w:bCs w:val="0"/>
          <w:lang w:val="it-IT"/>
        </w:rPr>
        <w:t>Daniela Cornelia Lazăr (0000-0002-6984-0046)</w:t>
      </w:r>
      <w:r w:rsidR="009A10A8" w:rsidRPr="00B20780">
        <w:rPr>
          <w:rFonts w:ascii="Book Antiqua" w:hAnsi="Book Antiqua"/>
          <w:b w:val="0"/>
          <w:bCs w:val="0"/>
          <w:lang w:val="it-IT"/>
        </w:rPr>
        <w:t>;</w:t>
      </w:r>
      <w:r w:rsidR="00E42C33" w:rsidRPr="00B20780">
        <w:rPr>
          <w:rFonts w:ascii="Book Antiqua" w:hAnsi="Book Antiqua"/>
          <w:b w:val="0"/>
          <w:bCs w:val="0"/>
          <w:lang w:val="it-IT"/>
        </w:rPr>
        <w:t xml:space="preserve"> Sorin Ursoniu (0000-0001-9215-5154)</w:t>
      </w:r>
      <w:r w:rsidR="009A10A8" w:rsidRPr="00B20780">
        <w:rPr>
          <w:rFonts w:ascii="Book Antiqua" w:hAnsi="Book Antiqua"/>
          <w:b w:val="0"/>
          <w:bCs w:val="0"/>
          <w:lang w:val="it-IT"/>
        </w:rPr>
        <w:t>;</w:t>
      </w:r>
      <w:r w:rsidR="00E42C33" w:rsidRPr="00B20780">
        <w:rPr>
          <w:rFonts w:ascii="Book Antiqua" w:hAnsi="Book Antiqua"/>
          <w:b w:val="0"/>
          <w:bCs w:val="0"/>
          <w:lang w:val="it-IT"/>
        </w:rPr>
        <w:t xml:space="preserve"> Adrian Goldi</w:t>
      </w:r>
      <w:r w:rsidR="00135686" w:rsidRPr="00B20780">
        <w:rPr>
          <w:rFonts w:ascii="Book Antiqua" w:hAnsi="Book Antiqua"/>
          <w:b w:val="0"/>
          <w:bCs w:val="0"/>
          <w:lang w:val="it-IT"/>
        </w:rPr>
        <w:t>ş</w:t>
      </w:r>
      <w:r w:rsidR="00E42C33" w:rsidRPr="00B20780">
        <w:rPr>
          <w:rFonts w:ascii="Book Antiqua" w:hAnsi="Book Antiqua"/>
          <w:b w:val="0"/>
          <w:bCs w:val="0"/>
          <w:lang w:val="it-IT"/>
        </w:rPr>
        <w:t xml:space="preserve"> (0000-0003-0670-8862)</w:t>
      </w:r>
      <w:r w:rsidR="009A10A8" w:rsidRPr="00B20780">
        <w:rPr>
          <w:rFonts w:ascii="Book Antiqua" w:hAnsi="Book Antiqua"/>
          <w:b w:val="0"/>
          <w:bCs w:val="0"/>
          <w:lang w:val="it-IT"/>
        </w:rPr>
        <w:t>.</w:t>
      </w:r>
    </w:p>
    <w:p w:rsidR="00187450" w:rsidRPr="00B20780" w:rsidRDefault="00187450" w:rsidP="00DE7591">
      <w:pPr>
        <w:spacing w:after="0" w:line="360" w:lineRule="auto"/>
        <w:jc w:val="both"/>
        <w:rPr>
          <w:rFonts w:ascii="Book Antiqua" w:hAnsi="Book Antiqua"/>
          <w:sz w:val="24"/>
          <w:szCs w:val="24"/>
          <w:lang w:val="it-IT"/>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Author contributions: </w:t>
      </w:r>
      <w:r w:rsidR="00E42C33" w:rsidRPr="00B20780">
        <w:rPr>
          <w:rFonts w:ascii="Book Antiqua" w:hAnsi="Book Antiqua"/>
          <w:b w:val="0"/>
          <w:bCs w:val="0"/>
        </w:rPr>
        <w:t>All the authors contributed equally to this work.</w:t>
      </w:r>
    </w:p>
    <w:p w:rsidR="00187450" w:rsidRPr="00B20780" w:rsidRDefault="00187450" w:rsidP="00DE7591">
      <w:pPr>
        <w:pStyle w:val="a4"/>
        <w:spacing w:line="360" w:lineRule="auto"/>
        <w:jc w:val="both"/>
        <w:rPr>
          <w:rFonts w:ascii="Book Antiqua" w:hAnsi="Book Antiqua"/>
          <w:b w:val="0"/>
          <w:bCs w:val="0"/>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Institutional review board statement: </w:t>
      </w:r>
      <w:r w:rsidR="00E42C33" w:rsidRPr="00B20780">
        <w:rPr>
          <w:rFonts w:ascii="Book Antiqua" w:hAnsi="Book Antiqua"/>
          <w:b w:val="0"/>
          <w:bCs w:val="0"/>
        </w:rPr>
        <w:t xml:space="preserve">This study was reviewed and approved by the Ethics Committee of the University of Medicine and Pharmacy “Victor </w:t>
      </w:r>
      <w:proofErr w:type="spellStart"/>
      <w:r w:rsidR="00E42C33" w:rsidRPr="00B20780">
        <w:rPr>
          <w:rFonts w:ascii="Book Antiqua" w:hAnsi="Book Antiqua"/>
          <w:b w:val="0"/>
          <w:bCs w:val="0"/>
        </w:rPr>
        <w:t>Babeş</w:t>
      </w:r>
      <w:proofErr w:type="spellEnd"/>
      <w:r w:rsidR="00E42C33" w:rsidRPr="00B20780">
        <w:rPr>
          <w:rFonts w:ascii="Book Antiqua" w:hAnsi="Book Antiqua"/>
          <w:b w:val="0"/>
          <w:bCs w:val="0"/>
        </w:rPr>
        <w:t xml:space="preserve">”, </w:t>
      </w:r>
      <w:proofErr w:type="spellStart"/>
      <w:r w:rsidR="00E42C33" w:rsidRPr="00B20780">
        <w:rPr>
          <w:rFonts w:ascii="Book Antiqua" w:hAnsi="Book Antiqua"/>
          <w:b w:val="0"/>
          <w:bCs w:val="0"/>
        </w:rPr>
        <w:t>Timişoara</w:t>
      </w:r>
      <w:proofErr w:type="spellEnd"/>
      <w:r w:rsidR="00E42C33" w:rsidRPr="00B20780">
        <w:rPr>
          <w:rFonts w:ascii="Book Antiqua" w:hAnsi="Book Antiqua"/>
          <w:b w:val="0"/>
          <w:bCs w:val="0"/>
        </w:rPr>
        <w:t>.</w:t>
      </w:r>
    </w:p>
    <w:p w:rsidR="00187450" w:rsidRPr="00B20780" w:rsidRDefault="00187450" w:rsidP="00DE7591">
      <w:pPr>
        <w:pStyle w:val="a4"/>
        <w:spacing w:line="360" w:lineRule="auto"/>
        <w:jc w:val="both"/>
        <w:rPr>
          <w:rFonts w:ascii="Book Antiqua" w:hAnsi="Book Antiqua"/>
          <w:b w:val="0"/>
          <w:bCs w:val="0"/>
        </w:rPr>
      </w:pPr>
    </w:p>
    <w:p w:rsidR="00135686" w:rsidRPr="00B20780" w:rsidRDefault="00E42C33" w:rsidP="00DE7591">
      <w:pPr>
        <w:pStyle w:val="a4"/>
        <w:spacing w:line="360" w:lineRule="auto"/>
        <w:jc w:val="both"/>
        <w:rPr>
          <w:rFonts w:ascii="Book Antiqua" w:hAnsi="Book Antiqua"/>
          <w:b w:val="0"/>
          <w:bCs w:val="0"/>
        </w:rPr>
      </w:pPr>
      <w:r w:rsidRPr="00B20780">
        <w:rPr>
          <w:rFonts w:ascii="Book Antiqua" w:hAnsi="Book Antiqua"/>
          <w:bCs w:val="0"/>
        </w:rPr>
        <w:lastRenderedPageBreak/>
        <w:t>Informed consent statement:</w:t>
      </w:r>
      <w:r w:rsidRPr="00B20780">
        <w:rPr>
          <w:rFonts w:ascii="Book Antiqua" w:hAnsi="Book Antiqua"/>
          <w:b w:val="0"/>
          <w:bCs w:val="0"/>
        </w:rPr>
        <w:t xml:space="preserve"> Patients were not required to give informed consent for the study because the analysis was retrospective, and it used anonymous clinical data that were obtained after each patient agreed to treatment by written consent.</w:t>
      </w:r>
    </w:p>
    <w:p w:rsidR="00187450" w:rsidRPr="00B20780" w:rsidRDefault="00187450" w:rsidP="00DE7591">
      <w:pPr>
        <w:pStyle w:val="a4"/>
        <w:spacing w:line="360" w:lineRule="auto"/>
        <w:jc w:val="both"/>
        <w:rPr>
          <w:rFonts w:ascii="Book Antiqua" w:hAnsi="Book Antiqua"/>
          <w:b w:val="0"/>
          <w:bCs w:val="0"/>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Conflict-of-interest statement: </w:t>
      </w:r>
      <w:r w:rsidR="00E42C33" w:rsidRPr="00B20780">
        <w:rPr>
          <w:rFonts w:ascii="Book Antiqua" w:hAnsi="Book Antiqua"/>
          <w:b w:val="0"/>
          <w:bCs w:val="0"/>
        </w:rPr>
        <w:t>The authors have no conflict of interest to report.</w:t>
      </w:r>
    </w:p>
    <w:p w:rsidR="00187450" w:rsidRPr="00B20780" w:rsidRDefault="00187450" w:rsidP="00DE7591">
      <w:pPr>
        <w:pStyle w:val="a4"/>
        <w:spacing w:line="360" w:lineRule="auto"/>
        <w:jc w:val="both"/>
        <w:rPr>
          <w:rFonts w:ascii="Book Antiqua" w:hAnsi="Book Antiqua"/>
          <w:b w:val="0"/>
          <w:bCs w:val="0"/>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Data sharing statement: </w:t>
      </w:r>
      <w:r w:rsidR="00E42C33" w:rsidRPr="00B20780">
        <w:rPr>
          <w:rFonts w:ascii="Book Antiqua" w:hAnsi="Book Antiqua"/>
          <w:b w:val="0"/>
          <w:bCs w:val="0"/>
        </w:rPr>
        <w:t>No additional data are available.</w:t>
      </w:r>
    </w:p>
    <w:p w:rsidR="00187450" w:rsidRPr="00B20780" w:rsidRDefault="00187450" w:rsidP="00DE7591">
      <w:pPr>
        <w:pStyle w:val="a4"/>
        <w:spacing w:line="360" w:lineRule="auto"/>
        <w:jc w:val="both"/>
        <w:rPr>
          <w:rFonts w:ascii="Book Antiqua" w:hAnsi="Book Antiqua"/>
          <w:b w:val="0"/>
          <w:bCs w:val="0"/>
        </w:rPr>
      </w:pP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Open-Access:</w:t>
      </w:r>
      <w:r w:rsidRPr="00B20780">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E268A" w:rsidRPr="00B20780" w:rsidRDefault="002E268A" w:rsidP="00DE7591">
      <w:pPr>
        <w:pStyle w:val="1"/>
        <w:adjustRightInd w:val="0"/>
        <w:snapToGrid w:val="0"/>
        <w:spacing w:after="0" w:line="360" w:lineRule="auto"/>
        <w:jc w:val="both"/>
        <w:rPr>
          <w:rFonts w:ascii="Book Antiqua" w:hAnsi="Book Antiqua" w:cs="Times New Roman"/>
          <w:b/>
          <w:bCs/>
          <w:sz w:val="24"/>
          <w:szCs w:val="24"/>
          <w:lang w:val="en-US"/>
        </w:rPr>
      </w:pPr>
    </w:p>
    <w:p w:rsidR="002E268A" w:rsidRPr="00B20780" w:rsidRDefault="002E268A" w:rsidP="00DE7591">
      <w:pPr>
        <w:pStyle w:val="1"/>
        <w:adjustRightInd w:val="0"/>
        <w:snapToGrid w:val="0"/>
        <w:spacing w:after="0" w:line="360" w:lineRule="auto"/>
        <w:jc w:val="both"/>
        <w:rPr>
          <w:rFonts w:ascii="Book Antiqua" w:hAnsi="Book Antiqua" w:cs="Times New Roman"/>
          <w:b/>
          <w:bCs/>
          <w:sz w:val="24"/>
          <w:szCs w:val="24"/>
          <w:lang w:val="en-US" w:eastAsia="zh-CN"/>
        </w:rPr>
      </w:pPr>
      <w:r w:rsidRPr="00B20780">
        <w:rPr>
          <w:rFonts w:ascii="Book Antiqua" w:hAnsi="Book Antiqua" w:cs="Times New Roman"/>
          <w:b/>
          <w:bCs/>
          <w:sz w:val="24"/>
          <w:szCs w:val="24"/>
          <w:lang w:val="en-US"/>
        </w:rPr>
        <w:t>Manuscript source:</w:t>
      </w:r>
      <w:r w:rsidRPr="00B20780">
        <w:rPr>
          <w:rFonts w:ascii="Book Antiqua" w:hAnsi="Book Antiqua" w:cs="Times New Roman"/>
          <w:b/>
          <w:bCs/>
          <w:sz w:val="24"/>
          <w:szCs w:val="24"/>
          <w:lang w:val="en-US" w:eastAsia="zh-CN"/>
        </w:rPr>
        <w:t xml:space="preserve"> </w:t>
      </w:r>
      <w:r w:rsidRPr="00B20780">
        <w:rPr>
          <w:rFonts w:ascii="Book Antiqua" w:hAnsi="Book Antiqua" w:cs="Times New Roman"/>
          <w:bCs/>
          <w:sz w:val="24"/>
          <w:szCs w:val="24"/>
          <w:lang w:val="en-US"/>
        </w:rPr>
        <w:t xml:space="preserve">Invited </w:t>
      </w:r>
      <w:r w:rsidRPr="00B20780">
        <w:rPr>
          <w:rFonts w:ascii="Book Antiqua" w:hAnsi="Book Antiqua" w:cs="Times New Roman"/>
          <w:bCs/>
          <w:sz w:val="24"/>
          <w:szCs w:val="24"/>
          <w:lang w:val="en-US" w:eastAsia="zh-CN"/>
        </w:rPr>
        <w:t>m</w:t>
      </w:r>
      <w:r w:rsidRPr="00B20780">
        <w:rPr>
          <w:rFonts w:ascii="Book Antiqua" w:hAnsi="Book Antiqua" w:cs="Times New Roman"/>
          <w:bCs/>
          <w:sz w:val="24"/>
          <w:szCs w:val="24"/>
          <w:lang w:val="en-US"/>
        </w:rPr>
        <w:t>anuscript</w:t>
      </w:r>
    </w:p>
    <w:p w:rsidR="002E268A" w:rsidRPr="00B20780" w:rsidRDefault="002E268A" w:rsidP="00DE7591">
      <w:pPr>
        <w:snapToGrid w:val="0"/>
        <w:spacing w:after="0" w:line="360" w:lineRule="auto"/>
        <w:ind w:right="187"/>
        <w:jc w:val="both"/>
        <w:rPr>
          <w:rFonts w:ascii="Book Antiqua" w:hAnsi="Book Antiqua"/>
          <w:b/>
          <w:color w:val="000000"/>
          <w:sz w:val="24"/>
          <w:szCs w:val="24"/>
        </w:rPr>
      </w:pPr>
    </w:p>
    <w:p w:rsidR="00E42C33" w:rsidRPr="00B20780" w:rsidRDefault="002E268A" w:rsidP="00DE7591">
      <w:pPr>
        <w:pStyle w:val="a4"/>
        <w:spacing w:line="360" w:lineRule="auto"/>
        <w:jc w:val="both"/>
        <w:rPr>
          <w:rFonts w:ascii="Book Antiqua" w:hAnsi="Book Antiqua"/>
          <w:b w:val="0"/>
          <w:bCs w:val="0"/>
        </w:rPr>
      </w:pPr>
      <w:r w:rsidRPr="00B20780">
        <w:rPr>
          <w:rFonts w:ascii="Book Antiqua" w:hAnsi="Book Antiqua"/>
          <w:color w:val="000000"/>
        </w:rPr>
        <w:t xml:space="preserve">Corresponding author: </w:t>
      </w:r>
      <w:r w:rsidR="00E42C33" w:rsidRPr="00B20780">
        <w:rPr>
          <w:rFonts w:ascii="Book Antiqua" w:hAnsi="Book Antiqua"/>
        </w:rPr>
        <w:t xml:space="preserve">Daniela Cornelia </w:t>
      </w:r>
      <w:proofErr w:type="spellStart"/>
      <w:r w:rsidR="00E42C33" w:rsidRPr="00B20780">
        <w:rPr>
          <w:rFonts w:ascii="Book Antiqua" w:hAnsi="Book Antiqua"/>
        </w:rPr>
        <w:t>Lazăr</w:t>
      </w:r>
      <w:proofErr w:type="spellEnd"/>
      <w:r w:rsidR="00E42C33" w:rsidRPr="00B20780">
        <w:rPr>
          <w:rFonts w:ascii="Book Antiqua" w:hAnsi="Book Antiqua"/>
        </w:rPr>
        <w:t xml:space="preserve">, MD, PhD, </w:t>
      </w:r>
      <w:r w:rsidRPr="00B20780">
        <w:rPr>
          <w:rFonts w:ascii="Book Antiqua" w:hAnsi="Book Antiqua"/>
        </w:rPr>
        <w:t>Senior Lecturer,</w:t>
      </w:r>
      <w:r w:rsidR="00E42C33" w:rsidRPr="00B20780">
        <w:rPr>
          <w:rFonts w:ascii="Book Antiqua" w:hAnsi="Book Antiqua"/>
          <w:b w:val="0"/>
          <w:bCs w:val="0"/>
        </w:rPr>
        <w:t xml:space="preserve"> </w:t>
      </w:r>
      <w:r w:rsidRPr="00B20780">
        <w:rPr>
          <w:rFonts w:ascii="Book Antiqua" w:hAnsi="Book Antiqua"/>
          <w:b w:val="0"/>
          <w:bCs w:val="0"/>
        </w:rPr>
        <w:t xml:space="preserve">Department of Internal Medicine I, University Medical Clinic, University of Medicine and Pharmacy “Victor </w:t>
      </w:r>
      <w:proofErr w:type="spellStart"/>
      <w:r w:rsidRPr="00B20780">
        <w:rPr>
          <w:rFonts w:ascii="Book Antiqua" w:hAnsi="Book Antiqua"/>
          <w:b w:val="0"/>
          <w:bCs w:val="0"/>
        </w:rPr>
        <w:t>Babeş</w:t>
      </w:r>
      <w:proofErr w:type="spellEnd"/>
      <w:r w:rsidRPr="00B20780">
        <w:rPr>
          <w:rFonts w:ascii="Book Antiqua" w:hAnsi="Book Antiqua"/>
          <w:b w:val="0"/>
          <w:bCs w:val="0"/>
        </w:rPr>
        <w:t>”,</w:t>
      </w:r>
      <w:r w:rsidR="00E42C33" w:rsidRPr="00B20780">
        <w:rPr>
          <w:rFonts w:ascii="Book Antiqua" w:hAnsi="Book Antiqua"/>
          <w:b w:val="0"/>
          <w:bCs w:val="0"/>
        </w:rPr>
        <w:t xml:space="preserve"> </w:t>
      </w:r>
      <w:proofErr w:type="spellStart"/>
      <w:r w:rsidR="00E42C33" w:rsidRPr="00B20780">
        <w:rPr>
          <w:rFonts w:ascii="Book Antiqua" w:hAnsi="Book Antiqua"/>
          <w:b w:val="0"/>
          <w:bCs w:val="0"/>
        </w:rPr>
        <w:t>Piata</w:t>
      </w:r>
      <w:proofErr w:type="spellEnd"/>
      <w:r w:rsidR="00E42C33" w:rsidRPr="00B20780">
        <w:rPr>
          <w:rFonts w:ascii="Book Antiqua" w:hAnsi="Book Antiqua"/>
          <w:b w:val="0"/>
          <w:bCs w:val="0"/>
        </w:rPr>
        <w:t xml:space="preserve"> </w:t>
      </w:r>
      <w:proofErr w:type="spellStart"/>
      <w:r w:rsidR="00E42C33" w:rsidRPr="00B20780">
        <w:rPr>
          <w:rFonts w:ascii="Book Antiqua" w:hAnsi="Book Antiqua"/>
          <w:b w:val="0"/>
          <w:bCs w:val="0"/>
        </w:rPr>
        <w:t>Eftimie</w:t>
      </w:r>
      <w:proofErr w:type="spellEnd"/>
      <w:r w:rsidR="00E42C33" w:rsidRPr="00B20780">
        <w:rPr>
          <w:rFonts w:ascii="Book Antiqua" w:hAnsi="Book Antiqua"/>
          <w:b w:val="0"/>
          <w:bCs w:val="0"/>
        </w:rPr>
        <w:t xml:space="preserve"> </w:t>
      </w:r>
      <w:proofErr w:type="spellStart"/>
      <w:r w:rsidR="00E42C33" w:rsidRPr="00B20780">
        <w:rPr>
          <w:rFonts w:ascii="Book Antiqua" w:hAnsi="Book Antiqua"/>
          <w:b w:val="0"/>
          <w:bCs w:val="0"/>
        </w:rPr>
        <w:t>Murgu</w:t>
      </w:r>
      <w:proofErr w:type="spellEnd"/>
      <w:r w:rsidR="00E42C33" w:rsidRPr="00B20780">
        <w:rPr>
          <w:rFonts w:ascii="Book Antiqua" w:hAnsi="Book Antiqua"/>
          <w:b w:val="0"/>
          <w:bCs w:val="0"/>
        </w:rPr>
        <w:t xml:space="preserve"> No. 2, </w:t>
      </w:r>
      <w:proofErr w:type="spellStart"/>
      <w:r w:rsidR="00E42C33" w:rsidRPr="00B20780">
        <w:rPr>
          <w:rFonts w:ascii="Book Antiqua" w:hAnsi="Book Antiqua"/>
          <w:b w:val="0"/>
          <w:bCs w:val="0"/>
        </w:rPr>
        <w:t>Timişoara</w:t>
      </w:r>
      <w:proofErr w:type="spellEnd"/>
      <w:r w:rsidR="00E42C33" w:rsidRPr="00B20780">
        <w:rPr>
          <w:rFonts w:ascii="Book Antiqua" w:hAnsi="Book Antiqua"/>
          <w:b w:val="0"/>
          <w:bCs w:val="0"/>
        </w:rPr>
        <w:t xml:space="preserve"> 300041, </w:t>
      </w:r>
      <w:proofErr w:type="spellStart"/>
      <w:r w:rsidR="00E42C33" w:rsidRPr="00B20780">
        <w:rPr>
          <w:rFonts w:ascii="Book Antiqua" w:hAnsi="Book Antiqua"/>
          <w:b w:val="0"/>
          <w:bCs w:val="0"/>
        </w:rPr>
        <w:t>Timiş</w:t>
      </w:r>
      <w:proofErr w:type="spellEnd"/>
      <w:r w:rsidR="00E42C33" w:rsidRPr="00B20780">
        <w:rPr>
          <w:rFonts w:ascii="Book Antiqua" w:hAnsi="Book Antiqua"/>
          <w:b w:val="0"/>
          <w:bCs w:val="0"/>
        </w:rPr>
        <w:t xml:space="preserve"> County, Romania. </w:t>
      </w:r>
      <w:r w:rsidR="00E42C33" w:rsidRPr="00B20780">
        <w:rPr>
          <w:rFonts w:ascii="Book Antiqua" w:hAnsi="Book Antiqua"/>
          <w:b w:val="0"/>
          <w:bCs w:val="0"/>
          <w:u w:val="single"/>
        </w:rPr>
        <w:t>lazar.daniela@umft.ro</w:t>
      </w:r>
      <w:r w:rsidR="00E42C33" w:rsidRPr="00B20780">
        <w:rPr>
          <w:rFonts w:ascii="Book Antiqua" w:hAnsi="Book Antiqua"/>
          <w:b w:val="0"/>
          <w:bCs w:val="0"/>
        </w:rPr>
        <w:t xml:space="preserve"> </w:t>
      </w:r>
    </w:p>
    <w:p w:rsidR="00E42C33" w:rsidRPr="00B20780" w:rsidRDefault="00E42C33" w:rsidP="00DE7591">
      <w:pPr>
        <w:pStyle w:val="a4"/>
        <w:spacing w:line="360" w:lineRule="auto"/>
        <w:jc w:val="both"/>
        <w:rPr>
          <w:rFonts w:ascii="Book Antiqua" w:hAnsi="Book Antiqua"/>
          <w:b w:val="0"/>
          <w:bCs w:val="0"/>
        </w:rPr>
      </w:pPr>
      <w:r w:rsidRPr="00B20780">
        <w:rPr>
          <w:rFonts w:ascii="Book Antiqua" w:hAnsi="Book Antiqua"/>
        </w:rPr>
        <w:t>Telephone:</w:t>
      </w:r>
      <w:r w:rsidRPr="00B20780">
        <w:rPr>
          <w:rFonts w:ascii="Book Antiqua" w:hAnsi="Book Antiqua"/>
          <w:b w:val="0"/>
          <w:bCs w:val="0"/>
        </w:rPr>
        <w:t xml:space="preserve"> +4</w:t>
      </w:r>
      <w:r w:rsidR="000B5F0C" w:rsidRPr="00B20780">
        <w:rPr>
          <w:rFonts w:ascii="Book Antiqua" w:hAnsi="Book Antiqua"/>
          <w:b w:val="0"/>
          <w:bCs w:val="0"/>
        </w:rPr>
        <w:t>0</w:t>
      </w:r>
      <w:r w:rsidRPr="00B20780">
        <w:rPr>
          <w:rFonts w:ascii="Book Antiqua" w:hAnsi="Book Antiqua"/>
          <w:b w:val="0"/>
          <w:bCs w:val="0"/>
        </w:rPr>
        <w:t>-256-220484</w:t>
      </w:r>
    </w:p>
    <w:p w:rsidR="00E42C33" w:rsidRPr="00B20780" w:rsidRDefault="00E42C33" w:rsidP="00DE7591">
      <w:pPr>
        <w:pStyle w:val="a4"/>
        <w:spacing w:line="360" w:lineRule="auto"/>
        <w:jc w:val="both"/>
        <w:rPr>
          <w:rFonts w:ascii="Book Antiqua" w:hAnsi="Book Antiqua"/>
          <w:b w:val="0"/>
          <w:bCs w:val="0"/>
        </w:rPr>
      </w:pPr>
      <w:r w:rsidRPr="00B20780">
        <w:rPr>
          <w:rFonts w:ascii="Book Antiqua" w:hAnsi="Book Antiqua"/>
        </w:rPr>
        <w:t>Fax:</w:t>
      </w:r>
      <w:r w:rsidRPr="00B20780">
        <w:rPr>
          <w:rFonts w:ascii="Book Antiqua" w:hAnsi="Book Antiqua"/>
          <w:b w:val="0"/>
          <w:bCs w:val="0"/>
        </w:rPr>
        <w:t xml:space="preserve"> +4</w:t>
      </w:r>
      <w:r w:rsidR="000B5F0C" w:rsidRPr="00B20780">
        <w:rPr>
          <w:rFonts w:ascii="Book Antiqua" w:hAnsi="Book Antiqua"/>
          <w:b w:val="0"/>
          <w:bCs w:val="0"/>
        </w:rPr>
        <w:t>0</w:t>
      </w:r>
      <w:r w:rsidRPr="00B20780">
        <w:rPr>
          <w:rFonts w:ascii="Book Antiqua" w:hAnsi="Book Antiqua"/>
          <w:b w:val="0"/>
          <w:bCs w:val="0"/>
        </w:rPr>
        <w:t>-256-220484</w:t>
      </w:r>
    </w:p>
    <w:p w:rsidR="00346C38" w:rsidRPr="00B20780" w:rsidRDefault="00346C38" w:rsidP="00DE7591">
      <w:pPr>
        <w:pStyle w:val="a4"/>
        <w:spacing w:line="360" w:lineRule="auto"/>
        <w:jc w:val="both"/>
        <w:rPr>
          <w:rFonts w:ascii="Book Antiqua" w:hAnsi="Book Antiqua"/>
          <w:b w:val="0"/>
          <w:bCs w:val="0"/>
        </w:rPr>
      </w:pP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Received:</w:t>
      </w:r>
      <w:r w:rsidRPr="00B20780">
        <w:rPr>
          <w:rFonts w:ascii="Book Antiqua" w:hAnsi="Book Antiqua"/>
          <w:color w:val="000000"/>
          <w:sz w:val="24"/>
          <w:szCs w:val="24"/>
        </w:rPr>
        <w:t xml:space="preserve"> June 25, 2019</w:t>
      </w: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Peer-review started:</w:t>
      </w:r>
      <w:r w:rsidRPr="00B20780">
        <w:rPr>
          <w:rFonts w:ascii="Book Antiqua" w:hAnsi="Book Antiqua"/>
          <w:color w:val="000000"/>
          <w:sz w:val="24"/>
          <w:szCs w:val="24"/>
        </w:rPr>
        <w:t xml:space="preserve"> June 25, 2019</w:t>
      </w: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First decision:</w:t>
      </w:r>
      <w:r w:rsidRPr="00B20780">
        <w:rPr>
          <w:rFonts w:ascii="Book Antiqua" w:hAnsi="Book Antiqua"/>
          <w:color w:val="000000"/>
          <w:sz w:val="24"/>
          <w:szCs w:val="24"/>
        </w:rPr>
        <w:t xml:space="preserve"> July 20, 2019</w:t>
      </w: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Revised:</w:t>
      </w:r>
      <w:r w:rsidRPr="00B20780">
        <w:rPr>
          <w:rFonts w:ascii="Book Antiqua" w:hAnsi="Book Antiqua"/>
          <w:color w:val="000000"/>
          <w:sz w:val="24"/>
          <w:szCs w:val="24"/>
        </w:rPr>
        <w:t xml:space="preserve"> August 16, 2019</w:t>
      </w: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Accepted:</w:t>
      </w:r>
      <w:r w:rsidR="00397708" w:rsidRPr="00B20780">
        <w:t xml:space="preserve"> </w:t>
      </w:r>
      <w:r w:rsidR="00397708" w:rsidRPr="00B20780">
        <w:rPr>
          <w:rFonts w:ascii="Book Antiqua" w:hAnsi="Book Antiqua"/>
          <w:color w:val="000000"/>
          <w:sz w:val="24"/>
          <w:szCs w:val="24"/>
        </w:rPr>
        <w:t>August 27, 2019</w:t>
      </w:r>
      <w:r w:rsidRPr="00B20780">
        <w:rPr>
          <w:rFonts w:ascii="Book Antiqua" w:hAnsi="Book Antiqua"/>
          <w:color w:val="000000"/>
          <w:sz w:val="24"/>
          <w:szCs w:val="24"/>
        </w:rPr>
        <w:t xml:space="preserve"> </w:t>
      </w:r>
    </w:p>
    <w:p w:rsidR="002E268A" w:rsidRPr="00B20780" w:rsidRDefault="002E268A" w:rsidP="00DE7591">
      <w:pPr>
        <w:snapToGrid w:val="0"/>
        <w:spacing w:after="0" w:line="360" w:lineRule="auto"/>
        <w:jc w:val="both"/>
        <w:rPr>
          <w:rFonts w:ascii="Book Antiqua" w:hAnsi="Book Antiqua"/>
          <w:b/>
          <w:color w:val="000000"/>
          <w:sz w:val="24"/>
          <w:szCs w:val="24"/>
        </w:rPr>
      </w:pPr>
      <w:r w:rsidRPr="00B20780">
        <w:rPr>
          <w:rFonts w:ascii="Book Antiqua" w:hAnsi="Book Antiqua"/>
          <w:b/>
          <w:color w:val="000000"/>
          <w:sz w:val="24"/>
          <w:szCs w:val="24"/>
        </w:rPr>
        <w:t>Article in press:</w:t>
      </w:r>
      <w:r w:rsidR="009452B1" w:rsidRPr="00B20780">
        <w:rPr>
          <w:rFonts w:ascii="Book Antiqua" w:hAnsi="Book Antiqua"/>
          <w:color w:val="000000"/>
          <w:sz w:val="24"/>
          <w:szCs w:val="24"/>
        </w:rPr>
        <w:t xml:space="preserve"> August 2</w:t>
      </w:r>
      <w:r w:rsidR="009452B1" w:rsidRPr="00B20780">
        <w:rPr>
          <w:rFonts w:ascii="Book Antiqua" w:hAnsi="Book Antiqua" w:hint="eastAsia"/>
          <w:color w:val="000000"/>
          <w:sz w:val="24"/>
          <w:szCs w:val="24"/>
          <w:lang w:eastAsia="zh-CN"/>
        </w:rPr>
        <w:t>6</w:t>
      </w:r>
      <w:r w:rsidR="009452B1" w:rsidRPr="00B20780">
        <w:rPr>
          <w:rFonts w:ascii="Book Antiqua" w:hAnsi="Book Antiqua"/>
          <w:color w:val="000000"/>
          <w:sz w:val="24"/>
          <w:szCs w:val="24"/>
        </w:rPr>
        <w:t>, 2019</w:t>
      </w:r>
    </w:p>
    <w:p w:rsidR="00346C38" w:rsidRPr="00B20780" w:rsidRDefault="002E268A" w:rsidP="00DE7591">
      <w:pPr>
        <w:snapToGrid w:val="0"/>
        <w:spacing w:after="0" w:line="360" w:lineRule="auto"/>
        <w:jc w:val="both"/>
        <w:rPr>
          <w:rFonts w:ascii="Book Antiqua" w:hAnsi="Book Antiqua"/>
          <w:b/>
          <w:color w:val="000000"/>
          <w:sz w:val="24"/>
          <w:szCs w:val="24"/>
        </w:rPr>
      </w:pPr>
      <w:r w:rsidRPr="00B20780">
        <w:rPr>
          <w:rFonts w:ascii="Book Antiqua" w:hAnsi="Book Antiqua"/>
          <w:b/>
          <w:color w:val="000000"/>
          <w:sz w:val="24"/>
          <w:szCs w:val="24"/>
        </w:rPr>
        <w:lastRenderedPageBreak/>
        <w:t>Published online:</w:t>
      </w:r>
      <w:r w:rsidR="009452B1" w:rsidRPr="00B20780">
        <w:rPr>
          <w:rFonts w:ascii="Book Antiqua" w:hAnsi="Book Antiqua" w:hint="eastAsia"/>
          <w:b/>
        </w:rPr>
        <w:t xml:space="preserve"> </w:t>
      </w:r>
      <w:r w:rsidR="009452B1" w:rsidRPr="00B20780">
        <w:rPr>
          <w:rFonts w:ascii="Book Antiqua" w:hAnsi="Book Antiqua" w:hint="eastAsia"/>
        </w:rPr>
        <w:t>September</w:t>
      </w:r>
      <w:r w:rsidR="009452B1" w:rsidRPr="00B20780">
        <w:rPr>
          <w:rFonts w:ascii="Book Antiqua" w:hAnsi="Book Antiqua"/>
        </w:rPr>
        <w:t xml:space="preserve"> 2</w:t>
      </w:r>
      <w:r w:rsidR="009452B1" w:rsidRPr="00B20780">
        <w:rPr>
          <w:rFonts w:ascii="Book Antiqua" w:hAnsi="Book Antiqua" w:hint="eastAsia"/>
        </w:rPr>
        <w:t>6</w:t>
      </w:r>
      <w:r w:rsidR="009452B1" w:rsidRPr="00B20780">
        <w:rPr>
          <w:rFonts w:ascii="Book Antiqua" w:hAnsi="Book Antiqua"/>
        </w:rPr>
        <w:t>, 2019</w:t>
      </w:r>
    </w:p>
    <w:p w:rsidR="00E42C33" w:rsidRPr="00B20780" w:rsidRDefault="009A10A8" w:rsidP="00DE7591">
      <w:pPr>
        <w:spacing w:after="0" w:line="360" w:lineRule="auto"/>
        <w:jc w:val="both"/>
        <w:rPr>
          <w:rFonts w:ascii="Book Antiqua" w:hAnsi="Book Antiqua"/>
          <w:b/>
          <w:sz w:val="24"/>
          <w:szCs w:val="24"/>
        </w:rPr>
      </w:pPr>
      <w:r w:rsidRPr="00B20780">
        <w:rPr>
          <w:rFonts w:ascii="Book Antiqua" w:hAnsi="Book Antiqua"/>
          <w:b/>
          <w:sz w:val="24"/>
          <w:szCs w:val="24"/>
        </w:rPr>
        <w:br w:type="page"/>
      </w:r>
      <w:r w:rsidR="00E42C33" w:rsidRPr="00B20780">
        <w:rPr>
          <w:rFonts w:ascii="Book Antiqua" w:hAnsi="Book Antiqua"/>
          <w:b/>
          <w:sz w:val="24"/>
          <w:szCs w:val="24"/>
        </w:rPr>
        <w:lastRenderedPageBreak/>
        <w:t>Abstract</w:t>
      </w:r>
    </w:p>
    <w:p w:rsidR="00187450" w:rsidRPr="00B20780" w:rsidRDefault="00187450" w:rsidP="00DE7591">
      <w:pPr>
        <w:spacing w:after="0" w:line="360" w:lineRule="auto"/>
        <w:jc w:val="both"/>
        <w:rPr>
          <w:rFonts w:ascii="Book Antiqua" w:hAnsi="Book Antiqua"/>
          <w:i/>
          <w:iCs/>
          <w:sz w:val="24"/>
          <w:szCs w:val="24"/>
        </w:rPr>
      </w:pPr>
      <w:r w:rsidRPr="00B20780">
        <w:rPr>
          <w:rFonts w:ascii="Book Antiqua" w:hAnsi="Book Antiqua"/>
          <w:b/>
          <w:i/>
          <w:iCs/>
          <w:sz w:val="24"/>
          <w:szCs w:val="24"/>
        </w:rPr>
        <w:t>BACKGROUND</w:t>
      </w:r>
    </w:p>
    <w:p w:rsidR="00E42C33" w:rsidRPr="00B20780" w:rsidRDefault="00E42C33" w:rsidP="00DE7591">
      <w:pPr>
        <w:spacing w:after="0" w:line="360" w:lineRule="auto"/>
        <w:jc w:val="both"/>
        <w:rPr>
          <w:rFonts w:ascii="Book Antiqua" w:hAnsi="Book Antiqua"/>
          <w:sz w:val="24"/>
          <w:szCs w:val="24"/>
        </w:rPr>
      </w:pPr>
      <w:proofErr w:type="spellStart"/>
      <w:r w:rsidRPr="00B20780">
        <w:rPr>
          <w:rFonts w:ascii="Book Antiqua" w:hAnsi="Book Antiqua"/>
          <w:sz w:val="24"/>
          <w:szCs w:val="24"/>
        </w:rPr>
        <w:t>Nonvariceal</w:t>
      </w:r>
      <w:proofErr w:type="spellEnd"/>
      <w:r w:rsidRPr="00B20780">
        <w:rPr>
          <w:rFonts w:ascii="Book Antiqua" w:hAnsi="Book Antiqua"/>
          <w:b/>
          <w:sz w:val="24"/>
          <w:szCs w:val="24"/>
        </w:rPr>
        <w:t xml:space="preserve"> </w:t>
      </w:r>
      <w:r w:rsidRPr="00B20780">
        <w:rPr>
          <w:rFonts w:ascii="Book Antiqua" w:hAnsi="Book Antiqua"/>
          <w:sz w:val="24"/>
          <w:szCs w:val="24"/>
        </w:rPr>
        <w:t>upper digestive bleeding (NVUDB) represents a severe emergency condition and is associated with significant morbidity and mortality. Despite a decrease in the incidence due to the widespread use of potent therapy with proton pump inhibitors as well as the implementation of modern endoscopic techniques, the mortality rate associated with NVUDB is still high.</w:t>
      </w:r>
    </w:p>
    <w:p w:rsidR="00187450" w:rsidRPr="00B20780" w:rsidRDefault="00187450" w:rsidP="00DE7591">
      <w:pPr>
        <w:spacing w:after="0" w:line="360" w:lineRule="auto"/>
        <w:jc w:val="both"/>
        <w:rPr>
          <w:rFonts w:ascii="Book Antiqua" w:hAnsi="Book Antiqua"/>
          <w:sz w:val="24"/>
          <w:szCs w:val="24"/>
        </w:rPr>
      </w:pPr>
    </w:p>
    <w:p w:rsidR="00187450" w:rsidRPr="00B20780" w:rsidRDefault="00187450" w:rsidP="00DE7591">
      <w:pPr>
        <w:spacing w:after="0" w:line="360" w:lineRule="auto"/>
        <w:jc w:val="both"/>
        <w:rPr>
          <w:rFonts w:ascii="Book Antiqua" w:hAnsi="Book Antiqua"/>
          <w:b/>
          <w:i/>
          <w:iCs/>
          <w:sz w:val="24"/>
          <w:szCs w:val="24"/>
        </w:rPr>
      </w:pPr>
      <w:r w:rsidRPr="00B20780">
        <w:rPr>
          <w:rFonts w:ascii="Book Antiqua" w:hAnsi="Book Antiqua"/>
          <w:b/>
          <w:i/>
          <w:iCs/>
          <w:sz w:val="24"/>
          <w:szCs w:val="24"/>
        </w:rPr>
        <w:t>AIM</w:t>
      </w:r>
    </w:p>
    <w:p w:rsidR="00E42C33"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To </w:t>
      </w:r>
      <w:r w:rsidR="00E42C33" w:rsidRPr="00B20780">
        <w:rPr>
          <w:rFonts w:ascii="Book Antiqua" w:hAnsi="Book Antiqua"/>
          <w:sz w:val="24"/>
          <w:szCs w:val="24"/>
        </w:rPr>
        <w:t>identify the clinical, biological, and endoscopic parameters associated with a poor outcome in patients with NVUDB to allow the stratification of risk, which will lead to the implementation of the most accurate management.</w:t>
      </w:r>
    </w:p>
    <w:p w:rsidR="00187450" w:rsidRPr="00B20780" w:rsidRDefault="00187450" w:rsidP="00DE7591">
      <w:pPr>
        <w:spacing w:after="0" w:line="360" w:lineRule="auto"/>
        <w:jc w:val="both"/>
        <w:rPr>
          <w:rFonts w:ascii="Book Antiqua" w:hAnsi="Book Antiqua"/>
          <w:sz w:val="24"/>
          <w:szCs w:val="24"/>
        </w:rPr>
      </w:pPr>
    </w:p>
    <w:p w:rsidR="00187450" w:rsidRPr="00B20780" w:rsidRDefault="00187450" w:rsidP="00DE7591">
      <w:pPr>
        <w:spacing w:after="0" w:line="360" w:lineRule="auto"/>
        <w:jc w:val="both"/>
        <w:rPr>
          <w:rFonts w:ascii="Book Antiqua" w:hAnsi="Book Antiqua"/>
          <w:b/>
          <w:i/>
          <w:iCs/>
          <w:sz w:val="24"/>
          <w:szCs w:val="24"/>
        </w:rPr>
      </w:pPr>
      <w:r w:rsidRPr="00B20780">
        <w:rPr>
          <w:rFonts w:ascii="Book Antiqua" w:hAnsi="Book Antiqua"/>
          <w:b/>
          <w:i/>
          <w:iCs/>
          <w:sz w:val="24"/>
          <w:szCs w:val="24"/>
        </w:rPr>
        <w:t>METHODS</w:t>
      </w:r>
    </w:p>
    <w:p w:rsidR="00E42C33" w:rsidRPr="00B20780" w:rsidRDefault="00E42C33" w:rsidP="00DE7591">
      <w:pPr>
        <w:spacing w:after="0" w:line="360" w:lineRule="auto"/>
        <w:jc w:val="both"/>
        <w:rPr>
          <w:rFonts w:ascii="Book Antiqua" w:hAnsi="Book Antiqua"/>
          <w:sz w:val="24"/>
          <w:szCs w:val="24"/>
          <w:lang w:eastAsia="ro-RO"/>
        </w:rPr>
      </w:pPr>
      <w:r w:rsidRPr="00B20780">
        <w:rPr>
          <w:rFonts w:ascii="Book Antiqua" w:hAnsi="Book Antiqua"/>
          <w:sz w:val="24"/>
          <w:szCs w:val="24"/>
        </w:rPr>
        <w:t>We performed a retrospective study including</w:t>
      </w:r>
      <w:r w:rsidRPr="00B20780">
        <w:rPr>
          <w:rFonts w:ascii="Book Antiqua" w:hAnsi="Book Antiqua"/>
          <w:sz w:val="24"/>
          <w:szCs w:val="24"/>
          <w:lang w:eastAsia="ro-RO"/>
        </w:rPr>
        <w:t xml:space="preserve"> patients who were admitted to the Gastroenterology Department of Clinical Emergency County Hospital Timisoara, Romania, with a diagnosis of NVUDB between 1 January 2008 and 31</w:t>
      </w:r>
      <w:r w:rsidRPr="00B20780">
        <w:rPr>
          <w:rFonts w:ascii="Book Antiqua" w:hAnsi="Book Antiqua"/>
          <w:sz w:val="24"/>
          <w:szCs w:val="24"/>
          <w:vertAlign w:val="superscript"/>
          <w:lang w:eastAsia="ro-RO"/>
        </w:rPr>
        <w:t xml:space="preserve"> </w:t>
      </w:r>
      <w:r w:rsidRPr="00B20780">
        <w:rPr>
          <w:rFonts w:ascii="Book Antiqua" w:hAnsi="Book Antiqua"/>
          <w:sz w:val="24"/>
          <w:szCs w:val="24"/>
          <w:lang w:eastAsia="ro-RO"/>
        </w:rPr>
        <w:t xml:space="preserve">December 2016. All the data were collected from the patient’s records, including demographic data, medication history, hemodynamic status, </w:t>
      </w:r>
      <w:proofErr w:type="spellStart"/>
      <w:r w:rsidRPr="00B20780">
        <w:rPr>
          <w:rFonts w:ascii="Book Antiqua" w:hAnsi="Book Antiqua"/>
          <w:sz w:val="24"/>
          <w:szCs w:val="24"/>
          <w:lang w:eastAsia="ro-RO"/>
        </w:rPr>
        <w:t>paraclinical</w:t>
      </w:r>
      <w:proofErr w:type="spellEnd"/>
      <w:r w:rsidRPr="00B20780">
        <w:rPr>
          <w:rFonts w:ascii="Book Antiqua" w:hAnsi="Book Antiqua"/>
          <w:sz w:val="24"/>
          <w:szCs w:val="24"/>
          <w:lang w:eastAsia="ro-RO"/>
        </w:rPr>
        <w:t xml:space="preserve"> tests, and endoscopic features as well as the methods of hemostasis, rate of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need for surgery and death; we also assessed the </w:t>
      </w:r>
      <w:proofErr w:type="spellStart"/>
      <w:r w:rsidRPr="00B20780">
        <w:rPr>
          <w:rFonts w:ascii="Book Antiqua" w:hAnsi="Book Antiqua"/>
          <w:sz w:val="24"/>
          <w:szCs w:val="24"/>
          <w:lang w:eastAsia="ro-RO"/>
        </w:rPr>
        <w:t>Rockall</w:t>
      </w:r>
      <w:proofErr w:type="spellEnd"/>
      <w:r w:rsidRPr="00B20780">
        <w:rPr>
          <w:rFonts w:ascii="Book Antiqua" w:hAnsi="Book Antiqua"/>
          <w:sz w:val="24"/>
          <w:szCs w:val="24"/>
          <w:lang w:eastAsia="ro-RO"/>
        </w:rPr>
        <w:t xml:space="preserve"> score of the patients, length of hospitalization and associated comorbidities. All these parameters were evaluated as potential risk factors associated with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and death in patients with NVUDB.</w:t>
      </w:r>
    </w:p>
    <w:p w:rsidR="00187450" w:rsidRPr="00B20780" w:rsidRDefault="00187450" w:rsidP="00DE7591">
      <w:pPr>
        <w:spacing w:after="0" w:line="360" w:lineRule="auto"/>
        <w:jc w:val="both"/>
        <w:rPr>
          <w:rFonts w:ascii="Book Antiqua" w:hAnsi="Book Antiqua"/>
          <w:sz w:val="24"/>
          <w:szCs w:val="24"/>
          <w:lang w:eastAsia="ro-RO"/>
        </w:rPr>
      </w:pPr>
    </w:p>
    <w:p w:rsidR="00187450" w:rsidRPr="00B20780" w:rsidRDefault="00187450"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RESULTS</w:t>
      </w:r>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We</w:t>
      </w:r>
      <w:r w:rsidRPr="00B20780">
        <w:rPr>
          <w:rFonts w:ascii="Book Antiqua" w:hAnsi="Book Antiqua"/>
          <w:b/>
        </w:rPr>
        <w:t xml:space="preserve"> </w:t>
      </w:r>
      <w:r w:rsidRPr="00B20780">
        <w:rPr>
          <w:rFonts w:ascii="Book Antiqua" w:hAnsi="Book Antiqua"/>
        </w:rPr>
        <w:t>included a batch of 1581 patients with NVUDB, includin</w:t>
      </w:r>
      <w:r w:rsidR="000B5082" w:rsidRPr="00B20780">
        <w:rPr>
          <w:rFonts w:ascii="Book Antiqua" w:hAnsi="Book Antiqua"/>
        </w:rPr>
        <w:t>g 523 (33%) females and 1058 (67</w:t>
      </w:r>
      <w:r w:rsidRPr="00B20780">
        <w:rPr>
          <w:rFonts w:ascii="Book Antiqua" w:hAnsi="Book Antiqua"/>
        </w:rPr>
        <w:t>%) males with a me</w:t>
      </w:r>
      <w:r w:rsidR="002D276A" w:rsidRPr="00B20780">
        <w:rPr>
          <w:rFonts w:ascii="Book Antiqua" w:hAnsi="Book Antiqua"/>
        </w:rPr>
        <w:t>di</w:t>
      </w:r>
      <w:r w:rsidRPr="00B20780">
        <w:rPr>
          <w:rFonts w:ascii="Book Antiqua" w:hAnsi="Book Antiqua"/>
        </w:rPr>
        <w:t xml:space="preserve">an age of </w:t>
      </w:r>
      <w:r w:rsidR="004457E4" w:rsidRPr="00B20780">
        <w:rPr>
          <w:rFonts w:ascii="Book Antiqua" w:hAnsi="Book Antiqua"/>
        </w:rPr>
        <w:t>66</w:t>
      </w:r>
      <w:r w:rsidRPr="00B20780">
        <w:rPr>
          <w:rFonts w:ascii="Book Antiqua" w:hAnsi="Book Antiqua"/>
        </w:rPr>
        <w:t xml:space="preserve"> years. The main cause of NVUDB was peptic ulcer (73% of patients). More than one-third of the patients needed endoscopic treatment. </w:t>
      </w:r>
      <w:proofErr w:type="spellStart"/>
      <w:r w:rsidRPr="00B20780">
        <w:rPr>
          <w:rFonts w:ascii="Book Antiqua" w:hAnsi="Book Antiqua"/>
        </w:rPr>
        <w:t>Rebleeding</w:t>
      </w:r>
      <w:proofErr w:type="spellEnd"/>
      <w:r w:rsidRPr="00B20780">
        <w:rPr>
          <w:rFonts w:ascii="Book Antiqua" w:hAnsi="Book Antiqua"/>
        </w:rPr>
        <w:t xml:space="preserve"> </w:t>
      </w:r>
      <w:r w:rsidR="000B5082" w:rsidRPr="00B20780">
        <w:rPr>
          <w:rFonts w:ascii="Book Antiqua" w:hAnsi="Book Antiqua"/>
        </w:rPr>
        <w:t xml:space="preserve">rate </w:t>
      </w:r>
      <w:r w:rsidRPr="00B20780">
        <w:rPr>
          <w:rFonts w:ascii="Book Antiqua" w:hAnsi="Book Antiqua"/>
        </w:rPr>
        <w:t>was 7.72%</w:t>
      </w:r>
      <w:r w:rsidR="000B5082" w:rsidRPr="00B20780">
        <w:rPr>
          <w:rFonts w:ascii="Book Antiqua" w:hAnsi="Book Antiqua"/>
        </w:rPr>
        <w:t xml:space="preserve">; </w:t>
      </w:r>
      <w:r w:rsidRPr="00B20780">
        <w:rPr>
          <w:rFonts w:ascii="Book Antiqua" w:hAnsi="Book Antiqua"/>
        </w:rPr>
        <w:t xml:space="preserve">surgery due to failure of endoscopic hemostasis was </w:t>
      </w:r>
      <w:r w:rsidR="000B5082" w:rsidRPr="00B20780">
        <w:rPr>
          <w:rFonts w:ascii="Book Antiqua" w:hAnsi="Book Antiqua"/>
        </w:rPr>
        <w:t>needed</w:t>
      </w:r>
      <w:r w:rsidRPr="00B20780">
        <w:rPr>
          <w:rFonts w:ascii="Book Antiqua" w:hAnsi="Book Antiqua"/>
        </w:rPr>
        <w:t xml:space="preserve"> in 3.22% of cases</w:t>
      </w:r>
      <w:r w:rsidR="000B5082" w:rsidRPr="00B20780">
        <w:rPr>
          <w:rFonts w:ascii="Book Antiqua" w:hAnsi="Book Antiqua"/>
        </w:rPr>
        <w:t>; t</w:t>
      </w:r>
      <w:r w:rsidRPr="00B20780">
        <w:rPr>
          <w:rFonts w:ascii="Book Antiqua" w:hAnsi="Book Antiqua"/>
        </w:rPr>
        <w:t>he in-hos</w:t>
      </w:r>
      <w:r w:rsidR="000B5082" w:rsidRPr="00B20780">
        <w:rPr>
          <w:rFonts w:ascii="Book Antiqua" w:hAnsi="Book Antiqua"/>
        </w:rPr>
        <w:t>pital mortality rate was 8.09%, and the</w:t>
      </w:r>
      <w:r w:rsidRPr="00B20780">
        <w:rPr>
          <w:rFonts w:ascii="Book Antiqua" w:hAnsi="Book Antiqua"/>
        </w:rPr>
        <w:t xml:space="preserve"> bleeding-episode-related mortality </w:t>
      </w:r>
      <w:r w:rsidR="000B5082" w:rsidRPr="00B20780">
        <w:rPr>
          <w:rFonts w:ascii="Book Antiqua" w:hAnsi="Book Antiqua"/>
        </w:rPr>
        <w:t xml:space="preserve">rate </w:t>
      </w:r>
      <w:r w:rsidRPr="00B20780">
        <w:rPr>
          <w:rFonts w:ascii="Book Antiqua" w:hAnsi="Book Antiqua"/>
        </w:rPr>
        <w:t xml:space="preserve">was 2.97%. Although our </w:t>
      </w:r>
      <w:r w:rsidRPr="00B20780">
        <w:rPr>
          <w:rFonts w:ascii="Book Antiqua" w:hAnsi="Book Antiqua"/>
        </w:rPr>
        <w:lastRenderedPageBreak/>
        <w:t xml:space="preserve">predictive models for </w:t>
      </w:r>
      <w:proofErr w:type="spellStart"/>
      <w:r w:rsidRPr="00B20780">
        <w:rPr>
          <w:rFonts w:ascii="Book Antiqua" w:hAnsi="Book Antiqua"/>
        </w:rPr>
        <w:t>rebleeding</w:t>
      </w:r>
      <w:proofErr w:type="spellEnd"/>
      <w:r w:rsidRPr="00B20780">
        <w:rPr>
          <w:rFonts w:ascii="Book Antiqua" w:hAnsi="Book Antiqua"/>
        </w:rPr>
        <w:t xml:space="preserve"> and death had a low sensitivity, the specificity was very high, suggesting a better discriminative capacity for identifying patients with better outcomes.</w:t>
      </w:r>
      <w:r w:rsidR="000F711D" w:rsidRPr="00B20780">
        <w:rPr>
          <w:rFonts w:ascii="Book Antiqua" w:hAnsi="Book Antiqua"/>
        </w:rPr>
        <w:t xml:space="preserve"> </w:t>
      </w:r>
      <w:r w:rsidRPr="00B20780">
        <w:rPr>
          <w:rFonts w:ascii="Book Antiqua" w:hAnsi="Book Antiqua"/>
        </w:rPr>
        <w:t>Our results show</w:t>
      </w:r>
      <w:r w:rsidR="002B494E" w:rsidRPr="00B20780">
        <w:rPr>
          <w:rFonts w:ascii="Book Antiqua" w:hAnsi="Book Antiqua"/>
        </w:rPr>
        <w:t>ed</w:t>
      </w:r>
      <w:r w:rsidRPr="00B20780">
        <w:rPr>
          <w:rFonts w:ascii="Book Antiqua" w:hAnsi="Book Antiqua"/>
        </w:rPr>
        <w:t xml:space="preserve"> that </w:t>
      </w:r>
      <w:r w:rsidR="00B979F8" w:rsidRPr="00B20780">
        <w:rPr>
          <w:rFonts w:ascii="Book Antiqua" w:hAnsi="Book Antiqua"/>
        </w:rPr>
        <w:t xml:space="preserve">the </w:t>
      </w:r>
      <w:proofErr w:type="spellStart"/>
      <w:r w:rsidR="00B979F8" w:rsidRPr="00B20780">
        <w:rPr>
          <w:rFonts w:ascii="Book Antiqua" w:hAnsi="Book Antiqua"/>
        </w:rPr>
        <w:t>Rockall</w:t>
      </w:r>
      <w:proofErr w:type="spellEnd"/>
      <w:r w:rsidR="00B979F8" w:rsidRPr="00B20780">
        <w:rPr>
          <w:rFonts w:ascii="Book Antiqua" w:hAnsi="Book Antiqua"/>
        </w:rPr>
        <w:t xml:space="preserve"> score was</w:t>
      </w:r>
      <w:r w:rsidRPr="00B20780">
        <w:rPr>
          <w:rFonts w:ascii="Book Antiqua" w:hAnsi="Book Antiqua"/>
        </w:rPr>
        <w:t xml:space="preserve"> associated with both </w:t>
      </w:r>
      <w:proofErr w:type="spellStart"/>
      <w:r w:rsidRPr="00B20780">
        <w:rPr>
          <w:rFonts w:ascii="Book Antiqua" w:hAnsi="Book Antiqua"/>
        </w:rPr>
        <w:t>rebleeding</w:t>
      </w:r>
      <w:proofErr w:type="spellEnd"/>
      <w:r w:rsidRPr="00B20780">
        <w:rPr>
          <w:rFonts w:ascii="Book Antiqua" w:hAnsi="Book Antiqua"/>
        </w:rPr>
        <w:t xml:space="preserve"> and death</w:t>
      </w:r>
      <w:r w:rsidR="00B979F8" w:rsidRPr="00B20780">
        <w:rPr>
          <w:rFonts w:ascii="Book Antiqua" w:hAnsi="Book Antiqua"/>
        </w:rPr>
        <w:t>;</w:t>
      </w:r>
      <w:r w:rsidRPr="00B20780">
        <w:rPr>
          <w:rFonts w:ascii="Book Antiqua" w:hAnsi="Book Antiqua"/>
        </w:rPr>
        <w:t xml:space="preserve"> </w:t>
      </w:r>
      <w:r w:rsidR="00B979F8" w:rsidRPr="00B20780">
        <w:rPr>
          <w:rFonts w:ascii="Book Antiqua" w:hAnsi="Book Antiqua"/>
        </w:rPr>
        <w:t>comorbidities</w:t>
      </w:r>
      <w:r w:rsidR="000F711D" w:rsidRPr="00B20780">
        <w:rPr>
          <w:rFonts w:ascii="Book Antiqua" w:hAnsi="Book Antiqua"/>
        </w:rPr>
        <w:t xml:space="preserve"> such as respiratory conditions, liver cirrhosis and sepsis</w:t>
      </w:r>
      <w:r w:rsidR="00B979F8" w:rsidRPr="00B20780">
        <w:rPr>
          <w:rFonts w:ascii="Book Antiqua" w:hAnsi="Book Antiqua"/>
        </w:rPr>
        <w:t xml:space="preserve"> increased significantly the</w:t>
      </w:r>
      <w:r w:rsidR="000F711D" w:rsidRPr="00B20780">
        <w:rPr>
          <w:rFonts w:ascii="Book Antiqua" w:hAnsi="Book Antiqua"/>
        </w:rPr>
        <w:t xml:space="preserve"> risk of in-hospital mortality </w:t>
      </w:r>
      <w:r w:rsidR="009A10A8" w:rsidRPr="00B20780">
        <w:rPr>
          <w:rFonts w:ascii="Book Antiqua" w:hAnsi="Book Antiqua"/>
        </w:rPr>
        <w:t>(</w:t>
      </w:r>
      <w:r w:rsidR="000F711D" w:rsidRPr="00B20780">
        <w:rPr>
          <w:rFonts w:ascii="Book Antiqua" w:hAnsi="Book Antiqua"/>
        </w:rPr>
        <w:t>OR of 3.29, 2.91 and 8.03</w:t>
      </w:r>
      <w:r w:rsidR="009A10A8" w:rsidRPr="00B20780">
        <w:rPr>
          <w:rFonts w:ascii="Book Antiqua" w:hAnsi="Book Antiqua"/>
        </w:rPr>
        <w:t>)</w:t>
      </w:r>
      <w:r w:rsidR="000F711D" w:rsidRPr="00B20780">
        <w:rPr>
          <w:rFonts w:ascii="Book Antiqua" w:hAnsi="Book Antiqua"/>
        </w:rPr>
        <w:t>.</w:t>
      </w:r>
    </w:p>
    <w:p w:rsidR="00187450" w:rsidRPr="00B20780" w:rsidRDefault="00187450" w:rsidP="00DE7591">
      <w:pPr>
        <w:pStyle w:val="a3"/>
        <w:spacing w:before="0" w:beforeAutospacing="0" w:after="0" w:afterAutospacing="0" w:line="360" w:lineRule="auto"/>
        <w:jc w:val="both"/>
        <w:rPr>
          <w:rFonts w:ascii="Book Antiqua" w:hAnsi="Book Antiqua"/>
        </w:rPr>
      </w:pPr>
    </w:p>
    <w:p w:rsidR="00187450" w:rsidRPr="00B20780" w:rsidRDefault="00187450"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CONCLUSION</w:t>
      </w:r>
    </w:p>
    <w:p w:rsidR="00E42C33" w:rsidRPr="00B20780" w:rsidRDefault="00EB0F86" w:rsidP="00DE7591">
      <w:pPr>
        <w:pStyle w:val="a3"/>
        <w:spacing w:before="0" w:beforeAutospacing="0" w:after="0" w:afterAutospacing="0" w:line="360" w:lineRule="auto"/>
        <w:jc w:val="both"/>
        <w:rPr>
          <w:rFonts w:ascii="Book Antiqua" w:hAnsi="Book Antiqua"/>
        </w:rPr>
      </w:pPr>
      <w:r w:rsidRPr="00B20780">
        <w:rPr>
          <w:rFonts w:ascii="Book Antiqua" w:hAnsi="Book Antiqua"/>
        </w:rPr>
        <w:t xml:space="preserve">Our study revealed that </w:t>
      </w:r>
      <w:r w:rsidR="00DA697E" w:rsidRPr="00B20780">
        <w:rPr>
          <w:rFonts w:ascii="Book Antiqua" w:hAnsi="Book Antiqua"/>
        </w:rPr>
        <w:t xml:space="preserve">the </w:t>
      </w:r>
      <w:proofErr w:type="spellStart"/>
      <w:r w:rsidRPr="00B20780">
        <w:rPr>
          <w:rFonts w:ascii="Book Antiqua" w:hAnsi="Book Antiqua"/>
        </w:rPr>
        <w:t>Rockall</w:t>
      </w:r>
      <w:proofErr w:type="spellEnd"/>
      <w:r w:rsidRPr="00B20780">
        <w:rPr>
          <w:rFonts w:ascii="Book Antiqua" w:hAnsi="Book Antiqua"/>
        </w:rPr>
        <w:t xml:space="preserve"> score, need for endoscopic therapy, </w:t>
      </w:r>
      <w:r w:rsidR="000F711D" w:rsidRPr="00B20780">
        <w:rPr>
          <w:rFonts w:ascii="Book Antiqua" w:hAnsi="Book Antiqua"/>
        </w:rPr>
        <w:t xml:space="preserve">necessity </w:t>
      </w:r>
      <w:r w:rsidR="00B752E5" w:rsidRPr="00B20780">
        <w:rPr>
          <w:rFonts w:ascii="Book Antiqua" w:hAnsi="Book Antiqua"/>
        </w:rPr>
        <w:t>of transfusion</w:t>
      </w:r>
      <w:r w:rsidRPr="00B20780">
        <w:rPr>
          <w:rFonts w:ascii="Book Antiqua" w:hAnsi="Book Antiqua"/>
        </w:rPr>
        <w:t xml:space="preserve"> and sepsis were risk factors for </w:t>
      </w:r>
      <w:proofErr w:type="spellStart"/>
      <w:r w:rsidRPr="00B20780">
        <w:rPr>
          <w:rFonts w:ascii="Book Antiqua" w:hAnsi="Book Antiqua"/>
        </w:rPr>
        <w:t>rebleeding</w:t>
      </w:r>
      <w:proofErr w:type="spellEnd"/>
      <w:r w:rsidRPr="00B20780">
        <w:rPr>
          <w:rFonts w:ascii="Book Antiqua" w:hAnsi="Book Antiqua"/>
        </w:rPr>
        <w:t xml:space="preserve">. Moreover, an increased </w:t>
      </w:r>
      <w:proofErr w:type="spellStart"/>
      <w:r w:rsidRPr="00B20780">
        <w:rPr>
          <w:rFonts w:ascii="Book Antiqua" w:hAnsi="Book Antiqua"/>
        </w:rPr>
        <w:t>Rockall</w:t>
      </w:r>
      <w:proofErr w:type="spellEnd"/>
      <w:r w:rsidRPr="00B20780">
        <w:rPr>
          <w:rFonts w:ascii="Book Antiqua" w:hAnsi="Book Antiqua"/>
        </w:rPr>
        <w:t xml:space="preserve"> score and the presence of comorbidities were predictive factors for in-hospital mortality.</w:t>
      </w:r>
    </w:p>
    <w:p w:rsidR="00187450" w:rsidRPr="00B20780" w:rsidRDefault="00187450" w:rsidP="00DE7591">
      <w:pPr>
        <w:pStyle w:val="a3"/>
        <w:spacing w:before="0" w:beforeAutospacing="0" w:after="0" w:afterAutospacing="0" w:line="360" w:lineRule="auto"/>
        <w:jc w:val="both"/>
        <w:rPr>
          <w:rFonts w:ascii="Book Antiqua" w:hAnsi="Book Antiqua"/>
        </w:rPr>
      </w:pPr>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b/>
        </w:rPr>
        <w:t>Key</w:t>
      </w:r>
      <w:r w:rsidR="00187450" w:rsidRPr="00B20780">
        <w:rPr>
          <w:rFonts w:ascii="Book Antiqua" w:hAnsi="Book Antiqua"/>
          <w:b/>
        </w:rPr>
        <w:t xml:space="preserve"> </w:t>
      </w:r>
      <w:r w:rsidRPr="00B20780">
        <w:rPr>
          <w:rFonts w:ascii="Book Antiqua" w:hAnsi="Book Antiqua"/>
          <w:b/>
        </w:rPr>
        <w:t>words:</w:t>
      </w:r>
      <w:r w:rsidRPr="00B20780">
        <w:rPr>
          <w:rFonts w:ascii="Book Antiqua" w:hAnsi="Book Antiqua"/>
        </w:rPr>
        <w:t xml:space="preserve"> </w:t>
      </w:r>
      <w:bookmarkStart w:id="10" w:name="OLE_LINK15"/>
      <w:bookmarkStart w:id="11" w:name="OLE_LINK16"/>
      <w:proofErr w:type="spellStart"/>
      <w:r w:rsidR="00187450" w:rsidRPr="00B20780">
        <w:rPr>
          <w:rFonts w:ascii="Book Antiqua" w:hAnsi="Book Antiqua"/>
        </w:rPr>
        <w:t>Nonvariceal</w:t>
      </w:r>
      <w:proofErr w:type="spellEnd"/>
      <w:r w:rsidR="00187450" w:rsidRPr="00B20780">
        <w:rPr>
          <w:rFonts w:ascii="Book Antiqua" w:hAnsi="Book Antiqua"/>
        </w:rPr>
        <w:t xml:space="preserve"> </w:t>
      </w:r>
      <w:r w:rsidRPr="00B20780">
        <w:rPr>
          <w:rFonts w:ascii="Book Antiqua" w:hAnsi="Book Antiqua"/>
        </w:rPr>
        <w:t>upper digestive bleeding</w:t>
      </w:r>
      <w:bookmarkEnd w:id="10"/>
      <w:bookmarkEnd w:id="11"/>
      <w:r w:rsidR="00187450" w:rsidRPr="00B20780">
        <w:rPr>
          <w:rFonts w:ascii="Book Antiqua" w:hAnsi="Book Antiqua"/>
        </w:rPr>
        <w:t>;</w:t>
      </w:r>
      <w:r w:rsidRPr="00B20780">
        <w:rPr>
          <w:rFonts w:ascii="Book Antiqua" w:hAnsi="Book Antiqua"/>
        </w:rPr>
        <w:t xml:space="preserve"> </w:t>
      </w:r>
      <w:bookmarkStart w:id="12" w:name="OLE_LINK17"/>
      <w:r w:rsidR="00187450" w:rsidRPr="00B20780">
        <w:rPr>
          <w:rFonts w:ascii="Book Antiqua" w:hAnsi="Book Antiqua"/>
        </w:rPr>
        <w:t xml:space="preserve">Risk </w:t>
      </w:r>
      <w:r w:rsidRPr="00B20780">
        <w:rPr>
          <w:rFonts w:ascii="Book Antiqua" w:hAnsi="Book Antiqua"/>
        </w:rPr>
        <w:t>factors</w:t>
      </w:r>
      <w:bookmarkEnd w:id="12"/>
      <w:r w:rsidR="00187450" w:rsidRPr="00B20780">
        <w:rPr>
          <w:rFonts w:ascii="Book Antiqua" w:hAnsi="Book Antiqua"/>
        </w:rPr>
        <w:t>;</w:t>
      </w:r>
      <w:r w:rsidRPr="00B20780">
        <w:rPr>
          <w:rFonts w:ascii="Book Antiqua" w:hAnsi="Book Antiqua"/>
        </w:rPr>
        <w:t xml:space="preserve"> </w:t>
      </w:r>
      <w:bookmarkStart w:id="13" w:name="OLE_LINK18"/>
      <w:proofErr w:type="spellStart"/>
      <w:r w:rsidR="00187450" w:rsidRPr="00B20780">
        <w:rPr>
          <w:rFonts w:ascii="Book Antiqua" w:hAnsi="Book Antiqua"/>
        </w:rPr>
        <w:t>Rebleeding</w:t>
      </w:r>
      <w:bookmarkEnd w:id="13"/>
      <w:proofErr w:type="spellEnd"/>
      <w:r w:rsidR="00187450" w:rsidRPr="00B20780">
        <w:rPr>
          <w:rFonts w:ascii="Book Antiqua" w:hAnsi="Book Antiqua"/>
        </w:rPr>
        <w:t>;</w:t>
      </w:r>
      <w:r w:rsidRPr="00B20780">
        <w:rPr>
          <w:rFonts w:ascii="Book Antiqua" w:hAnsi="Book Antiqua"/>
        </w:rPr>
        <w:t xml:space="preserve"> </w:t>
      </w:r>
      <w:bookmarkStart w:id="14" w:name="OLE_LINK19"/>
      <w:bookmarkStart w:id="15" w:name="OLE_LINK20"/>
      <w:r w:rsidR="00187450" w:rsidRPr="00B20780">
        <w:rPr>
          <w:rFonts w:ascii="Book Antiqua" w:hAnsi="Book Antiqua"/>
        </w:rPr>
        <w:t>Death</w:t>
      </w:r>
      <w:bookmarkEnd w:id="14"/>
      <w:bookmarkEnd w:id="15"/>
      <w:r w:rsidR="00187450" w:rsidRPr="00B20780">
        <w:rPr>
          <w:rFonts w:ascii="Book Antiqua" w:hAnsi="Book Antiqua"/>
        </w:rPr>
        <w:t>;</w:t>
      </w:r>
      <w:r w:rsidRPr="00B20780">
        <w:rPr>
          <w:rFonts w:ascii="Book Antiqua" w:hAnsi="Book Antiqua"/>
        </w:rPr>
        <w:t xml:space="preserve"> </w:t>
      </w:r>
      <w:bookmarkStart w:id="16" w:name="OLE_LINK21"/>
      <w:bookmarkStart w:id="17" w:name="OLE_LINK22"/>
      <w:r w:rsidR="00187450" w:rsidRPr="00B20780">
        <w:rPr>
          <w:rFonts w:ascii="Book Antiqua" w:hAnsi="Book Antiqua"/>
        </w:rPr>
        <w:t>Outcome</w:t>
      </w:r>
      <w:bookmarkEnd w:id="16"/>
      <w:bookmarkEnd w:id="17"/>
    </w:p>
    <w:p w:rsidR="00187450" w:rsidRPr="00B20780" w:rsidRDefault="00187450" w:rsidP="00DE7591">
      <w:pPr>
        <w:pStyle w:val="a3"/>
        <w:spacing w:before="0" w:beforeAutospacing="0" w:after="0" w:afterAutospacing="0" w:line="360" w:lineRule="auto"/>
        <w:jc w:val="both"/>
        <w:rPr>
          <w:rFonts w:ascii="Book Antiqua" w:hAnsi="Book Antiqua"/>
        </w:rPr>
      </w:pPr>
    </w:p>
    <w:p w:rsidR="002E268A" w:rsidRPr="00B20780" w:rsidRDefault="002E268A" w:rsidP="00DE7591">
      <w:pPr>
        <w:snapToGrid w:val="0"/>
        <w:spacing w:after="0" w:line="360" w:lineRule="auto"/>
        <w:ind w:right="187"/>
        <w:jc w:val="both"/>
        <w:rPr>
          <w:rFonts w:ascii="Book Antiqua" w:hAnsi="Book Antiqua"/>
          <w:color w:val="000000"/>
          <w:sz w:val="24"/>
          <w:szCs w:val="24"/>
        </w:rPr>
      </w:pPr>
      <w:bookmarkStart w:id="18" w:name="OLE_LINK8"/>
      <w:proofErr w:type="gramStart"/>
      <w:r w:rsidRPr="00B20780">
        <w:rPr>
          <w:rFonts w:ascii="Book Antiqua" w:hAnsi="Book Antiqua"/>
          <w:b/>
          <w:bCs/>
          <w:color w:val="000000"/>
          <w:sz w:val="24"/>
          <w:szCs w:val="24"/>
        </w:rPr>
        <w:t>© The Author(s) 2019.</w:t>
      </w:r>
      <w:proofErr w:type="gramEnd"/>
      <w:r w:rsidRPr="00B20780">
        <w:rPr>
          <w:rFonts w:ascii="Book Antiqua" w:hAnsi="Book Antiqua"/>
          <w:b/>
          <w:bCs/>
          <w:color w:val="000000"/>
          <w:sz w:val="24"/>
          <w:szCs w:val="24"/>
        </w:rPr>
        <w:t xml:space="preserve"> </w:t>
      </w:r>
      <w:proofErr w:type="gramStart"/>
      <w:r w:rsidRPr="00B20780">
        <w:rPr>
          <w:rFonts w:ascii="Book Antiqua" w:hAnsi="Book Antiqua"/>
          <w:color w:val="000000"/>
          <w:sz w:val="24"/>
          <w:szCs w:val="24"/>
        </w:rPr>
        <w:t xml:space="preserve">Published by </w:t>
      </w:r>
      <w:proofErr w:type="spellStart"/>
      <w:r w:rsidRPr="00B20780">
        <w:rPr>
          <w:rFonts w:ascii="Book Antiqua" w:hAnsi="Book Antiqua"/>
          <w:color w:val="000000"/>
          <w:sz w:val="24"/>
          <w:szCs w:val="24"/>
        </w:rPr>
        <w:t>Baishideng</w:t>
      </w:r>
      <w:proofErr w:type="spellEnd"/>
      <w:r w:rsidRPr="00B20780">
        <w:rPr>
          <w:rFonts w:ascii="Book Antiqua" w:hAnsi="Book Antiqua"/>
          <w:color w:val="000000"/>
          <w:sz w:val="24"/>
          <w:szCs w:val="24"/>
        </w:rPr>
        <w:t xml:space="preserve"> Publishing Group Inc.</w:t>
      </w:r>
      <w:proofErr w:type="gramEnd"/>
      <w:r w:rsidRPr="00B20780">
        <w:rPr>
          <w:rFonts w:ascii="Book Antiqua" w:hAnsi="Book Antiqua"/>
          <w:color w:val="000000"/>
          <w:sz w:val="24"/>
          <w:szCs w:val="24"/>
        </w:rPr>
        <w:t xml:space="preserve"> All rights reserved.</w:t>
      </w:r>
    </w:p>
    <w:bookmarkEnd w:id="18"/>
    <w:p w:rsidR="002E268A" w:rsidRPr="00B20780" w:rsidRDefault="002E268A" w:rsidP="00DE7591">
      <w:pPr>
        <w:snapToGrid w:val="0"/>
        <w:spacing w:after="0" w:line="360" w:lineRule="auto"/>
        <w:ind w:right="187"/>
        <w:jc w:val="both"/>
        <w:rPr>
          <w:rFonts w:ascii="Book Antiqua" w:hAnsi="Book Antiqua"/>
          <w:color w:val="000000"/>
          <w:sz w:val="24"/>
          <w:szCs w:val="24"/>
        </w:rPr>
      </w:pPr>
    </w:p>
    <w:p w:rsidR="00E42C33" w:rsidRPr="00B20780" w:rsidRDefault="002E268A" w:rsidP="00DE7591">
      <w:pPr>
        <w:spacing w:after="0" w:line="360" w:lineRule="auto"/>
        <w:jc w:val="both"/>
        <w:rPr>
          <w:rFonts w:ascii="Book Antiqua" w:hAnsi="Book Antiqua"/>
          <w:b/>
          <w:sz w:val="24"/>
          <w:szCs w:val="24"/>
        </w:rPr>
      </w:pPr>
      <w:r w:rsidRPr="00B20780">
        <w:rPr>
          <w:rFonts w:ascii="Book Antiqua" w:hAnsi="Book Antiqua"/>
          <w:b/>
          <w:color w:val="000000"/>
          <w:sz w:val="24"/>
          <w:szCs w:val="24"/>
        </w:rPr>
        <w:t xml:space="preserve">Core tip: </w:t>
      </w:r>
      <w:bookmarkStart w:id="19" w:name="OLE_LINK23"/>
      <w:r w:rsidR="00E42C33" w:rsidRPr="00B20780">
        <w:rPr>
          <w:rFonts w:ascii="Book Antiqua" w:hAnsi="Book Antiqua"/>
          <w:sz w:val="24"/>
          <w:szCs w:val="24"/>
        </w:rPr>
        <w:t xml:space="preserve">Because the rate of morbidity and mortality in patients with </w:t>
      </w:r>
      <w:proofErr w:type="spellStart"/>
      <w:r w:rsidR="00E42C33" w:rsidRPr="00B20780">
        <w:rPr>
          <w:rFonts w:ascii="Book Antiqua" w:hAnsi="Book Antiqua"/>
          <w:sz w:val="24"/>
          <w:szCs w:val="24"/>
        </w:rPr>
        <w:t>nonvariceal</w:t>
      </w:r>
      <w:proofErr w:type="spellEnd"/>
      <w:r w:rsidR="00E42C33" w:rsidRPr="00B20780">
        <w:rPr>
          <w:rFonts w:ascii="Book Antiqua" w:hAnsi="Book Antiqua"/>
          <w:sz w:val="24"/>
          <w:szCs w:val="24"/>
        </w:rPr>
        <w:t xml:space="preserve"> upper digestive bleeding</w:t>
      </w:r>
      <w:r w:rsidR="00916BD4" w:rsidRPr="00B20780">
        <w:rPr>
          <w:rFonts w:ascii="Book Antiqua" w:hAnsi="Book Antiqua"/>
          <w:sz w:val="24"/>
          <w:szCs w:val="24"/>
        </w:rPr>
        <w:t xml:space="preserve"> (NVUDB)</w:t>
      </w:r>
      <w:r w:rsidR="00E42C33" w:rsidRPr="00B20780">
        <w:rPr>
          <w:rFonts w:ascii="Book Antiqua" w:hAnsi="Book Antiqua"/>
          <w:sz w:val="24"/>
          <w:szCs w:val="24"/>
        </w:rPr>
        <w:t xml:space="preserve"> remains high, our retrospective study aims to identify clinical and </w:t>
      </w:r>
      <w:proofErr w:type="spellStart"/>
      <w:r w:rsidR="00E42C33" w:rsidRPr="00B20780">
        <w:rPr>
          <w:rFonts w:ascii="Book Antiqua" w:hAnsi="Book Antiqua"/>
          <w:sz w:val="24"/>
          <w:szCs w:val="24"/>
        </w:rPr>
        <w:t>paraclinical</w:t>
      </w:r>
      <w:proofErr w:type="spellEnd"/>
      <w:r w:rsidR="00E42C33" w:rsidRPr="00B20780">
        <w:rPr>
          <w:rFonts w:ascii="Book Antiqua" w:hAnsi="Book Antiqua"/>
          <w:sz w:val="24"/>
          <w:szCs w:val="24"/>
        </w:rPr>
        <w:t xml:space="preserve"> parameters associated with the risk of </w:t>
      </w:r>
      <w:proofErr w:type="spellStart"/>
      <w:r w:rsidR="00E42C33" w:rsidRPr="00B20780">
        <w:rPr>
          <w:rFonts w:ascii="Book Antiqua" w:hAnsi="Book Antiqua"/>
          <w:sz w:val="24"/>
          <w:szCs w:val="24"/>
        </w:rPr>
        <w:t>rebleeding</w:t>
      </w:r>
      <w:proofErr w:type="spellEnd"/>
      <w:r w:rsidR="00E42C33" w:rsidRPr="00B20780">
        <w:rPr>
          <w:rFonts w:ascii="Book Antiqua" w:hAnsi="Book Antiqua"/>
          <w:sz w:val="24"/>
          <w:szCs w:val="24"/>
        </w:rPr>
        <w:t xml:space="preserve"> and death in these patients</w:t>
      </w:r>
      <w:r w:rsidR="00E42C33" w:rsidRPr="00B20780">
        <w:rPr>
          <w:rFonts w:ascii="Book Antiqua" w:hAnsi="Book Antiqua"/>
          <w:sz w:val="24"/>
          <w:szCs w:val="24"/>
          <w:lang w:eastAsia="ro-RO"/>
        </w:rPr>
        <w:t xml:space="preserve">. </w:t>
      </w:r>
      <w:r w:rsidR="00DA697E" w:rsidRPr="00B20780">
        <w:rPr>
          <w:rFonts w:ascii="Book Antiqua" w:hAnsi="Book Antiqua"/>
          <w:sz w:val="24"/>
          <w:szCs w:val="24"/>
        </w:rPr>
        <w:t>Our data show</w:t>
      </w:r>
      <w:r w:rsidR="002B494E" w:rsidRPr="00B20780">
        <w:rPr>
          <w:rFonts w:ascii="Book Antiqua" w:hAnsi="Book Antiqua"/>
          <w:sz w:val="24"/>
          <w:szCs w:val="24"/>
        </w:rPr>
        <w:t>ed</w:t>
      </w:r>
      <w:r w:rsidR="00DA697E" w:rsidRPr="00B20780">
        <w:rPr>
          <w:rFonts w:ascii="Book Antiqua" w:hAnsi="Book Antiqua"/>
          <w:sz w:val="24"/>
          <w:szCs w:val="24"/>
        </w:rPr>
        <w:t xml:space="preserve"> that the</w:t>
      </w:r>
      <w:r w:rsidR="00831F09" w:rsidRPr="00B20780">
        <w:rPr>
          <w:rFonts w:ascii="Book Antiqua" w:hAnsi="Book Antiqua"/>
          <w:sz w:val="24"/>
          <w:szCs w:val="24"/>
        </w:rPr>
        <w:t xml:space="preserve"> </w:t>
      </w:r>
      <w:proofErr w:type="spellStart"/>
      <w:r w:rsidR="00831F09" w:rsidRPr="00B20780">
        <w:rPr>
          <w:rFonts w:ascii="Book Antiqua" w:hAnsi="Book Antiqua"/>
          <w:sz w:val="24"/>
          <w:szCs w:val="24"/>
        </w:rPr>
        <w:t>Rockall</w:t>
      </w:r>
      <w:proofErr w:type="spellEnd"/>
      <w:r w:rsidR="00831F09" w:rsidRPr="00B20780">
        <w:rPr>
          <w:rFonts w:ascii="Book Antiqua" w:hAnsi="Book Antiqua"/>
          <w:sz w:val="24"/>
          <w:szCs w:val="24"/>
        </w:rPr>
        <w:t xml:space="preserve"> score was </w:t>
      </w:r>
      <w:r w:rsidR="00E42C33" w:rsidRPr="00B20780">
        <w:rPr>
          <w:rFonts w:ascii="Book Antiqua" w:hAnsi="Book Antiqua"/>
          <w:sz w:val="24"/>
          <w:szCs w:val="24"/>
        </w:rPr>
        <w:t xml:space="preserve">associated with both </w:t>
      </w:r>
      <w:proofErr w:type="spellStart"/>
      <w:r w:rsidR="00E42C33" w:rsidRPr="00B20780">
        <w:rPr>
          <w:rFonts w:ascii="Book Antiqua" w:hAnsi="Book Antiqua"/>
          <w:sz w:val="24"/>
          <w:szCs w:val="24"/>
        </w:rPr>
        <w:t>rebleeding</w:t>
      </w:r>
      <w:proofErr w:type="spellEnd"/>
      <w:r w:rsidR="00E42C33" w:rsidRPr="00B20780">
        <w:rPr>
          <w:rFonts w:ascii="Book Antiqua" w:hAnsi="Book Antiqua"/>
          <w:sz w:val="24"/>
          <w:szCs w:val="24"/>
        </w:rPr>
        <w:t xml:space="preserve"> and death</w:t>
      </w:r>
      <w:r w:rsidR="00831F09" w:rsidRPr="00B20780">
        <w:rPr>
          <w:rFonts w:ascii="Book Antiqua" w:hAnsi="Book Antiqua"/>
          <w:sz w:val="24"/>
          <w:szCs w:val="24"/>
        </w:rPr>
        <w:t>. The presence of comorbidities was associated with an increased risk of in-hospital mortality</w:t>
      </w:r>
      <w:r w:rsidR="00192758" w:rsidRPr="00B20780">
        <w:rPr>
          <w:rFonts w:ascii="Book Antiqua" w:hAnsi="Book Antiqua"/>
          <w:sz w:val="24"/>
          <w:szCs w:val="24"/>
        </w:rPr>
        <w:t>;</w:t>
      </w:r>
      <w:r w:rsidR="00831F09" w:rsidRPr="00B20780">
        <w:rPr>
          <w:rFonts w:ascii="Book Antiqua" w:hAnsi="Book Antiqua"/>
          <w:sz w:val="24"/>
          <w:szCs w:val="24"/>
        </w:rPr>
        <w:t xml:space="preserve"> among them</w:t>
      </w:r>
      <w:r w:rsidR="002B494E" w:rsidRPr="00B20780">
        <w:rPr>
          <w:rFonts w:ascii="Book Antiqua" w:hAnsi="Book Antiqua"/>
          <w:sz w:val="24"/>
          <w:szCs w:val="24"/>
        </w:rPr>
        <w:t>,</w:t>
      </w:r>
      <w:r w:rsidR="00831F09" w:rsidRPr="00B20780">
        <w:rPr>
          <w:rFonts w:ascii="Book Antiqua" w:hAnsi="Book Antiqua"/>
          <w:sz w:val="24"/>
          <w:szCs w:val="24"/>
        </w:rPr>
        <w:t xml:space="preserve"> sepsis</w:t>
      </w:r>
      <w:r w:rsidR="00192758" w:rsidRPr="00B20780">
        <w:rPr>
          <w:rFonts w:ascii="Book Antiqua" w:hAnsi="Book Antiqua"/>
          <w:sz w:val="24"/>
          <w:szCs w:val="24"/>
        </w:rPr>
        <w:t xml:space="preserve"> was</w:t>
      </w:r>
      <w:r w:rsidR="00831F09" w:rsidRPr="00B20780">
        <w:rPr>
          <w:rFonts w:ascii="Book Antiqua" w:hAnsi="Book Antiqua"/>
          <w:sz w:val="24"/>
          <w:szCs w:val="24"/>
        </w:rPr>
        <w:t xml:space="preserve"> associated with the highest risk</w:t>
      </w:r>
      <w:r w:rsidR="00E42C33" w:rsidRPr="00B20780">
        <w:rPr>
          <w:rFonts w:ascii="Book Antiqua" w:hAnsi="Book Antiqua"/>
          <w:sz w:val="24"/>
          <w:szCs w:val="24"/>
          <w:lang w:eastAsia="ro-RO"/>
        </w:rPr>
        <w:t xml:space="preserve">. </w:t>
      </w:r>
      <w:r w:rsidR="00E42C33" w:rsidRPr="00B20780">
        <w:rPr>
          <w:rFonts w:ascii="Book Antiqua" w:hAnsi="Book Antiqua"/>
          <w:sz w:val="24"/>
          <w:szCs w:val="24"/>
        </w:rPr>
        <w:t xml:space="preserve">Identification of the risk factors for poor outcomes in patients with </w:t>
      </w:r>
      <w:r w:rsidR="00916BD4" w:rsidRPr="00B20780">
        <w:rPr>
          <w:rFonts w:ascii="Book Antiqua" w:hAnsi="Book Antiqua"/>
          <w:sz w:val="24"/>
          <w:szCs w:val="24"/>
        </w:rPr>
        <w:t>NVUDB</w:t>
      </w:r>
      <w:r w:rsidR="00E42C33" w:rsidRPr="00B20780">
        <w:rPr>
          <w:rFonts w:ascii="Book Antiqua" w:hAnsi="Book Antiqua"/>
          <w:sz w:val="24"/>
          <w:szCs w:val="24"/>
        </w:rPr>
        <w:t xml:space="preserve"> proved to be associated with an improvement in management and, subsequently, in patient outcomes. </w:t>
      </w:r>
    </w:p>
    <w:bookmarkEnd w:id="19"/>
    <w:p w:rsidR="00E42C33" w:rsidRPr="00B20780" w:rsidRDefault="00E42C33" w:rsidP="00DE7591">
      <w:pPr>
        <w:spacing w:after="0" w:line="360" w:lineRule="auto"/>
        <w:jc w:val="both"/>
        <w:rPr>
          <w:rFonts w:ascii="Book Antiqua" w:hAnsi="Book Antiqua"/>
          <w:sz w:val="24"/>
          <w:szCs w:val="24"/>
        </w:rPr>
      </w:pPr>
    </w:p>
    <w:p w:rsidR="00515E0C" w:rsidRDefault="00515E0C" w:rsidP="00760D2D">
      <w:pPr>
        <w:snapToGrid w:val="0"/>
        <w:spacing w:line="360" w:lineRule="auto"/>
        <w:ind w:right="187"/>
        <w:rPr>
          <w:rFonts w:ascii="Book Antiqua" w:hAnsi="Book Antiqua" w:hint="eastAsia"/>
          <w:bCs/>
          <w:sz w:val="24"/>
          <w:szCs w:val="24"/>
          <w:lang w:eastAsia="zh-CN"/>
        </w:rPr>
      </w:pPr>
      <w:bookmarkStart w:id="20" w:name="OLE_LINK24"/>
      <w:r w:rsidRPr="008F7830">
        <w:rPr>
          <w:rFonts w:ascii="Book Antiqua" w:hAnsi="Book Antiqua" w:cstheme="minorHAnsi"/>
          <w:b/>
          <w:sz w:val="24"/>
        </w:rPr>
        <w:lastRenderedPageBreak/>
        <w:t>Citation:</w:t>
      </w:r>
      <w:r>
        <w:rPr>
          <w:rFonts w:ascii="Book Antiqua" w:hAnsi="Book Antiqua" w:cstheme="minorHAnsi" w:hint="eastAsia"/>
          <w:b/>
          <w:sz w:val="24"/>
          <w:lang w:eastAsia="zh-CN"/>
        </w:rPr>
        <w:t xml:space="preserve"> </w:t>
      </w:r>
      <w:proofErr w:type="spellStart"/>
      <w:r w:rsidR="002E268A" w:rsidRPr="00B20780">
        <w:rPr>
          <w:rFonts w:ascii="Book Antiqua" w:hAnsi="Book Antiqua"/>
          <w:bCs/>
          <w:sz w:val="24"/>
          <w:szCs w:val="24"/>
        </w:rPr>
        <w:t>Lazăr</w:t>
      </w:r>
      <w:proofErr w:type="spellEnd"/>
      <w:r w:rsidR="002E268A" w:rsidRPr="00B20780">
        <w:rPr>
          <w:rFonts w:ascii="Book Antiqua" w:hAnsi="Book Antiqua"/>
          <w:bCs/>
          <w:sz w:val="24"/>
          <w:szCs w:val="24"/>
        </w:rPr>
        <w:t xml:space="preserve"> DC, </w:t>
      </w:r>
      <w:proofErr w:type="spellStart"/>
      <w:r w:rsidR="002E268A" w:rsidRPr="00B20780">
        <w:rPr>
          <w:rFonts w:ascii="Book Antiqua" w:hAnsi="Book Antiqua"/>
          <w:bCs/>
          <w:sz w:val="24"/>
          <w:szCs w:val="24"/>
        </w:rPr>
        <w:t>Ursoniu</w:t>
      </w:r>
      <w:proofErr w:type="spellEnd"/>
      <w:r w:rsidR="002E268A" w:rsidRPr="00B20780">
        <w:rPr>
          <w:rFonts w:ascii="Book Antiqua" w:hAnsi="Book Antiqua"/>
          <w:bCs/>
          <w:sz w:val="24"/>
          <w:szCs w:val="24"/>
        </w:rPr>
        <w:t xml:space="preserve"> S, </w:t>
      </w:r>
      <w:r w:rsidR="002E268A" w:rsidRPr="00B20780">
        <w:rPr>
          <w:rFonts w:ascii="Book Antiqua" w:hAnsi="Book Antiqua"/>
          <w:bCs/>
          <w:sz w:val="24"/>
          <w:szCs w:val="24"/>
          <w:lang w:val="ro-RO"/>
        </w:rPr>
        <w:t xml:space="preserve">Goldiş A. </w:t>
      </w:r>
      <w:r w:rsidR="002E268A" w:rsidRPr="00B20780">
        <w:rPr>
          <w:rFonts w:ascii="Book Antiqua" w:hAnsi="Book Antiqua"/>
          <w:bCs/>
          <w:sz w:val="24"/>
          <w:szCs w:val="24"/>
        </w:rPr>
        <w:t xml:space="preserve">Predictors of </w:t>
      </w:r>
      <w:proofErr w:type="spellStart"/>
      <w:r w:rsidR="002E268A" w:rsidRPr="00B20780">
        <w:rPr>
          <w:rFonts w:ascii="Book Antiqua" w:hAnsi="Book Antiqua"/>
          <w:bCs/>
          <w:sz w:val="24"/>
          <w:szCs w:val="24"/>
        </w:rPr>
        <w:t>rebleeding</w:t>
      </w:r>
      <w:proofErr w:type="spellEnd"/>
      <w:r w:rsidR="002E268A" w:rsidRPr="00B20780">
        <w:rPr>
          <w:rFonts w:ascii="Book Antiqua" w:hAnsi="Book Antiqua"/>
          <w:bCs/>
          <w:sz w:val="24"/>
          <w:szCs w:val="24"/>
        </w:rPr>
        <w:t xml:space="preserve"> and in-hospital mortality in patients with </w:t>
      </w:r>
      <w:proofErr w:type="spellStart"/>
      <w:r w:rsidR="002E268A" w:rsidRPr="00B20780">
        <w:rPr>
          <w:rFonts w:ascii="Book Antiqua" w:hAnsi="Book Antiqua"/>
          <w:bCs/>
          <w:sz w:val="24"/>
          <w:szCs w:val="24"/>
        </w:rPr>
        <w:t>nonvariceal</w:t>
      </w:r>
      <w:proofErr w:type="spellEnd"/>
      <w:r w:rsidR="002E268A" w:rsidRPr="00B20780">
        <w:rPr>
          <w:rFonts w:ascii="Book Antiqua" w:hAnsi="Book Antiqua"/>
          <w:bCs/>
          <w:sz w:val="24"/>
          <w:szCs w:val="24"/>
        </w:rPr>
        <w:t xml:space="preserve"> upper digestive bleeding. </w:t>
      </w:r>
      <w:r w:rsidR="002E268A" w:rsidRPr="00B20780">
        <w:rPr>
          <w:rFonts w:ascii="Book Antiqua" w:hAnsi="Book Antiqua"/>
          <w:bCs/>
          <w:i/>
          <w:color w:val="000000"/>
          <w:sz w:val="24"/>
          <w:szCs w:val="24"/>
        </w:rPr>
        <w:t xml:space="preserve">World J </w:t>
      </w:r>
      <w:proofErr w:type="spellStart"/>
      <w:r w:rsidR="002E268A" w:rsidRPr="00B20780">
        <w:rPr>
          <w:rFonts w:ascii="Book Antiqua" w:hAnsi="Book Antiqua"/>
          <w:bCs/>
          <w:i/>
          <w:color w:val="000000"/>
          <w:sz w:val="24"/>
          <w:szCs w:val="24"/>
        </w:rPr>
        <w:t>Clin</w:t>
      </w:r>
      <w:proofErr w:type="spellEnd"/>
      <w:r w:rsidR="002E268A" w:rsidRPr="00B20780">
        <w:rPr>
          <w:rFonts w:ascii="Book Antiqua" w:hAnsi="Book Antiqua"/>
          <w:bCs/>
          <w:i/>
          <w:color w:val="000000"/>
          <w:sz w:val="24"/>
          <w:szCs w:val="24"/>
        </w:rPr>
        <w:t xml:space="preserve"> Cases </w:t>
      </w:r>
      <w:r w:rsidR="00760D2D" w:rsidRPr="002F71A6">
        <w:rPr>
          <w:rFonts w:ascii="Book Antiqua" w:hAnsi="Book Antiqua"/>
          <w:bCs/>
          <w:sz w:val="24"/>
          <w:szCs w:val="24"/>
        </w:rPr>
        <w:t>2019; 7(1</w:t>
      </w:r>
      <w:r w:rsidR="00760D2D">
        <w:rPr>
          <w:rFonts w:ascii="Book Antiqua" w:hAnsi="Book Antiqua" w:hint="eastAsia"/>
          <w:bCs/>
          <w:sz w:val="24"/>
          <w:szCs w:val="24"/>
        </w:rPr>
        <w:t>8</w:t>
      </w:r>
      <w:r w:rsidR="00760D2D" w:rsidRPr="002F71A6">
        <w:rPr>
          <w:rFonts w:ascii="Book Antiqua" w:hAnsi="Book Antiqua"/>
          <w:bCs/>
          <w:sz w:val="24"/>
          <w:szCs w:val="24"/>
        </w:rPr>
        <w:t xml:space="preserve">): </w:t>
      </w:r>
      <w:r w:rsidR="00760D2D" w:rsidRPr="00760D2D">
        <w:rPr>
          <w:rFonts w:ascii="Book Antiqua" w:hAnsi="Book Antiqua"/>
          <w:bCs/>
          <w:sz w:val="24"/>
          <w:szCs w:val="24"/>
        </w:rPr>
        <w:t>2687-2703</w:t>
      </w:r>
      <w:r w:rsidR="00760D2D" w:rsidRPr="002F71A6">
        <w:rPr>
          <w:rFonts w:ascii="Book Antiqua" w:hAnsi="Book Antiqua"/>
          <w:bCs/>
          <w:sz w:val="24"/>
          <w:szCs w:val="24"/>
        </w:rPr>
        <w:t xml:space="preserve">  </w:t>
      </w:r>
    </w:p>
    <w:p w:rsidR="00515E0C" w:rsidRDefault="00760D2D" w:rsidP="00760D2D">
      <w:pPr>
        <w:snapToGrid w:val="0"/>
        <w:spacing w:line="360" w:lineRule="auto"/>
        <w:ind w:right="187"/>
        <w:rPr>
          <w:rFonts w:ascii="Book Antiqua" w:hAnsi="Book Antiqua" w:hint="eastAsia"/>
          <w:bCs/>
          <w:sz w:val="24"/>
          <w:szCs w:val="24"/>
          <w:lang w:eastAsia="zh-CN"/>
        </w:rPr>
      </w:pPr>
      <w:r w:rsidRPr="00515E0C">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8</w:t>
      </w:r>
      <w:r w:rsidRPr="002F71A6">
        <w:rPr>
          <w:rFonts w:ascii="Book Antiqua" w:hAnsi="Book Antiqua"/>
          <w:bCs/>
          <w:sz w:val="24"/>
          <w:szCs w:val="24"/>
        </w:rPr>
        <w:t>/</w:t>
      </w:r>
      <w:r w:rsidRPr="00760D2D">
        <w:rPr>
          <w:rFonts w:ascii="Book Antiqua" w:hAnsi="Book Antiqua"/>
          <w:bCs/>
          <w:sz w:val="24"/>
          <w:szCs w:val="24"/>
        </w:rPr>
        <w:t>2687</w:t>
      </w:r>
      <w:r w:rsidRPr="002F71A6">
        <w:rPr>
          <w:rFonts w:ascii="Book Antiqua" w:hAnsi="Book Antiqua"/>
          <w:bCs/>
          <w:sz w:val="24"/>
          <w:szCs w:val="24"/>
        </w:rPr>
        <w:t xml:space="preserve">.htm  </w:t>
      </w:r>
    </w:p>
    <w:p w:rsidR="00760D2D" w:rsidRDefault="00760D2D" w:rsidP="00760D2D">
      <w:pPr>
        <w:snapToGrid w:val="0"/>
        <w:spacing w:line="360" w:lineRule="auto"/>
        <w:ind w:right="187"/>
        <w:rPr>
          <w:rFonts w:ascii="Book Antiqua" w:hAnsi="Book Antiqua" w:hint="eastAsia"/>
          <w:bCs/>
          <w:color w:val="000000"/>
          <w:sz w:val="24"/>
          <w:szCs w:val="24"/>
        </w:rPr>
      </w:pPr>
      <w:r w:rsidRPr="00515E0C">
        <w:rPr>
          <w:rFonts w:ascii="Book Antiqua" w:hAnsi="Book Antiqua"/>
          <w:b/>
          <w:bCs/>
          <w:sz w:val="24"/>
          <w:szCs w:val="24"/>
        </w:rPr>
        <w:t xml:space="preserve">DOI: </w:t>
      </w:r>
      <w:r w:rsidR="008773DE">
        <w:rPr>
          <w:rFonts w:ascii="Book Antiqua" w:hAnsi="Book Antiqua" w:hint="eastAsia"/>
          <w:b/>
          <w:bCs/>
          <w:sz w:val="24"/>
          <w:szCs w:val="24"/>
          <w:lang w:eastAsia="zh-CN"/>
        </w:rPr>
        <w:t xml:space="preserve"> </w:t>
      </w:r>
      <w:r w:rsidRPr="002F71A6">
        <w:rPr>
          <w:rFonts w:ascii="Book Antiqua" w:hAnsi="Book Antiqua"/>
          <w:bCs/>
          <w:sz w:val="24"/>
          <w:szCs w:val="24"/>
        </w:rPr>
        <w:t>https://dx.doi.org/10.1299</w:t>
      </w:r>
      <w:bookmarkStart w:id="21" w:name="_GoBack"/>
      <w:bookmarkEnd w:id="21"/>
      <w:r w:rsidRPr="002F71A6">
        <w:rPr>
          <w:rFonts w:ascii="Book Antiqua" w:hAnsi="Book Antiqua"/>
          <w:bCs/>
          <w:sz w:val="24"/>
          <w:szCs w:val="24"/>
        </w:rPr>
        <w:t>8/wjcc.v7.i1</w:t>
      </w:r>
      <w:r>
        <w:rPr>
          <w:rFonts w:ascii="Book Antiqua" w:hAnsi="Book Antiqua" w:hint="eastAsia"/>
          <w:bCs/>
          <w:sz w:val="24"/>
          <w:szCs w:val="24"/>
        </w:rPr>
        <w:t>8</w:t>
      </w:r>
      <w:r w:rsidRPr="002F71A6">
        <w:rPr>
          <w:rFonts w:ascii="Book Antiqua" w:hAnsi="Book Antiqua"/>
          <w:bCs/>
          <w:sz w:val="24"/>
          <w:szCs w:val="24"/>
        </w:rPr>
        <w:t>.</w:t>
      </w:r>
      <w:r w:rsidRPr="00760D2D">
        <w:rPr>
          <w:rFonts w:ascii="Book Antiqua" w:hAnsi="Book Antiqua"/>
          <w:bCs/>
          <w:sz w:val="24"/>
          <w:szCs w:val="24"/>
        </w:rPr>
        <w:t>2687</w:t>
      </w:r>
    </w:p>
    <w:p w:rsidR="002E268A" w:rsidRPr="00B20780" w:rsidRDefault="002E268A" w:rsidP="00DE7591">
      <w:pPr>
        <w:snapToGrid w:val="0"/>
        <w:spacing w:after="0" w:line="360" w:lineRule="auto"/>
        <w:ind w:right="187"/>
        <w:jc w:val="both"/>
        <w:rPr>
          <w:rFonts w:ascii="Book Antiqua" w:hAnsi="Book Antiqua"/>
          <w:bCs/>
          <w:color w:val="000000"/>
          <w:sz w:val="24"/>
          <w:szCs w:val="24"/>
        </w:rPr>
      </w:pPr>
    </w:p>
    <w:bookmarkEnd w:id="20"/>
    <w:p w:rsidR="00E42C33" w:rsidRPr="00B20780" w:rsidRDefault="00187450" w:rsidP="00DE7591">
      <w:pPr>
        <w:spacing w:after="0" w:line="360" w:lineRule="auto"/>
        <w:jc w:val="both"/>
        <w:rPr>
          <w:rFonts w:ascii="Book Antiqua" w:hAnsi="Book Antiqua"/>
          <w:b/>
          <w:sz w:val="24"/>
          <w:szCs w:val="24"/>
        </w:rPr>
      </w:pPr>
      <w:r w:rsidRPr="00B20780">
        <w:rPr>
          <w:rFonts w:ascii="Book Antiqua" w:hAnsi="Book Antiqua"/>
          <w:b/>
          <w:sz w:val="24"/>
          <w:szCs w:val="24"/>
        </w:rPr>
        <w:br w:type="page"/>
      </w:r>
      <w:r w:rsidRPr="00B20780">
        <w:rPr>
          <w:rFonts w:ascii="Book Antiqua" w:hAnsi="Book Antiqua"/>
          <w:b/>
          <w:sz w:val="24"/>
          <w:szCs w:val="24"/>
        </w:rPr>
        <w:lastRenderedPageBreak/>
        <w:t>INTRODUCTION</w:t>
      </w:r>
    </w:p>
    <w:p w:rsidR="00E42C33" w:rsidRPr="00B20780" w:rsidRDefault="00E42C33" w:rsidP="00DE7591">
      <w:pPr>
        <w:spacing w:after="0" w:line="360" w:lineRule="auto"/>
        <w:jc w:val="both"/>
        <w:rPr>
          <w:rFonts w:ascii="Book Antiqua" w:hAnsi="Book Antiqua"/>
          <w:sz w:val="24"/>
          <w:szCs w:val="24"/>
        </w:rPr>
      </w:pPr>
      <w:proofErr w:type="spellStart"/>
      <w:r w:rsidRPr="00B20780">
        <w:rPr>
          <w:rFonts w:ascii="Book Antiqua" w:hAnsi="Book Antiqua"/>
          <w:sz w:val="24"/>
          <w:szCs w:val="24"/>
        </w:rPr>
        <w:t>Nonvariceal</w:t>
      </w:r>
      <w:proofErr w:type="spellEnd"/>
      <w:r w:rsidRPr="00B20780">
        <w:rPr>
          <w:rFonts w:ascii="Book Antiqua" w:hAnsi="Book Antiqua"/>
          <w:b/>
          <w:sz w:val="24"/>
          <w:szCs w:val="24"/>
        </w:rPr>
        <w:t xml:space="preserve"> </w:t>
      </w:r>
      <w:r w:rsidRPr="00B20780">
        <w:rPr>
          <w:rFonts w:ascii="Book Antiqua" w:hAnsi="Book Antiqua"/>
          <w:sz w:val="24"/>
          <w:szCs w:val="24"/>
        </w:rPr>
        <w:t>upper digestive bleeding (NVUDB) represents a severe condition commonly encountered in patients who are admitted in emergency units and is associated with significant morbidity and mortality. Desp</w:t>
      </w:r>
      <w:r w:rsidR="00135686" w:rsidRPr="00B20780">
        <w:rPr>
          <w:rFonts w:ascii="Book Antiqua" w:hAnsi="Book Antiqua"/>
          <w:sz w:val="24"/>
          <w:szCs w:val="24"/>
        </w:rPr>
        <w:t xml:space="preserve">ite a decrease in the incidence </w:t>
      </w:r>
      <w:r w:rsidRPr="00B20780">
        <w:rPr>
          <w:rFonts w:ascii="Book Antiqua" w:hAnsi="Book Antiqua"/>
          <w:sz w:val="24"/>
          <w:szCs w:val="24"/>
        </w:rPr>
        <w:t xml:space="preserve">due to the widespread use of potent </w:t>
      </w:r>
      <w:proofErr w:type="spellStart"/>
      <w:r w:rsidRPr="00B20780">
        <w:rPr>
          <w:rFonts w:ascii="Book Antiqua" w:hAnsi="Book Antiqua"/>
          <w:sz w:val="24"/>
          <w:szCs w:val="24"/>
        </w:rPr>
        <w:t>antisecretory</w:t>
      </w:r>
      <w:proofErr w:type="spellEnd"/>
      <w:r w:rsidRPr="00B20780">
        <w:rPr>
          <w:rFonts w:ascii="Book Antiqua" w:hAnsi="Book Antiqua"/>
          <w:sz w:val="24"/>
          <w:szCs w:val="24"/>
        </w:rPr>
        <w:t xml:space="preserve"> therapy with proton pump inhibitors</w:t>
      </w:r>
      <w:r w:rsidR="00916BD4" w:rsidRPr="00B20780">
        <w:rPr>
          <w:rFonts w:ascii="Book Antiqua" w:hAnsi="Book Antiqua"/>
          <w:sz w:val="24"/>
          <w:szCs w:val="24"/>
        </w:rPr>
        <w:t xml:space="preserve"> (PPIs)</w:t>
      </w:r>
      <w:r w:rsidR="00135686" w:rsidRPr="00B20780">
        <w:rPr>
          <w:rFonts w:ascii="Book Antiqua" w:hAnsi="Book Antiqua"/>
          <w:sz w:val="24"/>
          <w:szCs w:val="24"/>
        </w:rPr>
        <w:t xml:space="preserve"> </w:t>
      </w:r>
      <w:r w:rsidRPr="00B20780">
        <w:rPr>
          <w:rFonts w:ascii="Book Antiqua" w:hAnsi="Book Antiqua"/>
          <w:sz w:val="24"/>
          <w:szCs w:val="24"/>
        </w:rPr>
        <w:t>as well as the implementation of modern endoscopic hemostatic techniques, the mortality rate associated with NVUDB is still high (approximately 5</w:t>
      </w:r>
      <w:r w:rsidR="009A10A8" w:rsidRPr="00B20780">
        <w:rPr>
          <w:rFonts w:ascii="Book Antiqua" w:hAnsi="Book Antiqua"/>
          <w:sz w:val="24"/>
          <w:szCs w:val="24"/>
        </w:rPr>
        <w:t>%-</w:t>
      </w:r>
      <w:r w:rsidRPr="00B20780">
        <w:rPr>
          <w:rFonts w:ascii="Book Antiqua" w:hAnsi="Book Antiqua"/>
          <w:sz w:val="24"/>
          <w:szCs w:val="24"/>
        </w:rPr>
        <w:t>10%, as revealed by literature data)</w:t>
      </w:r>
      <w:r w:rsidRPr="00B20780">
        <w:rPr>
          <w:rFonts w:ascii="Book Antiqua" w:hAnsi="Book Antiqua"/>
          <w:sz w:val="24"/>
          <w:szCs w:val="24"/>
          <w:vertAlign w:val="superscript"/>
        </w:rPr>
        <w:t>[1-3]</w:t>
      </w:r>
      <w:r w:rsidRPr="00B20780">
        <w:rPr>
          <w:rFonts w:ascii="Book Antiqua" w:hAnsi="Book Antiqua"/>
          <w:sz w:val="24"/>
          <w:szCs w:val="24"/>
        </w:rPr>
        <w:t xml:space="preserve">. Current studies reveal an incidence of NVUDB ranging from 20 to 60 per 100 000 inhabitants of North America and </w:t>
      </w:r>
      <w:proofErr w:type="gramStart"/>
      <w:r w:rsidRPr="00B20780">
        <w:rPr>
          <w:rFonts w:ascii="Book Antiqua" w:hAnsi="Book Antiqua"/>
          <w:sz w:val="24"/>
          <w:szCs w:val="24"/>
        </w:rPr>
        <w:t>Europe</w:t>
      </w:r>
      <w:r w:rsidRPr="00B20780">
        <w:rPr>
          <w:rFonts w:ascii="Book Antiqua" w:hAnsi="Book Antiqua"/>
          <w:sz w:val="24"/>
          <w:szCs w:val="24"/>
          <w:vertAlign w:val="superscript"/>
        </w:rPr>
        <w:t>[</w:t>
      </w:r>
      <w:proofErr w:type="gramEnd"/>
      <w:r w:rsidRPr="00B20780">
        <w:rPr>
          <w:rFonts w:ascii="Book Antiqua" w:hAnsi="Book Antiqua"/>
          <w:sz w:val="24"/>
          <w:szCs w:val="24"/>
          <w:vertAlign w:val="superscript"/>
        </w:rPr>
        <w:t>4</w:t>
      </w:r>
      <w:r w:rsidR="00DE7591" w:rsidRPr="00B20780">
        <w:rPr>
          <w:rFonts w:ascii="Book Antiqua" w:hAnsi="Book Antiqua"/>
          <w:sz w:val="24"/>
          <w:szCs w:val="24"/>
          <w:vertAlign w:val="superscript"/>
        </w:rPr>
        <w:t>,</w:t>
      </w:r>
      <w:r w:rsidRPr="00B20780">
        <w:rPr>
          <w:rFonts w:ascii="Book Antiqua" w:hAnsi="Book Antiqua"/>
          <w:sz w:val="24"/>
          <w:szCs w:val="24"/>
          <w:vertAlign w:val="superscript"/>
        </w:rPr>
        <w:t>5]</w:t>
      </w:r>
      <w:r w:rsidRPr="00B20780">
        <w:rPr>
          <w:rFonts w:ascii="Book Antiqua" w:hAnsi="Book Antiqua"/>
          <w:sz w:val="24"/>
          <w:szCs w:val="24"/>
        </w:rPr>
        <w:t>, with an increasing proportion of cases in elderly patients presenting with multiple and severe comorbid diseases.</w:t>
      </w:r>
    </w:p>
    <w:p w:rsidR="00187450" w:rsidRPr="00B20780" w:rsidRDefault="00187450" w:rsidP="00DE7591">
      <w:pPr>
        <w:spacing w:after="0" w:line="360" w:lineRule="auto"/>
        <w:jc w:val="both"/>
        <w:rPr>
          <w:rFonts w:ascii="Book Antiqua" w:hAnsi="Book Antiqua"/>
          <w:sz w:val="24"/>
          <w:szCs w:val="24"/>
        </w:rPr>
      </w:pPr>
    </w:p>
    <w:p w:rsidR="00E42C33" w:rsidRPr="00B20780" w:rsidRDefault="00E42C33" w:rsidP="00DE7591">
      <w:pPr>
        <w:spacing w:after="0" w:line="360" w:lineRule="auto"/>
        <w:jc w:val="both"/>
        <w:rPr>
          <w:rFonts w:ascii="Book Antiqua" w:hAnsi="Book Antiqua"/>
          <w:b/>
          <w:i/>
          <w:iCs/>
          <w:sz w:val="24"/>
          <w:szCs w:val="24"/>
        </w:rPr>
      </w:pPr>
      <w:r w:rsidRPr="00B20780">
        <w:rPr>
          <w:rFonts w:ascii="Book Antiqua" w:hAnsi="Book Antiqua"/>
          <w:b/>
          <w:i/>
          <w:iCs/>
          <w:sz w:val="24"/>
          <w:szCs w:val="24"/>
        </w:rPr>
        <w:t>Aim of the study</w:t>
      </w:r>
    </w:p>
    <w:p w:rsidR="00E42C33" w:rsidRPr="00B20780" w:rsidRDefault="00E42C33" w:rsidP="00DE7591">
      <w:pPr>
        <w:spacing w:after="0" w:line="360" w:lineRule="auto"/>
        <w:jc w:val="both"/>
        <w:rPr>
          <w:rFonts w:ascii="Book Antiqua" w:hAnsi="Book Antiqua"/>
          <w:sz w:val="24"/>
          <w:szCs w:val="24"/>
        </w:rPr>
      </w:pPr>
      <w:r w:rsidRPr="00B20780">
        <w:rPr>
          <w:rFonts w:ascii="Book Antiqua" w:hAnsi="Book Antiqua"/>
          <w:sz w:val="24"/>
          <w:szCs w:val="24"/>
        </w:rPr>
        <w:t xml:space="preserve">As a result of these worrisome data, the main objective of our study is to detect the clinical, biological, and endoscopic parameters associated with poor outcomes in patients with NVUDB to allow the stratification of risk. Hence, we focus on identifying the variables associated with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and in-hospital mortality. Subsequently, the assessment of poor outcome predictors will lead to the implementation of the most accurate management. The algorithm will help to identify the high-risk patients who may need intensive care and prolonged hospitalization, implying the use of more medical resources, and the low-risk patients who may be safely discharged earlier; in addition to achieving better clinical results, this attitude is associated with cost savings.</w:t>
      </w:r>
    </w:p>
    <w:p w:rsidR="00187450" w:rsidRPr="00B20780" w:rsidRDefault="00187450" w:rsidP="00DE7591">
      <w:pPr>
        <w:spacing w:after="0" w:line="360" w:lineRule="auto"/>
        <w:jc w:val="both"/>
        <w:rPr>
          <w:rFonts w:ascii="Book Antiqua" w:hAnsi="Book Antiqua"/>
          <w:sz w:val="24"/>
          <w:szCs w:val="24"/>
        </w:rPr>
      </w:pPr>
    </w:p>
    <w:p w:rsidR="002E268A" w:rsidRPr="00B20780" w:rsidRDefault="002E268A" w:rsidP="00DE7591">
      <w:pPr>
        <w:snapToGrid w:val="0"/>
        <w:spacing w:after="0" w:line="360" w:lineRule="auto"/>
        <w:jc w:val="both"/>
        <w:rPr>
          <w:rFonts w:ascii="Book Antiqua" w:hAnsi="Book Antiqua"/>
          <w:color w:val="000000"/>
          <w:sz w:val="24"/>
          <w:szCs w:val="24"/>
        </w:rPr>
      </w:pPr>
      <w:r w:rsidRPr="00B20780">
        <w:rPr>
          <w:rFonts w:ascii="Book Antiqua" w:hAnsi="Book Antiqua"/>
          <w:b/>
          <w:color w:val="000000"/>
          <w:sz w:val="24"/>
          <w:szCs w:val="24"/>
        </w:rPr>
        <w:t>MATERIALS AND METHODS</w:t>
      </w:r>
    </w:p>
    <w:p w:rsidR="00E42C33" w:rsidRPr="00B20780" w:rsidRDefault="00E42C33" w:rsidP="00DE7591">
      <w:pPr>
        <w:spacing w:after="0" w:line="360" w:lineRule="auto"/>
        <w:jc w:val="both"/>
        <w:rPr>
          <w:rFonts w:ascii="Book Antiqua" w:hAnsi="Book Antiqua"/>
          <w:b/>
          <w:i/>
          <w:iCs/>
          <w:sz w:val="24"/>
          <w:szCs w:val="24"/>
        </w:rPr>
      </w:pPr>
      <w:r w:rsidRPr="00B20780">
        <w:rPr>
          <w:rFonts w:ascii="Book Antiqua" w:hAnsi="Book Antiqua"/>
          <w:b/>
          <w:i/>
          <w:iCs/>
          <w:sz w:val="24"/>
          <w:szCs w:val="24"/>
        </w:rPr>
        <w:t>Inclusion of the patients</w:t>
      </w:r>
    </w:p>
    <w:p w:rsidR="00E42C33" w:rsidRPr="00B20780" w:rsidRDefault="00E42C33" w:rsidP="00DE7591">
      <w:pPr>
        <w:spacing w:after="0" w:line="360" w:lineRule="auto"/>
        <w:jc w:val="both"/>
        <w:rPr>
          <w:rFonts w:ascii="Book Antiqua" w:hAnsi="Book Antiqua"/>
          <w:sz w:val="24"/>
          <w:szCs w:val="24"/>
          <w:lang w:eastAsia="ro-RO"/>
        </w:rPr>
      </w:pPr>
      <w:r w:rsidRPr="00B20780">
        <w:rPr>
          <w:rFonts w:ascii="Book Antiqua" w:hAnsi="Book Antiqua"/>
          <w:sz w:val="24"/>
          <w:szCs w:val="24"/>
        </w:rPr>
        <w:t>We performed a retrospective study that included</w:t>
      </w:r>
      <w:r w:rsidRPr="00B20780">
        <w:rPr>
          <w:rFonts w:ascii="Book Antiqua" w:hAnsi="Book Antiqua"/>
          <w:sz w:val="24"/>
          <w:szCs w:val="24"/>
          <w:lang w:eastAsia="ro-RO"/>
        </w:rPr>
        <w:t xml:space="preserve"> the patients who were admitted to the Gastroenterology Department of Clinical Emergency County Hospital Timisoara, Romania, with a diagnosis of NVUDB between 1 January 2008 and 31</w:t>
      </w:r>
      <w:r w:rsidRPr="00B20780">
        <w:rPr>
          <w:rFonts w:ascii="Book Antiqua" w:hAnsi="Book Antiqua"/>
          <w:sz w:val="24"/>
          <w:szCs w:val="24"/>
          <w:vertAlign w:val="superscript"/>
          <w:lang w:eastAsia="ro-RO"/>
        </w:rPr>
        <w:t xml:space="preserve"> </w:t>
      </w:r>
      <w:r w:rsidRPr="00B20780">
        <w:rPr>
          <w:rFonts w:ascii="Book Antiqua" w:hAnsi="Book Antiqua"/>
          <w:sz w:val="24"/>
          <w:szCs w:val="24"/>
          <w:lang w:eastAsia="ro-RO"/>
        </w:rPr>
        <w:t xml:space="preserve">December 2016. Patient data were obtained by reviewing medical records and collecting information regarding demographic data, medication history (aspirin, non-steroidal </w:t>
      </w:r>
      <w:r w:rsidRPr="00B20780">
        <w:rPr>
          <w:rFonts w:ascii="Book Antiqua" w:hAnsi="Book Antiqua"/>
          <w:sz w:val="24"/>
          <w:szCs w:val="24"/>
          <w:lang w:eastAsia="ro-RO"/>
        </w:rPr>
        <w:lastRenderedPageBreak/>
        <w:t xml:space="preserve">anti-inflammatory drugs (NSAIDs), and </w:t>
      </w:r>
      <w:proofErr w:type="spellStart"/>
      <w:r w:rsidRPr="00B20780">
        <w:rPr>
          <w:rFonts w:ascii="Book Antiqua" w:hAnsi="Book Antiqua"/>
          <w:sz w:val="24"/>
          <w:szCs w:val="24"/>
          <w:lang w:eastAsia="ro-RO"/>
        </w:rPr>
        <w:t>antiag</w:t>
      </w:r>
      <w:r w:rsidR="00135686" w:rsidRPr="00B20780">
        <w:rPr>
          <w:rFonts w:ascii="Book Antiqua" w:hAnsi="Book Antiqua"/>
          <w:sz w:val="24"/>
          <w:szCs w:val="24"/>
          <w:lang w:eastAsia="ro-RO"/>
        </w:rPr>
        <w:t>g</w:t>
      </w:r>
      <w:r w:rsidRPr="00B20780">
        <w:rPr>
          <w:rFonts w:ascii="Book Antiqua" w:hAnsi="Book Antiqua"/>
          <w:sz w:val="24"/>
          <w:szCs w:val="24"/>
          <w:lang w:eastAsia="ro-RO"/>
        </w:rPr>
        <w:t>regant</w:t>
      </w:r>
      <w:proofErr w:type="spellEnd"/>
      <w:r w:rsidRPr="00B20780">
        <w:rPr>
          <w:rFonts w:ascii="Book Antiqua" w:hAnsi="Book Antiqua"/>
          <w:sz w:val="24"/>
          <w:szCs w:val="24"/>
          <w:lang w:eastAsia="ro-RO"/>
        </w:rPr>
        <w:t xml:space="preserve">/anticoagulant consumption), hemodynamic status at admission, laboratory tests, and endoscopic features (including the description of the type of the lesion and the method of endoscopic hemostasis performed along with their efficiency), which were translated into the rate of </w:t>
      </w:r>
      <w:proofErr w:type="spellStart"/>
      <w:r w:rsidRPr="00B20780">
        <w:rPr>
          <w:rFonts w:ascii="Book Antiqua" w:hAnsi="Book Antiqua"/>
          <w:sz w:val="24"/>
          <w:szCs w:val="24"/>
          <w:lang w:eastAsia="ro-RO"/>
        </w:rPr>
        <w:t>re</w:t>
      </w:r>
      <w:r w:rsidR="00C555D5" w:rsidRPr="00B20780">
        <w:rPr>
          <w:rFonts w:ascii="Book Antiqua" w:hAnsi="Book Antiqua"/>
          <w:sz w:val="24"/>
          <w:szCs w:val="24"/>
          <w:lang w:eastAsia="ro-RO"/>
        </w:rPr>
        <w:t>b</w:t>
      </w:r>
      <w:r w:rsidRPr="00B20780">
        <w:rPr>
          <w:rFonts w:ascii="Book Antiqua" w:hAnsi="Book Antiqua"/>
          <w:sz w:val="24"/>
          <w:szCs w:val="24"/>
          <w:lang w:eastAsia="ro-RO"/>
        </w:rPr>
        <w:t>leeding</w:t>
      </w:r>
      <w:proofErr w:type="spellEnd"/>
      <w:r w:rsidRPr="00B20780">
        <w:rPr>
          <w:rFonts w:ascii="Book Antiqua" w:hAnsi="Book Antiqua"/>
          <w:sz w:val="24"/>
          <w:szCs w:val="24"/>
          <w:lang w:eastAsia="ro-RO"/>
        </w:rPr>
        <w:t xml:space="preserve">, need for surgical intervention or death. Moreover, we assessed the </w:t>
      </w:r>
      <w:proofErr w:type="spellStart"/>
      <w:r w:rsidRPr="00B20780">
        <w:rPr>
          <w:rFonts w:ascii="Book Antiqua" w:hAnsi="Book Antiqua"/>
          <w:sz w:val="24"/>
          <w:szCs w:val="24"/>
          <w:lang w:eastAsia="ro-RO"/>
        </w:rPr>
        <w:t>Rockall</w:t>
      </w:r>
      <w:proofErr w:type="spellEnd"/>
      <w:r w:rsidRPr="00B20780">
        <w:rPr>
          <w:rFonts w:ascii="Book Antiqua" w:hAnsi="Book Antiqua"/>
          <w:sz w:val="24"/>
          <w:szCs w:val="24"/>
          <w:lang w:eastAsia="ro-RO"/>
        </w:rPr>
        <w:t xml:space="preserve"> score of the patients, length of hospitalization and associated comorbidities. All the parameters collected were assessed as potential risk factors associated with the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and death of patients with NVUDB.</w:t>
      </w:r>
    </w:p>
    <w:p w:rsidR="00187450"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 xml:space="preserve">All the patients presenting with NVUDB received </w:t>
      </w:r>
      <w:proofErr w:type="spellStart"/>
      <w:r w:rsidRPr="00B20780">
        <w:rPr>
          <w:rFonts w:ascii="Book Antiqua" w:hAnsi="Book Antiqua"/>
          <w:sz w:val="24"/>
          <w:szCs w:val="24"/>
          <w:lang w:eastAsia="ro-RO"/>
        </w:rPr>
        <w:t>antisecretory</w:t>
      </w:r>
      <w:proofErr w:type="spellEnd"/>
      <w:r w:rsidRPr="00B20780">
        <w:rPr>
          <w:rFonts w:ascii="Book Antiqua" w:hAnsi="Book Antiqua"/>
          <w:sz w:val="24"/>
          <w:szCs w:val="24"/>
          <w:lang w:eastAsia="ro-RO"/>
        </w:rPr>
        <w:t xml:space="preserve"> treatment with</w:t>
      </w:r>
      <w:r w:rsidR="00135686" w:rsidRPr="00B20780">
        <w:rPr>
          <w:rFonts w:ascii="Book Antiqua" w:hAnsi="Book Antiqua"/>
          <w:sz w:val="24"/>
          <w:szCs w:val="24"/>
          <w:lang w:eastAsia="ro-RO"/>
        </w:rPr>
        <w:t xml:space="preserve"> </w:t>
      </w:r>
      <w:r w:rsidRPr="00B20780">
        <w:rPr>
          <w:rFonts w:ascii="Book Antiqua" w:hAnsi="Book Antiqua"/>
          <w:sz w:val="24"/>
          <w:szCs w:val="24"/>
          <w:lang w:eastAsia="ro-RO"/>
        </w:rPr>
        <w:t>PPIs started at the time of admission</w:t>
      </w:r>
      <w:r w:rsidR="00135686" w:rsidRPr="00B20780">
        <w:rPr>
          <w:rFonts w:ascii="Book Antiqua" w:hAnsi="Book Antiqua"/>
          <w:sz w:val="24"/>
          <w:szCs w:val="24"/>
          <w:lang w:eastAsia="ro-RO"/>
        </w:rPr>
        <w:t xml:space="preserve"> </w:t>
      </w:r>
      <w:r w:rsidRPr="00B20780">
        <w:rPr>
          <w:rFonts w:ascii="Book Antiqua" w:hAnsi="Book Antiqua"/>
          <w:sz w:val="24"/>
          <w:szCs w:val="24"/>
          <w:lang w:eastAsia="ro-RO"/>
        </w:rPr>
        <w:t xml:space="preserve">with the administration of high doses of PPI, </w:t>
      </w:r>
      <w:r w:rsidRPr="00B20780">
        <w:rPr>
          <w:rFonts w:ascii="Book Antiqua" w:hAnsi="Book Antiqua"/>
          <w:i/>
          <w:iCs/>
          <w:sz w:val="24"/>
          <w:szCs w:val="24"/>
          <w:lang w:eastAsia="ro-RO"/>
        </w:rPr>
        <w:t>i.e.</w:t>
      </w:r>
      <w:r w:rsidRPr="00B20780">
        <w:rPr>
          <w:rFonts w:ascii="Book Antiqua" w:hAnsi="Book Antiqua"/>
          <w:sz w:val="24"/>
          <w:szCs w:val="24"/>
          <w:lang w:eastAsia="ro-RO"/>
        </w:rPr>
        <w:t>, 80 mg IV bolus, followed by 8 mg/h continuous infusion for 72 h in all the cases that required endoscopic hemostatic treatment. All the endoscopic interventions were performed in emergency settings within 12 h after admission, after the patient was stabilized hemodynamically; we have to mention that the endoscopic unit worked in a round-the-clock manner.</w:t>
      </w:r>
    </w:p>
    <w:p w:rsidR="00187450" w:rsidRPr="00B20780" w:rsidRDefault="00187450" w:rsidP="00DE7591">
      <w:pPr>
        <w:spacing w:after="0" w:line="360" w:lineRule="auto"/>
        <w:jc w:val="both"/>
        <w:rPr>
          <w:rFonts w:ascii="Book Antiqua" w:hAnsi="Book Antiqua"/>
          <w:sz w:val="24"/>
          <w:szCs w:val="24"/>
          <w:lang w:eastAsia="ro-RO"/>
        </w:rPr>
      </w:pPr>
    </w:p>
    <w:p w:rsidR="00E42C33" w:rsidRPr="00B20780" w:rsidRDefault="00E42C33" w:rsidP="00DE7591">
      <w:pPr>
        <w:spacing w:after="0" w:line="360" w:lineRule="auto"/>
        <w:jc w:val="both"/>
        <w:rPr>
          <w:rFonts w:ascii="Book Antiqua" w:hAnsi="Book Antiqua"/>
          <w:i/>
          <w:iCs/>
          <w:sz w:val="24"/>
          <w:szCs w:val="24"/>
          <w:lang w:eastAsia="ro-RO"/>
        </w:rPr>
      </w:pPr>
      <w:r w:rsidRPr="00B20780">
        <w:rPr>
          <w:rFonts w:ascii="Book Antiqua" w:hAnsi="Book Antiqua"/>
          <w:b/>
          <w:i/>
          <w:iCs/>
          <w:sz w:val="24"/>
          <w:szCs w:val="24"/>
          <w:lang w:eastAsia="ro-RO"/>
        </w:rPr>
        <w:t xml:space="preserve">Definitions </w:t>
      </w:r>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iCs/>
        </w:rPr>
        <w:t xml:space="preserve">Initial failure of endoscopic treatment </w:t>
      </w:r>
      <w:r w:rsidRPr="00B20780">
        <w:rPr>
          <w:rFonts w:ascii="Book Antiqua" w:hAnsi="Book Antiqua"/>
        </w:rPr>
        <w:t xml:space="preserve">was considered as subsequent active bleeding despite performing endoscopic hemostasis or onset of active digestive bleeding represented by hematemesis, melena or hematochezia and the presence of hemodynamic shock </w:t>
      </w:r>
      <w:r w:rsidR="000B4B3F" w:rsidRPr="00B20780">
        <w:rPr>
          <w:rFonts w:ascii="Book Antiqua" w:hAnsi="Book Antiqua"/>
        </w:rPr>
        <w:t>[</w:t>
      </w:r>
      <w:r w:rsidRPr="00B20780">
        <w:rPr>
          <w:rFonts w:ascii="Book Antiqua" w:hAnsi="Book Antiqua"/>
        </w:rPr>
        <w:t xml:space="preserve">systolic blood pressure </w:t>
      </w:r>
      <w:r w:rsidR="000B4B3F" w:rsidRPr="00B20780">
        <w:rPr>
          <w:rFonts w:ascii="Book Antiqua" w:hAnsi="Book Antiqua"/>
        </w:rPr>
        <w:t>(</w:t>
      </w:r>
      <w:r w:rsidRPr="00B20780">
        <w:rPr>
          <w:rFonts w:ascii="Book Antiqua" w:hAnsi="Book Antiqua"/>
        </w:rPr>
        <w:t>SBP</w:t>
      </w:r>
      <w:r w:rsidR="000B4B3F" w:rsidRPr="00B20780">
        <w:rPr>
          <w:rFonts w:ascii="Book Antiqua" w:hAnsi="Book Antiqua"/>
        </w:rPr>
        <w:t>)</w:t>
      </w:r>
      <w:r w:rsidRPr="00B20780">
        <w:rPr>
          <w:rFonts w:ascii="Book Antiqua" w:hAnsi="Book Antiqua"/>
        </w:rPr>
        <w:t xml:space="preserve"> &lt; 100 mmHg and/or pulse &gt; 100 beats per minute</w:t>
      </w:r>
      <w:r w:rsidR="000B4B3F" w:rsidRPr="00B20780">
        <w:rPr>
          <w:rFonts w:ascii="Book Antiqua" w:hAnsi="Book Antiqua"/>
        </w:rPr>
        <w:t>]</w:t>
      </w:r>
      <w:r w:rsidRPr="00B20780">
        <w:rPr>
          <w:rFonts w:ascii="Book Antiqua" w:hAnsi="Book Antiqua"/>
        </w:rPr>
        <w:t xml:space="preserve"> within 12 h of initial endoscopic hemostasis.</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proofErr w:type="spellStart"/>
      <w:r w:rsidRPr="00B20780">
        <w:rPr>
          <w:rFonts w:ascii="Book Antiqua" w:hAnsi="Book Antiqua"/>
          <w:iCs/>
        </w:rPr>
        <w:t>Rebleeding</w:t>
      </w:r>
      <w:proofErr w:type="spellEnd"/>
      <w:r w:rsidRPr="00B20780">
        <w:rPr>
          <w:rFonts w:ascii="Book Antiqua" w:hAnsi="Book Antiqua"/>
        </w:rPr>
        <w:t xml:space="preserve"> was considered as the recurrence of active digestive hemorrhage (hematemesis, melena or hematochezia), hemodynamic instability, or a decrease in the hemoglobin level of more than 2 g/</w:t>
      </w:r>
      <w:proofErr w:type="spellStart"/>
      <w:r w:rsidRPr="00B20780">
        <w:rPr>
          <w:rFonts w:ascii="Book Antiqua" w:hAnsi="Book Antiqua"/>
        </w:rPr>
        <w:t>dL</w:t>
      </w:r>
      <w:proofErr w:type="spellEnd"/>
      <w:r w:rsidRPr="00B20780">
        <w:rPr>
          <w:rFonts w:ascii="Book Antiqua" w:hAnsi="Book Antiqua"/>
        </w:rPr>
        <w:t xml:space="preserve"> within 24 h of the first endoscopic procedure</w:t>
      </w:r>
      <w:r w:rsidR="009F4546" w:rsidRPr="00B20780">
        <w:rPr>
          <w:rFonts w:ascii="Book Antiqua" w:hAnsi="Book Antiqua"/>
        </w:rPr>
        <w:t xml:space="preserve"> </w:t>
      </w:r>
      <w:r w:rsidRPr="00B20780">
        <w:rPr>
          <w:rFonts w:ascii="Book Antiqua" w:hAnsi="Book Antiqua"/>
        </w:rPr>
        <w:t>associated with the endoscopic visualization of active bleeding at the site of the</w:t>
      </w:r>
      <w:r w:rsidR="009F4546" w:rsidRPr="00B20780">
        <w:rPr>
          <w:rFonts w:ascii="Book Antiqua" w:hAnsi="Book Antiqua"/>
        </w:rPr>
        <w:t xml:space="preserve"> </w:t>
      </w:r>
      <w:r w:rsidRPr="00B20780">
        <w:rPr>
          <w:rFonts w:ascii="Book Antiqua" w:hAnsi="Book Antiqua"/>
        </w:rPr>
        <w:t>previously treated lesion.</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iCs/>
        </w:rPr>
        <w:t xml:space="preserve">In-hospital mortality </w:t>
      </w:r>
      <w:r w:rsidRPr="00B20780">
        <w:rPr>
          <w:rFonts w:ascii="Book Antiqua" w:hAnsi="Book Antiqua"/>
        </w:rPr>
        <w:t xml:space="preserve">refers to deaths occurring during hospitalization in patients diagnosed and treated for </w:t>
      </w:r>
      <w:r w:rsidR="00916BD4" w:rsidRPr="00B20780">
        <w:rPr>
          <w:rFonts w:ascii="Book Antiqua" w:hAnsi="Book Antiqua"/>
        </w:rPr>
        <w:t>NVUDB</w:t>
      </w:r>
      <w:r w:rsidRPr="00B20780">
        <w:rPr>
          <w:rFonts w:ascii="Book Antiqua" w:hAnsi="Book Antiqua"/>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iCs/>
        </w:rPr>
        <w:t>Bleeding episode-related mortality</w:t>
      </w:r>
      <w:r w:rsidRPr="00B20780">
        <w:rPr>
          <w:rFonts w:ascii="Book Antiqua" w:hAnsi="Book Antiqua"/>
        </w:rPr>
        <w:t xml:space="preserve"> refers to deaths determined by irreversible hypovolemic shock.</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iCs/>
        </w:rPr>
        <w:lastRenderedPageBreak/>
        <w:t>Unidentified cause of bleeding</w:t>
      </w:r>
      <w:r w:rsidRPr="00B20780">
        <w:rPr>
          <w:rFonts w:ascii="Book Antiqua" w:hAnsi="Book Antiqua"/>
        </w:rPr>
        <w:t xml:space="preserve"> means the endoscopic visualization of blood in the stomach without demonstrating a source of bleeding (causative lesion).</w:t>
      </w:r>
    </w:p>
    <w:p w:rsidR="00187450" w:rsidRPr="00B20780" w:rsidRDefault="00187450" w:rsidP="00DE7591">
      <w:pPr>
        <w:pStyle w:val="a3"/>
        <w:spacing w:before="0" w:beforeAutospacing="0" w:after="0" w:afterAutospacing="0" w:line="360" w:lineRule="auto"/>
        <w:jc w:val="both"/>
        <w:rPr>
          <w:rFonts w:ascii="Book Antiqua" w:hAnsi="Book Antiqua"/>
        </w:rPr>
      </w:pPr>
    </w:p>
    <w:p w:rsidR="00E42C33" w:rsidRPr="00B20780" w:rsidRDefault="00E42C33"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Ethical considerations</w:t>
      </w:r>
    </w:p>
    <w:p w:rsidR="00B14EC2"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All patients included in this study or their relatives had signed informed consent</w:t>
      </w:r>
      <w:r w:rsidR="00B14EC2" w:rsidRPr="00B20780">
        <w:rPr>
          <w:rFonts w:ascii="Book Antiqua" w:hAnsi="Book Antiqua"/>
        </w:rPr>
        <w:t xml:space="preserve"> </w:t>
      </w:r>
      <w:r w:rsidRPr="00B20780">
        <w:rPr>
          <w:rFonts w:ascii="Book Antiqua" w:hAnsi="Book Antiqua"/>
        </w:rPr>
        <w:t>forms for the diagnostic and therapeutic procedures needed.</w:t>
      </w:r>
      <w:r w:rsidRPr="00B20780">
        <w:rPr>
          <w:rFonts w:ascii="Book Antiqua" w:hAnsi="Book Antiqua"/>
          <w:b/>
        </w:rPr>
        <w:t xml:space="preserve"> </w:t>
      </w:r>
      <w:r w:rsidRPr="00B20780">
        <w:rPr>
          <w:rFonts w:ascii="Book Antiqua" w:hAnsi="Book Antiqua"/>
        </w:rPr>
        <w:t>This study was approved by the University Ethical Committee.</w:t>
      </w:r>
    </w:p>
    <w:p w:rsidR="00187450" w:rsidRPr="00B20780" w:rsidRDefault="00187450" w:rsidP="00DE7591">
      <w:pPr>
        <w:pStyle w:val="a3"/>
        <w:spacing w:before="0" w:beforeAutospacing="0" w:after="0" w:afterAutospacing="0" w:line="360" w:lineRule="auto"/>
        <w:jc w:val="both"/>
        <w:rPr>
          <w:rFonts w:ascii="Book Antiqua" w:hAnsi="Book Antiqua"/>
          <w:b/>
          <w:bCs/>
        </w:rPr>
      </w:pPr>
    </w:p>
    <w:p w:rsidR="00E42C33" w:rsidRPr="00B20780" w:rsidRDefault="00E42C33" w:rsidP="00DE7591">
      <w:pPr>
        <w:pStyle w:val="a3"/>
        <w:spacing w:before="0" w:beforeAutospacing="0" w:after="0" w:afterAutospacing="0" w:line="360" w:lineRule="auto"/>
        <w:jc w:val="both"/>
        <w:rPr>
          <w:rFonts w:ascii="Book Antiqua" w:hAnsi="Book Antiqua"/>
          <w:i/>
          <w:iCs/>
        </w:rPr>
      </w:pPr>
      <w:r w:rsidRPr="00B20780">
        <w:rPr>
          <w:rFonts w:ascii="Book Antiqua" w:hAnsi="Book Antiqua"/>
          <w:b/>
          <w:bCs/>
          <w:i/>
          <w:iCs/>
        </w:rPr>
        <w:t>Statistical analysis</w:t>
      </w:r>
    </w:p>
    <w:p w:rsidR="00E42C33" w:rsidRPr="00B20780" w:rsidRDefault="00E42C33" w:rsidP="00DE7591">
      <w:pPr>
        <w:autoSpaceDE w:val="0"/>
        <w:autoSpaceDN w:val="0"/>
        <w:adjustRightInd w:val="0"/>
        <w:spacing w:after="0" w:line="360" w:lineRule="auto"/>
        <w:jc w:val="both"/>
        <w:rPr>
          <w:rFonts w:ascii="Book Antiqua" w:hAnsi="Book Antiqua"/>
          <w:sz w:val="24"/>
          <w:szCs w:val="24"/>
        </w:rPr>
      </w:pPr>
      <w:r w:rsidRPr="00B20780">
        <w:rPr>
          <w:rFonts w:ascii="Book Antiqua" w:hAnsi="Book Antiqua"/>
          <w:sz w:val="24"/>
          <w:szCs w:val="24"/>
        </w:rPr>
        <w:t xml:space="preserve">Because continuous variables were skewed, data are presented as </w:t>
      </w:r>
      <w:r w:rsidRPr="00B20780">
        <w:rPr>
          <w:rStyle w:val="shorttext"/>
          <w:rFonts w:ascii="Book Antiqua" w:hAnsi="Book Antiqua"/>
          <w:sz w:val="24"/>
          <w:szCs w:val="24"/>
        </w:rPr>
        <w:t>medians and interquartile ranges (IQRs),</w:t>
      </w:r>
      <w:r w:rsidRPr="00B20780">
        <w:rPr>
          <w:rFonts w:ascii="Book Antiqua" w:hAnsi="Book Antiqua"/>
          <w:sz w:val="24"/>
          <w:szCs w:val="24"/>
        </w:rPr>
        <w:t xml:space="preserve"> and categorical variables are presented as percentages. Statistical differences between groups were assessed by the Mann-Whitney U-test and </w:t>
      </w:r>
      <w:r w:rsidRPr="00B20780">
        <w:rPr>
          <w:rStyle w:val="shorttext"/>
          <w:rFonts w:ascii="Book Antiqua" w:hAnsi="Book Antiqua"/>
          <w:sz w:val="24"/>
          <w:szCs w:val="24"/>
        </w:rPr>
        <w:t xml:space="preserve">Chi-square test where appropriate. </w:t>
      </w:r>
      <w:r w:rsidRPr="00B20780">
        <w:rPr>
          <w:rFonts w:ascii="Book Antiqua" w:hAnsi="Book Antiqua"/>
          <w:sz w:val="24"/>
          <w:szCs w:val="24"/>
        </w:rPr>
        <w:t xml:space="preserve">As a secondary analysis, we estimated the associations of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and death with clinical and endoscopic p</w:t>
      </w:r>
      <w:r w:rsidR="00C555D5" w:rsidRPr="00B20780">
        <w:rPr>
          <w:rFonts w:ascii="Book Antiqua" w:hAnsi="Book Antiqua"/>
          <w:sz w:val="24"/>
          <w:szCs w:val="24"/>
        </w:rPr>
        <w:t>arameters using odds ratios (OR</w:t>
      </w:r>
      <w:r w:rsidRPr="00B20780">
        <w:rPr>
          <w:rFonts w:ascii="Book Antiqua" w:hAnsi="Book Antiqua"/>
          <w:sz w:val="24"/>
          <w:szCs w:val="24"/>
        </w:rPr>
        <w:t>) and 95% confidence intervals (C</w:t>
      </w:r>
      <w:r w:rsidR="00C555D5" w:rsidRPr="00B20780">
        <w:rPr>
          <w:rFonts w:ascii="Book Antiqua" w:hAnsi="Book Antiqua"/>
          <w:sz w:val="24"/>
          <w:szCs w:val="24"/>
        </w:rPr>
        <w:t>I</w:t>
      </w:r>
      <w:r w:rsidRPr="00B20780">
        <w:rPr>
          <w:rFonts w:ascii="Book Antiqua" w:hAnsi="Book Antiqua"/>
          <w:sz w:val="24"/>
          <w:szCs w:val="24"/>
        </w:rPr>
        <w:t xml:space="preserve">) in logistic regression models. The receiver operator characteristic (ROC) curve for each model of the best combination of predictors was plotted, and the area under the curve was calculated. The </w:t>
      </w:r>
      <w:r w:rsidRPr="00B20780">
        <w:rPr>
          <w:rFonts w:ascii="Book Antiqua" w:hAnsi="Book Antiqua"/>
          <w:i/>
          <w:iCs/>
          <w:sz w:val="24"/>
          <w:szCs w:val="24"/>
        </w:rPr>
        <w:t>P</w:t>
      </w:r>
      <w:r w:rsidRPr="00B20780">
        <w:rPr>
          <w:rFonts w:ascii="Book Antiqua" w:hAnsi="Book Antiqua"/>
          <w:sz w:val="24"/>
          <w:szCs w:val="24"/>
        </w:rPr>
        <w:t xml:space="preserve"> values for all hypothesis tests were two-sided, and we set statistical significance at </w:t>
      </w:r>
      <w:r w:rsidRPr="00B20780">
        <w:rPr>
          <w:rFonts w:ascii="Book Antiqua" w:hAnsi="Book Antiqua"/>
          <w:i/>
          <w:iCs/>
          <w:sz w:val="24"/>
          <w:szCs w:val="24"/>
        </w:rPr>
        <w:t>P</w:t>
      </w:r>
      <w:r w:rsidR="000B4B3F" w:rsidRPr="00B20780">
        <w:rPr>
          <w:rFonts w:ascii="Book Antiqua" w:hAnsi="Book Antiqua"/>
          <w:sz w:val="24"/>
          <w:szCs w:val="24"/>
        </w:rPr>
        <w:t xml:space="preserve"> </w:t>
      </w:r>
      <w:r w:rsidRPr="00B20780">
        <w:rPr>
          <w:rFonts w:ascii="Book Antiqua" w:hAnsi="Book Antiqua"/>
          <w:sz w:val="24"/>
          <w:szCs w:val="24"/>
        </w:rPr>
        <w:t>&lt;</w:t>
      </w:r>
      <w:r w:rsidR="000B4B3F" w:rsidRPr="00B20780">
        <w:rPr>
          <w:rFonts w:ascii="Book Antiqua" w:hAnsi="Book Antiqua"/>
          <w:sz w:val="24"/>
          <w:szCs w:val="24"/>
        </w:rPr>
        <w:t xml:space="preserve"> </w:t>
      </w:r>
      <w:r w:rsidRPr="00B20780">
        <w:rPr>
          <w:rFonts w:ascii="Book Antiqua" w:hAnsi="Book Antiqua"/>
          <w:sz w:val="24"/>
          <w:szCs w:val="24"/>
        </w:rPr>
        <w:t>0.05. All analyses were conducted with Stata version 15.1 (</w:t>
      </w:r>
      <w:proofErr w:type="spellStart"/>
      <w:r w:rsidRPr="00B20780">
        <w:rPr>
          <w:rFonts w:ascii="Book Antiqua" w:hAnsi="Book Antiqua"/>
          <w:sz w:val="24"/>
          <w:szCs w:val="24"/>
        </w:rPr>
        <w:t>Statacorp</w:t>
      </w:r>
      <w:proofErr w:type="spellEnd"/>
      <w:r w:rsidRPr="00B20780">
        <w:rPr>
          <w:rFonts w:ascii="Book Antiqua" w:hAnsi="Book Antiqua"/>
          <w:sz w:val="24"/>
          <w:szCs w:val="24"/>
        </w:rPr>
        <w:t xml:space="preserve">, Texas, </w:t>
      </w:r>
      <w:r w:rsidR="000B4B3F" w:rsidRPr="00B20780">
        <w:rPr>
          <w:rFonts w:ascii="Book Antiqua" w:hAnsi="Book Antiqua"/>
          <w:sz w:val="24"/>
          <w:szCs w:val="24"/>
        </w:rPr>
        <w:t>United States</w:t>
      </w:r>
      <w:r w:rsidRPr="00B20780">
        <w:rPr>
          <w:rFonts w:ascii="Book Antiqua" w:hAnsi="Book Antiqua"/>
          <w:sz w:val="24"/>
          <w:szCs w:val="24"/>
        </w:rPr>
        <w:t>).</w:t>
      </w:r>
    </w:p>
    <w:p w:rsidR="00187450" w:rsidRPr="00B20780" w:rsidRDefault="00187450" w:rsidP="00DE7591">
      <w:pPr>
        <w:autoSpaceDE w:val="0"/>
        <w:autoSpaceDN w:val="0"/>
        <w:adjustRightInd w:val="0"/>
        <w:spacing w:after="0" w:line="360" w:lineRule="auto"/>
        <w:jc w:val="both"/>
        <w:rPr>
          <w:rFonts w:ascii="Book Antiqua" w:hAnsi="Book Antiqua"/>
          <w:sz w:val="24"/>
          <w:szCs w:val="24"/>
        </w:rPr>
      </w:pPr>
    </w:p>
    <w:p w:rsidR="00E42C33" w:rsidRPr="00B20780" w:rsidRDefault="00187450" w:rsidP="00DE7591">
      <w:pPr>
        <w:pStyle w:val="a3"/>
        <w:spacing w:before="0" w:beforeAutospacing="0" w:after="0" w:afterAutospacing="0" w:line="360" w:lineRule="auto"/>
        <w:jc w:val="both"/>
        <w:rPr>
          <w:rFonts w:ascii="Book Antiqua" w:hAnsi="Book Antiqua"/>
          <w:b/>
        </w:rPr>
      </w:pPr>
      <w:r w:rsidRPr="00B20780">
        <w:rPr>
          <w:rFonts w:ascii="Book Antiqua" w:hAnsi="Book Antiqua"/>
          <w:b/>
        </w:rPr>
        <w:t>RESULTS</w:t>
      </w:r>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We</w:t>
      </w:r>
      <w:r w:rsidRPr="00B20780">
        <w:rPr>
          <w:rFonts w:ascii="Book Antiqua" w:hAnsi="Book Antiqua"/>
          <w:b/>
        </w:rPr>
        <w:t xml:space="preserve"> </w:t>
      </w:r>
      <w:r w:rsidRPr="00B20780">
        <w:rPr>
          <w:rFonts w:ascii="Book Antiqua" w:hAnsi="Book Antiqua"/>
        </w:rPr>
        <w:t>assessed a batch of 1581 patients admitted with the diagnosis of NVUDB to the Department of Gastroenterology, Clinical Emergency County Hospital Timisoara, Romania, between 1 January 2008 and 31</w:t>
      </w:r>
      <w:r w:rsidRPr="00B20780">
        <w:rPr>
          <w:rFonts w:ascii="Book Antiqua" w:hAnsi="Book Antiqua"/>
          <w:vertAlign w:val="superscript"/>
        </w:rPr>
        <w:t xml:space="preserve"> </w:t>
      </w:r>
      <w:r w:rsidRPr="00B20780">
        <w:rPr>
          <w:rFonts w:ascii="Book Antiqua" w:hAnsi="Book Antiqua"/>
        </w:rPr>
        <w:t>December 2016, which include</w:t>
      </w:r>
      <w:r w:rsidR="00C555D5" w:rsidRPr="00B20780">
        <w:rPr>
          <w:rFonts w:ascii="Book Antiqua" w:hAnsi="Book Antiqua"/>
        </w:rPr>
        <w:t>d 523 (33%) females and 1058 (67</w:t>
      </w:r>
      <w:r w:rsidRPr="00B20780">
        <w:rPr>
          <w:rFonts w:ascii="Book Antiqua" w:hAnsi="Book Antiqua"/>
        </w:rPr>
        <w:t>%) males with a me</w:t>
      </w:r>
      <w:r w:rsidR="00C555D5" w:rsidRPr="00B20780">
        <w:rPr>
          <w:rFonts w:ascii="Book Antiqua" w:hAnsi="Book Antiqua"/>
        </w:rPr>
        <w:t>di</w:t>
      </w:r>
      <w:r w:rsidRPr="00B20780">
        <w:rPr>
          <w:rFonts w:ascii="Book Antiqua" w:hAnsi="Book Antiqua"/>
        </w:rPr>
        <w:t>an age</w:t>
      </w:r>
      <w:r w:rsidR="004457E4" w:rsidRPr="00B20780">
        <w:rPr>
          <w:rFonts w:ascii="Book Antiqua" w:hAnsi="Book Antiqua"/>
        </w:rPr>
        <w:t xml:space="preserve"> 66 years</w:t>
      </w:r>
      <w:r w:rsidRPr="00B20780">
        <w:rPr>
          <w:rFonts w:ascii="Book Antiqua" w:hAnsi="Book Antiqua"/>
        </w:rPr>
        <w:t xml:space="preserve"> (</w:t>
      </w:r>
      <w:r w:rsidR="004457E4" w:rsidRPr="00B20780">
        <w:rPr>
          <w:rFonts w:ascii="Book Antiqua" w:hAnsi="Book Antiqua"/>
        </w:rPr>
        <w:t xml:space="preserve">IQR </w:t>
      </w:r>
      <w:r w:rsidR="00AC43C8" w:rsidRPr="00B20780">
        <w:rPr>
          <w:rFonts w:ascii="Book Antiqua" w:hAnsi="Book Antiqua"/>
        </w:rPr>
        <w:t>55–76</w:t>
      </w:r>
      <w:r w:rsidRPr="00B20780">
        <w:rPr>
          <w:rFonts w:ascii="Book Antiqua" w:hAnsi="Book Antiqua"/>
        </w:rPr>
        <w:t>). Mean values of important clinical and laboratory parameters are presented in Table 1. The main cause of NVUDB was peptic ulcer, which was diagnosed in 1153 (73%) patients. Other important etiologies were gastritis, gastric cancer and Mallory-Weiss syndrome (Figure 1).</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In the case of peptic ulcers, according to Forrest classification, 17.8% of patients presented with Forrest type </w:t>
      </w:r>
      <w:proofErr w:type="gramStart"/>
      <w:r w:rsidRPr="00B20780">
        <w:rPr>
          <w:rFonts w:ascii="Book Antiqua" w:hAnsi="Book Antiqua"/>
        </w:rPr>
        <w:t>I</w:t>
      </w:r>
      <w:proofErr w:type="gramEnd"/>
      <w:r w:rsidRPr="00B20780">
        <w:rPr>
          <w:rFonts w:ascii="Book Antiqua" w:hAnsi="Book Antiqua"/>
        </w:rPr>
        <w:t>, 45.8% with type II, and 36.4 with type III (Figure 2).</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lastRenderedPageBreak/>
        <w:t xml:space="preserve">More than one-third of the patients (548 patients, 34.64%) needed endoscopic treatment, most often combined with hemostatic procedures, while the rest of the 1033 patients (65.36%) did not receive any endoscopic therapy. The most frequently used technique of simple therapy was epinephrine injection, while the most frequently used combined hemostatic method was epinephrine injection plus </w:t>
      </w:r>
      <w:proofErr w:type="spellStart"/>
      <w:r w:rsidRPr="00B20780">
        <w:rPr>
          <w:rFonts w:ascii="Book Antiqua" w:hAnsi="Book Antiqua"/>
        </w:rPr>
        <w:t>hemoclip</w:t>
      </w:r>
      <w:proofErr w:type="spellEnd"/>
      <w:r w:rsidRPr="00B20780">
        <w:rPr>
          <w:rFonts w:ascii="Book Antiqua" w:hAnsi="Book Antiqua"/>
        </w:rPr>
        <w:t xml:space="preserve"> mounting (Table 2). </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proofErr w:type="spellStart"/>
      <w:r w:rsidRPr="00B20780">
        <w:rPr>
          <w:rFonts w:ascii="Book Antiqua" w:hAnsi="Book Antiqua"/>
        </w:rPr>
        <w:t>Rebleeding</w:t>
      </w:r>
      <w:proofErr w:type="spellEnd"/>
      <w:r w:rsidRPr="00B20780">
        <w:rPr>
          <w:rFonts w:ascii="Book Antiqua" w:hAnsi="Book Antiqua"/>
        </w:rPr>
        <w:t xml:space="preserve"> was encountered in 122/1581 patients (7.72%). Surgery due to failure of endoscopic hemostasis was needed in 51/1581 patients (3.22%). The in-hospital mortality rated included 128/1581 patients (8.09%), while the bleeding-episode related mortality included 47/1581 patients (2.97%).</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Regarding the presence of comorbidities, we detected the following: 977/1581 patients (61.8%) had cardiovascular diseases, 333/1581 patients (21%) had renal conditions, 296/1581 patients (18.7%) had diabetes mellitus, 256/1581 patients (16.2%) had </w:t>
      </w:r>
      <w:proofErr w:type="spellStart"/>
      <w:r w:rsidRPr="00B20780">
        <w:rPr>
          <w:rFonts w:ascii="Book Antiqua" w:hAnsi="Book Antiqua"/>
        </w:rPr>
        <w:t>neoplasias</w:t>
      </w:r>
      <w:proofErr w:type="spellEnd"/>
      <w:r w:rsidRPr="00B20780">
        <w:rPr>
          <w:rFonts w:ascii="Book Antiqua" w:hAnsi="Book Antiqua"/>
        </w:rPr>
        <w:t>, 216/1581 patients (13.7%) had neurological diseases, 208/1581 patients (13.2%) had respiratory conditions, 143/1581 patients (9%) had liver cirrhosis, 134/1581 patients (8.5%) had obesity, 49/1581 patients (3%) had sepsis, 8/1581 patients (0.5%) had acute pancreatitis, and 6/1581 patients (0.4%) had an acute abdomen.</w:t>
      </w:r>
    </w:p>
    <w:p w:rsidR="00187450" w:rsidRPr="00B20780" w:rsidRDefault="00187450" w:rsidP="00DE7591">
      <w:pPr>
        <w:pStyle w:val="a3"/>
        <w:spacing w:before="0" w:beforeAutospacing="0" w:after="0" w:afterAutospacing="0" w:line="360" w:lineRule="auto"/>
        <w:jc w:val="both"/>
        <w:rPr>
          <w:rFonts w:ascii="Book Antiqua" w:hAnsi="Book Antiqua"/>
        </w:rPr>
      </w:pPr>
    </w:p>
    <w:p w:rsidR="00E42C33" w:rsidRPr="00B20780" w:rsidRDefault="00E42C33"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 xml:space="preserve">Parameters associated with </w:t>
      </w:r>
      <w:proofErr w:type="spellStart"/>
      <w:r w:rsidRPr="00B20780">
        <w:rPr>
          <w:rFonts w:ascii="Book Antiqua" w:hAnsi="Book Antiqua"/>
          <w:b/>
          <w:i/>
          <w:iCs/>
        </w:rPr>
        <w:t>rebleeding</w:t>
      </w:r>
      <w:proofErr w:type="spellEnd"/>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 xml:space="preserve">Univariate analysis revealed that the clinical and endoscopic parameters that were statistically significantly associated with </w:t>
      </w:r>
      <w:proofErr w:type="spellStart"/>
      <w:r w:rsidRPr="00B20780">
        <w:rPr>
          <w:rFonts w:ascii="Book Antiqua" w:hAnsi="Book Antiqua"/>
        </w:rPr>
        <w:t>rebleeding</w:t>
      </w:r>
      <w:proofErr w:type="spellEnd"/>
      <w:r w:rsidRPr="00B20780">
        <w:rPr>
          <w:rFonts w:ascii="Book Antiqua" w:hAnsi="Book Antiqua"/>
        </w:rPr>
        <w:t xml:space="preserve"> were </w:t>
      </w:r>
      <w:proofErr w:type="spellStart"/>
      <w:r w:rsidRPr="00B20780">
        <w:rPr>
          <w:rFonts w:ascii="Book Antiqua" w:hAnsi="Book Antiqua"/>
        </w:rPr>
        <w:t>Rockall</w:t>
      </w:r>
      <w:proofErr w:type="spellEnd"/>
      <w:r w:rsidRPr="00B20780">
        <w:rPr>
          <w:rFonts w:ascii="Book Antiqua" w:hAnsi="Book Antiqua"/>
        </w:rPr>
        <w:t xml:space="preserve"> score, need for endoscopic therapy (simple or combined), and presence of hemorrhagic shock at admission (systemic blood pressure &lt;</w:t>
      </w:r>
      <w:r w:rsidR="000B4B3F" w:rsidRPr="00B20780">
        <w:rPr>
          <w:rFonts w:ascii="Book Antiqua" w:hAnsi="Book Antiqua"/>
        </w:rPr>
        <w:t xml:space="preserve"> </w:t>
      </w:r>
      <w:r w:rsidRPr="00B20780">
        <w:rPr>
          <w:rFonts w:ascii="Book Antiqua" w:hAnsi="Book Antiqua"/>
        </w:rPr>
        <w:t>100 mmHg and/or pulse rate &gt;</w:t>
      </w:r>
      <w:r w:rsidR="000B4B3F" w:rsidRPr="00B20780">
        <w:rPr>
          <w:rFonts w:ascii="Book Antiqua" w:hAnsi="Book Antiqua"/>
        </w:rPr>
        <w:t xml:space="preserve"> </w:t>
      </w:r>
      <w:r w:rsidRPr="00B20780">
        <w:rPr>
          <w:rFonts w:ascii="Book Antiqua" w:hAnsi="Book Antiqua"/>
        </w:rPr>
        <w:t>100 beats per minutes) (</w:t>
      </w:r>
      <w:r w:rsidR="000B4B3F" w:rsidRPr="00B20780">
        <w:rPr>
          <w:rFonts w:ascii="Book Antiqua" w:hAnsi="Book Antiqua"/>
          <w:i/>
          <w:iCs/>
        </w:rPr>
        <w:t>P</w:t>
      </w:r>
      <w:r w:rsidR="000B4B3F" w:rsidRPr="00B20780">
        <w:rPr>
          <w:rFonts w:ascii="Book Antiqua" w:hAnsi="Book Antiqua"/>
        </w:rPr>
        <w:t xml:space="preserve"> </w:t>
      </w:r>
      <w:r w:rsidRPr="00B20780">
        <w:rPr>
          <w:rFonts w:ascii="Book Antiqua" w:hAnsi="Book Antiqua"/>
        </w:rPr>
        <w:t>&lt;</w:t>
      </w:r>
      <w:r w:rsidR="000B4B3F" w:rsidRPr="00B20780">
        <w:rPr>
          <w:rFonts w:ascii="Book Antiqua" w:hAnsi="Book Antiqua"/>
        </w:rPr>
        <w:t xml:space="preserve"> </w:t>
      </w:r>
      <w:r w:rsidRPr="00B20780">
        <w:rPr>
          <w:rFonts w:ascii="Book Antiqua" w:hAnsi="Book Antiqua"/>
        </w:rPr>
        <w:t xml:space="preserve">0.001). Among the comorbidities, the presence of sepsis and acute abdomen were significantly associated with </w:t>
      </w:r>
      <w:proofErr w:type="spellStart"/>
      <w:r w:rsidRPr="00B20780">
        <w:rPr>
          <w:rFonts w:ascii="Book Antiqua" w:hAnsi="Book Antiqua"/>
        </w:rPr>
        <w:t>rebleeding</w:t>
      </w:r>
      <w:proofErr w:type="spellEnd"/>
      <w:r w:rsidRPr="00B20780">
        <w:rPr>
          <w:rFonts w:ascii="Book Antiqua" w:hAnsi="Book Antiqua"/>
        </w:rPr>
        <w:t xml:space="preserve"> (</w:t>
      </w:r>
      <w:r w:rsidR="000B4B3F" w:rsidRPr="00B20780">
        <w:rPr>
          <w:rFonts w:ascii="Book Antiqua" w:hAnsi="Book Antiqua"/>
          <w:i/>
          <w:iCs/>
        </w:rPr>
        <w:t>P</w:t>
      </w:r>
      <w:r w:rsidR="000B4B3F" w:rsidRPr="00B20780">
        <w:rPr>
          <w:rFonts w:ascii="Book Antiqua" w:hAnsi="Book Antiqua"/>
        </w:rPr>
        <w:t xml:space="preserve"> </w:t>
      </w:r>
      <w:r w:rsidRPr="00B20780">
        <w:rPr>
          <w:rFonts w:ascii="Book Antiqua" w:hAnsi="Book Antiqua"/>
        </w:rPr>
        <w:t>&lt;</w:t>
      </w:r>
      <w:r w:rsidR="000B4B3F" w:rsidRPr="00B20780">
        <w:rPr>
          <w:rFonts w:ascii="Book Antiqua" w:hAnsi="Book Antiqua"/>
        </w:rPr>
        <w:t xml:space="preserve"> </w:t>
      </w:r>
      <w:r w:rsidRPr="00B20780">
        <w:rPr>
          <w:rFonts w:ascii="Book Antiqua" w:hAnsi="Book Antiqua"/>
        </w:rPr>
        <w:t>0.05) (Table 3).</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Using multivariate analysis, parameters that were markedly associated with an increased risk of </w:t>
      </w:r>
      <w:proofErr w:type="spellStart"/>
      <w:r w:rsidRPr="00B20780">
        <w:rPr>
          <w:rFonts w:ascii="Book Antiqua" w:hAnsi="Book Antiqua"/>
        </w:rPr>
        <w:t>rebleeding</w:t>
      </w:r>
      <w:proofErr w:type="spellEnd"/>
      <w:r w:rsidRPr="00B20780">
        <w:rPr>
          <w:rFonts w:ascii="Book Antiqua" w:hAnsi="Book Antiqua"/>
        </w:rPr>
        <w:t xml:space="preserve"> were </w:t>
      </w:r>
      <w:proofErr w:type="spellStart"/>
      <w:r w:rsidRPr="00B20780">
        <w:rPr>
          <w:rFonts w:ascii="Book Antiqua" w:hAnsi="Book Antiqua"/>
        </w:rPr>
        <w:t>Rockall</w:t>
      </w:r>
      <w:proofErr w:type="spellEnd"/>
      <w:r w:rsidRPr="00B20780">
        <w:rPr>
          <w:rFonts w:ascii="Book Antiqua" w:hAnsi="Book Antiqua"/>
        </w:rPr>
        <w:t xml:space="preserve"> score (OR: 1.41; 95%CI: 1.25</w:t>
      </w:r>
      <w:r w:rsidR="00916BD4" w:rsidRPr="00B20780">
        <w:rPr>
          <w:rFonts w:ascii="Book Antiqua" w:hAnsi="Book Antiqua"/>
        </w:rPr>
        <w:t>-</w:t>
      </w:r>
      <w:r w:rsidRPr="00B20780">
        <w:rPr>
          <w:rFonts w:ascii="Book Antiqua" w:hAnsi="Book Antiqua"/>
        </w:rPr>
        <w:t xml:space="preserve">1.58,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need for simple therapy (OR: 3.18; 95%CI: 1.92</w:t>
      </w:r>
      <w:r w:rsidR="00916BD4" w:rsidRPr="00B20780">
        <w:rPr>
          <w:rFonts w:ascii="Book Antiqua" w:hAnsi="Book Antiqua"/>
        </w:rPr>
        <w:t>-</w:t>
      </w:r>
      <w:r w:rsidRPr="00B20780">
        <w:rPr>
          <w:rFonts w:ascii="Book Antiqua" w:hAnsi="Book Antiqua"/>
        </w:rPr>
        <w:t xml:space="preserve">5.28,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or combined therapy (OR: 1.75; 95%CI: 1.31</w:t>
      </w:r>
      <w:r w:rsidR="000B4B3F" w:rsidRPr="00B20780">
        <w:rPr>
          <w:rFonts w:ascii="Book Antiqua" w:hAnsi="Book Antiqua"/>
        </w:rPr>
        <w:t>-</w:t>
      </w:r>
      <w:r w:rsidRPr="00B20780">
        <w:rPr>
          <w:rFonts w:ascii="Book Antiqua" w:hAnsi="Book Antiqua"/>
        </w:rPr>
        <w:t xml:space="preserve">2.33,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 xml:space="preserve">0.001), number of blood transfusions (OR: 1.46; </w:t>
      </w:r>
      <w:r w:rsidRPr="00B20780">
        <w:rPr>
          <w:rFonts w:ascii="Book Antiqua" w:hAnsi="Book Antiqua"/>
        </w:rPr>
        <w:lastRenderedPageBreak/>
        <w:t>95%CI: 1.32</w:t>
      </w:r>
      <w:r w:rsidR="00916BD4" w:rsidRPr="00B20780">
        <w:rPr>
          <w:rFonts w:ascii="Book Antiqua" w:hAnsi="Book Antiqua"/>
        </w:rPr>
        <w:t>-</w:t>
      </w:r>
      <w:r w:rsidRPr="00B20780">
        <w:rPr>
          <w:rFonts w:ascii="Book Antiqua" w:hAnsi="Book Antiqua"/>
        </w:rPr>
        <w:t xml:space="preserve">1.62,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and sepsis (OR: 2.95; 95%CI: 1.34</w:t>
      </w:r>
      <w:r w:rsidR="00916BD4" w:rsidRPr="00B20780">
        <w:rPr>
          <w:rFonts w:ascii="Book Antiqua" w:hAnsi="Book Antiqua"/>
        </w:rPr>
        <w:t>-</w:t>
      </w:r>
      <w:r w:rsidRPr="00B20780">
        <w:rPr>
          <w:rFonts w:ascii="Book Antiqua" w:hAnsi="Book Antiqua"/>
        </w:rPr>
        <w:t xml:space="preserve">7.29, </w:t>
      </w:r>
      <w:r w:rsidR="000B4B3F" w:rsidRPr="00B20780">
        <w:rPr>
          <w:rFonts w:ascii="Book Antiqua" w:hAnsi="Book Antiqua"/>
          <w:i/>
          <w:iCs/>
        </w:rPr>
        <w:t>P</w:t>
      </w:r>
      <w:r w:rsidR="000B4B3F" w:rsidRPr="00B20780">
        <w:rPr>
          <w:rFonts w:ascii="Book Antiqua" w:hAnsi="Book Antiqua"/>
        </w:rPr>
        <w:t xml:space="preserve"> </w:t>
      </w:r>
      <w:r w:rsidRPr="00B20780">
        <w:rPr>
          <w:rFonts w:ascii="Book Antiqua" w:hAnsi="Book Antiqua"/>
        </w:rPr>
        <w:t>=</w:t>
      </w:r>
      <w:r w:rsidR="000B4B3F" w:rsidRPr="00B20780">
        <w:rPr>
          <w:rFonts w:ascii="Book Antiqua" w:hAnsi="Book Antiqua"/>
        </w:rPr>
        <w:t xml:space="preserve"> </w:t>
      </w:r>
      <w:r w:rsidRPr="00B20780">
        <w:rPr>
          <w:rFonts w:ascii="Book Antiqua" w:hAnsi="Book Antiqua"/>
        </w:rPr>
        <w:t>0.008) (Table 4).</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Based on these results, we performed a p</w:t>
      </w:r>
      <w:r w:rsidR="00E04195" w:rsidRPr="00B20780">
        <w:rPr>
          <w:rFonts w:ascii="Book Antiqua" w:hAnsi="Book Antiqua"/>
        </w:rPr>
        <w:t xml:space="preserve">redictive model for </w:t>
      </w:r>
      <w:proofErr w:type="spellStart"/>
      <w:r w:rsidR="00E04195" w:rsidRPr="00B20780">
        <w:rPr>
          <w:rFonts w:ascii="Book Antiqua" w:hAnsi="Book Antiqua"/>
        </w:rPr>
        <w:t>rebleeding</w:t>
      </w:r>
      <w:proofErr w:type="spellEnd"/>
      <w:r w:rsidRPr="00B20780">
        <w:rPr>
          <w:rFonts w:ascii="Book Antiqua" w:hAnsi="Book Antiqua"/>
        </w:rPr>
        <w:t xml:space="preserve">. The model presented with </w:t>
      </w:r>
      <w:proofErr w:type="gramStart"/>
      <w:r w:rsidRPr="00B20780">
        <w:rPr>
          <w:rFonts w:ascii="Book Antiqua" w:hAnsi="Book Antiqua"/>
        </w:rPr>
        <w:t>a sensitivity</w:t>
      </w:r>
      <w:proofErr w:type="gramEnd"/>
      <w:r w:rsidRPr="00B20780">
        <w:rPr>
          <w:rFonts w:ascii="Book Antiqua" w:hAnsi="Book Antiqua"/>
        </w:rPr>
        <w:t xml:space="preserve"> (Se) of 10.66%, specificity (</w:t>
      </w:r>
      <w:proofErr w:type="spellStart"/>
      <w:r w:rsidRPr="00B20780">
        <w:rPr>
          <w:rFonts w:ascii="Book Antiqua" w:hAnsi="Book Antiqua"/>
        </w:rPr>
        <w:t>Sp</w:t>
      </w:r>
      <w:proofErr w:type="spellEnd"/>
      <w:r w:rsidRPr="00B20780">
        <w:rPr>
          <w:rFonts w:ascii="Book Antiqua" w:hAnsi="Book Antiqua"/>
        </w:rPr>
        <w:t xml:space="preserve">) of 99.3%, positive predictive value (PPV) of 56.52% and negative predictive value (NPV) of 92.89%. The accuracy of our model was 92.35%. Although the predictive model had a low sensitivity, the specificity was very high. Therefore, it had a very powerful discriminative capacity for identifying patients with NVUDB who would not develop </w:t>
      </w:r>
      <w:proofErr w:type="spellStart"/>
      <w:r w:rsidRPr="00B20780">
        <w:rPr>
          <w:rFonts w:ascii="Book Antiqua" w:hAnsi="Book Antiqua"/>
        </w:rPr>
        <w:t>rebleeding</w:t>
      </w:r>
      <w:proofErr w:type="spellEnd"/>
      <w:r w:rsidRPr="00B20780">
        <w:rPr>
          <w:rFonts w:ascii="Book Antiqua" w:hAnsi="Book Antiqua"/>
        </w:rPr>
        <w:t xml:space="preserve"> and hence was associated with a better outcome.</w:t>
      </w:r>
    </w:p>
    <w:p w:rsidR="00E42C33" w:rsidRPr="00B20780" w:rsidRDefault="00E42C33" w:rsidP="00DE7591">
      <w:pPr>
        <w:spacing w:after="0" w:line="360" w:lineRule="auto"/>
        <w:ind w:firstLineChars="100" w:firstLine="240"/>
        <w:jc w:val="both"/>
        <w:rPr>
          <w:rFonts w:ascii="Book Antiqua" w:hAnsi="Book Antiqua"/>
          <w:sz w:val="24"/>
          <w:szCs w:val="24"/>
        </w:rPr>
      </w:pPr>
      <w:r w:rsidRPr="00B20780">
        <w:rPr>
          <w:rFonts w:ascii="Book Antiqua" w:hAnsi="Book Antiqua"/>
          <w:sz w:val="24"/>
          <w:szCs w:val="24"/>
        </w:rPr>
        <w:t xml:space="preserve">Using the area under the ROC curve, our predictive model for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obtained an AUROC value of 0.82 (Figure 3).</w:t>
      </w:r>
    </w:p>
    <w:p w:rsidR="00187450" w:rsidRPr="00B20780" w:rsidRDefault="00187450" w:rsidP="00DE7591">
      <w:pPr>
        <w:pStyle w:val="a3"/>
        <w:spacing w:before="0" w:beforeAutospacing="0" w:after="0" w:afterAutospacing="0" w:line="360" w:lineRule="auto"/>
        <w:jc w:val="both"/>
        <w:rPr>
          <w:rFonts w:ascii="Book Antiqua" w:hAnsi="Book Antiqua"/>
          <w:b/>
        </w:rPr>
      </w:pPr>
    </w:p>
    <w:p w:rsidR="00E42C33" w:rsidRPr="00B20780" w:rsidRDefault="00E42C33"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Parameters associated with death due to bleeding episode</w:t>
      </w:r>
    </w:p>
    <w:p w:rsidR="00187450"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Statistical analysis of our data showed that patients who died due to a bleeding episode were significantly older (</w:t>
      </w:r>
      <w:r w:rsidR="000B4B3F" w:rsidRPr="00B20780">
        <w:rPr>
          <w:rFonts w:ascii="Book Antiqua" w:hAnsi="Book Antiqua"/>
          <w:i/>
          <w:iCs/>
        </w:rPr>
        <w:t>P</w:t>
      </w:r>
      <w:r w:rsidR="000B4B3F" w:rsidRPr="00B20780">
        <w:rPr>
          <w:rFonts w:ascii="Book Antiqua" w:hAnsi="Book Antiqua"/>
        </w:rPr>
        <w:t xml:space="preserve"> </w:t>
      </w:r>
      <w:r w:rsidRPr="00B20780">
        <w:rPr>
          <w:rFonts w:ascii="Book Antiqua" w:hAnsi="Book Antiqua"/>
        </w:rPr>
        <w:t>=</w:t>
      </w:r>
      <w:r w:rsidR="000B4B3F" w:rsidRPr="00B20780">
        <w:rPr>
          <w:rFonts w:ascii="Book Antiqua" w:hAnsi="Book Antiqua"/>
        </w:rPr>
        <w:t xml:space="preserve"> </w:t>
      </w:r>
      <w:r w:rsidRPr="00B20780">
        <w:rPr>
          <w:rFonts w:ascii="Book Antiqua" w:hAnsi="Book Antiqua"/>
        </w:rPr>
        <w:t xml:space="preserve">0.012), had a higher </w:t>
      </w:r>
      <w:proofErr w:type="spellStart"/>
      <w:r w:rsidRPr="00B20780">
        <w:rPr>
          <w:rFonts w:ascii="Book Antiqua" w:hAnsi="Book Antiqua"/>
        </w:rPr>
        <w:t>Rockall</w:t>
      </w:r>
      <w:proofErr w:type="spellEnd"/>
      <w:r w:rsidRPr="00B20780">
        <w:rPr>
          <w:rFonts w:ascii="Book Antiqua" w:hAnsi="Book Antiqua"/>
        </w:rPr>
        <w:t xml:space="preserve"> score, had a lower level of hemoglobin and died quite soon after admission (median hospitalization len</w:t>
      </w:r>
      <w:r w:rsidR="00E04195" w:rsidRPr="00B20780">
        <w:rPr>
          <w:rFonts w:ascii="Book Antiqua" w:hAnsi="Book Antiqua"/>
        </w:rPr>
        <w:t>gth of 1 d) (</w:t>
      </w:r>
      <w:r w:rsidR="000B4B3F" w:rsidRPr="00B20780">
        <w:rPr>
          <w:rFonts w:ascii="Book Antiqua" w:hAnsi="Book Antiqua"/>
          <w:i/>
          <w:iCs/>
        </w:rPr>
        <w:t>P</w:t>
      </w:r>
      <w:r w:rsidR="000B4B3F" w:rsidRPr="00B20780">
        <w:rPr>
          <w:rFonts w:ascii="Book Antiqua" w:hAnsi="Book Antiqua"/>
        </w:rPr>
        <w:t xml:space="preserve"> &lt; </w:t>
      </w:r>
      <w:r w:rsidR="00E04195" w:rsidRPr="00B20780">
        <w:rPr>
          <w:rFonts w:ascii="Book Antiqua" w:hAnsi="Book Antiqua"/>
        </w:rPr>
        <w:t>0.001) (Table 5</w:t>
      </w:r>
      <w:r w:rsidRPr="00B20780">
        <w:rPr>
          <w:rFonts w:ascii="Book Antiqua" w:hAnsi="Book Antiqua"/>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Using univariate analysis, variables independently and extremely significantly</w:t>
      </w:r>
      <w:r w:rsidR="00B14EC2" w:rsidRPr="00B20780">
        <w:rPr>
          <w:rFonts w:ascii="Book Antiqua" w:hAnsi="Book Antiqua"/>
        </w:rPr>
        <w:t xml:space="preserve"> </w:t>
      </w:r>
      <w:r w:rsidRPr="00B20780">
        <w:rPr>
          <w:rFonts w:ascii="Book Antiqua" w:hAnsi="Book Antiqua"/>
        </w:rPr>
        <w:t xml:space="preserve">associated with death due to a bleeding episode were </w:t>
      </w:r>
      <w:proofErr w:type="spellStart"/>
      <w:r w:rsidRPr="00B20780">
        <w:rPr>
          <w:rFonts w:ascii="Book Antiqua" w:hAnsi="Book Antiqua"/>
        </w:rPr>
        <w:t>Rockall</w:t>
      </w:r>
      <w:proofErr w:type="spellEnd"/>
      <w:r w:rsidRPr="00B20780">
        <w:rPr>
          <w:rFonts w:ascii="Book Antiqua" w:hAnsi="Book Antiqua"/>
        </w:rPr>
        <w:t xml:space="preserve"> score, hemorrhagic shock at admission (systemic blood pressure &lt;</w:t>
      </w:r>
      <w:r w:rsidR="000B4B3F" w:rsidRPr="00B20780">
        <w:rPr>
          <w:rFonts w:ascii="Book Antiqua" w:hAnsi="Book Antiqua"/>
        </w:rPr>
        <w:t xml:space="preserve"> </w:t>
      </w:r>
      <w:r w:rsidRPr="00B20780">
        <w:rPr>
          <w:rFonts w:ascii="Book Antiqua" w:hAnsi="Book Antiqua"/>
        </w:rPr>
        <w:t>100 mmHg and/or pulse rate &gt;</w:t>
      </w:r>
      <w:r w:rsidR="00916BD4" w:rsidRPr="00B20780">
        <w:rPr>
          <w:rFonts w:ascii="Book Antiqua" w:hAnsi="Book Antiqua"/>
        </w:rPr>
        <w:t xml:space="preserve"> </w:t>
      </w:r>
      <w:r w:rsidRPr="00B20780">
        <w:rPr>
          <w:rFonts w:ascii="Book Antiqua" w:hAnsi="Book Antiqua"/>
        </w:rPr>
        <w:t xml:space="preserve">100 beats per minutes), </w:t>
      </w:r>
      <w:proofErr w:type="spellStart"/>
      <w:r w:rsidRPr="00B20780">
        <w:rPr>
          <w:rFonts w:ascii="Book Antiqua" w:hAnsi="Book Antiqua"/>
        </w:rPr>
        <w:t>rebleeding</w:t>
      </w:r>
      <w:proofErr w:type="spellEnd"/>
      <w:r w:rsidRPr="00B20780">
        <w:rPr>
          <w:rFonts w:ascii="Book Antiqua" w:hAnsi="Book Antiqua"/>
        </w:rPr>
        <w:t>, number of blood units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and the presence of respiratory comorbidities. Comorbidities such as sepsis and acute abdomen were also significantly associated with death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 xml:space="preserve">0.05) (Table </w:t>
      </w:r>
      <w:r w:rsidR="00E04195" w:rsidRPr="00B20780">
        <w:rPr>
          <w:rFonts w:ascii="Book Antiqua" w:hAnsi="Book Antiqua"/>
        </w:rPr>
        <w:t>6</w:t>
      </w:r>
      <w:r w:rsidRPr="00B20780">
        <w:rPr>
          <w:rFonts w:ascii="Book Antiqua" w:hAnsi="Book Antiqua"/>
        </w:rPr>
        <w:t>).</w:t>
      </w:r>
    </w:p>
    <w:p w:rsidR="00187450" w:rsidRPr="00B20780" w:rsidRDefault="00187450" w:rsidP="00DE7591">
      <w:pPr>
        <w:pStyle w:val="a3"/>
        <w:spacing w:before="0" w:beforeAutospacing="0" w:after="0" w:afterAutospacing="0" w:line="360" w:lineRule="auto"/>
        <w:jc w:val="both"/>
        <w:rPr>
          <w:rFonts w:ascii="Book Antiqua" w:hAnsi="Book Antiqua"/>
          <w:b/>
        </w:rPr>
      </w:pPr>
    </w:p>
    <w:p w:rsidR="00E42C33" w:rsidRPr="00B20780" w:rsidRDefault="00E42C33" w:rsidP="00DE7591">
      <w:pPr>
        <w:pStyle w:val="a3"/>
        <w:spacing w:before="0" w:beforeAutospacing="0" w:after="0" w:afterAutospacing="0" w:line="360" w:lineRule="auto"/>
        <w:jc w:val="both"/>
        <w:rPr>
          <w:rFonts w:ascii="Book Antiqua" w:hAnsi="Book Antiqua"/>
          <w:b/>
          <w:i/>
          <w:iCs/>
        </w:rPr>
      </w:pPr>
      <w:r w:rsidRPr="00B20780">
        <w:rPr>
          <w:rFonts w:ascii="Book Antiqua" w:hAnsi="Book Antiqua"/>
          <w:b/>
          <w:i/>
          <w:iCs/>
        </w:rPr>
        <w:t>Parameters associated with in-hospital death</w:t>
      </w:r>
    </w:p>
    <w:p w:rsidR="00E42C33" w:rsidRPr="00B20780" w:rsidRDefault="00E42C33" w:rsidP="00DE7591">
      <w:pPr>
        <w:pStyle w:val="a3"/>
        <w:spacing w:before="0" w:beforeAutospacing="0" w:after="0" w:afterAutospacing="0" w:line="360" w:lineRule="auto"/>
        <w:jc w:val="both"/>
        <w:rPr>
          <w:rFonts w:ascii="Book Antiqua" w:hAnsi="Book Antiqua"/>
        </w:rPr>
      </w:pPr>
      <w:r w:rsidRPr="00B20780">
        <w:rPr>
          <w:rFonts w:ascii="Book Antiqua" w:hAnsi="Book Antiqua"/>
        </w:rPr>
        <w:t>As in the case of death due to a bleeding episode,</w:t>
      </w:r>
      <w:r w:rsidRPr="00B20780">
        <w:rPr>
          <w:rFonts w:ascii="Book Antiqua" w:hAnsi="Book Antiqua"/>
          <w:b/>
        </w:rPr>
        <w:t xml:space="preserve"> </w:t>
      </w:r>
      <w:r w:rsidRPr="00B20780">
        <w:rPr>
          <w:rFonts w:ascii="Book Antiqua" w:hAnsi="Book Antiqua"/>
        </w:rPr>
        <w:t xml:space="preserve">statistical analysis showed that patients who died during hospitalization were significantly older, had a higher </w:t>
      </w:r>
      <w:proofErr w:type="spellStart"/>
      <w:r w:rsidRPr="00B20780">
        <w:rPr>
          <w:rFonts w:ascii="Book Antiqua" w:hAnsi="Book Antiqua"/>
        </w:rPr>
        <w:t>Rockall</w:t>
      </w:r>
      <w:proofErr w:type="spellEnd"/>
      <w:r w:rsidRPr="00B20780">
        <w:rPr>
          <w:rFonts w:ascii="Book Antiqua" w:hAnsi="Book Antiqua"/>
        </w:rPr>
        <w:t xml:space="preserve"> score, had a lower level of hemoglobin and died in a short period after admission (median hospitalization leng</w:t>
      </w:r>
      <w:r w:rsidR="00E04195" w:rsidRPr="00B20780">
        <w:rPr>
          <w:rFonts w:ascii="Book Antiqua" w:hAnsi="Book Antiqua"/>
        </w:rPr>
        <w:t>th of 2 d) (</w:t>
      </w:r>
      <w:r w:rsidR="000B4B3F" w:rsidRPr="00B20780">
        <w:rPr>
          <w:rFonts w:ascii="Book Antiqua" w:hAnsi="Book Antiqua"/>
          <w:i/>
          <w:iCs/>
        </w:rPr>
        <w:t>P</w:t>
      </w:r>
      <w:r w:rsidR="000B4B3F" w:rsidRPr="00B20780">
        <w:rPr>
          <w:rFonts w:ascii="Book Antiqua" w:hAnsi="Book Antiqua"/>
        </w:rPr>
        <w:t xml:space="preserve"> &lt; </w:t>
      </w:r>
      <w:r w:rsidR="00E04195" w:rsidRPr="00B20780">
        <w:rPr>
          <w:rFonts w:ascii="Book Antiqua" w:hAnsi="Book Antiqua"/>
        </w:rPr>
        <w:t>0.001) (Table 7</w:t>
      </w:r>
      <w:r w:rsidRPr="00B20780">
        <w:rPr>
          <w:rFonts w:ascii="Book Antiqua" w:hAnsi="Book Antiqua"/>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Using univariate analysis, variables independently and extremely significantly</w:t>
      </w:r>
      <w:r w:rsidR="00B14EC2" w:rsidRPr="00B20780">
        <w:rPr>
          <w:rFonts w:ascii="Book Antiqua" w:hAnsi="Book Antiqua"/>
        </w:rPr>
        <w:t xml:space="preserve"> </w:t>
      </w:r>
      <w:r w:rsidRPr="00B20780">
        <w:rPr>
          <w:rFonts w:ascii="Book Antiqua" w:hAnsi="Book Antiqua"/>
        </w:rPr>
        <w:t xml:space="preserve">associated with death were type of lesion (gastric ulcer was associated with the </w:t>
      </w:r>
      <w:r w:rsidRPr="00B20780">
        <w:rPr>
          <w:rFonts w:ascii="Book Antiqua" w:hAnsi="Book Antiqua"/>
        </w:rPr>
        <w:lastRenderedPageBreak/>
        <w:t xml:space="preserve">highest number of deaths </w:t>
      </w:r>
      <w:r w:rsidR="00AF0E5D" w:rsidRPr="00B20780">
        <w:rPr>
          <w:rFonts w:ascii="Book Antiqua" w:hAnsi="Book Antiqua"/>
        </w:rPr>
        <w:t>-</w:t>
      </w:r>
      <w:r w:rsidRPr="00B20780">
        <w:rPr>
          <w:rFonts w:ascii="Book Antiqua" w:hAnsi="Book Antiqua"/>
        </w:rPr>
        <w:t xml:space="preserve"> 41 cases, meaning 32.03% of all deaths), </w:t>
      </w:r>
      <w:proofErr w:type="spellStart"/>
      <w:r w:rsidRPr="00B20780">
        <w:rPr>
          <w:rFonts w:ascii="Book Antiqua" w:hAnsi="Book Antiqua"/>
        </w:rPr>
        <w:t>Rockall</w:t>
      </w:r>
      <w:proofErr w:type="spellEnd"/>
      <w:r w:rsidRPr="00B20780">
        <w:rPr>
          <w:rFonts w:ascii="Book Antiqua" w:hAnsi="Book Antiqua"/>
        </w:rPr>
        <w:t xml:space="preserve"> score, hemorrhagic shock at admission (systemic blood pressure &lt;</w:t>
      </w:r>
      <w:r w:rsidR="000B4B3F" w:rsidRPr="00B20780">
        <w:rPr>
          <w:rFonts w:ascii="Book Antiqua" w:hAnsi="Book Antiqua"/>
        </w:rPr>
        <w:t xml:space="preserve"> </w:t>
      </w:r>
      <w:r w:rsidRPr="00B20780">
        <w:rPr>
          <w:rFonts w:ascii="Book Antiqua" w:hAnsi="Book Antiqua"/>
        </w:rPr>
        <w:t>100 mmHg and/or pulse rate &gt;</w:t>
      </w:r>
      <w:r w:rsidR="000B4B3F" w:rsidRPr="00B20780">
        <w:rPr>
          <w:rFonts w:ascii="Book Antiqua" w:hAnsi="Book Antiqua"/>
        </w:rPr>
        <w:t xml:space="preserve"> </w:t>
      </w:r>
      <w:r w:rsidRPr="00B20780">
        <w:rPr>
          <w:rFonts w:ascii="Book Antiqua" w:hAnsi="Book Antiqua"/>
        </w:rPr>
        <w:t>100 beats per minutes), hospitalization length and number of blood units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Comorbidities such as respiratory and renal diseases, sepsis, and acute pancreatitis as well as liver cirrhosis were also extremely significantly associated with death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Moreover, consumption of aspirin and NSAIDs, need for surgery, and existence of neoplasia were significantly associa</w:t>
      </w:r>
      <w:r w:rsidR="00E04195" w:rsidRPr="00B20780">
        <w:rPr>
          <w:rFonts w:ascii="Book Antiqua" w:hAnsi="Book Antiqua"/>
        </w:rPr>
        <w:t>ted with death (</w:t>
      </w:r>
      <w:r w:rsidR="000B4B3F" w:rsidRPr="00B20780">
        <w:rPr>
          <w:rFonts w:ascii="Book Antiqua" w:hAnsi="Book Antiqua"/>
          <w:i/>
          <w:iCs/>
        </w:rPr>
        <w:t>P</w:t>
      </w:r>
      <w:r w:rsidR="000B4B3F" w:rsidRPr="00B20780">
        <w:rPr>
          <w:rFonts w:ascii="Book Antiqua" w:hAnsi="Book Antiqua"/>
        </w:rPr>
        <w:t xml:space="preserve"> &lt; </w:t>
      </w:r>
      <w:r w:rsidR="00E04195" w:rsidRPr="00B20780">
        <w:rPr>
          <w:rFonts w:ascii="Book Antiqua" w:hAnsi="Book Antiqua"/>
        </w:rPr>
        <w:t>0.05) (Table 8</w:t>
      </w:r>
      <w:r w:rsidRPr="00B20780">
        <w:rPr>
          <w:rFonts w:ascii="Book Antiqua" w:hAnsi="Book Antiqua"/>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Multivariate analysis demonstrated that the variables significantly associated with death were </w:t>
      </w:r>
      <w:proofErr w:type="spellStart"/>
      <w:r w:rsidRPr="00B20780">
        <w:rPr>
          <w:rFonts w:ascii="Book Antiqua" w:hAnsi="Book Antiqua"/>
        </w:rPr>
        <w:t>Rockall</w:t>
      </w:r>
      <w:proofErr w:type="spellEnd"/>
      <w:r w:rsidRPr="00B20780">
        <w:rPr>
          <w:rFonts w:ascii="Book Antiqua" w:hAnsi="Book Antiqua"/>
        </w:rPr>
        <w:t xml:space="preserve"> score (OR: 1.73; 95%CI: 1.53</w:t>
      </w:r>
      <w:r w:rsidR="00AF0E5D" w:rsidRPr="00B20780">
        <w:rPr>
          <w:rFonts w:ascii="Book Antiqua" w:hAnsi="Book Antiqua"/>
        </w:rPr>
        <w:t>-</w:t>
      </w:r>
      <w:r w:rsidRPr="00B20780">
        <w:rPr>
          <w:rFonts w:ascii="Book Antiqua" w:hAnsi="Book Antiqua"/>
        </w:rPr>
        <w:t xml:space="preserve">1.96,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respiratory comorbidities (OR: 3.29; 95%CI: 2.06</w:t>
      </w:r>
      <w:r w:rsidR="000B4B3F" w:rsidRPr="00B20780">
        <w:rPr>
          <w:rFonts w:ascii="Book Antiqua" w:hAnsi="Book Antiqua"/>
        </w:rPr>
        <w:t>-</w:t>
      </w:r>
      <w:r w:rsidRPr="00B20780">
        <w:rPr>
          <w:rFonts w:ascii="Book Antiqua" w:hAnsi="Book Antiqua"/>
        </w:rPr>
        <w:t xml:space="preserve">5.25,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liver cirrhosis (OR: 2.91; 95%CI: 1.64</w:t>
      </w:r>
      <w:r w:rsidR="000B4B3F" w:rsidRPr="00B20780">
        <w:rPr>
          <w:rFonts w:ascii="Book Antiqua" w:hAnsi="Book Antiqua"/>
        </w:rPr>
        <w:t>-</w:t>
      </w:r>
      <w:r w:rsidRPr="00B20780">
        <w:rPr>
          <w:rFonts w:ascii="Book Antiqua" w:hAnsi="Book Antiqua"/>
        </w:rPr>
        <w:t xml:space="preserve">5.15, </w:t>
      </w:r>
      <w:r w:rsidR="000B4B3F" w:rsidRPr="00B20780">
        <w:rPr>
          <w:rFonts w:ascii="Book Antiqua" w:hAnsi="Book Antiqua"/>
          <w:i/>
          <w:iCs/>
        </w:rPr>
        <w:t>P</w:t>
      </w:r>
      <w:r w:rsidR="000B4B3F" w:rsidRPr="00B20780">
        <w:rPr>
          <w:rFonts w:ascii="Book Antiqua" w:hAnsi="Book Antiqua"/>
        </w:rPr>
        <w:t xml:space="preserve"> &lt; </w:t>
      </w:r>
      <w:r w:rsidRPr="00B20780">
        <w:rPr>
          <w:rFonts w:ascii="Book Antiqua" w:hAnsi="Book Antiqua"/>
        </w:rPr>
        <w:t>0.001), sepsis (OR: 8.03; 9</w:t>
      </w:r>
      <w:r w:rsidR="000A2CB8" w:rsidRPr="00B20780">
        <w:rPr>
          <w:rFonts w:ascii="Book Antiqua" w:hAnsi="Book Antiqua"/>
        </w:rPr>
        <w:t>5%CI: 3.81</w:t>
      </w:r>
      <w:r w:rsidR="000B4B3F" w:rsidRPr="00B20780">
        <w:rPr>
          <w:rFonts w:ascii="Book Antiqua" w:hAnsi="Book Antiqua"/>
        </w:rPr>
        <w:t>-</w:t>
      </w:r>
      <w:r w:rsidR="000A2CB8" w:rsidRPr="00B20780">
        <w:rPr>
          <w:rFonts w:ascii="Book Antiqua" w:hAnsi="Book Antiqua"/>
        </w:rPr>
        <w:t xml:space="preserve">16.93, </w:t>
      </w:r>
      <w:r w:rsidR="000B4B3F" w:rsidRPr="00B20780">
        <w:rPr>
          <w:rFonts w:ascii="Book Antiqua" w:hAnsi="Book Antiqua"/>
          <w:i/>
          <w:iCs/>
        </w:rPr>
        <w:t>P</w:t>
      </w:r>
      <w:r w:rsidR="000B4B3F" w:rsidRPr="00B20780">
        <w:rPr>
          <w:rFonts w:ascii="Book Antiqua" w:hAnsi="Book Antiqua"/>
        </w:rPr>
        <w:t xml:space="preserve"> &lt; </w:t>
      </w:r>
      <w:r w:rsidR="000A2CB8" w:rsidRPr="00B20780">
        <w:rPr>
          <w:rFonts w:ascii="Book Antiqua" w:hAnsi="Book Antiqua"/>
        </w:rPr>
        <w:t xml:space="preserve">0.001) and </w:t>
      </w:r>
      <w:r w:rsidRPr="00B20780">
        <w:rPr>
          <w:rFonts w:ascii="Book Antiqua" w:hAnsi="Book Antiqua"/>
        </w:rPr>
        <w:t>acute pancreatitis (OR: 6.58; 95%C</w:t>
      </w:r>
      <w:r w:rsidR="00E04195" w:rsidRPr="00B20780">
        <w:rPr>
          <w:rFonts w:ascii="Book Antiqua" w:hAnsi="Book Antiqua"/>
        </w:rPr>
        <w:t>I: 1.04</w:t>
      </w:r>
      <w:r w:rsidR="000B4B3F" w:rsidRPr="00B20780">
        <w:rPr>
          <w:rFonts w:ascii="Book Antiqua" w:hAnsi="Book Antiqua"/>
        </w:rPr>
        <w:t>-</w:t>
      </w:r>
      <w:r w:rsidR="00E04195" w:rsidRPr="00B20780">
        <w:rPr>
          <w:rFonts w:ascii="Book Antiqua" w:hAnsi="Book Antiqua"/>
        </w:rPr>
        <w:t xml:space="preserve">41.63, </w:t>
      </w:r>
      <w:r w:rsidR="000B4B3F" w:rsidRPr="00B20780">
        <w:rPr>
          <w:rFonts w:ascii="Book Antiqua" w:hAnsi="Book Antiqua"/>
          <w:i/>
          <w:iCs/>
        </w:rPr>
        <w:t>P</w:t>
      </w:r>
      <w:r w:rsidR="000B4B3F" w:rsidRPr="00B20780">
        <w:rPr>
          <w:rFonts w:ascii="Book Antiqua" w:hAnsi="Book Antiqua"/>
        </w:rPr>
        <w:t xml:space="preserve"> &lt; </w:t>
      </w:r>
      <w:r w:rsidR="00E04195" w:rsidRPr="00B20780">
        <w:rPr>
          <w:rFonts w:ascii="Book Antiqua" w:hAnsi="Book Antiqua"/>
        </w:rPr>
        <w:t>0.05) (Table 9</w:t>
      </w:r>
      <w:r w:rsidRPr="00B20780">
        <w:rPr>
          <w:rFonts w:ascii="Book Antiqua" w:hAnsi="Book Antiqua"/>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Based on these results, we perform</w:t>
      </w:r>
      <w:r w:rsidR="00E04195" w:rsidRPr="00B20780">
        <w:rPr>
          <w:rFonts w:ascii="Book Antiqua" w:hAnsi="Book Antiqua"/>
        </w:rPr>
        <w:t>ed a predictive model for death</w:t>
      </w:r>
      <w:r w:rsidRPr="00B20780">
        <w:rPr>
          <w:rFonts w:ascii="Book Antiqua" w:hAnsi="Book Antiqua"/>
        </w:rPr>
        <w:t xml:space="preserve">. The model presented Se of 19.13%, </w:t>
      </w:r>
      <w:proofErr w:type="spellStart"/>
      <w:r w:rsidRPr="00B20780">
        <w:rPr>
          <w:rFonts w:ascii="Book Antiqua" w:hAnsi="Book Antiqua"/>
        </w:rPr>
        <w:t>Sp</w:t>
      </w:r>
      <w:proofErr w:type="spellEnd"/>
      <w:r w:rsidRPr="00B20780">
        <w:rPr>
          <w:rFonts w:ascii="Book Antiqua" w:hAnsi="Book Antiqua"/>
        </w:rPr>
        <w:t xml:space="preserve"> of 99.24%, </w:t>
      </w:r>
      <w:proofErr w:type="gramStart"/>
      <w:r w:rsidRPr="00B20780">
        <w:rPr>
          <w:rFonts w:ascii="Book Antiqua" w:hAnsi="Book Antiqua"/>
        </w:rPr>
        <w:t>PPV</w:t>
      </w:r>
      <w:proofErr w:type="gramEnd"/>
      <w:r w:rsidRPr="00B20780">
        <w:rPr>
          <w:rFonts w:ascii="Book Antiqua" w:hAnsi="Book Antiqua"/>
        </w:rPr>
        <w:t xml:space="preserve"> of 66.67% and NPV of 93.90%. The accuracy of our model was 93.32%. Although the predictive model had a low sensitivity, the specificity was very high. Therefore, it had a very powerful discriminative capacity for identifying patients who would not die, hence identifying NVUDB patients with a favorable prognosis.</w:t>
      </w:r>
    </w:p>
    <w:p w:rsidR="00E42C33" w:rsidRPr="00B20780" w:rsidRDefault="00E42C33" w:rsidP="00DE7591">
      <w:pPr>
        <w:spacing w:after="0" w:line="360" w:lineRule="auto"/>
        <w:ind w:firstLineChars="100" w:firstLine="240"/>
        <w:jc w:val="both"/>
        <w:rPr>
          <w:rFonts w:ascii="Book Antiqua" w:hAnsi="Book Antiqua"/>
          <w:sz w:val="24"/>
          <w:szCs w:val="24"/>
        </w:rPr>
      </w:pPr>
      <w:r w:rsidRPr="00B20780">
        <w:rPr>
          <w:rFonts w:ascii="Book Antiqua" w:hAnsi="Book Antiqua"/>
          <w:sz w:val="24"/>
          <w:szCs w:val="24"/>
        </w:rPr>
        <w:t>Using the area under the ROC curve, our predictive model for death obtained an AUROC value of 0.85 (Figure 4).</w:t>
      </w:r>
    </w:p>
    <w:p w:rsidR="00187450" w:rsidRPr="00B20780" w:rsidRDefault="00187450" w:rsidP="00DE7591">
      <w:pPr>
        <w:spacing w:after="0" w:line="360" w:lineRule="auto"/>
        <w:ind w:firstLineChars="100" w:firstLine="240"/>
        <w:jc w:val="both"/>
        <w:rPr>
          <w:rFonts w:ascii="Book Antiqua" w:hAnsi="Book Antiqua"/>
          <w:sz w:val="24"/>
          <w:szCs w:val="24"/>
        </w:rPr>
      </w:pPr>
    </w:p>
    <w:p w:rsidR="00E42C33" w:rsidRPr="00B20780" w:rsidRDefault="00187450" w:rsidP="00DE7591">
      <w:pPr>
        <w:spacing w:after="0" w:line="360" w:lineRule="auto"/>
        <w:jc w:val="both"/>
        <w:rPr>
          <w:rFonts w:ascii="Book Antiqua" w:hAnsi="Book Antiqua"/>
          <w:b/>
          <w:sz w:val="24"/>
          <w:szCs w:val="24"/>
        </w:rPr>
      </w:pPr>
      <w:r w:rsidRPr="00B20780">
        <w:rPr>
          <w:rFonts w:ascii="Book Antiqua" w:hAnsi="Book Antiqua"/>
          <w:b/>
          <w:sz w:val="24"/>
          <w:szCs w:val="24"/>
        </w:rPr>
        <w:t>DISCUSSION</w:t>
      </w:r>
    </w:p>
    <w:p w:rsidR="00E42C33" w:rsidRPr="00B20780" w:rsidRDefault="00E42C33" w:rsidP="00DE7591">
      <w:pPr>
        <w:spacing w:after="0" w:line="360" w:lineRule="auto"/>
        <w:jc w:val="both"/>
        <w:rPr>
          <w:rFonts w:ascii="Book Antiqua" w:hAnsi="Book Antiqua"/>
          <w:b/>
          <w:sz w:val="24"/>
          <w:szCs w:val="24"/>
        </w:rPr>
      </w:pPr>
      <w:r w:rsidRPr="00B20780">
        <w:rPr>
          <w:rFonts w:ascii="Book Antiqua" w:hAnsi="Book Antiqua"/>
          <w:sz w:val="24"/>
          <w:szCs w:val="24"/>
          <w:lang w:eastAsia="ro-RO"/>
        </w:rPr>
        <w:t>Many studies have been performed in order to identify predictors of negative outcomes in NVUDB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surgery, and death) on which to decide the timing of discharge in these patients and select the proper management according to risk </w:t>
      </w:r>
      <w:proofErr w:type="gramStart"/>
      <w:r w:rsidRPr="00B20780">
        <w:rPr>
          <w:rFonts w:ascii="Book Antiqua" w:hAnsi="Book Antiqua"/>
          <w:sz w:val="24"/>
          <w:szCs w:val="24"/>
          <w:lang w:eastAsia="ro-RO"/>
        </w:rPr>
        <w:t>stratification</w:t>
      </w:r>
      <w:r w:rsidRPr="00B20780">
        <w:rPr>
          <w:rFonts w:ascii="Book Antiqua" w:hAnsi="Book Antiqua"/>
          <w:sz w:val="24"/>
          <w:szCs w:val="24"/>
          <w:vertAlign w:val="superscript"/>
        </w:rPr>
        <w:t>[</w:t>
      </w:r>
      <w:proofErr w:type="gramEnd"/>
      <w:r w:rsidRPr="00B20780">
        <w:rPr>
          <w:rFonts w:ascii="Book Antiqua" w:hAnsi="Book Antiqua"/>
          <w:sz w:val="24"/>
          <w:szCs w:val="24"/>
          <w:vertAlign w:val="superscript"/>
        </w:rPr>
        <w:t>6]</w:t>
      </w:r>
      <w:r w:rsidRPr="00B20780">
        <w:rPr>
          <w:rFonts w:ascii="Book Antiqua" w:hAnsi="Book Antiqua"/>
          <w:sz w:val="24"/>
          <w:szCs w:val="24"/>
        </w:rPr>
        <w:t>.</w:t>
      </w:r>
    </w:p>
    <w:p w:rsidR="00E42C33"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Our study reveals both differences and similarities compared to other similar research</w:t>
      </w:r>
      <w:r w:rsidR="005F1994" w:rsidRPr="00B20780">
        <w:rPr>
          <w:rFonts w:ascii="Book Antiqua" w:hAnsi="Book Antiqua"/>
          <w:sz w:val="24"/>
          <w:szCs w:val="24"/>
          <w:lang w:eastAsia="ro-RO"/>
        </w:rPr>
        <w:t xml:space="preserve"> (Table 10</w:t>
      </w:r>
      <w:proofErr w:type="gramStart"/>
      <w:r w:rsidR="005F1994" w:rsidRPr="00B20780">
        <w:rPr>
          <w:rFonts w:ascii="Book Antiqua" w:hAnsi="Book Antiqua"/>
          <w:sz w:val="24"/>
          <w:szCs w:val="24"/>
          <w:lang w:eastAsia="ro-RO"/>
        </w:rPr>
        <w:t>)</w:t>
      </w:r>
      <w:r w:rsidR="00D00147" w:rsidRPr="00B20780">
        <w:rPr>
          <w:rFonts w:ascii="Book Antiqua" w:hAnsi="Book Antiqua"/>
          <w:sz w:val="24"/>
          <w:szCs w:val="24"/>
          <w:vertAlign w:val="superscript"/>
          <w:lang w:eastAsia="ro-RO"/>
        </w:rPr>
        <w:t>[</w:t>
      </w:r>
      <w:proofErr w:type="gramEnd"/>
      <w:r w:rsidR="00D00147" w:rsidRPr="00B20780">
        <w:rPr>
          <w:rFonts w:ascii="Book Antiqua" w:hAnsi="Book Antiqua"/>
          <w:sz w:val="24"/>
          <w:szCs w:val="24"/>
          <w:vertAlign w:val="superscript"/>
          <w:lang w:eastAsia="ro-RO"/>
        </w:rPr>
        <w:t>1-17</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 xml:space="preserve">. </w:t>
      </w:r>
      <w:r w:rsidR="008A6691" w:rsidRPr="00B20780">
        <w:rPr>
          <w:rFonts w:ascii="Book Antiqua" w:hAnsi="Book Antiqua"/>
          <w:sz w:val="24"/>
          <w:szCs w:val="24"/>
          <w:lang w:eastAsia="ro-RO"/>
        </w:rPr>
        <w:t>The</w:t>
      </w:r>
      <w:r w:rsidR="00CC2AF1" w:rsidRPr="00B20780">
        <w:rPr>
          <w:rFonts w:ascii="Book Antiqua" w:hAnsi="Book Antiqua"/>
          <w:sz w:val="24"/>
          <w:szCs w:val="24"/>
          <w:lang w:eastAsia="ro-RO"/>
        </w:rPr>
        <w:t xml:space="preserve"> </w:t>
      </w:r>
      <w:r w:rsidR="00011028" w:rsidRPr="00B20780">
        <w:rPr>
          <w:rFonts w:ascii="Book Antiqua" w:hAnsi="Book Antiqua"/>
          <w:sz w:val="24"/>
          <w:szCs w:val="24"/>
          <w:lang w:eastAsia="ro-RO"/>
        </w:rPr>
        <w:t xml:space="preserve">age of patients may be </w:t>
      </w:r>
      <w:r w:rsidR="00011028" w:rsidRPr="00B20780">
        <w:rPr>
          <w:rFonts w:ascii="Book Antiqua" w:hAnsi="Book Antiqua"/>
          <w:sz w:val="24"/>
          <w:szCs w:val="24"/>
        </w:rPr>
        <w:t>the</w:t>
      </w:r>
      <w:r w:rsidR="00011028" w:rsidRPr="00B20780">
        <w:rPr>
          <w:rFonts w:ascii="Book Antiqua" w:hAnsi="Book Antiqua"/>
          <w:sz w:val="24"/>
          <w:szCs w:val="24"/>
          <w:lang w:eastAsia="ro-RO"/>
        </w:rPr>
        <w:t xml:space="preserve"> result of the age distribution of </w:t>
      </w:r>
      <w:r w:rsidR="00BE45FC" w:rsidRPr="00B20780">
        <w:rPr>
          <w:rFonts w:ascii="Book Antiqua" w:hAnsi="Book Antiqua"/>
          <w:sz w:val="24"/>
          <w:szCs w:val="24"/>
          <w:lang w:eastAsia="ro-RO"/>
        </w:rPr>
        <w:t>different</w:t>
      </w:r>
      <w:r w:rsidR="00011028" w:rsidRPr="00B20780">
        <w:rPr>
          <w:rFonts w:ascii="Book Antiqua" w:hAnsi="Book Antiqua"/>
          <w:sz w:val="24"/>
          <w:szCs w:val="24"/>
          <w:lang w:eastAsia="ro-RO"/>
        </w:rPr>
        <w:t xml:space="preserve"> </w:t>
      </w:r>
      <w:proofErr w:type="gramStart"/>
      <w:r w:rsidR="00011028" w:rsidRPr="00B20780">
        <w:rPr>
          <w:rFonts w:ascii="Book Antiqua" w:hAnsi="Book Antiqua"/>
          <w:sz w:val="24"/>
          <w:szCs w:val="24"/>
          <w:lang w:eastAsia="ro-RO"/>
        </w:rPr>
        <w:t>population</w:t>
      </w:r>
      <w:r w:rsidR="00BE45FC" w:rsidRPr="00B20780">
        <w:rPr>
          <w:rFonts w:ascii="Book Antiqua" w:hAnsi="Book Antiqua"/>
          <w:sz w:val="24"/>
          <w:szCs w:val="24"/>
          <w:lang w:eastAsia="ro-RO"/>
        </w:rPr>
        <w:t>s</w:t>
      </w:r>
      <w:r w:rsidR="008A6691" w:rsidRPr="00B20780">
        <w:rPr>
          <w:rFonts w:ascii="Book Antiqua" w:hAnsi="Book Antiqua"/>
          <w:sz w:val="24"/>
          <w:szCs w:val="24"/>
          <w:vertAlign w:val="superscript"/>
          <w:lang w:eastAsia="ro-RO"/>
        </w:rPr>
        <w:t>[</w:t>
      </w:r>
      <w:proofErr w:type="gramEnd"/>
      <w:r w:rsidR="00D00147" w:rsidRPr="00B20780">
        <w:rPr>
          <w:rFonts w:ascii="Book Antiqua" w:hAnsi="Book Antiqua"/>
          <w:sz w:val="24"/>
          <w:szCs w:val="24"/>
          <w:vertAlign w:val="superscript"/>
          <w:lang w:eastAsia="ro-RO"/>
        </w:rPr>
        <w:t>1</w:t>
      </w:r>
      <w:r w:rsidR="000B4B3F" w:rsidRPr="00B20780">
        <w:rPr>
          <w:rFonts w:ascii="Book Antiqua" w:hAnsi="Book Antiqua"/>
          <w:sz w:val="24"/>
          <w:szCs w:val="24"/>
          <w:vertAlign w:val="superscript"/>
          <w:lang w:eastAsia="ro-RO"/>
        </w:rPr>
        <w:t>,</w:t>
      </w:r>
      <w:r w:rsidR="00D00147" w:rsidRPr="00B20780">
        <w:rPr>
          <w:rFonts w:ascii="Book Antiqua" w:hAnsi="Book Antiqua"/>
          <w:sz w:val="24"/>
          <w:szCs w:val="24"/>
          <w:vertAlign w:val="superscript"/>
          <w:lang w:eastAsia="ro-RO"/>
        </w:rPr>
        <w:t>14</w:t>
      </w:r>
      <w:r w:rsidR="000B4B3F" w:rsidRPr="00B20780">
        <w:rPr>
          <w:rFonts w:ascii="Book Antiqua" w:hAnsi="Book Antiqua"/>
          <w:sz w:val="24"/>
          <w:szCs w:val="24"/>
          <w:vertAlign w:val="superscript"/>
          <w:lang w:eastAsia="ro-RO"/>
        </w:rPr>
        <w:t>,</w:t>
      </w:r>
      <w:r w:rsidR="00D00147" w:rsidRPr="00B20780">
        <w:rPr>
          <w:rFonts w:ascii="Book Antiqua" w:hAnsi="Book Antiqua"/>
          <w:sz w:val="24"/>
          <w:szCs w:val="24"/>
          <w:vertAlign w:val="superscript"/>
          <w:lang w:eastAsia="ro-RO"/>
        </w:rPr>
        <w:t>18</w:t>
      </w:r>
      <w:r w:rsidR="008A6691" w:rsidRPr="00B20780">
        <w:rPr>
          <w:rFonts w:ascii="Book Antiqua" w:hAnsi="Book Antiqua"/>
          <w:sz w:val="24"/>
          <w:szCs w:val="24"/>
          <w:vertAlign w:val="superscript"/>
          <w:lang w:eastAsia="ro-RO"/>
        </w:rPr>
        <w:t>]</w:t>
      </w:r>
      <w:r w:rsidR="00011028" w:rsidRPr="00B20780">
        <w:rPr>
          <w:rFonts w:ascii="Book Antiqua" w:hAnsi="Book Antiqua"/>
          <w:sz w:val="24"/>
          <w:szCs w:val="24"/>
          <w:lang w:eastAsia="ro-RO"/>
        </w:rPr>
        <w:t>.</w:t>
      </w:r>
      <w:r w:rsidR="00BE45FC" w:rsidRPr="00B20780">
        <w:rPr>
          <w:rFonts w:ascii="Book Antiqua" w:hAnsi="Book Antiqua"/>
          <w:sz w:val="24"/>
          <w:szCs w:val="24"/>
          <w:lang w:eastAsia="ro-RO"/>
        </w:rPr>
        <w:t xml:space="preserve"> </w:t>
      </w:r>
      <w:r w:rsidRPr="00B20780">
        <w:rPr>
          <w:rFonts w:ascii="Book Antiqua" w:hAnsi="Book Antiqua"/>
          <w:sz w:val="24"/>
          <w:szCs w:val="24"/>
          <w:lang w:eastAsia="ro-RO"/>
        </w:rPr>
        <w:t>In conformity with the literature, our results revealed that peptic ulcer represents the most common etiology of NVUDB (73% of cases</w:t>
      </w:r>
      <w:proofErr w:type="gramStart"/>
      <w:r w:rsidRPr="00B20780">
        <w:rPr>
          <w:rFonts w:ascii="Book Antiqua" w:hAnsi="Book Antiqua"/>
          <w:sz w:val="24"/>
          <w:szCs w:val="24"/>
          <w:lang w:eastAsia="ro-RO"/>
        </w:rPr>
        <w:t>)</w:t>
      </w:r>
      <w:r w:rsidR="00ED362A" w:rsidRPr="00B20780">
        <w:rPr>
          <w:rFonts w:ascii="Book Antiqua" w:hAnsi="Book Antiqua"/>
          <w:sz w:val="24"/>
          <w:szCs w:val="24"/>
          <w:vertAlign w:val="superscript"/>
          <w:lang w:eastAsia="ro-RO"/>
        </w:rPr>
        <w:t>[</w:t>
      </w:r>
      <w:proofErr w:type="gramEnd"/>
      <w:r w:rsidR="00D00147" w:rsidRPr="00B20780">
        <w:rPr>
          <w:rFonts w:ascii="Book Antiqua" w:hAnsi="Book Antiqua"/>
          <w:sz w:val="24"/>
          <w:szCs w:val="24"/>
          <w:vertAlign w:val="superscript"/>
          <w:lang w:eastAsia="ro-RO"/>
        </w:rPr>
        <w:t>7</w:t>
      </w:r>
      <w:r w:rsidR="00ED362A" w:rsidRPr="00B20780">
        <w:rPr>
          <w:rFonts w:ascii="Book Antiqua" w:hAnsi="Book Antiqua"/>
          <w:sz w:val="24"/>
          <w:szCs w:val="24"/>
          <w:vertAlign w:val="superscript"/>
          <w:lang w:eastAsia="ro-RO"/>
        </w:rPr>
        <w:t>]</w:t>
      </w:r>
      <w:r w:rsidRPr="00B20780">
        <w:rPr>
          <w:rFonts w:ascii="Book Antiqua" w:hAnsi="Book Antiqua"/>
          <w:sz w:val="24"/>
          <w:szCs w:val="24"/>
          <w:lang w:eastAsia="ro-RO"/>
        </w:rPr>
        <w:t xml:space="preserve">. </w:t>
      </w:r>
      <w:r w:rsidRPr="00B20780">
        <w:rPr>
          <w:rFonts w:ascii="Book Antiqua" w:hAnsi="Book Antiqua"/>
          <w:sz w:val="24"/>
          <w:szCs w:val="24"/>
        </w:rPr>
        <w:lastRenderedPageBreak/>
        <w:t xml:space="preserve">In our analysis,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was encountered in 7.72% of cases, and surgery was</w:t>
      </w:r>
      <w:r w:rsidR="00B14EC2" w:rsidRPr="00B20780">
        <w:rPr>
          <w:rFonts w:ascii="Book Antiqua" w:hAnsi="Book Antiqua"/>
          <w:sz w:val="24"/>
          <w:szCs w:val="24"/>
        </w:rPr>
        <w:t xml:space="preserve"> </w:t>
      </w:r>
      <w:r w:rsidRPr="00B20780">
        <w:rPr>
          <w:rFonts w:ascii="Book Antiqua" w:hAnsi="Book Antiqua"/>
          <w:sz w:val="24"/>
          <w:szCs w:val="24"/>
        </w:rPr>
        <w:t xml:space="preserve">needed in 3.22% of patients. </w:t>
      </w:r>
      <w:r w:rsidR="00ED362A" w:rsidRPr="00B20780">
        <w:rPr>
          <w:rFonts w:ascii="Book Antiqua" w:hAnsi="Book Antiqua"/>
          <w:sz w:val="24"/>
          <w:szCs w:val="24"/>
          <w:lang w:eastAsia="ro-RO"/>
        </w:rPr>
        <w:t xml:space="preserve">The differences of </w:t>
      </w:r>
      <w:proofErr w:type="spellStart"/>
      <w:r w:rsidR="00ED362A" w:rsidRPr="00B20780">
        <w:rPr>
          <w:rFonts w:ascii="Book Antiqua" w:hAnsi="Book Antiqua"/>
          <w:sz w:val="24"/>
          <w:szCs w:val="24"/>
          <w:lang w:eastAsia="ro-RO"/>
        </w:rPr>
        <w:t>rebleeding</w:t>
      </w:r>
      <w:proofErr w:type="spellEnd"/>
      <w:r w:rsidR="00ED362A" w:rsidRPr="00B20780">
        <w:rPr>
          <w:rFonts w:ascii="Book Antiqua" w:hAnsi="Book Antiqua"/>
          <w:sz w:val="24"/>
          <w:szCs w:val="24"/>
          <w:lang w:eastAsia="ro-RO"/>
        </w:rPr>
        <w:t xml:space="preserve"> rate among studies may be the result of various proportions of patients receiving combined endoscopic hemostasis </w:t>
      </w:r>
      <w:r w:rsidR="00ED362A" w:rsidRPr="00B20780">
        <w:rPr>
          <w:rFonts w:ascii="Book Antiqua" w:hAnsi="Book Antiqua"/>
          <w:i/>
          <w:sz w:val="24"/>
          <w:szCs w:val="24"/>
          <w:lang w:eastAsia="ro-RO"/>
        </w:rPr>
        <w:t>vs</w:t>
      </w:r>
      <w:r w:rsidR="00ED362A" w:rsidRPr="00B20780">
        <w:rPr>
          <w:rFonts w:ascii="Book Antiqua" w:hAnsi="Book Antiqua"/>
          <w:sz w:val="24"/>
          <w:szCs w:val="24"/>
          <w:lang w:eastAsia="ro-RO"/>
        </w:rPr>
        <w:t xml:space="preserve"> pharmacologic </w:t>
      </w:r>
      <w:proofErr w:type="gramStart"/>
      <w:r w:rsidR="00ED362A" w:rsidRPr="00B20780">
        <w:rPr>
          <w:rFonts w:ascii="Book Antiqua" w:hAnsi="Book Antiqua"/>
          <w:sz w:val="24"/>
          <w:szCs w:val="24"/>
          <w:lang w:eastAsia="ro-RO"/>
        </w:rPr>
        <w:t>therapy</w:t>
      </w:r>
      <w:r w:rsidR="00ED362A" w:rsidRPr="00B20780">
        <w:rPr>
          <w:rFonts w:ascii="Book Antiqua" w:hAnsi="Book Antiqua"/>
          <w:sz w:val="24"/>
          <w:szCs w:val="24"/>
          <w:vertAlign w:val="superscript"/>
          <w:lang w:eastAsia="ro-RO"/>
        </w:rPr>
        <w:t>[</w:t>
      </w:r>
      <w:proofErr w:type="gramEnd"/>
      <w:r w:rsidR="00D00147" w:rsidRPr="00B20780">
        <w:rPr>
          <w:rFonts w:ascii="Book Antiqua" w:hAnsi="Book Antiqua"/>
          <w:sz w:val="24"/>
          <w:szCs w:val="24"/>
          <w:vertAlign w:val="superscript"/>
          <w:lang w:eastAsia="ro-RO"/>
        </w:rPr>
        <w:t>9</w:t>
      </w:r>
      <w:r w:rsidR="000B4B3F" w:rsidRPr="00B20780">
        <w:rPr>
          <w:rFonts w:ascii="Book Antiqua" w:hAnsi="Book Antiqua"/>
          <w:sz w:val="24"/>
          <w:szCs w:val="24"/>
          <w:vertAlign w:val="superscript"/>
          <w:lang w:eastAsia="ro-RO"/>
        </w:rPr>
        <w:t>,</w:t>
      </w:r>
      <w:r w:rsidR="00D00147" w:rsidRPr="00B20780">
        <w:rPr>
          <w:rFonts w:ascii="Book Antiqua" w:hAnsi="Book Antiqua"/>
          <w:sz w:val="24"/>
          <w:szCs w:val="24"/>
          <w:vertAlign w:val="superscript"/>
          <w:lang w:eastAsia="ro-RO"/>
        </w:rPr>
        <w:t>18-22</w:t>
      </w:r>
      <w:r w:rsidR="00ED362A" w:rsidRPr="00B20780">
        <w:rPr>
          <w:rFonts w:ascii="Book Antiqua" w:hAnsi="Book Antiqua"/>
          <w:sz w:val="24"/>
          <w:szCs w:val="24"/>
          <w:vertAlign w:val="superscript"/>
          <w:lang w:eastAsia="ro-RO"/>
        </w:rPr>
        <w:t>]</w:t>
      </w:r>
      <w:r w:rsidR="00ED362A" w:rsidRPr="00B20780">
        <w:rPr>
          <w:rFonts w:ascii="Book Antiqua" w:hAnsi="Book Antiqua"/>
          <w:sz w:val="24"/>
          <w:szCs w:val="24"/>
          <w:lang w:eastAsia="ro-RO"/>
        </w:rPr>
        <w:t xml:space="preserve">. Similar to other studies, </w:t>
      </w:r>
      <w:proofErr w:type="spellStart"/>
      <w:r w:rsidR="00ED362A" w:rsidRPr="00B20780">
        <w:rPr>
          <w:rFonts w:ascii="Book Antiqua" w:hAnsi="Book Antiqua"/>
          <w:sz w:val="24"/>
          <w:szCs w:val="24"/>
          <w:lang w:eastAsia="ro-RO"/>
        </w:rPr>
        <w:t>rebleeding</w:t>
      </w:r>
      <w:proofErr w:type="spellEnd"/>
      <w:r w:rsidR="00ED362A" w:rsidRPr="00B20780">
        <w:rPr>
          <w:rFonts w:ascii="Book Antiqua" w:hAnsi="Book Antiqua"/>
          <w:sz w:val="24"/>
          <w:szCs w:val="24"/>
          <w:lang w:eastAsia="ro-RO"/>
        </w:rPr>
        <w:t xml:space="preserve"> proved to be an independent predictor of death due to a bleeding episode in our research (</w:t>
      </w:r>
      <w:r w:rsidR="000B4B3F" w:rsidRPr="00B20780">
        <w:rPr>
          <w:rFonts w:ascii="Book Antiqua" w:hAnsi="Book Antiqua"/>
          <w:i/>
          <w:iCs/>
          <w:sz w:val="24"/>
          <w:szCs w:val="24"/>
        </w:rPr>
        <w:t>P</w:t>
      </w:r>
      <w:r w:rsidR="000B4B3F" w:rsidRPr="00B20780">
        <w:rPr>
          <w:rFonts w:ascii="Book Antiqua" w:hAnsi="Book Antiqua"/>
          <w:sz w:val="24"/>
          <w:szCs w:val="24"/>
        </w:rPr>
        <w:t xml:space="preserve"> &lt; </w:t>
      </w:r>
      <w:r w:rsidR="00ED362A" w:rsidRPr="00B20780">
        <w:rPr>
          <w:rFonts w:ascii="Book Antiqua" w:hAnsi="Book Antiqua"/>
          <w:sz w:val="24"/>
          <w:szCs w:val="24"/>
          <w:lang w:eastAsia="ro-RO"/>
        </w:rPr>
        <w:t>0.001).</w:t>
      </w:r>
      <w:r w:rsidR="00BE45FC" w:rsidRPr="00B20780">
        <w:rPr>
          <w:rFonts w:ascii="Book Antiqua" w:hAnsi="Book Antiqua"/>
          <w:sz w:val="24"/>
          <w:szCs w:val="24"/>
          <w:lang w:eastAsia="ro-RO"/>
        </w:rPr>
        <w:t xml:space="preserve"> </w:t>
      </w:r>
    </w:p>
    <w:p w:rsidR="00804A04"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 xml:space="preserve">A multidisciplinary team is needed for the initial assessment of patients with NVUDB and for hemodynamic stabilization before endoscopic hemostasis. Currently, the literature reveals that endoscopic hemostasis can be achieved in over 95% of patients with upper digestive </w:t>
      </w:r>
      <w:proofErr w:type="gramStart"/>
      <w:r w:rsidRPr="00B20780">
        <w:rPr>
          <w:rFonts w:ascii="Book Antiqua" w:hAnsi="Book Antiqua"/>
          <w:sz w:val="24"/>
          <w:szCs w:val="24"/>
          <w:lang w:eastAsia="ro-RO"/>
        </w:rPr>
        <w:t>bleeding</w:t>
      </w:r>
      <w:r w:rsidRPr="00B20780">
        <w:rPr>
          <w:rFonts w:ascii="Book Antiqua" w:hAnsi="Book Antiqua"/>
          <w:sz w:val="24"/>
          <w:szCs w:val="24"/>
          <w:vertAlign w:val="superscript"/>
          <w:lang w:eastAsia="ro-RO"/>
        </w:rPr>
        <w:t>[</w:t>
      </w:r>
      <w:proofErr w:type="gramEnd"/>
      <w:r w:rsidR="00D00147" w:rsidRPr="00B20780">
        <w:rPr>
          <w:rFonts w:ascii="Book Antiqua" w:hAnsi="Book Antiqua"/>
          <w:sz w:val="24"/>
          <w:szCs w:val="24"/>
          <w:vertAlign w:val="superscript"/>
        </w:rPr>
        <w:t>23</w:t>
      </w:r>
      <w:r w:rsidRPr="00B20780">
        <w:rPr>
          <w:rFonts w:ascii="Book Antiqua" w:hAnsi="Book Antiqua"/>
          <w:sz w:val="24"/>
          <w:szCs w:val="24"/>
          <w:vertAlign w:val="superscript"/>
          <w:lang w:eastAsia="ro-RO"/>
        </w:rPr>
        <w:t>]</w:t>
      </w:r>
      <w:r w:rsidRPr="00B20780">
        <w:rPr>
          <w:rFonts w:ascii="Book Antiqua" w:hAnsi="Book Antiqua"/>
          <w:b/>
          <w:bCs/>
          <w:kern w:val="36"/>
          <w:sz w:val="24"/>
          <w:szCs w:val="24"/>
          <w:lang w:eastAsia="ro-RO"/>
        </w:rPr>
        <w:t>.</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Independent parameters identified in our study to be significantly associated with </w:t>
      </w:r>
      <w:proofErr w:type="spellStart"/>
      <w:r w:rsidRPr="00B20780">
        <w:rPr>
          <w:rFonts w:ascii="Book Antiqua" w:hAnsi="Book Antiqua"/>
        </w:rPr>
        <w:t>rebleeding</w:t>
      </w:r>
      <w:proofErr w:type="spellEnd"/>
      <w:r w:rsidRPr="00B20780">
        <w:rPr>
          <w:rFonts w:ascii="Book Antiqua" w:hAnsi="Book Antiqua"/>
        </w:rPr>
        <w:t xml:space="preserve"> were </w:t>
      </w:r>
      <w:proofErr w:type="spellStart"/>
      <w:r w:rsidRPr="00B20780">
        <w:rPr>
          <w:rFonts w:ascii="Book Antiqua" w:hAnsi="Book Antiqua"/>
        </w:rPr>
        <w:t>Rockall</w:t>
      </w:r>
      <w:proofErr w:type="spellEnd"/>
      <w:r w:rsidRPr="00B20780">
        <w:rPr>
          <w:rFonts w:ascii="Book Antiqua" w:hAnsi="Book Antiqua"/>
        </w:rPr>
        <w:t xml:space="preserve"> score, need for endoscopic therapy, presence of hemorrhagic shock at admission, and comorbidities such as sepsis and acute abdomen. Using logistic regression, parameters significantly associated with an increased risk of </w:t>
      </w:r>
      <w:proofErr w:type="spellStart"/>
      <w:r w:rsidRPr="00B20780">
        <w:rPr>
          <w:rFonts w:ascii="Book Antiqua" w:hAnsi="Book Antiqua"/>
        </w:rPr>
        <w:t>rebleeding</w:t>
      </w:r>
      <w:proofErr w:type="spellEnd"/>
      <w:r w:rsidRPr="00B20780">
        <w:rPr>
          <w:rFonts w:ascii="Book Antiqua" w:hAnsi="Book Antiqua"/>
        </w:rPr>
        <w:t xml:space="preserve"> were </w:t>
      </w:r>
      <w:proofErr w:type="spellStart"/>
      <w:r w:rsidRPr="00B20780">
        <w:rPr>
          <w:rFonts w:ascii="Book Antiqua" w:hAnsi="Book Antiqua"/>
        </w:rPr>
        <w:t>Rockall</w:t>
      </w:r>
      <w:proofErr w:type="spellEnd"/>
      <w:r w:rsidRPr="00B20780">
        <w:rPr>
          <w:rFonts w:ascii="Book Antiqua" w:hAnsi="Book Antiqua"/>
        </w:rPr>
        <w:t xml:space="preserve"> score (OR: 1.41), need for therapy </w:t>
      </w:r>
      <w:r w:rsidR="000B4B3F" w:rsidRPr="00B20780">
        <w:rPr>
          <w:rFonts w:ascii="Book Antiqua" w:hAnsi="Book Antiqua"/>
        </w:rPr>
        <w:t>[</w:t>
      </w:r>
      <w:r w:rsidRPr="00B20780">
        <w:rPr>
          <w:rFonts w:ascii="Book Antiqua" w:hAnsi="Book Antiqua"/>
        </w:rPr>
        <w:t xml:space="preserve">simple </w:t>
      </w:r>
      <w:r w:rsidR="000B4B3F" w:rsidRPr="00B20780">
        <w:rPr>
          <w:rFonts w:ascii="Book Antiqua" w:hAnsi="Book Antiqua"/>
        </w:rPr>
        <w:t>(</w:t>
      </w:r>
      <w:r w:rsidRPr="00B20780">
        <w:rPr>
          <w:rFonts w:ascii="Book Antiqua" w:hAnsi="Book Antiqua"/>
        </w:rPr>
        <w:t>OR: 3.18</w:t>
      </w:r>
      <w:r w:rsidR="000B4B3F" w:rsidRPr="00B20780">
        <w:rPr>
          <w:rFonts w:ascii="Book Antiqua" w:hAnsi="Book Antiqua"/>
        </w:rPr>
        <w:t>)</w:t>
      </w:r>
      <w:r w:rsidRPr="00B20780">
        <w:rPr>
          <w:rFonts w:ascii="Book Antiqua" w:hAnsi="Book Antiqua"/>
        </w:rPr>
        <w:t xml:space="preserve"> or combined </w:t>
      </w:r>
      <w:r w:rsidR="000B4B3F" w:rsidRPr="00B20780">
        <w:rPr>
          <w:rFonts w:ascii="Book Antiqua" w:hAnsi="Book Antiqua"/>
        </w:rPr>
        <w:t>(</w:t>
      </w:r>
      <w:r w:rsidRPr="00B20780">
        <w:rPr>
          <w:rFonts w:ascii="Book Antiqua" w:hAnsi="Book Antiqua"/>
        </w:rPr>
        <w:t>OR: 1.75)</w:t>
      </w:r>
      <w:r w:rsidR="000B4B3F" w:rsidRPr="00B20780">
        <w:rPr>
          <w:rFonts w:ascii="Book Antiqua" w:hAnsi="Book Antiqua"/>
        </w:rPr>
        <w:t>]</w:t>
      </w:r>
      <w:r w:rsidRPr="00B20780">
        <w:rPr>
          <w:rFonts w:ascii="Book Antiqua" w:hAnsi="Book Antiqua"/>
        </w:rPr>
        <w:t>, number of blood units received (OR: 1.46), and sepsis (OR: 2.95).</w:t>
      </w:r>
    </w:p>
    <w:p w:rsidR="00E42C33" w:rsidRPr="00B20780" w:rsidRDefault="00E42C33" w:rsidP="00DE7591">
      <w:pPr>
        <w:spacing w:after="0" w:line="360" w:lineRule="auto"/>
        <w:ind w:firstLineChars="100" w:firstLine="240"/>
        <w:jc w:val="both"/>
        <w:rPr>
          <w:rFonts w:ascii="Book Antiqua" w:hAnsi="Book Antiqua"/>
          <w:sz w:val="24"/>
          <w:szCs w:val="24"/>
        </w:rPr>
      </w:pPr>
      <w:r w:rsidRPr="00B20780">
        <w:rPr>
          <w:rFonts w:ascii="Book Antiqua" w:hAnsi="Book Antiqua"/>
          <w:sz w:val="24"/>
          <w:szCs w:val="24"/>
          <w:lang w:eastAsia="ro-RO"/>
        </w:rPr>
        <w:t xml:space="preserve">The widespread use of potent </w:t>
      </w:r>
      <w:r w:rsidR="00916BD4" w:rsidRPr="00B20780">
        <w:rPr>
          <w:rFonts w:ascii="Book Antiqua" w:hAnsi="Book Antiqua"/>
          <w:sz w:val="24"/>
          <w:szCs w:val="24"/>
          <w:lang w:eastAsia="ro-RO"/>
        </w:rPr>
        <w:t>PPIs</w:t>
      </w:r>
      <w:r w:rsidRPr="00B20780">
        <w:rPr>
          <w:rFonts w:ascii="Book Antiqua" w:hAnsi="Book Antiqua"/>
          <w:sz w:val="24"/>
          <w:szCs w:val="24"/>
          <w:lang w:eastAsia="ro-RO"/>
        </w:rPr>
        <w:t xml:space="preserve">, detection and treatment of Helicobacter pylori infection in the case of peptic ulcer disease, and the use of modern endoscopic devices and hemostatic techniques have contributed to a change in the management of NVUDB from predominantly surgical to endoscopic. On the other hand, in recent years, there has been an increasing proportion of elderly </w:t>
      </w:r>
      <w:proofErr w:type="gramStart"/>
      <w:r w:rsidRPr="00B20780">
        <w:rPr>
          <w:rFonts w:ascii="Book Antiqua" w:hAnsi="Book Antiqua"/>
          <w:sz w:val="24"/>
          <w:szCs w:val="24"/>
          <w:lang w:eastAsia="ro-RO"/>
        </w:rPr>
        <w:t>patients</w:t>
      </w:r>
      <w:r w:rsidRPr="00B20780">
        <w:rPr>
          <w:rFonts w:ascii="Book Antiqua" w:hAnsi="Book Antiqua"/>
          <w:sz w:val="24"/>
          <w:szCs w:val="24"/>
          <w:vertAlign w:val="superscript"/>
          <w:lang w:eastAsia="ro-RO"/>
        </w:rPr>
        <w:t>[</w:t>
      </w:r>
      <w:proofErr w:type="gramEnd"/>
      <w:r w:rsidR="006F6686" w:rsidRPr="00B20780">
        <w:rPr>
          <w:rFonts w:ascii="Book Antiqua" w:hAnsi="Book Antiqua"/>
          <w:sz w:val="24"/>
          <w:szCs w:val="24"/>
          <w:vertAlign w:val="superscript"/>
          <w:lang w:eastAsia="ro-RO"/>
        </w:rPr>
        <w:t>24</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 xml:space="preserve"> with the presence of multiple comorbidities, leading to an increased consumption of NSAIDs and antiplatelet treatment. In this context, NVUDB still continues to be associated with significant morbidity and mortality as well as with high costs for the health care systems.</w:t>
      </w:r>
    </w:p>
    <w:p w:rsidR="00E42C33"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 xml:space="preserve">Many publications in recent years have compared the efficacy of various scoring systems as a risk stratification </w:t>
      </w:r>
      <w:proofErr w:type="gramStart"/>
      <w:r w:rsidRPr="00B20780">
        <w:rPr>
          <w:rFonts w:ascii="Book Antiqua" w:hAnsi="Book Antiqua"/>
          <w:sz w:val="24"/>
          <w:szCs w:val="24"/>
          <w:lang w:eastAsia="ro-RO"/>
        </w:rPr>
        <w:t>method</w:t>
      </w:r>
      <w:r w:rsidRPr="00B20780">
        <w:rPr>
          <w:rFonts w:ascii="Book Antiqua" w:hAnsi="Book Antiqua"/>
          <w:sz w:val="24"/>
          <w:szCs w:val="24"/>
          <w:vertAlign w:val="superscript"/>
          <w:lang w:eastAsia="ro-RO"/>
        </w:rPr>
        <w:t>[</w:t>
      </w:r>
      <w:proofErr w:type="gramEnd"/>
      <w:r w:rsidR="00877AC6" w:rsidRPr="00B20780">
        <w:rPr>
          <w:rFonts w:ascii="Book Antiqua" w:hAnsi="Book Antiqua"/>
          <w:sz w:val="24"/>
          <w:szCs w:val="24"/>
          <w:vertAlign w:val="superscript"/>
          <w:lang w:eastAsia="ro-RO"/>
        </w:rPr>
        <w:t>4</w:t>
      </w:r>
      <w:r w:rsidR="000B4B3F" w:rsidRPr="00B20780">
        <w:rPr>
          <w:rFonts w:ascii="Book Antiqua" w:hAnsi="Book Antiqua"/>
          <w:sz w:val="24"/>
          <w:szCs w:val="24"/>
          <w:vertAlign w:val="superscript"/>
          <w:lang w:eastAsia="ro-RO"/>
        </w:rPr>
        <w:t>,</w:t>
      </w:r>
      <w:r w:rsidR="006F6686" w:rsidRPr="00B20780">
        <w:rPr>
          <w:rFonts w:ascii="Book Antiqua" w:hAnsi="Book Antiqua"/>
          <w:sz w:val="24"/>
          <w:szCs w:val="24"/>
          <w:vertAlign w:val="superscript"/>
          <w:lang w:eastAsia="ro-RO"/>
        </w:rPr>
        <w:t>25-</w:t>
      </w:r>
      <w:r w:rsidR="003B69A1" w:rsidRPr="00B20780">
        <w:rPr>
          <w:rFonts w:ascii="Book Antiqua" w:hAnsi="Book Antiqua"/>
          <w:sz w:val="24"/>
          <w:szCs w:val="24"/>
          <w:vertAlign w:val="superscript"/>
          <w:lang w:eastAsia="ro-RO"/>
        </w:rPr>
        <w:t>34</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w:t>
      </w:r>
      <w:r w:rsidRPr="00B20780">
        <w:rPr>
          <w:rFonts w:ascii="Book Antiqua" w:hAnsi="Book Antiqua"/>
          <w:sz w:val="24"/>
          <w:szCs w:val="24"/>
        </w:rPr>
        <w:t xml:space="preserve"> </w:t>
      </w:r>
      <w:r w:rsidRPr="00B20780">
        <w:rPr>
          <w:rFonts w:ascii="Book Antiqua" w:hAnsi="Book Antiqua"/>
          <w:sz w:val="24"/>
          <w:szCs w:val="24"/>
          <w:lang w:eastAsia="ro-RO"/>
        </w:rPr>
        <w:t xml:space="preserve">Patients with a low score usually do not need any clinical intervention and may be safely discharged very early with elective endoscopy performed </w:t>
      </w:r>
      <w:proofErr w:type="gramStart"/>
      <w:r w:rsidRPr="00B20780">
        <w:rPr>
          <w:rFonts w:ascii="Book Antiqua" w:hAnsi="Book Antiqua"/>
          <w:sz w:val="24"/>
          <w:szCs w:val="24"/>
          <w:lang w:eastAsia="ro-RO"/>
        </w:rPr>
        <w:t>later</w:t>
      </w:r>
      <w:r w:rsidRPr="00B20780">
        <w:rPr>
          <w:rFonts w:ascii="Book Antiqua" w:hAnsi="Book Antiqua"/>
          <w:sz w:val="24"/>
          <w:szCs w:val="24"/>
          <w:vertAlign w:val="superscript"/>
          <w:lang w:eastAsia="ro-RO"/>
        </w:rPr>
        <w:t>[</w:t>
      </w:r>
      <w:proofErr w:type="gramEnd"/>
      <w:r w:rsidR="003B69A1" w:rsidRPr="00B20780">
        <w:rPr>
          <w:rFonts w:ascii="Book Antiqua" w:hAnsi="Book Antiqua"/>
          <w:sz w:val="24"/>
          <w:szCs w:val="24"/>
          <w:vertAlign w:val="superscript"/>
        </w:rPr>
        <w:t>35</w:t>
      </w:r>
      <w:r w:rsidR="000B4B3F" w:rsidRPr="00B20780">
        <w:rPr>
          <w:rFonts w:ascii="Book Antiqua" w:hAnsi="Book Antiqua"/>
          <w:sz w:val="24"/>
          <w:szCs w:val="24"/>
          <w:vertAlign w:val="superscript"/>
        </w:rPr>
        <w:t>,</w:t>
      </w:r>
      <w:r w:rsidRPr="00B20780">
        <w:rPr>
          <w:rFonts w:ascii="Book Antiqua" w:hAnsi="Book Antiqua"/>
          <w:sz w:val="24"/>
          <w:szCs w:val="24"/>
          <w:vertAlign w:val="superscript"/>
        </w:rPr>
        <w:t>3</w:t>
      </w:r>
      <w:r w:rsidR="003B69A1" w:rsidRPr="00B20780">
        <w:rPr>
          <w:rFonts w:ascii="Book Antiqua" w:hAnsi="Book Antiqua"/>
          <w:sz w:val="24"/>
          <w:szCs w:val="24"/>
          <w:vertAlign w:val="superscript"/>
        </w:rPr>
        <w:t>6</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 xml:space="preserve">. In contrast, a </w:t>
      </w:r>
      <w:r w:rsidR="000B4B3F" w:rsidRPr="00B20780">
        <w:rPr>
          <w:rFonts w:ascii="Book Antiqua" w:hAnsi="Book Antiqua"/>
          <w:sz w:val="24"/>
          <w:szCs w:val="24"/>
          <w:lang w:eastAsia="ro-RO"/>
        </w:rPr>
        <w:t>high-risk</w:t>
      </w:r>
      <w:r w:rsidRPr="00B20780">
        <w:rPr>
          <w:rFonts w:ascii="Book Antiqua" w:hAnsi="Book Antiqua"/>
          <w:sz w:val="24"/>
          <w:szCs w:val="24"/>
          <w:lang w:eastAsia="ro-RO"/>
        </w:rPr>
        <w:t xml:space="preserve"> score is associated with frequent need for clinical intervention, such as administration of blood transfusions </w:t>
      </w:r>
      <w:r w:rsidRPr="00B20780">
        <w:rPr>
          <w:rFonts w:ascii="Book Antiqua" w:hAnsi="Book Antiqua"/>
          <w:sz w:val="24"/>
          <w:szCs w:val="24"/>
          <w:lang w:eastAsia="ro-RO"/>
        </w:rPr>
        <w:lastRenderedPageBreak/>
        <w:t xml:space="preserve">and hemostatic endoscopic treatment. Therefore, high risk scores, as significant predictors of adverse outcome for NVUDB, should be associated with more aggressive endoscopic management, more prolonged utilization of intravenous </w:t>
      </w:r>
      <w:r w:rsidR="00916BD4" w:rsidRPr="00B20780">
        <w:rPr>
          <w:rFonts w:ascii="Book Antiqua" w:hAnsi="Book Antiqua"/>
          <w:sz w:val="24"/>
          <w:szCs w:val="24"/>
          <w:lang w:eastAsia="ro-RO"/>
        </w:rPr>
        <w:t>PPIs</w:t>
      </w:r>
      <w:r w:rsidRPr="00B20780">
        <w:rPr>
          <w:rFonts w:ascii="Book Antiqua" w:hAnsi="Book Antiqua"/>
          <w:sz w:val="24"/>
          <w:szCs w:val="24"/>
          <w:lang w:eastAsia="ro-RO"/>
        </w:rPr>
        <w:t xml:space="preserve">, or even additional days of </w:t>
      </w:r>
      <w:proofErr w:type="gramStart"/>
      <w:r w:rsidRPr="00B20780">
        <w:rPr>
          <w:rFonts w:ascii="Book Antiqua" w:hAnsi="Book Antiqua"/>
          <w:sz w:val="24"/>
          <w:szCs w:val="24"/>
          <w:lang w:eastAsia="ro-RO"/>
        </w:rPr>
        <w:t>hospitalization</w:t>
      </w:r>
      <w:r w:rsidRPr="00B20780">
        <w:rPr>
          <w:rFonts w:ascii="Book Antiqua" w:hAnsi="Book Antiqua"/>
          <w:sz w:val="24"/>
          <w:szCs w:val="24"/>
          <w:vertAlign w:val="superscript"/>
        </w:rPr>
        <w:t>[</w:t>
      </w:r>
      <w:proofErr w:type="gramEnd"/>
      <w:r w:rsidRPr="00B20780">
        <w:rPr>
          <w:rFonts w:ascii="Book Antiqua" w:hAnsi="Book Antiqua"/>
          <w:sz w:val="24"/>
          <w:szCs w:val="24"/>
          <w:vertAlign w:val="superscript"/>
        </w:rPr>
        <w:t>3</w:t>
      </w:r>
      <w:r w:rsidR="003B69A1" w:rsidRPr="00B20780">
        <w:rPr>
          <w:rFonts w:ascii="Book Antiqua" w:hAnsi="Book Antiqua"/>
          <w:sz w:val="24"/>
          <w:szCs w:val="24"/>
          <w:vertAlign w:val="superscript"/>
        </w:rPr>
        <w:t>7</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w:t>
      </w:r>
    </w:p>
    <w:p w:rsidR="00E42C33"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 xml:space="preserve">The study of Wang </w:t>
      </w:r>
      <w:r w:rsidRPr="00B20780">
        <w:rPr>
          <w:rFonts w:ascii="Book Antiqua" w:hAnsi="Book Antiqua"/>
          <w:i/>
          <w:sz w:val="24"/>
          <w:szCs w:val="24"/>
          <w:lang w:eastAsia="ro-RO"/>
        </w:rPr>
        <w:t xml:space="preserve">et </w:t>
      </w:r>
      <w:proofErr w:type="gramStart"/>
      <w:r w:rsidRPr="00B20780">
        <w:rPr>
          <w:rFonts w:ascii="Book Antiqua" w:hAnsi="Book Antiqua"/>
          <w:i/>
          <w:sz w:val="24"/>
          <w:szCs w:val="24"/>
          <w:lang w:eastAsia="ro-RO"/>
        </w:rPr>
        <w:t>al</w:t>
      </w:r>
      <w:r w:rsidR="000B4B3F" w:rsidRPr="00B20780">
        <w:rPr>
          <w:rFonts w:ascii="Book Antiqua" w:hAnsi="Book Antiqua"/>
          <w:sz w:val="24"/>
          <w:szCs w:val="24"/>
          <w:vertAlign w:val="superscript"/>
          <w:lang w:eastAsia="ro-RO"/>
        </w:rPr>
        <w:t>[</w:t>
      </w:r>
      <w:proofErr w:type="gramEnd"/>
      <w:r w:rsidR="000B4B3F" w:rsidRPr="00B20780">
        <w:rPr>
          <w:rFonts w:ascii="Book Antiqua" w:hAnsi="Book Antiqua"/>
          <w:sz w:val="24"/>
          <w:szCs w:val="24"/>
          <w:vertAlign w:val="superscript"/>
          <w:lang w:eastAsia="ro-RO"/>
        </w:rPr>
        <w:t>38]</w:t>
      </w:r>
      <w:r w:rsidRPr="00B20780">
        <w:rPr>
          <w:rFonts w:ascii="Book Antiqua" w:hAnsi="Book Antiqua"/>
          <w:i/>
          <w:sz w:val="24"/>
          <w:szCs w:val="24"/>
          <w:lang w:eastAsia="ro-RO"/>
        </w:rPr>
        <w:t xml:space="preserve"> </w:t>
      </w:r>
      <w:r w:rsidRPr="00B20780">
        <w:rPr>
          <w:rFonts w:ascii="Book Antiqua" w:hAnsi="Book Antiqua"/>
          <w:sz w:val="24"/>
          <w:szCs w:val="24"/>
          <w:lang w:eastAsia="ro-RO"/>
        </w:rPr>
        <w:t xml:space="preserve">demonstrated a significant positive linear correlation between clinical </w:t>
      </w:r>
      <w:proofErr w:type="spellStart"/>
      <w:r w:rsidRPr="00B20780">
        <w:rPr>
          <w:rFonts w:ascii="Book Antiqua" w:hAnsi="Book Antiqua"/>
          <w:sz w:val="24"/>
          <w:szCs w:val="24"/>
          <w:lang w:eastAsia="ro-RO"/>
        </w:rPr>
        <w:t>Rockall</w:t>
      </w:r>
      <w:proofErr w:type="spellEnd"/>
      <w:r w:rsidRPr="00B20780">
        <w:rPr>
          <w:rFonts w:ascii="Book Antiqua" w:hAnsi="Book Antiqua"/>
          <w:sz w:val="24"/>
          <w:szCs w:val="24"/>
          <w:lang w:eastAsia="ro-RO"/>
        </w:rPr>
        <w:t xml:space="preserve"> scores and patient outcomes defined as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surgery and mortality rate, and high clinical </w:t>
      </w:r>
      <w:proofErr w:type="spellStart"/>
      <w:r w:rsidRPr="00B20780">
        <w:rPr>
          <w:rFonts w:ascii="Book Antiqua" w:hAnsi="Book Antiqua"/>
          <w:sz w:val="24"/>
          <w:szCs w:val="24"/>
          <w:lang w:eastAsia="ro-RO"/>
        </w:rPr>
        <w:t>Rockall</w:t>
      </w:r>
      <w:proofErr w:type="spellEnd"/>
      <w:r w:rsidRPr="00B20780">
        <w:rPr>
          <w:rFonts w:ascii="Book Antiqua" w:hAnsi="Book Antiqua"/>
          <w:sz w:val="24"/>
          <w:szCs w:val="24"/>
          <w:lang w:eastAsia="ro-RO"/>
        </w:rPr>
        <w:t xml:space="preserve"> scores (&gt; 3 points) were associated with adverse outcomes in NVUDB patients.</w:t>
      </w:r>
    </w:p>
    <w:p w:rsidR="00E42C33"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lang w:eastAsia="ro-RO"/>
        </w:rPr>
        <w:t>Because NVUDB represents a dynamic manifestation that mirrors the changing</w:t>
      </w:r>
      <w:r w:rsidR="003170D4" w:rsidRPr="00B20780">
        <w:rPr>
          <w:rFonts w:ascii="Book Antiqua" w:hAnsi="Book Antiqua"/>
          <w:sz w:val="24"/>
          <w:szCs w:val="24"/>
          <w:lang w:eastAsia="ro-RO"/>
        </w:rPr>
        <w:t xml:space="preserve"> </w:t>
      </w:r>
      <w:r w:rsidRPr="00B20780">
        <w:rPr>
          <w:rFonts w:ascii="Book Antiqua" w:hAnsi="Book Antiqua"/>
          <w:sz w:val="24"/>
          <w:szCs w:val="24"/>
          <w:lang w:eastAsia="ro-RO"/>
        </w:rPr>
        <w:t>pattern of the comorbidities and treatments of diverse diseases, a strategy to reduce the</w:t>
      </w:r>
      <w:r w:rsidR="003170D4" w:rsidRPr="00B20780">
        <w:rPr>
          <w:rFonts w:ascii="Book Antiqua" w:hAnsi="Book Antiqua"/>
          <w:sz w:val="24"/>
          <w:szCs w:val="24"/>
          <w:lang w:eastAsia="ro-RO"/>
        </w:rPr>
        <w:t xml:space="preserve"> </w:t>
      </w:r>
      <w:r w:rsidRPr="00B20780">
        <w:rPr>
          <w:rFonts w:ascii="Book Antiqua" w:hAnsi="Book Antiqua"/>
          <w:sz w:val="24"/>
          <w:szCs w:val="24"/>
          <w:lang w:eastAsia="ro-RO"/>
        </w:rPr>
        <w:t xml:space="preserve">mortality rate should concentrate on managing coexisting </w:t>
      </w:r>
      <w:proofErr w:type="gramStart"/>
      <w:r w:rsidRPr="00B20780">
        <w:rPr>
          <w:rFonts w:ascii="Book Antiqua" w:hAnsi="Book Antiqua"/>
          <w:sz w:val="24"/>
          <w:szCs w:val="24"/>
          <w:lang w:eastAsia="ro-RO"/>
        </w:rPr>
        <w:t>diseases</w:t>
      </w:r>
      <w:r w:rsidR="003B69A1" w:rsidRPr="00B20780">
        <w:rPr>
          <w:rFonts w:ascii="Book Antiqua" w:hAnsi="Book Antiqua"/>
          <w:sz w:val="24"/>
          <w:szCs w:val="24"/>
          <w:vertAlign w:val="superscript"/>
          <w:lang w:eastAsia="ro-RO"/>
        </w:rPr>
        <w:t>[</w:t>
      </w:r>
      <w:proofErr w:type="gramEnd"/>
      <w:r w:rsidR="003B69A1" w:rsidRPr="00B20780">
        <w:rPr>
          <w:rFonts w:ascii="Book Antiqua" w:hAnsi="Book Antiqua"/>
          <w:sz w:val="24"/>
          <w:szCs w:val="24"/>
          <w:vertAlign w:val="superscript"/>
          <w:lang w:eastAsia="ro-RO"/>
        </w:rPr>
        <w:t>39</w:t>
      </w:r>
      <w:r w:rsidR="000B4B3F" w:rsidRPr="00B20780">
        <w:rPr>
          <w:rFonts w:ascii="Book Antiqua" w:hAnsi="Book Antiqua"/>
          <w:sz w:val="24"/>
          <w:szCs w:val="24"/>
          <w:vertAlign w:val="superscript"/>
          <w:lang w:eastAsia="ro-RO"/>
        </w:rPr>
        <w:t>,</w:t>
      </w:r>
      <w:r w:rsidR="008E18D8" w:rsidRPr="00B20780">
        <w:rPr>
          <w:rFonts w:ascii="Book Antiqua" w:hAnsi="Book Antiqua"/>
          <w:sz w:val="24"/>
          <w:szCs w:val="24"/>
          <w:vertAlign w:val="superscript"/>
          <w:lang w:eastAsia="ro-RO"/>
        </w:rPr>
        <w:t>40</w:t>
      </w:r>
      <w:r w:rsidRPr="00B20780">
        <w:rPr>
          <w:rFonts w:ascii="Book Antiqua" w:hAnsi="Book Antiqua"/>
          <w:sz w:val="24"/>
          <w:szCs w:val="24"/>
          <w:vertAlign w:val="superscript"/>
          <w:lang w:eastAsia="ro-RO"/>
        </w:rPr>
        <w:t>]</w:t>
      </w:r>
      <w:r w:rsidRPr="00B20780">
        <w:rPr>
          <w:rFonts w:ascii="Book Antiqua" w:hAnsi="Book Antiqua"/>
          <w:sz w:val="24"/>
          <w:szCs w:val="24"/>
          <w:lang w:eastAsia="ro-RO"/>
        </w:rPr>
        <w:t>.</w:t>
      </w:r>
    </w:p>
    <w:p w:rsidR="00E42C33" w:rsidRPr="00B20780" w:rsidRDefault="00E42C33" w:rsidP="00DE7591">
      <w:pPr>
        <w:spacing w:after="0" w:line="360" w:lineRule="auto"/>
        <w:ind w:firstLineChars="100" w:firstLine="240"/>
        <w:jc w:val="both"/>
        <w:rPr>
          <w:rFonts w:ascii="Book Antiqua" w:hAnsi="Book Antiqua"/>
          <w:sz w:val="24"/>
          <w:szCs w:val="24"/>
          <w:lang w:eastAsia="ro-RO"/>
        </w:rPr>
      </w:pPr>
      <w:r w:rsidRPr="00B20780">
        <w:rPr>
          <w:rFonts w:ascii="Book Antiqua" w:hAnsi="Book Antiqua"/>
          <w:sz w:val="24"/>
          <w:szCs w:val="24"/>
        </w:rPr>
        <w:t xml:space="preserve">In our study, independent variables significantly associated with death were type of lesion,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hemorrhagic shock at admission, hospitalization length, number of blood units transfused, and comorbidities (such as respiratory and renal diseases, sepsis, liver cirrhosis, </w:t>
      </w:r>
      <w:proofErr w:type="spellStart"/>
      <w:r w:rsidRPr="00B20780">
        <w:rPr>
          <w:rFonts w:ascii="Book Antiqua" w:hAnsi="Book Antiqua"/>
          <w:sz w:val="24"/>
          <w:szCs w:val="24"/>
        </w:rPr>
        <w:t>neoplasias</w:t>
      </w:r>
      <w:proofErr w:type="spellEnd"/>
      <w:r w:rsidRPr="00B20780">
        <w:rPr>
          <w:rFonts w:ascii="Book Antiqua" w:hAnsi="Book Antiqua"/>
          <w:sz w:val="24"/>
          <w:szCs w:val="24"/>
        </w:rPr>
        <w:t xml:space="preserve">, and severe acute pancreatitis) as well as consumption of aspirin and NSAIDs and need for surgery. Logistic regression demonstrated that variables significantly associated with death were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(OR: 1.73) and comorbidities such as respiratory conditions (OR: 3.29), liver cirrhosis (OR: 2.91), sepsis (OR: 8.03) and acute pancreatitis (OR: 6.58). </w:t>
      </w:r>
      <w:r w:rsidR="00CC2AF1" w:rsidRPr="00B20780">
        <w:rPr>
          <w:rFonts w:ascii="Book Antiqua" w:hAnsi="Book Antiqua"/>
          <w:sz w:val="24"/>
          <w:szCs w:val="24"/>
          <w:lang w:eastAsia="ro-RO"/>
        </w:rPr>
        <w:t xml:space="preserve">Sung </w:t>
      </w:r>
      <w:r w:rsidR="00CC2AF1" w:rsidRPr="00B20780">
        <w:rPr>
          <w:rFonts w:ascii="Book Antiqua" w:hAnsi="Book Antiqua"/>
          <w:i/>
          <w:iCs/>
          <w:sz w:val="24"/>
          <w:szCs w:val="24"/>
          <w:lang w:eastAsia="ro-RO"/>
        </w:rPr>
        <w:t xml:space="preserve">et </w:t>
      </w:r>
      <w:proofErr w:type="gramStart"/>
      <w:r w:rsidR="00CC2AF1" w:rsidRPr="00B20780">
        <w:rPr>
          <w:rFonts w:ascii="Book Antiqua" w:hAnsi="Book Antiqua"/>
          <w:i/>
          <w:iCs/>
          <w:sz w:val="24"/>
          <w:szCs w:val="24"/>
          <w:lang w:eastAsia="ro-RO"/>
        </w:rPr>
        <w:t>al</w:t>
      </w:r>
      <w:r w:rsidR="00CC2AF1" w:rsidRPr="00B20780">
        <w:rPr>
          <w:rFonts w:ascii="Book Antiqua" w:hAnsi="Book Antiqua"/>
          <w:sz w:val="24"/>
          <w:szCs w:val="24"/>
          <w:vertAlign w:val="superscript"/>
          <w:lang w:eastAsia="ro-RO"/>
        </w:rPr>
        <w:t>[</w:t>
      </w:r>
      <w:proofErr w:type="gramEnd"/>
      <w:r w:rsidR="003B69A1" w:rsidRPr="00B20780">
        <w:rPr>
          <w:rFonts w:ascii="Book Antiqua" w:hAnsi="Book Antiqua"/>
          <w:sz w:val="24"/>
          <w:szCs w:val="24"/>
          <w:vertAlign w:val="superscript"/>
          <w:lang w:eastAsia="ro-RO"/>
        </w:rPr>
        <w:t>7</w:t>
      </w:r>
      <w:r w:rsidR="00CC2AF1" w:rsidRPr="00B20780">
        <w:rPr>
          <w:rFonts w:ascii="Book Antiqua" w:hAnsi="Book Antiqua"/>
          <w:sz w:val="24"/>
          <w:szCs w:val="24"/>
          <w:vertAlign w:val="superscript"/>
          <w:lang w:eastAsia="ro-RO"/>
        </w:rPr>
        <w:t>]</w:t>
      </w:r>
      <w:r w:rsidR="00CC2AF1" w:rsidRPr="00B20780">
        <w:rPr>
          <w:rFonts w:ascii="Book Antiqua" w:hAnsi="Book Antiqua"/>
          <w:sz w:val="24"/>
          <w:szCs w:val="24"/>
          <w:lang w:eastAsia="ro-RO"/>
        </w:rPr>
        <w:t xml:space="preserve"> reported that most of the patients died due to comorbidities leading to </w:t>
      </w:r>
      <w:proofErr w:type="spellStart"/>
      <w:r w:rsidR="00CC2AF1" w:rsidRPr="00B20780">
        <w:rPr>
          <w:rFonts w:ascii="Book Antiqua" w:hAnsi="Book Antiqua"/>
          <w:sz w:val="24"/>
          <w:szCs w:val="24"/>
          <w:lang w:eastAsia="ro-RO"/>
        </w:rPr>
        <w:t>multiorgan</w:t>
      </w:r>
      <w:proofErr w:type="spellEnd"/>
      <w:r w:rsidR="00CC2AF1" w:rsidRPr="00B20780">
        <w:rPr>
          <w:rFonts w:ascii="Book Antiqua" w:hAnsi="Book Antiqua"/>
          <w:sz w:val="24"/>
          <w:szCs w:val="24"/>
          <w:lang w:eastAsia="ro-RO"/>
        </w:rPr>
        <w:t xml:space="preserve"> failure; furthermore, only 18.3% of deaths were due to ulcer-related bleeding.</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Our study has certain limitations. First, it was a retrospective study implying potential data bias, and it was a single center study. However, because the Gastroenterology Department represents a referral tertiary center covering the western region of the country, the Emergency Unit receives many critical cases with NVUDB from all the neighboring counties. A second limitation was encountered because we were able to identify only patients who died in the hospital, not after discharge. On the other hand, the main strengths of our study were that it was comprehensive research conducted over a long period of time and included a large number of patients on which we were able to assess the particularities of our pool of patients presenting with</w:t>
      </w:r>
      <w:r w:rsidR="003170D4" w:rsidRPr="00B20780">
        <w:rPr>
          <w:rFonts w:ascii="Book Antiqua" w:hAnsi="Book Antiqua"/>
        </w:rPr>
        <w:t xml:space="preserve"> </w:t>
      </w:r>
      <w:r w:rsidRPr="00B20780">
        <w:rPr>
          <w:rFonts w:ascii="Book Antiqua" w:hAnsi="Book Antiqua"/>
        </w:rPr>
        <w:t xml:space="preserve">NVUDB and the risk factors for </w:t>
      </w:r>
      <w:proofErr w:type="spellStart"/>
      <w:r w:rsidRPr="00B20780">
        <w:rPr>
          <w:rFonts w:ascii="Book Antiqua" w:hAnsi="Book Antiqua"/>
        </w:rPr>
        <w:t>rebleeding</w:t>
      </w:r>
      <w:proofErr w:type="spellEnd"/>
      <w:r w:rsidRPr="00B20780">
        <w:rPr>
          <w:rFonts w:ascii="Book Antiqua" w:hAnsi="Book Antiqua"/>
        </w:rPr>
        <w:t xml:space="preserve"> and death. </w:t>
      </w:r>
      <w:r w:rsidRPr="00B20780">
        <w:rPr>
          <w:rFonts w:ascii="Book Antiqua" w:hAnsi="Book Antiqua"/>
        </w:rPr>
        <w:lastRenderedPageBreak/>
        <w:t xml:space="preserve">Moreover, we had the availability of detailed patient records, including clinical parameters, results of </w:t>
      </w:r>
      <w:proofErr w:type="spellStart"/>
      <w:r w:rsidRPr="00B20780">
        <w:rPr>
          <w:rFonts w:ascii="Book Antiqua" w:hAnsi="Book Antiqua"/>
        </w:rPr>
        <w:t>paraclinical</w:t>
      </w:r>
      <w:proofErr w:type="spellEnd"/>
      <w:r w:rsidRPr="00B20780">
        <w:rPr>
          <w:rFonts w:ascii="Book Antiqua" w:hAnsi="Book Antiqua"/>
        </w:rPr>
        <w:t xml:space="preserve"> and endoscopic investigations and outcomes. Additionally, we used standardized methods, and we had the possibility to check the data.</w:t>
      </w:r>
    </w:p>
    <w:p w:rsidR="00E42C33" w:rsidRPr="00B20780" w:rsidRDefault="00E42C33"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rPr>
        <w:t xml:space="preserve">We performed a predictive model for </w:t>
      </w:r>
      <w:proofErr w:type="spellStart"/>
      <w:r w:rsidRPr="00B20780">
        <w:rPr>
          <w:rFonts w:ascii="Book Antiqua" w:hAnsi="Book Antiqua"/>
        </w:rPr>
        <w:t>rebleeding</w:t>
      </w:r>
      <w:proofErr w:type="spellEnd"/>
      <w:r w:rsidRPr="00B20780">
        <w:rPr>
          <w:rFonts w:ascii="Book Antiqua" w:hAnsi="Book Antiqua"/>
        </w:rPr>
        <w:t xml:space="preserve"> associated with a Se of only 10.66% but a </w:t>
      </w:r>
      <w:proofErr w:type="spellStart"/>
      <w:r w:rsidRPr="00B20780">
        <w:rPr>
          <w:rFonts w:ascii="Book Antiqua" w:hAnsi="Book Antiqua"/>
        </w:rPr>
        <w:t>Sp</w:t>
      </w:r>
      <w:proofErr w:type="spellEnd"/>
      <w:r w:rsidRPr="00B20780">
        <w:rPr>
          <w:rFonts w:ascii="Book Antiqua" w:hAnsi="Book Antiqua"/>
        </w:rPr>
        <w:t xml:space="preserve"> of 99.3% and an accuracy of 92.35%. Furthermore, we were able to perform a predictive model for death with a Se of 19.13%, a </w:t>
      </w:r>
      <w:proofErr w:type="spellStart"/>
      <w:r w:rsidRPr="00B20780">
        <w:rPr>
          <w:rFonts w:ascii="Book Antiqua" w:hAnsi="Book Antiqua"/>
        </w:rPr>
        <w:t>S</w:t>
      </w:r>
      <w:r w:rsidR="00AF0E5D" w:rsidRPr="00B20780">
        <w:rPr>
          <w:rFonts w:ascii="Book Antiqua" w:hAnsi="Book Antiqua"/>
        </w:rPr>
        <w:t>p</w:t>
      </w:r>
      <w:proofErr w:type="spellEnd"/>
      <w:r w:rsidRPr="00B20780">
        <w:rPr>
          <w:rFonts w:ascii="Book Antiqua" w:hAnsi="Book Antiqua"/>
        </w:rPr>
        <w:t xml:space="preserve"> of 99.24%, and an accuracy of 93.32%. Although the predictive models had a low sensitivity, the specificity was very high, proving a better discriminative capacity for identifying patients with NVUDB with favorable outcomes who will not develop </w:t>
      </w:r>
      <w:proofErr w:type="spellStart"/>
      <w:r w:rsidRPr="00B20780">
        <w:rPr>
          <w:rFonts w:ascii="Book Antiqua" w:hAnsi="Book Antiqua"/>
        </w:rPr>
        <w:t>rebleeding</w:t>
      </w:r>
      <w:proofErr w:type="spellEnd"/>
      <w:r w:rsidRPr="00B20780">
        <w:rPr>
          <w:rFonts w:ascii="Book Antiqua" w:hAnsi="Book Antiqua"/>
        </w:rPr>
        <w:t xml:space="preserve"> and will not die.</w:t>
      </w:r>
    </w:p>
    <w:p w:rsidR="00E42C33" w:rsidRPr="00B20780" w:rsidRDefault="00187450" w:rsidP="00DE7591">
      <w:pPr>
        <w:pStyle w:val="a3"/>
        <w:spacing w:before="0" w:beforeAutospacing="0" w:after="0" w:afterAutospacing="0" w:line="360" w:lineRule="auto"/>
        <w:ind w:firstLineChars="100" w:firstLine="240"/>
        <w:jc w:val="both"/>
        <w:rPr>
          <w:rFonts w:ascii="Book Antiqua" w:hAnsi="Book Antiqua"/>
        </w:rPr>
      </w:pPr>
      <w:r w:rsidRPr="00B20780">
        <w:rPr>
          <w:rFonts w:ascii="Book Antiqua" w:hAnsi="Book Antiqua"/>
          <w:bCs/>
        </w:rPr>
        <w:t>In conclusion</w:t>
      </w:r>
      <w:r w:rsidRPr="00B20780">
        <w:rPr>
          <w:rFonts w:ascii="Book Antiqua" w:hAnsi="Book Antiqua"/>
          <w:bCs/>
          <w:lang w:eastAsia="zh-CN"/>
        </w:rPr>
        <w:t>,</w:t>
      </w:r>
      <w:r w:rsidRPr="00B20780">
        <w:rPr>
          <w:rFonts w:ascii="Book Antiqua" w:hAnsi="Book Antiqua"/>
          <w:b/>
          <w:lang w:eastAsia="zh-CN"/>
        </w:rPr>
        <w:t xml:space="preserve"> </w:t>
      </w:r>
      <w:r w:rsidR="000B4B3F" w:rsidRPr="00B20780">
        <w:rPr>
          <w:rFonts w:ascii="Book Antiqua" w:hAnsi="Book Antiqua"/>
        </w:rPr>
        <w:t>our</w:t>
      </w:r>
      <w:r w:rsidR="00E42C33" w:rsidRPr="00B20780">
        <w:rPr>
          <w:rFonts w:ascii="Book Antiqua" w:hAnsi="Book Antiqua"/>
        </w:rPr>
        <w:t xml:space="preserve"> results show</w:t>
      </w:r>
      <w:r w:rsidR="00A86E1A" w:rsidRPr="00B20780">
        <w:rPr>
          <w:rFonts w:ascii="Book Antiqua" w:hAnsi="Book Antiqua"/>
        </w:rPr>
        <w:t>ed</w:t>
      </w:r>
      <w:r w:rsidR="00E42C33" w:rsidRPr="00B20780">
        <w:rPr>
          <w:rFonts w:ascii="Book Antiqua" w:hAnsi="Book Antiqua"/>
        </w:rPr>
        <w:t xml:space="preserve"> that the </w:t>
      </w:r>
      <w:proofErr w:type="spellStart"/>
      <w:r w:rsidR="000D0884" w:rsidRPr="00B20780">
        <w:rPr>
          <w:rFonts w:ascii="Book Antiqua" w:hAnsi="Book Antiqua"/>
        </w:rPr>
        <w:t>Rockall</w:t>
      </w:r>
      <w:proofErr w:type="spellEnd"/>
      <w:r w:rsidR="000D0884" w:rsidRPr="00B20780">
        <w:rPr>
          <w:rFonts w:ascii="Book Antiqua" w:hAnsi="Book Antiqua"/>
        </w:rPr>
        <w:t xml:space="preserve"> score was</w:t>
      </w:r>
      <w:r w:rsidR="00E42C33" w:rsidRPr="00B20780">
        <w:rPr>
          <w:rFonts w:ascii="Book Antiqua" w:hAnsi="Book Antiqua"/>
        </w:rPr>
        <w:t xml:space="preserve"> significantly associated with both </w:t>
      </w:r>
      <w:proofErr w:type="spellStart"/>
      <w:r w:rsidR="00E42C33" w:rsidRPr="00B20780">
        <w:rPr>
          <w:rFonts w:ascii="Book Antiqua" w:hAnsi="Book Antiqua"/>
        </w:rPr>
        <w:t>rebleeding</w:t>
      </w:r>
      <w:proofErr w:type="spellEnd"/>
      <w:r w:rsidR="00E42C33" w:rsidRPr="00B20780">
        <w:rPr>
          <w:rFonts w:ascii="Book Antiqua" w:hAnsi="Book Antiqua"/>
        </w:rPr>
        <w:t xml:space="preserve"> and death. </w:t>
      </w:r>
      <w:r w:rsidR="000D0884" w:rsidRPr="00B20780">
        <w:rPr>
          <w:rFonts w:ascii="Book Antiqua" w:hAnsi="Book Antiqua"/>
        </w:rPr>
        <w:t>Also</w:t>
      </w:r>
      <w:r w:rsidR="00E42C33" w:rsidRPr="00B20780">
        <w:rPr>
          <w:rFonts w:ascii="Book Antiqua" w:hAnsi="Book Antiqua"/>
        </w:rPr>
        <w:t>, the need for endoscopic hemostasis</w:t>
      </w:r>
      <w:r w:rsidR="000D0884" w:rsidRPr="00B20780">
        <w:rPr>
          <w:rFonts w:ascii="Book Antiqua" w:hAnsi="Book Antiqua"/>
        </w:rPr>
        <w:t>, the number of blood units transfused and presence of sepsis</w:t>
      </w:r>
      <w:r w:rsidR="00E42C33" w:rsidRPr="00B20780">
        <w:rPr>
          <w:rFonts w:ascii="Book Antiqua" w:hAnsi="Book Antiqua"/>
        </w:rPr>
        <w:t xml:space="preserve"> </w:t>
      </w:r>
      <w:r w:rsidR="000D0884" w:rsidRPr="00B20780">
        <w:rPr>
          <w:rFonts w:ascii="Book Antiqua" w:hAnsi="Book Antiqua"/>
        </w:rPr>
        <w:t>were</w:t>
      </w:r>
      <w:r w:rsidR="00E42C33" w:rsidRPr="00B20780">
        <w:rPr>
          <w:rFonts w:ascii="Book Antiqua" w:hAnsi="Book Antiqua"/>
        </w:rPr>
        <w:t xml:space="preserve"> correlat</w:t>
      </w:r>
      <w:r w:rsidR="000D0884" w:rsidRPr="00B20780">
        <w:rPr>
          <w:rFonts w:ascii="Book Antiqua" w:hAnsi="Book Antiqua"/>
        </w:rPr>
        <w:t xml:space="preserve">ed with the risk of </w:t>
      </w:r>
      <w:proofErr w:type="spellStart"/>
      <w:r w:rsidR="000D0884" w:rsidRPr="00B20780">
        <w:rPr>
          <w:rFonts w:ascii="Book Antiqua" w:hAnsi="Book Antiqua"/>
        </w:rPr>
        <w:t>rebleeding</w:t>
      </w:r>
      <w:proofErr w:type="spellEnd"/>
      <w:r w:rsidR="000D0884" w:rsidRPr="00B20780">
        <w:rPr>
          <w:rFonts w:ascii="Book Antiqua" w:hAnsi="Book Antiqua"/>
        </w:rPr>
        <w:t xml:space="preserve">. Furthermore, the presence of comorbidities was a predictive factor for in-hospital mortality; among them, sepsis proved to be associated with the highest relative risk </w:t>
      </w:r>
      <w:r w:rsidR="00A86E1A" w:rsidRPr="00B20780">
        <w:rPr>
          <w:rFonts w:ascii="Book Antiqua" w:hAnsi="Book Antiqua"/>
        </w:rPr>
        <w:t>for death, increasing by 8 times the in-hospital mortality risk</w:t>
      </w:r>
      <w:r w:rsidR="00E42C33" w:rsidRPr="00B20780">
        <w:rPr>
          <w:rFonts w:ascii="Book Antiqua" w:hAnsi="Book Antiqua"/>
        </w:rPr>
        <w:t>. A thorough identification of the risk factors starting from admission of patients and further stratification of patients with NVUDB will lead to an improvement in patient outcomes and reduced costs.</w:t>
      </w:r>
      <w:r w:rsidR="00A86E1A" w:rsidRPr="00B20780">
        <w:rPr>
          <w:rFonts w:ascii="Book Antiqua" w:hAnsi="Book Antiqua"/>
        </w:rPr>
        <w:t xml:space="preserve"> The approach of these patients should focus also on the management of coexisting conditions and sepsis</w:t>
      </w:r>
      <w:r w:rsidR="00566EFB" w:rsidRPr="00B20780">
        <w:rPr>
          <w:rFonts w:ascii="Book Antiqua" w:hAnsi="Book Antiqua"/>
        </w:rPr>
        <w:t xml:space="preserve"> control</w:t>
      </w:r>
      <w:r w:rsidR="00A86E1A" w:rsidRPr="00B20780">
        <w:rPr>
          <w:rFonts w:ascii="Book Antiqua" w:hAnsi="Book Antiqua"/>
        </w:rPr>
        <w:t>.</w:t>
      </w:r>
    </w:p>
    <w:p w:rsidR="00DE7591" w:rsidRPr="00B20780" w:rsidRDefault="00DE7591" w:rsidP="00DE7591">
      <w:pPr>
        <w:pStyle w:val="a3"/>
        <w:spacing w:before="0" w:beforeAutospacing="0" w:after="0" w:afterAutospacing="0" w:line="360" w:lineRule="auto"/>
        <w:ind w:firstLineChars="100" w:firstLine="240"/>
        <w:jc w:val="both"/>
        <w:rPr>
          <w:rFonts w:ascii="Book Antiqua" w:hAnsi="Book Antiqua"/>
          <w:b/>
        </w:rPr>
      </w:pPr>
    </w:p>
    <w:p w:rsidR="00CE5FB6" w:rsidRPr="00B20780" w:rsidRDefault="00CE5FB6" w:rsidP="00DE7591">
      <w:pPr>
        <w:snapToGrid w:val="0"/>
        <w:spacing w:after="0" w:line="360" w:lineRule="auto"/>
        <w:jc w:val="both"/>
        <w:rPr>
          <w:rFonts w:ascii="Book Antiqua" w:hAnsi="Book Antiqua"/>
          <w:b/>
          <w:caps/>
          <w:sz w:val="24"/>
          <w:szCs w:val="24"/>
        </w:rPr>
      </w:pPr>
      <w:r w:rsidRPr="00B20780">
        <w:rPr>
          <w:rFonts w:ascii="Book Antiqua" w:hAnsi="Book Antiqua" w:cs="Segoe UI"/>
          <w:b/>
          <w:caps/>
          <w:sz w:val="24"/>
          <w:szCs w:val="24"/>
        </w:rPr>
        <w:t>Article Highlights</w:t>
      </w:r>
    </w:p>
    <w:p w:rsidR="00DC2BDF"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background</w:t>
      </w:r>
    </w:p>
    <w:p w:rsidR="00DC2BDF" w:rsidRPr="00B20780" w:rsidRDefault="00DC2BDF" w:rsidP="00DE7591">
      <w:pPr>
        <w:adjustRightInd w:val="0"/>
        <w:snapToGrid w:val="0"/>
        <w:spacing w:after="0" w:line="360" w:lineRule="auto"/>
        <w:jc w:val="both"/>
        <w:rPr>
          <w:rFonts w:ascii="Book Antiqua" w:hAnsi="Book Antiqua"/>
          <w:sz w:val="24"/>
          <w:szCs w:val="24"/>
        </w:rPr>
      </w:pP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digestive bleeding (NVUDB) is a severe condition, associated with significant morbidity, mortality and health care resource use. Despite the progress in the treatment of NVUDB by using potent proton pump inhibitors and modern endoscopic devices, its mortality remains high. In recent years, considerable effort has been made to the identification of predictive factors for unfavorable outcome, defined by </w:t>
      </w:r>
      <w:proofErr w:type="spellStart"/>
      <w:r w:rsidRPr="00B20780">
        <w:rPr>
          <w:rFonts w:ascii="Book Antiqua" w:hAnsi="Book Antiqua"/>
          <w:sz w:val="24"/>
          <w:szCs w:val="24"/>
        </w:rPr>
        <w:t>rebleeding</w:t>
      </w:r>
      <w:proofErr w:type="spellEnd"/>
      <w:r w:rsidRPr="00B20780">
        <w:rPr>
          <w:rFonts w:ascii="Book Antiqua" w:hAnsi="Book Antiqua"/>
          <w:sz w:val="24"/>
          <w:szCs w:val="24"/>
        </w:rPr>
        <w:t>, need of surgery and death.</w:t>
      </w:r>
    </w:p>
    <w:p w:rsidR="000B4B3F" w:rsidRPr="00B20780" w:rsidRDefault="000B4B3F" w:rsidP="00DE7591">
      <w:pPr>
        <w:adjustRightInd w:val="0"/>
        <w:snapToGrid w:val="0"/>
        <w:spacing w:after="0" w:line="360" w:lineRule="auto"/>
        <w:jc w:val="both"/>
        <w:rPr>
          <w:rFonts w:ascii="Book Antiqua" w:hAnsi="Book Antiqua"/>
          <w:b/>
          <w:i/>
          <w:sz w:val="24"/>
          <w:szCs w:val="24"/>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motivation</w:t>
      </w:r>
    </w:p>
    <w:p w:rsidR="00CE5FB6" w:rsidRPr="00B20780" w:rsidRDefault="00DC2BDF" w:rsidP="00DE7591">
      <w:pPr>
        <w:spacing w:after="0" w:line="360" w:lineRule="auto"/>
        <w:jc w:val="both"/>
        <w:rPr>
          <w:rFonts w:ascii="Book Antiqua" w:hAnsi="Book Antiqua"/>
          <w:sz w:val="24"/>
          <w:szCs w:val="24"/>
        </w:rPr>
      </w:pPr>
      <w:r w:rsidRPr="00B20780">
        <w:rPr>
          <w:rFonts w:ascii="Book Antiqua" w:hAnsi="Book Antiqua"/>
          <w:sz w:val="24"/>
          <w:szCs w:val="24"/>
        </w:rPr>
        <w:lastRenderedPageBreak/>
        <w:t>The identification of prognostic factors of poor outcome and implementation of risk stratification systems helps to improve clinical management of the patients with NVUDB by optimal allocation of health care resources. This stratification allows an early discharge or outpatient management in low-risk patients, whereas high-risk patients benefit from an intensive therapeutic approach, needing endoscopic hemostasis and hospitalization.</w:t>
      </w:r>
    </w:p>
    <w:p w:rsidR="000B4B3F" w:rsidRPr="00B20780" w:rsidRDefault="000B4B3F" w:rsidP="00DE7591">
      <w:pPr>
        <w:spacing w:after="0" w:line="360" w:lineRule="auto"/>
        <w:jc w:val="both"/>
        <w:rPr>
          <w:rFonts w:ascii="Book Antiqua" w:hAnsi="Book Antiqua"/>
          <w:sz w:val="24"/>
          <w:szCs w:val="24"/>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objectives</w:t>
      </w:r>
    </w:p>
    <w:p w:rsidR="00CE5FB6" w:rsidRPr="00B20780" w:rsidRDefault="009D489C" w:rsidP="00DE7591">
      <w:pPr>
        <w:spacing w:after="0" w:line="360" w:lineRule="auto"/>
        <w:jc w:val="both"/>
        <w:rPr>
          <w:rFonts w:ascii="Book Antiqua" w:hAnsi="Book Antiqua"/>
          <w:sz w:val="24"/>
          <w:szCs w:val="24"/>
        </w:rPr>
      </w:pPr>
      <w:r w:rsidRPr="00B20780">
        <w:rPr>
          <w:rFonts w:ascii="Book Antiqua" w:hAnsi="Book Antiqua"/>
          <w:sz w:val="24"/>
          <w:szCs w:val="24"/>
        </w:rPr>
        <w:t xml:space="preserve">The main objective of our study is to describe the particularities of patients with NVUDB, including demographic characteristics, clinical and endoscopic findings, treatment used, as well as to identify predictive factors of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and in-hospital mortality in patients with NVUDB admitted in an emergency hospital from western Romania.</w:t>
      </w:r>
    </w:p>
    <w:p w:rsidR="000B4B3F" w:rsidRPr="00B20780" w:rsidRDefault="000B4B3F" w:rsidP="00DE7591">
      <w:pPr>
        <w:spacing w:after="0" w:line="360" w:lineRule="auto"/>
        <w:jc w:val="both"/>
        <w:rPr>
          <w:rFonts w:ascii="Book Antiqua" w:hAnsi="Book Antiqua"/>
          <w:sz w:val="24"/>
          <w:szCs w:val="24"/>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methods</w:t>
      </w:r>
    </w:p>
    <w:p w:rsidR="00CE5FB6" w:rsidRPr="00B20780" w:rsidRDefault="009D489C" w:rsidP="00DE7591">
      <w:pPr>
        <w:spacing w:after="0" w:line="360" w:lineRule="auto"/>
        <w:jc w:val="both"/>
        <w:rPr>
          <w:rFonts w:ascii="Book Antiqua" w:hAnsi="Book Antiqua"/>
          <w:sz w:val="24"/>
          <w:szCs w:val="24"/>
          <w:lang w:eastAsia="ro-RO"/>
        </w:rPr>
      </w:pPr>
      <w:r w:rsidRPr="00B20780">
        <w:rPr>
          <w:rFonts w:ascii="Book Antiqua" w:hAnsi="Book Antiqua"/>
          <w:sz w:val="24"/>
          <w:szCs w:val="24"/>
        </w:rPr>
        <w:t xml:space="preserve">Our retrospective study included patients with NVUDB admitted in the Gastroenterology Department of Emergency County Hospital Timisoara, Romania, during 2008-2016. On this batch we analyzed the </w:t>
      </w:r>
      <w:r w:rsidRPr="00B20780">
        <w:rPr>
          <w:rFonts w:ascii="Book Antiqua" w:hAnsi="Book Antiqua"/>
          <w:sz w:val="24"/>
          <w:szCs w:val="24"/>
          <w:lang w:eastAsia="ro-RO"/>
        </w:rPr>
        <w:t>demographic data, medication history</w:t>
      </w:r>
      <w:r w:rsidRPr="00B20780">
        <w:rPr>
          <w:rFonts w:ascii="Book Antiqua" w:hAnsi="Book Antiqua"/>
          <w:sz w:val="24"/>
          <w:szCs w:val="24"/>
        </w:rPr>
        <w:t xml:space="preserve">, clinical and biological parameters, endoscopic findings, type of endoscopic hemostasis used, the </w:t>
      </w:r>
      <w:proofErr w:type="spellStart"/>
      <w:r w:rsidRPr="00B20780">
        <w:rPr>
          <w:rFonts w:ascii="Book Antiqua" w:hAnsi="Book Antiqua"/>
          <w:sz w:val="24"/>
          <w:szCs w:val="24"/>
          <w:lang w:eastAsia="ro-RO"/>
        </w:rPr>
        <w:t>Rockall</w:t>
      </w:r>
      <w:proofErr w:type="spellEnd"/>
      <w:r w:rsidRPr="00B20780">
        <w:rPr>
          <w:rFonts w:ascii="Book Antiqua" w:hAnsi="Book Antiqua"/>
          <w:sz w:val="24"/>
          <w:szCs w:val="24"/>
          <w:lang w:eastAsia="ro-RO"/>
        </w:rPr>
        <w:t xml:space="preserve"> score of the patients, length of hospitalization and associated comorbidities. Also, we assessed </w:t>
      </w:r>
      <w:r w:rsidRPr="00B20780">
        <w:rPr>
          <w:rFonts w:ascii="Book Antiqua" w:hAnsi="Book Antiqua"/>
          <w:sz w:val="24"/>
          <w:szCs w:val="24"/>
        </w:rPr>
        <w:t>the rate of unfavorable outcome in patients with NVUDB (</w:t>
      </w:r>
      <w:proofErr w:type="spellStart"/>
      <w:r w:rsidRPr="00B20780">
        <w:rPr>
          <w:rFonts w:ascii="Book Antiqua" w:hAnsi="Book Antiqua"/>
          <w:sz w:val="24"/>
          <w:szCs w:val="24"/>
        </w:rPr>
        <w:t>rebleeding</w:t>
      </w:r>
      <w:proofErr w:type="spellEnd"/>
      <w:r w:rsidRPr="00B20780">
        <w:rPr>
          <w:rFonts w:ascii="Book Antiqua" w:hAnsi="Book Antiqua"/>
          <w:sz w:val="24"/>
          <w:szCs w:val="24"/>
        </w:rPr>
        <w:t>, surgery, death)</w:t>
      </w:r>
      <w:r w:rsidRPr="00B20780">
        <w:rPr>
          <w:rFonts w:ascii="Book Antiqua" w:hAnsi="Book Antiqua"/>
          <w:sz w:val="24"/>
          <w:szCs w:val="24"/>
          <w:lang w:eastAsia="ro-RO"/>
        </w:rPr>
        <w:t xml:space="preserve">. Furthermore, we evaluated the potential risk factors associated with </w:t>
      </w:r>
      <w:proofErr w:type="spellStart"/>
      <w:r w:rsidRPr="00B20780">
        <w:rPr>
          <w:rFonts w:ascii="Book Antiqua" w:hAnsi="Book Antiqua"/>
          <w:sz w:val="24"/>
          <w:szCs w:val="24"/>
          <w:lang w:eastAsia="ro-RO"/>
        </w:rPr>
        <w:t>rebleeding</w:t>
      </w:r>
      <w:proofErr w:type="spellEnd"/>
      <w:r w:rsidRPr="00B20780">
        <w:rPr>
          <w:rFonts w:ascii="Book Antiqua" w:hAnsi="Book Antiqua"/>
          <w:sz w:val="24"/>
          <w:szCs w:val="24"/>
          <w:lang w:eastAsia="ro-RO"/>
        </w:rPr>
        <w:t xml:space="preserve"> and death in patients with NVUDB.</w:t>
      </w:r>
    </w:p>
    <w:p w:rsidR="000B4B3F" w:rsidRPr="00B20780" w:rsidRDefault="000B4B3F" w:rsidP="00DE7591">
      <w:pPr>
        <w:spacing w:after="0" w:line="360" w:lineRule="auto"/>
        <w:jc w:val="both"/>
        <w:rPr>
          <w:rFonts w:ascii="Book Antiqua" w:hAnsi="Book Antiqua"/>
          <w:sz w:val="24"/>
          <w:szCs w:val="24"/>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results</w:t>
      </w:r>
    </w:p>
    <w:p w:rsidR="00CE5FB6" w:rsidRPr="00B20780" w:rsidRDefault="009D489C" w:rsidP="00DE7591">
      <w:pPr>
        <w:pStyle w:val="a3"/>
        <w:spacing w:before="0" w:beforeAutospacing="0" w:after="0" w:afterAutospacing="0" w:line="360" w:lineRule="auto"/>
        <w:jc w:val="both"/>
        <w:rPr>
          <w:rFonts w:ascii="Book Antiqua" w:hAnsi="Book Antiqua"/>
        </w:rPr>
      </w:pPr>
      <w:r w:rsidRPr="00B20780">
        <w:rPr>
          <w:rFonts w:ascii="Book Antiqua" w:hAnsi="Book Antiqua"/>
        </w:rPr>
        <w:t>We</w:t>
      </w:r>
      <w:r w:rsidRPr="00B20780">
        <w:rPr>
          <w:rFonts w:ascii="Book Antiqua" w:hAnsi="Book Antiqua"/>
          <w:b/>
        </w:rPr>
        <w:t xml:space="preserve"> </w:t>
      </w:r>
      <w:r w:rsidRPr="00B20780">
        <w:rPr>
          <w:rFonts w:ascii="Book Antiqua" w:hAnsi="Book Antiqua"/>
        </w:rPr>
        <w:t>assessed a batch of 1581 patients with NVUDB, 523 (33%) females and 1058 (67%) males, me</w:t>
      </w:r>
      <w:r w:rsidR="00D96322" w:rsidRPr="00B20780">
        <w:rPr>
          <w:rFonts w:ascii="Book Antiqua" w:hAnsi="Book Antiqua"/>
        </w:rPr>
        <w:t>dian age of 66</w:t>
      </w:r>
      <w:r w:rsidRPr="00B20780">
        <w:rPr>
          <w:rFonts w:ascii="Book Antiqua" w:hAnsi="Book Antiqua"/>
        </w:rPr>
        <w:t xml:space="preserve"> years. Peptic ulcer represented the most common etiology of NVUDB. The rate of </w:t>
      </w:r>
      <w:proofErr w:type="spellStart"/>
      <w:r w:rsidRPr="00B20780">
        <w:rPr>
          <w:rFonts w:ascii="Book Antiqua" w:hAnsi="Book Antiqua"/>
        </w:rPr>
        <w:t>rebleeding</w:t>
      </w:r>
      <w:proofErr w:type="spellEnd"/>
      <w:r w:rsidRPr="00B20780">
        <w:rPr>
          <w:rFonts w:ascii="Book Antiqua" w:hAnsi="Book Antiqua"/>
        </w:rPr>
        <w:t xml:space="preserve"> was 7.72%, surgery was performed in 3.22% of patients; the in-hospital mortality rate was 8.09%, whereas bleeding-episode-related mortality was 2.97%. Parameters significantly associated with an increased risk of </w:t>
      </w:r>
      <w:proofErr w:type="spellStart"/>
      <w:r w:rsidRPr="00B20780">
        <w:rPr>
          <w:rFonts w:ascii="Book Antiqua" w:hAnsi="Book Antiqua"/>
        </w:rPr>
        <w:t>rebleeding</w:t>
      </w:r>
      <w:proofErr w:type="spellEnd"/>
      <w:r w:rsidRPr="00B20780">
        <w:rPr>
          <w:rFonts w:ascii="Book Antiqua" w:hAnsi="Book Antiqua"/>
        </w:rPr>
        <w:t xml:space="preserve"> (using logistic regression) were </w:t>
      </w:r>
      <w:proofErr w:type="spellStart"/>
      <w:r w:rsidRPr="00B20780">
        <w:rPr>
          <w:rFonts w:ascii="Book Antiqua" w:hAnsi="Book Antiqua"/>
        </w:rPr>
        <w:t>Rockall</w:t>
      </w:r>
      <w:proofErr w:type="spellEnd"/>
      <w:r w:rsidRPr="00B20780">
        <w:rPr>
          <w:rFonts w:ascii="Book Antiqua" w:hAnsi="Book Antiqua"/>
        </w:rPr>
        <w:t xml:space="preserve"> score (OR: 1.41), need for therapy </w:t>
      </w:r>
      <w:r w:rsidR="000B4B3F" w:rsidRPr="00B20780">
        <w:rPr>
          <w:rFonts w:ascii="Book Antiqua" w:hAnsi="Book Antiqua"/>
        </w:rPr>
        <w:lastRenderedPageBreak/>
        <w:t>[</w:t>
      </w:r>
      <w:r w:rsidRPr="00B20780">
        <w:rPr>
          <w:rFonts w:ascii="Book Antiqua" w:hAnsi="Book Antiqua"/>
        </w:rPr>
        <w:t xml:space="preserve">simple </w:t>
      </w:r>
      <w:r w:rsidR="000B4B3F" w:rsidRPr="00B20780">
        <w:rPr>
          <w:rFonts w:ascii="Book Antiqua" w:hAnsi="Book Antiqua"/>
        </w:rPr>
        <w:t>(</w:t>
      </w:r>
      <w:r w:rsidRPr="00B20780">
        <w:rPr>
          <w:rFonts w:ascii="Book Antiqua" w:hAnsi="Book Antiqua"/>
        </w:rPr>
        <w:t>OR: 3.18</w:t>
      </w:r>
      <w:r w:rsidR="000B4B3F" w:rsidRPr="00B20780">
        <w:rPr>
          <w:rFonts w:ascii="Book Antiqua" w:hAnsi="Book Antiqua"/>
        </w:rPr>
        <w:t>)</w:t>
      </w:r>
      <w:r w:rsidRPr="00B20780">
        <w:rPr>
          <w:rFonts w:ascii="Book Antiqua" w:hAnsi="Book Antiqua"/>
        </w:rPr>
        <w:t xml:space="preserve"> or combined </w:t>
      </w:r>
      <w:r w:rsidR="000B4B3F" w:rsidRPr="00B20780">
        <w:rPr>
          <w:rFonts w:ascii="Book Antiqua" w:hAnsi="Book Antiqua"/>
        </w:rPr>
        <w:t>(</w:t>
      </w:r>
      <w:r w:rsidRPr="00B20780">
        <w:rPr>
          <w:rFonts w:ascii="Book Antiqua" w:hAnsi="Book Antiqua"/>
        </w:rPr>
        <w:t>OR: 1.75)</w:t>
      </w:r>
      <w:r w:rsidR="000B4B3F" w:rsidRPr="00B20780">
        <w:rPr>
          <w:rFonts w:ascii="Book Antiqua" w:hAnsi="Book Antiqua"/>
        </w:rPr>
        <w:t>]</w:t>
      </w:r>
      <w:r w:rsidRPr="00B20780">
        <w:rPr>
          <w:rFonts w:ascii="Book Antiqua" w:hAnsi="Book Antiqua"/>
        </w:rPr>
        <w:t xml:space="preserve">, number of blood units transfused (OR: 1.46), and sepsis (OR: 2.95). Logistic regression demonstrated that parameters significantly associated with death were </w:t>
      </w:r>
      <w:proofErr w:type="spellStart"/>
      <w:r w:rsidRPr="00B20780">
        <w:rPr>
          <w:rFonts w:ascii="Book Antiqua" w:hAnsi="Book Antiqua"/>
        </w:rPr>
        <w:t>Rockall</w:t>
      </w:r>
      <w:proofErr w:type="spellEnd"/>
      <w:r w:rsidRPr="00B20780">
        <w:rPr>
          <w:rFonts w:ascii="Book Antiqua" w:hAnsi="Book Antiqua"/>
        </w:rPr>
        <w:t xml:space="preserve"> score (OR: 1.73) and the following comorbidities: respiratory diseases (OR: 3.29), liver cirrhosis (OR: 2.91), sepsis (OR: 8.03) and acute pancreatitis (OR: 6.58). We performed a predictive model for </w:t>
      </w:r>
      <w:proofErr w:type="spellStart"/>
      <w:r w:rsidRPr="00B20780">
        <w:rPr>
          <w:rFonts w:ascii="Book Antiqua" w:hAnsi="Book Antiqua"/>
        </w:rPr>
        <w:t>rebleeding</w:t>
      </w:r>
      <w:proofErr w:type="spellEnd"/>
      <w:r w:rsidRPr="00B20780">
        <w:rPr>
          <w:rFonts w:ascii="Book Antiqua" w:hAnsi="Book Antiqua"/>
        </w:rPr>
        <w:t xml:space="preserve"> associated with an accuracy of 92.35%, and a predictive model for death, with an accuracy of 92.35%. Because the predictive models have a low sensitivity and a very high specificity, they provide a better discriminative capacity for identifying patients with NVUDB with favorable outcomes (no evolution towards </w:t>
      </w:r>
      <w:proofErr w:type="spellStart"/>
      <w:r w:rsidRPr="00B20780">
        <w:rPr>
          <w:rFonts w:ascii="Book Antiqua" w:hAnsi="Book Antiqua"/>
        </w:rPr>
        <w:t>rebleeding</w:t>
      </w:r>
      <w:proofErr w:type="spellEnd"/>
      <w:r w:rsidRPr="00B20780">
        <w:rPr>
          <w:rFonts w:ascii="Book Antiqua" w:hAnsi="Book Antiqua"/>
        </w:rPr>
        <w:t xml:space="preserve"> or death).</w:t>
      </w:r>
    </w:p>
    <w:p w:rsidR="000B4B3F" w:rsidRPr="00B20780" w:rsidRDefault="000B4B3F" w:rsidP="00DE7591">
      <w:pPr>
        <w:pStyle w:val="a3"/>
        <w:spacing w:before="0" w:beforeAutospacing="0" w:after="0" w:afterAutospacing="0" w:line="360" w:lineRule="auto"/>
        <w:jc w:val="both"/>
        <w:rPr>
          <w:rFonts w:ascii="Book Antiqua" w:hAnsi="Book Antiqua"/>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conclusions</w:t>
      </w:r>
    </w:p>
    <w:p w:rsidR="00CE5FB6" w:rsidRPr="00B20780" w:rsidRDefault="009D489C" w:rsidP="00DE7591">
      <w:pPr>
        <w:pStyle w:val="a3"/>
        <w:spacing w:before="0" w:beforeAutospacing="0" w:after="0" w:afterAutospacing="0" w:line="360" w:lineRule="auto"/>
        <w:jc w:val="both"/>
        <w:rPr>
          <w:rFonts w:ascii="Book Antiqua" w:hAnsi="Book Antiqua"/>
        </w:rPr>
      </w:pPr>
      <w:r w:rsidRPr="00B20780">
        <w:rPr>
          <w:rFonts w:ascii="Book Antiqua" w:hAnsi="Book Antiqua"/>
        </w:rPr>
        <w:t>Our study revealed th</w:t>
      </w:r>
      <w:r w:rsidR="004F0949" w:rsidRPr="00B20780">
        <w:rPr>
          <w:rFonts w:ascii="Book Antiqua" w:hAnsi="Book Antiqua"/>
        </w:rPr>
        <w:t xml:space="preserve">at the </w:t>
      </w:r>
      <w:r w:rsidRPr="00B20780">
        <w:rPr>
          <w:rFonts w:ascii="Book Antiqua" w:hAnsi="Book Antiqua"/>
        </w:rPr>
        <w:t>risk fac</w:t>
      </w:r>
      <w:r w:rsidR="004F0949" w:rsidRPr="00B20780">
        <w:rPr>
          <w:rFonts w:ascii="Book Antiqua" w:hAnsi="Book Antiqua"/>
        </w:rPr>
        <w:t xml:space="preserve">tors for </w:t>
      </w:r>
      <w:proofErr w:type="spellStart"/>
      <w:r w:rsidR="004F0949" w:rsidRPr="00B20780">
        <w:rPr>
          <w:rFonts w:ascii="Book Antiqua" w:hAnsi="Book Antiqua"/>
        </w:rPr>
        <w:t>rebleeding</w:t>
      </w:r>
      <w:proofErr w:type="spellEnd"/>
      <w:r w:rsidR="004F0949" w:rsidRPr="00B20780">
        <w:rPr>
          <w:rFonts w:ascii="Book Antiqua" w:hAnsi="Book Antiqua"/>
        </w:rPr>
        <w:t xml:space="preserve"> were</w:t>
      </w:r>
      <w:r w:rsidRPr="00B20780">
        <w:rPr>
          <w:rFonts w:ascii="Book Antiqua" w:hAnsi="Book Antiqua"/>
        </w:rPr>
        <w:t xml:space="preserve"> the </w:t>
      </w:r>
      <w:proofErr w:type="spellStart"/>
      <w:r w:rsidR="004F0949" w:rsidRPr="00B20780">
        <w:rPr>
          <w:rFonts w:ascii="Book Antiqua" w:hAnsi="Book Antiqua"/>
        </w:rPr>
        <w:t>Rockall</w:t>
      </w:r>
      <w:proofErr w:type="spellEnd"/>
      <w:r w:rsidR="004F0949" w:rsidRPr="00B20780">
        <w:rPr>
          <w:rFonts w:ascii="Book Antiqua" w:hAnsi="Book Antiqua"/>
        </w:rPr>
        <w:t xml:space="preserve"> score, </w:t>
      </w:r>
      <w:r w:rsidRPr="00B20780">
        <w:rPr>
          <w:rFonts w:ascii="Book Antiqua" w:hAnsi="Book Antiqua"/>
        </w:rPr>
        <w:t>need for endoscopic therapy, number of blood units tran</w:t>
      </w:r>
      <w:r w:rsidR="004F0949" w:rsidRPr="00B20780">
        <w:rPr>
          <w:rFonts w:ascii="Book Antiqua" w:hAnsi="Book Antiqua"/>
        </w:rPr>
        <w:t>sfused, and presence of sepsis.</w:t>
      </w:r>
      <w:r w:rsidR="004F0949" w:rsidRPr="00B20780">
        <w:rPr>
          <w:rFonts w:ascii="Book Antiqua" w:hAnsi="Book Antiqua"/>
          <w:b/>
        </w:rPr>
        <w:t xml:space="preserve"> </w:t>
      </w:r>
      <w:r w:rsidR="004F0949" w:rsidRPr="00B20780">
        <w:rPr>
          <w:rFonts w:ascii="Book Antiqua" w:hAnsi="Book Antiqua"/>
        </w:rPr>
        <w:t>Our</w:t>
      </w:r>
      <w:r w:rsidR="004F0949" w:rsidRPr="00B20780">
        <w:rPr>
          <w:rFonts w:ascii="Book Antiqua" w:hAnsi="Book Antiqua"/>
          <w:b/>
        </w:rPr>
        <w:t xml:space="preserve"> </w:t>
      </w:r>
      <w:r w:rsidR="004F0949" w:rsidRPr="00B20780">
        <w:rPr>
          <w:rFonts w:ascii="Book Antiqua" w:hAnsi="Book Antiqua"/>
        </w:rPr>
        <w:t xml:space="preserve">results showed that patients who died during hospitalization were significantly older, had a higher </w:t>
      </w:r>
      <w:proofErr w:type="spellStart"/>
      <w:r w:rsidR="004F0949" w:rsidRPr="00B20780">
        <w:rPr>
          <w:rFonts w:ascii="Book Antiqua" w:hAnsi="Book Antiqua"/>
        </w:rPr>
        <w:t>Rockall</w:t>
      </w:r>
      <w:proofErr w:type="spellEnd"/>
      <w:r w:rsidR="004F0949" w:rsidRPr="00B20780">
        <w:rPr>
          <w:rFonts w:ascii="Book Antiqua" w:hAnsi="Book Antiqua"/>
        </w:rPr>
        <w:t xml:space="preserve"> score, and a more severe anemia. </w:t>
      </w:r>
      <w:r w:rsidRPr="00B20780">
        <w:rPr>
          <w:rFonts w:ascii="Book Antiqua" w:hAnsi="Book Antiqua"/>
        </w:rPr>
        <w:t xml:space="preserve">The existence of severe </w:t>
      </w:r>
      <w:proofErr w:type="spellStart"/>
      <w:r w:rsidRPr="00B20780">
        <w:rPr>
          <w:rFonts w:ascii="Book Antiqua" w:hAnsi="Book Antiqua"/>
        </w:rPr>
        <w:t>comorbididies</w:t>
      </w:r>
      <w:proofErr w:type="spellEnd"/>
      <w:r w:rsidRPr="00B20780">
        <w:rPr>
          <w:rFonts w:ascii="Book Antiqua" w:hAnsi="Book Antiqua"/>
        </w:rPr>
        <w:t xml:space="preserve"> such as respiratory conditions, cirrhosis, sepsis, and acute pancreatitis were also risk factors for death in patients with NVUDB.</w:t>
      </w:r>
    </w:p>
    <w:p w:rsidR="000B4B3F" w:rsidRPr="00B20780" w:rsidRDefault="000B4B3F" w:rsidP="00DE7591">
      <w:pPr>
        <w:pStyle w:val="a3"/>
        <w:spacing w:before="0" w:beforeAutospacing="0" w:after="0" w:afterAutospacing="0" w:line="360" w:lineRule="auto"/>
        <w:jc w:val="both"/>
        <w:rPr>
          <w:rFonts w:ascii="Book Antiqua" w:hAnsi="Book Antiqua"/>
        </w:rPr>
      </w:pPr>
    </w:p>
    <w:p w:rsidR="00CE5FB6" w:rsidRPr="00B20780" w:rsidRDefault="00CE5FB6" w:rsidP="00DE7591">
      <w:pPr>
        <w:adjustRightInd w:val="0"/>
        <w:snapToGrid w:val="0"/>
        <w:spacing w:after="0" w:line="360" w:lineRule="auto"/>
        <w:jc w:val="both"/>
        <w:rPr>
          <w:rFonts w:ascii="Book Antiqua" w:hAnsi="Book Antiqua"/>
          <w:b/>
          <w:i/>
          <w:sz w:val="24"/>
          <w:szCs w:val="24"/>
        </w:rPr>
      </w:pPr>
      <w:r w:rsidRPr="00B20780">
        <w:rPr>
          <w:rFonts w:ascii="Book Antiqua" w:hAnsi="Book Antiqua"/>
          <w:b/>
          <w:i/>
          <w:sz w:val="24"/>
          <w:szCs w:val="24"/>
        </w:rPr>
        <w:t>Research perspectives</w:t>
      </w:r>
    </w:p>
    <w:p w:rsidR="000215C6" w:rsidRPr="00B20780" w:rsidRDefault="009D489C" w:rsidP="00DE7591">
      <w:pPr>
        <w:pStyle w:val="a3"/>
        <w:spacing w:before="0" w:beforeAutospacing="0" w:after="0" w:afterAutospacing="0" w:line="360" w:lineRule="auto"/>
        <w:jc w:val="both"/>
        <w:rPr>
          <w:rFonts w:ascii="Book Antiqua" w:hAnsi="Book Antiqua"/>
        </w:rPr>
      </w:pPr>
      <w:r w:rsidRPr="00B20780">
        <w:rPr>
          <w:rFonts w:ascii="Book Antiqua" w:hAnsi="Book Antiqua"/>
        </w:rPr>
        <w:t xml:space="preserve">In the near future we expect to be able to implement better strategies of risk stratification of NVUDB patients in our daily practice, using the clinical and endoscopic findings demonstrated as predictive parameters of poor outcome in our specific pool of patients. The continuous use of the risk stratification algorithms for the patients with NVUDB will lead to an improved management of these patients, a better quality of care and cost-efficiency of health resource use, and finally to a better prognosis of the patients diagnosed with this severe condition. The therapeutic approach of patients with NVUDB should involve a multidisciplinary team for the initial assessment of patients and for hemodynamic stabilization. The involvement of an experienced </w:t>
      </w:r>
      <w:proofErr w:type="spellStart"/>
      <w:r w:rsidRPr="00B20780">
        <w:rPr>
          <w:rFonts w:ascii="Book Antiqua" w:hAnsi="Book Antiqua"/>
        </w:rPr>
        <w:t>endoscopist</w:t>
      </w:r>
      <w:proofErr w:type="spellEnd"/>
      <w:r w:rsidRPr="00B20780">
        <w:rPr>
          <w:rFonts w:ascii="Book Antiqua" w:hAnsi="Book Antiqua"/>
        </w:rPr>
        <w:t xml:space="preserve"> and availability of modern endoscopic devices and techniques are essential for the proper management, prevention of </w:t>
      </w:r>
      <w:proofErr w:type="spellStart"/>
      <w:r w:rsidRPr="00B20780">
        <w:rPr>
          <w:rFonts w:ascii="Book Antiqua" w:hAnsi="Book Antiqua"/>
        </w:rPr>
        <w:t>rebleeding</w:t>
      </w:r>
      <w:proofErr w:type="spellEnd"/>
      <w:r w:rsidRPr="00B20780">
        <w:rPr>
          <w:rFonts w:ascii="Book Antiqua" w:hAnsi="Book Antiqua"/>
        </w:rPr>
        <w:t xml:space="preserve">, </w:t>
      </w:r>
      <w:r w:rsidRPr="00B20780">
        <w:rPr>
          <w:rFonts w:ascii="Book Antiqua" w:hAnsi="Book Antiqua"/>
        </w:rPr>
        <w:lastRenderedPageBreak/>
        <w:t xml:space="preserve">reduction of hospitalization length, and minimization of morbidity and mortality. A strategy for improving the outcome of the patients should focus on managing coexisting diseases. Multidisciplinary teams for the management of NVUDB patients should include experienced nurses, gastroenterologists, surgeons, and other clinicians </w:t>
      </w:r>
      <w:r w:rsidR="000215C6" w:rsidRPr="00B20780">
        <w:rPr>
          <w:rFonts w:ascii="Book Antiqua" w:hAnsi="Book Antiqua"/>
        </w:rPr>
        <w:t>who can deal with comorbidities.</w:t>
      </w:r>
    </w:p>
    <w:p w:rsidR="000215C6" w:rsidRPr="00B20780" w:rsidRDefault="000215C6" w:rsidP="00DE7591">
      <w:pPr>
        <w:tabs>
          <w:tab w:val="left" w:pos="2241"/>
        </w:tabs>
        <w:spacing w:after="0" w:line="360" w:lineRule="auto"/>
        <w:jc w:val="both"/>
        <w:rPr>
          <w:rFonts w:ascii="Book Antiqua" w:hAnsi="Book Antiqua"/>
          <w:sz w:val="24"/>
          <w:szCs w:val="24"/>
        </w:rPr>
      </w:pPr>
    </w:p>
    <w:p w:rsidR="00A30A7C" w:rsidRPr="00B20780" w:rsidRDefault="00187450" w:rsidP="00DE7591">
      <w:pPr>
        <w:pStyle w:val="a3"/>
        <w:spacing w:before="0" w:beforeAutospacing="0" w:after="0" w:afterAutospacing="0" w:line="360" w:lineRule="auto"/>
        <w:jc w:val="both"/>
        <w:rPr>
          <w:rFonts w:ascii="Book Antiqua" w:hAnsi="Book Antiqua"/>
          <w:b/>
        </w:rPr>
      </w:pPr>
      <w:r w:rsidRPr="00B20780">
        <w:rPr>
          <w:rFonts w:ascii="Book Antiqua" w:hAnsi="Book Antiqua"/>
          <w:b/>
        </w:rPr>
        <w:t>REFERENCES</w:t>
      </w:r>
    </w:p>
    <w:p w:rsidR="00187450" w:rsidRPr="00B20780" w:rsidRDefault="00187450" w:rsidP="00DE7591">
      <w:pPr>
        <w:spacing w:after="0" w:line="360" w:lineRule="auto"/>
        <w:jc w:val="both"/>
        <w:rPr>
          <w:rFonts w:ascii="Book Antiqua" w:hAnsi="Book Antiqua"/>
          <w:sz w:val="24"/>
          <w:szCs w:val="24"/>
          <w:lang w:eastAsia="zh-CN"/>
        </w:rPr>
      </w:pPr>
      <w:bookmarkStart w:id="22" w:name="OLE_LINK2"/>
      <w:bookmarkStart w:id="23" w:name="OLE_LINK6"/>
      <w:r w:rsidRPr="00B20780">
        <w:rPr>
          <w:rFonts w:ascii="Book Antiqua" w:hAnsi="Book Antiqua"/>
          <w:sz w:val="24"/>
          <w:szCs w:val="24"/>
        </w:rPr>
        <w:t xml:space="preserve">1 </w:t>
      </w:r>
      <w:proofErr w:type="spellStart"/>
      <w:r w:rsidRPr="00B20780">
        <w:rPr>
          <w:rFonts w:ascii="Book Antiqua" w:hAnsi="Book Antiqua"/>
          <w:b/>
          <w:sz w:val="24"/>
          <w:szCs w:val="24"/>
        </w:rPr>
        <w:t>Barkun</w:t>
      </w:r>
      <w:proofErr w:type="spellEnd"/>
      <w:r w:rsidRPr="00B20780">
        <w:rPr>
          <w:rFonts w:ascii="Book Antiqua" w:hAnsi="Book Antiqua"/>
          <w:b/>
          <w:sz w:val="24"/>
          <w:szCs w:val="24"/>
        </w:rPr>
        <w:t xml:space="preserve"> A</w:t>
      </w:r>
      <w:r w:rsidRPr="00B20780">
        <w:rPr>
          <w:rFonts w:ascii="Book Antiqua" w:hAnsi="Book Antiqua"/>
          <w:sz w:val="24"/>
          <w:szCs w:val="24"/>
        </w:rPr>
        <w:t xml:space="preserve">, </w:t>
      </w:r>
      <w:proofErr w:type="spellStart"/>
      <w:r w:rsidRPr="00B20780">
        <w:rPr>
          <w:rFonts w:ascii="Book Antiqua" w:hAnsi="Book Antiqua"/>
          <w:sz w:val="24"/>
          <w:szCs w:val="24"/>
        </w:rPr>
        <w:t>Sabbah</w:t>
      </w:r>
      <w:proofErr w:type="spellEnd"/>
      <w:r w:rsidRPr="00B20780">
        <w:rPr>
          <w:rFonts w:ascii="Book Antiqua" w:hAnsi="Book Antiqua"/>
          <w:sz w:val="24"/>
          <w:szCs w:val="24"/>
        </w:rPr>
        <w:t xml:space="preserve"> S, Enns R, Armstrong D, </w:t>
      </w:r>
      <w:proofErr w:type="spellStart"/>
      <w:r w:rsidRPr="00B20780">
        <w:rPr>
          <w:rFonts w:ascii="Book Antiqua" w:hAnsi="Book Antiqua"/>
          <w:sz w:val="24"/>
          <w:szCs w:val="24"/>
        </w:rPr>
        <w:t>Gregor</w:t>
      </w:r>
      <w:proofErr w:type="spellEnd"/>
      <w:r w:rsidRPr="00B20780">
        <w:rPr>
          <w:rFonts w:ascii="Book Antiqua" w:hAnsi="Book Antiqua"/>
          <w:sz w:val="24"/>
          <w:szCs w:val="24"/>
        </w:rPr>
        <w:t xml:space="preserve"> J, </w:t>
      </w:r>
      <w:proofErr w:type="spellStart"/>
      <w:r w:rsidRPr="00B20780">
        <w:rPr>
          <w:rFonts w:ascii="Book Antiqua" w:hAnsi="Book Antiqua"/>
          <w:sz w:val="24"/>
          <w:szCs w:val="24"/>
        </w:rPr>
        <w:t>Fedorak</w:t>
      </w:r>
      <w:proofErr w:type="spellEnd"/>
      <w:r w:rsidRPr="00B20780">
        <w:rPr>
          <w:rFonts w:ascii="Book Antiqua" w:hAnsi="Book Antiqua"/>
          <w:sz w:val="24"/>
          <w:szCs w:val="24"/>
        </w:rPr>
        <w:t xml:space="preserve"> RN, </w:t>
      </w:r>
      <w:proofErr w:type="spellStart"/>
      <w:r w:rsidRPr="00B20780">
        <w:rPr>
          <w:rFonts w:ascii="Book Antiqua" w:hAnsi="Book Antiqua"/>
          <w:sz w:val="24"/>
          <w:szCs w:val="24"/>
        </w:rPr>
        <w:t>Rahme</w:t>
      </w:r>
      <w:proofErr w:type="spellEnd"/>
      <w:r w:rsidRPr="00B20780">
        <w:rPr>
          <w:rFonts w:ascii="Book Antiqua" w:hAnsi="Book Antiqua"/>
          <w:sz w:val="24"/>
          <w:szCs w:val="24"/>
        </w:rPr>
        <w:t xml:space="preserve"> E, </w:t>
      </w:r>
      <w:proofErr w:type="spellStart"/>
      <w:r w:rsidRPr="00B20780">
        <w:rPr>
          <w:rFonts w:ascii="Book Antiqua" w:hAnsi="Book Antiqua"/>
          <w:sz w:val="24"/>
          <w:szCs w:val="24"/>
        </w:rPr>
        <w:t>Toubouti</w:t>
      </w:r>
      <w:proofErr w:type="spellEnd"/>
      <w:r w:rsidRPr="00B20780">
        <w:rPr>
          <w:rFonts w:ascii="Book Antiqua" w:hAnsi="Book Antiqua"/>
          <w:sz w:val="24"/>
          <w:szCs w:val="24"/>
        </w:rPr>
        <w:t xml:space="preserve"> Y, Martel M, Chiba N, </w:t>
      </w:r>
      <w:proofErr w:type="spellStart"/>
      <w:r w:rsidRPr="00B20780">
        <w:rPr>
          <w:rFonts w:ascii="Book Antiqua" w:hAnsi="Book Antiqua"/>
          <w:sz w:val="24"/>
          <w:szCs w:val="24"/>
        </w:rPr>
        <w:t>Fallone</w:t>
      </w:r>
      <w:proofErr w:type="spellEnd"/>
      <w:r w:rsidRPr="00B20780">
        <w:rPr>
          <w:rFonts w:ascii="Book Antiqua" w:hAnsi="Book Antiqua"/>
          <w:sz w:val="24"/>
          <w:szCs w:val="24"/>
        </w:rPr>
        <w:t xml:space="preserve"> CA; </w:t>
      </w:r>
      <w:bookmarkStart w:id="24" w:name="OLE_LINK3"/>
      <w:r w:rsidRPr="00B20780">
        <w:rPr>
          <w:rFonts w:ascii="Book Antiqua" w:hAnsi="Book Antiqua"/>
          <w:sz w:val="24"/>
          <w:szCs w:val="24"/>
        </w:rPr>
        <w:t xml:space="preserve">RUGBE Investigators. The Canadian Registry on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 and Endoscopy (RUGBE): Endoscopic hemostasis and proton pump inhibition are associated with improved outcomes in a real-life setting. </w:t>
      </w:r>
      <w:r w:rsidRPr="00B20780">
        <w:rPr>
          <w:rFonts w:ascii="Book Antiqua" w:hAnsi="Book Antiqua"/>
          <w:i/>
          <w:sz w:val="24"/>
          <w:szCs w:val="24"/>
        </w:rPr>
        <w:t xml:space="preserve">Am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2004; </w:t>
      </w:r>
      <w:r w:rsidRPr="00B20780">
        <w:rPr>
          <w:rFonts w:ascii="Book Antiqua" w:hAnsi="Book Antiqua"/>
          <w:b/>
          <w:sz w:val="24"/>
          <w:szCs w:val="24"/>
        </w:rPr>
        <w:t>99</w:t>
      </w:r>
      <w:r w:rsidRPr="00B20780">
        <w:rPr>
          <w:rFonts w:ascii="Book Antiqua" w:hAnsi="Book Antiqua"/>
          <w:sz w:val="24"/>
          <w:szCs w:val="24"/>
        </w:rPr>
        <w:t>: 1238-1246 [PMID: 15233660</w:t>
      </w:r>
      <w:bookmarkEnd w:id="22"/>
      <w:r w:rsidRPr="00B20780">
        <w:rPr>
          <w:rFonts w:ascii="Book Antiqua" w:hAnsi="Book Antiqua"/>
          <w:sz w:val="24"/>
          <w:szCs w:val="24"/>
        </w:rPr>
        <w:t xml:space="preserve"> DOI: 10.1111/j.1572-0241.2004.30272.x]</w:t>
      </w:r>
    </w:p>
    <w:bookmarkEnd w:id="24"/>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 </w:t>
      </w:r>
      <w:proofErr w:type="spellStart"/>
      <w:r w:rsidRPr="00B20780">
        <w:rPr>
          <w:rFonts w:ascii="Book Antiqua" w:hAnsi="Book Antiqua"/>
          <w:b/>
          <w:sz w:val="24"/>
          <w:szCs w:val="24"/>
        </w:rPr>
        <w:t>Barkun</w:t>
      </w:r>
      <w:proofErr w:type="spellEnd"/>
      <w:r w:rsidRPr="00B20780">
        <w:rPr>
          <w:rFonts w:ascii="Book Antiqua" w:hAnsi="Book Antiqua"/>
          <w:b/>
          <w:sz w:val="24"/>
          <w:szCs w:val="24"/>
        </w:rPr>
        <w:t xml:space="preserve"> AN</w:t>
      </w:r>
      <w:r w:rsidRPr="00B20780">
        <w:rPr>
          <w:rFonts w:ascii="Book Antiqua" w:hAnsi="Book Antiqua"/>
          <w:sz w:val="24"/>
          <w:szCs w:val="24"/>
        </w:rPr>
        <w:t xml:space="preserve">, Martel M, </w:t>
      </w:r>
      <w:proofErr w:type="spellStart"/>
      <w:r w:rsidRPr="00B20780">
        <w:rPr>
          <w:rFonts w:ascii="Book Antiqua" w:hAnsi="Book Antiqua"/>
          <w:sz w:val="24"/>
          <w:szCs w:val="24"/>
        </w:rPr>
        <w:t>Toubouti</w:t>
      </w:r>
      <w:proofErr w:type="spellEnd"/>
      <w:r w:rsidRPr="00B20780">
        <w:rPr>
          <w:rFonts w:ascii="Book Antiqua" w:hAnsi="Book Antiqua"/>
          <w:sz w:val="24"/>
          <w:szCs w:val="24"/>
        </w:rPr>
        <w:t xml:space="preserve"> Y, </w:t>
      </w:r>
      <w:proofErr w:type="spellStart"/>
      <w:r w:rsidRPr="00B20780">
        <w:rPr>
          <w:rFonts w:ascii="Book Antiqua" w:hAnsi="Book Antiqua"/>
          <w:sz w:val="24"/>
          <w:szCs w:val="24"/>
        </w:rPr>
        <w:t>Rahme</w:t>
      </w:r>
      <w:proofErr w:type="spellEnd"/>
      <w:r w:rsidRPr="00B20780">
        <w:rPr>
          <w:rFonts w:ascii="Book Antiqua" w:hAnsi="Book Antiqua"/>
          <w:sz w:val="24"/>
          <w:szCs w:val="24"/>
        </w:rPr>
        <w:t xml:space="preserve"> E, </w:t>
      </w:r>
      <w:proofErr w:type="spellStart"/>
      <w:r w:rsidRPr="00B20780">
        <w:rPr>
          <w:rFonts w:ascii="Book Antiqua" w:hAnsi="Book Antiqua"/>
          <w:sz w:val="24"/>
          <w:szCs w:val="24"/>
        </w:rPr>
        <w:t>Bardou</w:t>
      </w:r>
      <w:proofErr w:type="spellEnd"/>
      <w:r w:rsidRPr="00B20780">
        <w:rPr>
          <w:rFonts w:ascii="Book Antiqua" w:hAnsi="Book Antiqua"/>
          <w:sz w:val="24"/>
          <w:szCs w:val="24"/>
        </w:rPr>
        <w:t xml:space="preserve"> M. Endoscopic hemostasis in peptic ulcer bleeding for patients with high-risk lesions: a series of meta-analyses.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2009; </w:t>
      </w:r>
      <w:r w:rsidRPr="00B20780">
        <w:rPr>
          <w:rFonts w:ascii="Book Antiqua" w:hAnsi="Book Antiqua"/>
          <w:b/>
          <w:sz w:val="24"/>
          <w:szCs w:val="24"/>
        </w:rPr>
        <w:t>69</w:t>
      </w:r>
      <w:r w:rsidRPr="00B20780">
        <w:rPr>
          <w:rFonts w:ascii="Book Antiqua" w:hAnsi="Book Antiqua"/>
          <w:sz w:val="24"/>
          <w:szCs w:val="24"/>
        </w:rPr>
        <w:t>: 786-799 [PMID: 19152905 DOI: 10.1016/j.gie.2008.05.031]</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 </w:t>
      </w:r>
      <w:proofErr w:type="spellStart"/>
      <w:r w:rsidRPr="00B20780">
        <w:rPr>
          <w:rFonts w:ascii="Book Antiqua" w:hAnsi="Book Antiqua"/>
          <w:b/>
          <w:sz w:val="24"/>
          <w:szCs w:val="24"/>
        </w:rPr>
        <w:t>Marmo</w:t>
      </w:r>
      <w:proofErr w:type="spellEnd"/>
      <w:r w:rsidRPr="00B20780">
        <w:rPr>
          <w:rFonts w:ascii="Book Antiqua" w:hAnsi="Book Antiqua"/>
          <w:b/>
          <w:sz w:val="24"/>
          <w:szCs w:val="24"/>
        </w:rPr>
        <w:t xml:space="preserve"> R</w:t>
      </w:r>
      <w:r w:rsidRPr="00B20780">
        <w:rPr>
          <w:rFonts w:ascii="Book Antiqua" w:hAnsi="Book Antiqua"/>
          <w:sz w:val="24"/>
          <w:szCs w:val="24"/>
        </w:rPr>
        <w:t xml:space="preserve">, Koch M,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Capurso</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Pera</w:t>
      </w:r>
      <w:proofErr w:type="spellEnd"/>
      <w:r w:rsidRPr="00B20780">
        <w:rPr>
          <w:rFonts w:ascii="Book Antiqua" w:hAnsi="Book Antiqua"/>
          <w:sz w:val="24"/>
          <w:szCs w:val="24"/>
        </w:rPr>
        <w:t xml:space="preserve"> A, Bianco MA, Rocca R, </w:t>
      </w:r>
      <w:proofErr w:type="spellStart"/>
      <w:r w:rsidRPr="00B20780">
        <w:rPr>
          <w:rFonts w:ascii="Book Antiqua" w:hAnsi="Book Antiqua"/>
          <w:sz w:val="24"/>
          <w:szCs w:val="24"/>
        </w:rPr>
        <w:t>Dezi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Fasoli</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Brunati</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Lorenzini</w:t>
      </w:r>
      <w:proofErr w:type="spellEnd"/>
      <w:r w:rsidRPr="00B20780">
        <w:rPr>
          <w:rFonts w:ascii="Book Antiqua" w:hAnsi="Book Antiqua"/>
          <w:sz w:val="24"/>
          <w:szCs w:val="24"/>
        </w:rPr>
        <w:t xml:space="preserve"> I, </w:t>
      </w:r>
      <w:proofErr w:type="spellStart"/>
      <w:r w:rsidRPr="00B20780">
        <w:rPr>
          <w:rFonts w:ascii="Book Antiqua" w:hAnsi="Book Antiqua"/>
          <w:sz w:val="24"/>
          <w:szCs w:val="24"/>
        </w:rPr>
        <w:t>Germani</w:t>
      </w:r>
      <w:proofErr w:type="spellEnd"/>
      <w:r w:rsidRPr="00B20780">
        <w:rPr>
          <w:rFonts w:ascii="Book Antiqua" w:hAnsi="Book Antiqua"/>
          <w:sz w:val="24"/>
          <w:szCs w:val="24"/>
        </w:rPr>
        <w:t xml:space="preserve"> U, Di Matteo G, Giorgio P, </w:t>
      </w:r>
      <w:proofErr w:type="spellStart"/>
      <w:r w:rsidRPr="00B20780">
        <w:rPr>
          <w:rFonts w:ascii="Book Antiqua" w:hAnsi="Book Antiqua"/>
          <w:sz w:val="24"/>
          <w:szCs w:val="24"/>
        </w:rPr>
        <w:t>Imperiali</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Minoli</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Barberani</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Boschetto</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Martorano</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Gatto</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Amuso</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Pastorelli</w:t>
      </w:r>
      <w:proofErr w:type="spellEnd"/>
      <w:r w:rsidRPr="00B20780">
        <w:rPr>
          <w:rFonts w:ascii="Book Antiqua" w:hAnsi="Book Antiqua"/>
          <w:sz w:val="24"/>
          <w:szCs w:val="24"/>
        </w:rPr>
        <w:t xml:space="preserve"> A, Torre ES, </w:t>
      </w:r>
      <w:proofErr w:type="spellStart"/>
      <w:r w:rsidRPr="00B20780">
        <w:rPr>
          <w:rFonts w:ascii="Book Antiqua" w:hAnsi="Book Antiqua"/>
          <w:sz w:val="24"/>
          <w:szCs w:val="24"/>
        </w:rPr>
        <w:t>Triossi</w:t>
      </w:r>
      <w:proofErr w:type="spellEnd"/>
      <w:r w:rsidRPr="00B20780">
        <w:rPr>
          <w:rFonts w:ascii="Book Antiqua" w:hAnsi="Book Antiqua"/>
          <w:sz w:val="24"/>
          <w:szCs w:val="24"/>
        </w:rPr>
        <w:t xml:space="preserve"> O, </w:t>
      </w:r>
      <w:proofErr w:type="spellStart"/>
      <w:r w:rsidRPr="00B20780">
        <w:rPr>
          <w:rFonts w:ascii="Book Antiqua" w:hAnsi="Book Antiqua"/>
          <w:sz w:val="24"/>
          <w:szCs w:val="24"/>
        </w:rPr>
        <w:t>Buzzi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Cestari</w:t>
      </w:r>
      <w:proofErr w:type="spellEnd"/>
      <w:r w:rsidRPr="00B20780">
        <w:rPr>
          <w:rFonts w:ascii="Book Antiqua" w:hAnsi="Book Antiqua"/>
          <w:sz w:val="24"/>
          <w:szCs w:val="24"/>
        </w:rPr>
        <w:t xml:space="preserve"> R, Della Casa D, </w:t>
      </w:r>
      <w:proofErr w:type="spellStart"/>
      <w:r w:rsidRPr="00B20780">
        <w:rPr>
          <w:rFonts w:ascii="Book Antiqua" w:hAnsi="Book Antiqua"/>
          <w:sz w:val="24"/>
          <w:szCs w:val="24"/>
        </w:rPr>
        <w:t>Proietti</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Tanzilli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Aragona</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Giangregorio</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Allegretta</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Tronci</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Michetti</w:t>
      </w:r>
      <w:proofErr w:type="spellEnd"/>
      <w:r w:rsidRPr="00B20780">
        <w:rPr>
          <w:rFonts w:ascii="Book Antiqua" w:hAnsi="Book Antiqua"/>
          <w:sz w:val="24"/>
          <w:szCs w:val="24"/>
        </w:rPr>
        <w:t xml:space="preserve"> P, </w:t>
      </w:r>
      <w:proofErr w:type="spellStart"/>
      <w:r w:rsidRPr="00B20780">
        <w:rPr>
          <w:rFonts w:ascii="Book Antiqua" w:hAnsi="Book Antiqua"/>
          <w:sz w:val="24"/>
          <w:szCs w:val="24"/>
        </w:rPr>
        <w:t>Romagnoli</w:t>
      </w:r>
      <w:proofErr w:type="spellEnd"/>
      <w:r w:rsidRPr="00B20780">
        <w:rPr>
          <w:rFonts w:ascii="Book Antiqua" w:hAnsi="Book Antiqua"/>
          <w:sz w:val="24"/>
          <w:szCs w:val="24"/>
        </w:rPr>
        <w:t xml:space="preserve"> P, </w:t>
      </w:r>
      <w:proofErr w:type="spellStart"/>
      <w:r w:rsidRPr="00B20780">
        <w:rPr>
          <w:rFonts w:ascii="Book Antiqua" w:hAnsi="Book Antiqua"/>
          <w:sz w:val="24"/>
          <w:szCs w:val="24"/>
        </w:rPr>
        <w:t>Nucci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Rogai</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Piubello</w:t>
      </w:r>
      <w:proofErr w:type="spellEnd"/>
      <w:r w:rsidRPr="00B20780">
        <w:rPr>
          <w:rFonts w:ascii="Book Antiqua" w:hAnsi="Book Antiqua"/>
          <w:sz w:val="24"/>
          <w:szCs w:val="24"/>
        </w:rPr>
        <w:t xml:space="preserve"> W, Tebaldi M, </w:t>
      </w:r>
      <w:proofErr w:type="spellStart"/>
      <w:r w:rsidRPr="00B20780">
        <w:rPr>
          <w:rFonts w:ascii="Book Antiqua" w:hAnsi="Book Antiqua"/>
          <w:sz w:val="24"/>
          <w:szCs w:val="24"/>
        </w:rPr>
        <w:t>Bonfante</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Casadei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Cortini</w:t>
      </w:r>
      <w:proofErr w:type="spellEnd"/>
      <w:r w:rsidRPr="00B20780">
        <w:rPr>
          <w:rFonts w:ascii="Book Antiqua" w:hAnsi="Book Antiqua"/>
          <w:sz w:val="24"/>
          <w:szCs w:val="24"/>
        </w:rPr>
        <w:t xml:space="preserve"> C, </w:t>
      </w:r>
      <w:proofErr w:type="spellStart"/>
      <w:r w:rsidRPr="00B20780">
        <w:rPr>
          <w:rFonts w:ascii="Book Antiqua" w:hAnsi="Book Antiqua"/>
          <w:sz w:val="24"/>
          <w:szCs w:val="24"/>
        </w:rPr>
        <w:t>Chiozzini</w:t>
      </w:r>
      <w:proofErr w:type="spellEnd"/>
      <w:r w:rsidRPr="00B20780">
        <w:rPr>
          <w:rFonts w:ascii="Book Antiqua" w:hAnsi="Book Antiqua"/>
          <w:sz w:val="24"/>
          <w:szCs w:val="24"/>
        </w:rPr>
        <w:t xml:space="preserve"> G, Girardi L, </w:t>
      </w:r>
      <w:proofErr w:type="spellStart"/>
      <w:r w:rsidRPr="00B20780">
        <w:rPr>
          <w:rFonts w:ascii="Book Antiqua" w:hAnsi="Book Antiqua"/>
          <w:sz w:val="24"/>
          <w:szCs w:val="24"/>
        </w:rPr>
        <w:t>Leoci</w:t>
      </w:r>
      <w:proofErr w:type="spellEnd"/>
      <w:r w:rsidRPr="00B20780">
        <w:rPr>
          <w:rFonts w:ascii="Book Antiqua" w:hAnsi="Book Antiqua"/>
          <w:sz w:val="24"/>
          <w:szCs w:val="24"/>
        </w:rPr>
        <w:t xml:space="preserve"> C, </w:t>
      </w:r>
      <w:proofErr w:type="spellStart"/>
      <w:r w:rsidRPr="00B20780">
        <w:rPr>
          <w:rFonts w:ascii="Book Antiqua" w:hAnsi="Book Antiqua"/>
          <w:sz w:val="24"/>
          <w:szCs w:val="24"/>
        </w:rPr>
        <w:t>Bagnalasta</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Segato</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Chianese</w:t>
      </w:r>
      <w:proofErr w:type="spellEnd"/>
      <w:r w:rsidRPr="00B20780">
        <w:rPr>
          <w:rFonts w:ascii="Book Antiqua" w:hAnsi="Book Antiqua"/>
          <w:sz w:val="24"/>
          <w:szCs w:val="24"/>
        </w:rPr>
        <w:t xml:space="preserve"> G, Salvagnini M, </w:t>
      </w:r>
      <w:proofErr w:type="spellStart"/>
      <w:r w:rsidRPr="00B20780">
        <w:rPr>
          <w:rFonts w:ascii="Book Antiqua" w:hAnsi="Book Antiqua"/>
          <w:sz w:val="24"/>
          <w:szCs w:val="24"/>
        </w:rPr>
        <w:t>Rotondano</w:t>
      </w:r>
      <w:proofErr w:type="spellEnd"/>
      <w:r w:rsidRPr="00B20780">
        <w:rPr>
          <w:rFonts w:ascii="Book Antiqua" w:hAnsi="Book Antiqua"/>
          <w:sz w:val="24"/>
          <w:szCs w:val="24"/>
        </w:rPr>
        <w:t xml:space="preserve"> G. Predictive factors of mortality from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hemorrhage: a multicenter study. </w:t>
      </w:r>
      <w:r w:rsidRPr="00B20780">
        <w:rPr>
          <w:rFonts w:ascii="Book Antiqua" w:hAnsi="Book Antiqua"/>
          <w:i/>
          <w:sz w:val="24"/>
          <w:szCs w:val="24"/>
        </w:rPr>
        <w:t xml:space="preserve">Am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2008; </w:t>
      </w:r>
      <w:r w:rsidRPr="00B20780">
        <w:rPr>
          <w:rFonts w:ascii="Book Antiqua" w:hAnsi="Book Antiqua"/>
          <w:b/>
          <w:sz w:val="24"/>
          <w:szCs w:val="24"/>
        </w:rPr>
        <w:t>103</w:t>
      </w:r>
      <w:r w:rsidRPr="00B20780">
        <w:rPr>
          <w:rFonts w:ascii="Book Antiqua" w:hAnsi="Book Antiqua"/>
          <w:sz w:val="24"/>
          <w:szCs w:val="24"/>
        </w:rPr>
        <w:t>: 1639-47; quiz 1648 [PMID: 18564127 DOI: 10.1111/j.1572-0241.2008.01865.x]</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4 </w:t>
      </w:r>
      <w:r w:rsidRPr="00B20780">
        <w:rPr>
          <w:rFonts w:ascii="Book Antiqua" w:hAnsi="Book Antiqua"/>
          <w:b/>
          <w:sz w:val="24"/>
          <w:szCs w:val="24"/>
        </w:rPr>
        <w:t>Sung JJ</w:t>
      </w:r>
      <w:r w:rsidRPr="00B20780">
        <w:rPr>
          <w:rFonts w:ascii="Book Antiqua" w:hAnsi="Book Antiqua"/>
          <w:sz w:val="24"/>
          <w:szCs w:val="24"/>
        </w:rPr>
        <w:t xml:space="preserve">, Chiu PW, Chan FKL, Lau JY, Goh KL, Ho LH, Jung HY, </w:t>
      </w:r>
      <w:proofErr w:type="spellStart"/>
      <w:r w:rsidRPr="00B20780">
        <w:rPr>
          <w:rFonts w:ascii="Book Antiqua" w:hAnsi="Book Antiqua"/>
          <w:sz w:val="24"/>
          <w:szCs w:val="24"/>
        </w:rPr>
        <w:t>Sollano</w:t>
      </w:r>
      <w:proofErr w:type="spellEnd"/>
      <w:r w:rsidRPr="00B20780">
        <w:rPr>
          <w:rFonts w:ascii="Book Antiqua" w:hAnsi="Book Antiqua"/>
          <w:sz w:val="24"/>
          <w:szCs w:val="24"/>
        </w:rPr>
        <w:t xml:space="preserve"> JD, </w:t>
      </w:r>
      <w:proofErr w:type="spellStart"/>
      <w:r w:rsidRPr="00B20780">
        <w:rPr>
          <w:rFonts w:ascii="Book Antiqua" w:hAnsi="Book Antiqua"/>
          <w:sz w:val="24"/>
          <w:szCs w:val="24"/>
        </w:rPr>
        <w:t>Gotoda</w:t>
      </w:r>
      <w:proofErr w:type="spellEnd"/>
      <w:r w:rsidRPr="00B20780">
        <w:rPr>
          <w:rFonts w:ascii="Book Antiqua" w:hAnsi="Book Antiqua"/>
          <w:sz w:val="24"/>
          <w:szCs w:val="24"/>
        </w:rPr>
        <w:t xml:space="preserve"> T, Reddy N, Singh R, Sugano K, Wu KC, Wu CY, Bjorkman DJ, Jensen DM, </w:t>
      </w:r>
      <w:proofErr w:type="spellStart"/>
      <w:r w:rsidRPr="00B20780">
        <w:rPr>
          <w:rFonts w:ascii="Book Antiqua" w:hAnsi="Book Antiqua"/>
          <w:sz w:val="24"/>
          <w:szCs w:val="24"/>
        </w:rPr>
        <w:t>Kuipers</w:t>
      </w:r>
      <w:proofErr w:type="spellEnd"/>
      <w:r w:rsidRPr="00B20780">
        <w:rPr>
          <w:rFonts w:ascii="Book Antiqua" w:hAnsi="Book Antiqua"/>
          <w:sz w:val="24"/>
          <w:szCs w:val="24"/>
        </w:rPr>
        <w:t xml:space="preserve"> EJ, </w:t>
      </w:r>
      <w:proofErr w:type="spellStart"/>
      <w:r w:rsidRPr="00B20780">
        <w:rPr>
          <w:rFonts w:ascii="Book Antiqua" w:hAnsi="Book Antiqua"/>
          <w:sz w:val="24"/>
          <w:szCs w:val="24"/>
        </w:rPr>
        <w:t>Lanas</w:t>
      </w:r>
      <w:proofErr w:type="spellEnd"/>
      <w:r w:rsidRPr="00B20780">
        <w:rPr>
          <w:rFonts w:ascii="Book Antiqua" w:hAnsi="Book Antiqua"/>
          <w:sz w:val="24"/>
          <w:szCs w:val="24"/>
        </w:rPr>
        <w:t xml:space="preserve"> A. Asia-Pacific working group consensus on non-variceal upper gastrointestinal bleeding: an update 2018. </w:t>
      </w:r>
      <w:r w:rsidRPr="00B20780">
        <w:rPr>
          <w:rFonts w:ascii="Book Antiqua" w:hAnsi="Book Antiqua"/>
          <w:i/>
          <w:sz w:val="24"/>
          <w:szCs w:val="24"/>
        </w:rPr>
        <w:t>Gut</w:t>
      </w:r>
      <w:r w:rsidRPr="00B20780">
        <w:rPr>
          <w:rFonts w:ascii="Book Antiqua" w:hAnsi="Book Antiqua"/>
          <w:sz w:val="24"/>
          <w:szCs w:val="24"/>
        </w:rPr>
        <w:t xml:space="preserve"> 2018; </w:t>
      </w:r>
      <w:r w:rsidRPr="00B20780">
        <w:rPr>
          <w:rFonts w:ascii="Book Antiqua" w:hAnsi="Book Antiqua"/>
          <w:b/>
          <w:sz w:val="24"/>
          <w:szCs w:val="24"/>
        </w:rPr>
        <w:t>67</w:t>
      </w:r>
      <w:r w:rsidRPr="00B20780">
        <w:rPr>
          <w:rFonts w:ascii="Book Antiqua" w:hAnsi="Book Antiqua"/>
          <w:sz w:val="24"/>
          <w:szCs w:val="24"/>
        </w:rPr>
        <w:t>: 1757-1768 [PMID: 29691276 DOI: 10.1136/gutjnl-2018-316276]</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lastRenderedPageBreak/>
        <w:t xml:space="preserve">5 </w:t>
      </w:r>
      <w:proofErr w:type="spellStart"/>
      <w:r w:rsidRPr="00B20780">
        <w:rPr>
          <w:rFonts w:ascii="Book Antiqua" w:hAnsi="Book Antiqua"/>
          <w:b/>
          <w:sz w:val="24"/>
          <w:szCs w:val="24"/>
        </w:rPr>
        <w:t>Barkun</w:t>
      </w:r>
      <w:proofErr w:type="spellEnd"/>
      <w:r w:rsidRPr="00B20780">
        <w:rPr>
          <w:rFonts w:ascii="Book Antiqua" w:hAnsi="Book Antiqua"/>
          <w:b/>
          <w:sz w:val="24"/>
          <w:szCs w:val="24"/>
        </w:rPr>
        <w:t xml:space="preserve"> AN</w:t>
      </w:r>
      <w:r w:rsidRPr="00B20780">
        <w:rPr>
          <w:rFonts w:ascii="Book Antiqua" w:hAnsi="Book Antiqua"/>
          <w:sz w:val="24"/>
          <w:szCs w:val="24"/>
        </w:rPr>
        <w:t xml:space="preserve">, </w:t>
      </w:r>
      <w:proofErr w:type="spellStart"/>
      <w:r w:rsidRPr="00B20780">
        <w:rPr>
          <w:rFonts w:ascii="Book Antiqua" w:hAnsi="Book Antiqua"/>
          <w:sz w:val="24"/>
          <w:szCs w:val="24"/>
        </w:rPr>
        <w:t>Bardou</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Kuipers</w:t>
      </w:r>
      <w:proofErr w:type="spellEnd"/>
      <w:r w:rsidRPr="00B20780">
        <w:rPr>
          <w:rFonts w:ascii="Book Antiqua" w:hAnsi="Book Antiqua"/>
          <w:sz w:val="24"/>
          <w:szCs w:val="24"/>
        </w:rPr>
        <w:t xml:space="preserve"> EJ, Sung J, Hunt RH, Martel M, Sinclair P; International Consensus Upper Gastrointestinal Bleeding Conference Group.</w:t>
      </w:r>
      <w:proofErr w:type="gramEnd"/>
      <w:r w:rsidRPr="00B20780">
        <w:rPr>
          <w:rFonts w:ascii="Book Antiqua" w:hAnsi="Book Antiqua"/>
          <w:sz w:val="24"/>
          <w:szCs w:val="24"/>
        </w:rPr>
        <w:t xml:space="preserve"> </w:t>
      </w:r>
      <w:proofErr w:type="gramStart"/>
      <w:r w:rsidRPr="00B20780">
        <w:rPr>
          <w:rFonts w:ascii="Book Antiqua" w:hAnsi="Book Antiqua"/>
          <w:sz w:val="24"/>
          <w:szCs w:val="24"/>
        </w:rPr>
        <w:t xml:space="preserve">International consensus recommendations on the management of patients with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w:t>
      </w:r>
      <w:proofErr w:type="gramEnd"/>
      <w:r w:rsidRPr="00B20780">
        <w:rPr>
          <w:rFonts w:ascii="Book Antiqua" w:hAnsi="Book Antiqua"/>
          <w:sz w:val="24"/>
          <w:szCs w:val="24"/>
        </w:rPr>
        <w:t xml:space="preserve"> </w:t>
      </w:r>
      <w:r w:rsidRPr="00B20780">
        <w:rPr>
          <w:rFonts w:ascii="Book Antiqua" w:hAnsi="Book Antiqua"/>
          <w:i/>
          <w:sz w:val="24"/>
          <w:szCs w:val="24"/>
        </w:rPr>
        <w:t>Ann Intern Med</w:t>
      </w:r>
      <w:r w:rsidRPr="00B20780">
        <w:rPr>
          <w:rFonts w:ascii="Book Antiqua" w:hAnsi="Book Antiqua"/>
          <w:sz w:val="24"/>
          <w:szCs w:val="24"/>
        </w:rPr>
        <w:t xml:space="preserve"> 2010; </w:t>
      </w:r>
      <w:r w:rsidRPr="00B20780">
        <w:rPr>
          <w:rFonts w:ascii="Book Antiqua" w:hAnsi="Book Antiqua"/>
          <w:b/>
          <w:sz w:val="24"/>
          <w:szCs w:val="24"/>
        </w:rPr>
        <w:t>152</w:t>
      </w:r>
      <w:r w:rsidRPr="00B20780">
        <w:rPr>
          <w:rFonts w:ascii="Book Antiqua" w:hAnsi="Book Antiqua"/>
          <w:sz w:val="24"/>
          <w:szCs w:val="24"/>
        </w:rPr>
        <w:t>: 101-113 [PMID: 20083829 DOI: 10.7326/0003-4819-152-2-201001190-00009]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6 </w:t>
      </w:r>
      <w:r w:rsidRPr="00B20780">
        <w:rPr>
          <w:rFonts w:ascii="Book Antiqua" w:hAnsi="Book Antiqua"/>
          <w:b/>
          <w:sz w:val="24"/>
          <w:szCs w:val="24"/>
        </w:rPr>
        <w:t>Travis AC</w:t>
      </w:r>
      <w:r w:rsidRPr="00B20780">
        <w:rPr>
          <w:rFonts w:ascii="Book Antiqua" w:hAnsi="Book Antiqua"/>
          <w:sz w:val="24"/>
          <w:szCs w:val="24"/>
        </w:rPr>
        <w:t xml:space="preserve">, </w:t>
      </w:r>
      <w:proofErr w:type="spellStart"/>
      <w:r w:rsidRPr="00B20780">
        <w:rPr>
          <w:rFonts w:ascii="Book Antiqua" w:hAnsi="Book Antiqua"/>
          <w:sz w:val="24"/>
          <w:szCs w:val="24"/>
        </w:rPr>
        <w:t>Wasan</w:t>
      </w:r>
      <w:proofErr w:type="spellEnd"/>
      <w:r w:rsidRPr="00B20780">
        <w:rPr>
          <w:rFonts w:ascii="Book Antiqua" w:hAnsi="Book Antiqua"/>
          <w:sz w:val="24"/>
          <w:szCs w:val="24"/>
        </w:rPr>
        <w:t xml:space="preserve"> SK, Saltzman JR. Model to predict </w:t>
      </w:r>
      <w:proofErr w:type="spellStart"/>
      <w:r w:rsidRPr="00B20780">
        <w:rPr>
          <w:rFonts w:ascii="Book Antiqua" w:hAnsi="Book Antiqua"/>
          <w:sz w:val="24"/>
          <w:szCs w:val="24"/>
        </w:rPr>
        <w:t>rebleeding</w:t>
      </w:r>
      <w:proofErr w:type="spellEnd"/>
      <w:r w:rsidRPr="00B20780">
        <w:rPr>
          <w:rFonts w:ascii="Book Antiqua" w:hAnsi="Book Antiqua"/>
          <w:sz w:val="24"/>
          <w:szCs w:val="24"/>
        </w:rPr>
        <w:t xml:space="preserve"> following endoscopic therapy for non-variceal upper gastrointestinal hemorrhage. </w:t>
      </w:r>
      <w:r w:rsidRPr="00B20780">
        <w:rPr>
          <w:rFonts w:ascii="Book Antiqua" w:hAnsi="Book Antiqua"/>
          <w:i/>
          <w:sz w:val="24"/>
          <w:szCs w:val="24"/>
        </w:rPr>
        <w:t xml:space="preserve">J </w:t>
      </w:r>
      <w:proofErr w:type="spellStart"/>
      <w:r w:rsidRPr="00B20780">
        <w:rPr>
          <w:rFonts w:ascii="Book Antiqua" w:hAnsi="Book Antiqua"/>
          <w:i/>
          <w:sz w:val="24"/>
          <w:szCs w:val="24"/>
        </w:rPr>
        <w:t>Gastroenterol</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Hepatol</w:t>
      </w:r>
      <w:proofErr w:type="spellEnd"/>
      <w:r w:rsidRPr="00B20780">
        <w:rPr>
          <w:rFonts w:ascii="Book Antiqua" w:hAnsi="Book Antiqua"/>
          <w:sz w:val="24"/>
          <w:szCs w:val="24"/>
        </w:rPr>
        <w:t xml:space="preserve"> 2008; </w:t>
      </w:r>
      <w:r w:rsidRPr="00B20780">
        <w:rPr>
          <w:rFonts w:ascii="Book Antiqua" w:hAnsi="Book Antiqua"/>
          <w:b/>
          <w:sz w:val="24"/>
          <w:szCs w:val="24"/>
        </w:rPr>
        <w:t>23</w:t>
      </w:r>
      <w:r w:rsidRPr="00B20780">
        <w:rPr>
          <w:rFonts w:ascii="Book Antiqua" w:hAnsi="Book Antiqua"/>
          <w:sz w:val="24"/>
          <w:szCs w:val="24"/>
        </w:rPr>
        <w:t>: 1505-1510 [PMID: 18823441 DOI: 10.1111/j.1440-1746.2008.05594.x]</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7 </w:t>
      </w:r>
      <w:r w:rsidRPr="00B20780">
        <w:rPr>
          <w:rFonts w:ascii="Book Antiqua" w:hAnsi="Book Antiqua"/>
          <w:b/>
          <w:sz w:val="24"/>
          <w:szCs w:val="24"/>
        </w:rPr>
        <w:t>Sung JJ</w:t>
      </w:r>
      <w:r w:rsidRPr="00B20780">
        <w:rPr>
          <w:rFonts w:ascii="Book Antiqua" w:hAnsi="Book Antiqua"/>
          <w:sz w:val="24"/>
          <w:szCs w:val="24"/>
        </w:rPr>
        <w:t xml:space="preserve">, </w:t>
      </w:r>
      <w:proofErr w:type="spellStart"/>
      <w:r w:rsidRPr="00B20780">
        <w:rPr>
          <w:rFonts w:ascii="Book Antiqua" w:hAnsi="Book Antiqua"/>
          <w:sz w:val="24"/>
          <w:szCs w:val="24"/>
        </w:rPr>
        <w:t>Tsoi</w:t>
      </w:r>
      <w:proofErr w:type="spellEnd"/>
      <w:r w:rsidRPr="00B20780">
        <w:rPr>
          <w:rFonts w:ascii="Book Antiqua" w:hAnsi="Book Antiqua"/>
          <w:sz w:val="24"/>
          <w:szCs w:val="24"/>
        </w:rPr>
        <w:t xml:space="preserve"> KK, Ma TK, Yung MY, Lau JY, Chiu PW. Causes of mortality in patients with peptic ulcer bleeding: a prospective cohort study of 10,428 cases. </w:t>
      </w:r>
      <w:r w:rsidRPr="00B20780">
        <w:rPr>
          <w:rFonts w:ascii="Book Antiqua" w:hAnsi="Book Antiqua"/>
          <w:i/>
          <w:sz w:val="24"/>
          <w:szCs w:val="24"/>
        </w:rPr>
        <w:t xml:space="preserve">Am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2010; </w:t>
      </w:r>
      <w:r w:rsidRPr="00B20780">
        <w:rPr>
          <w:rFonts w:ascii="Book Antiqua" w:hAnsi="Book Antiqua"/>
          <w:b/>
          <w:sz w:val="24"/>
          <w:szCs w:val="24"/>
        </w:rPr>
        <w:t>105</w:t>
      </w:r>
      <w:r w:rsidRPr="00B20780">
        <w:rPr>
          <w:rFonts w:ascii="Book Antiqua" w:hAnsi="Book Antiqua"/>
          <w:sz w:val="24"/>
          <w:szCs w:val="24"/>
        </w:rPr>
        <w:t>: 84-89 [PMID: 19755976 DOI: 10.1038/ajg.2009.507]</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8 </w:t>
      </w:r>
      <w:r w:rsidRPr="00B20780">
        <w:rPr>
          <w:rFonts w:ascii="Book Antiqua" w:hAnsi="Book Antiqua"/>
          <w:b/>
          <w:sz w:val="24"/>
          <w:szCs w:val="24"/>
        </w:rPr>
        <w:t>Zhang JY</w:t>
      </w:r>
      <w:r w:rsidRPr="00B20780">
        <w:rPr>
          <w:rFonts w:ascii="Book Antiqua" w:hAnsi="Book Antiqua"/>
          <w:sz w:val="24"/>
          <w:szCs w:val="24"/>
        </w:rPr>
        <w:t xml:space="preserve">, Wang Y, Zhang J, Ding SG, Zhou LY, Lin SR. [Risk factors associated with failure from endoscopic therapy in acute non-variceal upper gastrointestinal bleeding]. </w:t>
      </w:r>
      <w:r w:rsidRPr="00B20780">
        <w:rPr>
          <w:rFonts w:ascii="Book Antiqua" w:hAnsi="Book Antiqua"/>
          <w:i/>
          <w:sz w:val="24"/>
          <w:szCs w:val="24"/>
        </w:rPr>
        <w:t xml:space="preserve">Beijing Da </w:t>
      </w:r>
      <w:proofErr w:type="spellStart"/>
      <w:r w:rsidRPr="00B20780">
        <w:rPr>
          <w:rFonts w:ascii="Book Antiqua" w:hAnsi="Book Antiqua"/>
          <w:i/>
          <w:sz w:val="24"/>
          <w:szCs w:val="24"/>
        </w:rPr>
        <w:t>Xue</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Xue</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Bao</w:t>
      </w:r>
      <w:proofErr w:type="spellEnd"/>
      <w:r w:rsidRPr="00B20780">
        <w:rPr>
          <w:rFonts w:ascii="Book Antiqua" w:hAnsi="Book Antiqua"/>
          <w:i/>
          <w:sz w:val="24"/>
          <w:szCs w:val="24"/>
        </w:rPr>
        <w:t xml:space="preserve"> Yi </w:t>
      </w:r>
      <w:proofErr w:type="spellStart"/>
      <w:r w:rsidRPr="00B20780">
        <w:rPr>
          <w:rFonts w:ascii="Book Antiqua" w:hAnsi="Book Antiqua"/>
          <w:i/>
          <w:sz w:val="24"/>
          <w:szCs w:val="24"/>
        </w:rPr>
        <w:t>Xue</w:t>
      </w:r>
      <w:proofErr w:type="spellEnd"/>
      <w:r w:rsidRPr="00B20780">
        <w:rPr>
          <w:rFonts w:ascii="Book Antiqua" w:hAnsi="Book Antiqua"/>
          <w:i/>
          <w:sz w:val="24"/>
          <w:szCs w:val="24"/>
        </w:rPr>
        <w:t xml:space="preserve"> Ban</w:t>
      </w:r>
      <w:r w:rsidRPr="00B20780">
        <w:rPr>
          <w:rFonts w:ascii="Book Antiqua" w:hAnsi="Book Antiqua"/>
          <w:sz w:val="24"/>
          <w:szCs w:val="24"/>
        </w:rPr>
        <w:t xml:space="preserve"> 2010; </w:t>
      </w:r>
      <w:r w:rsidRPr="00B20780">
        <w:rPr>
          <w:rFonts w:ascii="Book Antiqua" w:hAnsi="Book Antiqua"/>
          <w:b/>
          <w:sz w:val="24"/>
          <w:szCs w:val="24"/>
        </w:rPr>
        <w:t>42</w:t>
      </w:r>
      <w:r w:rsidRPr="00B20780">
        <w:rPr>
          <w:rFonts w:ascii="Book Antiqua" w:hAnsi="Book Antiqua"/>
          <w:sz w:val="24"/>
          <w:szCs w:val="24"/>
        </w:rPr>
        <w:t>: 703-707 [PMID: 21170103]</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9 </w:t>
      </w:r>
      <w:r w:rsidRPr="00B20780">
        <w:rPr>
          <w:rFonts w:ascii="Book Antiqua" w:hAnsi="Book Antiqua"/>
          <w:b/>
          <w:sz w:val="24"/>
          <w:szCs w:val="24"/>
        </w:rPr>
        <w:t>González-González JA</w:t>
      </w:r>
      <w:r w:rsidRPr="00B20780">
        <w:rPr>
          <w:rFonts w:ascii="Book Antiqua" w:hAnsi="Book Antiqua"/>
          <w:sz w:val="24"/>
          <w:szCs w:val="24"/>
        </w:rPr>
        <w:t xml:space="preserve">, Vázquez-Elizondo G, </w:t>
      </w:r>
      <w:proofErr w:type="spellStart"/>
      <w:r w:rsidRPr="00B20780">
        <w:rPr>
          <w:rFonts w:ascii="Book Antiqua" w:hAnsi="Book Antiqua"/>
          <w:sz w:val="24"/>
          <w:szCs w:val="24"/>
        </w:rPr>
        <w:t>García-Compeán</w:t>
      </w:r>
      <w:proofErr w:type="spellEnd"/>
      <w:r w:rsidRPr="00B20780">
        <w:rPr>
          <w:rFonts w:ascii="Book Antiqua" w:hAnsi="Book Antiqua"/>
          <w:sz w:val="24"/>
          <w:szCs w:val="24"/>
        </w:rPr>
        <w:t xml:space="preserve"> D, </w:t>
      </w:r>
      <w:proofErr w:type="spellStart"/>
      <w:r w:rsidRPr="00B20780">
        <w:rPr>
          <w:rFonts w:ascii="Book Antiqua" w:hAnsi="Book Antiqua"/>
          <w:sz w:val="24"/>
          <w:szCs w:val="24"/>
        </w:rPr>
        <w:t>Gaytán</w:t>
      </w:r>
      <w:proofErr w:type="spellEnd"/>
      <w:r w:rsidRPr="00B20780">
        <w:rPr>
          <w:rFonts w:ascii="Book Antiqua" w:hAnsi="Book Antiqua"/>
          <w:sz w:val="24"/>
          <w:szCs w:val="24"/>
        </w:rPr>
        <w:t>-Torres JO, Flores-</w:t>
      </w:r>
      <w:proofErr w:type="spellStart"/>
      <w:r w:rsidRPr="00B20780">
        <w:rPr>
          <w:rFonts w:ascii="Book Antiqua" w:hAnsi="Book Antiqua"/>
          <w:sz w:val="24"/>
          <w:szCs w:val="24"/>
        </w:rPr>
        <w:t>Rendón</w:t>
      </w:r>
      <w:proofErr w:type="spellEnd"/>
      <w:r w:rsidRPr="00B20780">
        <w:rPr>
          <w:rFonts w:ascii="Book Antiqua" w:hAnsi="Book Antiqua"/>
          <w:sz w:val="24"/>
          <w:szCs w:val="24"/>
        </w:rPr>
        <w:t xml:space="preserve"> ÁR, </w:t>
      </w:r>
      <w:proofErr w:type="spellStart"/>
      <w:r w:rsidRPr="00B20780">
        <w:rPr>
          <w:rFonts w:ascii="Book Antiqua" w:hAnsi="Book Antiqua"/>
          <w:sz w:val="24"/>
          <w:szCs w:val="24"/>
        </w:rPr>
        <w:t>Jáquez</w:t>
      </w:r>
      <w:proofErr w:type="spellEnd"/>
      <w:r w:rsidRPr="00B20780">
        <w:rPr>
          <w:rFonts w:ascii="Book Antiqua" w:hAnsi="Book Antiqua"/>
          <w:sz w:val="24"/>
          <w:szCs w:val="24"/>
        </w:rPr>
        <w:t xml:space="preserve">-Quintana JO, Garza-Galindo AA, Cárdenas-Sandoval MG, Maldonado-Garza HJ. </w:t>
      </w:r>
      <w:proofErr w:type="gramStart"/>
      <w:r w:rsidRPr="00B20780">
        <w:rPr>
          <w:rFonts w:ascii="Book Antiqua" w:hAnsi="Book Antiqua"/>
          <w:sz w:val="24"/>
          <w:szCs w:val="24"/>
        </w:rPr>
        <w:t>Predictors of in-hospital mortality in patients with non-variceal upper gastrointestinal bleeding.</w:t>
      </w:r>
      <w:proofErr w:type="gramEnd"/>
      <w:r w:rsidRPr="00B20780">
        <w:rPr>
          <w:rFonts w:ascii="Book Antiqua" w:hAnsi="Book Antiqua"/>
          <w:sz w:val="24"/>
          <w:szCs w:val="24"/>
        </w:rPr>
        <w:t xml:space="preserve"> </w:t>
      </w:r>
      <w:r w:rsidRPr="00B20780">
        <w:rPr>
          <w:rFonts w:ascii="Book Antiqua" w:hAnsi="Book Antiqua"/>
          <w:i/>
          <w:sz w:val="24"/>
          <w:szCs w:val="24"/>
        </w:rPr>
        <w:t xml:space="preserve">Rev </w:t>
      </w:r>
      <w:proofErr w:type="spellStart"/>
      <w:proofErr w:type="gramStart"/>
      <w:r w:rsidRPr="00B20780">
        <w:rPr>
          <w:rFonts w:ascii="Book Antiqua" w:hAnsi="Book Antiqua"/>
          <w:i/>
          <w:sz w:val="24"/>
          <w:szCs w:val="24"/>
        </w:rPr>
        <w:t>Esp</w:t>
      </w:r>
      <w:proofErr w:type="spellEnd"/>
      <w:proofErr w:type="gramEnd"/>
      <w:r w:rsidRPr="00B20780">
        <w:rPr>
          <w:rFonts w:ascii="Book Antiqua" w:hAnsi="Book Antiqua"/>
          <w:i/>
          <w:sz w:val="24"/>
          <w:szCs w:val="24"/>
        </w:rPr>
        <w:t xml:space="preserve"> </w:t>
      </w:r>
      <w:proofErr w:type="spellStart"/>
      <w:r w:rsidRPr="00B20780">
        <w:rPr>
          <w:rFonts w:ascii="Book Antiqua" w:hAnsi="Book Antiqua"/>
          <w:i/>
          <w:sz w:val="24"/>
          <w:szCs w:val="24"/>
        </w:rPr>
        <w:t>Enferm</w:t>
      </w:r>
      <w:proofErr w:type="spellEnd"/>
      <w:r w:rsidRPr="00B20780">
        <w:rPr>
          <w:rFonts w:ascii="Book Antiqua" w:hAnsi="Book Antiqua"/>
          <w:i/>
          <w:sz w:val="24"/>
          <w:szCs w:val="24"/>
        </w:rPr>
        <w:t xml:space="preserve"> Dig</w:t>
      </w:r>
      <w:r w:rsidRPr="00B20780">
        <w:rPr>
          <w:rFonts w:ascii="Book Antiqua" w:hAnsi="Book Antiqua"/>
          <w:sz w:val="24"/>
          <w:szCs w:val="24"/>
        </w:rPr>
        <w:t xml:space="preserve"> 2011; </w:t>
      </w:r>
      <w:r w:rsidRPr="00B20780">
        <w:rPr>
          <w:rFonts w:ascii="Book Antiqua" w:hAnsi="Book Antiqua"/>
          <w:b/>
          <w:sz w:val="24"/>
          <w:szCs w:val="24"/>
        </w:rPr>
        <w:t>103</w:t>
      </w:r>
      <w:r w:rsidRPr="00B20780">
        <w:rPr>
          <w:rFonts w:ascii="Book Antiqua" w:hAnsi="Book Antiqua"/>
          <w:sz w:val="24"/>
          <w:szCs w:val="24"/>
        </w:rPr>
        <w:t>: 196-203 [PMID: 21526873]</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10 </w:t>
      </w:r>
      <w:r w:rsidRPr="00B20780">
        <w:rPr>
          <w:rFonts w:ascii="Book Antiqua" w:hAnsi="Book Antiqua"/>
          <w:b/>
          <w:sz w:val="24"/>
          <w:szCs w:val="24"/>
        </w:rPr>
        <w:t>Morales Uribe CH</w:t>
      </w:r>
      <w:r w:rsidRPr="00B20780">
        <w:rPr>
          <w:rFonts w:ascii="Book Antiqua" w:hAnsi="Book Antiqua"/>
          <w:sz w:val="24"/>
          <w:szCs w:val="24"/>
        </w:rPr>
        <w:t xml:space="preserve">, Sierra </w:t>
      </w:r>
      <w:proofErr w:type="spellStart"/>
      <w:r w:rsidRPr="00B20780">
        <w:rPr>
          <w:rFonts w:ascii="Book Antiqua" w:hAnsi="Book Antiqua"/>
          <w:sz w:val="24"/>
          <w:szCs w:val="24"/>
        </w:rPr>
        <w:t>Sierra</w:t>
      </w:r>
      <w:proofErr w:type="spellEnd"/>
      <w:r w:rsidRPr="00B20780">
        <w:rPr>
          <w:rFonts w:ascii="Book Antiqua" w:hAnsi="Book Antiqua"/>
          <w:sz w:val="24"/>
          <w:szCs w:val="24"/>
        </w:rPr>
        <w:t xml:space="preserve"> S, Hernández </w:t>
      </w:r>
      <w:proofErr w:type="spellStart"/>
      <w:r w:rsidRPr="00B20780">
        <w:rPr>
          <w:rFonts w:ascii="Book Antiqua" w:hAnsi="Book Antiqua"/>
          <w:sz w:val="24"/>
          <w:szCs w:val="24"/>
        </w:rPr>
        <w:t>Hernández</w:t>
      </w:r>
      <w:proofErr w:type="spellEnd"/>
      <w:r w:rsidRPr="00B20780">
        <w:rPr>
          <w:rFonts w:ascii="Book Antiqua" w:hAnsi="Book Antiqua"/>
          <w:sz w:val="24"/>
          <w:szCs w:val="24"/>
        </w:rPr>
        <w:t xml:space="preserve"> AM, </w:t>
      </w:r>
      <w:proofErr w:type="spellStart"/>
      <w:r w:rsidRPr="00B20780">
        <w:rPr>
          <w:rFonts w:ascii="Book Antiqua" w:hAnsi="Book Antiqua"/>
          <w:sz w:val="24"/>
          <w:szCs w:val="24"/>
        </w:rPr>
        <w:t>Arango</w:t>
      </w:r>
      <w:proofErr w:type="spellEnd"/>
      <w:r w:rsidRPr="00B20780">
        <w:rPr>
          <w:rFonts w:ascii="Book Antiqua" w:hAnsi="Book Antiqua"/>
          <w:sz w:val="24"/>
          <w:szCs w:val="24"/>
        </w:rPr>
        <w:t xml:space="preserve"> Durango AF, </w:t>
      </w:r>
      <w:proofErr w:type="spellStart"/>
      <w:r w:rsidRPr="00B20780">
        <w:rPr>
          <w:rFonts w:ascii="Book Antiqua" w:hAnsi="Book Antiqua"/>
          <w:sz w:val="24"/>
          <w:szCs w:val="24"/>
        </w:rPr>
        <w:t>López</w:t>
      </w:r>
      <w:proofErr w:type="spellEnd"/>
      <w:r w:rsidRPr="00B20780">
        <w:rPr>
          <w:rFonts w:ascii="Book Antiqua" w:hAnsi="Book Antiqua"/>
          <w:sz w:val="24"/>
          <w:szCs w:val="24"/>
        </w:rPr>
        <w:t xml:space="preserve"> GA. Upper gastrointestinal bleeding: risk factors for mortality in two urban </w:t>
      </w:r>
      <w:proofErr w:type="spellStart"/>
      <w:r w:rsidRPr="00B20780">
        <w:rPr>
          <w:rFonts w:ascii="Book Antiqua" w:hAnsi="Book Antiqua"/>
          <w:sz w:val="24"/>
          <w:szCs w:val="24"/>
        </w:rPr>
        <w:t>centres</w:t>
      </w:r>
      <w:proofErr w:type="spellEnd"/>
      <w:r w:rsidRPr="00B20780">
        <w:rPr>
          <w:rFonts w:ascii="Book Antiqua" w:hAnsi="Book Antiqua"/>
          <w:sz w:val="24"/>
          <w:szCs w:val="24"/>
        </w:rPr>
        <w:t xml:space="preserve"> in Latin America.</w:t>
      </w:r>
      <w:proofErr w:type="gramEnd"/>
      <w:r w:rsidRPr="00B20780">
        <w:rPr>
          <w:rFonts w:ascii="Book Antiqua" w:hAnsi="Book Antiqua"/>
          <w:sz w:val="24"/>
          <w:szCs w:val="24"/>
        </w:rPr>
        <w:t xml:space="preserve"> </w:t>
      </w:r>
      <w:r w:rsidRPr="00B20780">
        <w:rPr>
          <w:rFonts w:ascii="Book Antiqua" w:hAnsi="Book Antiqua"/>
          <w:i/>
          <w:sz w:val="24"/>
          <w:szCs w:val="24"/>
        </w:rPr>
        <w:t xml:space="preserve">Rev </w:t>
      </w:r>
      <w:proofErr w:type="spellStart"/>
      <w:proofErr w:type="gramStart"/>
      <w:r w:rsidRPr="00B20780">
        <w:rPr>
          <w:rFonts w:ascii="Book Antiqua" w:hAnsi="Book Antiqua"/>
          <w:i/>
          <w:sz w:val="24"/>
          <w:szCs w:val="24"/>
        </w:rPr>
        <w:t>Esp</w:t>
      </w:r>
      <w:proofErr w:type="spellEnd"/>
      <w:proofErr w:type="gramEnd"/>
      <w:r w:rsidRPr="00B20780">
        <w:rPr>
          <w:rFonts w:ascii="Book Antiqua" w:hAnsi="Book Antiqua"/>
          <w:i/>
          <w:sz w:val="24"/>
          <w:szCs w:val="24"/>
        </w:rPr>
        <w:t xml:space="preserve"> </w:t>
      </w:r>
      <w:proofErr w:type="spellStart"/>
      <w:r w:rsidRPr="00B20780">
        <w:rPr>
          <w:rFonts w:ascii="Book Antiqua" w:hAnsi="Book Antiqua"/>
          <w:i/>
          <w:sz w:val="24"/>
          <w:szCs w:val="24"/>
        </w:rPr>
        <w:t>Enferm</w:t>
      </w:r>
      <w:proofErr w:type="spellEnd"/>
      <w:r w:rsidRPr="00B20780">
        <w:rPr>
          <w:rFonts w:ascii="Book Antiqua" w:hAnsi="Book Antiqua"/>
          <w:i/>
          <w:sz w:val="24"/>
          <w:szCs w:val="24"/>
        </w:rPr>
        <w:t xml:space="preserve"> Dig</w:t>
      </w:r>
      <w:r w:rsidRPr="00B20780">
        <w:rPr>
          <w:rFonts w:ascii="Book Antiqua" w:hAnsi="Book Antiqua"/>
          <w:sz w:val="24"/>
          <w:szCs w:val="24"/>
        </w:rPr>
        <w:t xml:space="preserve"> 2011; </w:t>
      </w:r>
      <w:r w:rsidRPr="00B20780">
        <w:rPr>
          <w:rFonts w:ascii="Book Antiqua" w:hAnsi="Book Antiqua"/>
          <w:b/>
          <w:sz w:val="24"/>
          <w:szCs w:val="24"/>
        </w:rPr>
        <w:t>103</w:t>
      </w:r>
      <w:r w:rsidRPr="00B20780">
        <w:rPr>
          <w:rFonts w:ascii="Book Antiqua" w:hAnsi="Book Antiqua"/>
          <w:sz w:val="24"/>
          <w:szCs w:val="24"/>
        </w:rPr>
        <w:t>: 20-24 [PMID: 21341933]</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11 </w:t>
      </w:r>
      <w:proofErr w:type="spellStart"/>
      <w:r w:rsidRPr="00B20780">
        <w:rPr>
          <w:rFonts w:ascii="Book Antiqua" w:hAnsi="Book Antiqua"/>
          <w:b/>
          <w:sz w:val="24"/>
          <w:szCs w:val="24"/>
        </w:rPr>
        <w:t>Nahon</w:t>
      </w:r>
      <w:proofErr w:type="spellEnd"/>
      <w:r w:rsidRPr="00B20780">
        <w:rPr>
          <w:rFonts w:ascii="Book Antiqua" w:hAnsi="Book Antiqua"/>
          <w:b/>
          <w:sz w:val="24"/>
          <w:szCs w:val="24"/>
        </w:rPr>
        <w:t xml:space="preserve"> S</w:t>
      </w:r>
      <w:r w:rsidRPr="00B20780">
        <w:rPr>
          <w:rFonts w:ascii="Book Antiqua" w:hAnsi="Book Antiqua"/>
          <w:sz w:val="24"/>
          <w:szCs w:val="24"/>
        </w:rPr>
        <w:t xml:space="preserve">, </w:t>
      </w:r>
      <w:proofErr w:type="spellStart"/>
      <w:r w:rsidRPr="00B20780">
        <w:rPr>
          <w:rFonts w:ascii="Book Antiqua" w:hAnsi="Book Antiqua"/>
          <w:sz w:val="24"/>
          <w:szCs w:val="24"/>
        </w:rPr>
        <w:t>Hagège</w:t>
      </w:r>
      <w:proofErr w:type="spellEnd"/>
      <w:r w:rsidRPr="00B20780">
        <w:rPr>
          <w:rFonts w:ascii="Book Antiqua" w:hAnsi="Book Antiqua"/>
          <w:sz w:val="24"/>
          <w:szCs w:val="24"/>
        </w:rPr>
        <w:t xml:space="preserve"> H, </w:t>
      </w:r>
      <w:proofErr w:type="spellStart"/>
      <w:r w:rsidRPr="00B20780">
        <w:rPr>
          <w:rFonts w:ascii="Book Antiqua" w:hAnsi="Book Antiqua"/>
          <w:sz w:val="24"/>
          <w:szCs w:val="24"/>
        </w:rPr>
        <w:t>Latrive</w:t>
      </w:r>
      <w:proofErr w:type="spellEnd"/>
      <w:r w:rsidRPr="00B20780">
        <w:rPr>
          <w:rFonts w:ascii="Book Antiqua" w:hAnsi="Book Antiqua"/>
          <w:sz w:val="24"/>
          <w:szCs w:val="24"/>
        </w:rPr>
        <w:t xml:space="preserve"> JP, Rosa I, </w:t>
      </w:r>
      <w:proofErr w:type="spellStart"/>
      <w:r w:rsidRPr="00B20780">
        <w:rPr>
          <w:rFonts w:ascii="Book Antiqua" w:hAnsi="Book Antiqua"/>
          <w:sz w:val="24"/>
          <w:szCs w:val="24"/>
        </w:rPr>
        <w:t>Nalet</w:t>
      </w:r>
      <w:proofErr w:type="spellEnd"/>
      <w:r w:rsidRPr="00B20780">
        <w:rPr>
          <w:rFonts w:ascii="Book Antiqua" w:hAnsi="Book Antiqua"/>
          <w:sz w:val="24"/>
          <w:szCs w:val="24"/>
        </w:rPr>
        <w:t xml:space="preserve"> B, </w:t>
      </w:r>
      <w:proofErr w:type="spellStart"/>
      <w:r w:rsidRPr="00B20780">
        <w:rPr>
          <w:rFonts w:ascii="Book Antiqua" w:hAnsi="Book Antiqua"/>
          <w:sz w:val="24"/>
          <w:szCs w:val="24"/>
        </w:rPr>
        <w:t>Bour</w:t>
      </w:r>
      <w:proofErr w:type="spellEnd"/>
      <w:r w:rsidRPr="00B20780">
        <w:rPr>
          <w:rFonts w:ascii="Book Antiqua" w:hAnsi="Book Antiqua"/>
          <w:sz w:val="24"/>
          <w:szCs w:val="24"/>
        </w:rPr>
        <w:t xml:space="preserve"> B, </w:t>
      </w:r>
      <w:proofErr w:type="spellStart"/>
      <w:r w:rsidRPr="00B20780">
        <w:rPr>
          <w:rFonts w:ascii="Book Antiqua" w:hAnsi="Book Antiqua"/>
          <w:sz w:val="24"/>
          <w:szCs w:val="24"/>
        </w:rPr>
        <w:t>Faroux</w:t>
      </w:r>
      <w:proofErr w:type="spellEnd"/>
      <w:r w:rsidRPr="00B20780">
        <w:rPr>
          <w:rFonts w:ascii="Book Antiqua" w:hAnsi="Book Antiqua"/>
          <w:sz w:val="24"/>
          <w:szCs w:val="24"/>
        </w:rPr>
        <w:t xml:space="preserve"> R, Gower P, </w:t>
      </w:r>
      <w:proofErr w:type="spellStart"/>
      <w:r w:rsidRPr="00B20780">
        <w:rPr>
          <w:rFonts w:ascii="Book Antiqua" w:hAnsi="Book Antiqua"/>
          <w:sz w:val="24"/>
          <w:szCs w:val="24"/>
        </w:rPr>
        <w:t>Arpurt</w:t>
      </w:r>
      <w:proofErr w:type="spellEnd"/>
      <w:r w:rsidRPr="00B20780">
        <w:rPr>
          <w:rFonts w:ascii="Book Antiqua" w:hAnsi="Book Antiqua"/>
          <w:sz w:val="24"/>
          <w:szCs w:val="24"/>
        </w:rPr>
        <w:t xml:space="preserve"> JP, Denis J, </w:t>
      </w:r>
      <w:proofErr w:type="spellStart"/>
      <w:r w:rsidRPr="00B20780">
        <w:rPr>
          <w:rFonts w:ascii="Book Antiqua" w:hAnsi="Book Antiqua"/>
          <w:sz w:val="24"/>
          <w:szCs w:val="24"/>
        </w:rPr>
        <w:t>Henrion</w:t>
      </w:r>
      <w:proofErr w:type="spellEnd"/>
      <w:r w:rsidRPr="00B20780">
        <w:rPr>
          <w:rFonts w:ascii="Book Antiqua" w:hAnsi="Book Antiqua"/>
          <w:sz w:val="24"/>
          <w:szCs w:val="24"/>
        </w:rPr>
        <w:t xml:space="preserve"> J, </w:t>
      </w:r>
      <w:proofErr w:type="spellStart"/>
      <w:r w:rsidRPr="00B20780">
        <w:rPr>
          <w:rFonts w:ascii="Book Antiqua" w:hAnsi="Book Antiqua"/>
          <w:sz w:val="24"/>
          <w:szCs w:val="24"/>
        </w:rPr>
        <w:t>Rémy</w:t>
      </w:r>
      <w:proofErr w:type="spellEnd"/>
      <w:r w:rsidRPr="00B20780">
        <w:rPr>
          <w:rFonts w:ascii="Book Antiqua" w:hAnsi="Book Antiqua"/>
          <w:sz w:val="24"/>
          <w:szCs w:val="24"/>
        </w:rPr>
        <w:t xml:space="preserve"> AJ, </w:t>
      </w:r>
      <w:proofErr w:type="spellStart"/>
      <w:r w:rsidRPr="00B20780">
        <w:rPr>
          <w:rFonts w:ascii="Book Antiqua" w:hAnsi="Book Antiqua"/>
          <w:sz w:val="24"/>
          <w:szCs w:val="24"/>
        </w:rPr>
        <w:t>Pariente</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Groupe</w:t>
      </w:r>
      <w:proofErr w:type="spellEnd"/>
      <w:r w:rsidRPr="00B20780">
        <w:rPr>
          <w:rFonts w:ascii="Book Antiqua" w:hAnsi="Book Antiqua"/>
          <w:sz w:val="24"/>
          <w:szCs w:val="24"/>
        </w:rPr>
        <w:t xml:space="preserve"> des </w:t>
      </w:r>
      <w:proofErr w:type="spellStart"/>
      <w:r w:rsidRPr="00B20780">
        <w:rPr>
          <w:rFonts w:ascii="Book Antiqua" w:hAnsi="Book Antiqua"/>
          <w:sz w:val="24"/>
          <w:szCs w:val="24"/>
        </w:rPr>
        <w:t>Hémorragies</w:t>
      </w:r>
      <w:proofErr w:type="spellEnd"/>
      <w:r w:rsidRPr="00B20780">
        <w:rPr>
          <w:rFonts w:ascii="Book Antiqua" w:hAnsi="Book Antiqua"/>
          <w:sz w:val="24"/>
          <w:szCs w:val="24"/>
        </w:rPr>
        <w:t xml:space="preserve"> Digestives </w:t>
      </w:r>
      <w:proofErr w:type="spellStart"/>
      <w:r w:rsidRPr="00B20780">
        <w:rPr>
          <w:rFonts w:ascii="Book Antiqua" w:hAnsi="Book Antiqua"/>
          <w:sz w:val="24"/>
          <w:szCs w:val="24"/>
        </w:rPr>
        <w:t>Hautes</w:t>
      </w:r>
      <w:proofErr w:type="spellEnd"/>
      <w:r w:rsidRPr="00B20780">
        <w:rPr>
          <w:rFonts w:ascii="Book Antiqua" w:hAnsi="Book Antiqua"/>
          <w:sz w:val="24"/>
          <w:szCs w:val="24"/>
        </w:rPr>
        <w:t xml:space="preserve"> de </w:t>
      </w:r>
      <w:proofErr w:type="spellStart"/>
      <w:r w:rsidRPr="00B20780">
        <w:rPr>
          <w:rFonts w:ascii="Book Antiqua" w:hAnsi="Book Antiqua"/>
          <w:sz w:val="24"/>
          <w:szCs w:val="24"/>
        </w:rPr>
        <w:t>l’ANGH</w:t>
      </w:r>
      <w:proofErr w:type="spellEnd"/>
      <w:r w:rsidRPr="00B20780">
        <w:rPr>
          <w:rFonts w:ascii="Book Antiqua" w:hAnsi="Book Antiqua"/>
          <w:sz w:val="24"/>
          <w:szCs w:val="24"/>
        </w:rPr>
        <w:t xml:space="preserve">. Epidemiological and prognostic factors involved in upper gastrointestinal bleeding: results of a French prospective multicenter study. </w:t>
      </w:r>
      <w:r w:rsidRPr="00B20780">
        <w:rPr>
          <w:rFonts w:ascii="Book Antiqua" w:hAnsi="Book Antiqua"/>
          <w:i/>
          <w:sz w:val="24"/>
          <w:szCs w:val="24"/>
        </w:rPr>
        <w:t>Endoscopy</w:t>
      </w:r>
      <w:r w:rsidRPr="00B20780">
        <w:rPr>
          <w:rFonts w:ascii="Book Antiqua" w:hAnsi="Book Antiqua"/>
          <w:sz w:val="24"/>
          <w:szCs w:val="24"/>
        </w:rPr>
        <w:t xml:space="preserve"> 2012; </w:t>
      </w:r>
      <w:r w:rsidRPr="00B20780">
        <w:rPr>
          <w:rFonts w:ascii="Book Antiqua" w:hAnsi="Book Antiqua"/>
          <w:b/>
          <w:sz w:val="24"/>
          <w:szCs w:val="24"/>
        </w:rPr>
        <w:t>44</w:t>
      </w:r>
      <w:r w:rsidRPr="00B20780">
        <w:rPr>
          <w:rFonts w:ascii="Book Antiqua" w:hAnsi="Book Antiqua"/>
          <w:sz w:val="24"/>
          <w:szCs w:val="24"/>
        </w:rPr>
        <w:t>: 998-1008 [PMID: 23108771 DOI: 10.1055/s-0032-1310006]</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12 </w:t>
      </w:r>
      <w:r w:rsidRPr="00B20780">
        <w:rPr>
          <w:rFonts w:ascii="Book Antiqua" w:hAnsi="Book Antiqua"/>
          <w:b/>
          <w:sz w:val="24"/>
          <w:szCs w:val="24"/>
        </w:rPr>
        <w:t>Del Piano M</w:t>
      </w:r>
      <w:r w:rsidRPr="00B20780">
        <w:rPr>
          <w:rFonts w:ascii="Book Antiqua" w:hAnsi="Book Antiqua"/>
          <w:sz w:val="24"/>
          <w:szCs w:val="24"/>
        </w:rPr>
        <w:t xml:space="preserve">, Bianco MA,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Zambelli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Chilovi</w:t>
      </w:r>
      <w:proofErr w:type="spellEnd"/>
      <w:r w:rsidRPr="00B20780">
        <w:rPr>
          <w:rFonts w:ascii="Book Antiqua" w:hAnsi="Book Antiqua"/>
          <w:sz w:val="24"/>
          <w:szCs w:val="24"/>
        </w:rPr>
        <w:t xml:space="preserve"> F, Di Matteo G, </w:t>
      </w:r>
      <w:proofErr w:type="spellStart"/>
      <w:r w:rsidRPr="00B20780">
        <w:rPr>
          <w:rFonts w:ascii="Book Antiqua" w:hAnsi="Book Antiqua"/>
          <w:sz w:val="24"/>
          <w:szCs w:val="24"/>
        </w:rPr>
        <w:t>Pagliarulo</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Ballarè</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Rotondano</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Prometeo</w:t>
      </w:r>
      <w:proofErr w:type="spellEnd"/>
      <w:r w:rsidRPr="00B20780">
        <w:rPr>
          <w:rFonts w:ascii="Book Antiqua" w:hAnsi="Book Antiqua"/>
          <w:sz w:val="24"/>
          <w:szCs w:val="24"/>
        </w:rPr>
        <w:t xml:space="preserve"> study group of the Italian Society of Digestive Endoscopy (SIED). The "</w:t>
      </w:r>
      <w:proofErr w:type="spellStart"/>
      <w:r w:rsidRPr="00B20780">
        <w:rPr>
          <w:rFonts w:ascii="Book Antiqua" w:hAnsi="Book Antiqua"/>
          <w:sz w:val="24"/>
          <w:szCs w:val="24"/>
        </w:rPr>
        <w:t>Prometeo</w:t>
      </w:r>
      <w:proofErr w:type="spellEnd"/>
      <w:r w:rsidRPr="00B20780">
        <w:rPr>
          <w:rFonts w:ascii="Book Antiqua" w:hAnsi="Book Antiqua"/>
          <w:sz w:val="24"/>
          <w:szCs w:val="24"/>
        </w:rPr>
        <w:t xml:space="preserve">" study: online collection of clinical </w:t>
      </w:r>
      <w:r w:rsidRPr="00B20780">
        <w:rPr>
          <w:rFonts w:ascii="Book Antiqua" w:hAnsi="Book Antiqua"/>
          <w:sz w:val="24"/>
          <w:szCs w:val="24"/>
        </w:rPr>
        <w:lastRenderedPageBreak/>
        <w:t xml:space="preserve">data and outcome of Italian patients with acute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 </w:t>
      </w:r>
      <w:r w:rsidRPr="00B20780">
        <w:rPr>
          <w:rFonts w:ascii="Book Antiqua" w:hAnsi="Book Antiqua"/>
          <w:i/>
          <w:sz w:val="24"/>
          <w:szCs w:val="24"/>
        </w:rPr>
        <w:t xml:space="preserve">J </w:t>
      </w:r>
      <w:proofErr w:type="spellStart"/>
      <w:r w:rsidRPr="00B20780">
        <w:rPr>
          <w:rFonts w:ascii="Book Antiqua" w:hAnsi="Book Antiqua"/>
          <w:i/>
          <w:sz w:val="24"/>
          <w:szCs w:val="24"/>
        </w:rPr>
        <w:t>Clin</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2013; </w:t>
      </w:r>
      <w:r w:rsidRPr="00B20780">
        <w:rPr>
          <w:rFonts w:ascii="Book Antiqua" w:hAnsi="Book Antiqua"/>
          <w:b/>
          <w:sz w:val="24"/>
          <w:szCs w:val="24"/>
        </w:rPr>
        <w:t>47</w:t>
      </w:r>
      <w:r w:rsidRPr="00B20780">
        <w:rPr>
          <w:rFonts w:ascii="Book Antiqua" w:hAnsi="Book Antiqua"/>
          <w:sz w:val="24"/>
          <w:szCs w:val="24"/>
        </w:rPr>
        <w:t>: e33-e37 [PMID: 22914349 DOI: 10.1097/MCG.0b013e3182617dcc]</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13 </w:t>
      </w:r>
      <w:proofErr w:type="spellStart"/>
      <w:r w:rsidRPr="00B20780">
        <w:rPr>
          <w:rFonts w:ascii="Book Antiqua" w:hAnsi="Book Antiqua"/>
          <w:b/>
          <w:sz w:val="24"/>
          <w:szCs w:val="24"/>
        </w:rPr>
        <w:t>Taha</w:t>
      </w:r>
      <w:proofErr w:type="spellEnd"/>
      <w:r w:rsidRPr="00B20780">
        <w:rPr>
          <w:rFonts w:ascii="Book Antiqua" w:hAnsi="Book Antiqua"/>
          <w:b/>
          <w:sz w:val="24"/>
          <w:szCs w:val="24"/>
        </w:rPr>
        <w:t xml:space="preserve"> AS</w:t>
      </w:r>
      <w:r w:rsidRPr="00B20780">
        <w:rPr>
          <w:rFonts w:ascii="Book Antiqua" w:hAnsi="Book Antiqua"/>
          <w:sz w:val="24"/>
          <w:szCs w:val="24"/>
        </w:rPr>
        <w:t xml:space="preserve">, </w:t>
      </w:r>
      <w:proofErr w:type="spellStart"/>
      <w:r w:rsidRPr="00B20780">
        <w:rPr>
          <w:rFonts w:ascii="Book Antiqua" w:hAnsi="Book Antiqua"/>
          <w:sz w:val="24"/>
          <w:szCs w:val="24"/>
        </w:rPr>
        <w:t>Saffouri</w:t>
      </w:r>
      <w:proofErr w:type="spellEnd"/>
      <w:r w:rsidRPr="00B20780">
        <w:rPr>
          <w:rFonts w:ascii="Book Antiqua" w:hAnsi="Book Antiqua"/>
          <w:sz w:val="24"/>
          <w:szCs w:val="24"/>
        </w:rPr>
        <w:t xml:space="preserve"> E, McCloskey C, </w:t>
      </w:r>
      <w:proofErr w:type="spellStart"/>
      <w:r w:rsidRPr="00B20780">
        <w:rPr>
          <w:rFonts w:ascii="Book Antiqua" w:hAnsi="Book Antiqua"/>
          <w:sz w:val="24"/>
          <w:szCs w:val="24"/>
        </w:rPr>
        <w:t>Craigen</w:t>
      </w:r>
      <w:proofErr w:type="spellEnd"/>
      <w:r w:rsidRPr="00B20780">
        <w:rPr>
          <w:rFonts w:ascii="Book Antiqua" w:hAnsi="Book Antiqua"/>
          <w:sz w:val="24"/>
          <w:szCs w:val="24"/>
        </w:rPr>
        <w:t xml:space="preserve"> T, </w:t>
      </w:r>
      <w:proofErr w:type="spellStart"/>
      <w:r w:rsidRPr="00B20780">
        <w:rPr>
          <w:rFonts w:ascii="Book Antiqua" w:hAnsi="Book Antiqua"/>
          <w:sz w:val="24"/>
          <w:szCs w:val="24"/>
        </w:rPr>
        <w:t>Angerson</w:t>
      </w:r>
      <w:proofErr w:type="spellEnd"/>
      <w:r w:rsidRPr="00B20780">
        <w:rPr>
          <w:rFonts w:ascii="Book Antiqua" w:hAnsi="Book Antiqua"/>
          <w:sz w:val="24"/>
          <w:szCs w:val="24"/>
        </w:rPr>
        <w:t xml:space="preserve"> WJ.</w:t>
      </w:r>
      <w:proofErr w:type="gramEnd"/>
      <w:r w:rsidRPr="00B20780">
        <w:rPr>
          <w:rFonts w:ascii="Book Antiqua" w:hAnsi="Book Antiqua"/>
          <w:sz w:val="24"/>
          <w:szCs w:val="24"/>
        </w:rPr>
        <w:t xml:space="preserve"> Falling mortality when adjusted for comorbidity in upper gastrointestinal bleeding: relevance of multi-disciplinary care. </w:t>
      </w:r>
      <w:r w:rsidRPr="00B20780">
        <w:rPr>
          <w:rFonts w:ascii="Book Antiqua" w:hAnsi="Book Antiqua"/>
          <w:i/>
          <w:sz w:val="24"/>
          <w:szCs w:val="24"/>
        </w:rPr>
        <w:t xml:space="preserve">Frontline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2014; </w:t>
      </w:r>
      <w:r w:rsidRPr="00B20780">
        <w:rPr>
          <w:rFonts w:ascii="Book Antiqua" w:hAnsi="Book Antiqua"/>
          <w:b/>
          <w:sz w:val="24"/>
          <w:szCs w:val="24"/>
        </w:rPr>
        <w:t>5</w:t>
      </w:r>
      <w:r w:rsidRPr="00B20780">
        <w:rPr>
          <w:rFonts w:ascii="Book Antiqua" w:hAnsi="Book Antiqua"/>
          <w:sz w:val="24"/>
          <w:szCs w:val="24"/>
        </w:rPr>
        <w:t>: 243-248 [PMID: 28839780 DOI: 10.1136/flgastro-2014-100453]</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14 </w:t>
      </w:r>
      <w:proofErr w:type="spellStart"/>
      <w:r w:rsidRPr="00B20780">
        <w:rPr>
          <w:rFonts w:ascii="Book Antiqua" w:hAnsi="Book Antiqua"/>
          <w:b/>
          <w:sz w:val="24"/>
          <w:szCs w:val="24"/>
        </w:rPr>
        <w:t>Marmo</w:t>
      </w:r>
      <w:proofErr w:type="spellEnd"/>
      <w:r w:rsidRPr="00B20780">
        <w:rPr>
          <w:rFonts w:ascii="Book Antiqua" w:hAnsi="Book Antiqua"/>
          <w:b/>
          <w:sz w:val="24"/>
          <w:szCs w:val="24"/>
        </w:rPr>
        <w:t xml:space="preserve"> R</w:t>
      </w:r>
      <w:r w:rsidRPr="00B20780">
        <w:rPr>
          <w:rFonts w:ascii="Book Antiqua" w:hAnsi="Book Antiqua"/>
          <w:sz w:val="24"/>
          <w:szCs w:val="24"/>
        </w:rPr>
        <w:t xml:space="preserve">, Koch M,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L, Bianco MA, </w:t>
      </w:r>
      <w:proofErr w:type="spellStart"/>
      <w:r w:rsidRPr="00B20780">
        <w:rPr>
          <w:rFonts w:ascii="Book Antiqua" w:hAnsi="Book Antiqua"/>
          <w:sz w:val="24"/>
          <w:szCs w:val="24"/>
        </w:rPr>
        <w:t>Grossi</w:t>
      </w:r>
      <w:proofErr w:type="spellEnd"/>
      <w:r w:rsidRPr="00B20780">
        <w:rPr>
          <w:rFonts w:ascii="Book Antiqua" w:hAnsi="Book Antiqua"/>
          <w:sz w:val="24"/>
          <w:szCs w:val="24"/>
        </w:rPr>
        <w:t xml:space="preserve"> E, </w:t>
      </w:r>
      <w:proofErr w:type="spellStart"/>
      <w:r w:rsidRPr="00B20780">
        <w:rPr>
          <w:rFonts w:ascii="Book Antiqua" w:hAnsi="Book Antiqua"/>
          <w:sz w:val="24"/>
          <w:szCs w:val="24"/>
        </w:rPr>
        <w:t>Rotondano</w:t>
      </w:r>
      <w:proofErr w:type="spellEnd"/>
      <w:r w:rsidRPr="00B20780">
        <w:rPr>
          <w:rFonts w:ascii="Book Antiqua" w:hAnsi="Book Antiqua"/>
          <w:sz w:val="24"/>
          <w:szCs w:val="24"/>
        </w:rPr>
        <w:t xml:space="preserve"> G; PNED 1 and PNED 2 Investigators. </w:t>
      </w:r>
      <w:proofErr w:type="gramStart"/>
      <w:r w:rsidRPr="00B20780">
        <w:rPr>
          <w:rFonts w:ascii="Book Antiqua" w:hAnsi="Book Antiqua"/>
          <w:sz w:val="24"/>
          <w:szCs w:val="24"/>
        </w:rPr>
        <w:t xml:space="preserve">Predicting mortality in patients with in-hospital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GI bleeding: a prospective, multicenter database study.</w:t>
      </w:r>
      <w:proofErr w:type="gramEnd"/>
      <w:r w:rsidRPr="00B20780">
        <w:rPr>
          <w:rFonts w:ascii="Book Antiqua" w:hAnsi="Book Antiqua"/>
          <w:sz w:val="24"/>
          <w:szCs w:val="24"/>
        </w:rPr>
        <w:t xml:space="preserve">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2014; </w:t>
      </w:r>
      <w:r w:rsidRPr="00B20780">
        <w:rPr>
          <w:rFonts w:ascii="Book Antiqua" w:hAnsi="Book Antiqua"/>
          <w:b/>
          <w:sz w:val="24"/>
          <w:szCs w:val="24"/>
        </w:rPr>
        <w:t>79</w:t>
      </w:r>
      <w:r w:rsidRPr="00B20780">
        <w:rPr>
          <w:rFonts w:ascii="Book Antiqua" w:hAnsi="Book Antiqua"/>
          <w:sz w:val="24"/>
          <w:szCs w:val="24"/>
        </w:rPr>
        <w:t>: 741-749.e1 [PMID: 24219820 DOI: 10.1016/j.gie.2013.10.009]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15 </w:t>
      </w:r>
      <w:proofErr w:type="spellStart"/>
      <w:r w:rsidRPr="00B20780">
        <w:rPr>
          <w:rFonts w:ascii="Book Antiqua" w:hAnsi="Book Antiqua"/>
          <w:b/>
          <w:sz w:val="24"/>
          <w:szCs w:val="24"/>
        </w:rPr>
        <w:t>Marmo</w:t>
      </w:r>
      <w:proofErr w:type="spellEnd"/>
      <w:r w:rsidRPr="00B20780">
        <w:rPr>
          <w:rFonts w:ascii="Book Antiqua" w:hAnsi="Book Antiqua"/>
          <w:b/>
          <w:sz w:val="24"/>
          <w:szCs w:val="24"/>
        </w:rPr>
        <w:t xml:space="preserve"> R</w:t>
      </w:r>
      <w:r w:rsidRPr="00B20780">
        <w:rPr>
          <w:rFonts w:ascii="Book Antiqua" w:hAnsi="Book Antiqua"/>
          <w:sz w:val="24"/>
          <w:szCs w:val="24"/>
        </w:rPr>
        <w:t xml:space="preserve">, Koch M,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Capurso</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Grossi</w:t>
      </w:r>
      <w:proofErr w:type="spellEnd"/>
      <w:r w:rsidRPr="00B20780">
        <w:rPr>
          <w:rFonts w:ascii="Book Antiqua" w:hAnsi="Book Antiqua"/>
          <w:sz w:val="24"/>
          <w:szCs w:val="24"/>
        </w:rPr>
        <w:t xml:space="preserve"> E, </w:t>
      </w:r>
      <w:proofErr w:type="spellStart"/>
      <w:r w:rsidRPr="00B20780">
        <w:rPr>
          <w:rFonts w:ascii="Book Antiqua" w:hAnsi="Book Antiqua"/>
          <w:sz w:val="24"/>
          <w:szCs w:val="24"/>
        </w:rPr>
        <w:t>Cestari</w:t>
      </w:r>
      <w:proofErr w:type="spellEnd"/>
      <w:r w:rsidRPr="00B20780">
        <w:rPr>
          <w:rFonts w:ascii="Book Antiqua" w:hAnsi="Book Antiqua"/>
          <w:sz w:val="24"/>
          <w:szCs w:val="24"/>
        </w:rPr>
        <w:t xml:space="preserve"> R, Bianco MA, </w:t>
      </w:r>
      <w:proofErr w:type="spellStart"/>
      <w:r w:rsidRPr="00B20780">
        <w:rPr>
          <w:rFonts w:ascii="Book Antiqua" w:hAnsi="Book Antiqua"/>
          <w:sz w:val="24"/>
          <w:szCs w:val="24"/>
        </w:rPr>
        <w:t>Pandolfo</w:t>
      </w:r>
      <w:proofErr w:type="spellEnd"/>
      <w:r w:rsidRPr="00B20780">
        <w:rPr>
          <w:rFonts w:ascii="Book Antiqua" w:hAnsi="Book Antiqua"/>
          <w:sz w:val="24"/>
          <w:szCs w:val="24"/>
        </w:rPr>
        <w:t xml:space="preserve"> N, </w:t>
      </w:r>
      <w:proofErr w:type="spellStart"/>
      <w:r w:rsidRPr="00B20780">
        <w:rPr>
          <w:rFonts w:ascii="Book Antiqua" w:hAnsi="Book Antiqua"/>
          <w:sz w:val="24"/>
          <w:szCs w:val="24"/>
        </w:rPr>
        <w:t>Dezi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Casetti</w:t>
      </w:r>
      <w:proofErr w:type="spellEnd"/>
      <w:r w:rsidRPr="00B20780">
        <w:rPr>
          <w:rFonts w:ascii="Book Antiqua" w:hAnsi="Book Antiqua"/>
          <w:sz w:val="24"/>
          <w:szCs w:val="24"/>
        </w:rPr>
        <w:t xml:space="preserve"> T, </w:t>
      </w:r>
      <w:proofErr w:type="spellStart"/>
      <w:r w:rsidRPr="00B20780">
        <w:rPr>
          <w:rFonts w:ascii="Book Antiqua" w:hAnsi="Book Antiqua"/>
          <w:sz w:val="24"/>
          <w:szCs w:val="24"/>
        </w:rPr>
        <w:t>Lorenzini</w:t>
      </w:r>
      <w:proofErr w:type="spellEnd"/>
      <w:r w:rsidRPr="00B20780">
        <w:rPr>
          <w:rFonts w:ascii="Book Antiqua" w:hAnsi="Book Antiqua"/>
          <w:sz w:val="24"/>
          <w:szCs w:val="24"/>
        </w:rPr>
        <w:t xml:space="preserve"> I, </w:t>
      </w:r>
      <w:proofErr w:type="spellStart"/>
      <w:r w:rsidRPr="00B20780">
        <w:rPr>
          <w:rFonts w:ascii="Book Antiqua" w:hAnsi="Book Antiqua"/>
          <w:sz w:val="24"/>
          <w:szCs w:val="24"/>
        </w:rPr>
        <w:t>Germani</w:t>
      </w:r>
      <w:proofErr w:type="spellEnd"/>
      <w:r w:rsidRPr="00B20780">
        <w:rPr>
          <w:rFonts w:ascii="Book Antiqua" w:hAnsi="Book Antiqua"/>
          <w:sz w:val="24"/>
          <w:szCs w:val="24"/>
        </w:rPr>
        <w:t xml:space="preserve"> U, </w:t>
      </w:r>
      <w:proofErr w:type="spellStart"/>
      <w:r w:rsidRPr="00B20780">
        <w:rPr>
          <w:rFonts w:ascii="Book Antiqua" w:hAnsi="Book Antiqua"/>
          <w:sz w:val="24"/>
          <w:szCs w:val="24"/>
        </w:rPr>
        <w:t>Imperiali</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Stroppa</w:t>
      </w:r>
      <w:proofErr w:type="spellEnd"/>
      <w:r w:rsidRPr="00B20780">
        <w:rPr>
          <w:rFonts w:ascii="Book Antiqua" w:hAnsi="Book Antiqua"/>
          <w:sz w:val="24"/>
          <w:szCs w:val="24"/>
        </w:rPr>
        <w:t xml:space="preserve"> I, </w:t>
      </w:r>
      <w:proofErr w:type="spellStart"/>
      <w:r w:rsidRPr="00B20780">
        <w:rPr>
          <w:rFonts w:ascii="Book Antiqua" w:hAnsi="Book Antiqua"/>
          <w:sz w:val="24"/>
          <w:szCs w:val="24"/>
        </w:rPr>
        <w:t>Barberani</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Boschetto</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Gigliozzi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Gatto</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Peri</w:t>
      </w:r>
      <w:proofErr w:type="spellEnd"/>
      <w:r w:rsidRPr="00B20780">
        <w:rPr>
          <w:rFonts w:ascii="Book Antiqua" w:hAnsi="Book Antiqua"/>
          <w:sz w:val="24"/>
          <w:szCs w:val="24"/>
        </w:rPr>
        <w:t xml:space="preserve"> V, </w:t>
      </w:r>
      <w:proofErr w:type="spellStart"/>
      <w:r w:rsidRPr="00B20780">
        <w:rPr>
          <w:rFonts w:ascii="Book Antiqua" w:hAnsi="Book Antiqua"/>
          <w:sz w:val="24"/>
          <w:szCs w:val="24"/>
        </w:rPr>
        <w:t>Buzzi</w:t>
      </w:r>
      <w:proofErr w:type="spellEnd"/>
      <w:r w:rsidRPr="00B20780">
        <w:rPr>
          <w:rFonts w:ascii="Book Antiqua" w:hAnsi="Book Antiqua"/>
          <w:sz w:val="24"/>
          <w:szCs w:val="24"/>
        </w:rPr>
        <w:t xml:space="preserve"> A, Della Casa D, Di </w:t>
      </w:r>
      <w:proofErr w:type="spellStart"/>
      <w:r w:rsidRPr="00B20780">
        <w:rPr>
          <w:rFonts w:ascii="Book Antiqua" w:hAnsi="Book Antiqua"/>
          <w:sz w:val="24"/>
          <w:szCs w:val="24"/>
        </w:rPr>
        <w:t>Cicco</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Proietti</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Aragona</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Giangregorio</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Allegretta</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Tronci</w:t>
      </w:r>
      <w:proofErr w:type="spellEnd"/>
      <w:r w:rsidRPr="00B20780">
        <w:rPr>
          <w:rFonts w:ascii="Book Antiqua" w:hAnsi="Book Antiqua"/>
          <w:sz w:val="24"/>
          <w:szCs w:val="24"/>
        </w:rPr>
        <w:t xml:space="preserve"> S, </w:t>
      </w:r>
      <w:proofErr w:type="spellStart"/>
      <w:r w:rsidRPr="00B20780">
        <w:rPr>
          <w:rFonts w:ascii="Book Antiqua" w:hAnsi="Book Antiqua"/>
          <w:sz w:val="24"/>
          <w:szCs w:val="24"/>
        </w:rPr>
        <w:t>Michetti</w:t>
      </w:r>
      <w:proofErr w:type="spellEnd"/>
      <w:r w:rsidRPr="00B20780">
        <w:rPr>
          <w:rFonts w:ascii="Book Antiqua" w:hAnsi="Book Antiqua"/>
          <w:sz w:val="24"/>
          <w:szCs w:val="24"/>
        </w:rPr>
        <w:t xml:space="preserve"> P, </w:t>
      </w:r>
      <w:proofErr w:type="spellStart"/>
      <w:r w:rsidRPr="00B20780">
        <w:rPr>
          <w:rFonts w:ascii="Book Antiqua" w:hAnsi="Book Antiqua"/>
          <w:sz w:val="24"/>
          <w:szCs w:val="24"/>
        </w:rPr>
        <w:t>Romagnoli</w:t>
      </w:r>
      <w:proofErr w:type="spellEnd"/>
      <w:r w:rsidRPr="00B20780">
        <w:rPr>
          <w:rFonts w:ascii="Book Antiqua" w:hAnsi="Book Antiqua"/>
          <w:sz w:val="24"/>
          <w:szCs w:val="24"/>
        </w:rPr>
        <w:t xml:space="preserve"> P, </w:t>
      </w:r>
      <w:proofErr w:type="spellStart"/>
      <w:r w:rsidRPr="00B20780">
        <w:rPr>
          <w:rFonts w:ascii="Book Antiqua" w:hAnsi="Book Antiqua"/>
          <w:sz w:val="24"/>
          <w:szCs w:val="24"/>
        </w:rPr>
        <w:t>Piubello</w:t>
      </w:r>
      <w:proofErr w:type="spellEnd"/>
      <w:r w:rsidRPr="00B20780">
        <w:rPr>
          <w:rFonts w:ascii="Book Antiqua" w:hAnsi="Book Antiqua"/>
          <w:sz w:val="24"/>
          <w:szCs w:val="24"/>
        </w:rPr>
        <w:t xml:space="preserve"> W, </w:t>
      </w:r>
      <w:proofErr w:type="spellStart"/>
      <w:r w:rsidRPr="00B20780">
        <w:rPr>
          <w:rFonts w:ascii="Book Antiqua" w:hAnsi="Book Antiqua"/>
          <w:sz w:val="24"/>
          <w:szCs w:val="24"/>
        </w:rPr>
        <w:t>Ferri</w:t>
      </w:r>
      <w:proofErr w:type="spellEnd"/>
      <w:r w:rsidRPr="00B20780">
        <w:rPr>
          <w:rFonts w:ascii="Book Antiqua" w:hAnsi="Book Antiqua"/>
          <w:sz w:val="24"/>
          <w:szCs w:val="24"/>
        </w:rPr>
        <w:t xml:space="preserve"> B, </w:t>
      </w:r>
      <w:proofErr w:type="spellStart"/>
      <w:r w:rsidRPr="00B20780">
        <w:rPr>
          <w:rFonts w:ascii="Book Antiqua" w:hAnsi="Book Antiqua"/>
          <w:sz w:val="24"/>
          <w:szCs w:val="24"/>
        </w:rPr>
        <w:t>Fornari</w:t>
      </w:r>
      <w:proofErr w:type="spellEnd"/>
      <w:r w:rsidRPr="00B20780">
        <w:rPr>
          <w:rFonts w:ascii="Book Antiqua" w:hAnsi="Book Antiqua"/>
          <w:sz w:val="24"/>
          <w:szCs w:val="24"/>
        </w:rPr>
        <w:t xml:space="preserve"> F, Del Piano M, </w:t>
      </w:r>
      <w:proofErr w:type="spellStart"/>
      <w:r w:rsidRPr="00B20780">
        <w:rPr>
          <w:rFonts w:ascii="Book Antiqua" w:hAnsi="Book Antiqua"/>
          <w:sz w:val="24"/>
          <w:szCs w:val="24"/>
        </w:rPr>
        <w:t>Pagliarulo</w:t>
      </w:r>
      <w:proofErr w:type="spellEnd"/>
      <w:r w:rsidRPr="00B20780">
        <w:rPr>
          <w:rFonts w:ascii="Book Antiqua" w:hAnsi="Book Antiqua"/>
          <w:sz w:val="24"/>
          <w:szCs w:val="24"/>
        </w:rPr>
        <w:t xml:space="preserve"> M, Di </w:t>
      </w:r>
      <w:proofErr w:type="spellStart"/>
      <w:r w:rsidRPr="00B20780">
        <w:rPr>
          <w:rFonts w:ascii="Book Antiqua" w:hAnsi="Book Antiqua"/>
          <w:sz w:val="24"/>
          <w:szCs w:val="24"/>
        </w:rPr>
        <w:t>Mitri</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Trallori</w:t>
      </w:r>
      <w:proofErr w:type="spellEnd"/>
      <w:r w:rsidRPr="00B20780">
        <w:rPr>
          <w:rFonts w:ascii="Book Antiqua" w:hAnsi="Book Antiqua"/>
          <w:sz w:val="24"/>
          <w:szCs w:val="24"/>
        </w:rPr>
        <w:t xml:space="preserve"> G, Bagnoli S, </w:t>
      </w:r>
      <w:proofErr w:type="spellStart"/>
      <w:r w:rsidRPr="00B20780">
        <w:rPr>
          <w:rFonts w:ascii="Book Antiqua" w:hAnsi="Book Antiqua"/>
          <w:sz w:val="24"/>
          <w:szCs w:val="24"/>
        </w:rPr>
        <w:t>Frosini</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Macchiarelli</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Sorrentini</w:t>
      </w:r>
      <w:proofErr w:type="spellEnd"/>
      <w:r w:rsidRPr="00B20780">
        <w:rPr>
          <w:rFonts w:ascii="Book Antiqua" w:hAnsi="Book Antiqua"/>
          <w:sz w:val="24"/>
          <w:szCs w:val="24"/>
        </w:rPr>
        <w:t xml:space="preserve"> I, </w:t>
      </w:r>
      <w:proofErr w:type="spellStart"/>
      <w:r w:rsidRPr="00B20780">
        <w:rPr>
          <w:rFonts w:ascii="Book Antiqua" w:hAnsi="Book Antiqua"/>
          <w:sz w:val="24"/>
          <w:szCs w:val="24"/>
        </w:rPr>
        <w:t>Pietrini</w:t>
      </w:r>
      <w:proofErr w:type="spellEnd"/>
      <w:r w:rsidRPr="00B20780">
        <w:rPr>
          <w:rFonts w:ascii="Book Antiqua" w:hAnsi="Book Antiqua"/>
          <w:sz w:val="24"/>
          <w:szCs w:val="24"/>
        </w:rPr>
        <w:t xml:space="preserve"> L, De Stefano S, Ceglia T, </w:t>
      </w:r>
      <w:proofErr w:type="spellStart"/>
      <w:r w:rsidRPr="00B20780">
        <w:rPr>
          <w:rFonts w:ascii="Book Antiqua" w:hAnsi="Book Antiqua"/>
          <w:sz w:val="24"/>
          <w:szCs w:val="24"/>
        </w:rPr>
        <w:t>Chiozzini</w:t>
      </w:r>
      <w:proofErr w:type="spellEnd"/>
      <w:r w:rsidRPr="00B20780">
        <w:rPr>
          <w:rFonts w:ascii="Book Antiqua" w:hAnsi="Book Antiqua"/>
          <w:sz w:val="24"/>
          <w:szCs w:val="24"/>
        </w:rPr>
        <w:t xml:space="preserve"> G, Salvagnini M, Di </w:t>
      </w:r>
      <w:proofErr w:type="spellStart"/>
      <w:r w:rsidRPr="00B20780">
        <w:rPr>
          <w:rFonts w:ascii="Book Antiqua" w:hAnsi="Book Antiqua"/>
          <w:sz w:val="24"/>
          <w:szCs w:val="24"/>
        </w:rPr>
        <w:t>Muzio</w:t>
      </w:r>
      <w:proofErr w:type="spellEnd"/>
      <w:r w:rsidRPr="00B20780">
        <w:rPr>
          <w:rFonts w:ascii="Book Antiqua" w:hAnsi="Book Antiqua"/>
          <w:sz w:val="24"/>
          <w:szCs w:val="24"/>
        </w:rPr>
        <w:t xml:space="preserve"> D, </w:t>
      </w:r>
      <w:proofErr w:type="spellStart"/>
      <w:r w:rsidRPr="00B20780">
        <w:rPr>
          <w:rFonts w:ascii="Book Antiqua" w:hAnsi="Book Antiqua"/>
          <w:sz w:val="24"/>
          <w:szCs w:val="24"/>
        </w:rPr>
        <w:t>Rotondano</w:t>
      </w:r>
      <w:proofErr w:type="spellEnd"/>
      <w:r w:rsidRPr="00B20780">
        <w:rPr>
          <w:rFonts w:ascii="Book Antiqua" w:hAnsi="Book Antiqua"/>
          <w:sz w:val="24"/>
          <w:szCs w:val="24"/>
        </w:rPr>
        <w:t xml:space="preserve"> G; Italian registry on upper gastrointestinal bleeding (</w:t>
      </w:r>
      <w:proofErr w:type="spellStart"/>
      <w:r w:rsidRPr="00B20780">
        <w:rPr>
          <w:rFonts w:ascii="Book Antiqua" w:hAnsi="Book Antiqua"/>
          <w:sz w:val="24"/>
          <w:szCs w:val="24"/>
        </w:rPr>
        <w:t>Progetto</w:t>
      </w:r>
      <w:proofErr w:type="spellEnd"/>
      <w:r w:rsidRPr="00B20780">
        <w:rPr>
          <w:rFonts w:ascii="Book Antiqua" w:hAnsi="Book Antiqua"/>
          <w:sz w:val="24"/>
          <w:szCs w:val="24"/>
        </w:rPr>
        <w:t xml:space="preserve"> </w:t>
      </w:r>
      <w:proofErr w:type="spellStart"/>
      <w:r w:rsidRPr="00B20780">
        <w:rPr>
          <w:rFonts w:ascii="Book Antiqua" w:hAnsi="Book Antiqua"/>
          <w:sz w:val="24"/>
          <w:szCs w:val="24"/>
        </w:rPr>
        <w:t>Nazionale</w:t>
      </w:r>
      <w:proofErr w:type="spellEnd"/>
      <w:r w:rsidRPr="00B20780">
        <w:rPr>
          <w:rFonts w:ascii="Book Antiqua" w:hAnsi="Book Antiqua"/>
          <w:sz w:val="24"/>
          <w:szCs w:val="24"/>
        </w:rPr>
        <w:t xml:space="preserve"> </w:t>
      </w:r>
      <w:proofErr w:type="spellStart"/>
      <w:r w:rsidRPr="00B20780">
        <w:rPr>
          <w:rFonts w:ascii="Book Antiqua" w:hAnsi="Book Antiqua"/>
          <w:sz w:val="24"/>
          <w:szCs w:val="24"/>
        </w:rPr>
        <w:t>Emorragie</w:t>
      </w:r>
      <w:proofErr w:type="spellEnd"/>
      <w:r w:rsidRPr="00B20780">
        <w:rPr>
          <w:rFonts w:ascii="Book Antiqua" w:hAnsi="Book Antiqua"/>
          <w:sz w:val="24"/>
          <w:szCs w:val="24"/>
        </w:rPr>
        <w:t xml:space="preserve"> Digestive--PNED 2). </w:t>
      </w:r>
      <w:proofErr w:type="gramStart"/>
      <w:r w:rsidRPr="00B20780">
        <w:rPr>
          <w:rFonts w:ascii="Book Antiqua" w:hAnsi="Book Antiqua"/>
          <w:sz w:val="24"/>
          <w:szCs w:val="24"/>
        </w:rPr>
        <w:t xml:space="preserve">Predicting mortality in non-variceal upper gastrointestinal bleeders: validation of the Italian PNED Score and Prospective Comparison with the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w:t>
      </w:r>
      <w:proofErr w:type="gramEnd"/>
      <w:r w:rsidRPr="00B20780">
        <w:rPr>
          <w:rFonts w:ascii="Book Antiqua" w:hAnsi="Book Antiqua"/>
          <w:sz w:val="24"/>
          <w:szCs w:val="24"/>
        </w:rPr>
        <w:t xml:space="preserve"> </w:t>
      </w:r>
      <w:r w:rsidRPr="00B20780">
        <w:rPr>
          <w:rFonts w:ascii="Book Antiqua" w:hAnsi="Book Antiqua"/>
          <w:i/>
          <w:sz w:val="24"/>
          <w:szCs w:val="24"/>
        </w:rPr>
        <w:t xml:space="preserve">Am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2010; </w:t>
      </w:r>
      <w:r w:rsidRPr="00B20780">
        <w:rPr>
          <w:rFonts w:ascii="Book Antiqua" w:hAnsi="Book Antiqua"/>
          <w:b/>
          <w:sz w:val="24"/>
          <w:szCs w:val="24"/>
        </w:rPr>
        <w:t>105</w:t>
      </w:r>
      <w:r w:rsidRPr="00B20780">
        <w:rPr>
          <w:rFonts w:ascii="Book Antiqua" w:hAnsi="Book Antiqua"/>
          <w:sz w:val="24"/>
          <w:szCs w:val="24"/>
        </w:rPr>
        <w:t>: 1284-1291 [PMID: 20051943 DOI: 10.1038/ajg.2009.687]</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16 </w:t>
      </w:r>
      <w:r w:rsidRPr="00B20780">
        <w:rPr>
          <w:rFonts w:ascii="Book Antiqua" w:hAnsi="Book Antiqua"/>
          <w:b/>
          <w:sz w:val="24"/>
          <w:szCs w:val="24"/>
        </w:rPr>
        <w:t>Lee YJ</w:t>
      </w:r>
      <w:r w:rsidRPr="00B20780">
        <w:rPr>
          <w:rFonts w:ascii="Book Antiqua" w:hAnsi="Book Antiqua"/>
          <w:sz w:val="24"/>
          <w:szCs w:val="24"/>
        </w:rPr>
        <w:t xml:space="preserve">, Min BR, Kim ES, Park KS, Cho KB, Jang BK, Chung WJ, Hwang JS, Jeon SW. Predictive factors of mortality within 30 days in patients with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 </w:t>
      </w:r>
      <w:r w:rsidRPr="00B20780">
        <w:rPr>
          <w:rFonts w:ascii="Book Antiqua" w:hAnsi="Book Antiqua"/>
          <w:i/>
          <w:sz w:val="24"/>
          <w:szCs w:val="24"/>
        </w:rPr>
        <w:t>Korean J Intern Med</w:t>
      </w:r>
      <w:r w:rsidRPr="00B20780">
        <w:rPr>
          <w:rFonts w:ascii="Book Antiqua" w:hAnsi="Book Antiqua"/>
          <w:sz w:val="24"/>
          <w:szCs w:val="24"/>
        </w:rPr>
        <w:t xml:space="preserve"> 2016; </w:t>
      </w:r>
      <w:r w:rsidRPr="00B20780">
        <w:rPr>
          <w:rFonts w:ascii="Book Antiqua" w:hAnsi="Book Antiqua"/>
          <w:b/>
          <w:sz w:val="24"/>
          <w:szCs w:val="24"/>
        </w:rPr>
        <w:t>31</w:t>
      </w:r>
      <w:r w:rsidRPr="00B20780">
        <w:rPr>
          <w:rFonts w:ascii="Book Antiqua" w:hAnsi="Book Antiqua"/>
          <w:sz w:val="24"/>
          <w:szCs w:val="24"/>
        </w:rPr>
        <w:t>: 54-64 [PMID: 26767858 DOI: 10.3904/kjim.2016.31.1.54]</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17 </w:t>
      </w:r>
      <w:r w:rsidRPr="00B20780">
        <w:rPr>
          <w:rFonts w:ascii="Book Antiqua" w:hAnsi="Book Antiqua"/>
          <w:b/>
          <w:sz w:val="24"/>
          <w:szCs w:val="24"/>
        </w:rPr>
        <w:t>Hwang S</w:t>
      </w:r>
      <w:r w:rsidRPr="00B20780">
        <w:rPr>
          <w:rFonts w:ascii="Book Antiqua" w:hAnsi="Book Antiqua"/>
          <w:sz w:val="24"/>
          <w:szCs w:val="24"/>
        </w:rPr>
        <w:t>, Jeon SW, Kwon JG, Lee DW, Ha CY, Cho KB, Jang B, Park JB, Park YS; Daegu-</w:t>
      </w:r>
      <w:proofErr w:type="spellStart"/>
      <w:r w:rsidRPr="00B20780">
        <w:rPr>
          <w:rFonts w:ascii="Book Antiqua" w:hAnsi="Book Antiqua"/>
          <w:sz w:val="24"/>
          <w:szCs w:val="24"/>
        </w:rPr>
        <w:t>Gyengbuk</w:t>
      </w:r>
      <w:proofErr w:type="spellEnd"/>
      <w:r w:rsidRPr="00B20780">
        <w:rPr>
          <w:rFonts w:ascii="Book Antiqua" w:hAnsi="Book Antiqua"/>
          <w:sz w:val="24"/>
          <w:szCs w:val="24"/>
        </w:rPr>
        <w:t xml:space="preserve"> Gastrointestinal Study Group (DGSG). </w:t>
      </w:r>
      <w:proofErr w:type="gramStart"/>
      <w:r w:rsidRPr="00B20780">
        <w:rPr>
          <w:rFonts w:ascii="Book Antiqua" w:hAnsi="Book Antiqua"/>
          <w:sz w:val="24"/>
          <w:szCs w:val="24"/>
        </w:rPr>
        <w:t>The Novel Scoring System for 30-Day Mortality in Patients with Non-variceal Upper Gastrointestinal Bleeding.</w:t>
      </w:r>
      <w:proofErr w:type="gramEnd"/>
      <w:r w:rsidRPr="00B20780">
        <w:rPr>
          <w:rFonts w:ascii="Book Antiqua" w:hAnsi="Book Antiqua"/>
          <w:sz w:val="24"/>
          <w:szCs w:val="24"/>
        </w:rPr>
        <w:t xml:space="preserve"> </w:t>
      </w:r>
      <w:r w:rsidRPr="00B20780">
        <w:rPr>
          <w:rFonts w:ascii="Book Antiqua" w:hAnsi="Book Antiqua"/>
          <w:i/>
          <w:sz w:val="24"/>
          <w:szCs w:val="24"/>
        </w:rPr>
        <w:t xml:space="preserve">Dig Dis </w:t>
      </w:r>
      <w:proofErr w:type="spellStart"/>
      <w:r w:rsidRPr="00B20780">
        <w:rPr>
          <w:rFonts w:ascii="Book Antiqua" w:hAnsi="Book Antiqua"/>
          <w:i/>
          <w:sz w:val="24"/>
          <w:szCs w:val="24"/>
        </w:rPr>
        <w:t>Sci</w:t>
      </w:r>
      <w:proofErr w:type="spellEnd"/>
      <w:r w:rsidRPr="00B20780">
        <w:rPr>
          <w:rFonts w:ascii="Book Antiqua" w:hAnsi="Book Antiqua"/>
          <w:sz w:val="24"/>
          <w:szCs w:val="24"/>
        </w:rPr>
        <w:t xml:space="preserve"> 2016; </w:t>
      </w:r>
      <w:r w:rsidRPr="00B20780">
        <w:rPr>
          <w:rFonts w:ascii="Book Antiqua" w:hAnsi="Book Antiqua"/>
          <w:b/>
          <w:sz w:val="24"/>
          <w:szCs w:val="24"/>
        </w:rPr>
        <w:t>61</w:t>
      </w:r>
      <w:r w:rsidRPr="00B20780">
        <w:rPr>
          <w:rFonts w:ascii="Book Antiqua" w:hAnsi="Book Antiqua"/>
          <w:sz w:val="24"/>
          <w:szCs w:val="24"/>
        </w:rPr>
        <w:t>: 2002-2010 [PMID: 26921080 DOI: 10.1007/s10620-016-4087-4]</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lastRenderedPageBreak/>
        <w:t xml:space="preserve">18 </w:t>
      </w:r>
      <w:proofErr w:type="spellStart"/>
      <w:r w:rsidRPr="00B20780">
        <w:rPr>
          <w:rFonts w:ascii="Book Antiqua" w:hAnsi="Book Antiqua"/>
          <w:b/>
          <w:sz w:val="24"/>
          <w:szCs w:val="24"/>
        </w:rPr>
        <w:t>Jurado</w:t>
      </w:r>
      <w:proofErr w:type="spellEnd"/>
      <w:r w:rsidRPr="00B20780">
        <w:rPr>
          <w:rFonts w:ascii="Book Antiqua" w:hAnsi="Book Antiqua"/>
          <w:b/>
          <w:sz w:val="24"/>
          <w:szCs w:val="24"/>
        </w:rPr>
        <w:t xml:space="preserve"> Hernández AM</w:t>
      </w:r>
      <w:r w:rsidRPr="00B20780">
        <w:rPr>
          <w:rFonts w:ascii="Book Antiqua" w:hAnsi="Book Antiqua"/>
          <w:sz w:val="24"/>
          <w:szCs w:val="24"/>
        </w:rPr>
        <w:t xml:space="preserve">, de Teresa </w:t>
      </w:r>
      <w:proofErr w:type="spellStart"/>
      <w:r w:rsidRPr="00B20780">
        <w:rPr>
          <w:rFonts w:ascii="Book Antiqua" w:hAnsi="Book Antiqua"/>
          <w:sz w:val="24"/>
          <w:szCs w:val="24"/>
        </w:rPr>
        <w:t>Galván</w:t>
      </w:r>
      <w:proofErr w:type="spellEnd"/>
      <w:r w:rsidRPr="00B20780">
        <w:rPr>
          <w:rFonts w:ascii="Book Antiqua" w:hAnsi="Book Antiqua"/>
          <w:sz w:val="24"/>
          <w:szCs w:val="24"/>
        </w:rPr>
        <w:t xml:space="preserve"> J, Ruiz-Cabello Jiménez M, </w:t>
      </w:r>
      <w:proofErr w:type="spellStart"/>
      <w:r w:rsidRPr="00B20780">
        <w:rPr>
          <w:rFonts w:ascii="Book Antiqua" w:hAnsi="Book Antiqua"/>
          <w:sz w:val="24"/>
          <w:szCs w:val="24"/>
        </w:rPr>
        <w:t>Pinel</w:t>
      </w:r>
      <w:proofErr w:type="spellEnd"/>
      <w:r w:rsidRPr="00B20780">
        <w:rPr>
          <w:rFonts w:ascii="Book Antiqua" w:hAnsi="Book Antiqua"/>
          <w:sz w:val="24"/>
          <w:szCs w:val="24"/>
        </w:rPr>
        <w:t xml:space="preserve"> Julián LM. </w:t>
      </w:r>
      <w:proofErr w:type="gramStart"/>
      <w:r w:rsidRPr="00B20780">
        <w:rPr>
          <w:rFonts w:ascii="Book Antiqua" w:hAnsi="Book Antiqua"/>
          <w:sz w:val="24"/>
          <w:szCs w:val="24"/>
        </w:rPr>
        <w:t>[Evolution in the epidemiology of non-variceal upper digestive hemorrhage from 1985 to 2006].</w:t>
      </w:r>
      <w:proofErr w:type="gramEnd"/>
      <w:r w:rsidRPr="00B20780">
        <w:rPr>
          <w:rFonts w:ascii="Book Antiqua" w:hAnsi="Book Antiqua"/>
          <w:sz w:val="24"/>
          <w:szCs w:val="24"/>
        </w:rPr>
        <w:t xml:space="preserve"> </w:t>
      </w:r>
      <w:r w:rsidRPr="00B20780">
        <w:rPr>
          <w:rFonts w:ascii="Book Antiqua" w:hAnsi="Book Antiqua"/>
          <w:i/>
          <w:sz w:val="24"/>
          <w:szCs w:val="24"/>
        </w:rPr>
        <w:t xml:space="preserve">Rev </w:t>
      </w:r>
      <w:proofErr w:type="spellStart"/>
      <w:proofErr w:type="gramStart"/>
      <w:r w:rsidRPr="00B20780">
        <w:rPr>
          <w:rFonts w:ascii="Book Antiqua" w:hAnsi="Book Antiqua"/>
          <w:i/>
          <w:sz w:val="24"/>
          <w:szCs w:val="24"/>
        </w:rPr>
        <w:t>Esp</w:t>
      </w:r>
      <w:proofErr w:type="spellEnd"/>
      <w:proofErr w:type="gramEnd"/>
      <w:r w:rsidRPr="00B20780">
        <w:rPr>
          <w:rFonts w:ascii="Book Antiqua" w:hAnsi="Book Antiqua"/>
          <w:i/>
          <w:sz w:val="24"/>
          <w:szCs w:val="24"/>
        </w:rPr>
        <w:t xml:space="preserve"> </w:t>
      </w:r>
      <w:proofErr w:type="spellStart"/>
      <w:r w:rsidRPr="00B20780">
        <w:rPr>
          <w:rFonts w:ascii="Book Antiqua" w:hAnsi="Book Antiqua"/>
          <w:i/>
          <w:sz w:val="24"/>
          <w:szCs w:val="24"/>
        </w:rPr>
        <w:t>Enferm</w:t>
      </w:r>
      <w:proofErr w:type="spellEnd"/>
      <w:r w:rsidRPr="00B20780">
        <w:rPr>
          <w:rFonts w:ascii="Book Antiqua" w:hAnsi="Book Antiqua"/>
          <w:i/>
          <w:sz w:val="24"/>
          <w:szCs w:val="24"/>
        </w:rPr>
        <w:t xml:space="preserve"> Dig</w:t>
      </w:r>
      <w:r w:rsidRPr="00B20780">
        <w:rPr>
          <w:rFonts w:ascii="Book Antiqua" w:hAnsi="Book Antiqua"/>
          <w:sz w:val="24"/>
          <w:szCs w:val="24"/>
        </w:rPr>
        <w:t xml:space="preserve"> 2008; </w:t>
      </w:r>
      <w:r w:rsidRPr="00B20780">
        <w:rPr>
          <w:rFonts w:ascii="Book Antiqua" w:hAnsi="Book Antiqua"/>
          <w:b/>
          <w:sz w:val="24"/>
          <w:szCs w:val="24"/>
        </w:rPr>
        <w:t>100</w:t>
      </w:r>
      <w:r w:rsidRPr="00B20780">
        <w:rPr>
          <w:rFonts w:ascii="Book Antiqua" w:hAnsi="Book Antiqua"/>
          <w:sz w:val="24"/>
          <w:szCs w:val="24"/>
        </w:rPr>
        <w:t>: 273-277 [PMID: 18662079]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19 </w:t>
      </w:r>
      <w:proofErr w:type="spellStart"/>
      <w:r w:rsidRPr="00B20780">
        <w:rPr>
          <w:rFonts w:ascii="Book Antiqua" w:hAnsi="Book Antiqua"/>
          <w:b/>
          <w:sz w:val="24"/>
          <w:szCs w:val="24"/>
        </w:rPr>
        <w:t>Enestvedt</w:t>
      </w:r>
      <w:proofErr w:type="spellEnd"/>
      <w:r w:rsidRPr="00B20780">
        <w:rPr>
          <w:rFonts w:ascii="Book Antiqua" w:hAnsi="Book Antiqua"/>
          <w:b/>
          <w:sz w:val="24"/>
          <w:szCs w:val="24"/>
        </w:rPr>
        <w:t xml:space="preserve"> BK</w:t>
      </w:r>
      <w:r w:rsidRPr="00B20780">
        <w:rPr>
          <w:rFonts w:ascii="Book Antiqua" w:hAnsi="Book Antiqua"/>
          <w:sz w:val="24"/>
          <w:szCs w:val="24"/>
        </w:rPr>
        <w:t xml:space="preserve">, </w:t>
      </w:r>
      <w:proofErr w:type="spellStart"/>
      <w:r w:rsidRPr="00B20780">
        <w:rPr>
          <w:rFonts w:ascii="Book Antiqua" w:hAnsi="Book Antiqua"/>
          <w:sz w:val="24"/>
          <w:szCs w:val="24"/>
        </w:rPr>
        <w:t>Gralnek</w:t>
      </w:r>
      <w:proofErr w:type="spellEnd"/>
      <w:r w:rsidRPr="00B20780">
        <w:rPr>
          <w:rFonts w:ascii="Book Antiqua" w:hAnsi="Book Antiqua"/>
          <w:sz w:val="24"/>
          <w:szCs w:val="24"/>
        </w:rPr>
        <w:t xml:space="preserve"> IM, </w:t>
      </w:r>
      <w:proofErr w:type="spellStart"/>
      <w:r w:rsidRPr="00B20780">
        <w:rPr>
          <w:rFonts w:ascii="Book Antiqua" w:hAnsi="Book Antiqua"/>
          <w:sz w:val="24"/>
          <w:szCs w:val="24"/>
        </w:rPr>
        <w:t>Mattek</w:t>
      </w:r>
      <w:proofErr w:type="spellEnd"/>
      <w:r w:rsidRPr="00B20780">
        <w:rPr>
          <w:rFonts w:ascii="Book Antiqua" w:hAnsi="Book Antiqua"/>
          <w:sz w:val="24"/>
          <w:szCs w:val="24"/>
        </w:rPr>
        <w:t xml:space="preserve"> N, Lieberman DA, </w:t>
      </w:r>
      <w:proofErr w:type="spellStart"/>
      <w:r w:rsidRPr="00B20780">
        <w:rPr>
          <w:rFonts w:ascii="Book Antiqua" w:hAnsi="Book Antiqua"/>
          <w:sz w:val="24"/>
          <w:szCs w:val="24"/>
        </w:rPr>
        <w:t>Eisen</w:t>
      </w:r>
      <w:proofErr w:type="spellEnd"/>
      <w:r w:rsidRPr="00B20780">
        <w:rPr>
          <w:rFonts w:ascii="Book Antiqua" w:hAnsi="Book Antiqua"/>
          <w:sz w:val="24"/>
          <w:szCs w:val="24"/>
        </w:rPr>
        <w:t xml:space="preserve"> G. An evaluation of endoscopic indications and findings related to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upper-GI hemorrhage in a large multicenter consortium.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2008; </w:t>
      </w:r>
      <w:r w:rsidRPr="00B20780">
        <w:rPr>
          <w:rFonts w:ascii="Book Antiqua" w:hAnsi="Book Antiqua"/>
          <w:b/>
          <w:sz w:val="24"/>
          <w:szCs w:val="24"/>
        </w:rPr>
        <w:t>67</w:t>
      </w:r>
      <w:r w:rsidRPr="00B20780">
        <w:rPr>
          <w:rFonts w:ascii="Book Antiqua" w:hAnsi="Book Antiqua"/>
          <w:sz w:val="24"/>
          <w:szCs w:val="24"/>
        </w:rPr>
        <w:t>: 422-429 [PMID: 18206878 DOI: 10.1016/j.gie.2007.09.024]</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20 </w:t>
      </w:r>
      <w:proofErr w:type="spellStart"/>
      <w:r w:rsidRPr="00B20780">
        <w:rPr>
          <w:rFonts w:ascii="Book Antiqua" w:hAnsi="Book Antiqua"/>
          <w:b/>
          <w:sz w:val="24"/>
          <w:szCs w:val="24"/>
        </w:rPr>
        <w:t>Hearnshaw</w:t>
      </w:r>
      <w:proofErr w:type="spellEnd"/>
      <w:r w:rsidRPr="00B20780">
        <w:rPr>
          <w:rFonts w:ascii="Book Antiqua" w:hAnsi="Book Antiqua"/>
          <w:b/>
          <w:sz w:val="24"/>
          <w:szCs w:val="24"/>
        </w:rPr>
        <w:t xml:space="preserve"> SA</w:t>
      </w:r>
      <w:r w:rsidRPr="00B20780">
        <w:rPr>
          <w:rFonts w:ascii="Book Antiqua" w:hAnsi="Book Antiqua"/>
          <w:sz w:val="24"/>
          <w:szCs w:val="24"/>
        </w:rPr>
        <w:t xml:space="preserve">, Logan RF, Lowe D, Travis SP, Murphy MF, Palmer KR. Use of endoscopy for management of acute upper gastrointestinal bleeding in the UK: results of a nationwide audit. </w:t>
      </w:r>
      <w:r w:rsidRPr="00B20780">
        <w:rPr>
          <w:rFonts w:ascii="Book Antiqua" w:hAnsi="Book Antiqua"/>
          <w:i/>
          <w:sz w:val="24"/>
          <w:szCs w:val="24"/>
        </w:rPr>
        <w:t>Gut</w:t>
      </w:r>
      <w:r w:rsidRPr="00B20780">
        <w:rPr>
          <w:rFonts w:ascii="Book Antiqua" w:hAnsi="Book Antiqua"/>
          <w:sz w:val="24"/>
          <w:szCs w:val="24"/>
        </w:rPr>
        <w:t xml:space="preserve"> 2010; </w:t>
      </w:r>
      <w:r w:rsidRPr="00B20780">
        <w:rPr>
          <w:rFonts w:ascii="Book Antiqua" w:hAnsi="Book Antiqua"/>
          <w:b/>
          <w:sz w:val="24"/>
          <w:szCs w:val="24"/>
        </w:rPr>
        <w:t>59</w:t>
      </w:r>
      <w:r w:rsidRPr="00B20780">
        <w:rPr>
          <w:rFonts w:ascii="Book Antiqua" w:hAnsi="Book Antiqua"/>
          <w:sz w:val="24"/>
          <w:szCs w:val="24"/>
        </w:rPr>
        <w:t>: 1022-1029 [PMID: 20357318 DOI: 10.1136/gut.2008.174599]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21 </w:t>
      </w:r>
      <w:r w:rsidRPr="00B20780">
        <w:rPr>
          <w:rFonts w:ascii="Book Antiqua" w:hAnsi="Book Antiqua"/>
          <w:b/>
          <w:sz w:val="24"/>
          <w:szCs w:val="24"/>
        </w:rPr>
        <w:t>Bianco MA</w:t>
      </w:r>
      <w:r w:rsidRPr="00B20780">
        <w:rPr>
          <w:rFonts w:ascii="Book Antiqua" w:hAnsi="Book Antiqua"/>
          <w:sz w:val="24"/>
          <w:szCs w:val="24"/>
        </w:rPr>
        <w:t xml:space="preserve">, </w:t>
      </w:r>
      <w:proofErr w:type="spellStart"/>
      <w:r w:rsidRPr="00B20780">
        <w:rPr>
          <w:rFonts w:ascii="Book Antiqua" w:hAnsi="Book Antiqua"/>
          <w:sz w:val="24"/>
          <w:szCs w:val="24"/>
        </w:rPr>
        <w:t>Rotondano</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Marmo</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Piscopo</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Orsini</w:t>
      </w:r>
      <w:proofErr w:type="spellEnd"/>
      <w:r w:rsidRPr="00B20780">
        <w:rPr>
          <w:rFonts w:ascii="Book Antiqua" w:hAnsi="Book Antiqua"/>
          <w:sz w:val="24"/>
          <w:szCs w:val="24"/>
        </w:rPr>
        <w:t xml:space="preserve"> L,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L. Combined epinephrine and bipolar probe coagulation vs. bipolar probe coagulation alone for bleeding peptic ulcer: a randomized, controlled trial.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2004; </w:t>
      </w:r>
      <w:r w:rsidRPr="00B20780">
        <w:rPr>
          <w:rFonts w:ascii="Book Antiqua" w:hAnsi="Book Antiqua"/>
          <w:b/>
          <w:sz w:val="24"/>
          <w:szCs w:val="24"/>
        </w:rPr>
        <w:t>60</w:t>
      </w:r>
      <w:r w:rsidRPr="00B20780">
        <w:rPr>
          <w:rFonts w:ascii="Book Antiqua" w:hAnsi="Book Antiqua"/>
          <w:sz w:val="24"/>
          <w:szCs w:val="24"/>
        </w:rPr>
        <w:t>: 910-915 [PMID: 15605005 DOI: 10.1016/S0016-5107(04)02232-1]</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22 </w:t>
      </w:r>
      <w:r w:rsidRPr="00B20780">
        <w:rPr>
          <w:rFonts w:ascii="Book Antiqua" w:hAnsi="Book Antiqua"/>
          <w:b/>
          <w:sz w:val="24"/>
          <w:szCs w:val="24"/>
        </w:rPr>
        <w:t>Bjorkman DJ</w:t>
      </w:r>
      <w:r w:rsidRPr="00B20780">
        <w:rPr>
          <w:rFonts w:ascii="Book Antiqua" w:hAnsi="Book Antiqua"/>
          <w:sz w:val="24"/>
          <w:szCs w:val="24"/>
        </w:rPr>
        <w:t xml:space="preserve">, Zaman A, </w:t>
      </w:r>
      <w:proofErr w:type="spellStart"/>
      <w:r w:rsidRPr="00B20780">
        <w:rPr>
          <w:rFonts w:ascii="Book Antiqua" w:hAnsi="Book Antiqua"/>
          <w:sz w:val="24"/>
          <w:szCs w:val="24"/>
        </w:rPr>
        <w:t>Fennerty</w:t>
      </w:r>
      <w:proofErr w:type="spellEnd"/>
      <w:r w:rsidRPr="00B20780">
        <w:rPr>
          <w:rFonts w:ascii="Book Antiqua" w:hAnsi="Book Antiqua"/>
          <w:sz w:val="24"/>
          <w:szCs w:val="24"/>
        </w:rPr>
        <w:t xml:space="preserve"> MB, Lieberman D, </w:t>
      </w:r>
      <w:proofErr w:type="spellStart"/>
      <w:r w:rsidRPr="00B20780">
        <w:rPr>
          <w:rFonts w:ascii="Book Antiqua" w:hAnsi="Book Antiqua"/>
          <w:sz w:val="24"/>
          <w:szCs w:val="24"/>
        </w:rPr>
        <w:t>Disario</w:t>
      </w:r>
      <w:proofErr w:type="spellEnd"/>
      <w:r w:rsidRPr="00B20780">
        <w:rPr>
          <w:rFonts w:ascii="Book Antiqua" w:hAnsi="Book Antiqua"/>
          <w:sz w:val="24"/>
          <w:szCs w:val="24"/>
        </w:rPr>
        <w:t xml:space="preserve"> JA, Guest-</w:t>
      </w:r>
      <w:proofErr w:type="spellStart"/>
      <w:r w:rsidRPr="00B20780">
        <w:rPr>
          <w:rFonts w:ascii="Book Antiqua" w:hAnsi="Book Antiqua"/>
          <w:sz w:val="24"/>
          <w:szCs w:val="24"/>
        </w:rPr>
        <w:t>Warnick</w:t>
      </w:r>
      <w:proofErr w:type="spellEnd"/>
      <w:r w:rsidRPr="00B20780">
        <w:rPr>
          <w:rFonts w:ascii="Book Antiqua" w:hAnsi="Book Antiqua"/>
          <w:sz w:val="24"/>
          <w:szCs w:val="24"/>
        </w:rPr>
        <w:t xml:space="preserve"> G. Urgent vs. elective endoscopy for acute non-variceal upper-GI bleeding: an effectiveness study.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2004; </w:t>
      </w:r>
      <w:r w:rsidRPr="00B20780">
        <w:rPr>
          <w:rFonts w:ascii="Book Antiqua" w:hAnsi="Book Antiqua"/>
          <w:b/>
          <w:sz w:val="24"/>
          <w:szCs w:val="24"/>
        </w:rPr>
        <w:t>60</w:t>
      </w:r>
      <w:r w:rsidRPr="00B20780">
        <w:rPr>
          <w:rFonts w:ascii="Book Antiqua" w:hAnsi="Book Antiqua"/>
          <w:sz w:val="24"/>
          <w:szCs w:val="24"/>
        </w:rPr>
        <w:t>: 1-8 [PMID: 15229417 DOI: 10.1016/S0016-5107(04)01287-8]</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23 </w:t>
      </w:r>
      <w:proofErr w:type="spellStart"/>
      <w:r w:rsidRPr="00B20780">
        <w:rPr>
          <w:rFonts w:ascii="Book Antiqua" w:hAnsi="Book Antiqua"/>
          <w:b/>
          <w:sz w:val="24"/>
          <w:szCs w:val="24"/>
        </w:rPr>
        <w:t>Cipolletta</w:t>
      </w:r>
      <w:proofErr w:type="spellEnd"/>
      <w:r w:rsidRPr="00B20780">
        <w:rPr>
          <w:rFonts w:ascii="Book Antiqua" w:hAnsi="Book Antiqua"/>
          <w:b/>
          <w:sz w:val="24"/>
          <w:szCs w:val="24"/>
        </w:rPr>
        <w:t xml:space="preserve"> L</w:t>
      </w:r>
      <w:r w:rsidRPr="00B20780">
        <w:rPr>
          <w:rFonts w:ascii="Book Antiqua" w:hAnsi="Book Antiqua"/>
          <w:sz w:val="24"/>
          <w:szCs w:val="24"/>
        </w:rPr>
        <w:t xml:space="preserve">, </w:t>
      </w:r>
      <w:proofErr w:type="spellStart"/>
      <w:r w:rsidRPr="00B20780">
        <w:rPr>
          <w:rFonts w:ascii="Book Antiqua" w:hAnsi="Book Antiqua"/>
          <w:sz w:val="24"/>
          <w:szCs w:val="24"/>
        </w:rPr>
        <w:t>Cipolletta</w:t>
      </w:r>
      <w:proofErr w:type="spellEnd"/>
      <w:r w:rsidRPr="00B20780">
        <w:rPr>
          <w:rFonts w:ascii="Book Antiqua" w:hAnsi="Book Antiqua"/>
          <w:sz w:val="24"/>
          <w:szCs w:val="24"/>
        </w:rPr>
        <w:t xml:space="preserve"> F, </w:t>
      </w:r>
      <w:proofErr w:type="spellStart"/>
      <w:r w:rsidRPr="00B20780">
        <w:rPr>
          <w:rFonts w:ascii="Book Antiqua" w:hAnsi="Book Antiqua"/>
          <w:sz w:val="24"/>
          <w:szCs w:val="24"/>
        </w:rPr>
        <w:t>Granata</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Ligresti</w:t>
      </w:r>
      <w:proofErr w:type="spellEnd"/>
      <w:r w:rsidRPr="00B20780">
        <w:rPr>
          <w:rFonts w:ascii="Book Antiqua" w:hAnsi="Book Antiqua"/>
          <w:sz w:val="24"/>
          <w:szCs w:val="24"/>
        </w:rPr>
        <w:t xml:space="preserve"> D, Barresi L, Tarantino I, </w:t>
      </w:r>
      <w:proofErr w:type="spellStart"/>
      <w:r w:rsidRPr="00B20780">
        <w:rPr>
          <w:rFonts w:ascii="Book Antiqua" w:hAnsi="Book Antiqua"/>
          <w:sz w:val="24"/>
          <w:szCs w:val="24"/>
        </w:rPr>
        <w:t>Traina</w:t>
      </w:r>
      <w:proofErr w:type="spellEnd"/>
      <w:r w:rsidRPr="00B20780">
        <w:rPr>
          <w:rFonts w:ascii="Book Antiqua" w:hAnsi="Book Antiqua"/>
          <w:sz w:val="24"/>
          <w:szCs w:val="24"/>
        </w:rPr>
        <w:t xml:space="preserve"> M. What Is the Best Endoscopic Strategy in Acute Non-variceal Gastrointestinal Bleeding? </w:t>
      </w:r>
      <w:proofErr w:type="spellStart"/>
      <w:r w:rsidRPr="00B20780">
        <w:rPr>
          <w:rFonts w:ascii="Book Antiqua" w:hAnsi="Book Antiqua"/>
          <w:i/>
          <w:sz w:val="24"/>
          <w:szCs w:val="24"/>
        </w:rPr>
        <w:t>Curr</w:t>
      </w:r>
      <w:proofErr w:type="spellEnd"/>
      <w:r w:rsidRPr="00B20780">
        <w:rPr>
          <w:rFonts w:ascii="Book Antiqua" w:hAnsi="Book Antiqua"/>
          <w:i/>
          <w:sz w:val="24"/>
          <w:szCs w:val="24"/>
        </w:rPr>
        <w:t xml:space="preserve"> Treat Options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2018; </w:t>
      </w:r>
      <w:r w:rsidRPr="00B20780">
        <w:rPr>
          <w:rFonts w:ascii="Book Antiqua" w:hAnsi="Book Antiqua"/>
          <w:b/>
          <w:sz w:val="24"/>
          <w:szCs w:val="24"/>
        </w:rPr>
        <w:t>16</w:t>
      </w:r>
      <w:r w:rsidRPr="00B20780">
        <w:rPr>
          <w:rFonts w:ascii="Book Antiqua" w:hAnsi="Book Antiqua"/>
          <w:sz w:val="24"/>
          <w:szCs w:val="24"/>
        </w:rPr>
        <w:t>: 363-375 [PMID: 30229463 DOI: 10.1007/s11938-018-0192-0]</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24 </w:t>
      </w:r>
      <w:proofErr w:type="spellStart"/>
      <w:r w:rsidRPr="00B20780">
        <w:rPr>
          <w:rFonts w:ascii="Book Antiqua" w:hAnsi="Book Antiqua"/>
          <w:b/>
          <w:sz w:val="24"/>
          <w:szCs w:val="24"/>
        </w:rPr>
        <w:t>Yachimski</w:t>
      </w:r>
      <w:proofErr w:type="spellEnd"/>
      <w:r w:rsidRPr="00B20780">
        <w:rPr>
          <w:rFonts w:ascii="Book Antiqua" w:hAnsi="Book Antiqua"/>
          <w:b/>
          <w:sz w:val="24"/>
          <w:szCs w:val="24"/>
        </w:rPr>
        <w:t xml:space="preserve"> PS</w:t>
      </w:r>
      <w:r w:rsidRPr="00B20780">
        <w:rPr>
          <w:rFonts w:ascii="Book Antiqua" w:hAnsi="Book Antiqua"/>
          <w:sz w:val="24"/>
          <w:szCs w:val="24"/>
        </w:rPr>
        <w:t>, Friedman LS.</w:t>
      </w:r>
      <w:proofErr w:type="gramEnd"/>
      <w:r w:rsidRPr="00B20780">
        <w:rPr>
          <w:rFonts w:ascii="Book Antiqua" w:hAnsi="Book Antiqua"/>
          <w:sz w:val="24"/>
          <w:szCs w:val="24"/>
        </w:rPr>
        <w:t xml:space="preserve"> </w:t>
      </w:r>
      <w:proofErr w:type="gramStart"/>
      <w:r w:rsidRPr="00B20780">
        <w:rPr>
          <w:rFonts w:ascii="Book Antiqua" w:hAnsi="Book Antiqua"/>
          <w:sz w:val="24"/>
          <w:szCs w:val="24"/>
        </w:rPr>
        <w:t>Gastrointestinal bleeding in the elderly.</w:t>
      </w:r>
      <w:proofErr w:type="gramEnd"/>
      <w:r w:rsidRPr="00B20780">
        <w:rPr>
          <w:rFonts w:ascii="Book Antiqua" w:hAnsi="Book Antiqua"/>
          <w:sz w:val="24"/>
          <w:szCs w:val="24"/>
        </w:rPr>
        <w:t xml:space="preserve"> </w:t>
      </w:r>
      <w:r w:rsidRPr="00B20780">
        <w:rPr>
          <w:rFonts w:ascii="Book Antiqua" w:hAnsi="Book Antiqua"/>
          <w:i/>
          <w:sz w:val="24"/>
          <w:szCs w:val="24"/>
        </w:rPr>
        <w:t xml:space="preserve">Nat </w:t>
      </w:r>
      <w:proofErr w:type="spellStart"/>
      <w:r w:rsidRPr="00B20780">
        <w:rPr>
          <w:rFonts w:ascii="Book Antiqua" w:hAnsi="Book Antiqua"/>
          <w:i/>
          <w:sz w:val="24"/>
          <w:szCs w:val="24"/>
        </w:rPr>
        <w:t>Clin</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Pract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Gastroenterol</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Hepatol</w:t>
      </w:r>
      <w:proofErr w:type="spellEnd"/>
      <w:r w:rsidRPr="00B20780">
        <w:rPr>
          <w:rFonts w:ascii="Book Antiqua" w:hAnsi="Book Antiqua"/>
          <w:sz w:val="24"/>
          <w:szCs w:val="24"/>
        </w:rPr>
        <w:t xml:space="preserve"> 2008; </w:t>
      </w:r>
      <w:r w:rsidRPr="00B20780">
        <w:rPr>
          <w:rFonts w:ascii="Book Antiqua" w:hAnsi="Book Antiqua"/>
          <w:b/>
          <w:sz w:val="24"/>
          <w:szCs w:val="24"/>
        </w:rPr>
        <w:t>5</w:t>
      </w:r>
      <w:r w:rsidRPr="00B20780">
        <w:rPr>
          <w:rFonts w:ascii="Book Antiqua" w:hAnsi="Book Antiqua"/>
          <w:sz w:val="24"/>
          <w:szCs w:val="24"/>
        </w:rPr>
        <w:t>: 80-93 [PMID: 18253137 DOI: 10.1038/ncpgasthep1034]</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25 </w:t>
      </w:r>
      <w:r w:rsidRPr="00B20780">
        <w:rPr>
          <w:rFonts w:ascii="Book Antiqua" w:hAnsi="Book Antiqua"/>
          <w:b/>
          <w:sz w:val="24"/>
          <w:szCs w:val="24"/>
        </w:rPr>
        <w:t>Kim BJ</w:t>
      </w:r>
      <w:r w:rsidRPr="00B20780">
        <w:rPr>
          <w:rFonts w:ascii="Book Antiqua" w:hAnsi="Book Antiqua"/>
          <w:sz w:val="24"/>
          <w:szCs w:val="24"/>
        </w:rPr>
        <w:t xml:space="preserve">, Park MK, Kim SJ, Kim ER, Min BH, Son HJ, Rhee PL, Kim JJ, Rhee JC, Lee JH. Comparison of scoring systems for the prediction of outcomes in patients with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 a prospective study. </w:t>
      </w:r>
      <w:r w:rsidRPr="00B20780">
        <w:rPr>
          <w:rFonts w:ascii="Book Antiqua" w:hAnsi="Book Antiqua"/>
          <w:i/>
          <w:sz w:val="24"/>
          <w:szCs w:val="24"/>
        </w:rPr>
        <w:t xml:space="preserve">Dig Dis </w:t>
      </w:r>
      <w:proofErr w:type="spellStart"/>
      <w:r w:rsidRPr="00B20780">
        <w:rPr>
          <w:rFonts w:ascii="Book Antiqua" w:hAnsi="Book Antiqua"/>
          <w:i/>
          <w:sz w:val="24"/>
          <w:szCs w:val="24"/>
        </w:rPr>
        <w:t>Sci</w:t>
      </w:r>
      <w:proofErr w:type="spellEnd"/>
      <w:r w:rsidRPr="00B20780">
        <w:rPr>
          <w:rFonts w:ascii="Book Antiqua" w:hAnsi="Book Antiqua"/>
          <w:sz w:val="24"/>
          <w:szCs w:val="24"/>
        </w:rPr>
        <w:t xml:space="preserve"> 2009; </w:t>
      </w:r>
      <w:r w:rsidRPr="00B20780">
        <w:rPr>
          <w:rFonts w:ascii="Book Antiqua" w:hAnsi="Book Antiqua"/>
          <w:b/>
          <w:sz w:val="24"/>
          <w:szCs w:val="24"/>
        </w:rPr>
        <w:t>54</w:t>
      </w:r>
      <w:r w:rsidRPr="00B20780">
        <w:rPr>
          <w:rFonts w:ascii="Book Antiqua" w:hAnsi="Book Antiqua"/>
          <w:sz w:val="24"/>
          <w:szCs w:val="24"/>
        </w:rPr>
        <w:t>: 2523-2529 [PMID: 19104934 DOI: 10.1007/s10620-008-0654-7]</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lastRenderedPageBreak/>
        <w:t xml:space="preserve">26 </w:t>
      </w:r>
      <w:r w:rsidRPr="00B20780">
        <w:rPr>
          <w:rFonts w:ascii="Book Antiqua" w:hAnsi="Book Antiqua"/>
          <w:b/>
          <w:sz w:val="24"/>
          <w:szCs w:val="24"/>
        </w:rPr>
        <w:t>Chen IC</w:t>
      </w:r>
      <w:r w:rsidRPr="00B20780">
        <w:rPr>
          <w:rFonts w:ascii="Book Antiqua" w:hAnsi="Book Antiqua"/>
          <w:sz w:val="24"/>
          <w:szCs w:val="24"/>
        </w:rPr>
        <w:t xml:space="preserve">, Hung MS, Chiu TF, Chen JC, Hsiao CT. Risk scoring systems to predict need for clinical intervention for patients with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tract bleeding. </w:t>
      </w:r>
      <w:r w:rsidRPr="00B20780">
        <w:rPr>
          <w:rFonts w:ascii="Book Antiqua" w:hAnsi="Book Antiqua"/>
          <w:i/>
          <w:sz w:val="24"/>
          <w:szCs w:val="24"/>
        </w:rPr>
        <w:t xml:space="preserve">Am J </w:t>
      </w:r>
      <w:proofErr w:type="spellStart"/>
      <w:r w:rsidRPr="00B20780">
        <w:rPr>
          <w:rFonts w:ascii="Book Antiqua" w:hAnsi="Book Antiqua"/>
          <w:i/>
          <w:sz w:val="24"/>
          <w:szCs w:val="24"/>
        </w:rPr>
        <w:t>Emerg</w:t>
      </w:r>
      <w:proofErr w:type="spellEnd"/>
      <w:r w:rsidRPr="00B20780">
        <w:rPr>
          <w:rFonts w:ascii="Book Antiqua" w:hAnsi="Book Antiqua"/>
          <w:i/>
          <w:sz w:val="24"/>
          <w:szCs w:val="24"/>
        </w:rPr>
        <w:t xml:space="preserve"> Med</w:t>
      </w:r>
      <w:r w:rsidRPr="00B20780">
        <w:rPr>
          <w:rFonts w:ascii="Book Antiqua" w:hAnsi="Book Antiqua"/>
          <w:sz w:val="24"/>
          <w:szCs w:val="24"/>
        </w:rPr>
        <w:t xml:space="preserve"> 2007; </w:t>
      </w:r>
      <w:r w:rsidRPr="00B20780">
        <w:rPr>
          <w:rFonts w:ascii="Book Antiqua" w:hAnsi="Book Antiqua"/>
          <w:b/>
          <w:sz w:val="24"/>
          <w:szCs w:val="24"/>
        </w:rPr>
        <w:t>25</w:t>
      </w:r>
      <w:r w:rsidRPr="00B20780">
        <w:rPr>
          <w:rFonts w:ascii="Book Antiqua" w:hAnsi="Book Antiqua"/>
          <w:sz w:val="24"/>
          <w:szCs w:val="24"/>
        </w:rPr>
        <w:t>: 774-779 [PMID: 17870480 DOI: 10.1016/j.ajem.2006.12.024]</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27 </w:t>
      </w:r>
      <w:proofErr w:type="spellStart"/>
      <w:r w:rsidRPr="00B20780">
        <w:rPr>
          <w:rFonts w:ascii="Book Antiqua" w:hAnsi="Book Antiqua"/>
          <w:b/>
          <w:sz w:val="24"/>
          <w:szCs w:val="24"/>
        </w:rPr>
        <w:t>Rockall</w:t>
      </w:r>
      <w:proofErr w:type="spellEnd"/>
      <w:r w:rsidRPr="00B20780">
        <w:rPr>
          <w:rFonts w:ascii="Book Antiqua" w:hAnsi="Book Antiqua"/>
          <w:b/>
          <w:sz w:val="24"/>
          <w:szCs w:val="24"/>
        </w:rPr>
        <w:t xml:space="preserve"> TA</w:t>
      </w:r>
      <w:r w:rsidRPr="00B20780">
        <w:rPr>
          <w:rFonts w:ascii="Book Antiqua" w:hAnsi="Book Antiqua"/>
          <w:sz w:val="24"/>
          <w:szCs w:val="24"/>
        </w:rPr>
        <w:t>, Logan RF, Devlin HB, Northfield TC.</w:t>
      </w:r>
      <w:proofErr w:type="gramEnd"/>
      <w:r w:rsidRPr="00B20780">
        <w:rPr>
          <w:rFonts w:ascii="Book Antiqua" w:hAnsi="Book Antiqua"/>
          <w:sz w:val="24"/>
          <w:szCs w:val="24"/>
        </w:rPr>
        <w:t xml:space="preserve"> </w:t>
      </w:r>
      <w:proofErr w:type="gramStart"/>
      <w:r w:rsidRPr="00B20780">
        <w:rPr>
          <w:rFonts w:ascii="Book Antiqua" w:hAnsi="Book Antiqua"/>
          <w:sz w:val="24"/>
          <w:szCs w:val="24"/>
        </w:rPr>
        <w:t xml:space="preserve">Risk assessment after acute upper gastrointestinal </w:t>
      </w:r>
      <w:proofErr w:type="spellStart"/>
      <w:r w:rsidRPr="00B20780">
        <w:rPr>
          <w:rFonts w:ascii="Book Antiqua" w:hAnsi="Book Antiqua"/>
          <w:sz w:val="24"/>
          <w:szCs w:val="24"/>
        </w:rPr>
        <w:t>haemorrhage</w:t>
      </w:r>
      <w:proofErr w:type="spellEnd"/>
      <w:r w:rsidRPr="00B20780">
        <w:rPr>
          <w:rFonts w:ascii="Book Antiqua" w:hAnsi="Book Antiqua"/>
          <w:sz w:val="24"/>
          <w:szCs w:val="24"/>
        </w:rPr>
        <w:t>.</w:t>
      </w:r>
      <w:proofErr w:type="gramEnd"/>
      <w:r w:rsidRPr="00B20780">
        <w:rPr>
          <w:rFonts w:ascii="Book Antiqua" w:hAnsi="Book Antiqua"/>
          <w:sz w:val="24"/>
          <w:szCs w:val="24"/>
        </w:rPr>
        <w:t xml:space="preserve"> </w:t>
      </w:r>
      <w:r w:rsidRPr="00B20780">
        <w:rPr>
          <w:rFonts w:ascii="Book Antiqua" w:hAnsi="Book Antiqua"/>
          <w:i/>
          <w:sz w:val="24"/>
          <w:szCs w:val="24"/>
        </w:rPr>
        <w:t>Gut</w:t>
      </w:r>
      <w:r w:rsidRPr="00B20780">
        <w:rPr>
          <w:rFonts w:ascii="Book Antiqua" w:hAnsi="Book Antiqua"/>
          <w:sz w:val="24"/>
          <w:szCs w:val="24"/>
        </w:rPr>
        <w:t xml:space="preserve"> 1996; </w:t>
      </w:r>
      <w:r w:rsidRPr="00B20780">
        <w:rPr>
          <w:rFonts w:ascii="Book Antiqua" w:hAnsi="Book Antiqua"/>
          <w:b/>
          <w:sz w:val="24"/>
          <w:szCs w:val="24"/>
        </w:rPr>
        <w:t>38</w:t>
      </w:r>
      <w:r w:rsidRPr="00B20780">
        <w:rPr>
          <w:rFonts w:ascii="Book Antiqua" w:hAnsi="Book Antiqua"/>
          <w:sz w:val="24"/>
          <w:szCs w:val="24"/>
        </w:rPr>
        <w:t>: 316-321 [PMID: 8675081 DOI: 10.1136/gut.38.3.316]</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28 </w:t>
      </w:r>
      <w:r w:rsidRPr="00B20780">
        <w:rPr>
          <w:rFonts w:ascii="Book Antiqua" w:hAnsi="Book Antiqua"/>
          <w:b/>
          <w:sz w:val="24"/>
          <w:szCs w:val="24"/>
        </w:rPr>
        <w:t>Trawick EP</w:t>
      </w:r>
      <w:r w:rsidRPr="00B20780">
        <w:rPr>
          <w:rFonts w:ascii="Book Antiqua" w:hAnsi="Book Antiqua"/>
          <w:sz w:val="24"/>
          <w:szCs w:val="24"/>
        </w:rPr>
        <w:t xml:space="preserve">, </w:t>
      </w:r>
      <w:proofErr w:type="spellStart"/>
      <w:r w:rsidRPr="00B20780">
        <w:rPr>
          <w:rFonts w:ascii="Book Antiqua" w:hAnsi="Book Antiqua"/>
          <w:sz w:val="24"/>
          <w:szCs w:val="24"/>
        </w:rPr>
        <w:t>Yachimski</w:t>
      </w:r>
      <w:proofErr w:type="spellEnd"/>
      <w:r w:rsidRPr="00B20780">
        <w:rPr>
          <w:rFonts w:ascii="Book Antiqua" w:hAnsi="Book Antiqua"/>
          <w:sz w:val="24"/>
          <w:szCs w:val="24"/>
        </w:rPr>
        <w:t xml:space="preserve"> PS. Management of non-variceal upper gastrointestinal tract hemorrhage: controversies and areas of uncertainty. </w:t>
      </w:r>
      <w:r w:rsidRPr="00B20780">
        <w:rPr>
          <w:rFonts w:ascii="Book Antiqua" w:hAnsi="Book Antiqua"/>
          <w:i/>
          <w:sz w:val="24"/>
          <w:szCs w:val="24"/>
        </w:rPr>
        <w:t xml:space="preserve">World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2012; </w:t>
      </w:r>
      <w:r w:rsidRPr="00B20780">
        <w:rPr>
          <w:rFonts w:ascii="Book Antiqua" w:hAnsi="Book Antiqua"/>
          <w:b/>
          <w:sz w:val="24"/>
          <w:szCs w:val="24"/>
        </w:rPr>
        <w:t>18</w:t>
      </w:r>
      <w:r w:rsidRPr="00B20780">
        <w:rPr>
          <w:rFonts w:ascii="Book Antiqua" w:hAnsi="Book Antiqua"/>
          <w:sz w:val="24"/>
          <w:szCs w:val="24"/>
        </w:rPr>
        <w:t>: 1159-1165 [PMID: 22468078 DOI: 10.3748/wjg.v18.i11.1159]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29 </w:t>
      </w:r>
      <w:proofErr w:type="spellStart"/>
      <w:r w:rsidRPr="00B20780">
        <w:rPr>
          <w:rFonts w:ascii="Book Antiqua" w:hAnsi="Book Antiqua"/>
          <w:b/>
          <w:sz w:val="24"/>
          <w:szCs w:val="24"/>
        </w:rPr>
        <w:t>Gu</w:t>
      </w:r>
      <w:proofErr w:type="spellEnd"/>
      <w:r w:rsidRPr="00B20780">
        <w:rPr>
          <w:rFonts w:ascii="Book Antiqua" w:hAnsi="Book Antiqua"/>
          <w:b/>
          <w:sz w:val="24"/>
          <w:szCs w:val="24"/>
        </w:rPr>
        <w:t xml:space="preserve"> L</w:t>
      </w:r>
      <w:r w:rsidRPr="00B20780">
        <w:rPr>
          <w:rFonts w:ascii="Book Antiqua" w:hAnsi="Book Antiqua"/>
          <w:sz w:val="24"/>
          <w:szCs w:val="24"/>
        </w:rPr>
        <w:t xml:space="preserve">, Xu F, Yuan J. Comparison of AIMS65, Glasgow-Blatchford and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scoring approaches in predicting the risk of in-hospital death among emergency hospitalized patients with upper gastrointestinal bleeding: a retrospective observational study in Nanjing, China. </w:t>
      </w:r>
      <w:r w:rsidRPr="00B20780">
        <w:rPr>
          <w:rFonts w:ascii="Book Antiqua" w:hAnsi="Book Antiqua"/>
          <w:i/>
          <w:sz w:val="24"/>
          <w:szCs w:val="24"/>
        </w:rPr>
        <w:t xml:space="preserve">BMC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2018; </w:t>
      </w:r>
      <w:r w:rsidRPr="00B20780">
        <w:rPr>
          <w:rFonts w:ascii="Book Antiqua" w:hAnsi="Book Antiqua"/>
          <w:b/>
          <w:sz w:val="24"/>
          <w:szCs w:val="24"/>
        </w:rPr>
        <w:t>18</w:t>
      </w:r>
      <w:r w:rsidRPr="00B20780">
        <w:rPr>
          <w:rFonts w:ascii="Book Antiqua" w:hAnsi="Book Antiqua"/>
          <w:sz w:val="24"/>
          <w:szCs w:val="24"/>
        </w:rPr>
        <w:t>: 98 [PMID: 29954332 DOI: 10.1186/s12876-018-0828-5]</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30 </w:t>
      </w:r>
      <w:r w:rsidRPr="00B20780">
        <w:rPr>
          <w:rFonts w:ascii="Book Antiqua" w:hAnsi="Book Antiqua"/>
          <w:b/>
          <w:sz w:val="24"/>
          <w:szCs w:val="24"/>
        </w:rPr>
        <w:t>Stanley AJ</w:t>
      </w:r>
      <w:r w:rsidRPr="00B20780">
        <w:rPr>
          <w:rFonts w:ascii="Book Antiqua" w:hAnsi="Book Antiqua"/>
          <w:sz w:val="24"/>
          <w:szCs w:val="24"/>
        </w:rPr>
        <w:t xml:space="preserve">, Dalton HR, Blatchford O, Ashley D, </w:t>
      </w:r>
      <w:proofErr w:type="spellStart"/>
      <w:r w:rsidRPr="00B20780">
        <w:rPr>
          <w:rFonts w:ascii="Book Antiqua" w:hAnsi="Book Antiqua"/>
          <w:sz w:val="24"/>
          <w:szCs w:val="24"/>
        </w:rPr>
        <w:t>Mowat</w:t>
      </w:r>
      <w:proofErr w:type="spellEnd"/>
      <w:r w:rsidRPr="00B20780">
        <w:rPr>
          <w:rFonts w:ascii="Book Antiqua" w:hAnsi="Book Antiqua"/>
          <w:sz w:val="24"/>
          <w:szCs w:val="24"/>
        </w:rPr>
        <w:t xml:space="preserve"> C, Cahill A, Gaya DR, Thompson E, </w:t>
      </w:r>
      <w:proofErr w:type="spellStart"/>
      <w:r w:rsidRPr="00B20780">
        <w:rPr>
          <w:rFonts w:ascii="Book Antiqua" w:hAnsi="Book Antiqua"/>
          <w:sz w:val="24"/>
          <w:szCs w:val="24"/>
        </w:rPr>
        <w:t>Warshow</w:t>
      </w:r>
      <w:proofErr w:type="spellEnd"/>
      <w:r w:rsidRPr="00B20780">
        <w:rPr>
          <w:rFonts w:ascii="Book Antiqua" w:hAnsi="Book Antiqua"/>
          <w:sz w:val="24"/>
          <w:szCs w:val="24"/>
        </w:rPr>
        <w:t xml:space="preserve"> U, Hare N, </w:t>
      </w:r>
      <w:proofErr w:type="spellStart"/>
      <w:r w:rsidRPr="00B20780">
        <w:rPr>
          <w:rFonts w:ascii="Book Antiqua" w:hAnsi="Book Antiqua"/>
          <w:sz w:val="24"/>
          <w:szCs w:val="24"/>
        </w:rPr>
        <w:t>Groome</w:t>
      </w:r>
      <w:proofErr w:type="spellEnd"/>
      <w:r w:rsidRPr="00B20780">
        <w:rPr>
          <w:rFonts w:ascii="Book Antiqua" w:hAnsi="Book Antiqua"/>
          <w:sz w:val="24"/>
          <w:szCs w:val="24"/>
        </w:rPr>
        <w:t xml:space="preserve"> M, Benson G, Murray W. </w:t>
      </w:r>
      <w:proofErr w:type="spellStart"/>
      <w:r w:rsidRPr="00B20780">
        <w:rPr>
          <w:rFonts w:ascii="Book Antiqua" w:hAnsi="Book Antiqua"/>
          <w:sz w:val="24"/>
          <w:szCs w:val="24"/>
        </w:rPr>
        <w:t>Multicentre</w:t>
      </w:r>
      <w:proofErr w:type="spellEnd"/>
      <w:r w:rsidRPr="00B20780">
        <w:rPr>
          <w:rFonts w:ascii="Book Antiqua" w:hAnsi="Book Antiqua"/>
          <w:sz w:val="24"/>
          <w:szCs w:val="24"/>
        </w:rPr>
        <w:t xml:space="preserve"> comparison of the Glasgow Blatchford and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Scores in the prediction of clinical end-points after upper gastrointestinal </w:t>
      </w:r>
      <w:proofErr w:type="spellStart"/>
      <w:r w:rsidRPr="00B20780">
        <w:rPr>
          <w:rFonts w:ascii="Book Antiqua" w:hAnsi="Book Antiqua"/>
          <w:sz w:val="24"/>
          <w:szCs w:val="24"/>
        </w:rPr>
        <w:t>haemorrhage</w:t>
      </w:r>
      <w:proofErr w:type="spellEnd"/>
      <w:r w:rsidRPr="00B20780">
        <w:rPr>
          <w:rFonts w:ascii="Book Antiqua" w:hAnsi="Book Antiqua"/>
          <w:sz w:val="24"/>
          <w:szCs w:val="24"/>
        </w:rPr>
        <w:t xml:space="preserve">. </w:t>
      </w:r>
      <w:r w:rsidRPr="00B20780">
        <w:rPr>
          <w:rFonts w:ascii="Book Antiqua" w:hAnsi="Book Antiqua"/>
          <w:i/>
          <w:sz w:val="24"/>
          <w:szCs w:val="24"/>
        </w:rPr>
        <w:t xml:space="preserve">Aliment </w:t>
      </w:r>
      <w:proofErr w:type="spellStart"/>
      <w:r w:rsidRPr="00B20780">
        <w:rPr>
          <w:rFonts w:ascii="Book Antiqua" w:hAnsi="Book Antiqua"/>
          <w:i/>
          <w:sz w:val="24"/>
          <w:szCs w:val="24"/>
        </w:rPr>
        <w:t>Pharmacol</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Ther</w:t>
      </w:r>
      <w:proofErr w:type="spellEnd"/>
      <w:r w:rsidRPr="00B20780">
        <w:rPr>
          <w:rFonts w:ascii="Book Antiqua" w:hAnsi="Book Antiqua"/>
          <w:sz w:val="24"/>
          <w:szCs w:val="24"/>
        </w:rPr>
        <w:t xml:space="preserve"> 2011; </w:t>
      </w:r>
      <w:r w:rsidRPr="00B20780">
        <w:rPr>
          <w:rFonts w:ascii="Book Antiqua" w:hAnsi="Book Antiqua"/>
          <w:b/>
          <w:sz w:val="24"/>
          <w:szCs w:val="24"/>
        </w:rPr>
        <w:t>34</w:t>
      </w:r>
      <w:r w:rsidRPr="00B20780">
        <w:rPr>
          <w:rFonts w:ascii="Book Antiqua" w:hAnsi="Book Antiqua"/>
          <w:sz w:val="24"/>
          <w:szCs w:val="24"/>
        </w:rPr>
        <w:t>: 470-475 [PMID: 21707681 DOI: 10.1111/j.1365-2036.2011.04747.x]</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31 </w:t>
      </w:r>
      <w:proofErr w:type="gramStart"/>
      <w:r w:rsidRPr="00B20780">
        <w:rPr>
          <w:rFonts w:ascii="Book Antiqua" w:hAnsi="Book Antiqua"/>
          <w:b/>
          <w:sz w:val="24"/>
          <w:szCs w:val="24"/>
        </w:rPr>
        <w:t>Pang</w:t>
      </w:r>
      <w:proofErr w:type="gramEnd"/>
      <w:r w:rsidRPr="00B20780">
        <w:rPr>
          <w:rFonts w:ascii="Book Antiqua" w:hAnsi="Book Antiqua"/>
          <w:b/>
          <w:sz w:val="24"/>
          <w:szCs w:val="24"/>
        </w:rPr>
        <w:t xml:space="preserve"> SH</w:t>
      </w:r>
      <w:r w:rsidRPr="00B20780">
        <w:rPr>
          <w:rFonts w:ascii="Book Antiqua" w:hAnsi="Book Antiqua"/>
          <w:sz w:val="24"/>
          <w:szCs w:val="24"/>
        </w:rPr>
        <w:t xml:space="preserve">, Ching JY, Lau JY, Sung JJ, Graham DY, Chan FK. </w:t>
      </w:r>
      <w:proofErr w:type="gramStart"/>
      <w:r w:rsidRPr="00B20780">
        <w:rPr>
          <w:rFonts w:ascii="Book Antiqua" w:hAnsi="Book Antiqua"/>
          <w:sz w:val="24"/>
          <w:szCs w:val="24"/>
        </w:rPr>
        <w:t xml:space="preserve">Comparing the Blatchford and pre-endoscopic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in predicting the need for endoscopic therapy in patients with upper GI hemorrhage.</w:t>
      </w:r>
      <w:proofErr w:type="gramEnd"/>
      <w:r w:rsidRPr="00B20780">
        <w:rPr>
          <w:rFonts w:ascii="Book Antiqua" w:hAnsi="Book Antiqua"/>
          <w:sz w:val="24"/>
          <w:szCs w:val="24"/>
        </w:rPr>
        <w:t xml:space="preserve"> </w:t>
      </w:r>
      <w:proofErr w:type="spellStart"/>
      <w:r w:rsidRPr="00B20780">
        <w:rPr>
          <w:rFonts w:ascii="Book Antiqua" w:hAnsi="Book Antiqua"/>
          <w:i/>
          <w:sz w:val="24"/>
          <w:szCs w:val="24"/>
        </w:rPr>
        <w:t>Gastrointest</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Endosc</w:t>
      </w:r>
      <w:proofErr w:type="spellEnd"/>
      <w:r w:rsidRPr="00B20780">
        <w:rPr>
          <w:rFonts w:ascii="Book Antiqua" w:hAnsi="Book Antiqua"/>
          <w:sz w:val="24"/>
          <w:szCs w:val="24"/>
        </w:rPr>
        <w:t xml:space="preserve"> 2010; </w:t>
      </w:r>
      <w:r w:rsidRPr="00B20780">
        <w:rPr>
          <w:rFonts w:ascii="Book Antiqua" w:hAnsi="Book Antiqua"/>
          <w:b/>
          <w:sz w:val="24"/>
          <w:szCs w:val="24"/>
        </w:rPr>
        <w:t>71</w:t>
      </w:r>
      <w:r w:rsidRPr="00B20780">
        <w:rPr>
          <w:rFonts w:ascii="Book Antiqua" w:hAnsi="Book Antiqua"/>
          <w:sz w:val="24"/>
          <w:szCs w:val="24"/>
        </w:rPr>
        <w:t>: 1134-1140 [PMID: 20598244 DOI: 10.1016/j.gie.2010.01.028]</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32 </w:t>
      </w:r>
      <w:r w:rsidRPr="00B20780">
        <w:rPr>
          <w:rFonts w:ascii="Book Antiqua" w:hAnsi="Book Antiqua"/>
          <w:b/>
          <w:sz w:val="24"/>
          <w:szCs w:val="24"/>
        </w:rPr>
        <w:t>Chandra S</w:t>
      </w:r>
      <w:r w:rsidRPr="00B20780">
        <w:rPr>
          <w:rFonts w:ascii="Book Antiqua" w:hAnsi="Book Antiqua"/>
          <w:sz w:val="24"/>
          <w:szCs w:val="24"/>
        </w:rPr>
        <w:t xml:space="preserve">, Hess EP, Agarwal D, </w:t>
      </w:r>
      <w:proofErr w:type="spellStart"/>
      <w:r w:rsidRPr="00B20780">
        <w:rPr>
          <w:rFonts w:ascii="Book Antiqua" w:hAnsi="Book Antiqua"/>
          <w:sz w:val="24"/>
          <w:szCs w:val="24"/>
        </w:rPr>
        <w:t>Nestler</w:t>
      </w:r>
      <w:proofErr w:type="spellEnd"/>
      <w:r w:rsidRPr="00B20780">
        <w:rPr>
          <w:rFonts w:ascii="Book Antiqua" w:hAnsi="Book Antiqua"/>
          <w:sz w:val="24"/>
          <w:szCs w:val="24"/>
        </w:rPr>
        <w:t xml:space="preserve"> DM, </w:t>
      </w:r>
      <w:proofErr w:type="spellStart"/>
      <w:r w:rsidRPr="00B20780">
        <w:rPr>
          <w:rFonts w:ascii="Book Antiqua" w:hAnsi="Book Antiqua"/>
          <w:sz w:val="24"/>
          <w:szCs w:val="24"/>
        </w:rPr>
        <w:t>Montori</w:t>
      </w:r>
      <w:proofErr w:type="spellEnd"/>
      <w:r w:rsidRPr="00B20780">
        <w:rPr>
          <w:rFonts w:ascii="Book Antiqua" w:hAnsi="Book Antiqua"/>
          <w:sz w:val="24"/>
          <w:szCs w:val="24"/>
        </w:rPr>
        <w:t xml:space="preserve"> VM, Song LM, Wells GA, </w:t>
      </w:r>
      <w:proofErr w:type="spellStart"/>
      <w:r w:rsidRPr="00B20780">
        <w:rPr>
          <w:rFonts w:ascii="Book Antiqua" w:hAnsi="Book Antiqua"/>
          <w:sz w:val="24"/>
          <w:szCs w:val="24"/>
        </w:rPr>
        <w:t>Stiell</w:t>
      </w:r>
      <w:proofErr w:type="spellEnd"/>
      <w:r w:rsidRPr="00B20780">
        <w:rPr>
          <w:rFonts w:ascii="Book Antiqua" w:hAnsi="Book Antiqua"/>
          <w:sz w:val="24"/>
          <w:szCs w:val="24"/>
        </w:rPr>
        <w:t xml:space="preserve"> IG. </w:t>
      </w:r>
      <w:proofErr w:type="gramStart"/>
      <w:r w:rsidRPr="00B20780">
        <w:rPr>
          <w:rFonts w:ascii="Book Antiqua" w:hAnsi="Book Antiqua"/>
          <w:sz w:val="24"/>
          <w:szCs w:val="24"/>
        </w:rPr>
        <w:t xml:space="preserve">External validation of the Glasgow-Blatchford Bleeding Score and the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in the US setting.</w:t>
      </w:r>
      <w:proofErr w:type="gramEnd"/>
      <w:r w:rsidRPr="00B20780">
        <w:rPr>
          <w:rFonts w:ascii="Book Antiqua" w:hAnsi="Book Antiqua"/>
          <w:sz w:val="24"/>
          <w:szCs w:val="24"/>
        </w:rPr>
        <w:t xml:space="preserve"> </w:t>
      </w:r>
      <w:r w:rsidRPr="00B20780">
        <w:rPr>
          <w:rFonts w:ascii="Book Antiqua" w:hAnsi="Book Antiqua"/>
          <w:i/>
          <w:sz w:val="24"/>
          <w:szCs w:val="24"/>
        </w:rPr>
        <w:t xml:space="preserve">Am J </w:t>
      </w:r>
      <w:proofErr w:type="spellStart"/>
      <w:r w:rsidRPr="00B20780">
        <w:rPr>
          <w:rFonts w:ascii="Book Antiqua" w:hAnsi="Book Antiqua"/>
          <w:i/>
          <w:sz w:val="24"/>
          <w:szCs w:val="24"/>
        </w:rPr>
        <w:t>Emerg</w:t>
      </w:r>
      <w:proofErr w:type="spellEnd"/>
      <w:r w:rsidRPr="00B20780">
        <w:rPr>
          <w:rFonts w:ascii="Book Antiqua" w:hAnsi="Book Antiqua"/>
          <w:i/>
          <w:sz w:val="24"/>
          <w:szCs w:val="24"/>
        </w:rPr>
        <w:t xml:space="preserve"> Med</w:t>
      </w:r>
      <w:r w:rsidRPr="00B20780">
        <w:rPr>
          <w:rFonts w:ascii="Book Antiqua" w:hAnsi="Book Antiqua"/>
          <w:sz w:val="24"/>
          <w:szCs w:val="24"/>
        </w:rPr>
        <w:t xml:space="preserve"> 2012; </w:t>
      </w:r>
      <w:r w:rsidRPr="00B20780">
        <w:rPr>
          <w:rFonts w:ascii="Book Antiqua" w:hAnsi="Book Antiqua"/>
          <w:b/>
          <w:sz w:val="24"/>
          <w:szCs w:val="24"/>
        </w:rPr>
        <w:t>30</w:t>
      </w:r>
      <w:r w:rsidRPr="00B20780">
        <w:rPr>
          <w:rFonts w:ascii="Book Antiqua" w:hAnsi="Book Antiqua"/>
          <w:sz w:val="24"/>
          <w:szCs w:val="24"/>
        </w:rPr>
        <w:t>: 673-679 [PMID: 21641145 DOI: 10.1016/j.ajem.2011.03.010]</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33 </w:t>
      </w:r>
      <w:proofErr w:type="spellStart"/>
      <w:r w:rsidRPr="00B20780">
        <w:rPr>
          <w:rFonts w:ascii="Book Antiqua" w:hAnsi="Book Antiqua"/>
          <w:b/>
          <w:sz w:val="24"/>
          <w:szCs w:val="24"/>
        </w:rPr>
        <w:t>Dicu</w:t>
      </w:r>
      <w:proofErr w:type="spellEnd"/>
      <w:r w:rsidRPr="00B20780">
        <w:rPr>
          <w:rFonts w:ascii="Book Antiqua" w:hAnsi="Book Antiqua"/>
          <w:b/>
          <w:sz w:val="24"/>
          <w:szCs w:val="24"/>
        </w:rPr>
        <w:t xml:space="preserve"> D</w:t>
      </w:r>
      <w:r w:rsidRPr="00B20780">
        <w:rPr>
          <w:rFonts w:ascii="Book Antiqua" w:hAnsi="Book Antiqua"/>
          <w:sz w:val="24"/>
          <w:szCs w:val="24"/>
        </w:rPr>
        <w:t xml:space="preserve">, Pop F, </w:t>
      </w:r>
      <w:proofErr w:type="spellStart"/>
      <w:r w:rsidRPr="00B20780">
        <w:rPr>
          <w:rFonts w:ascii="Book Antiqua" w:hAnsi="Book Antiqua"/>
          <w:sz w:val="24"/>
          <w:szCs w:val="24"/>
        </w:rPr>
        <w:t>Ionescu</w:t>
      </w:r>
      <w:proofErr w:type="spellEnd"/>
      <w:r w:rsidRPr="00B20780">
        <w:rPr>
          <w:rFonts w:ascii="Book Antiqua" w:hAnsi="Book Antiqua"/>
          <w:sz w:val="24"/>
          <w:szCs w:val="24"/>
        </w:rPr>
        <w:t xml:space="preserve"> D, </w:t>
      </w:r>
      <w:proofErr w:type="spellStart"/>
      <w:r w:rsidRPr="00B20780">
        <w:rPr>
          <w:rFonts w:ascii="Book Antiqua" w:hAnsi="Book Antiqua"/>
          <w:sz w:val="24"/>
          <w:szCs w:val="24"/>
        </w:rPr>
        <w:t>Dicu</w:t>
      </w:r>
      <w:proofErr w:type="spellEnd"/>
      <w:r w:rsidRPr="00B20780">
        <w:rPr>
          <w:rFonts w:ascii="Book Antiqua" w:hAnsi="Book Antiqua"/>
          <w:sz w:val="24"/>
          <w:szCs w:val="24"/>
        </w:rPr>
        <w:t xml:space="preserve"> T. Comparison of risk scoring systems in predicting clinical outcome at upper gastrointestinal bleeding patients in an </w:t>
      </w:r>
      <w:r w:rsidRPr="00B20780">
        <w:rPr>
          <w:rFonts w:ascii="Book Antiqua" w:hAnsi="Book Antiqua"/>
          <w:sz w:val="24"/>
          <w:szCs w:val="24"/>
        </w:rPr>
        <w:lastRenderedPageBreak/>
        <w:t xml:space="preserve">emergency unit. </w:t>
      </w:r>
      <w:r w:rsidRPr="00B20780">
        <w:rPr>
          <w:rFonts w:ascii="Book Antiqua" w:hAnsi="Book Antiqua"/>
          <w:i/>
          <w:sz w:val="24"/>
          <w:szCs w:val="24"/>
        </w:rPr>
        <w:t xml:space="preserve">Am J </w:t>
      </w:r>
      <w:proofErr w:type="spellStart"/>
      <w:r w:rsidRPr="00B20780">
        <w:rPr>
          <w:rFonts w:ascii="Book Antiqua" w:hAnsi="Book Antiqua"/>
          <w:i/>
          <w:sz w:val="24"/>
          <w:szCs w:val="24"/>
        </w:rPr>
        <w:t>Emerg</w:t>
      </w:r>
      <w:proofErr w:type="spellEnd"/>
      <w:r w:rsidRPr="00B20780">
        <w:rPr>
          <w:rFonts w:ascii="Book Antiqua" w:hAnsi="Book Antiqua"/>
          <w:i/>
          <w:sz w:val="24"/>
          <w:szCs w:val="24"/>
        </w:rPr>
        <w:t xml:space="preserve"> Med</w:t>
      </w:r>
      <w:r w:rsidRPr="00B20780">
        <w:rPr>
          <w:rFonts w:ascii="Book Antiqua" w:hAnsi="Book Antiqua"/>
          <w:sz w:val="24"/>
          <w:szCs w:val="24"/>
        </w:rPr>
        <w:t xml:space="preserve"> 2013; </w:t>
      </w:r>
      <w:r w:rsidRPr="00B20780">
        <w:rPr>
          <w:rFonts w:ascii="Book Antiqua" w:hAnsi="Book Antiqua"/>
          <w:b/>
          <w:sz w:val="24"/>
          <w:szCs w:val="24"/>
        </w:rPr>
        <w:t>31</w:t>
      </w:r>
      <w:r w:rsidRPr="00B20780">
        <w:rPr>
          <w:rFonts w:ascii="Book Antiqua" w:hAnsi="Book Antiqua"/>
          <w:sz w:val="24"/>
          <w:szCs w:val="24"/>
        </w:rPr>
        <w:t>: 94-99 [PMID: 23000328 DOI: 10.1016/j.ajem.2012.06.009]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34 </w:t>
      </w:r>
      <w:proofErr w:type="spellStart"/>
      <w:r w:rsidRPr="00B20780">
        <w:rPr>
          <w:rFonts w:ascii="Book Antiqua" w:hAnsi="Book Antiqua"/>
          <w:b/>
          <w:sz w:val="24"/>
          <w:szCs w:val="24"/>
        </w:rPr>
        <w:t>Chaikitamnuaychok</w:t>
      </w:r>
      <w:proofErr w:type="spellEnd"/>
      <w:r w:rsidRPr="00B20780">
        <w:rPr>
          <w:rFonts w:ascii="Book Antiqua" w:hAnsi="Book Antiqua"/>
          <w:b/>
          <w:sz w:val="24"/>
          <w:szCs w:val="24"/>
        </w:rPr>
        <w:t xml:space="preserve"> R</w:t>
      </w:r>
      <w:r w:rsidRPr="00B20780">
        <w:rPr>
          <w:rFonts w:ascii="Book Antiqua" w:hAnsi="Book Antiqua"/>
          <w:sz w:val="24"/>
          <w:szCs w:val="24"/>
        </w:rPr>
        <w:t xml:space="preserve">, </w:t>
      </w:r>
      <w:proofErr w:type="spellStart"/>
      <w:r w:rsidRPr="00B20780">
        <w:rPr>
          <w:rFonts w:ascii="Book Antiqua" w:hAnsi="Book Antiqua"/>
          <w:sz w:val="24"/>
          <w:szCs w:val="24"/>
        </w:rPr>
        <w:t>Patumanond</w:t>
      </w:r>
      <w:proofErr w:type="spellEnd"/>
      <w:r w:rsidRPr="00B20780">
        <w:rPr>
          <w:rFonts w:ascii="Book Antiqua" w:hAnsi="Book Antiqua"/>
          <w:sz w:val="24"/>
          <w:szCs w:val="24"/>
        </w:rPr>
        <w:t xml:space="preserve"> J. Upper Gastrointestinal Hemorrhage: Validation of the Severity Score. </w:t>
      </w:r>
      <w:r w:rsidRPr="00B20780">
        <w:rPr>
          <w:rFonts w:ascii="Book Antiqua" w:hAnsi="Book Antiqua"/>
          <w:i/>
          <w:sz w:val="24"/>
          <w:szCs w:val="24"/>
        </w:rPr>
        <w:t>Gastroenterology Res</w:t>
      </w:r>
      <w:r w:rsidRPr="00B20780">
        <w:rPr>
          <w:rFonts w:ascii="Book Antiqua" w:hAnsi="Book Antiqua"/>
          <w:sz w:val="24"/>
          <w:szCs w:val="24"/>
        </w:rPr>
        <w:t xml:space="preserve"> 2013; </w:t>
      </w:r>
      <w:r w:rsidRPr="00B20780">
        <w:rPr>
          <w:rFonts w:ascii="Book Antiqua" w:hAnsi="Book Antiqua"/>
          <w:b/>
          <w:sz w:val="24"/>
          <w:szCs w:val="24"/>
        </w:rPr>
        <w:t>6</w:t>
      </w:r>
      <w:r w:rsidRPr="00B20780">
        <w:rPr>
          <w:rFonts w:ascii="Book Antiqua" w:hAnsi="Book Antiqua"/>
          <w:sz w:val="24"/>
          <w:szCs w:val="24"/>
        </w:rPr>
        <w:t>: 56-62 [PMID: 27785227 DOI: 10.4021/gr540w]</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35 </w:t>
      </w:r>
      <w:r w:rsidRPr="00B20780">
        <w:rPr>
          <w:rFonts w:ascii="Book Antiqua" w:hAnsi="Book Antiqua"/>
          <w:b/>
          <w:sz w:val="24"/>
          <w:szCs w:val="24"/>
        </w:rPr>
        <w:t xml:space="preserve">Le </w:t>
      </w:r>
      <w:proofErr w:type="spellStart"/>
      <w:r w:rsidRPr="00B20780">
        <w:rPr>
          <w:rFonts w:ascii="Book Antiqua" w:hAnsi="Book Antiqua"/>
          <w:b/>
          <w:sz w:val="24"/>
          <w:szCs w:val="24"/>
        </w:rPr>
        <w:t>Jeune</w:t>
      </w:r>
      <w:proofErr w:type="spellEnd"/>
      <w:r w:rsidRPr="00B20780">
        <w:rPr>
          <w:rFonts w:ascii="Book Antiqua" w:hAnsi="Book Antiqua"/>
          <w:b/>
          <w:sz w:val="24"/>
          <w:szCs w:val="24"/>
        </w:rPr>
        <w:t xml:space="preserve"> IR</w:t>
      </w:r>
      <w:r w:rsidRPr="00B20780">
        <w:rPr>
          <w:rFonts w:ascii="Book Antiqua" w:hAnsi="Book Antiqua"/>
          <w:sz w:val="24"/>
          <w:szCs w:val="24"/>
        </w:rPr>
        <w:t xml:space="preserve">, Gordon AL, </w:t>
      </w:r>
      <w:proofErr w:type="spellStart"/>
      <w:r w:rsidRPr="00B20780">
        <w:rPr>
          <w:rFonts w:ascii="Book Antiqua" w:hAnsi="Book Antiqua"/>
          <w:sz w:val="24"/>
          <w:szCs w:val="24"/>
        </w:rPr>
        <w:t>Farrugia</w:t>
      </w:r>
      <w:proofErr w:type="spellEnd"/>
      <w:r w:rsidRPr="00B20780">
        <w:rPr>
          <w:rFonts w:ascii="Book Antiqua" w:hAnsi="Book Antiqua"/>
          <w:sz w:val="24"/>
          <w:szCs w:val="24"/>
        </w:rPr>
        <w:t xml:space="preserve"> D, </w:t>
      </w:r>
      <w:proofErr w:type="spellStart"/>
      <w:r w:rsidRPr="00B20780">
        <w:rPr>
          <w:rFonts w:ascii="Book Antiqua" w:hAnsi="Book Antiqua"/>
          <w:sz w:val="24"/>
          <w:szCs w:val="24"/>
        </w:rPr>
        <w:t>Manwani</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Guha</w:t>
      </w:r>
      <w:proofErr w:type="spellEnd"/>
      <w:r w:rsidRPr="00B20780">
        <w:rPr>
          <w:rFonts w:ascii="Book Antiqua" w:hAnsi="Book Antiqua"/>
          <w:sz w:val="24"/>
          <w:szCs w:val="24"/>
        </w:rPr>
        <w:t xml:space="preserve"> IN, James MW. Safe discharge of patients with low-risk upper gastrointestinal bleeding (UGIB): can the use of Glasgow-Blatchford Bleeding Score be extended? </w:t>
      </w:r>
      <w:r w:rsidRPr="00B20780">
        <w:rPr>
          <w:rFonts w:ascii="Book Antiqua" w:hAnsi="Book Antiqua"/>
          <w:i/>
          <w:sz w:val="24"/>
          <w:szCs w:val="24"/>
        </w:rPr>
        <w:t>Acute Med</w:t>
      </w:r>
      <w:r w:rsidRPr="00B20780">
        <w:rPr>
          <w:rFonts w:ascii="Book Antiqua" w:hAnsi="Book Antiqua"/>
          <w:sz w:val="24"/>
          <w:szCs w:val="24"/>
        </w:rPr>
        <w:t xml:space="preserve"> 2011; </w:t>
      </w:r>
      <w:r w:rsidRPr="00B20780">
        <w:rPr>
          <w:rFonts w:ascii="Book Antiqua" w:hAnsi="Book Antiqua"/>
          <w:b/>
          <w:sz w:val="24"/>
          <w:szCs w:val="24"/>
        </w:rPr>
        <w:t>10</w:t>
      </w:r>
      <w:r w:rsidRPr="00B20780">
        <w:rPr>
          <w:rFonts w:ascii="Book Antiqua" w:hAnsi="Book Antiqua"/>
          <w:sz w:val="24"/>
          <w:szCs w:val="24"/>
        </w:rPr>
        <w:t>: 176-181 [PMID: 22111089]</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36 </w:t>
      </w:r>
      <w:proofErr w:type="spellStart"/>
      <w:r w:rsidRPr="00B20780">
        <w:rPr>
          <w:rFonts w:ascii="Book Antiqua" w:hAnsi="Book Antiqua"/>
          <w:b/>
          <w:sz w:val="24"/>
          <w:szCs w:val="24"/>
        </w:rPr>
        <w:t>Soncini</w:t>
      </w:r>
      <w:proofErr w:type="spellEnd"/>
      <w:r w:rsidRPr="00B20780">
        <w:rPr>
          <w:rFonts w:ascii="Book Antiqua" w:hAnsi="Book Antiqua"/>
          <w:b/>
          <w:sz w:val="24"/>
          <w:szCs w:val="24"/>
        </w:rPr>
        <w:t xml:space="preserve"> M</w:t>
      </w:r>
      <w:r w:rsidRPr="00B20780">
        <w:rPr>
          <w:rFonts w:ascii="Book Antiqua" w:hAnsi="Book Antiqua"/>
          <w:sz w:val="24"/>
          <w:szCs w:val="24"/>
        </w:rPr>
        <w:t xml:space="preserve">, </w:t>
      </w:r>
      <w:proofErr w:type="spellStart"/>
      <w:r w:rsidRPr="00B20780">
        <w:rPr>
          <w:rFonts w:ascii="Book Antiqua" w:hAnsi="Book Antiqua"/>
          <w:sz w:val="24"/>
          <w:szCs w:val="24"/>
        </w:rPr>
        <w:t>Triossi</w:t>
      </w:r>
      <w:proofErr w:type="spellEnd"/>
      <w:r w:rsidRPr="00B20780">
        <w:rPr>
          <w:rFonts w:ascii="Book Antiqua" w:hAnsi="Book Antiqua"/>
          <w:sz w:val="24"/>
          <w:szCs w:val="24"/>
        </w:rPr>
        <w:t xml:space="preserve"> O, Leo P, </w:t>
      </w:r>
      <w:proofErr w:type="spellStart"/>
      <w:r w:rsidRPr="00B20780">
        <w:rPr>
          <w:rFonts w:ascii="Book Antiqua" w:hAnsi="Book Antiqua"/>
          <w:sz w:val="24"/>
          <w:szCs w:val="24"/>
        </w:rPr>
        <w:t>Magni</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Bertelè</w:t>
      </w:r>
      <w:proofErr w:type="spellEnd"/>
      <w:r w:rsidRPr="00B20780">
        <w:rPr>
          <w:rFonts w:ascii="Book Antiqua" w:hAnsi="Book Antiqua"/>
          <w:sz w:val="24"/>
          <w:szCs w:val="24"/>
        </w:rPr>
        <w:t xml:space="preserve"> AM, Grasso T, Ferraris L, Caruso S, </w:t>
      </w:r>
      <w:proofErr w:type="spellStart"/>
      <w:r w:rsidRPr="00B20780">
        <w:rPr>
          <w:rFonts w:ascii="Book Antiqua" w:hAnsi="Book Antiqua"/>
          <w:sz w:val="24"/>
          <w:szCs w:val="24"/>
        </w:rPr>
        <w:t>Spadaccini</w:t>
      </w:r>
      <w:proofErr w:type="spellEnd"/>
      <w:r w:rsidRPr="00B20780">
        <w:rPr>
          <w:rFonts w:ascii="Book Antiqua" w:hAnsi="Book Antiqua"/>
          <w:sz w:val="24"/>
          <w:szCs w:val="24"/>
        </w:rPr>
        <w:t xml:space="preserve"> A, </w:t>
      </w:r>
      <w:proofErr w:type="spellStart"/>
      <w:r w:rsidRPr="00B20780">
        <w:rPr>
          <w:rFonts w:ascii="Book Antiqua" w:hAnsi="Book Antiqua"/>
          <w:sz w:val="24"/>
          <w:szCs w:val="24"/>
        </w:rPr>
        <w:t>Brambilla</w:t>
      </w:r>
      <w:proofErr w:type="spellEnd"/>
      <w:r w:rsidRPr="00B20780">
        <w:rPr>
          <w:rFonts w:ascii="Book Antiqua" w:hAnsi="Book Antiqua"/>
          <w:sz w:val="24"/>
          <w:szCs w:val="24"/>
        </w:rPr>
        <w:t xml:space="preserve"> G, </w:t>
      </w:r>
      <w:proofErr w:type="spellStart"/>
      <w:r w:rsidRPr="00B20780">
        <w:rPr>
          <w:rFonts w:ascii="Book Antiqua" w:hAnsi="Book Antiqua"/>
          <w:sz w:val="24"/>
          <w:szCs w:val="24"/>
        </w:rPr>
        <w:t>Verta</w:t>
      </w:r>
      <w:proofErr w:type="spellEnd"/>
      <w:r w:rsidRPr="00B20780">
        <w:rPr>
          <w:rFonts w:ascii="Book Antiqua" w:hAnsi="Book Antiqua"/>
          <w:sz w:val="24"/>
          <w:szCs w:val="24"/>
        </w:rPr>
        <w:t xml:space="preserve"> M, </w:t>
      </w:r>
      <w:proofErr w:type="spellStart"/>
      <w:r w:rsidRPr="00B20780">
        <w:rPr>
          <w:rFonts w:ascii="Book Antiqua" w:hAnsi="Book Antiqua"/>
          <w:sz w:val="24"/>
          <w:szCs w:val="24"/>
        </w:rPr>
        <w:t>Muratori</w:t>
      </w:r>
      <w:proofErr w:type="spellEnd"/>
      <w:r w:rsidRPr="00B20780">
        <w:rPr>
          <w:rFonts w:ascii="Book Antiqua" w:hAnsi="Book Antiqua"/>
          <w:sz w:val="24"/>
          <w:szCs w:val="24"/>
        </w:rPr>
        <w:t xml:space="preserve"> R, </w:t>
      </w:r>
      <w:proofErr w:type="spellStart"/>
      <w:r w:rsidRPr="00B20780">
        <w:rPr>
          <w:rFonts w:ascii="Book Antiqua" w:hAnsi="Book Antiqua"/>
          <w:sz w:val="24"/>
          <w:szCs w:val="24"/>
        </w:rPr>
        <w:t>Attinà</w:t>
      </w:r>
      <w:proofErr w:type="spellEnd"/>
      <w:r w:rsidRPr="00B20780">
        <w:rPr>
          <w:rFonts w:ascii="Book Antiqua" w:hAnsi="Book Antiqua"/>
          <w:sz w:val="24"/>
          <w:szCs w:val="24"/>
        </w:rPr>
        <w:t xml:space="preserve"> A, Grasso G. Management of patients with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hemorrhage before and after the adoption of the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in the Italian Gastroenterology Units. </w:t>
      </w:r>
      <w:proofErr w:type="spellStart"/>
      <w:r w:rsidRPr="00B20780">
        <w:rPr>
          <w:rFonts w:ascii="Book Antiqua" w:hAnsi="Book Antiqua"/>
          <w:i/>
          <w:sz w:val="24"/>
          <w:szCs w:val="24"/>
        </w:rPr>
        <w:t>Eur</w:t>
      </w:r>
      <w:proofErr w:type="spellEnd"/>
      <w:r w:rsidRPr="00B20780">
        <w:rPr>
          <w:rFonts w:ascii="Book Antiqua" w:hAnsi="Book Antiqua"/>
          <w:i/>
          <w:sz w:val="24"/>
          <w:szCs w:val="24"/>
        </w:rPr>
        <w:t xml:space="preserve"> J </w:t>
      </w:r>
      <w:proofErr w:type="spellStart"/>
      <w:r w:rsidRPr="00B20780">
        <w:rPr>
          <w:rFonts w:ascii="Book Antiqua" w:hAnsi="Book Antiqua"/>
          <w:i/>
          <w:sz w:val="24"/>
          <w:szCs w:val="24"/>
        </w:rPr>
        <w:t>Gastroenterol</w:t>
      </w:r>
      <w:proofErr w:type="spellEnd"/>
      <w:r w:rsidRPr="00B20780">
        <w:rPr>
          <w:rFonts w:ascii="Book Antiqua" w:hAnsi="Book Antiqua"/>
          <w:i/>
          <w:sz w:val="24"/>
          <w:szCs w:val="24"/>
        </w:rPr>
        <w:t xml:space="preserve"> </w:t>
      </w:r>
      <w:proofErr w:type="spellStart"/>
      <w:r w:rsidRPr="00B20780">
        <w:rPr>
          <w:rFonts w:ascii="Book Antiqua" w:hAnsi="Book Antiqua"/>
          <w:i/>
          <w:sz w:val="24"/>
          <w:szCs w:val="24"/>
        </w:rPr>
        <w:t>Hepatol</w:t>
      </w:r>
      <w:proofErr w:type="spellEnd"/>
      <w:r w:rsidRPr="00B20780">
        <w:rPr>
          <w:rFonts w:ascii="Book Antiqua" w:hAnsi="Book Antiqua"/>
          <w:sz w:val="24"/>
          <w:szCs w:val="24"/>
        </w:rPr>
        <w:t xml:space="preserve"> 2007; </w:t>
      </w:r>
      <w:r w:rsidRPr="00B20780">
        <w:rPr>
          <w:rFonts w:ascii="Book Antiqua" w:hAnsi="Book Antiqua"/>
          <w:b/>
          <w:sz w:val="24"/>
          <w:szCs w:val="24"/>
        </w:rPr>
        <w:t>19</w:t>
      </w:r>
      <w:r w:rsidRPr="00B20780">
        <w:rPr>
          <w:rFonts w:ascii="Book Antiqua" w:hAnsi="Book Antiqua"/>
          <w:sz w:val="24"/>
          <w:szCs w:val="24"/>
        </w:rPr>
        <w:t>: 543-547 [PMID: 17556899 DOI: 10.1097/MEG.0b013e3281532b89]</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37 </w:t>
      </w:r>
      <w:r w:rsidRPr="00B20780">
        <w:rPr>
          <w:rFonts w:ascii="Book Antiqua" w:hAnsi="Book Antiqua"/>
          <w:b/>
          <w:sz w:val="24"/>
          <w:szCs w:val="24"/>
        </w:rPr>
        <w:t>Shrestha UK</w:t>
      </w:r>
      <w:r w:rsidRPr="00B20780">
        <w:rPr>
          <w:rFonts w:ascii="Book Antiqua" w:hAnsi="Book Antiqua"/>
          <w:sz w:val="24"/>
          <w:szCs w:val="24"/>
        </w:rPr>
        <w:t xml:space="preserve">, </w:t>
      </w:r>
      <w:proofErr w:type="spellStart"/>
      <w:r w:rsidRPr="00B20780">
        <w:rPr>
          <w:rFonts w:ascii="Book Antiqua" w:hAnsi="Book Antiqua"/>
          <w:sz w:val="24"/>
          <w:szCs w:val="24"/>
        </w:rPr>
        <w:t>Sapkota</w:t>
      </w:r>
      <w:proofErr w:type="spellEnd"/>
      <w:r w:rsidRPr="00B20780">
        <w:rPr>
          <w:rFonts w:ascii="Book Antiqua" w:hAnsi="Book Antiqua"/>
          <w:sz w:val="24"/>
          <w:szCs w:val="24"/>
        </w:rPr>
        <w:t xml:space="preserve"> S. Etiology and adverse outcome predictors of upper gastrointestinal bleeding in 589 patients in Nepal.</w:t>
      </w:r>
      <w:proofErr w:type="gramEnd"/>
      <w:r w:rsidRPr="00B20780">
        <w:rPr>
          <w:rFonts w:ascii="Book Antiqua" w:hAnsi="Book Antiqua"/>
          <w:sz w:val="24"/>
          <w:szCs w:val="24"/>
        </w:rPr>
        <w:t xml:space="preserve"> </w:t>
      </w:r>
      <w:r w:rsidRPr="00B20780">
        <w:rPr>
          <w:rFonts w:ascii="Book Antiqua" w:hAnsi="Book Antiqua"/>
          <w:i/>
          <w:sz w:val="24"/>
          <w:szCs w:val="24"/>
        </w:rPr>
        <w:t xml:space="preserve">Dig Dis </w:t>
      </w:r>
      <w:proofErr w:type="spellStart"/>
      <w:r w:rsidRPr="00B20780">
        <w:rPr>
          <w:rFonts w:ascii="Book Antiqua" w:hAnsi="Book Antiqua"/>
          <w:i/>
          <w:sz w:val="24"/>
          <w:szCs w:val="24"/>
        </w:rPr>
        <w:t>Sci</w:t>
      </w:r>
      <w:proofErr w:type="spellEnd"/>
      <w:r w:rsidRPr="00B20780">
        <w:rPr>
          <w:rFonts w:ascii="Book Antiqua" w:hAnsi="Book Antiqua"/>
          <w:sz w:val="24"/>
          <w:szCs w:val="24"/>
        </w:rPr>
        <w:t xml:space="preserve"> 2014; </w:t>
      </w:r>
      <w:r w:rsidRPr="00B20780">
        <w:rPr>
          <w:rFonts w:ascii="Book Antiqua" w:hAnsi="Book Antiqua"/>
          <w:b/>
          <w:sz w:val="24"/>
          <w:szCs w:val="24"/>
        </w:rPr>
        <w:t>59</w:t>
      </w:r>
      <w:r w:rsidRPr="00B20780">
        <w:rPr>
          <w:rFonts w:ascii="Book Antiqua" w:hAnsi="Book Antiqua"/>
          <w:sz w:val="24"/>
          <w:szCs w:val="24"/>
        </w:rPr>
        <w:t>: 814-822 [PMID: 24282053 DOI: 10.1007/s10620-013-2946-9]</w:t>
      </w:r>
    </w:p>
    <w:p w:rsidR="00187450" w:rsidRPr="00B20780" w:rsidRDefault="00187450" w:rsidP="00DE7591">
      <w:pPr>
        <w:spacing w:after="0" w:line="360" w:lineRule="auto"/>
        <w:jc w:val="both"/>
        <w:rPr>
          <w:rFonts w:ascii="Book Antiqua" w:hAnsi="Book Antiqua"/>
          <w:sz w:val="24"/>
          <w:szCs w:val="24"/>
        </w:rPr>
      </w:pPr>
      <w:proofErr w:type="gramStart"/>
      <w:r w:rsidRPr="00B20780">
        <w:rPr>
          <w:rFonts w:ascii="Book Antiqua" w:hAnsi="Book Antiqua"/>
          <w:sz w:val="24"/>
          <w:szCs w:val="24"/>
        </w:rPr>
        <w:t xml:space="preserve">38 </w:t>
      </w:r>
      <w:r w:rsidRPr="00B20780">
        <w:rPr>
          <w:rFonts w:ascii="Book Antiqua" w:hAnsi="Book Antiqua"/>
          <w:b/>
          <w:sz w:val="24"/>
          <w:szCs w:val="24"/>
        </w:rPr>
        <w:t>Wang CY</w:t>
      </w:r>
      <w:r w:rsidRPr="00B20780">
        <w:rPr>
          <w:rFonts w:ascii="Book Antiqua" w:hAnsi="Book Antiqua"/>
          <w:sz w:val="24"/>
          <w:szCs w:val="24"/>
        </w:rPr>
        <w:t xml:space="preserve">, Qin J, Wang J, Sun CY, Cao T, Zhu DD. </w:t>
      </w:r>
      <w:proofErr w:type="spellStart"/>
      <w:r w:rsidRPr="00B20780">
        <w:rPr>
          <w:rFonts w:ascii="Book Antiqua" w:hAnsi="Book Antiqua"/>
          <w:sz w:val="24"/>
          <w:szCs w:val="24"/>
        </w:rPr>
        <w:t>Rockall</w:t>
      </w:r>
      <w:proofErr w:type="spellEnd"/>
      <w:r w:rsidRPr="00B20780">
        <w:rPr>
          <w:rFonts w:ascii="Book Antiqua" w:hAnsi="Book Antiqua"/>
          <w:sz w:val="24"/>
          <w:szCs w:val="24"/>
        </w:rPr>
        <w:t xml:space="preserve"> score in predicting outcomes of elderly patients with acute upper gastrointestinal bleeding.</w:t>
      </w:r>
      <w:proofErr w:type="gramEnd"/>
      <w:r w:rsidRPr="00B20780">
        <w:rPr>
          <w:rFonts w:ascii="Book Antiqua" w:hAnsi="Book Antiqua"/>
          <w:sz w:val="24"/>
          <w:szCs w:val="24"/>
        </w:rPr>
        <w:t xml:space="preserve"> </w:t>
      </w:r>
      <w:r w:rsidRPr="00B20780">
        <w:rPr>
          <w:rFonts w:ascii="Book Antiqua" w:hAnsi="Book Antiqua"/>
          <w:i/>
          <w:sz w:val="24"/>
          <w:szCs w:val="24"/>
        </w:rPr>
        <w:t xml:space="preserve">World J </w:t>
      </w:r>
      <w:proofErr w:type="spellStart"/>
      <w:r w:rsidRPr="00B20780">
        <w:rPr>
          <w:rFonts w:ascii="Book Antiqua" w:hAnsi="Book Antiqua"/>
          <w:i/>
          <w:sz w:val="24"/>
          <w:szCs w:val="24"/>
        </w:rPr>
        <w:t>Gastroenterol</w:t>
      </w:r>
      <w:proofErr w:type="spellEnd"/>
      <w:r w:rsidRPr="00B20780">
        <w:rPr>
          <w:rFonts w:ascii="Book Antiqua" w:hAnsi="Book Antiqua"/>
          <w:sz w:val="24"/>
          <w:szCs w:val="24"/>
        </w:rPr>
        <w:t xml:space="preserve"> 2013; </w:t>
      </w:r>
      <w:r w:rsidRPr="00B20780">
        <w:rPr>
          <w:rFonts w:ascii="Book Antiqua" w:hAnsi="Book Antiqua"/>
          <w:b/>
          <w:sz w:val="24"/>
          <w:szCs w:val="24"/>
        </w:rPr>
        <w:t>19</w:t>
      </w:r>
      <w:r w:rsidRPr="00B20780">
        <w:rPr>
          <w:rFonts w:ascii="Book Antiqua" w:hAnsi="Book Antiqua"/>
          <w:sz w:val="24"/>
          <w:szCs w:val="24"/>
        </w:rPr>
        <w:t>: 3466-3472 [PMID: 23801840 DOI: 10.3748/wjg.v19.i22.3466]</w:t>
      </w:r>
    </w:p>
    <w:p w:rsidR="00187450" w:rsidRPr="00B20780" w:rsidRDefault="00187450" w:rsidP="00DE7591">
      <w:pPr>
        <w:spacing w:after="0" w:line="360" w:lineRule="auto"/>
        <w:jc w:val="both"/>
        <w:rPr>
          <w:rFonts w:ascii="Book Antiqua" w:hAnsi="Book Antiqua"/>
          <w:sz w:val="24"/>
          <w:szCs w:val="24"/>
        </w:rPr>
      </w:pPr>
      <w:r w:rsidRPr="00B20780">
        <w:rPr>
          <w:rFonts w:ascii="Book Antiqua" w:hAnsi="Book Antiqua"/>
          <w:sz w:val="24"/>
          <w:szCs w:val="24"/>
        </w:rPr>
        <w:t xml:space="preserve">39 </w:t>
      </w:r>
      <w:r w:rsidRPr="00B20780">
        <w:rPr>
          <w:rFonts w:ascii="Book Antiqua" w:hAnsi="Book Antiqua"/>
          <w:b/>
          <w:sz w:val="24"/>
          <w:szCs w:val="24"/>
        </w:rPr>
        <w:t>Crooks CJ</w:t>
      </w:r>
      <w:r w:rsidRPr="00B20780">
        <w:rPr>
          <w:rFonts w:ascii="Book Antiqua" w:hAnsi="Book Antiqua"/>
          <w:sz w:val="24"/>
          <w:szCs w:val="24"/>
        </w:rPr>
        <w:t xml:space="preserve">, West J, Card TR. Comorbidities affect risk of </w:t>
      </w:r>
      <w:proofErr w:type="spellStart"/>
      <w:r w:rsidRPr="00B20780">
        <w:rPr>
          <w:rFonts w:ascii="Book Antiqua" w:hAnsi="Book Antiqua"/>
          <w:sz w:val="24"/>
          <w:szCs w:val="24"/>
        </w:rPr>
        <w:t>nonvariceal</w:t>
      </w:r>
      <w:proofErr w:type="spellEnd"/>
      <w:r w:rsidRPr="00B20780">
        <w:rPr>
          <w:rFonts w:ascii="Book Antiqua" w:hAnsi="Book Antiqua"/>
          <w:sz w:val="24"/>
          <w:szCs w:val="24"/>
        </w:rPr>
        <w:t xml:space="preserve"> upper gastrointestinal bleeding. </w:t>
      </w:r>
      <w:r w:rsidRPr="00B20780">
        <w:rPr>
          <w:rFonts w:ascii="Book Antiqua" w:hAnsi="Book Antiqua"/>
          <w:i/>
          <w:sz w:val="24"/>
          <w:szCs w:val="24"/>
        </w:rPr>
        <w:t>Gastroenterology</w:t>
      </w:r>
      <w:r w:rsidRPr="00B20780">
        <w:rPr>
          <w:rFonts w:ascii="Book Antiqua" w:hAnsi="Book Antiqua"/>
          <w:sz w:val="24"/>
          <w:szCs w:val="24"/>
        </w:rPr>
        <w:t xml:space="preserve"> 2013; </w:t>
      </w:r>
      <w:r w:rsidRPr="00B20780">
        <w:rPr>
          <w:rFonts w:ascii="Book Antiqua" w:hAnsi="Book Antiqua"/>
          <w:b/>
          <w:sz w:val="24"/>
          <w:szCs w:val="24"/>
        </w:rPr>
        <w:t>144</w:t>
      </w:r>
      <w:r w:rsidRPr="00B20780">
        <w:rPr>
          <w:rFonts w:ascii="Book Antiqua" w:hAnsi="Book Antiqua"/>
          <w:sz w:val="24"/>
          <w:szCs w:val="24"/>
        </w:rPr>
        <w:t>: 1384-1393, 1393.e1-2; quiz e18-9 [PMID: 23470619 DOI: 10.1053/j.gastro.2013.02.040]</w:t>
      </w:r>
    </w:p>
    <w:p w:rsidR="00187450" w:rsidRPr="00B20780" w:rsidRDefault="00187450" w:rsidP="004F4FAE">
      <w:pPr>
        <w:spacing w:after="0" w:line="360" w:lineRule="auto"/>
        <w:jc w:val="both"/>
        <w:rPr>
          <w:rFonts w:ascii="Book Antiqua" w:hAnsi="Book Antiqua"/>
          <w:sz w:val="24"/>
          <w:szCs w:val="24"/>
        </w:rPr>
      </w:pPr>
      <w:r w:rsidRPr="00B20780">
        <w:rPr>
          <w:rFonts w:ascii="Book Antiqua" w:hAnsi="Book Antiqua"/>
          <w:sz w:val="24"/>
          <w:szCs w:val="24"/>
        </w:rPr>
        <w:t xml:space="preserve">40 </w:t>
      </w:r>
      <w:r w:rsidRPr="00B20780">
        <w:rPr>
          <w:rFonts w:ascii="Book Antiqua" w:hAnsi="Book Antiqua"/>
          <w:b/>
          <w:sz w:val="24"/>
          <w:szCs w:val="24"/>
        </w:rPr>
        <w:t>Crooks CJ</w:t>
      </w:r>
      <w:r w:rsidRPr="00B20780">
        <w:rPr>
          <w:rFonts w:ascii="Book Antiqua" w:hAnsi="Book Antiqua"/>
          <w:sz w:val="24"/>
          <w:szCs w:val="24"/>
        </w:rPr>
        <w:t xml:space="preserve">, Card TR, West J. Excess long-term mortality following non-variceal upper gastrointestinal bleeding: a population-based cohort study. </w:t>
      </w:r>
      <w:proofErr w:type="spellStart"/>
      <w:r w:rsidRPr="00B20780">
        <w:rPr>
          <w:rFonts w:ascii="Book Antiqua" w:hAnsi="Book Antiqua"/>
          <w:i/>
          <w:sz w:val="24"/>
          <w:szCs w:val="24"/>
        </w:rPr>
        <w:t>PLoS</w:t>
      </w:r>
      <w:proofErr w:type="spellEnd"/>
      <w:r w:rsidRPr="00B20780">
        <w:rPr>
          <w:rFonts w:ascii="Book Antiqua" w:hAnsi="Book Antiqua"/>
          <w:i/>
          <w:sz w:val="24"/>
          <w:szCs w:val="24"/>
        </w:rPr>
        <w:t xml:space="preserve"> Med</w:t>
      </w:r>
      <w:r w:rsidRPr="00B20780">
        <w:rPr>
          <w:rFonts w:ascii="Book Antiqua" w:hAnsi="Book Antiqua"/>
          <w:sz w:val="24"/>
          <w:szCs w:val="24"/>
        </w:rPr>
        <w:t xml:space="preserve"> 2013; </w:t>
      </w:r>
      <w:r w:rsidRPr="00B20780">
        <w:rPr>
          <w:rFonts w:ascii="Book Antiqua" w:hAnsi="Book Antiqua"/>
          <w:b/>
          <w:sz w:val="24"/>
          <w:szCs w:val="24"/>
        </w:rPr>
        <w:t>10</w:t>
      </w:r>
      <w:r w:rsidRPr="00B20780">
        <w:rPr>
          <w:rFonts w:ascii="Book Antiqua" w:hAnsi="Book Antiqua"/>
          <w:sz w:val="24"/>
          <w:szCs w:val="24"/>
        </w:rPr>
        <w:t>: e1001437 [PMID: 23637580 DOI: 10.1371/journal.pmed.1001437]</w:t>
      </w:r>
    </w:p>
    <w:bookmarkEnd w:id="23"/>
    <w:p w:rsidR="00900032" w:rsidRPr="00B20780" w:rsidRDefault="00900032" w:rsidP="004F4FAE">
      <w:pPr>
        <w:spacing w:after="0" w:line="360" w:lineRule="auto"/>
        <w:jc w:val="both"/>
        <w:rPr>
          <w:rFonts w:ascii="Book Antiqua" w:eastAsia="Times New Roman" w:hAnsi="Book Antiqua" w:cs="Arial"/>
          <w:sz w:val="24"/>
          <w:szCs w:val="24"/>
        </w:rPr>
      </w:pPr>
    </w:p>
    <w:p w:rsidR="002E268A" w:rsidRPr="00B20780" w:rsidRDefault="002E268A" w:rsidP="004F4FAE">
      <w:pPr>
        <w:snapToGrid w:val="0"/>
        <w:spacing w:after="0" w:line="360" w:lineRule="auto"/>
        <w:ind w:left="360" w:hangingChars="150" w:hanging="360"/>
        <w:jc w:val="both"/>
        <w:rPr>
          <w:rFonts w:ascii="Book Antiqua" w:hAnsi="Book Antiqua" w:cs="Helvetica"/>
          <w:b/>
          <w:sz w:val="24"/>
          <w:szCs w:val="24"/>
        </w:rPr>
      </w:pPr>
      <w:r w:rsidRPr="00B20780">
        <w:rPr>
          <w:rFonts w:ascii="Book Antiqua" w:hAnsi="Book Antiqua"/>
          <w:b/>
          <w:bCs/>
          <w:color w:val="000000"/>
          <w:sz w:val="24"/>
          <w:szCs w:val="24"/>
        </w:rPr>
        <w:t xml:space="preserve">P-Reviewer: </w:t>
      </w:r>
      <w:proofErr w:type="spellStart"/>
      <w:r w:rsidRPr="00B20780">
        <w:rPr>
          <w:rFonts w:ascii="Book Antiqua" w:hAnsi="Book Antiqua"/>
          <w:sz w:val="24"/>
          <w:szCs w:val="24"/>
        </w:rPr>
        <w:t>Karatapanis</w:t>
      </w:r>
      <w:proofErr w:type="spellEnd"/>
      <w:r w:rsidRPr="00B20780">
        <w:rPr>
          <w:rFonts w:ascii="Book Antiqua" w:hAnsi="Book Antiqua"/>
          <w:sz w:val="24"/>
          <w:szCs w:val="24"/>
        </w:rPr>
        <w:t xml:space="preserve"> S, Guerra I, </w:t>
      </w:r>
      <w:proofErr w:type="spellStart"/>
      <w:r w:rsidRPr="00B20780">
        <w:rPr>
          <w:rFonts w:ascii="Book Antiqua" w:hAnsi="Book Antiqua"/>
          <w:sz w:val="24"/>
          <w:szCs w:val="24"/>
        </w:rPr>
        <w:t>Thomopoulos</w:t>
      </w:r>
      <w:proofErr w:type="spellEnd"/>
      <w:r w:rsidRPr="00B20780">
        <w:rPr>
          <w:rFonts w:ascii="Book Antiqua" w:hAnsi="Book Antiqua"/>
          <w:sz w:val="24"/>
          <w:szCs w:val="24"/>
        </w:rPr>
        <w:t xml:space="preserve"> K </w:t>
      </w:r>
      <w:r w:rsidRPr="00B20780">
        <w:rPr>
          <w:rFonts w:ascii="Book Antiqua" w:hAnsi="Book Antiqua"/>
          <w:b/>
          <w:bCs/>
          <w:color w:val="000000"/>
          <w:sz w:val="24"/>
          <w:szCs w:val="24"/>
        </w:rPr>
        <w:t>S-Editor:</w:t>
      </w:r>
      <w:r w:rsidRPr="00B20780">
        <w:rPr>
          <w:rFonts w:ascii="Book Antiqua" w:hAnsi="Book Antiqua"/>
          <w:color w:val="000000"/>
          <w:sz w:val="24"/>
          <w:szCs w:val="24"/>
        </w:rPr>
        <w:t xml:space="preserve"> Dou Y</w:t>
      </w:r>
      <w:r w:rsidRPr="00B20780">
        <w:rPr>
          <w:rFonts w:ascii="Book Antiqua" w:hAnsi="Book Antiqua"/>
          <w:color w:val="000000"/>
          <w:sz w:val="24"/>
          <w:szCs w:val="24"/>
          <w:lang w:eastAsia="zh-CN"/>
        </w:rPr>
        <w:t xml:space="preserve"> </w:t>
      </w:r>
      <w:r w:rsidRPr="00B20780">
        <w:rPr>
          <w:rFonts w:ascii="Book Antiqua" w:hAnsi="Book Antiqua"/>
          <w:b/>
          <w:bCs/>
          <w:color w:val="000000"/>
          <w:sz w:val="24"/>
          <w:szCs w:val="24"/>
        </w:rPr>
        <w:t>L-Editor:</w:t>
      </w:r>
      <w:r w:rsidR="001B2062" w:rsidRPr="00B20780">
        <w:rPr>
          <w:rFonts w:ascii="Book Antiqua" w:hAnsi="Book Antiqua" w:hint="eastAsia"/>
          <w:color w:val="000000"/>
          <w:sz w:val="24"/>
          <w:szCs w:val="24"/>
          <w:lang w:eastAsia="zh-CN"/>
        </w:rPr>
        <w:t xml:space="preserve"> A</w:t>
      </w:r>
      <w:r w:rsidR="001B2062" w:rsidRPr="00B20780">
        <w:rPr>
          <w:rFonts w:ascii="Book Antiqua" w:hAnsi="Book Antiqua" w:hint="eastAsia"/>
          <w:color w:val="000000"/>
          <w:sz w:val="24"/>
          <w:szCs w:val="24"/>
        </w:rPr>
        <w:t xml:space="preserve"> </w:t>
      </w:r>
      <w:r w:rsidR="001B2062" w:rsidRPr="00B20780">
        <w:rPr>
          <w:rFonts w:ascii="Book Antiqua" w:hAnsi="Book Antiqua"/>
          <w:b/>
          <w:bCs/>
          <w:color w:val="000000"/>
          <w:sz w:val="24"/>
          <w:szCs w:val="24"/>
        </w:rPr>
        <w:t>E-Editor:</w:t>
      </w:r>
      <w:r w:rsidR="001B2062" w:rsidRPr="00B20780">
        <w:rPr>
          <w:rFonts w:ascii="Book Antiqua" w:hAnsi="Book Antiqua" w:hint="eastAsia"/>
          <w:bCs/>
          <w:color w:val="000000"/>
          <w:sz w:val="24"/>
          <w:szCs w:val="24"/>
        </w:rPr>
        <w:t xml:space="preserve"> </w:t>
      </w:r>
      <w:r w:rsidR="001B2062" w:rsidRPr="00B20780">
        <w:rPr>
          <w:rFonts w:ascii="Book Antiqua" w:hAnsi="Book Antiqua" w:hint="eastAsia"/>
          <w:bCs/>
          <w:color w:val="000000"/>
          <w:sz w:val="24"/>
          <w:szCs w:val="24"/>
          <w:lang w:eastAsia="zh-CN"/>
        </w:rPr>
        <w:t>Liu</w:t>
      </w:r>
      <w:r w:rsidR="001B2062" w:rsidRPr="00B20780">
        <w:rPr>
          <w:rFonts w:ascii="Book Antiqua" w:hAnsi="Book Antiqua" w:hint="eastAsia"/>
          <w:bCs/>
          <w:color w:val="000000"/>
          <w:sz w:val="24"/>
          <w:szCs w:val="24"/>
        </w:rPr>
        <w:t xml:space="preserve"> </w:t>
      </w:r>
      <w:r w:rsidR="001B2062" w:rsidRPr="00B20780">
        <w:rPr>
          <w:rFonts w:ascii="Book Antiqua" w:hAnsi="Book Antiqua" w:hint="eastAsia"/>
          <w:bCs/>
          <w:color w:val="000000"/>
          <w:sz w:val="24"/>
          <w:szCs w:val="24"/>
          <w:lang w:eastAsia="zh-CN"/>
        </w:rPr>
        <w:t>JH</w:t>
      </w:r>
    </w:p>
    <w:p w:rsidR="002E268A" w:rsidRPr="00B20780" w:rsidRDefault="002E268A" w:rsidP="004F4FAE">
      <w:pPr>
        <w:snapToGrid w:val="0"/>
        <w:spacing w:after="0" w:line="360" w:lineRule="auto"/>
        <w:jc w:val="both"/>
        <w:rPr>
          <w:rFonts w:ascii="Book Antiqua" w:hAnsi="Book Antiqua" w:cs="Helvetica"/>
          <w:b/>
          <w:sz w:val="24"/>
          <w:szCs w:val="24"/>
        </w:rPr>
      </w:pPr>
      <w:r w:rsidRPr="00B20780">
        <w:rPr>
          <w:rFonts w:ascii="Book Antiqua" w:hAnsi="Book Antiqua" w:cs="Helvetica"/>
          <w:b/>
          <w:sz w:val="24"/>
          <w:szCs w:val="24"/>
        </w:rPr>
        <w:t xml:space="preserve">Specialty type: </w:t>
      </w:r>
      <w:r w:rsidRPr="00B20780">
        <w:rPr>
          <w:rFonts w:ascii="Book Antiqua" w:eastAsia="微软雅黑" w:hAnsi="Book Antiqua" w:cs="宋体"/>
          <w:sz w:val="24"/>
          <w:szCs w:val="24"/>
        </w:rPr>
        <w:t>Medicine, Research and Experimental</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b/>
          <w:sz w:val="24"/>
          <w:szCs w:val="24"/>
        </w:rPr>
        <w:lastRenderedPageBreak/>
        <w:t xml:space="preserve">Country of origin: </w:t>
      </w:r>
      <w:r w:rsidRPr="00FC25F6">
        <w:rPr>
          <w:rFonts w:ascii="Book Antiqua" w:hAnsi="Book Antiqua" w:cs="Helvetica"/>
          <w:sz w:val="24"/>
          <w:szCs w:val="24"/>
        </w:rPr>
        <w:t>Romania</w:t>
      </w:r>
    </w:p>
    <w:p w:rsidR="002E268A" w:rsidRPr="00FC25F6" w:rsidRDefault="002E268A" w:rsidP="004F4FAE">
      <w:pPr>
        <w:snapToGrid w:val="0"/>
        <w:spacing w:after="0" w:line="360" w:lineRule="auto"/>
        <w:jc w:val="both"/>
        <w:rPr>
          <w:rFonts w:ascii="Book Antiqua" w:hAnsi="Book Antiqua" w:cs="Helvetica"/>
          <w:b/>
          <w:sz w:val="24"/>
          <w:szCs w:val="24"/>
        </w:rPr>
      </w:pPr>
      <w:r w:rsidRPr="00FC25F6">
        <w:rPr>
          <w:rFonts w:ascii="Book Antiqua" w:hAnsi="Book Antiqua" w:cs="Helvetica"/>
          <w:b/>
          <w:sz w:val="24"/>
          <w:szCs w:val="24"/>
        </w:rPr>
        <w:t>Peer-review report classification</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sz w:val="24"/>
          <w:szCs w:val="24"/>
        </w:rPr>
        <w:t xml:space="preserve">Grade </w:t>
      </w:r>
      <w:proofErr w:type="gramStart"/>
      <w:r w:rsidRPr="00FC25F6">
        <w:rPr>
          <w:rFonts w:ascii="Book Antiqua" w:hAnsi="Book Antiqua" w:cs="Helvetica"/>
          <w:sz w:val="24"/>
          <w:szCs w:val="24"/>
        </w:rPr>
        <w:t>A</w:t>
      </w:r>
      <w:proofErr w:type="gramEnd"/>
      <w:r w:rsidRPr="00FC25F6">
        <w:rPr>
          <w:rFonts w:ascii="Book Antiqua" w:hAnsi="Book Antiqua" w:cs="Helvetica"/>
          <w:sz w:val="24"/>
          <w:szCs w:val="24"/>
        </w:rPr>
        <w:t xml:space="preserve"> (Excellent): 0</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sz w:val="24"/>
          <w:szCs w:val="24"/>
        </w:rPr>
        <w:t>Grade B (Very good): B</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sz w:val="24"/>
          <w:szCs w:val="24"/>
        </w:rPr>
        <w:t>Grade C (Good): C</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sz w:val="24"/>
          <w:szCs w:val="24"/>
        </w:rPr>
        <w:t>Grade D (Fair): D</w:t>
      </w:r>
    </w:p>
    <w:p w:rsidR="002E268A" w:rsidRPr="00FC25F6" w:rsidRDefault="002E268A" w:rsidP="004F4FAE">
      <w:pPr>
        <w:snapToGrid w:val="0"/>
        <w:spacing w:after="0" w:line="360" w:lineRule="auto"/>
        <w:jc w:val="both"/>
        <w:rPr>
          <w:rFonts w:ascii="Book Antiqua" w:hAnsi="Book Antiqua" w:cs="Helvetica"/>
          <w:sz w:val="24"/>
          <w:szCs w:val="24"/>
        </w:rPr>
      </w:pPr>
      <w:r w:rsidRPr="00FC25F6">
        <w:rPr>
          <w:rFonts w:ascii="Book Antiqua" w:hAnsi="Book Antiqua" w:cs="Helvetica"/>
          <w:sz w:val="24"/>
          <w:szCs w:val="24"/>
        </w:rPr>
        <w:t>Grade E (Poor): 0</w:t>
      </w:r>
    </w:p>
    <w:p w:rsidR="000215C6" w:rsidRPr="00FC25F6" w:rsidRDefault="000215C6" w:rsidP="004F4FAE">
      <w:pPr>
        <w:tabs>
          <w:tab w:val="left" w:pos="1039"/>
        </w:tabs>
        <w:spacing w:after="0" w:line="360" w:lineRule="auto"/>
        <w:jc w:val="both"/>
        <w:rPr>
          <w:rFonts w:ascii="Book Antiqua" w:hAnsi="Book Antiqua"/>
          <w:sz w:val="24"/>
          <w:szCs w:val="24"/>
        </w:rPr>
      </w:pPr>
    </w:p>
    <w:p w:rsidR="008727DC" w:rsidRPr="00FC25F6" w:rsidRDefault="00187450" w:rsidP="00DE7591">
      <w:pPr>
        <w:pStyle w:val="a3"/>
        <w:spacing w:before="0" w:beforeAutospacing="0" w:after="0" w:afterAutospacing="0" w:line="360" w:lineRule="auto"/>
        <w:jc w:val="both"/>
        <w:rPr>
          <w:rFonts w:ascii="Book Antiqua" w:hAnsi="Book Antiqua"/>
          <w:b/>
        </w:rPr>
      </w:pPr>
      <w:r w:rsidRPr="00FC25F6">
        <w:rPr>
          <w:rFonts w:ascii="Book Antiqua" w:hAnsi="Book Antiqua"/>
          <w:b/>
        </w:rPr>
        <w:br w:type="page"/>
      </w:r>
      <w:r w:rsidR="002F52E2">
        <w:rPr>
          <w:rFonts w:ascii="Book Antiqua" w:hAnsi="Book Antiqua"/>
          <w:noProof/>
          <w:lang w:eastAsia="zh-CN"/>
        </w:rPr>
        <w:lastRenderedPageBreak/>
        <w:drawing>
          <wp:inline distT="0" distB="0" distL="0" distR="0">
            <wp:extent cx="5735320" cy="3884295"/>
            <wp:effectExtent l="0" t="0" r="0" b="190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3884295"/>
                    </a:xfrm>
                    <a:prstGeom prst="rect">
                      <a:avLst/>
                    </a:prstGeom>
                    <a:noFill/>
                    <a:ln>
                      <a:noFill/>
                    </a:ln>
                  </pic:spPr>
                </pic:pic>
              </a:graphicData>
            </a:graphic>
          </wp:inline>
        </w:drawing>
      </w:r>
    </w:p>
    <w:p w:rsidR="008727DC" w:rsidRPr="00FC25F6" w:rsidRDefault="008727DC" w:rsidP="00DE7591">
      <w:pPr>
        <w:pStyle w:val="a3"/>
        <w:spacing w:before="0" w:beforeAutospacing="0" w:after="0" w:afterAutospacing="0" w:line="360" w:lineRule="auto"/>
        <w:jc w:val="both"/>
        <w:rPr>
          <w:rFonts w:ascii="Book Antiqua" w:hAnsi="Book Antiqua"/>
          <w:b/>
        </w:rPr>
      </w:pPr>
      <w:r w:rsidRPr="00FC25F6">
        <w:rPr>
          <w:rFonts w:ascii="Book Antiqua" w:hAnsi="Book Antiqua"/>
          <w:b/>
        </w:rPr>
        <w:t xml:space="preserve">Figure 1 Etiology of non-variceal upper digestive bleeding. </w:t>
      </w:r>
      <w:r w:rsidRPr="00FC25F6">
        <w:rPr>
          <w:rFonts w:ascii="Book Antiqua" w:hAnsi="Book Antiqua"/>
        </w:rPr>
        <w:t xml:space="preserve">Others include the following lesions: </w:t>
      </w:r>
      <w:proofErr w:type="spellStart"/>
      <w:r w:rsidRPr="00FC25F6">
        <w:rPr>
          <w:rFonts w:ascii="Book Antiqua" w:hAnsi="Book Antiqua"/>
        </w:rPr>
        <w:t>Dieulafoy</w:t>
      </w:r>
      <w:proofErr w:type="spellEnd"/>
      <w:r w:rsidRPr="00FC25F6">
        <w:rPr>
          <w:rFonts w:ascii="Book Antiqua" w:hAnsi="Book Antiqua"/>
        </w:rPr>
        <w:t xml:space="preserve"> lesions, </w:t>
      </w:r>
      <w:proofErr w:type="spellStart"/>
      <w:r w:rsidRPr="00FC25F6">
        <w:rPr>
          <w:rFonts w:ascii="Book Antiqua" w:hAnsi="Book Antiqua"/>
        </w:rPr>
        <w:t>duodenitis</w:t>
      </w:r>
      <w:proofErr w:type="spellEnd"/>
      <w:r w:rsidRPr="00FC25F6">
        <w:rPr>
          <w:rFonts w:ascii="Book Antiqua" w:hAnsi="Book Antiqua"/>
        </w:rPr>
        <w:t xml:space="preserve">, </w:t>
      </w:r>
      <w:proofErr w:type="spellStart"/>
      <w:r w:rsidRPr="00FC25F6">
        <w:rPr>
          <w:rFonts w:ascii="Book Antiqua" w:hAnsi="Book Antiqua"/>
        </w:rPr>
        <w:t>dicumarinic</w:t>
      </w:r>
      <w:proofErr w:type="spellEnd"/>
      <w:r w:rsidRPr="00FC25F6">
        <w:rPr>
          <w:rFonts w:ascii="Book Antiqua" w:hAnsi="Book Antiqua"/>
        </w:rPr>
        <w:t xml:space="preserve"> overdose, pancreatic tumor invasions, telangiectasia, reflux and post-caustic </w:t>
      </w:r>
      <w:proofErr w:type="spellStart"/>
      <w:r w:rsidRPr="00FC25F6">
        <w:rPr>
          <w:rFonts w:ascii="Book Antiqua" w:hAnsi="Book Antiqua"/>
        </w:rPr>
        <w:t>esofagitis</w:t>
      </w:r>
      <w:proofErr w:type="spellEnd"/>
      <w:r w:rsidRPr="00FC25F6">
        <w:rPr>
          <w:rFonts w:ascii="Book Antiqua" w:hAnsi="Book Antiqua"/>
        </w:rPr>
        <w:t xml:space="preserve">, esophageal ulcers, esophageal neoplasm, hiatal hernia, portal </w:t>
      </w:r>
      <w:proofErr w:type="spellStart"/>
      <w:r w:rsidRPr="00FC25F6">
        <w:rPr>
          <w:rFonts w:ascii="Book Antiqua" w:hAnsi="Book Antiqua"/>
        </w:rPr>
        <w:t>gastropathy</w:t>
      </w:r>
      <w:proofErr w:type="spellEnd"/>
      <w:r w:rsidRPr="00FC25F6">
        <w:rPr>
          <w:rFonts w:ascii="Book Antiqua" w:hAnsi="Book Antiqua"/>
        </w:rPr>
        <w:t xml:space="preserve">, malignant </w:t>
      </w:r>
      <w:proofErr w:type="spellStart"/>
      <w:r w:rsidRPr="00FC25F6">
        <w:rPr>
          <w:rFonts w:ascii="Book Antiqua" w:hAnsi="Book Antiqua"/>
        </w:rPr>
        <w:t>ampuloma</w:t>
      </w:r>
      <w:proofErr w:type="spellEnd"/>
      <w:r w:rsidRPr="00FC25F6">
        <w:rPr>
          <w:rFonts w:ascii="Book Antiqua" w:hAnsi="Book Antiqua"/>
        </w:rPr>
        <w:t xml:space="preserve"> and unknown causes of bleeding.</w:t>
      </w:r>
    </w:p>
    <w:p w:rsidR="008727DC" w:rsidRPr="00FC25F6" w:rsidRDefault="008727DC" w:rsidP="00DE7591">
      <w:pPr>
        <w:pStyle w:val="a3"/>
        <w:spacing w:before="0" w:beforeAutospacing="0" w:after="0" w:afterAutospacing="0" w:line="360" w:lineRule="auto"/>
        <w:jc w:val="both"/>
        <w:rPr>
          <w:rFonts w:ascii="Book Antiqua" w:hAnsi="Book Antiqua"/>
        </w:rPr>
      </w:pPr>
      <w:r w:rsidRPr="00FC25F6">
        <w:rPr>
          <w:rFonts w:ascii="Book Antiqua" w:hAnsi="Book Antiqua"/>
        </w:rPr>
        <w:br w:type="page"/>
      </w:r>
      <w:r w:rsidR="002F52E2">
        <w:rPr>
          <w:rFonts w:ascii="Book Antiqua" w:hAnsi="Book Antiqua"/>
          <w:noProof/>
          <w:lang w:eastAsia="zh-CN"/>
        </w:rPr>
        <w:lastRenderedPageBreak/>
        <w:drawing>
          <wp:inline distT="0" distB="0" distL="0" distR="0">
            <wp:extent cx="5494020" cy="3935730"/>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27DC" w:rsidRPr="00FC25F6" w:rsidRDefault="008727DC" w:rsidP="00DE7591">
      <w:pPr>
        <w:pStyle w:val="a3"/>
        <w:spacing w:before="0" w:beforeAutospacing="0" w:after="0" w:afterAutospacing="0" w:line="360" w:lineRule="auto"/>
        <w:jc w:val="both"/>
        <w:rPr>
          <w:rFonts w:ascii="Book Antiqua" w:hAnsi="Book Antiqua"/>
        </w:rPr>
      </w:pPr>
      <w:r w:rsidRPr="00FC25F6">
        <w:rPr>
          <w:rFonts w:ascii="Book Antiqua" w:hAnsi="Book Antiqua"/>
          <w:b/>
        </w:rPr>
        <w:t>Figure 2 Endoscopic Forrest classification of upper digestive bleeding from peptic ulcers</w:t>
      </w:r>
      <w:r w:rsidRPr="00FC25F6">
        <w:rPr>
          <w:rFonts w:ascii="Book Antiqua" w:hAnsi="Book Antiqua"/>
          <w:b/>
          <w:lang w:eastAsia="zh-CN"/>
        </w:rPr>
        <w:t xml:space="preserve">. </w:t>
      </w:r>
      <w:proofErr w:type="spellStart"/>
      <w:proofErr w:type="gramStart"/>
      <w:r w:rsidRPr="00FC25F6">
        <w:rPr>
          <w:rFonts w:ascii="Book Antiqua" w:hAnsi="Book Antiqua"/>
        </w:rPr>
        <w:t>Ia</w:t>
      </w:r>
      <w:proofErr w:type="spellEnd"/>
      <w:proofErr w:type="gramEnd"/>
      <w:r w:rsidRPr="00FC25F6">
        <w:rPr>
          <w:rFonts w:ascii="Book Antiqua" w:hAnsi="Book Antiqua"/>
        </w:rPr>
        <w:t xml:space="preserve">: Active spurting; </w:t>
      </w:r>
      <w:proofErr w:type="spellStart"/>
      <w:r w:rsidRPr="00FC25F6">
        <w:rPr>
          <w:rFonts w:ascii="Book Antiqua" w:hAnsi="Book Antiqua"/>
        </w:rPr>
        <w:t>Ib</w:t>
      </w:r>
      <w:proofErr w:type="spellEnd"/>
      <w:r w:rsidRPr="00FC25F6">
        <w:rPr>
          <w:rFonts w:ascii="Book Antiqua" w:hAnsi="Book Antiqua"/>
        </w:rPr>
        <w:t xml:space="preserve">: Active oozing: </w:t>
      </w:r>
      <w:proofErr w:type="spellStart"/>
      <w:r w:rsidRPr="00FC25F6">
        <w:rPr>
          <w:rFonts w:ascii="Book Antiqua" w:hAnsi="Book Antiqua"/>
        </w:rPr>
        <w:t>IIa</w:t>
      </w:r>
      <w:proofErr w:type="spellEnd"/>
      <w:r w:rsidRPr="00FC25F6">
        <w:rPr>
          <w:rFonts w:ascii="Book Antiqua" w:hAnsi="Book Antiqua"/>
        </w:rPr>
        <w:t xml:space="preserve">: Non-bleeding visible vessel; </w:t>
      </w:r>
      <w:proofErr w:type="spellStart"/>
      <w:r w:rsidRPr="00FC25F6">
        <w:rPr>
          <w:rFonts w:ascii="Book Antiqua" w:hAnsi="Book Antiqua"/>
        </w:rPr>
        <w:t>IIb</w:t>
      </w:r>
      <w:proofErr w:type="spellEnd"/>
      <w:r w:rsidRPr="00FC25F6">
        <w:rPr>
          <w:rFonts w:ascii="Book Antiqua" w:hAnsi="Book Antiqua"/>
        </w:rPr>
        <w:t xml:space="preserve">: Adherent clot; </w:t>
      </w:r>
      <w:proofErr w:type="spellStart"/>
      <w:r w:rsidRPr="00FC25F6">
        <w:rPr>
          <w:rFonts w:ascii="Book Antiqua" w:hAnsi="Book Antiqua"/>
        </w:rPr>
        <w:t>IIc</w:t>
      </w:r>
      <w:proofErr w:type="spellEnd"/>
      <w:r w:rsidRPr="00FC25F6">
        <w:rPr>
          <w:rFonts w:ascii="Book Antiqua" w:hAnsi="Book Antiqua"/>
        </w:rPr>
        <w:t>: Flat pigmented spot; III: Clean ulcer base.</w:t>
      </w:r>
    </w:p>
    <w:p w:rsidR="008727DC" w:rsidRPr="00FC25F6" w:rsidRDefault="008727DC" w:rsidP="00DE7591">
      <w:pPr>
        <w:spacing w:after="0" w:line="360" w:lineRule="auto"/>
        <w:jc w:val="both"/>
        <w:rPr>
          <w:rFonts w:ascii="Book Antiqua" w:hAnsi="Book Antiqua"/>
          <w:b/>
          <w:sz w:val="24"/>
          <w:szCs w:val="24"/>
        </w:rPr>
      </w:pPr>
      <w:r w:rsidRPr="00FC25F6">
        <w:rPr>
          <w:rFonts w:ascii="Book Antiqua" w:hAnsi="Book Antiqua" w:cs="Courier New"/>
          <w:noProof/>
          <w:sz w:val="24"/>
          <w:szCs w:val="24"/>
        </w:rPr>
        <w:br w:type="page"/>
      </w:r>
      <w:r w:rsidR="002F52E2">
        <w:rPr>
          <w:rFonts w:ascii="Book Antiqua" w:hAnsi="Book Antiqua" w:cs="Courier New"/>
          <w:noProof/>
          <w:sz w:val="24"/>
          <w:szCs w:val="24"/>
          <w:lang w:eastAsia="zh-CN"/>
        </w:rPr>
        <w:lastRenderedPageBreak/>
        <w:drawing>
          <wp:inline distT="0" distB="0" distL="0" distR="0">
            <wp:extent cx="5025390" cy="3657600"/>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8727DC" w:rsidRPr="00FC25F6" w:rsidRDefault="008727DC" w:rsidP="00DE7591">
      <w:pPr>
        <w:spacing w:after="0" w:line="360" w:lineRule="auto"/>
        <w:jc w:val="both"/>
        <w:rPr>
          <w:rFonts w:ascii="Book Antiqua" w:hAnsi="Book Antiqua"/>
          <w:b/>
          <w:sz w:val="24"/>
          <w:szCs w:val="24"/>
        </w:rPr>
      </w:pPr>
      <w:r w:rsidRPr="00FC25F6">
        <w:rPr>
          <w:rFonts w:ascii="Book Antiqua" w:hAnsi="Book Antiqua"/>
          <w:b/>
          <w:sz w:val="24"/>
          <w:szCs w:val="24"/>
        </w:rPr>
        <w:t xml:space="preserve">Figure 3 Logistic model for </w:t>
      </w:r>
      <w:proofErr w:type="spellStart"/>
      <w:r w:rsidRPr="00FC25F6">
        <w:rPr>
          <w:rFonts w:ascii="Book Antiqua" w:hAnsi="Book Antiqua"/>
          <w:b/>
          <w:sz w:val="24"/>
          <w:szCs w:val="24"/>
        </w:rPr>
        <w:t>rebleeding</w:t>
      </w:r>
      <w:proofErr w:type="spellEnd"/>
      <w:r w:rsidRPr="00FC25F6">
        <w:rPr>
          <w:rFonts w:ascii="Book Antiqua" w:hAnsi="Book Antiqua"/>
          <w:b/>
          <w:sz w:val="24"/>
          <w:szCs w:val="24"/>
        </w:rPr>
        <w:t xml:space="preserve">: accuracy of the predictive model for </w:t>
      </w:r>
      <w:proofErr w:type="spellStart"/>
      <w:r w:rsidRPr="00FC25F6">
        <w:rPr>
          <w:rFonts w:ascii="Book Antiqua" w:hAnsi="Book Antiqua"/>
          <w:b/>
          <w:sz w:val="24"/>
          <w:szCs w:val="24"/>
        </w:rPr>
        <w:t>rebleeding</w:t>
      </w:r>
      <w:proofErr w:type="spellEnd"/>
      <w:r w:rsidRPr="00FC25F6">
        <w:rPr>
          <w:rFonts w:ascii="Book Antiqua" w:hAnsi="Book Antiqua"/>
          <w:b/>
          <w:sz w:val="24"/>
          <w:szCs w:val="24"/>
        </w:rPr>
        <w:t xml:space="preserve"> using area under ROC </w:t>
      </w:r>
      <w:proofErr w:type="gramStart"/>
      <w:r w:rsidRPr="00FC25F6">
        <w:rPr>
          <w:rFonts w:ascii="Book Antiqua" w:hAnsi="Book Antiqua"/>
          <w:b/>
          <w:sz w:val="24"/>
          <w:szCs w:val="24"/>
        </w:rPr>
        <w:t>curve</w:t>
      </w:r>
      <w:proofErr w:type="gramEnd"/>
      <w:r w:rsidRPr="00FC25F6">
        <w:rPr>
          <w:rFonts w:ascii="Book Antiqua" w:hAnsi="Book Antiqua"/>
          <w:b/>
          <w:sz w:val="24"/>
          <w:szCs w:val="24"/>
        </w:rPr>
        <w:t xml:space="preserve"> (AUROC).</w:t>
      </w:r>
    </w:p>
    <w:p w:rsidR="008727DC" w:rsidRPr="00FC25F6" w:rsidRDefault="008727DC" w:rsidP="00DE7591">
      <w:pPr>
        <w:spacing w:after="0" w:line="360" w:lineRule="auto"/>
        <w:jc w:val="both"/>
        <w:rPr>
          <w:rFonts w:ascii="Book Antiqua" w:hAnsi="Book Antiqua"/>
          <w:b/>
          <w:sz w:val="24"/>
          <w:szCs w:val="24"/>
        </w:rPr>
      </w:pPr>
      <w:r w:rsidRPr="00FC25F6">
        <w:rPr>
          <w:rFonts w:ascii="Book Antiqua" w:hAnsi="Book Antiqua"/>
          <w:b/>
          <w:noProof/>
          <w:sz w:val="24"/>
          <w:szCs w:val="24"/>
        </w:rPr>
        <w:br w:type="page"/>
      </w:r>
      <w:r w:rsidR="002F52E2">
        <w:rPr>
          <w:rFonts w:ascii="Book Antiqua" w:hAnsi="Book Antiqua"/>
          <w:b/>
          <w:noProof/>
          <w:sz w:val="24"/>
          <w:szCs w:val="24"/>
          <w:lang w:eastAsia="zh-CN"/>
        </w:rPr>
        <w:lastRenderedPageBreak/>
        <w:drawing>
          <wp:inline distT="0" distB="0" distL="0" distR="0">
            <wp:extent cx="5025390" cy="3657600"/>
            <wp:effectExtent l="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8727DC" w:rsidRPr="00FC25F6" w:rsidRDefault="008727DC" w:rsidP="00DE7591">
      <w:pPr>
        <w:spacing w:after="0" w:line="360" w:lineRule="auto"/>
        <w:jc w:val="both"/>
        <w:rPr>
          <w:rFonts w:ascii="Book Antiqua" w:hAnsi="Book Antiqua"/>
          <w:b/>
          <w:sz w:val="24"/>
          <w:szCs w:val="24"/>
        </w:rPr>
      </w:pPr>
      <w:r w:rsidRPr="00FC25F6">
        <w:rPr>
          <w:rFonts w:ascii="Book Antiqua" w:hAnsi="Book Antiqua" w:cs="Courier New"/>
          <w:b/>
          <w:sz w:val="24"/>
          <w:szCs w:val="24"/>
        </w:rPr>
        <w:t>Figure 4 Logistic model for death</w:t>
      </w:r>
      <w:r w:rsidRPr="00FC25F6">
        <w:rPr>
          <w:rFonts w:ascii="Book Antiqua" w:hAnsi="Book Antiqua"/>
          <w:b/>
          <w:sz w:val="24"/>
          <w:szCs w:val="24"/>
        </w:rPr>
        <w:t xml:space="preserve">: accuracy of the predictive model for death using area under ROC </w:t>
      </w:r>
      <w:proofErr w:type="gramStart"/>
      <w:r w:rsidRPr="00FC25F6">
        <w:rPr>
          <w:rFonts w:ascii="Book Antiqua" w:hAnsi="Book Antiqua"/>
          <w:b/>
          <w:sz w:val="24"/>
          <w:szCs w:val="24"/>
        </w:rPr>
        <w:t>curve</w:t>
      </w:r>
      <w:proofErr w:type="gramEnd"/>
      <w:r w:rsidRPr="00FC25F6">
        <w:rPr>
          <w:rFonts w:ascii="Book Antiqua" w:hAnsi="Book Antiqua"/>
          <w:b/>
          <w:sz w:val="24"/>
          <w:szCs w:val="24"/>
        </w:rPr>
        <w:t xml:space="preserve"> (AUROC).</w:t>
      </w:r>
    </w:p>
    <w:p w:rsidR="00DB020B" w:rsidRPr="00FC25F6" w:rsidRDefault="008727DC" w:rsidP="00DE7591">
      <w:pPr>
        <w:spacing w:after="0" w:line="360" w:lineRule="auto"/>
        <w:jc w:val="both"/>
        <w:rPr>
          <w:rFonts w:ascii="Book Antiqua" w:hAnsi="Book Antiqua"/>
          <w:b/>
          <w:sz w:val="24"/>
          <w:szCs w:val="24"/>
        </w:rPr>
      </w:pPr>
      <w:r w:rsidRPr="00FC25F6">
        <w:rPr>
          <w:rFonts w:ascii="Book Antiqua" w:hAnsi="Book Antiqua"/>
          <w:b/>
          <w:sz w:val="24"/>
          <w:szCs w:val="24"/>
        </w:rPr>
        <w:br w:type="page"/>
      </w:r>
      <w:r w:rsidR="00DB020B" w:rsidRPr="00FC25F6">
        <w:rPr>
          <w:rFonts w:ascii="Book Antiqua" w:hAnsi="Book Antiqua"/>
          <w:b/>
          <w:sz w:val="24"/>
          <w:szCs w:val="24"/>
        </w:rPr>
        <w:lastRenderedPageBreak/>
        <w:t>Table 1 Clinical and laboratory parameters of the study population (me</w:t>
      </w:r>
      <w:r w:rsidR="005C4101" w:rsidRPr="00FC25F6">
        <w:rPr>
          <w:rFonts w:ascii="Book Antiqua" w:hAnsi="Book Antiqua"/>
          <w:b/>
          <w:sz w:val="24"/>
          <w:szCs w:val="24"/>
        </w:rPr>
        <w:t>di</w:t>
      </w:r>
      <w:r w:rsidR="00DB020B" w:rsidRPr="00FC25F6">
        <w:rPr>
          <w:rFonts w:ascii="Book Antiqua" w:hAnsi="Book Antiqua"/>
          <w:b/>
          <w:sz w:val="24"/>
          <w:szCs w:val="24"/>
        </w:rPr>
        <w:t>an values)</w:t>
      </w:r>
    </w:p>
    <w:tbl>
      <w:tblPr>
        <w:tblW w:w="0" w:type="auto"/>
        <w:tblBorders>
          <w:top w:val="single" w:sz="8" w:space="0" w:color="000000"/>
          <w:bottom w:val="single" w:sz="8" w:space="0" w:color="000000"/>
        </w:tblBorders>
        <w:tblLook w:val="04A0" w:firstRow="1" w:lastRow="0" w:firstColumn="1" w:lastColumn="0" w:noHBand="0" w:noVBand="1"/>
      </w:tblPr>
      <w:tblGrid>
        <w:gridCol w:w="1860"/>
        <w:gridCol w:w="1848"/>
        <w:gridCol w:w="1847"/>
        <w:gridCol w:w="1847"/>
      </w:tblGrid>
      <w:tr w:rsidR="00187450" w:rsidRPr="00FC25F6" w:rsidTr="002F1B0C">
        <w:tc>
          <w:tcPr>
            <w:tcW w:w="1855" w:type="dxa"/>
            <w:tcBorders>
              <w:top w:val="single" w:sz="8" w:space="0" w:color="000000"/>
              <w:left w:val="nil"/>
              <w:bottom w:val="single" w:sz="8" w:space="0" w:color="000000"/>
              <w:right w:val="nil"/>
            </w:tcBorders>
            <w:shd w:val="clear" w:color="auto" w:fill="auto"/>
          </w:tcPr>
          <w:p w:rsidR="00D96322" w:rsidRPr="00FC25F6" w:rsidRDefault="00D96322"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Parameters</w:t>
            </w:r>
          </w:p>
          <w:p w:rsidR="00D96322" w:rsidRPr="00FC25F6" w:rsidRDefault="00D96322"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w:t>
            </w:r>
            <w:r w:rsidRPr="00FC25F6">
              <w:rPr>
                <w:rFonts w:ascii="Book Antiqua" w:eastAsia="Times New Roman" w:hAnsi="Book Antiqua"/>
                <w:b/>
                <w:bCs/>
                <w:i/>
                <w:iCs/>
                <w:sz w:val="24"/>
                <w:szCs w:val="24"/>
              </w:rPr>
              <w:t>n</w:t>
            </w:r>
            <w:r w:rsidR="002F1B0C" w:rsidRPr="00FC25F6">
              <w:rPr>
                <w:rFonts w:ascii="Book Antiqua" w:eastAsia="Times New Roman" w:hAnsi="Book Antiqua"/>
                <w:b/>
                <w:bCs/>
                <w:sz w:val="24"/>
                <w:szCs w:val="24"/>
              </w:rPr>
              <w:t xml:space="preserve"> </w:t>
            </w:r>
            <w:r w:rsidRPr="00FC25F6">
              <w:rPr>
                <w:rFonts w:ascii="Book Antiqua" w:eastAsia="Times New Roman" w:hAnsi="Book Antiqua"/>
                <w:b/>
                <w:bCs/>
                <w:sz w:val="24"/>
                <w:szCs w:val="24"/>
              </w:rPr>
              <w:t>=</w:t>
            </w:r>
            <w:r w:rsidR="002F1B0C" w:rsidRPr="00FC25F6">
              <w:rPr>
                <w:rFonts w:ascii="Book Antiqua" w:eastAsia="Times New Roman" w:hAnsi="Book Antiqua"/>
                <w:b/>
                <w:bCs/>
                <w:sz w:val="24"/>
                <w:szCs w:val="24"/>
              </w:rPr>
              <w:t xml:space="preserve"> </w:t>
            </w:r>
            <w:r w:rsidRPr="00FC25F6">
              <w:rPr>
                <w:rFonts w:ascii="Book Antiqua" w:eastAsia="Times New Roman" w:hAnsi="Book Antiqua"/>
                <w:b/>
                <w:bCs/>
                <w:sz w:val="24"/>
                <w:szCs w:val="24"/>
              </w:rPr>
              <w:t>1581)</w:t>
            </w:r>
          </w:p>
        </w:tc>
        <w:tc>
          <w:tcPr>
            <w:tcW w:w="1848" w:type="dxa"/>
            <w:tcBorders>
              <w:top w:val="single" w:sz="8" w:space="0" w:color="000000"/>
              <w:left w:val="nil"/>
              <w:bottom w:val="single" w:sz="8" w:space="0" w:color="000000"/>
              <w:right w:val="nil"/>
            </w:tcBorders>
            <w:shd w:val="clear" w:color="auto" w:fill="auto"/>
          </w:tcPr>
          <w:p w:rsidR="00D96322" w:rsidRPr="00FC25F6" w:rsidRDefault="00D96322"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Median value</w:t>
            </w:r>
          </w:p>
        </w:tc>
        <w:tc>
          <w:tcPr>
            <w:tcW w:w="3694" w:type="dxa"/>
            <w:gridSpan w:val="2"/>
            <w:tcBorders>
              <w:top w:val="single" w:sz="8" w:space="0" w:color="000000"/>
              <w:left w:val="nil"/>
              <w:bottom w:val="single" w:sz="8" w:space="0" w:color="000000"/>
              <w:right w:val="nil"/>
            </w:tcBorders>
            <w:shd w:val="clear" w:color="auto" w:fill="auto"/>
          </w:tcPr>
          <w:p w:rsidR="00D96322" w:rsidRPr="00FC25F6" w:rsidRDefault="00D96322"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IQ range</w:t>
            </w:r>
          </w:p>
        </w:tc>
      </w:tr>
      <w:tr w:rsidR="00187450" w:rsidRPr="00FC25F6" w:rsidTr="002F1B0C">
        <w:tc>
          <w:tcPr>
            <w:tcW w:w="1855" w:type="dxa"/>
            <w:tcBorders>
              <w:left w:val="nil"/>
              <w:right w:val="nil"/>
            </w:tcBorders>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Age</w:t>
            </w:r>
          </w:p>
        </w:tc>
        <w:tc>
          <w:tcPr>
            <w:tcW w:w="1848" w:type="dxa"/>
            <w:tcBorders>
              <w:left w:val="nil"/>
              <w:right w:val="nil"/>
            </w:tcBorders>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66</w:t>
            </w:r>
          </w:p>
        </w:tc>
        <w:tc>
          <w:tcPr>
            <w:tcW w:w="1847" w:type="dxa"/>
            <w:tcBorders>
              <w:left w:val="nil"/>
              <w:right w:val="nil"/>
            </w:tcBorders>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55</w:t>
            </w:r>
          </w:p>
        </w:tc>
        <w:tc>
          <w:tcPr>
            <w:tcW w:w="1847" w:type="dxa"/>
            <w:tcBorders>
              <w:left w:val="nil"/>
              <w:right w:val="nil"/>
            </w:tcBorders>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76</w:t>
            </w:r>
          </w:p>
        </w:tc>
      </w:tr>
      <w:tr w:rsidR="00187450" w:rsidRPr="00FC25F6" w:rsidTr="002F1B0C">
        <w:tc>
          <w:tcPr>
            <w:tcW w:w="1855" w:type="dxa"/>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cs="Courier New"/>
                <w:sz w:val="24"/>
                <w:szCs w:val="24"/>
              </w:rPr>
              <w:t>Rockall</w:t>
            </w:r>
            <w:proofErr w:type="spellEnd"/>
            <w:r w:rsidRPr="00FC25F6">
              <w:rPr>
                <w:rFonts w:ascii="Book Antiqua" w:eastAsia="Times New Roman" w:hAnsi="Book Antiqua" w:cs="Courier New"/>
                <w:sz w:val="24"/>
                <w:szCs w:val="24"/>
              </w:rPr>
              <w:t xml:space="preserve"> score</w:t>
            </w:r>
          </w:p>
        </w:tc>
        <w:tc>
          <w:tcPr>
            <w:tcW w:w="1848" w:type="dxa"/>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w:t>
            </w:r>
          </w:p>
        </w:tc>
        <w:tc>
          <w:tcPr>
            <w:tcW w:w="1847" w:type="dxa"/>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3</w:t>
            </w:r>
          </w:p>
        </w:tc>
        <w:tc>
          <w:tcPr>
            <w:tcW w:w="1847" w:type="dxa"/>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6</w:t>
            </w:r>
          </w:p>
        </w:tc>
      </w:tr>
      <w:tr w:rsidR="00187450" w:rsidRPr="00FC25F6" w:rsidTr="002F1B0C">
        <w:tc>
          <w:tcPr>
            <w:tcW w:w="1855" w:type="dxa"/>
            <w:tcBorders>
              <w:left w:val="nil"/>
              <w:right w:val="nil"/>
            </w:tcBorders>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cs="Courier New"/>
                <w:sz w:val="24"/>
                <w:szCs w:val="24"/>
              </w:rPr>
              <w:t>Hb</w:t>
            </w:r>
            <w:proofErr w:type="spellEnd"/>
          </w:p>
        </w:tc>
        <w:tc>
          <w:tcPr>
            <w:tcW w:w="1848" w:type="dxa"/>
            <w:tcBorders>
              <w:left w:val="nil"/>
              <w:right w:val="nil"/>
            </w:tcBorders>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8</w:t>
            </w:r>
          </w:p>
        </w:tc>
        <w:tc>
          <w:tcPr>
            <w:tcW w:w="1847" w:type="dxa"/>
            <w:tcBorders>
              <w:left w:val="nil"/>
              <w:right w:val="nil"/>
            </w:tcBorders>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7</w:t>
            </w:r>
          </w:p>
        </w:tc>
        <w:tc>
          <w:tcPr>
            <w:tcW w:w="1847" w:type="dxa"/>
            <w:tcBorders>
              <w:left w:val="nil"/>
              <w:right w:val="nil"/>
            </w:tcBorders>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w:t>
            </w:r>
          </w:p>
        </w:tc>
      </w:tr>
      <w:tr w:rsidR="00187450" w:rsidRPr="00FC25F6" w:rsidTr="002F1B0C">
        <w:tc>
          <w:tcPr>
            <w:tcW w:w="1855" w:type="dxa"/>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Hospitalization length</w:t>
            </w:r>
          </w:p>
        </w:tc>
        <w:tc>
          <w:tcPr>
            <w:tcW w:w="1848" w:type="dxa"/>
            <w:shd w:val="clear" w:color="auto" w:fill="auto"/>
          </w:tcPr>
          <w:p w:rsidR="00D96322" w:rsidRPr="00FC25F6" w:rsidRDefault="00D9632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w:t>
            </w:r>
          </w:p>
        </w:tc>
        <w:tc>
          <w:tcPr>
            <w:tcW w:w="1847" w:type="dxa"/>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3</w:t>
            </w:r>
          </w:p>
        </w:tc>
        <w:tc>
          <w:tcPr>
            <w:tcW w:w="1847" w:type="dxa"/>
            <w:shd w:val="clear" w:color="auto" w:fill="auto"/>
          </w:tcPr>
          <w:p w:rsidR="00D96322"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7</w:t>
            </w:r>
          </w:p>
        </w:tc>
      </w:tr>
    </w:tbl>
    <w:p w:rsidR="003C3FBA" w:rsidRPr="00FC25F6" w:rsidRDefault="00D96322" w:rsidP="00DE7591">
      <w:pPr>
        <w:spacing w:after="0" w:line="360" w:lineRule="auto"/>
        <w:jc w:val="both"/>
        <w:rPr>
          <w:rFonts w:ascii="Book Antiqua" w:hAnsi="Book Antiqua"/>
          <w:sz w:val="24"/>
          <w:szCs w:val="24"/>
        </w:rPr>
      </w:pPr>
      <w:proofErr w:type="spellStart"/>
      <w:r w:rsidRPr="00FC25F6">
        <w:rPr>
          <w:rFonts w:ascii="Book Antiqua" w:hAnsi="Book Antiqua"/>
          <w:sz w:val="24"/>
          <w:szCs w:val="24"/>
        </w:rPr>
        <w:t>Hb</w:t>
      </w:r>
      <w:proofErr w:type="spellEnd"/>
      <w:r w:rsidR="002F1B0C" w:rsidRPr="00FC25F6">
        <w:rPr>
          <w:rFonts w:ascii="Book Antiqua" w:hAnsi="Book Antiqua"/>
          <w:sz w:val="24"/>
          <w:szCs w:val="24"/>
        </w:rPr>
        <w:t>:</w:t>
      </w:r>
      <w:r w:rsidRPr="00FC25F6">
        <w:rPr>
          <w:rFonts w:ascii="Book Antiqua" w:hAnsi="Book Antiqua"/>
          <w:sz w:val="24"/>
          <w:szCs w:val="24"/>
        </w:rPr>
        <w:t xml:space="preserve"> </w:t>
      </w:r>
      <w:r w:rsidR="002F1B0C" w:rsidRPr="00FC25F6">
        <w:rPr>
          <w:rFonts w:ascii="Book Antiqua" w:hAnsi="Book Antiqua"/>
          <w:sz w:val="24"/>
          <w:szCs w:val="24"/>
        </w:rPr>
        <w:t xml:space="preserve">Hemoglobin </w:t>
      </w:r>
      <w:r w:rsidRPr="00FC25F6">
        <w:rPr>
          <w:rFonts w:ascii="Book Antiqua" w:hAnsi="Book Antiqua"/>
          <w:sz w:val="24"/>
          <w:szCs w:val="24"/>
        </w:rPr>
        <w:t>value; IQ range</w:t>
      </w:r>
      <w:r w:rsidR="002F1B0C" w:rsidRPr="00FC25F6">
        <w:rPr>
          <w:rFonts w:ascii="Book Antiqua" w:hAnsi="Book Antiqua"/>
          <w:sz w:val="24"/>
          <w:szCs w:val="24"/>
        </w:rPr>
        <w:t>:</w:t>
      </w:r>
      <w:r w:rsidRPr="00FC25F6">
        <w:rPr>
          <w:rFonts w:ascii="Book Antiqua" w:hAnsi="Book Antiqua"/>
          <w:sz w:val="24"/>
          <w:szCs w:val="24"/>
        </w:rPr>
        <w:t xml:space="preserve"> </w:t>
      </w:r>
      <w:r w:rsidR="002F1B0C" w:rsidRPr="00FC25F6">
        <w:rPr>
          <w:rFonts w:ascii="Book Antiqua" w:hAnsi="Book Antiqua"/>
          <w:sz w:val="24"/>
          <w:szCs w:val="24"/>
        </w:rPr>
        <w:t xml:space="preserve">Interquartile </w:t>
      </w:r>
      <w:r w:rsidRPr="00FC25F6">
        <w:rPr>
          <w:rFonts w:ascii="Book Antiqua" w:hAnsi="Book Antiqua"/>
          <w:sz w:val="24"/>
          <w:szCs w:val="24"/>
        </w:rPr>
        <w:t>range</w:t>
      </w:r>
      <w:r w:rsidR="008727DC" w:rsidRPr="00FC25F6">
        <w:rPr>
          <w:rFonts w:ascii="Book Antiqua" w:hAnsi="Book Antiqua"/>
          <w:sz w:val="24"/>
          <w:szCs w:val="24"/>
        </w:rPr>
        <w:t>.</w:t>
      </w:r>
    </w:p>
    <w:p w:rsidR="00FB33E7" w:rsidRPr="00FC25F6" w:rsidRDefault="002F1B0C" w:rsidP="00DE7591">
      <w:pPr>
        <w:pStyle w:val="a3"/>
        <w:spacing w:before="0" w:beforeAutospacing="0" w:after="0" w:afterAutospacing="0" w:line="360" w:lineRule="auto"/>
        <w:jc w:val="both"/>
        <w:rPr>
          <w:rFonts w:ascii="Book Antiqua" w:hAnsi="Book Antiqua"/>
          <w:b/>
        </w:rPr>
      </w:pPr>
      <w:r w:rsidRPr="00FC25F6">
        <w:rPr>
          <w:rFonts w:ascii="Book Antiqua" w:hAnsi="Book Antiqua"/>
        </w:rPr>
        <w:br w:type="page"/>
      </w:r>
      <w:r w:rsidR="00FB33E7" w:rsidRPr="00FC25F6">
        <w:rPr>
          <w:rFonts w:ascii="Book Antiqua" w:hAnsi="Book Antiqua"/>
          <w:b/>
        </w:rPr>
        <w:lastRenderedPageBreak/>
        <w:t>Table 2 Type of endoscopic treatment applied to the study population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652"/>
        <w:gridCol w:w="1985"/>
        <w:gridCol w:w="2693"/>
      </w:tblGrid>
      <w:tr w:rsidR="00187450" w:rsidRPr="00FC25F6" w:rsidTr="002F1B0C">
        <w:tc>
          <w:tcPr>
            <w:tcW w:w="3652" w:type="dxa"/>
            <w:tcBorders>
              <w:top w:val="single" w:sz="4" w:space="0" w:color="auto"/>
              <w:bottom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
                <w:sz w:val="24"/>
                <w:szCs w:val="24"/>
              </w:rPr>
            </w:pPr>
            <w:r w:rsidRPr="00FC25F6">
              <w:rPr>
                <w:rFonts w:ascii="Book Antiqua" w:eastAsia="Times New Roman" w:hAnsi="Book Antiqua"/>
                <w:b/>
                <w:sz w:val="24"/>
                <w:szCs w:val="24"/>
              </w:rPr>
              <w:t>Endoscopic therapy</w:t>
            </w:r>
          </w:p>
        </w:tc>
        <w:tc>
          <w:tcPr>
            <w:tcW w:w="1985" w:type="dxa"/>
            <w:tcBorders>
              <w:top w:val="single" w:sz="4" w:space="0" w:color="auto"/>
              <w:bottom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
                <w:sz w:val="24"/>
                <w:szCs w:val="24"/>
              </w:rPr>
            </w:pPr>
            <w:r w:rsidRPr="00FC25F6">
              <w:rPr>
                <w:rFonts w:ascii="Book Antiqua" w:eastAsia="Times New Roman" w:hAnsi="Book Antiqua"/>
                <w:b/>
                <w:sz w:val="24"/>
                <w:szCs w:val="24"/>
              </w:rPr>
              <w:t>No. of patients</w:t>
            </w:r>
          </w:p>
        </w:tc>
        <w:tc>
          <w:tcPr>
            <w:tcW w:w="2693" w:type="dxa"/>
            <w:tcBorders>
              <w:top w:val="single" w:sz="4" w:space="0" w:color="auto"/>
              <w:bottom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
                <w:sz w:val="24"/>
                <w:szCs w:val="24"/>
              </w:rPr>
            </w:pPr>
            <w:r w:rsidRPr="00FC25F6">
              <w:rPr>
                <w:rFonts w:ascii="Book Antiqua" w:eastAsia="Times New Roman" w:hAnsi="Book Antiqua"/>
                <w:b/>
                <w:sz w:val="24"/>
                <w:szCs w:val="24"/>
              </w:rPr>
              <w:t>% out of entire batch</w:t>
            </w:r>
          </w:p>
        </w:tc>
      </w:tr>
      <w:tr w:rsidR="00F77C16" w:rsidRPr="00FC25F6" w:rsidTr="002F1B0C">
        <w:tc>
          <w:tcPr>
            <w:tcW w:w="3652" w:type="dxa"/>
            <w:tcBorders>
              <w:top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Simple therapy</w:t>
            </w:r>
          </w:p>
        </w:tc>
        <w:tc>
          <w:tcPr>
            <w:tcW w:w="1985" w:type="dxa"/>
            <w:tcBorders>
              <w:top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174</w:t>
            </w:r>
          </w:p>
        </w:tc>
        <w:tc>
          <w:tcPr>
            <w:tcW w:w="2693" w:type="dxa"/>
            <w:tcBorders>
              <w:top w:val="single" w:sz="4" w:space="0" w:color="auto"/>
            </w:tcBorders>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11.01</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Epinephrine injection</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62</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3.92</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Bipolar coagulation</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18</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1.14</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proofErr w:type="spellStart"/>
            <w:r w:rsidRPr="00FC25F6">
              <w:rPr>
                <w:rFonts w:ascii="Book Antiqua" w:eastAsia="Times New Roman" w:hAnsi="Book Antiqua"/>
                <w:bCs/>
                <w:sz w:val="24"/>
                <w:szCs w:val="24"/>
              </w:rPr>
              <w:t>Hemoclip</w:t>
            </w:r>
            <w:proofErr w:type="spellEnd"/>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74</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4.68</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Banding</w:t>
            </w:r>
            <w:r w:rsidR="002F1B0C" w:rsidRPr="00FC25F6">
              <w:rPr>
                <w:rFonts w:ascii="Book Antiqua" w:eastAsia="Times New Roman" w:hAnsi="Book Antiqua"/>
                <w:bCs/>
                <w:sz w:val="24"/>
                <w:szCs w:val="24"/>
                <w:vertAlign w:val="superscript"/>
              </w:rPr>
              <w:t>1</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7</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0.44</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Argon plasma coagulation</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13</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0.83</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Combined therapy</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375</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23.72</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Epinephrine injection + bipolar coagulation</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126</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7.97</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 xml:space="preserve">Epinephrine injection + </w:t>
            </w:r>
            <w:proofErr w:type="spellStart"/>
            <w:r w:rsidRPr="00FC25F6">
              <w:rPr>
                <w:rFonts w:ascii="Book Antiqua" w:eastAsia="Times New Roman" w:hAnsi="Book Antiqua"/>
                <w:bCs/>
                <w:sz w:val="24"/>
                <w:szCs w:val="24"/>
              </w:rPr>
              <w:t>hemoclip</w:t>
            </w:r>
            <w:proofErr w:type="spellEnd"/>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206</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13.04</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 xml:space="preserve">Epinephrine injection + bipolar coagulation + </w:t>
            </w:r>
            <w:proofErr w:type="spellStart"/>
            <w:r w:rsidRPr="00FC25F6">
              <w:rPr>
                <w:rFonts w:ascii="Book Antiqua" w:eastAsia="Times New Roman" w:hAnsi="Book Antiqua"/>
                <w:bCs/>
                <w:sz w:val="24"/>
                <w:szCs w:val="24"/>
              </w:rPr>
              <w:t>hemoclip</w:t>
            </w:r>
            <w:proofErr w:type="spellEnd"/>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35</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2.21</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 xml:space="preserve">Bipolar coagulation + </w:t>
            </w:r>
            <w:proofErr w:type="spellStart"/>
            <w:r w:rsidRPr="00FC25F6">
              <w:rPr>
                <w:rFonts w:ascii="Book Antiqua" w:eastAsia="Times New Roman" w:hAnsi="Book Antiqua"/>
                <w:bCs/>
                <w:sz w:val="24"/>
                <w:szCs w:val="24"/>
              </w:rPr>
              <w:t>hemoclip</w:t>
            </w:r>
            <w:proofErr w:type="spellEnd"/>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4</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0.25</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 xml:space="preserve">Epinephrine injection + argon plasma coagulation + </w:t>
            </w:r>
            <w:proofErr w:type="spellStart"/>
            <w:r w:rsidRPr="00FC25F6">
              <w:rPr>
                <w:rFonts w:ascii="Book Antiqua" w:eastAsia="Times New Roman" w:hAnsi="Book Antiqua"/>
                <w:bCs/>
                <w:sz w:val="24"/>
                <w:szCs w:val="24"/>
              </w:rPr>
              <w:t>hemoclip</w:t>
            </w:r>
            <w:proofErr w:type="spellEnd"/>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0.06</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Epinephrine injection + banding</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2</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0.15</w:t>
            </w:r>
          </w:p>
        </w:tc>
      </w:tr>
      <w:tr w:rsidR="00F77C16" w:rsidRPr="00FC25F6" w:rsidTr="002F1B0C">
        <w:tc>
          <w:tcPr>
            <w:tcW w:w="3652"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Epinephrine injection + argon plasma coagulation</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1</w:t>
            </w:r>
          </w:p>
        </w:tc>
        <w:tc>
          <w:tcPr>
            <w:tcW w:w="2693" w:type="dxa"/>
            <w:shd w:val="clear" w:color="auto" w:fill="auto"/>
          </w:tcPr>
          <w:p w:rsidR="00F77C16" w:rsidRPr="00FC25F6" w:rsidRDefault="00F77C16" w:rsidP="00DE7591">
            <w:pPr>
              <w:spacing w:after="0" w:line="360" w:lineRule="auto"/>
              <w:jc w:val="both"/>
              <w:rPr>
                <w:rFonts w:ascii="Book Antiqua" w:eastAsia="Times New Roman" w:hAnsi="Book Antiqua"/>
                <w:bCs/>
                <w:sz w:val="24"/>
                <w:szCs w:val="24"/>
              </w:rPr>
            </w:pPr>
            <w:r w:rsidRPr="00FC25F6">
              <w:rPr>
                <w:rFonts w:ascii="Book Antiqua" w:eastAsia="Times New Roman" w:hAnsi="Book Antiqua"/>
                <w:bCs/>
                <w:sz w:val="24"/>
                <w:szCs w:val="24"/>
              </w:rPr>
              <w:t>0.06</w:t>
            </w:r>
          </w:p>
        </w:tc>
      </w:tr>
    </w:tbl>
    <w:p w:rsidR="00BB65CA" w:rsidRPr="00FC25F6" w:rsidRDefault="002F1B0C" w:rsidP="00DE7591">
      <w:pPr>
        <w:spacing w:after="0" w:line="360" w:lineRule="auto"/>
        <w:jc w:val="both"/>
        <w:rPr>
          <w:rFonts w:ascii="Book Antiqua" w:hAnsi="Book Antiqua"/>
          <w:sz w:val="24"/>
          <w:szCs w:val="24"/>
        </w:rPr>
      </w:pPr>
      <w:r w:rsidRPr="00FC25F6">
        <w:rPr>
          <w:rFonts w:ascii="Book Antiqua" w:hAnsi="Book Antiqua"/>
          <w:sz w:val="24"/>
          <w:szCs w:val="24"/>
          <w:vertAlign w:val="superscript"/>
        </w:rPr>
        <w:t>1</w:t>
      </w:r>
      <w:r w:rsidR="00B74911" w:rsidRPr="00FC25F6">
        <w:rPr>
          <w:rFonts w:ascii="Book Antiqua" w:hAnsi="Book Antiqua"/>
          <w:sz w:val="24"/>
          <w:szCs w:val="24"/>
        </w:rPr>
        <w:t xml:space="preserve"> banding was used for endoscopic hemostasis in 4 cases of Mallory-Weiss syndrome and 3 cases of </w:t>
      </w:r>
      <w:proofErr w:type="spellStart"/>
      <w:r w:rsidR="00B74911" w:rsidRPr="00FC25F6">
        <w:rPr>
          <w:rFonts w:ascii="Book Antiqua" w:hAnsi="Book Antiqua"/>
          <w:sz w:val="24"/>
          <w:szCs w:val="24"/>
        </w:rPr>
        <w:t>Dieulafoy</w:t>
      </w:r>
      <w:proofErr w:type="spellEnd"/>
      <w:r w:rsidR="00B74911" w:rsidRPr="00FC25F6">
        <w:rPr>
          <w:rFonts w:ascii="Book Antiqua" w:hAnsi="Book Antiqua"/>
          <w:sz w:val="24"/>
          <w:szCs w:val="24"/>
        </w:rPr>
        <w:t xml:space="preserve"> lesion</w:t>
      </w:r>
      <w:r w:rsidRPr="00FC25F6">
        <w:rPr>
          <w:rFonts w:ascii="Book Antiqua" w:hAnsi="Book Antiqua"/>
          <w:sz w:val="24"/>
          <w:szCs w:val="24"/>
        </w:rPr>
        <w:t>.</w:t>
      </w:r>
    </w:p>
    <w:p w:rsidR="00FB33E7" w:rsidRPr="00FC25F6" w:rsidRDefault="002F1B0C" w:rsidP="00DE7591">
      <w:pPr>
        <w:spacing w:after="0" w:line="360" w:lineRule="auto"/>
        <w:jc w:val="both"/>
        <w:rPr>
          <w:rFonts w:ascii="Book Antiqua" w:hAnsi="Book Antiqua"/>
          <w:b/>
          <w:bCs/>
          <w:sz w:val="24"/>
          <w:szCs w:val="24"/>
        </w:rPr>
      </w:pPr>
      <w:r w:rsidRPr="00FC25F6">
        <w:rPr>
          <w:rFonts w:ascii="Book Antiqua" w:hAnsi="Book Antiqua"/>
          <w:b/>
          <w:bCs/>
          <w:sz w:val="24"/>
          <w:szCs w:val="24"/>
        </w:rPr>
        <w:br w:type="page"/>
      </w:r>
      <w:r w:rsidR="00FB33E7" w:rsidRPr="00FC25F6">
        <w:rPr>
          <w:rFonts w:ascii="Book Antiqua" w:hAnsi="Book Antiqua"/>
          <w:b/>
          <w:bCs/>
          <w:sz w:val="24"/>
          <w:szCs w:val="24"/>
        </w:rPr>
        <w:lastRenderedPageBreak/>
        <w:t xml:space="preserve">Table 3 Clinical and endoscopic features of the study population: association with </w:t>
      </w:r>
      <w:proofErr w:type="spellStart"/>
      <w:r w:rsidR="00FB33E7" w:rsidRPr="00FC25F6">
        <w:rPr>
          <w:rFonts w:ascii="Book Antiqua" w:hAnsi="Book Antiqua"/>
          <w:b/>
          <w:bCs/>
          <w:sz w:val="24"/>
          <w:szCs w:val="24"/>
        </w:rPr>
        <w:t>rebleeding</w:t>
      </w:r>
      <w:proofErr w:type="spellEnd"/>
    </w:p>
    <w:tbl>
      <w:tblPr>
        <w:tblW w:w="9923" w:type="dxa"/>
        <w:tblInd w:w="-459" w:type="dxa"/>
        <w:tblBorders>
          <w:top w:val="single" w:sz="8" w:space="0" w:color="000000"/>
          <w:bottom w:val="single" w:sz="8" w:space="0" w:color="000000"/>
        </w:tblBorders>
        <w:tblLayout w:type="fixed"/>
        <w:tblLook w:val="04A0" w:firstRow="1" w:lastRow="0" w:firstColumn="1" w:lastColumn="0" w:noHBand="0" w:noVBand="1"/>
      </w:tblPr>
      <w:tblGrid>
        <w:gridCol w:w="2127"/>
        <w:gridCol w:w="1701"/>
        <w:gridCol w:w="1559"/>
        <w:gridCol w:w="1559"/>
        <w:gridCol w:w="1985"/>
        <w:gridCol w:w="992"/>
      </w:tblGrid>
      <w:tr w:rsidR="00187450" w:rsidRPr="00FC25F6" w:rsidTr="002F1B0C">
        <w:tc>
          <w:tcPr>
            <w:tcW w:w="2127"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w:t>
            </w:r>
          </w:p>
          <w:p w:rsidR="00F77C16" w:rsidRPr="00FC25F6" w:rsidRDefault="00F77C16" w:rsidP="00DE7591">
            <w:pPr>
              <w:spacing w:after="0" w:line="360" w:lineRule="auto"/>
              <w:jc w:val="both"/>
              <w:rPr>
                <w:rFonts w:ascii="Book Antiqua" w:eastAsia="Times New Roman" w:hAnsi="Book Antiqua"/>
                <w:b/>
                <w:bCs/>
                <w:sz w:val="24"/>
                <w:szCs w:val="24"/>
              </w:rPr>
            </w:pPr>
          </w:p>
        </w:tc>
        <w:tc>
          <w:tcPr>
            <w:tcW w:w="1701"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No-</w:t>
            </w:r>
            <w:proofErr w:type="spellStart"/>
            <w:r w:rsidRPr="00FC25F6">
              <w:rPr>
                <w:rFonts w:ascii="Book Antiqua" w:eastAsia="Times New Roman" w:hAnsi="Book Antiqua"/>
                <w:b/>
                <w:bCs/>
                <w:sz w:val="24"/>
                <w:szCs w:val="24"/>
              </w:rPr>
              <w:t>rebleeding</w:t>
            </w:r>
            <w:proofErr w:type="spellEnd"/>
            <w:r w:rsidR="002F1B0C" w:rsidRPr="00FC25F6">
              <w:rPr>
                <w:rFonts w:ascii="Book Antiqua" w:hAnsi="Book Antiqua"/>
                <w:b/>
                <w:bCs/>
                <w:sz w:val="24"/>
                <w:szCs w:val="24"/>
                <w:lang w:eastAsia="zh-CN"/>
              </w:rPr>
              <w:t xml:space="preserve"> </w:t>
            </w:r>
            <w:r w:rsidRPr="00FC25F6">
              <w:rPr>
                <w:rFonts w:ascii="Book Antiqua" w:eastAsia="Times New Roman" w:hAnsi="Book Antiqua"/>
                <w:b/>
                <w:bCs/>
                <w:sz w:val="24"/>
                <w:szCs w:val="24"/>
              </w:rPr>
              <w:t xml:space="preserve">(no. pts, %) </w:t>
            </w:r>
          </w:p>
        </w:tc>
        <w:tc>
          <w:tcPr>
            <w:tcW w:w="1559"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proofErr w:type="spellStart"/>
            <w:r w:rsidRPr="00FC25F6">
              <w:rPr>
                <w:rFonts w:ascii="Book Antiqua" w:eastAsia="Times New Roman" w:hAnsi="Book Antiqua"/>
                <w:b/>
                <w:bCs/>
                <w:sz w:val="24"/>
                <w:szCs w:val="24"/>
              </w:rPr>
              <w:t>Rebleeding</w:t>
            </w:r>
            <w:proofErr w:type="spellEnd"/>
          </w:p>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w:t>
            </w:r>
            <w:proofErr w:type="gramStart"/>
            <w:r w:rsidRPr="00FC25F6">
              <w:rPr>
                <w:rFonts w:ascii="Book Antiqua" w:eastAsia="Times New Roman" w:hAnsi="Book Antiqua"/>
                <w:b/>
                <w:bCs/>
                <w:sz w:val="24"/>
                <w:szCs w:val="24"/>
              </w:rPr>
              <w:t>no</w:t>
            </w:r>
            <w:proofErr w:type="gramEnd"/>
            <w:r w:rsidRPr="00FC25F6">
              <w:rPr>
                <w:rFonts w:ascii="Book Antiqua" w:eastAsia="Times New Roman" w:hAnsi="Book Antiqua"/>
                <w:b/>
                <w:bCs/>
                <w:sz w:val="24"/>
                <w:szCs w:val="24"/>
              </w:rPr>
              <w:t>. pts, %)</w:t>
            </w:r>
          </w:p>
        </w:tc>
        <w:tc>
          <w:tcPr>
            <w:tcW w:w="1559"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Total no. patients, %</w:t>
            </w:r>
          </w:p>
        </w:tc>
        <w:tc>
          <w:tcPr>
            <w:tcW w:w="1985"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Total (% out of entire batch)</w:t>
            </w:r>
          </w:p>
        </w:tc>
        <w:tc>
          <w:tcPr>
            <w:tcW w:w="992"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 value</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1435 (92.16)</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122 (7.84)</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1.557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100</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Simple therapy</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143 (82.18)</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31 (17.82)</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174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11.01</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Combined therapy</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318 (84.8)</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57 (15.2)</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375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23.72</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SBP (mmHg) &lt;100</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240 (83.33)</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48 (16.67)</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288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18.22</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Pulse (beats per minute) &gt;100</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404 (87.26)</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59 (12.74)</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463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29.32</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Cardiovascular comorbidities</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901 (92.32)</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75 (7.68)</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976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61.73</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0.857</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Diabetes mellitus</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272 (91.89)</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 (8.11)</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296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18.72</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0.815</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Respiratory comorbidities</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184 (89.32)</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22 (10.68)</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206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13.03</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0.096</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Renal comorbidities</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303 (91.82)</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27 (8.18)</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330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20.87</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0.759</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Liver cirrhosis</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128 (90.78)</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 (9.22)</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141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8.92</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0.504</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Neoplasias</w:t>
            </w:r>
            <w:proofErr w:type="spellEnd"/>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232 (90.63)</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 (9.38)</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256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16.19</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0.298</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Neurologic comorbidities</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202 (94.39)</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 (5.61)</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214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13.54</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0.202</w:t>
            </w:r>
          </w:p>
        </w:tc>
      </w:tr>
      <w:tr w:rsidR="00187450" w:rsidRPr="00FC25F6" w:rsidTr="002F1B0C">
        <w:tc>
          <w:tcPr>
            <w:tcW w:w="21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Obesity</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125 (93.28)</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 (6.72)</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134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8.48</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0.631</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Sepsis</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38 (80.85)</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 (19.15)</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47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2.97</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0.003</w:t>
            </w:r>
          </w:p>
        </w:tc>
      </w:tr>
      <w:tr w:rsidR="00187450" w:rsidRPr="00FC25F6" w:rsidTr="002F1B0C">
        <w:tc>
          <w:tcPr>
            <w:tcW w:w="2127" w:type="dxa"/>
            <w:shd w:val="clear" w:color="auto" w:fill="auto"/>
          </w:tcPr>
          <w:p w:rsidR="00F77C16" w:rsidRPr="00FC25F6" w:rsidRDefault="00F73905"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w:t>
            </w:r>
            <w:r w:rsidR="00F77C16" w:rsidRPr="00FC25F6">
              <w:rPr>
                <w:rFonts w:ascii="Book Antiqua" w:eastAsia="Times New Roman" w:hAnsi="Book Antiqua"/>
                <w:sz w:val="24"/>
                <w:szCs w:val="24"/>
              </w:rPr>
              <w:t>cute pancreatitis</w:t>
            </w:r>
          </w:p>
        </w:tc>
        <w:tc>
          <w:tcPr>
            <w:tcW w:w="1701"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 (75)</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 (25)</w:t>
            </w:r>
          </w:p>
        </w:tc>
        <w:tc>
          <w:tcPr>
            <w:tcW w:w="1559"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 (100)</w:t>
            </w:r>
          </w:p>
        </w:tc>
        <w:tc>
          <w:tcPr>
            <w:tcW w:w="19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0.51</w:t>
            </w:r>
          </w:p>
        </w:tc>
        <w:tc>
          <w:tcPr>
            <w:tcW w:w="992"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0.068</w:t>
            </w:r>
          </w:p>
        </w:tc>
      </w:tr>
      <w:tr w:rsidR="00187450" w:rsidRPr="00FC25F6" w:rsidTr="002F1B0C">
        <w:tc>
          <w:tcPr>
            <w:tcW w:w="21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Acute abdomen</w:t>
            </w:r>
          </w:p>
        </w:tc>
        <w:tc>
          <w:tcPr>
            <w:tcW w:w="1701"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 (66.67)</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 (33.33)</w:t>
            </w:r>
          </w:p>
        </w:tc>
        <w:tc>
          <w:tcPr>
            <w:tcW w:w="1559"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 (100)</w:t>
            </w:r>
          </w:p>
        </w:tc>
        <w:tc>
          <w:tcPr>
            <w:tcW w:w="19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0.38</w:t>
            </w:r>
          </w:p>
        </w:tc>
        <w:tc>
          <w:tcPr>
            <w:tcW w:w="992"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0.019</w:t>
            </w:r>
          </w:p>
        </w:tc>
      </w:tr>
    </w:tbl>
    <w:p w:rsidR="00FB33E7" w:rsidRPr="00FC25F6" w:rsidRDefault="00FB33E7" w:rsidP="00DE7591">
      <w:pPr>
        <w:spacing w:after="0" w:line="360" w:lineRule="auto"/>
        <w:jc w:val="both"/>
        <w:rPr>
          <w:rFonts w:ascii="Book Antiqua" w:hAnsi="Book Antiqua"/>
          <w:bCs/>
          <w:sz w:val="24"/>
          <w:szCs w:val="24"/>
        </w:rPr>
      </w:pPr>
      <w:r w:rsidRPr="00FC25F6">
        <w:rPr>
          <w:rFonts w:ascii="Book Antiqua" w:hAnsi="Book Antiqua"/>
          <w:bCs/>
          <w:sz w:val="24"/>
          <w:szCs w:val="24"/>
        </w:rPr>
        <w:t>SBP</w:t>
      </w:r>
      <w:r w:rsidR="002F1B0C" w:rsidRPr="00FC25F6">
        <w:rPr>
          <w:rFonts w:ascii="Book Antiqua" w:hAnsi="Book Antiqua"/>
          <w:bCs/>
          <w:sz w:val="24"/>
          <w:szCs w:val="24"/>
        </w:rPr>
        <w:t>:</w:t>
      </w:r>
      <w:r w:rsidRPr="00FC25F6">
        <w:rPr>
          <w:rFonts w:ascii="Book Antiqua" w:hAnsi="Book Antiqua"/>
          <w:bCs/>
          <w:sz w:val="24"/>
          <w:szCs w:val="24"/>
        </w:rPr>
        <w:t xml:space="preserve"> </w:t>
      </w:r>
      <w:r w:rsidR="002F1B0C" w:rsidRPr="00FC25F6">
        <w:rPr>
          <w:rFonts w:ascii="Book Antiqua" w:hAnsi="Book Antiqua"/>
          <w:bCs/>
          <w:sz w:val="24"/>
          <w:szCs w:val="24"/>
        </w:rPr>
        <w:t xml:space="preserve">Systolic </w:t>
      </w:r>
      <w:r w:rsidRPr="00FC25F6">
        <w:rPr>
          <w:rFonts w:ascii="Book Antiqua" w:hAnsi="Book Antiqua"/>
          <w:bCs/>
          <w:sz w:val="24"/>
          <w:szCs w:val="24"/>
        </w:rPr>
        <w:t>blood pressure</w:t>
      </w:r>
      <w:r w:rsidR="002F1B0C" w:rsidRPr="00FC25F6">
        <w:rPr>
          <w:rFonts w:ascii="Book Antiqua" w:hAnsi="Book Antiqua"/>
          <w:bCs/>
          <w:sz w:val="24"/>
          <w:szCs w:val="24"/>
        </w:rPr>
        <w:t>.</w:t>
      </w:r>
    </w:p>
    <w:p w:rsidR="00FB33E7" w:rsidRPr="00FC25F6" w:rsidRDefault="002F1B0C" w:rsidP="00DE7591">
      <w:pPr>
        <w:spacing w:after="0" w:line="360" w:lineRule="auto"/>
        <w:jc w:val="both"/>
        <w:rPr>
          <w:rFonts w:ascii="Book Antiqua" w:hAnsi="Book Antiqua"/>
          <w:b/>
          <w:sz w:val="24"/>
          <w:szCs w:val="24"/>
        </w:rPr>
      </w:pPr>
      <w:r w:rsidRPr="00FC25F6">
        <w:rPr>
          <w:rFonts w:ascii="Book Antiqua" w:hAnsi="Book Antiqua"/>
          <w:b/>
          <w:sz w:val="24"/>
          <w:szCs w:val="24"/>
        </w:rPr>
        <w:br w:type="page"/>
      </w:r>
      <w:r w:rsidR="00FB33E7" w:rsidRPr="00FC25F6">
        <w:rPr>
          <w:rFonts w:ascii="Book Antiqua" w:hAnsi="Book Antiqua"/>
          <w:b/>
          <w:sz w:val="24"/>
          <w:szCs w:val="24"/>
        </w:rPr>
        <w:lastRenderedPageBreak/>
        <w:t xml:space="preserve">Table 4 Logistic regression for </w:t>
      </w:r>
      <w:proofErr w:type="spellStart"/>
      <w:r w:rsidR="00FB33E7" w:rsidRPr="00FC25F6">
        <w:rPr>
          <w:rFonts w:ascii="Book Antiqua" w:hAnsi="Book Antiqua"/>
          <w:b/>
          <w:sz w:val="24"/>
          <w:szCs w:val="24"/>
        </w:rPr>
        <w:t>rebleeding</w:t>
      </w:r>
      <w:proofErr w:type="spellEnd"/>
    </w:p>
    <w:tbl>
      <w:tblPr>
        <w:tblW w:w="7961" w:type="dxa"/>
        <w:tblBorders>
          <w:top w:val="single" w:sz="8" w:space="0" w:color="000000"/>
          <w:bottom w:val="single" w:sz="8" w:space="0" w:color="000000"/>
        </w:tblBorders>
        <w:tblLook w:val="04A0" w:firstRow="1" w:lastRow="0" w:firstColumn="1" w:lastColumn="0" w:noHBand="0" w:noVBand="1"/>
      </w:tblPr>
      <w:tblGrid>
        <w:gridCol w:w="1333"/>
        <w:gridCol w:w="1326"/>
        <w:gridCol w:w="1326"/>
        <w:gridCol w:w="1326"/>
        <w:gridCol w:w="2650"/>
      </w:tblGrid>
      <w:tr w:rsidR="00187450" w:rsidRPr="00FC25F6" w:rsidTr="00055CE5">
        <w:tc>
          <w:tcPr>
            <w:tcW w:w="1326"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Variables</w:t>
            </w:r>
          </w:p>
        </w:tc>
        <w:tc>
          <w:tcPr>
            <w:tcW w:w="1327"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Odds Ratio</w:t>
            </w:r>
          </w:p>
        </w:tc>
        <w:tc>
          <w:tcPr>
            <w:tcW w:w="2654" w:type="dxa"/>
            <w:gridSpan w:val="2"/>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95% Confidence Interval</w:t>
            </w:r>
          </w:p>
        </w:tc>
        <w:tc>
          <w:tcPr>
            <w:tcW w:w="2654"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i/>
                <w:iCs/>
                <w:sz w:val="24"/>
                <w:szCs w:val="24"/>
              </w:rPr>
              <w:t>P</w:t>
            </w:r>
            <w:r w:rsidRPr="00FC25F6">
              <w:rPr>
                <w:rFonts w:ascii="Book Antiqua" w:eastAsia="Times New Roman" w:hAnsi="Book Antiqua"/>
                <w:b/>
                <w:bCs/>
                <w:sz w:val="24"/>
                <w:szCs w:val="24"/>
              </w:rPr>
              <w:t xml:space="preserve"> value</w:t>
            </w:r>
          </w:p>
        </w:tc>
      </w:tr>
      <w:tr w:rsidR="00187450" w:rsidRPr="00FC25F6" w:rsidTr="002F1B0C">
        <w:tc>
          <w:tcPr>
            <w:tcW w:w="13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Age</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0.98</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0.96</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0.99</w:t>
            </w:r>
          </w:p>
        </w:tc>
        <w:tc>
          <w:tcPr>
            <w:tcW w:w="2654"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0.030</w:t>
            </w:r>
          </w:p>
        </w:tc>
      </w:tr>
      <w:tr w:rsidR="00187450" w:rsidRPr="00FC25F6" w:rsidTr="00055CE5">
        <w:tc>
          <w:tcPr>
            <w:tcW w:w="13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 of blood units</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1.46</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1.32</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1.62</w:t>
            </w:r>
          </w:p>
        </w:tc>
        <w:tc>
          <w:tcPr>
            <w:tcW w:w="2654"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13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Sepsis</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2.95</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1.26</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6.94</w:t>
            </w:r>
          </w:p>
        </w:tc>
        <w:tc>
          <w:tcPr>
            <w:tcW w:w="2654"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0.008</w:t>
            </w:r>
          </w:p>
        </w:tc>
      </w:tr>
      <w:tr w:rsidR="00187450" w:rsidRPr="00FC25F6" w:rsidTr="00055CE5">
        <w:tc>
          <w:tcPr>
            <w:tcW w:w="13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1.41</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1.25</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1.58</w:t>
            </w:r>
          </w:p>
        </w:tc>
        <w:tc>
          <w:tcPr>
            <w:tcW w:w="2654"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1326" w:type="dxa"/>
            <w:tcBorders>
              <w:left w:val="nil"/>
              <w:right w:val="nil"/>
            </w:tcBorders>
            <w:shd w:val="clear" w:color="auto" w:fill="auto"/>
          </w:tcPr>
          <w:p w:rsidR="00F77C16" w:rsidRPr="00FC25F6" w:rsidRDefault="0093696F"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 xml:space="preserve">Simple therapy </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3.18</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1.92</w:t>
            </w:r>
          </w:p>
        </w:tc>
        <w:tc>
          <w:tcPr>
            <w:tcW w:w="1327"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5.28</w:t>
            </w:r>
          </w:p>
        </w:tc>
        <w:tc>
          <w:tcPr>
            <w:tcW w:w="2654"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055CE5">
        <w:tc>
          <w:tcPr>
            <w:tcW w:w="1326" w:type="dxa"/>
            <w:shd w:val="clear" w:color="auto" w:fill="auto"/>
          </w:tcPr>
          <w:p w:rsidR="00F77C16" w:rsidRPr="00FC25F6" w:rsidRDefault="0093696F"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Combined therapy</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1.75</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1.31</w:t>
            </w:r>
          </w:p>
        </w:tc>
        <w:tc>
          <w:tcPr>
            <w:tcW w:w="1327"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2.33</w:t>
            </w:r>
          </w:p>
        </w:tc>
        <w:tc>
          <w:tcPr>
            <w:tcW w:w="2654"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bl>
    <w:p w:rsidR="00FB33E7" w:rsidRPr="00FC25F6" w:rsidRDefault="00FB33E7" w:rsidP="00DE7591">
      <w:pPr>
        <w:spacing w:after="0" w:line="360" w:lineRule="auto"/>
        <w:jc w:val="both"/>
        <w:rPr>
          <w:rFonts w:ascii="Book Antiqua" w:hAnsi="Book Antiqua"/>
          <w:sz w:val="24"/>
          <w:szCs w:val="24"/>
        </w:rPr>
      </w:pPr>
    </w:p>
    <w:p w:rsidR="00F77C16" w:rsidRPr="00FC25F6" w:rsidRDefault="002F1B0C" w:rsidP="00DE7591">
      <w:pPr>
        <w:spacing w:after="0" w:line="360" w:lineRule="auto"/>
        <w:jc w:val="both"/>
        <w:rPr>
          <w:rFonts w:ascii="Book Antiqua" w:hAnsi="Book Antiqua"/>
          <w:b/>
          <w:sz w:val="24"/>
          <w:szCs w:val="24"/>
        </w:rPr>
      </w:pPr>
      <w:r w:rsidRPr="00FC25F6">
        <w:rPr>
          <w:rFonts w:ascii="Book Antiqua" w:hAnsi="Book Antiqua" w:cs="Courier New"/>
          <w:b/>
          <w:sz w:val="24"/>
          <w:szCs w:val="24"/>
        </w:rPr>
        <w:br w:type="page"/>
      </w:r>
      <w:r w:rsidR="00F77C16" w:rsidRPr="00FC25F6">
        <w:rPr>
          <w:rFonts w:ascii="Book Antiqua" w:hAnsi="Book Antiqua"/>
          <w:b/>
          <w:sz w:val="24"/>
          <w:szCs w:val="24"/>
        </w:rPr>
        <w:lastRenderedPageBreak/>
        <w:t>Table 5 Clinical and laboratory parameters of the study population: association with deaths due to bleeding</w:t>
      </w:r>
    </w:p>
    <w:tbl>
      <w:tblPr>
        <w:tblW w:w="0" w:type="auto"/>
        <w:tblBorders>
          <w:top w:val="single" w:sz="8" w:space="0" w:color="000000"/>
          <w:bottom w:val="single" w:sz="8" w:space="0" w:color="000000"/>
        </w:tblBorders>
        <w:tblLook w:val="04A0" w:firstRow="1" w:lastRow="0" w:firstColumn="1" w:lastColumn="0" w:noHBand="0" w:noVBand="1"/>
      </w:tblPr>
      <w:tblGrid>
        <w:gridCol w:w="1860"/>
        <w:gridCol w:w="1500"/>
        <w:gridCol w:w="1480"/>
        <w:gridCol w:w="1500"/>
      </w:tblGrid>
      <w:tr w:rsidR="00187450" w:rsidRPr="00FC25F6" w:rsidTr="002F1B0C">
        <w:tc>
          <w:tcPr>
            <w:tcW w:w="1638"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Parameters</w:t>
            </w:r>
          </w:p>
          <w:p w:rsidR="00F77C16" w:rsidRPr="00FC25F6" w:rsidRDefault="00F77C16" w:rsidP="00DE7591">
            <w:pPr>
              <w:spacing w:after="0" w:line="360" w:lineRule="auto"/>
              <w:jc w:val="both"/>
              <w:rPr>
                <w:rFonts w:ascii="Book Antiqua" w:eastAsia="Times New Roman" w:hAnsi="Book Antiqua"/>
                <w:b/>
                <w:bCs/>
                <w:sz w:val="24"/>
                <w:szCs w:val="24"/>
              </w:rPr>
            </w:pPr>
          </w:p>
        </w:tc>
        <w:tc>
          <w:tcPr>
            <w:tcW w:w="1500"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Deaths due to bleeding</w:t>
            </w:r>
          </w:p>
        </w:tc>
        <w:tc>
          <w:tcPr>
            <w:tcW w:w="1480"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Median (IQ range)</w:t>
            </w:r>
          </w:p>
        </w:tc>
        <w:tc>
          <w:tcPr>
            <w:tcW w:w="1500"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 value</w:t>
            </w:r>
          </w:p>
        </w:tc>
      </w:tr>
      <w:tr w:rsidR="00187450" w:rsidRPr="00FC25F6" w:rsidTr="002F1B0C">
        <w:tc>
          <w:tcPr>
            <w:tcW w:w="1638" w:type="dxa"/>
            <w:vMerge w:val="restart"/>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Age (years)</w:t>
            </w:r>
          </w:p>
        </w:tc>
        <w:tc>
          <w:tcPr>
            <w:tcW w:w="1500" w:type="dxa"/>
            <w:tcBorders>
              <w:left w:val="nil"/>
              <w:right w:val="nil"/>
            </w:tcBorders>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w:t>
            </w:r>
            <w:r w:rsidR="00F77C16" w:rsidRPr="00FC25F6">
              <w:rPr>
                <w:rFonts w:ascii="Book Antiqua" w:eastAsia="Times New Roman" w:hAnsi="Book Antiqua"/>
                <w:sz w:val="24"/>
                <w:szCs w:val="24"/>
              </w:rPr>
              <w:t>o</w:t>
            </w:r>
          </w:p>
        </w:tc>
        <w:tc>
          <w:tcPr>
            <w:tcW w:w="148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65 (55-76) </w:t>
            </w:r>
          </w:p>
        </w:tc>
        <w:tc>
          <w:tcPr>
            <w:tcW w:w="150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0.012</w:t>
            </w:r>
          </w:p>
        </w:tc>
      </w:tr>
      <w:tr w:rsidR="00187450" w:rsidRPr="00FC25F6" w:rsidTr="002F1B0C">
        <w:tc>
          <w:tcPr>
            <w:tcW w:w="1638" w:type="dxa"/>
            <w:vMerge/>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1500" w:type="dxa"/>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w:t>
            </w:r>
            <w:r w:rsidR="00F77C16" w:rsidRPr="00FC25F6">
              <w:rPr>
                <w:rFonts w:ascii="Book Antiqua" w:eastAsia="Times New Roman" w:hAnsi="Book Antiqua"/>
                <w:sz w:val="24"/>
                <w:szCs w:val="24"/>
              </w:rPr>
              <w:t>es</w:t>
            </w:r>
          </w:p>
        </w:tc>
        <w:tc>
          <w:tcPr>
            <w:tcW w:w="148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72 (57-82) </w:t>
            </w:r>
          </w:p>
        </w:tc>
        <w:tc>
          <w:tcPr>
            <w:tcW w:w="150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r>
      <w:tr w:rsidR="00187450" w:rsidRPr="00FC25F6" w:rsidTr="002F1B0C">
        <w:tc>
          <w:tcPr>
            <w:tcW w:w="1638" w:type="dxa"/>
            <w:vMerge w:val="restart"/>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500" w:type="dxa"/>
            <w:tcBorders>
              <w:left w:val="nil"/>
              <w:right w:val="nil"/>
            </w:tcBorders>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w:t>
            </w:r>
            <w:r w:rsidR="00F77C16" w:rsidRPr="00FC25F6">
              <w:rPr>
                <w:rFonts w:ascii="Book Antiqua" w:eastAsia="Times New Roman" w:hAnsi="Book Antiqua"/>
                <w:sz w:val="24"/>
                <w:szCs w:val="24"/>
              </w:rPr>
              <w:t>o</w:t>
            </w:r>
          </w:p>
        </w:tc>
        <w:tc>
          <w:tcPr>
            <w:tcW w:w="148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 (3-6)</w:t>
            </w:r>
          </w:p>
        </w:tc>
        <w:tc>
          <w:tcPr>
            <w:tcW w:w="150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2F1B0C"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2F1B0C">
        <w:tc>
          <w:tcPr>
            <w:tcW w:w="1638" w:type="dxa"/>
            <w:vMerge/>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1500" w:type="dxa"/>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w:t>
            </w:r>
            <w:r w:rsidR="00F77C16" w:rsidRPr="00FC25F6">
              <w:rPr>
                <w:rFonts w:ascii="Book Antiqua" w:eastAsia="Times New Roman" w:hAnsi="Book Antiqua"/>
                <w:sz w:val="24"/>
                <w:szCs w:val="24"/>
              </w:rPr>
              <w:t>es</w:t>
            </w:r>
          </w:p>
        </w:tc>
        <w:tc>
          <w:tcPr>
            <w:tcW w:w="148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7 (7-8) </w:t>
            </w:r>
          </w:p>
        </w:tc>
        <w:tc>
          <w:tcPr>
            <w:tcW w:w="150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r>
      <w:tr w:rsidR="00187450" w:rsidRPr="00FC25F6" w:rsidTr="002F1B0C">
        <w:tc>
          <w:tcPr>
            <w:tcW w:w="1638" w:type="dxa"/>
            <w:vMerge w:val="restart"/>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Hb</w:t>
            </w:r>
            <w:proofErr w:type="spellEnd"/>
            <w:r w:rsidRPr="00FC25F6">
              <w:rPr>
                <w:rFonts w:ascii="Book Antiqua" w:eastAsia="Times New Roman" w:hAnsi="Book Antiqua"/>
                <w:sz w:val="24"/>
                <w:szCs w:val="24"/>
              </w:rPr>
              <w:t xml:space="preserve"> (g/</w:t>
            </w:r>
            <w:proofErr w:type="spellStart"/>
            <w:r w:rsidRPr="00FC25F6">
              <w:rPr>
                <w:rFonts w:ascii="Book Antiqua" w:eastAsia="Times New Roman" w:hAnsi="Book Antiqua"/>
                <w:sz w:val="24"/>
                <w:szCs w:val="24"/>
              </w:rPr>
              <w:t>dL</w:t>
            </w:r>
            <w:proofErr w:type="spellEnd"/>
            <w:r w:rsidRPr="00FC25F6">
              <w:rPr>
                <w:rFonts w:ascii="Book Antiqua" w:eastAsia="Times New Roman" w:hAnsi="Book Antiqua"/>
                <w:sz w:val="24"/>
                <w:szCs w:val="24"/>
              </w:rPr>
              <w:t>)</w:t>
            </w:r>
          </w:p>
        </w:tc>
        <w:tc>
          <w:tcPr>
            <w:tcW w:w="1500" w:type="dxa"/>
            <w:tcBorders>
              <w:left w:val="nil"/>
              <w:right w:val="nil"/>
            </w:tcBorders>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w:t>
            </w:r>
            <w:r w:rsidR="00F77C16" w:rsidRPr="00FC25F6">
              <w:rPr>
                <w:rFonts w:ascii="Book Antiqua" w:eastAsia="Times New Roman" w:hAnsi="Book Antiqua"/>
                <w:sz w:val="24"/>
                <w:szCs w:val="24"/>
              </w:rPr>
              <w:t>o</w:t>
            </w:r>
          </w:p>
        </w:tc>
        <w:tc>
          <w:tcPr>
            <w:tcW w:w="148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8 (7-11)</w:t>
            </w:r>
          </w:p>
        </w:tc>
        <w:tc>
          <w:tcPr>
            <w:tcW w:w="150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2F1B0C"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2F1B0C">
        <w:tc>
          <w:tcPr>
            <w:tcW w:w="1638" w:type="dxa"/>
            <w:vMerge/>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1500" w:type="dxa"/>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w:t>
            </w:r>
            <w:r w:rsidR="00F77C16" w:rsidRPr="00FC25F6">
              <w:rPr>
                <w:rFonts w:ascii="Book Antiqua" w:eastAsia="Times New Roman" w:hAnsi="Book Antiqua"/>
                <w:sz w:val="24"/>
                <w:szCs w:val="24"/>
              </w:rPr>
              <w:t>es</w:t>
            </w:r>
          </w:p>
        </w:tc>
        <w:tc>
          <w:tcPr>
            <w:tcW w:w="148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7 (5-8) </w:t>
            </w:r>
          </w:p>
        </w:tc>
        <w:tc>
          <w:tcPr>
            <w:tcW w:w="150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r>
      <w:tr w:rsidR="00187450" w:rsidRPr="00FC25F6" w:rsidTr="002F1B0C">
        <w:tc>
          <w:tcPr>
            <w:tcW w:w="1638" w:type="dxa"/>
            <w:vMerge w:val="restart"/>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Hospitalization length (days)</w:t>
            </w:r>
          </w:p>
        </w:tc>
        <w:tc>
          <w:tcPr>
            <w:tcW w:w="1500" w:type="dxa"/>
            <w:tcBorders>
              <w:left w:val="nil"/>
              <w:right w:val="nil"/>
            </w:tcBorders>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w:t>
            </w:r>
            <w:r w:rsidR="00F77C16" w:rsidRPr="00FC25F6">
              <w:rPr>
                <w:rFonts w:ascii="Book Antiqua" w:eastAsia="Times New Roman" w:hAnsi="Book Antiqua"/>
                <w:sz w:val="24"/>
                <w:szCs w:val="24"/>
              </w:rPr>
              <w:t>o</w:t>
            </w:r>
          </w:p>
        </w:tc>
        <w:tc>
          <w:tcPr>
            <w:tcW w:w="148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5 (3-7) </w:t>
            </w:r>
          </w:p>
        </w:tc>
        <w:tc>
          <w:tcPr>
            <w:tcW w:w="1500"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2F1B0C"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2F1B0C">
        <w:tc>
          <w:tcPr>
            <w:tcW w:w="1638" w:type="dxa"/>
            <w:vMerge/>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p>
        </w:tc>
        <w:tc>
          <w:tcPr>
            <w:tcW w:w="1500" w:type="dxa"/>
            <w:shd w:val="clear" w:color="auto" w:fill="auto"/>
          </w:tcPr>
          <w:p w:rsidR="00F77C16" w:rsidRPr="00FC25F6" w:rsidRDefault="00C7655B"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w:t>
            </w:r>
            <w:r w:rsidR="00F77C16" w:rsidRPr="00FC25F6">
              <w:rPr>
                <w:rFonts w:ascii="Book Antiqua" w:eastAsia="Times New Roman" w:hAnsi="Book Antiqua"/>
                <w:sz w:val="24"/>
                <w:szCs w:val="24"/>
              </w:rPr>
              <w:t>es</w:t>
            </w:r>
          </w:p>
        </w:tc>
        <w:tc>
          <w:tcPr>
            <w:tcW w:w="148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1 (1-2) </w:t>
            </w:r>
          </w:p>
        </w:tc>
        <w:tc>
          <w:tcPr>
            <w:tcW w:w="1500"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r>
    </w:tbl>
    <w:p w:rsidR="00F65B32" w:rsidRPr="00FC25F6" w:rsidRDefault="00F77C16" w:rsidP="00DE7591">
      <w:pPr>
        <w:spacing w:after="0" w:line="360" w:lineRule="auto"/>
        <w:jc w:val="both"/>
        <w:rPr>
          <w:rFonts w:ascii="Book Antiqua" w:hAnsi="Book Antiqua"/>
          <w:sz w:val="24"/>
          <w:szCs w:val="24"/>
        </w:rPr>
      </w:pPr>
      <w:proofErr w:type="spellStart"/>
      <w:r w:rsidRPr="00FC25F6">
        <w:rPr>
          <w:rFonts w:ascii="Book Antiqua" w:hAnsi="Book Antiqua"/>
          <w:sz w:val="24"/>
          <w:szCs w:val="24"/>
        </w:rPr>
        <w:t>Hb</w:t>
      </w:r>
      <w:proofErr w:type="spellEnd"/>
      <w:r w:rsidR="002F1B0C" w:rsidRPr="00FC25F6">
        <w:rPr>
          <w:rFonts w:ascii="Book Antiqua" w:hAnsi="Book Antiqua"/>
          <w:sz w:val="24"/>
          <w:szCs w:val="24"/>
        </w:rPr>
        <w:t>:</w:t>
      </w:r>
      <w:r w:rsidRPr="00FC25F6">
        <w:rPr>
          <w:rFonts w:ascii="Book Antiqua" w:hAnsi="Book Antiqua"/>
          <w:sz w:val="24"/>
          <w:szCs w:val="24"/>
        </w:rPr>
        <w:t xml:space="preserve"> </w:t>
      </w:r>
      <w:r w:rsidR="002F1B0C" w:rsidRPr="00FC25F6">
        <w:rPr>
          <w:rFonts w:ascii="Book Antiqua" w:hAnsi="Book Antiqua"/>
          <w:sz w:val="24"/>
          <w:szCs w:val="24"/>
        </w:rPr>
        <w:t xml:space="preserve">Hemoglobin </w:t>
      </w:r>
      <w:r w:rsidRPr="00FC25F6">
        <w:rPr>
          <w:rFonts w:ascii="Book Antiqua" w:hAnsi="Book Antiqua"/>
          <w:sz w:val="24"/>
          <w:szCs w:val="24"/>
        </w:rPr>
        <w:t>value; IQ range</w:t>
      </w:r>
      <w:r w:rsidR="002F1B0C" w:rsidRPr="00FC25F6">
        <w:rPr>
          <w:rFonts w:ascii="Book Antiqua" w:hAnsi="Book Antiqua"/>
          <w:sz w:val="24"/>
          <w:szCs w:val="24"/>
        </w:rPr>
        <w:t>:</w:t>
      </w:r>
      <w:r w:rsidRPr="00FC25F6">
        <w:rPr>
          <w:rFonts w:ascii="Book Antiqua" w:hAnsi="Book Antiqua"/>
          <w:sz w:val="24"/>
          <w:szCs w:val="24"/>
        </w:rPr>
        <w:t xml:space="preserve"> </w:t>
      </w:r>
      <w:r w:rsidR="002F1B0C" w:rsidRPr="00FC25F6">
        <w:rPr>
          <w:rFonts w:ascii="Book Antiqua" w:hAnsi="Book Antiqua"/>
          <w:sz w:val="24"/>
          <w:szCs w:val="24"/>
        </w:rPr>
        <w:t xml:space="preserve">Interquartile </w:t>
      </w:r>
      <w:r w:rsidRPr="00FC25F6">
        <w:rPr>
          <w:rFonts w:ascii="Book Antiqua" w:hAnsi="Book Antiqua"/>
          <w:sz w:val="24"/>
          <w:szCs w:val="24"/>
        </w:rPr>
        <w:t>range</w:t>
      </w:r>
      <w:r w:rsidR="002F1B0C" w:rsidRPr="00FC25F6">
        <w:rPr>
          <w:rFonts w:ascii="Book Antiqua" w:hAnsi="Book Antiqua"/>
          <w:sz w:val="24"/>
          <w:szCs w:val="24"/>
        </w:rPr>
        <w:t>.</w:t>
      </w:r>
    </w:p>
    <w:p w:rsidR="00F65B32" w:rsidRPr="00FC25F6" w:rsidRDefault="002F1B0C" w:rsidP="00DE7591">
      <w:pPr>
        <w:spacing w:after="0" w:line="360" w:lineRule="auto"/>
        <w:jc w:val="both"/>
        <w:rPr>
          <w:rFonts w:ascii="Book Antiqua" w:hAnsi="Book Antiqua"/>
          <w:b/>
          <w:bCs/>
          <w:sz w:val="24"/>
          <w:szCs w:val="24"/>
        </w:rPr>
      </w:pPr>
      <w:r w:rsidRPr="00FC25F6">
        <w:rPr>
          <w:rFonts w:ascii="Book Antiqua" w:hAnsi="Book Antiqua"/>
          <w:b/>
          <w:bCs/>
          <w:sz w:val="24"/>
          <w:szCs w:val="24"/>
        </w:rPr>
        <w:br w:type="page"/>
      </w:r>
      <w:r w:rsidR="00F65B32" w:rsidRPr="00FC25F6">
        <w:rPr>
          <w:rFonts w:ascii="Book Antiqua" w:hAnsi="Book Antiqua"/>
          <w:b/>
          <w:bCs/>
          <w:sz w:val="24"/>
          <w:szCs w:val="24"/>
        </w:rPr>
        <w:lastRenderedPageBreak/>
        <w:t>Table 6 Clinical and endoscopic features of the study population: association with deaths due to bleeding</w:t>
      </w:r>
    </w:p>
    <w:tbl>
      <w:tblPr>
        <w:tblpPr w:leftFromText="180" w:rightFromText="180" w:vertAnchor="text" w:tblpY="1"/>
        <w:tblOverlap w:val="never"/>
        <w:tblW w:w="0" w:type="auto"/>
        <w:tblBorders>
          <w:top w:val="single" w:sz="8" w:space="0" w:color="000000"/>
          <w:bottom w:val="single" w:sz="8" w:space="0" w:color="000000"/>
        </w:tblBorders>
        <w:tblLook w:val="04A0" w:firstRow="1" w:lastRow="0" w:firstColumn="1" w:lastColumn="0" w:noHBand="0" w:noVBand="1"/>
      </w:tblPr>
      <w:tblGrid>
        <w:gridCol w:w="3085"/>
        <w:gridCol w:w="2126"/>
        <w:gridCol w:w="2268"/>
        <w:gridCol w:w="1276"/>
      </w:tblGrid>
      <w:tr w:rsidR="00187450" w:rsidRPr="00FC25F6" w:rsidTr="002F1B0C">
        <w:tc>
          <w:tcPr>
            <w:tcW w:w="3085"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w:t>
            </w:r>
          </w:p>
          <w:p w:rsidR="00F77C16" w:rsidRPr="00FC25F6" w:rsidRDefault="00F77C16" w:rsidP="00DE7591">
            <w:pPr>
              <w:spacing w:after="0" w:line="360" w:lineRule="auto"/>
              <w:jc w:val="both"/>
              <w:rPr>
                <w:rFonts w:ascii="Book Antiqua" w:eastAsia="Times New Roman" w:hAnsi="Book Antiqua"/>
                <w:b/>
                <w:bCs/>
                <w:sz w:val="24"/>
                <w:szCs w:val="24"/>
              </w:rPr>
            </w:pPr>
          </w:p>
        </w:tc>
        <w:tc>
          <w:tcPr>
            <w:tcW w:w="2126"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Survivors</w:t>
            </w:r>
            <w:r w:rsidR="002F1B0C" w:rsidRPr="00FC25F6">
              <w:rPr>
                <w:rFonts w:ascii="Book Antiqua" w:hAnsi="Book Antiqua"/>
                <w:b/>
                <w:bCs/>
                <w:sz w:val="24"/>
                <w:szCs w:val="24"/>
                <w:lang w:eastAsia="zh-CN"/>
              </w:rPr>
              <w:t xml:space="preserve"> </w:t>
            </w:r>
            <w:r w:rsidRPr="00FC25F6">
              <w:rPr>
                <w:rFonts w:ascii="Book Antiqua" w:eastAsia="Times New Roman" w:hAnsi="Book Antiqua"/>
                <w:b/>
                <w:bCs/>
                <w:sz w:val="24"/>
                <w:szCs w:val="24"/>
              </w:rPr>
              <w:t>(no. pts)</w:t>
            </w:r>
          </w:p>
        </w:tc>
        <w:tc>
          <w:tcPr>
            <w:tcW w:w="2268"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Deaths due to bleeding</w:t>
            </w:r>
            <w:r w:rsidR="002F1B0C" w:rsidRPr="00FC25F6">
              <w:rPr>
                <w:rFonts w:ascii="Book Antiqua" w:hAnsi="Book Antiqua"/>
                <w:b/>
                <w:bCs/>
                <w:sz w:val="24"/>
                <w:szCs w:val="24"/>
                <w:lang w:eastAsia="zh-CN"/>
              </w:rPr>
              <w:t xml:space="preserve"> </w:t>
            </w:r>
            <w:r w:rsidRPr="00FC25F6">
              <w:rPr>
                <w:rFonts w:ascii="Book Antiqua" w:eastAsia="Times New Roman" w:hAnsi="Book Antiqua"/>
                <w:b/>
                <w:bCs/>
                <w:sz w:val="24"/>
                <w:szCs w:val="24"/>
              </w:rPr>
              <w:t>(no. pts)</w:t>
            </w:r>
          </w:p>
        </w:tc>
        <w:tc>
          <w:tcPr>
            <w:tcW w:w="1276" w:type="dxa"/>
            <w:tcBorders>
              <w:top w:val="single" w:sz="8" w:space="0" w:color="000000"/>
              <w:left w:val="nil"/>
              <w:bottom w:val="single" w:sz="8" w:space="0" w:color="000000"/>
              <w:right w:val="nil"/>
            </w:tcBorders>
            <w:shd w:val="clear" w:color="auto" w:fill="auto"/>
          </w:tcPr>
          <w:p w:rsidR="00F77C16" w:rsidRPr="00FC25F6" w:rsidRDefault="00F77C16"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i/>
                <w:iCs/>
                <w:sz w:val="24"/>
                <w:szCs w:val="24"/>
              </w:rPr>
              <w:t>P</w:t>
            </w:r>
            <w:r w:rsidRPr="00FC25F6">
              <w:rPr>
                <w:rFonts w:ascii="Book Antiqua" w:eastAsia="Times New Roman" w:hAnsi="Book Antiqua"/>
                <w:b/>
                <w:bCs/>
                <w:sz w:val="24"/>
                <w:szCs w:val="24"/>
              </w:rPr>
              <w:t xml:space="preserve"> value</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Gender</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1534</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47</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0.989</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Lesion</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1534 </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47</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0.140</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1514</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43</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Simple therapy</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167</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7</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0.196</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Combined therapy</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363</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12</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0.966</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SBP &lt;</w:t>
            </w:r>
            <w:r w:rsidR="002F1B0C" w:rsidRPr="00FC25F6">
              <w:rPr>
                <w:rFonts w:ascii="Book Antiqua" w:eastAsia="Times New Roman" w:hAnsi="Book Antiqua"/>
                <w:sz w:val="24"/>
                <w:szCs w:val="24"/>
              </w:rPr>
              <w:t xml:space="preserve"> </w:t>
            </w:r>
            <w:r w:rsidRPr="00FC25F6">
              <w:rPr>
                <w:rFonts w:ascii="Book Antiqua" w:eastAsia="Times New Roman" w:hAnsi="Book Antiqua"/>
                <w:sz w:val="24"/>
                <w:szCs w:val="24"/>
              </w:rPr>
              <w:t>100 mmHg</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252</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36</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Pulse &gt;100 beats per minute</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429</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34</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Rebleeding</w:t>
            </w:r>
            <w:proofErr w:type="spellEnd"/>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113</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 blood units</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1532</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47</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Aspirin</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310</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0.451</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NSAIDs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240</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0.350</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Surgery</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51</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0.204</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Antiaggregants</w:t>
            </w:r>
            <w:proofErr w:type="spellEnd"/>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104</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0.179</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Anticoagulants</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93</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0.110</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Cardiovascular comorbidities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0.221</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Diabetes mellitus</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189</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0.224</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Respiratory comorbidities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189</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17</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2F1B0C"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Renal comorbidities</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320</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0.945</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Liver cirrhosis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134</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0.145</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Neoplasias</w:t>
            </w:r>
            <w:proofErr w:type="spellEnd"/>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248</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0.876</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Neurologic comorbidities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209</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0.556</w:t>
            </w:r>
          </w:p>
        </w:tc>
      </w:tr>
      <w:tr w:rsidR="00187450" w:rsidRPr="00FC25F6" w:rsidTr="002F1B0C">
        <w:tc>
          <w:tcPr>
            <w:tcW w:w="3085"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Obesity</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133</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0.113</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Sepsis</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42</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0.002</w:t>
            </w:r>
          </w:p>
        </w:tc>
      </w:tr>
      <w:tr w:rsidR="00187450" w:rsidRPr="00FC25F6" w:rsidTr="002F1B0C">
        <w:tc>
          <w:tcPr>
            <w:tcW w:w="3085" w:type="dxa"/>
            <w:tcBorders>
              <w:left w:val="nil"/>
              <w:right w:val="nil"/>
            </w:tcBorders>
            <w:shd w:val="clear" w:color="auto" w:fill="auto"/>
          </w:tcPr>
          <w:p w:rsidR="00F77C16" w:rsidRPr="00FC25F6" w:rsidRDefault="00F65B32"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w:t>
            </w:r>
            <w:r w:rsidR="00F77C16" w:rsidRPr="00FC25F6">
              <w:rPr>
                <w:rFonts w:ascii="Book Antiqua" w:eastAsia="Times New Roman" w:hAnsi="Book Antiqua"/>
                <w:sz w:val="24"/>
                <w:szCs w:val="24"/>
              </w:rPr>
              <w:t>cute pancreatitis</w:t>
            </w:r>
          </w:p>
        </w:tc>
        <w:tc>
          <w:tcPr>
            <w:tcW w:w="212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w:t>
            </w:r>
          </w:p>
        </w:tc>
        <w:tc>
          <w:tcPr>
            <w:tcW w:w="2268"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w:t>
            </w:r>
          </w:p>
        </w:tc>
        <w:tc>
          <w:tcPr>
            <w:tcW w:w="1276" w:type="dxa"/>
            <w:tcBorders>
              <w:left w:val="nil"/>
              <w:right w:val="nil"/>
            </w:tcBorders>
            <w:shd w:val="clear" w:color="auto" w:fill="auto"/>
          </w:tcPr>
          <w:p w:rsidR="00F77C16" w:rsidRPr="00FC25F6" w:rsidRDefault="00F77C16"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0.620</w:t>
            </w:r>
          </w:p>
        </w:tc>
      </w:tr>
      <w:tr w:rsidR="00187450" w:rsidRPr="00FC25F6" w:rsidTr="002F1B0C">
        <w:tc>
          <w:tcPr>
            <w:tcW w:w="3085"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Acute abdomen</w:t>
            </w:r>
          </w:p>
        </w:tc>
        <w:tc>
          <w:tcPr>
            <w:tcW w:w="212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w:t>
            </w:r>
          </w:p>
        </w:tc>
        <w:tc>
          <w:tcPr>
            <w:tcW w:w="2268"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w:t>
            </w:r>
          </w:p>
        </w:tc>
        <w:tc>
          <w:tcPr>
            <w:tcW w:w="1276" w:type="dxa"/>
            <w:shd w:val="clear" w:color="auto" w:fill="auto"/>
          </w:tcPr>
          <w:p w:rsidR="00F77C16" w:rsidRPr="00FC25F6" w:rsidRDefault="00F77C16"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0.048</w:t>
            </w:r>
          </w:p>
        </w:tc>
      </w:tr>
    </w:tbl>
    <w:p w:rsidR="00F65B32" w:rsidRPr="00FC25F6" w:rsidRDefault="00F65B32" w:rsidP="00DE7591">
      <w:pPr>
        <w:spacing w:after="0" w:line="360" w:lineRule="auto"/>
        <w:jc w:val="both"/>
        <w:rPr>
          <w:rFonts w:ascii="Book Antiqua" w:hAnsi="Book Antiqua"/>
          <w:bCs/>
          <w:sz w:val="24"/>
          <w:szCs w:val="24"/>
        </w:rPr>
      </w:pPr>
      <w:r w:rsidRPr="00FC25F6">
        <w:rPr>
          <w:rFonts w:ascii="Book Antiqua" w:hAnsi="Book Antiqua"/>
          <w:bCs/>
          <w:sz w:val="24"/>
          <w:szCs w:val="24"/>
        </w:rPr>
        <w:lastRenderedPageBreak/>
        <w:t>SBP</w:t>
      </w:r>
      <w:r w:rsidR="002F1B0C" w:rsidRPr="00FC25F6">
        <w:rPr>
          <w:rFonts w:ascii="Book Antiqua" w:hAnsi="Book Antiqua"/>
          <w:bCs/>
          <w:sz w:val="24"/>
          <w:szCs w:val="24"/>
        </w:rPr>
        <w:t>:</w:t>
      </w:r>
      <w:r w:rsidRPr="00FC25F6">
        <w:rPr>
          <w:rFonts w:ascii="Book Antiqua" w:hAnsi="Book Antiqua"/>
          <w:bCs/>
          <w:sz w:val="24"/>
          <w:szCs w:val="24"/>
        </w:rPr>
        <w:t xml:space="preserve"> </w:t>
      </w:r>
      <w:r w:rsidR="002F1B0C" w:rsidRPr="00FC25F6">
        <w:rPr>
          <w:rFonts w:ascii="Book Antiqua" w:hAnsi="Book Antiqua"/>
          <w:bCs/>
          <w:sz w:val="24"/>
          <w:szCs w:val="24"/>
        </w:rPr>
        <w:t xml:space="preserve">Systolic </w:t>
      </w:r>
      <w:r w:rsidRPr="00FC25F6">
        <w:rPr>
          <w:rFonts w:ascii="Book Antiqua" w:hAnsi="Book Antiqua"/>
          <w:bCs/>
          <w:sz w:val="24"/>
          <w:szCs w:val="24"/>
        </w:rPr>
        <w:t>blood pressure; NSAIDs</w:t>
      </w:r>
      <w:r w:rsidR="002F1B0C" w:rsidRPr="00FC25F6">
        <w:rPr>
          <w:rFonts w:ascii="Book Antiqua" w:hAnsi="Book Antiqua"/>
          <w:bCs/>
          <w:sz w:val="24"/>
          <w:szCs w:val="24"/>
        </w:rPr>
        <w:t>:</w:t>
      </w:r>
      <w:r w:rsidRPr="00FC25F6">
        <w:rPr>
          <w:rFonts w:ascii="Book Antiqua" w:hAnsi="Book Antiqua"/>
          <w:bCs/>
          <w:sz w:val="24"/>
          <w:szCs w:val="24"/>
        </w:rPr>
        <w:t xml:space="preserve"> </w:t>
      </w:r>
      <w:r w:rsidR="002F1B0C" w:rsidRPr="00FC25F6">
        <w:rPr>
          <w:rFonts w:ascii="Book Antiqua" w:hAnsi="Book Antiqua"/>
          <w:bCs/>
          <w:sz w:val="24"/>
          <w:szCs w:val="24"/>
        </w:rPr>
        <w:t>Non</w:t>
      </w:r>
      <w:r w:rsidR="002B592E" w:rsidRPr="00FC25F6">
        <w:rPr>
          <w:rFonts w:ascii="Book Antiqua" w:hAnsi="Book Antiqua"/>
          <w:bCs/>
          <w:sz w:val="24"/>
          <w:szCs w:val="24"/>
        </w:rPr>
        <w:t>-</w:t>
      </w:r>
      <w:r w:rsidRPr="00FC25F6">
        <w:rPr>
          <w:rFonts w:ascii="Book Antiqua" w:hAnsi="Book Antiqua"/>
          <w:bCs/>
          <w:sz w:val="24"/>
          <w:szCs w:val="24"/>
        </w:rPr>
        <w:t>steroidal anti-inflammatory drugs</w:t>
      </w:r>
      <w:r w:rsidR="002F1B0C" w:rsidRPr="00FC25F6">
        <w:rPr>
          <w:rFonts w:ascii="Book Antiqua" w:hAnsi="Book Antiqua"/>
          <w:bCs/>
          <w:sz w:val="24"/>
          <w:szCs w:val="24"/>
        </w:rPr>
        <w:t>.</w:t>
      </w:r>
    </w:p>
    <w:p w:rsidR="00FB33E7" w:rsidRPr="00FC25F6" w:rsidRDefault="002F1B0C" w:rsidP="00DE7591">
      <w:pPr>
        <w:spacing w:after="0" w:line="360" w:lineRule="auto"/>
        <w:jc w:val="both"/>
        <w:rPr>
          <w:rFonts w:ascii="Book Antiqua" w:hAnsi="Book Antiqua"/>
          <w:b/>
          <w:sz w:val="24"/>
          <w:szCs w:val="24"/>
        </w:rPr>
      </w:pPr>
      <w:r w:rsidRPr="00FC25F6">
        <w:rPr>
          <w:rFonts w:ascii="Book Antiqua" w:hAnsi="Book Antiqua"/>
          <w:sz w:val="24"/>
          <w:szCs w:val="24"/>
        </w:rPr>
        <w:br w:type="page"/>
      </w:r>
      <w:r w:rsidR="000D7114" w:rsidRPr="00FC25F6">
        <w:rPr>
          <w:rFonts w:ascii="Book Antiqua" w:hAnsi="Book Antiqua"/>
          <w:b/>
          <w:sz w:val="24"/>
          <w:szCs w:val="24"/>
        </w:rPr>
        <w:lastRenderedPageBreak/>
        <w:t>Table 7</w:t>
      </w:r>
      <w:r w:rsidR="00FB33E7" w:rsidRPr="00FC25F6">
        <w:rPr>
          <w:rFonts w:ascii="Book Antiqua" w:hAnsi="Book Antiqua"/>
          <w:b/>
          <w:sz w:val="24"/>
          <w:szCs w:val="24"/>
        </w:rPr>
        <w:t xml:space="preserve"> Clinical and laboratory parameters of the study population: association with deaths</w:t>
      </w:r>
    </w:p>
    <w:tbl>
      <w:tblPr>
        <w:tblW w:w="0" w:type="auto"/>
        <w:tblBorders>
          <w:top w:val="single" w:sz="8" w:space="0" w:color="000000"/>
          <w:bottom w:val="single" w:sz="8" w:space="0" w:color="000000"/>
        </w:tblBorders>
        <w:tblLook w:val="04A0" w:firstRow="1" w:lastRow="0" w:firstColumn="1" w:lastColumn="0" w:noHBand="0" w:noVBand="1"/>
      </w:tblPr>
      <w:tblGrid>
        <w:gridCol w:w="1860"/>
        <w:gridCol w:w="1503"/>
        <w:gridCol w:w="1505"/>
        <w:gridCol w:w="1494"/>
      </w:tblGrid>
      <w:tr w:rsidR="00187450" w:rsidRPr="00FC25F6" w:rsidTr="00F4522E">
        <w:tc>
          <w:tcPr>
            <w:tcW w:w="1638"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Parameters</w:t>
            </w:r>
          </w:p>
          <w:p w:rsidR="0023506E" w:rsidRPr="00FC25F6" w:rsidRDefault="0023506E" w:rsidP="00DE7591">
            <w:pPr>
              <w:spacing w:after="0" w:line="360" w:lineRule="auto"/>
              <w:jc w:val="both"/>
              <w:rPr>
                <w:rFonts w:ascii="Book Antiqua" w:eastAsia="Times New Roman" w:hAnsi="Book Antiqua"/>
                <w:b/>
                <w:bCs/>
                <w:sz w:val="24"/>
                <w:szCs w:val="24"/>
              </w:rPr>
            </w:pPr>
          </w:p>
        </w:tc>
        <w:tc>
          <w:tcPr>
            <w:tcW w:w="1503"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Deaths</w:t>
            </w:r>
          </w:p>
        </w:tc>
        <w:tc>
          <w:tcPr>
            <w:tcW w:w="1505"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Median (IQ range)</w:t>
            </w:r>
          </w:p>
        </w:tc>
        <w:tc>
          <w:tcPr>
            <w:tcW w:w="1494"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i/>
                <w:iCs/>
                <w:sz w:val="24"/>
                <w:szCs w:val="24"/>
              </w:rPr>
              <w:t>P</w:t>
            </w:r>
            <w:r w:rsidRPr="00FC25F6">
              <w:rPr>
                <w:rFonts w:ascii="Book Antiqua" w:eastAsia="Times New Roman" w:hAnsi="Book Antiqua"/>
                <w:b/>
                <w:bCs/>
                <w:sz w:val="24"/>
                <w:szCs w:val="24"/>
              </w:rPr>
              <w:t xml:space="preserve"> value</w:t>
            </w:r>
          </w:p>
        </w:tc>
      </w:tr>
      <w:tr w:rsidR="00187450" w:rsidRPr="00FC25F6" w:rsidTr="00F4522E">
        <w:tc>
          <w:tcPr>
            <w:tcW w:w="1638" w:type="dxa"/>
            <w:vMerge w:val="restart"/>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Age (</w:t>
            </w:r>
            <w:proofErr w:type="spellStart"/>
            <w:r w:rsidRPr="00FC25F6">
              <w:rPr>
                <w:rFonts w:ascii="Book Antiqua" w:eastAsia="Times New Roman" w:hAnsi="Book Antiqua"/>
                <w:sz w:val="24"/>
                <w:szCs w:val="24"/>
              </w:rPr>
              <w:t>yr</w:t>
            </w:r>
            <w:proofErr w:type="spellEnd"/>
            <w:r w:rsidRPr="00FC25F6">
              <w:rPr>
                <w:rFonts w:ascii="Book Antiqua" w:eastAsia="Times New Roman" w:hAnsi="Book Antiqua"/>
                <w:sz w:val="24"/>
                <w:szCs w:val="24"/>
              </w:rPr>
              <w:t>)</w:t>
            </w:r>
          </w:p>
        </w:tc>
        <w:tc>
          <w:tcPr>
            <w:tcW w:w="15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w:t>
            </w:r>
          </w:p>
        </w:tc>
        <w:tc>
          <w:tcPr>
            <w:tcW w:w="1505"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65 (55-76)</w:t>
            </w:r>
          </w:p>
        </w:tc>
        <w:tc>
          <w:tcPr>
            <w:tcW w:w="149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0.001</w:t>
            </w:r>
          </w:p>
        </w:tc>
      </w:tr>
      <w:tr w:rsidR="00187450" w:rsidRPr="00FC25F6" w:rsidTr="00F4522E">
        <w:tc>
          <w:tcPr>
            <w:tcW w:w="1638" w:type="dxa"/>
            <w:vMerge/>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c>
          <w:tcPr>
            <w:tcW w:w="15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yes</w:t>
            </w:r>
          </w:p>
        </w:tc>
        <w:tc>
          <w:tcPr>
            <w:tcW w:w="1505"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70 (58-80)</w:t>
            </w:r>
          </w:p>
        </w:tc>
        <w:tc>
          <w:tcPr>
            <w:tcW w:w="149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r>
      <w:tr w:rsidR="00187450" w:rsidRPr="00FC25F6" w:rsidTr="00F4522E">
        <w:tc>
          <w:tcPr>
            <w:tcW w:w="1638" w:type="dxa"/>
            <w:vMerge w:val="restart"/>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5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w:t>
            </w:r>
          </w:p>
        </w:tc>
        <w:tc>
          <w:tcPr>
            <w:tcW w:w="1505"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5 (3-6) </w:t>
            </w:r>
          </w:p>
        </w:tc>
        <w:tc>
          <w:tcPr>
            <w:tcW w:w="149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F4522E"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F4522E">
        <w:tc>
          <w:tcPr>
            <w:tcW w:w="1638" w:type="dxa"/>
            <w:vMerge/>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c>
          <w:tcPr>
            <w:tcW w:w="15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yes</w:t>
            </w:r>
          </w:p>
        </w:tc>
        <w:tc>
          <w:tcPr>
            <w:tcW w:w="1505"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7 (6-8)</w:t>
            </w:r>
          </w:p>
        </w:tc>
        <w:tc>
          <w:tcPr>
            <w:tcW w:w="149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r>
      <w:tr w:rsidR="00187450" w:rsidRPr="00FC25F6" w:rsidTr="00F4522E">
        <w:tc>
          <w:tcPr>
            <w:tcW w:w="1638" w:type="dxa"/>
            <w:vMerge w:val="restart"/>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Hb</w:t>
            </w:r>
            <w:proofErr w:type="spellEnd"/>
            <w:r w:rsidRPr="00FC25F6">
              <w:rPr>
                <w:rFonts w:ascii="Book Antiqua" w:eastAsia="Times New Roman" w:hAnsi="Book Antiqua"/>
                <w:sz w:val="24"/>
                <w:szCs w:val="24"/>
              </w:rPr>
              <w:t xml:space="preserve"> (g/</w:t>
            </w:r>
            <w:proofErr w:type="spellStart"/>
            <w:r w:rsidRPr="00FC25F6">
              <w:rPr>
                <w:rFonts w:ascii="Book Antiqua" w:eastAsia="Times New Roman" w:hAnsi="Book Antiqua"/>
                <w:sz w:val="24"/>
                <w:szCs w:val="24"/>
              </w:rPr>
              <w:t>dL</w:t>
            </w:r>
            <w:proofErr w:type="spellEnd"/>
            <w:r w:rsidRPr="00FC25F6">
              <w:rPr>
                <w:rFonts w:ascii="Book Antiqua" w:eastAsia="Times New Roman" w:hAnsi="Book Antiqua"/>
                <w:sz w:val="24"/>
                <w:szCs w:val="24"/>
              </w:rPr>
              <w:t>)</w:t>
            </w:r>
          </w:p>
        </w:tc>
        <w:tc>
          <w:tcPr>
            <w:tcW w:w="15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w:t>
            </w:r>
          </w:p>
        </w:tc>
        <w:tc>
          <w:tcPr>
            <w:tcW w:w="1505"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8 (7-11)</w:t>
            </w:r>
          </w:p>
        </w:tc>
        <w:tc>
          <w:tcPr>
            <w:tcW w:w="149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F4522E"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F4522E">
        <w:tc>
          <w:tcPr>
            <w:tcW w:w="1638" w:type="dxa"/>
            <w:vMerge/>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c>
          <w:tcPr>
            <w:tcW w:w="15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yes</w:t>
            </w:r>
          </w:p>
        </w:tc>
        <w:tc>
          <w:tcPr>
            <w:tcW w:w="1505"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7 (6-9) </w:t>
            </w:r>
          </w:p>
        </w:tc>
        <w:tc>
          <w:tcPr>
            <w:tcW w:w="149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r>
      <w:tr w:rsidR="00187450" w:rsidRPr="00FC25F6" w:rsidTr="00F4522E">
        <w:tc>
          <w:tcPr>
            <w:tcW w:w="1638" w:type="dxa"/>
            <w:vMerge w:val="restart"/>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Hospitalization length (d)</w:t>
            </w:r>
          </w:p>
        </w:tc>
        <w:tc>
          <w:tcPr>
            <w:tcW w:w="15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w:t>
            </w:r>
          </w:p>
        </w:tc>
        <w:tc>
          <w:tcPr>
            <w:tcW w:w="1505"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 (3-7)</w:t>
            </w:r>
          </w:p>
        </w:tc>
        <w:tc>
          <w:tcPr>
            <w:tcW w:w="149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&lt;</w:t>
            </w:r>
            <w:r w:rsidR="00F4522E" w:rsidRPr="00FC25F6">
              <w:rPr>
                <w:rFonts w:ascii="Book Antiqua" w:eastAsia="Times New Roman" w:hAnsi="Book Antiqua"/>
                <w:sz w:val="24"/>
                <w:szCs w:val="24"/>
              </w:rPr>
              <w:t xml:space="preserve"> </w:t>
            </w:r>
            <w:r w:rsidRPr="00FC25F6">
              <w:rPr>
                <w:rFonts w:ascii="Book Antiqua" w:eastAsia="Times New Roman" w:hAnsi="Book Antiqua"/>
                <w:sz w:val="24"/>
                <w:szCs w:val="24"/>
              </w:rPr>
              <w:t>0.001</w:t>
            </w:r>
          </w:p>
        </w:tc>
      </w:tr>
      <w:tr w:rsidR="00187450" w:rsidRPr="00FC25F6" w:rsidTr="00F4522E">
        <w:tc>
          <w:tcPr>
            <w:tcW w:w="1638" w:type="dxa"/>
            <w:vMerge/>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p>
        </w:tc>
        <w:tc>
          <w:tcPr>
            <w:tcW w:w="15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yes</w:t>
            </w:r>
          </w:p>
        </w:tc>
        <w:tc>
          <w:tcPr>
            <w:tcW w:w="1505"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 xml:space="preserve">2 (1-4) </w:t>
            </w:r>
          </w:p>
        </w:tc>
        <w:tc>
          <w:tcPr>
            <w:tcW w:w="149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
        </w:tc>
      </w:tr>
    </w:tbl>
    <w:p w:rsidR="00FB33E7" w:rsidRPr="00FC25F6" w:rsidRDefault="00FB33E7" w:rsidP="00DE7591">
      <w:pPr>
        <w:tabs>
          <w:tab w:val="left" w:pos="5635"/>
        </w:tabs>
        <w:spacing w:after="0" w:line="360" w:lineRule="auto"/>
        <w:jc w:val="both"/>
        <w:rPr>
          <w:rFonts w:ascii="Book Antiqua" w:hAnsi="Book Antiqua"/>
          <w:sz w:val="24"/>
          <w:szCs w:val="24"/>
        </w:rPr>
      </w:pPr>
      <w:proofErr w:type="spellStart"/>
      <w:r w:rsidRPr="00FC25F6">
        <w:rPr>
          <w:rFonts w:ascii="Book Antiqua" w:hAnsi="Book Antiqua"/>
          <w:sz w:val="24"/>
          <w:szCs w:val="24"/>
        </w:rPr>
        <w:t>Hb</w:t>
      </w:r>
      <w:proofErr w:type="spellEnd"/>
      <w:r w:rsidR="00F4522E" w:rsidRPr="00FC25F6">
        <w:rPr>
          <w:rFonts w:ascii="Book Antiqua" w:hAnsi="Book Antiqua"/>
          <w:sz w:val="24"/>
          <w:szCs w:val="24"/>
        </w:rPr>
        <w:t>:</w:t>
      </w:r>
      <w:r w:rsidRPr="00FC25F6">
        <w:rPr>
          <w:rFonts w:ascii="Book Antiqua" w:hAnsi="Book Antiqua"/>
          <w:sz w:val="24"/>
          <w:szCs w:val="24"/>
        </w:rPr>
        <w:t xml:space="preserve"> </w:t>
      </w:r>
      <w:r w:rsidR="00F4522E" w:rsidRPr="00FC25F6">
        <w:rPr>
          <w:rFonts w:ascii="Book Antiqua" w:hAnsi="Book Antiqua"/>
          <w:sz w:val="24"/>
          <w:szCs w:val="24"/>
        </w:rPr>
        <w:t xml:space="preserve">Hemoglobin </w:t>
      </w:r>
      <w:r w:rsidRPr="00FC25F6">
        <w:rPr>
          <w:rFonts w:ascii="Book Antiqua" w:hAnsi="Book Antiqua"/>
          <w:sz w:val="24"/>
          <w:szCs w:val="24"/>
        </w:rPr>
        <w:t>value; IQ range</w:t>
      </w:r>
      <w:r w:rsidR="00F4522E" w:rsidRPr="00FC25F6">
        <w:rPr>
          <w:rFonts w:ascii="Book Antiqua" w:hAnsi="Book Antiqua"/>
          <w:sz w:val="24"/>
          <w:szCs w:val="24"/>
        </w:rPr>
        <w:t>:</w:t>
      </w:r>
      <w:r w:rsidRPr="00FC25F6">
        <w:rPr>
          <w:rFonts w:ascii="Book Antiqua" w:hAnsi="Book Antiqua"/>
          <w:sz w:val="24"/>
          <w:szCs w:val="24"/>
        </w:rPr>
        <w:t xml:space="preserve"> </w:t>
      </w:r>
      <w:r w:rsidR="00F4522E" w:rsidRPr="00FC25F6">
        <w:rPr>
          <w:rFonts w:ascii="Book Antiqua" w:hAnsi="Book Antiqua"/>
          <w:sz w:val="24"/>
          <w:szCs w:val="24"/>
        </w:rPr>
        <w:t xml:space="preserve">Interquartile </w:t>
      </w:r>
      <w:r w:rsidRPr="00FC25F6">
        <w:rPr>
          <w:rFonts w:ascii="Book Antiqua" w:hAnsi="Book Antiqua"/>
          <w:sz w:val="24"/>
          <w:szCs w:val="24"/>
        </w:rPr>
        <w:t>range</w:t>
      </w:r>
      <w:r w:rsidR="00BB65CA" w:rsidRPr="00FC25F6">
        <w:rPr>
          <w:rFonts w:ascii="Book Antiqua" w:hAnsi="Book Antiqua"/>
          <w:sz w:val="24"/>
          <w:szCs w:val="24"/>
        </w:rPr>
        <w:tab/>
      </w:r>
      <w:r w:rsidR="00F4522E" w:rsidRPr="00FC25F6">
        <w:rPr>
          <w:rFonts w:ascii="Book Antiqua" w:hAnsi="Book Antiqua"/>
          <w:sz w:val="24"/>
          <w:szCs w:val="24"/>
        </w:rPr>
        <w:t>.</w:t>
      </w:r>
    </w:p>
    <w:p w:rsidR="00F65B32" w:rsidRPr="00FC25F6" w:rsidRDefault="00F65B32" w:rsidP="00DE7591">
      <w:pPr>
        <w:spacing w:after="0" w:line="360" w:lineRule="auto"/>
        <w:jc w:val="both"/>
        <w:rPr>
          <w:rFonts w:ascii="Book Antiqua" w:hAnsi="Book Antiqua"/>
          <w:b/>
          <w:bCs/>
          <w:sz w:val="24"/>
          <w:szCs w:val="24"/>
        </w:rPr>
      </w:pPr>
    </w:p>
    <w:p w:rsidR="00FB33E7" w:rsidRPr="00FC25F6" w:rsidRDefault="00F4522E" w:rsidP="00DE7591">
      <w:pPr>
        <w:spacing w:after="0" w:line="360" w:lineRule="auto"/>
        <w:jc w:val="both"/>
        <w:rPr>
          <w:rFonts w:ascii="Book Antiqua" w:hAnsi="Book Antiqua"/>
          <w:b/>
          <w:bCs/>
          <w:sz w:val="24"/>
          <w:szCs w:val="24"/>
        </w:rPr>
      </w:pPr>
      <w:r w:rsidRPr="00FC25F6">
        <w:rPr>
          <w:rFonts w:ascii="Book Antiqua" w:hAnsi="Book Antiqua"/>
          <w:b/>
          <w:bCs/>
          <w:sz w:val="24"/>
          <w:szCs w:val="24"/>
        </w:rPr>
        <w:br w:type="page"/>
      </w:r>
      <w:r w:rsidR="000D7114" w:rsidRPr="00FC25F6">
        <w:rPr>
          <w:rFonts w:ascii="Book Antiqua" w:hAnsi="Book Antiqua"/>
          <w:b/>
          <w:bCs/>
          <w:sz w:val="24"/>
          <w:szCs w:val="24"/>
        </w:rPr>
        <w:lastRenderedPageBreak/>
        <w:t>Table 8</w:t>
      </w:r>
      <w:r w:rsidR="00FB33E7" w:rsidRPr="00FC25F6">
        <w:rPr>
          <w:rFonts w:ascii="Book Antiqua" w:hAnsi="Book Antiqua"/>
          <w:b/>
          <w:bCs/>
          <w:sz w:val="24"/>
          <w:szCs w:val="24"/>
        </w:rPr>
        <w:t xml:space="preserve"> Clinical and endoscopic features of the study population: association with deaths</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1923"/>
        <w:gridCol w:w="1283"/>
        <w:gridCol w:w="1221"/>
        <w:gridCol w:w="1429"/>
        <w:gridCol w:w="1623"/>
        <w:gridCol w:w="1134"/>
      </w:tblGrid>
      <w:tr w:rsidR="00187450" w:rsidRPr="00FC25F6" w:rsidTr="00F4522E">
        <w:tc>
          <w:tcPr>
            <w:tcW w:w="1923"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Parameter</w:t>
            </w:r>
          </w:p>
        </w:tc>
        <w:tc>
          <w:tcPr>
            <w:tcW w:w="1283"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Survivors</w:t>
            </w:r>
            <w:r w:rsidR="00F4522E" w:rsidRPr="00FC25F6">
              <w:rPr>
                <w:rFonts w:ascii="Book Antiqua" w:hAnsi="Book Antiqua"/>
                <w:b/>
                <w:bCs/>
                <w:sz w:val="24"/>
                <w:szCs w:val="24"/>
                <w:lang w:eastAsia="zh-CN"/>
              </w:rPr>
              <w:t xml:space="preserve"> </w:t>
            </w:r>
            <w:r w:rsidRPr="00FC25F6">
              <w:rPr>
                <w:rFonts w:ascii="Book Antiqua" w:eastAsia="Times New Roman" w:hAnsi="Book Antiqua"/>
                <w:b/>
                <w:bCs/>
                <w:sz w:val="24"/>
                <w:szCs w:val="24"/>
              </w:rPr>
              <w:t xml:space="preserve">(no. pts, %) </w:t>
            </w:r>
          </w:p>
        </w:tc>
        <w:tc>
          <w:tcPr>
            <w:tcW w:w="1221"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Deaths (no. pts,</w:t>
            </w:r>
            <w:r w:rsidR="00F4522E" w:rsidRPr="00FC25F6">
              <w:rPr>
                <w:rFonts w:ascii="Book Antiqua" w:eastAsia="Times New Roman" w:hAnsi="Book Antiqua"/>
                <w:b/>
                <w:bCs/>
                <w:sz w:val="24"/>
                <w:szCs w:val="24"/>
              </w:rPr>
              <w:t xml:space="preserve"> </w:t>
            </w:r>
            <w:r w:rsidRPr="00FC25F6">
              <w:rPr>
                <w:rFonts w:ascii="Book Antiqua" w:eastAsia="Times New Roman" w:hAnsi="Book Antiqua"/>
                <w:b/>
                <w:bCs/>
                <w:sz w:val="24"/>
                <w:szCs w:val="24"/>
              </w:rPr>
              <w:t>%)</w:t>
            </w:r>
          </w:p>
        </w:tc>
        <w:tc>
          <w:tcPr>
            <w:tcW w:w="1429"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Total no. patients, %</w:t>
            </w:r>
          </w:p>
        </w:tc>
        <w:tc>
          <w:tcPr>
            <w:tcW w:w="1623"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Total (% out of entire batch)</w:t>
            </w:r>
          </w:p>
        </w:tc>
        <w:tc>
          <w:tcPr>
            <w:tcW w:w="1134"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P value</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Lesion</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1453 (91.90)</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128 (8.10)</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1581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100</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1442 (92.61)</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115 (7.39)</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1557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100</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Simple therapy</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160 (91.95)</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14 (8.05)</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174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11.01</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0.069</w:t>
            </w:r>
          </w:p>
          <w:p w:rsidR="0023506E" w:rsidRPr="00FC25F6" w:rsidRDefault="0023506E" w:rsidP="00DE7591">
            <w:pPr>
              <w:spacing w:after="0" w:line="360" w:lineRule="auto"/>
              <w:jc w:val="both"/>
              <w:rPr>
                <w:rFonts w:ascii="Book Antiqua" w:eastAsia="Times New Roman" w:hAnsi="Book Antiqua"/>
                <w:sz w:val="24"/>
                <w:szCs w:val="24"/>
              </w:rPr>
            </w:pP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Combined therapy</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355 (94.66)</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20 (5.34)</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375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23.72</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0.209</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SBP &lt;100</w:t>
            </w:r>
          </w:p>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mmHg</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216 (75)</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72 (25)</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288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18.22</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Pulse &gt;100 beats per minute</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392 (84.67)</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71 (15.53)</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463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29.32</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Rebleeding</w:t>
            </w:r>
            <w:proofErr w:type="spellEnd"/>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109 (88.62)</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 (11.38)</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123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7.78</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0.164</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Hospitalization length</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1,449 (91.94)</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127 (8.06)</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1,576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100</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No. blood units</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1452 (91.96)</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127 (8.04)</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1579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100</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Aspirin</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301 (95.56)</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 (4.44)</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315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19.92</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0.028</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NSAIDs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237 (96.73)</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 (3.27)</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245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15.50</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0.003</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Surgery</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51 (100)</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0.00 (0.00)</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51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3.23</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0.031</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 xml:space="preserve">Cardiovascular </w:t>
            </w:r>
            <w:r w:rsidRPr="00FC25F6">
              <w:rPr>
                <w:rFonts w:ascii="Book Antiqua" w:eastAsia="Times New Roman" w:hAnsi="Book Antiqua"/>
                <w:sz w:val="24"/>
                <w:szCs w:val="24"/>
              </w:rPr>
              <w:lastRenderedPageBreak/>
              <w:t>comorbidities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lastRenderedPageBreak/>
              <w:t xml:space="preserve">895 </w:t>
            </w:r>
            <w:r w:rsidRPr="00FC25F6">
              <w:rPr>
                <w:rFonts w:ascii="Book Antiqua" w:eastAsia="Times New Roman" w:hAnsi="Book Antiqua"/>
                <w:sz w:val="24"/>
                <w:szCs w:val="24"/>
              </w:rPr>
              <w:lastRenderedPageBreak/>
              <w:t>(91.70)</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lastRenderedPageBreak/>
              <w:t>81 (8.30)</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976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61.73</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0.707</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lastRenderedPageBreak/>
              <w:t>Diabetes mellitus</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268 (90.54)</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28 (9.46)</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296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18.72</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0.340</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Respiratory comorbidities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156 (75.73)</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50 (24.27)</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206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13.03</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Renal comorbidities</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285 (86.36)</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45 (13.64)</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330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20.87</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Liver cirrhosis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115 (81.56)</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26 (18.44)</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141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8.92</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Neoplasias</w:t>
            </w:r>
            <w:proofErr w:type="spellEnd"/>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225 (87.89)</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31 (12.11)</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256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16.19</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0.010</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Neurologic comorbidities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193 (90.19)</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21 (9.81)</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214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13.54</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0.322</w:t>
            </w:r>
          </w:p>
        </w:tc>
      </w:tr>
      <w:tr w:rsidR="00187450" w:rsidRPr="00FC25F6" w:rsidTr="00F4522E">
        <w:tc>
          <w:tcPr>
            <w:tcW w:w="19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Obesity</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127 (94.78)</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7 (5.22)</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134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8.48</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cs="Courier New"/>
                <w:sz w:val="24"/>
                <w:szCs w:val="24"/>
              </w:rPr>
            </w:pPr>
            <w:r w:rsidRPr="00FC25F6">
              <w:rPr>
                <w:rFonts w:ascii="Book Antiqua" w:eastAsia="Times New Roman" w:hAnsi="Book Antiqua" w:cs="Courier New"/>
                <w:sz w:val="24"/>
                <w:szCs w:val="24"/>
              </w:rPr>
              <w:t>0.203</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Sepsis</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25 (53.19)</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22 (46.81)</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47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2.97</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tcBorders>
              <w:left w:val="nil"/>
              <w:right w:val="nil"/>
            </w:tcBorders>
            <w:shd w:val="clear" w:color="auto" w:fill="auto"/>
          </w:tcPr>
          <w:p w:rsidR="0023506E" w:rsidRPr="00FC25F6" w:rsidRDefault="000D7114"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w:t>
            </w:r>
            <w:r w:rsidR="0023506E" w:rsidRPr="00FC25F6">
              <w:rPr>
                <w:rFonts w:ascii="Book Antiqua" w:eastAsia="Times New Roman" w:hAnsi="Book Antiqua"/>
                <w:sz w:val="24"/>
                <w:szCs w:val="24"/>
              </w:rPr>
              <w:t>cute pancreatitis</w:t>
            </w:r>
          </w:p>
        </w:tc>
        <w:tc>
          <w:tcPr>
            <w:tcW w:w="128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 (50)</w:t>
            </w:r>
          </w:p>
        </w:tc>
        <w:tc>
          <w:tcPr>
            <w:tcW w:w="1221"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4 (50)</w:t>
            </w:r>
          </w:p>
        </w:tc>
        <w:tc>
          <w:tcPr>
            <w:tcW w:w="1429"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8 (100)</w:t>
            </w:r>
          </w:p>
        </w:tc>
        <w:tc>
          <w:tcPr>
            <w:tcW w:w="162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0.51</w:t>
            </w:r>
          </w:p>
        </w:tc>
        <w:tc>
          <w:tcPr>
            <w:tcW w:w="113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9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Acute abdomen</w:t>
            </w:r>
          </w:p>
        </w:tc>
        <w:tc>
          <w:tcPr>
            <w:tcW w:w="128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5 (83.33)</w:t>
            </w:r>
          </w:p>
        </w:tc>
        <w:tc>
          <w:tcPr>
            <w:tcW w:w="1221"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1 (16.67)</w:t>
            </w:r>
          </w:p>
        </w:tc>
        <w:tc>
          <w:tcPr>
            <w:tcW w:w="1429"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6 (100)</w:t>
            </w:r>
          </w:p>
        </w:tc>
        <w:tc>
          <w:tcPr>
            <w:tcW w:w="162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0.38</w:t>
            </w:r>
          </w:p>
        </w:tc>
        <w:tc>
          <w:tcPr>
            <w:tcW w:w="113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0.441</w:t>
            </w:r>
          </w:p>
        </w:tc>
      </w:tr>
    </w:tbl>
    <w:p w:rsidR="0023506E" w:rsidRPr="00FC25F6" w:rsidRDefault="0023506E" w:rsidP="00DE7591">
      <w:pPr>
        <w:spacing w:after="0" w:line="360" w:lineRule="auto"/>
        <w:jc w:val="both"/>
        <w:rPr>
          <w:rFonts w:ascii="Book Antiqua" w:hAnsi="Book Antiqua"/>
          <w:sz w:val="24"/>
          <w:szCs w:val="24"/>
        </w:rPr>
      </w:pPr>
      <w:r w:rsidRPr="00FC25F6">
        <w:rPr>
          <w:rFonts w:ascii="Book Antiqua" w:hAnsi="Book Antiqua"/>
          <w:sz w:val="24"/>
          <w:szCs w:val="24"/>
        </w:rPr>
        <w:t>SBP</w:t>
      </w:r>
      <w:r w:rsidR="00F4522E" w:rsidRPr="00FC25F6">
        <w:rPr>
          <w:rFonts w:ascii="Book Antiqua" w:hAnsi="Book Antiqua"/>
          <w:sz w:val="24"/>
          <w:szCs w:val="24"/>
        </w:rPr>
        <w:t>:</w:t>
      </w:r>
      <w:r w:rsidRPr="00FC25F6">
        <w:rPr>
          <w:rFonts w:ascii="Book Antiqua" w:hAnsi="Book Antiqua"/>
          <w:sz w:val="24"/>
          <w:szCs w:val="24"/>
        </w:rPr>
        <w:t xml:space="preserve"> </w:t>
      </w:r>
      <w:r w:rsidR="00F4522E" w:rsidRPr="00FC25F6">
        <w:rPr>
          <w:rFonts w:ascii="Book Antiqua" w:hAnsi="Book Antiqua"/>
          <w:sz w:val="24"/>
          <w:szCs w:val="24"/>
        </w:rPr>
        <w:t xml:space="preserve">Systolic </w:t>
      </w:r>
      <w:r w:rsidRPr="00FC25F6">
        <w:rPr>
          <w:rFonts w:ascii="Book Antiqua" w:hAnsi="Book Antiqua"/>
          <w:sz w:val="24"/>
          <w:szCs w:val="24"/>
        </w:rPr>
        <w:t>blood pressure; NSAIDs</w:t>
      </w:r>
      <w:r w:rsidR="00F4522E" w:rsidRPr="00FC25F6">
        <w:rPr>
          <w:rFonts w:ascii="Book Antiqua" w:hAnsi="Book Antiqua"/>
          <w:sz w:val="24"/>
          <w:szCs w:val="24"/>
        </w:rPr>
        <w:t>: Non</w:t>
      </w:r>
      <w:r w:rsidR="002B592E" w:rsidRPr="00FC25F6">
        <w:rPr>
          <w:rFonts w:ascii="Book Antiqua" w:hAnsi="Book Antiqua"/>
          <w:sz w:val="24"/>
          <w:szCs w:val="24"/>
        </w:rPr>
        <w:t>-</w:t>
      </w:r>
      <w:r w:rsidRPr="00FC25F6">
        <w:rPr>
          <w:rFonts w:ascii="Book Antiqua" w:hAnsi="Book Antiqua"/>
          <w:sz w:val="24"/>
          <w:szCs w:val="24"/>
        </w:rPr>
        <w:t>steroidal anti-inflammatory drugs</w:t>
      </w:r>
      <w:r w:rsidR="00F4522E" w:rsidRPr="00FC25F6">
        <w:rPr>
          <w:rFonts w:ascii="Book Antiqua" w:hAnsi="Book Antiqua"/>
          <w:sz w:val="24"/>
          <w:szCs w:val="24"/>
        </w:rPr>
        <w:t>.</w:t>
      </w:r>
    </w:p>
    <w:p w:rsidR="00FB33E7" w:rsidRPr="00FC25F6" w:rsidRDefault="00F4522E" w:rsidP="00DE7591">
      <w:pPr>
        <w:tabs>
          <w:tab w:val="left" w:pos="4758"/>
        </w:tabs>
        <w:spacing w:after="0" w:line="360" w:lineRule="auto"/>
        <w:jc w:val="both"/>
        <w:rPr>
          <w:rFonts w:ascii="Book Antiqua" w:hAnsi="Book Antiqua"/>
          <w:b/>
          <w:sz w:val="24"/>
          <w:szCs w:val="24"/>
        </w:rPr>
      </w:pPr>
      <w:r w:rsidRPr="00FC25F6">
        <w:rPr>
          <w:rFonts w:ascii="Book Antiqua" w:hAnsi="Book Antiqua"/>
          <w:sz w:val="24"/>
          <w:szCs w:val="24"/>
        </w:rPr>
        <w:br w:type="page"/>
      </w:r>
      <w:r w:rsidR="00FB33E7" w:rsidRPr="00FC25F6">
        <w:rPr>
          <w:rFonts w:ascii="Book Antiqua" w:hAnsi="Book Antiqua"/>
          <w:b/>
          <w:sz w:val="24"/>
          <w:szCs w:val="24"/>
        </w:rPr>
        <w:lastRenderedPageBreak/>
        <w:t xml:space="preserve">Table </w:t>
      </w:r>
      <w:r w:rsidR="000D7114" w:rsidRPr="00FC25F6">
        <w:rPr>
          <w:rFonts w:ascii="Book Antiqua" w:hAnsi="Book Antiqua"/>
          <w:b/>
          <w:sz w:val="24"/>
          <w:szCs w:val="24"/>
        </w:rPr>
        <w:t>9</w:t>
      </w:r>
      <w:r w:rsidR="00FB33E7" w:rsidRPr="00FC25F6">
        <w:rPr>
          <w:rFonts w:ascii="Book Antiqua" w:hAnsi="Book Antiqua"/>
          <w:b/>
          <w:sz w:val="24"/>
          <w:szCs w:val="24"/>
        </w:rPr>
        <w:t xml:space="preserve"> Logistic regression for death</w:t>
      </w:r>
    </w:p>
    <w:tbl>
      <w:tblPr>
        <w:tblW w:w="0" w:type="auto"/>
        <w:tblBorders>
          <w:top w:val="single" w:sz="8" w:space="0" w:color="000000"/>
          <w:bottom w:val="single" w:sz="8" w:space="0" w:color="000000"/>
        </w:tblBorders>
        <w:tblLook w:val="04A0" w:firstRow="1" w:lastRow="0" w:firstColumn="1" w:lastColumn="0" w:noHBand="0" w:noVBand="1"/>
      </w:tblPr>
      <w:tblGrid>
        <w:gridCol w:w="1676"/>
        <w:gridCol w:w="1304"/>
        <w:gridCol w:w="1304"/>
        <w:gridCol w:w="1304"/>
        <w:gridCol w:w="2603"/>
      </w:tblGrid>
      <w:tr w:rsidR="00187450" w:rsidRPr="00FC25F6" w:rsidTr="00F4522E">
        <w:tc>
          <w:tcPr>
            <w:tcW w:w="1484"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Death</w:t>
            </w:r>
          </w:p>
        </w:tc>
        <w:tc>
          <w:tcPr>
            <w:tcW w:w="1304"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Odds Ratio</w:t>
            </w:r>
          </w:p>
        </w:tc>
        <w:tc>
          <w:tcPr>
            <w:tcW w:w="2608" w:type="dxa"/>
            <w:gridSpan w:val="2"/>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sz w:val="24"/>
                <w:szCs w:val="24"/>
              </w:rPr>
              <w:t xml:space="preserve"> 95% Confidence Interval</w:t>
            </w:r>
          </w:p>
        </w:tc>
        <w:tc>
          <w:tcPr>
            <w:tcW w:w="2603" w:type="dxa"/>
            <w:tcBorders>
              <w:top w:val="single" w:sz="8" w:space="0" w:color="000000"/>
              <w:left w:val="nil"/>
              <w:bottom w:val="single" w:sz="8" w:space="0" w:color="000000"/>
              <w:right w:val="nil"/>
            </w:tcBorders>
            <w:shd w:val="clear" w:color="auto" w:fill="auto"/>
          </w:tcPr>
          <w:p w:rsidR="0023506E" w:rsidRPr="00FC25F6" w:rsidRDefault="0023506E" w:rsidP="00DE7591">
            <w:pPr>
              <w:spacing w:after="0" w:line="360" w:lineRule="auto"/>
              <w:jc w:val="both"/>
              <w:rPr>
                <w:rFonts w:ascii="Book Antiqua" w:eastAsia="Times New Roman" w:hAnsi="Book Antiqua"/>
                <w:b/>
                <w:bCs/>
                <w:sz w:val="24"/>
                <w:szCs w:val="24"/>
              </w:rPr>
            </w:pPr>
            <w:r w:rsidRPr="00FC25F6">
              <w:rPr>
                <w:rFonts w:ascii="Book Antiqua" w:eastAsia="Times New Roman" w:hAnsi="Book Antiqua"/>
                <w:b/>
                <w:bCs/>
                <w:i/>
                <w:iCs/>
                <w:sz w:val="24"/>
                <w:szCs w:val="24"/>
              </w:rPr>
              <w:t>P</w:t>
            </w:r>
            <w:r w:rsidRPr="00FC25F6">
              <w:rPr>
                <w:rFonts w:ascii="Book Antiqua" w:eastAsia="Times New Roman" w:hAnsi="Book Antiqua"/>
                <w:b/>
                <w:bCs/>
                <w:sz w:val="24"/>
                <w:szCs w:val="24"/>
              </w:rPr>
              <w:t xml:space="preserve"> value</w:t>
            </w:r>
          </w:p>
        </w:tc>
      </w:tr>
      <w:tr w:rsidR="00187450" w:rsidRPr="00FC25F6" w:rsidTr="00F4522E">
        <w:tc>
          <w:tcPr>
            <w:tcW w:w="148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proofErr w:type="spellStart"/>
            <w:r w:rsidRPr="00FC25F6">
              <w:rPr>
                <w:rFonts w:ascii="Book Antiqua" w:eastAsia="Times New Roman" w:hAnsi="Book Antiqua"/>
                <w:sz w:val="24"/>
                <w:szCs w:val="24"/>
              </w:rPr>
              <w:t>Rockall</w:t>
            </w:r>
            <w:proofErr w:type="spellEnd"/>
            <w:r w:rsidRPr="00FC25F6">
              <w:rPr>
                <w:rFonts w:ascii="Book Antiqua" w:eastAsia="Times New Roman" w:hAnsi="Book Antiqua"/>
                <w:sz w:val="24"/>
                <w:szCs w:val="24"/>
              </w:rPr>
              <w:t xml:space="preserve"> score</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1.73</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1.53</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1.96</w:t>
            </w:r>
          </w:p>
        </w:tc>
        <w:tc>
          <w:tcPr>
            <w:tcW w:w="26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48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Respiratory comorbidities</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3.29</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2.06</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5.25</w:t>
            </w:r>
          </w:p>
        </w:tc>
        <w:tc>
          <w:tcPr>
            <w:tcW w:w="26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48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Liver cirrhosis</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2.91</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1.64</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5.15</w:t>
            </w:r>
          </w:p>
        </w:tc>
        <w:tc>
          <w:tcPr>
            <w:tcW w:w="26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48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Sepsis</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8.03</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3.81</w:t>
            </w:r>
          </w:p>
        </w:tc>
        <w:tc>
          <w:tcPr>
            <w:tcW w:w="1304"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16.93</w:t>
            </w:r>
          </w:p>
        </w:tc>
        <w:tc>
          <w:tcPr>
            <w:tcW w:w="2603" w:type="dxa"/>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&lt;</w:t>
            </w:r>
            <w:r w:rsidR="00F4522E" w:rsidRPr="00FC25F6">
              <w:rPr>
                <w:rFonts w:ascii="Book Antiqua" w:eastAsia="Times New Roman" w:hAnsi="Book Antiqua" w:cs="Courier New"/>
                <w:sz w:val="24"/>
                <w:szCs w:val="24"/>
              </w:rPr>
              <w:t xml:space="preserve"> </w:t>
            </w:r>
            <w:r w:rsidRPr="00FC25F6">
              <w:rPr>
                <w:rFonts w:ascii="Book Antiqua" w:eastAsia="Times New Roman" w:hAnsi="Book Antiqua" w:cs="Courier New"/>
                <w:sz w:val="24"/>
                <w:szCs w:val="24"/>
              </w:rPr>
              <w:t>0.001</w:t>
            </w:r>
          </w:p>
        </w:tc>
      </w:tr>
      <w:tr w:rsidR="00187450" w:rsidRPr="00FC25F6" w:rsidTr="00F4522E">
        <w:tc>
          <w:tcPr>
            <w:tcW w:w="1484" w:type="dxa"/>
            <w:tcBorders>
              <w:left w:val="nil"/>
              <w:right w:val="nil"/>
            </w:tcBorders>
            <w:shd w:val="clear" w:color="auto" w:fill="auto"/>
          </w:tcPr>
          <w:p w:rsidR="0023506E" w:rsidRPr="00FC25F6" w:rsidRDefault="000D7114"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sz w:val="24"/>
                <w:szCs w:val="24"/>
              </w:rPr>
              <w:t>A</w:t>
            </w:r>
            <w:r w:rsidR="0023506E" w:rsidRPr="00FC25F6">
              <w:rPr>
                <w:rFonts w:ascii="Book Antiqua" w:eastAsia="Times New Roman" w:hAnsi="Book Antiqua"/>
                <w:sz w:val="24"/>
                <w:szCs w:val="24"/>
              </w:rPr>
              <w:t>cute pancreatitis</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6.58</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1.04</w:t>
            </w:r>
          </w:p>
        </w:tc>
        <w:tc>
          <w:tcPr>
            <w:tcW w:w="1304"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41.63</w:t>
            </w:r>
          </w:p>
        </w:tc>
        <w:tc>
          <w:tcPr>
            <w:tcW w:w="2603" w:type="dxa"/>
            <w:tcBorders>
              <w:left w:val="nil"/>
              <w:right w:val="nil"/>
            </w:tcBorders>
            <w:shd w:val="clear" w:color="auto" w:fill="auto"/>
          </w:tcPr>
          <w:p w:rsidR="0023506E" w:rsidRPr="00FC25F6" w:rsidRDefault="0023506E" w:rsidP="00DE7591">
            <w:pPr>
              <w:spacing w:after="0" w:line="360" w:lineRule="auto"/>
              <w:jc w:val="both"/>
              <w:rPr>
                <w:rFonts w:ascii="Book Antiqua" w:eastAsia="Times New Roman" w:hAnsi="Book Antiqua"/>
                <w:sz w:val="24"/>
                <w:szCs w:val="24"/>
              </w:rPr>
            </w:pPr>
            <w:r w:rsidRPr="00FC25F6">
              <w:rPr>
                <w:rFonts w:ascii="Book Antiqua" w:eastAsia="Times New Roman" w:hAnsi="Book Antiqua" w:cs="Courier New"/>
                <w:sz w:val="24"/>
                <w:szCs w:val="24"/>
              </w:rPr>
              <w:t>0.045</w:t>
            </w:r>
          </w:p>
        </w:tc>
      </w:tr>
    </w:tbl>
    <w:p w:rsidR="00FB33E7" w:rsidRPr="00FC25F6" w:rsidRDefault="00FB33E7" w:rsidP="00DE7591">
      <w:pPr>
        <w:spacing w:after="0" w:line="360" w:lineRule="auto"/>
        <w:jc w:val="both"/>
        <w:rPr>
          <w:rFonts w:ascii="Book Antiqua" w:hAnsi="Book Antiqua"/>
          <w:sz w:val="24"/>
          <w:szCs w:val="24"/>
        </w:rPr>
      </w:pPr>
    </w:p>
    <w:p w:rsidR="003C6E7B" w:rsidRPr="00FC25F6" w:rsidRDefault="003C6E7B" w:rsidP="00DE7591">
      <w:pPr>
        <w:spacing w:after="0" w:line="360" w:lineRule="auto"/>
        <w:jc w:val="both"/>
        <w:rPr>
          <w:rFonts w:ascii="Book Antiqua" w:hAnsi="Book Antiqua"/>
          <w:b/>
          <w:sz w:val="24"/>
          <w:szCs w:val="24"/>
        </w:rPr>
        <w:sectPr w:rsidR="003C6E7B" w:rsidRPr="00FC25F6" w:rsidSect="000B5F0C">
          <w:headerReference w:type="default" r:id="rId13"/>
          <w:footerReference w:type="default" r:id="rId14"/>
          <w:pgSz w:w="11907" w:h="16840" w:code="9"/>
          <w:pgMar w:top="1440" w:right="1440" w:bottom="1440" w:left="1440" w:header="709" w:footer="709" w:gutter="0"/>
          <w:cols w:space="708"/>
          <w:docGrid w:linePitch="360"/>
        </w:sectPr>
      </w:pPr>
    </w:p>
    <w:p w:rsidR="003C6E7B" w:rsidRPr="00FC25F6" w:rsidRDefault="003C6E7B" w:rsidP="00DE7591">
      <w:pPr>
        <w:spacing w:after="0" w:line="360" w:lineRule="auto"/>
        <w:jc w:val="both"/>
        <w:rPr>
          <w:rFonts w:ascii="Book Antiqua" w:hAnsi="Book Antiqua"/>
          <w:b/>
          <w:sz w:val="24"/>
          <w:szCs w:val="24"/>
        </w:rPr>
      </w:pPr>
      <w:r w:rsidRPr="00FC25F6">
        <w:rPr>
          <w:rFonts w:ascii="Book Antiqua" w:hAnsi="Book Antiqua"/>
          <w:b/>
          <w:sz w:val="24"/>
          <w:szCs w:val="24"/>
        </w:rPr>
        <w:lastRenderedPageBreak/>
        <w:t>Table 10</w:t>
      </w:r>
      <w:r w:rsidR="008F1F2E" w:rsidRPr="00FC25F6">
        <w:rPr>
          <w:rFonts w:ascii="Book Antiqua" w:hAnsi="Book Antiqua"/>
          <w:b/>
          <w:sz w:val="24"/>
          <w:szCs w:val="24"/>
        </w:rPr>
        <w:t xml:space="preserve"> Studies regarding predictors of </w:t>
      </w:r>
      <w:proofErr w:type="spellStart"/>
      <w:r w:rsidR="008F1F2E" w:rsidRPr="00FC25F6">
        <w:rPr>
          <w:rFonts w:ascii="Book Antiqua" w:hAnsi="Book Antiqua"/>
          <w:b/>
          <w:sz w:val="24"/>
          <w:szCs w:val="24"/>
        </w:rPr>
        <w:t>rebleeding</w:t>
      </w:r>
      <w:proofErr w:type="spellEnd"/>
      <w:r w:rsidR="008F1F2E" w:rsidRPr="00FC25F6">
        <w:rPr>
          <w:rFonts w:ascii="Book Antiqua" w:hAnsi="Book Antiqua"/>
          <w:b/>
          <w:sz w:val="24"/>
          <w:szCs w:val="24"/>
        </w:rPr>
        <w:t xml:space="preserve"> and mortality in patients with upper digestive bleeding </w:t>
      </w:r>
      <w:r w:rsidR="00D44D46" w:rsidRPr="00FC25F6">
        <w:rPr>
          <w:rFonts w:ascii="Book Antiqua" w:hAnsi="Book Antiqua"/>
          <w:b/>
          <w:sz w:val="24"/>
          <w:szCs w:val="24"/>
        </w:rPr>
        <w:t>(</w:t>
      </w:r>
      <w:proofErr w:type="spellStart"/>
      <w:r w:rsidR="00D44D46" w:rsidRPr="00FC25F6">
        <w:rPr>
          <w:rFonts w:ascii="Book Antiqua" w:hAnsi="Book Antiqua"/>
          <w:b/>
          <w:sz w:val="24"/>
          <w:szCs w:val="24"/>
        </w:rPr>
        <w:t>nonvariceal</w:t>
      </w:r>
      <w:proofErr w:type="spellEnd"/>
      <w:r w:rsidR="00D44D46" w:rsidRPr="00FC25F6">
        <w:rPr>
          <w:rFonts w:ascii="Book Antiqua" w:hAnsi="Book Antiqua"/>
          <w:b/>
          <w:sz w:val="24"/>
          <w:szCs w:val="24"/>
        </w:rPr>
        <w:t>/all causes)</w:t>
      </w:r>
    </w:p>
    <w:tbl>
      <w:tblPr>
        <w:tblW w:w="15735" w:type="dxa"/>
        <w:tblInd w:w="-743" w:type="dxa"/>
        <w:tblBorders>
          <w:top w:val="single" w:sz="8" w:space="0" w:color="000000"/>
          <w:bottom w:val="single" w:sz="8" w:space="0" w:color="000000"/>
        </w:tblBorders>
        <w:tblLayout w:type="fixed"/>
        <w:tblLook w:val="04A0" w:firstRow="1" w:lastRow="0" w:firstColumn="1" w:lastColumn="0" w:noHBand="0" w:noVBand="1"/>
      </w:tblPr>
      <w:tblGrid>
        <w:gridCol w:w="851"/>
        <w:gridCol w:w="709"/>
        <w:gridCol w:w="709"/>
        <w:gridCol w:w="992"/>
        <w:gridCol w:w="992"/>
        <w:gridCol w:w="709"/>
        <w:gridCol w:w="992"/>
        <w:gridCol w:w="709"/>
        <w:gridCol w:w="1418"/>
        <w:gridCol w:w="1842"/>
        <w:gridCol w:w="993"/>
        <w:gridCol w:w="2976"/>
        <w:gridCol w:w="1134"/>
        <w:gridCol w:w="709"/>
      </w:tblGrid>
      <w:tr w:rsidR="00D51582" w:rsidRPr="00FC25F6" w:rsidTr="004D1C0B">
        <w:trPr>
          <w:trHeight w:val="968"/>
        </w:trPr>
        <w:tc>
          <w:tcPr>
            <w:tcW w:w="851"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Study</w:t>
            </w:r>
          </w:p>
        </w:tc>
        <w:tc>
          <w:tcPr>
            <w:tcW w:w="709"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proofErr w:type="spellStart"/>
            <w:r w:rsidRPr="00FC25F6">
              <w:rPr>
                <w:rFonts w:ascii="Book Antiqua" w:hAnsi="Book Antiqua"/>
                <w:b/>
                <w:bCs/>
                <w:sz w:val="24"/>
                <w:szCs w:val="24"/>
              </w:rPr>
              <w:t>Yr</w:t>
            </w:r>
            <w:proofErr w:type="spellEnd"/>
          </w:p>
        </w:tc>
        <w:tc>
          <w:tcPr>
            <w:tcW w:w="709"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Condition</w:t>
            </w:r>
          </w:p>
        </w:tc>
        <w:tc>
          <w:tcPr>
            <w:tcW w:w="1984" w:type="dxa"/>
            <w:gridSpan w:val="2"/>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Type of study</w:t>
            </w:r>
          </w:p>
        </w:tc>
        <w:tc>
          <w:tcPr>
            <w:tcW w:w="709"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No. of patients</w:t>
            </w:r>
          </w:p>
        </w:tc>
        <w:tc>
          <w:tcPr>
            <w:tcW w:w="992"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Mean age (</w:t>
            </w:r>
            <w:proofErr w:type="spellStart"/>
            <w:r w:rsidRPr="00FC25F6">
              <w:rPr>
                <w:rFonts w:ascii="Book Antiqua" w:hAnsi="Book Antiqua"/>
                <w:b/>
                <w:bCs/>
                <w:sz w:val="24"/>
                <w:szCs w:val="24"/>
              </w:rPr>
              <w:t>yr</w:t>
            </w:r>
            <w:proofErr w:type="spellEnd"/>
            <w:r w:rsidRPr="00FC25F6">
              <w:rPr>
                <w:rFonts w:ascii="Book Antiqua" w:hAnsi="Book Antiqua"/>
                <w:b/>
                <w:bCs/>
                <w:sz w:val="24"/>
                <w:szCs w:val="24"/>
              </w:rPr>
              <w:t>)</w:t>
            </w:r>
          </w:p>
        </w:tc>
        <w:tc>
          <w:tcPr>
            <w:tcW w:w="709"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Mortality rate</w:t>
            </w:r>
          </w:p>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w:t>
            </w:r>
          </w:p>
        </w:tc>
        <w:tc>
          <w:tcPr>
            <w:tcW w:w="1418"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proofErr w:type="spellStart"/>
            <w:r w:rsidRPr="00FC25F6">
              <w:rPr>
                <w:rFonts w:ascii="Book Antiqua" w:hAnsi="Book Antiqua"/>
                <w:b/>
                <w:bCs/>
                <w:sz w:val="24"/>
                <w:szCs w:val="24"/>
              </w:rPr>
              <w:t>Rebleeding</w:t>
            </w:r>
            <w:proofErr w:type="spellEnd"/>
            <w:r w:rsidRPr="00FC25F6">
              <w:rPr>
                <w:rFonts w:ascii="Book Antiqua" w:hAnsi="Book Antiqua"/>
                <w:b/>
                <w:bCs/>
                <w:sz w:val="24"/>
                <w:szCs w:val="24"/>
              </w:rPr>
              <w:t xml:space="preserve"> rate (%)</w:t>
            </w:r>
          </w:p>
        </w:tc>
        <w:tc>
          <w:tcPr>
            <w:tcW w:w="1842"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Predictive factors for mortality</w:t>
            </w:r>
          </w:p>
        </w:tc>
        <w:tc>
          <w:tcPr>
            <w:tcW w:w="993"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Odds ratio</w:t>
            </w:r>
          </w:p>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(OR)</w:t>
            </w:r>
          </w:p>
        </w:tc>
        <w:tc>
          <w:tcPr>
            <w:tcW w:w="2976"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 xml:space="preserve">Predictive factors for </w:t>
            </w:r>
            <w:proofErr w:type="spellStart"/>
            <w:r w:rsidRPr="00FC25F6">
              <w:rPr>
                <w:rFonts w:ascii="Book Antiqua" w:hAnsi="Book Antiqua"/>
                <w:b/>
                <w:bCs/>
                <w:sz w:val="24"/>
                <w:szCs w:val="24"/>
              </w:rPr>
              <w:t>rebleeding</w:t>
            </w:r>
            <w:proofErr w:type="spellEnd"/>
          </w:p>
        </w:tc>
        <w:tc>
          <w:tcPr>
            <w:tcW w:w="1134"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Odds ratio</w:t>
            </w:r>
          </w:p>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(OR)</w:t>
            </w:r>
          </w:p>
        </w:tc>
        <w:tc>
          <w:tcPr>
            <w:tcW w:w="709" w:type="dxa"/>
            <w:vMerge w:val="restart"/>
            <w:tcBorders>
              <w:top w:val="single" w:sz="8" w:space="0" w:color="000000"/>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r w:rsidRPr="00FC25F6">
              <w:rPr>
                <w:rFonts w:ascii="Book Antiqua" w:hAnsi="Book Antiqua"/>
                <w:b/>
                <w:bCs/>
                <w:sz w:val="24"/>
                <w:szCs w:val="24"/>
              </w:rPr>
              <w:t>Surgery (%)</w:t>
            </w:r>
          </w:p>
        </w:tc>
      </w:tr>
      <w:tr w:rsidR="004D1C0B" w:rsidRPr="00FC25F6" w:rsidTr="004D1C0B">
        <w:trPr>
          <w:trHeight w:val="967"/>
        </w:trPr>
        <w:tc>
          <w:tcPr>
            <w:tcW w:w="851"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bCs/>
                <w:sz w:val="24"/>
                <w:szCs w:val="24"/>
              </w:rPr>
            </w:pPr>
          </w:p>
        </w:tc>
        <w:tc>
          <w:tcPr>
            <w:tcW w:w="709"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709"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992" w:type="dxa"/>
            <w:tcBorders>
              <w:top w:val="single" w:sz="4" w:space="0" w:color="auto"/>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r w:rsidRPr="00FC25F6">
              <w:rPr>
                <w:rFonts w:ascii="Book Antiqua" w:hAnsi="Book Antiqua"/>
                <w:b/>
                <w:sz w:val="24"/>
                <w:szCs w:val="24"/>
              </w:rPr>
              <w:t>Prospective/</w:t>
            </w:r>
          </w:p>
          <w:p w:rsidR="003C6E7B" w:rsidRPr="00FC25F6" w:rsidRDefault="003C6E7B" w:rsidP="00DE7591">
            <w:pPr>
              <w:spacing w:after="0" w:line="360" w:lineRule="auto"/>
              <w:jc w:val="both"/>
              <w:rPr>
                <w:rFonts w:ascii="Book Antiqua" w:hAnsi="Book Antiqua"/>
                <w:b/>
                <w:sz w:val="24"/>
                <w:szCs w:val="24"/>
              </w:rPr>
            </w:pPr>
            <w:r w:rsidRPr="00FC25F6">
              <w:rPr>
                <w:rFonts w:ascii="Book Antiqua" w:hAnsi="Book Antiqua"/>
                <w:b/>
                <w:sz w:val="24"/>
                <w:szCs w:val="24"/>
              </w:rPr>
              <w:t>retrospective</w:t>
            </w:r>
          </w:p>
        </w:tc>
        <w:tc>
          <w:tcPr>
            <w:tcW w:w="992" w:type="dxa"/>
            <w:tcBorders>
              <w:top w:val="single" w:sz="4" w:space="0" w:color="auto"/>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roofErr w:type="spellStart"/>
            <w:r w:rsidRPr="00FC25F6">
              <w:rPr>
                <w:rFonts w:ascii="Book Antiqua" w:hAnsi="Book Antiqua"/>
                <w:b/>
                <w:sz w:val="24"/>
                <w:szCs w:val="24"/>
              </w:rPr>
              <w:t>Uni</w:t>
            </w:r>
            <w:proofErr w:type="spellEnd"/>
            <w:r w:rsidRPr="00FC25F6">
              <w:rPr>
                <w:rFonts w:ascii="Book Antiqua" w:hAnsi="Book Antiqua"/>
                <w:b/>
                <w:sz w:val="24"/>
                <w:szCs w:val="24"/>
              </w:rPr>
              <w:t>-/</w:t>
            </w:r>
          </w:p>
          <w:p w:rsidR="003C6E7B" w:rsidRPr="00FC25F6" w:rsidRDefault="003C6E7B" w:rsidP="00DE7591">
            <w:pPr>
              <w:spacing w:after="0" w:line="360" w:lineRule="auto"/>
              <w:jc w:val="both"/>
              <w:rPr>
                <w:rFonts w:ascii="Book Antiqua" w:hAnsi="Book Antiqua"/>
                <w:b/>
                <w:sz w:val="24"/>
                <w:szCs w:val="24"/>
              </w:rPr>
            </w:pPr>
            <w:proofErr w:type="spellStart"/>
            <w:r w:rsidRPr="00FC25F6">
              <w:rPr>
                <w:rFonts w:ascii="Book Antiqua" w:hAnsi="Book Antiqua"/>
                <w:b/>
                <w:sz w:val="24"/>
                <w:szCs w:val="24"/>
              </w:rPr>
              <w:t>multicentric</w:t>
            </w:r>
            <w:proofErr w:type="spellEnd"/>
          </w:p>
        </w:tc>
        <w:tc>
          <w:tcPr>
            <w:tcW w:w="709"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992"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709"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1418"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1842"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993"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2976"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1134"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c>
          <w:tcPr>
            <w:tcW w:w="709" w:type="dxa"/>
            <w:vMerge/>
            <w:tcBorders>
              <w:top w:val="nil"/>
              <w:left w:val="nil"/>
              <w:bottom w:val="single" w:sz="4" w:space="0" w:color="auto"/>
              <w:right w:val="nil"/>
            </w:tcBorders>
            <w:shd w:val="clear" w:color="auto" w:fill="auto"/>
          </w:tcPr>
          <w:p w:rsidR="003C6E7B" w:rsidRPr="00FC25F6" w:rsidRDefault="003C6E7B" w:rsidP="00DE7591">
            <w:pPr>
              <w:spacing w:after="0" w:line="360" w:lineRule="auto"/>
              <w:jc w:val="both"/>
              <w:rPr>
                <w:rFonts w:ascii="Book Antiqua" w:hAnsi="Book Antiqua"/>
                <w:b/>
                <w:sz w:val="24"/>
                <w:szCs w:val="24"/>
              </w:rPr>
            </w:pPr>
          </w:p>
        </w:tc>
      </w:tr>
      <w:tr w:rsidR="004D1C0B" w:rsidRPr="00FC25F6" w:rsidTr="004D1C0B">
        <w:trPr>
          <w:trHeight w:val="967"/>
        </w:trPr>
        <w:tc>
          <w:tcPr>
            <w:tcW w:w="851"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proofErr w:type="spellStart"/>
            <w:r w:rsidRPr="00FC25F6">
              <w:rPr>
                <w:rFonts w:ascii="Book Antiqua" w:hAnsi="Book Antiqua"/>
                <w:sz w:val="24"/>
                <w:szCs w:val="24"/>
              </w:rPr>
              <w:t>Barkun</w:t>
            </w:r>
            <w:proofErr w:type="spellEnd"/>
            <w:r w:rsidRPr="00FC25F6">
              <w:rPr>
                <w:rFonts w:ascii="Book Antiqua" w:hAnsi="Book Antiqua"/>
                <w:sz w:val="24"/>
                <w:szCs w:val="24"/>
              </w:rPr>
              <w:t xml:space="preserve"> </w:t>
            </w:r>
            <w:r w:rsidRPr="00FC25F6">
              <w:rPr>
                <w:rFonts w:ascii="Book Antiqua" w:hAnsi="Book Antiqua"/>
                <w:i/>
                <w:sz w:val="24"/>
                <w:szCs w:val="24"/>
              </w:rPr>
              <w:t>et al</w:t>
            </w:r>
            <w:r w:rsidRPr="00FC25F6">
              <w:rPr>
                <w:rFonts w:ascii="Book Antiqua" w:hAnsi="Book Antiqua"/>
                <w:sz w:val="24"/>
                <w:szCs w:val="24"/>
                <w:vertAlign w:val="superscript"/>
              </w:rPr>
              <w:t>[1]</w:t>
            </w:r>
          </w:p>
        </w:tc>
        <w:tc>
          <w:tcPr>
            <w:tcW w:w="709"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2004</w:t>
            </w:r>
          </w:p>
        </w:tc>
        <w:tc>
          <w:tcPr>
            <w:tcW w:w="709"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R</w:t>
            </w:r>
          </w:p>
        </w:tc>
        <w:tc>
          <w:tcPr>
            <w:tcW w:w="992"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869</w:t>
            </w:r>
          </w:p>
        </w:tc>
        <w:tc>
          <w:tcPr>
            <w:tcW w:w="992"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66 ± 17</w:t>
            </w:r>
          </w:p>
        </w:tc>
        <w:tc>
          <w:tcPr>
            <w:tcW w:w="709"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5.4</w:t>
            </w:r>
          </w:p>
        </w:tc>
        <w:tc>
          <w:tcPr>
            <w:tcW w:w="1418"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14.1</w:t>
            </w:r>
          </w:p>
        </w:tc>
        <w:tc>
          <w:tcPr>
            <w:tcW w:w="1842" w:type="dxa"/>
            <w:tcBorders>
              <w:top w:val="single" w:sz="4" w:space="0" w:color="auto"/>
              <w:left w:val="nil"/>
              <w:right w:val="nil"/>
            </w:tcBorders>
            <w:shd w:val="clear" w:color="auto" w:fill="auto"/>
          </w:tcPr>
          <w:p w:rsidR="003C6E7B" w:rsidRPr="00FC25F6" w:rsidRDefault="00D51582"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PPI use</w:t>
            </w:r>
            <w:r w:rsidRPr="00FC25F6">
              <w:rPr>
                <w:rFonts w:ascii="Book Antiqua" w:hAnsi="Book Antiqua"/>
                <w:sz w:val="24"/>
                <w:szCs w:val="24"/>
                <w:lang w:eastAsia="zh-CN"/>
              </w:rPr>
              <w:t xml:space="preserve">; (2) </w:t>
            </w:r>
            <w:r w:rsidR="003C6E7B" w:rsidRPr="00FC25F6">
              <w:rPr>
                <w:rFonts w:ascii="Book Antiqua" w:hAnsi="Book Antiqua"/>
                <w:sz w:val="24"/>
                <w:szCs w:val="24"/>
              </w:rPr>
              <w:t>endoscopic therapy</w:t>
            </w:r>
          </w:p>
        </w:tc>
        <w:tc>
          <w:tcPr>
            <w:tcW w:w="993" w:type="dxa"/>
            <w:tcBorders>
              <w:top w:val="single" w:sz="4" w:space="0" w:color="auto"/>
              <w:left w:val="nil"/>
              <w:right w:val="nil"/>
            </w:tcBorders>
            <w:shd w:val="clear" w:color="auto" w:fill="auto"/>
          </w:tcPr>
          <w:p w:rsidR="003C6E7B" w:rsidRPr="00FC25F6" w:rsidRDefault="001E43D3"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0.18</w:t>
            </w:r>
            <w:r w:rsidRPr="00FC25F6">
              <w:rPr>
                <w:rFonts w:ascii="Book Antiqua" w:hAnsi="Book Antiqua"/>
                <w:sz w:val="24"/>
                <w:szCs w:val="24"/>
              </w:rPr>
              <w:t xml:space="preserve">; (2) </w:t>
            </w:r>
            <w:r w:rsidR="003C6E7B" w:rsidRPr="00FC25F6">
              <w:rPr>
                <w:rFonts w:ascii="Book Antiqua" w:hAnsi="Book Antiqua"/>
                <w:sz w:val="24"/>
                <w:szCs w:val="24"/>
              </w:rPr>
              <w:t>0.31</w:t>
            </w:r>
          </w:p>
        </w:tc>
        <w:tc>
          <w:tcPr>
            <w:tcW w:w="2976" w:type="dxa"/>
            <w:tcBorders>
              <w:top w:val="single" w:sz="4" w:space="0" w:color="auto"/>
              <w:left w:val="nil"/>
              <w:right w:val="nil"/>
            </w:tcBorders>
            <w:shd w:val="clear" w:color="auto" w:fill="auto"/>
          </w:tcPr>
          <w:p w:rsidR="003C6E7B" w:rsidRPr="00FC25F6" w:rsidRDefault="00D51582"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PPI use</w:t>
            </w:r>
            <w:r w:rsidRPr="00FC25F6">
              <w:rPr>
                <w:rFonts w:ascii="Book Antiqua" w:hAnsi="Book Antiqua"/>
                <w:sz w:val="24"/>
                <w:szCs w:val="24"/>
              </w:rPr>
              <w:t xml:space="preserve">; </w:t>
            </w:r>
            <w:r w:rsidRPr="00FC25F6">
              <w:rPr>
                <w:rFonts w:ascii="Book Antiqua" w:hAnsi="Book Antiqua"/>
                <w:sz w:val="24"/>
                <w:szCs w:val="24"/>
                <w:lang w:eastAsia="zh-CN"/>
              </w:rPr>
              <w:t xml:space="preserve">(2) </w:t>
            </w:r>
            <w:r w:rsidR="003C6E7B" w:rsidRPr="00FC25F6">
              <w:rPr>
                <w:rFonts w:ascii="Book Antiqua" w:hAnsi="Book Antiqua"/>
                <w:sz w:val="24"/>
                <w:szCs w:val="24"/>
              </w:rPr>
              <w:t>endoscopic hemostasis in patients with high risk stigmata</w:t>
            </w:r>
          </w:p>
        </w:tc>
        <w:tc>
          <w:tcPr>
            <w:tcW w:w="1134" w:type="dxa"/>
            <w:tcBorders>
              <w:top w:val="single" w:sz="4" w:space="0" w:color="auto"/>
              <w:left w:val="nil"/>
              <w:right w:val="nil"/>
            </w:tcBorders>
            <w:shd w:val="clear" w:color="auto" w:fill="auto"/>
          </w:tcPr>
          <w:p w:rsidR="003C6E7B" w:rsidRPr="00FC25F6" w:rsidRDefault="001E43D3"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0.53</w:t>
            </w:r>
            <w:r w:rsidRPr="00FC25F6">
              <w:rPr>
                <w:rFonts w:ascii="Book Antiqua" w:hAnsi="Book Antiqua"/>
                <w:sz w:val="24"/>
                <w:szCs w:val="24"/>
              </w:rPr>
              <w:t xml:space="preserve">; (2) </w:t>
            </w:r>
            <w:r w:rsidR="003C6E7B" w:rsidRPr="00FC25F6">
              <w:rPr>
                <w:rFonts w:ascii="Book Antiqua" w:hAnsi="Book Antiqua"/>
                <w:sz w:val="24"/>
                <w:szCs w:val="24"/>
              </w:rPr>
              <w:t>0.39</w:t>
            </w:r>
          </w:p>
        </w:tc>
        <w:tc>
          <w:tcPr>
            <w:tcW w:w="709" w:type="dxa"/>
            <w:tcBorders>
              <w:top w:val="single" w:sz="4" w:space="0" w:color="auto"/>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6.5</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t xml:space="preserve">Travis </w:t>
            </w:r>
            <w:r w:rsidRPr="00FC25F6">
              <w:rPr>
                <w:rFonts w:ascii="Book Antiqua" w:hAnsi="Book Antiqua"/>
                <w:i/>
                <w:sz w:val="24"/>
                <w:szCs w:val="24"/>
              </w:rPr>
              <w:t>et al</w:t>
            </w:r>
            <w:r w:rsidRPr="00FC25F6">
              <w:rPr>
                <w:rFonts w:ascii="Book Antiqua" w:hAnsi="Book Antiqua"/>
                <w:sz w:val="24"/>
                <w:szCs w:val="24"/>
                <w:vertAlign w:val="superscript"/>
              </w:rPr>
              <w:t>[6]</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2008</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R</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236</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67</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 xml:space="preserve">7.1%, 16.4%, 37.0%, 75.0% and 100% for zero, one, two, three or four risk </w:t>
            </w:r>
            <w:r w:rsidRPr="00FC25F6">
              <w:rPr>
                <w:rFonts w:ascii="Book Antiqua" w:hAnsi="Book Antiqua"/>
                <w:sz w:val="24"/>
                <w:szCs w:val="24"/>
              </w:rPr>
              <w:lastRenderedPageBreak/>
              <w:t>factors</w:t>
            </w:r>
          </w:p>
        </w:tc>
        <w:tc>
          <w:tcPr>
            <w:tcW w:w="184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NA</w:t>
            </w:r>
          </w:p>
        </w:tc>
        <w:tc>
          <w:tcPr>
            <w:tcW w:w="993"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2976" w:type="dxa"/>
            <w:shd w:val="clear" w:color="auto" w:fill="auto"/>
          </w:tcPr>
          <w:p w:rsidR="003C6E7B" w:rsidRPr="00FC25F6" w:rsidRDefault="00D51582"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use of PPI post-procedure</w:t>
            </w:r>
            <w:r w:rsidRPr="00FC25F6">
              <w:rPr>
                <w:rFonts w:ascii="Book Antiqua" w:hAnsi="Book Antiqua"/>
                <w:sz w:val="24"/>
                <w:szCs w:val="24"/>
                <w:lang w:eastAsia="zh-CN"/>
              </w:rPr>
              <w:t xml:space="preserve">; (2) </w:t>
            </w:r>
            <w:r w:rsidR="003C6E7B" w:rsidRPr="00FC25F6">
              <w:rPr>
                <w:rFonts w:ascii="Book Antiqua" w:hAnsi="Book Antiqua"/>
                <w:sz w:val="24"/>
                <w:szCs w:val="24"/>
              </w:rPr>
              <w:t>endoscopically demonstrated bleeding</w:t>
            </w:r>
            <w:r w:rsidRPr="00FC25F6">
              <w:rPr>
                <w:rFonts w:ascii="Book Antiqua" w:hAnsi="Book Antiqua"/>
                <w:sz w:val="24"/>
                <w:szCs w:val="24"/>
              </w:rPr>
              <w:t>; (3)</w:t>
            </w:r>
            <w:r w:rsidR="003C6E7B" w:rsidRPr="00FC25F6">
              <w:rPr>
                <w:rFonts w:ascii="Book Antiqua" w:hAnsi="Book Antiqua"/>
                <w:sz w:val="24"/>
                <w:szCs w:val="24"/>
              </w:rPr>
              <w:t xml:space="preserve"> hemostasis with epinephrine monotherapy</w:t>
            </w:r>
            <w:r w:rsidRPr="00FC25F6">
              <w:rPr>
                <w:rFonts w:ascii="Book Antiqua" w:hAnsi="Book Antiqua"/>
                <w:sz w:val="24"/>
                <w:szCs w:val="24"/>
              </w:rPr>
              <w:t xml:space="preserve">; (4) </w:t>
            </w:r>
            <w:r w:rsidR="003C6E7B" w:rsidRPr="00FC25F6">
              <w:rPr>
                <w:rFonts w:ascii="Book Antiqua" w:hAnsi="Book Antiqua"/>
                <w:sz w:val="24"/>
                <w:szCs w:val="24"/>
              </w:rPr>
              <w:t xml:space="preserve">post-procedure </w:t>
            </w:r>
            <w:proofErr w:type="spellStart"/>
            <w:r w:rsidR="003C6E7B" w:rsidRPr="00FC25F6">
              <w:rPr>
                <w:rFonts w:ascii="Book Antiqua" w:hAnsi="Book Antiqua"/>
                <w:sz w:val="24"/>
                <w:szCs w:val="24"/>
              </w:rPr>
              <w:t>i.v</w:t>
            </w:r>
            <w:proofErr w:type="spellEnd"/>
            <w:r w:rsidR="003C6E7B" w:rsidRPr="00FC25F6">
              <w:rPr>
                <w:rFonts w:ascii="Book Antiqua" w:hAnsi="Book Antiqua"/>
                <w:sz w:val="24"/>
                <w:szCs w:val="24"/>
              </w:rPr>
              <w:t xml:space="preserve"> or LMWH </w:t>
            </w:r>
            <w:r w:rsidR="003C6E7B" w:rsidRPr="00FC25F6">
              <w:rPr>
                <w:rFonts w:ascii="Book Antiqua" w:hAnsi="Book Antiqua"/>
                <w:sz w:val="24"/>
                <w:szCs w:val="24"/>
              </w:rPr>
              <w:lastRenderedPageBreak/>
              <w:t>use</w:t>
            </w:r>
            <w:r w:rsidRPr="00FC25F6">
              <w:rPr>
                <w:rFonts w:ascii="Book Antiqua" w:hAnsi="Book Antiqua"/>
                <w:sz w:val="24"/>
                <w:szCs w:val="24"/>
              </w:rPr>
              <w:t xml:space="preserve">; (5) </w:t>
            </w:r>
            <w:r w:rsidR="003C6E7B" w:rsidRPr="00FC25F6">
              <w:rPr>
                <w:rFonts w:ascii="Book Antiqua" w:hAnsi="Book Antiqua"/>
                <w:sz w:val="24"/>
                <w:szCs w:val="24"/>
              </w:rPr>
              <w:t>moderate/severe liver disease</w:t>
            </w:r>
            <w:r w:rsidRPr="00FC25F6">
              <w:rPr>
                <w:rFonts w:ascii="Book Antiqua" w:hAnsi="Book Antiqua"/>
                <w:sz w:val="24"/>
                <w:szCs w:val="24"/>
              </w:rPr>
              <w:t xml:space="preserve">; (6) </w:t>
            </w:r>
            <w:r w:rsidR="003C6E7B" w:rsidRPr="00FC25F6">
              <w:rPr>
                <w:rFonts w:ascii="Book Antiqua" w:hAnsi="Book Antiqua"/>
                <w:sz w:val="24"/>
                <w:szCs w:val="24"/>
              </w:rPr>
              <w:t>peptic ulcer as the source of bleeding</w:t>
            </w:r>
          </w:p>
        </w:tc>
        <w:tc>
          <w:tcPr>
            <w:tcW w:w="1134" w:type="dxa"/>
            <w:shd w:val="clear" w:color="auto" w:fill="auto"/>
          </w:tcPr>
          <w:p w:rsidR="003C6E7B" w:rsidRPr="00FC25F6" w:rsidRDefault="001E43D3"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0.25</w:t>
            </w:r>
            <w:r w:rsidRPr="00FC25F6">
              <w:rPr>
                <w:rFonts w:ascii="Book Antiqua" w:hAnsi="Book Antiqua"/>
                <w:sz w:val="24"/>
                <w:szCs w:val="24"/>
              </w:rPr>
              <w:t xml:space="preserve">; (2) </w:t>
            </w:r>
            <w:r w:rsidR="003C6E7B" w:rsidRPr="00FC25F6">
              <w:rPr>
                <w:rFonts w:ascii="Book Antiqua" w:hAnsi="Book Antiqua"/>
                <w:sz w:val="24"/>
                <w:szCs w:val="24"/>
              </w:rPr>
              <w:t>2</w:t>
            </w:r>
            <w:r w:rsidRPr="00FC25F6">
              <w:rPr>
                <w:rFonts w:ascii="Book Antiqua" w:hAnsi="Book Antiqua"/>
                <w:sz w:val="24"/>
                <w:szCs w:val="24"/>
              </w:rPr>
              <w:t xml:space="preserve">; (3) </w:t>
            </w:r>
            <w:r w:rsidR="003C6E7B" w:rsidRPr="00FC25F6">
              <w:rPr>
                <w:rFonts w:ascii="Book Antiqua" w:hAnsi="Book Antiqua"/>
                <w:sz w:val="24"/>
                <w:szCs w:val="24"/>
              </w:rPr>
              <w:t>3.35</w:t>
            </w:r>
            <w:r w:rsidRPr="00FC25F6">
              <w:rPr>
                <w:rFonts w:ascii="Book Antiqua" w:hAnsi="Book Antiqua"/>
                <w:sz w:val="24"/>
                <w:szCs w:val="24"/>
              </w:rPr>
              <w:t xml:space="preserve">; (4) </w:t>
            </w:r>
            <w:r w:rsidR="003C6E7B" w:rsidRPr="00FC25F6">
              <w:rPr>
                <w:rFonts w:ascii="Book Antiqua" w:hAnsi="Book Antiqua"/>
                <w:sz w:val="24"/>
                <w:szCs w:val="24"/>
              </w:rPr>
              <w:t>8.09</w:t>
            </w:r>
            <w:r w:rsidRPr="00FC25F6">
              <w:rPr>
                <w:rFonts w:ascii="Book Antiqua" w:hAnsi="Book Antiqua"/>
                <w:sz w:val="24"/>
                <w:szCs w:val="24"/>
              </w:rPr>
              <w:t xml:space="preserve">; (5) </w:t>
            </w:r>
            <w:r w:rsidR="003C6E7B" w:rsidRPr="00FC25F6">
              <w:rPr>
                <w:rFonts w:ascii="Book Antiqua" w:hAnsi="Book Antiqua"/>
                <w:sz w:val="24"/>
                <w:szCs w:val="24"/>
              </w:rPr>
              <w:t>4.92</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lastRenderedPageBreak/>
              <w:t>Sung</w:t>
            </w:r>
            <w:r w:rsidR="00D51582" w:rsidRPr="00FC25F6">
              <w:rPr>
                <w:rFonts w:ascii="Book Antiqua" w:hAnsi="Book Antiqua"/>
                <w:sz w:val="24"/>
                <w:szCs w:val="24"/>
              </w:rPr>
              <w:t xml:space="preserve"> </w:t>
            </w:r>
            <w:r w:rsidRPr="00FC25F6">
              <w:rPr>
                <w:rFonts w:ascii="Book Antiqua" w:hAnsi="Book Antiqua"/>
                <w:i/>
                <w:sz w:val="24"/>
                <w:szCs w:val="24"/>
              </w:rPr>
              <w:t>et al</w:t>
            </w:r>
            <w:r w:rsidRPr="00FC25F6">
              <w:rPr>
                <w:rFonts w:ascii="Book Antiqua" w:hAnsi="Book Antiqua"/>
                <w:sz w:val="24"/>
                <w:szCs w:val="24"/>
                <w:vertAlign w:val="superscript"/>
              </w:rPr>
              <w:t>[7]</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2010</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PUB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10428</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61.0 (survivors)</w:t>
            </w:r>
          </w:p>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72.5 (deaths)</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6.2</w:t>
            </w:r>
            <w:r w:rsidR="008727DC" w:rsidRPr="00FC25F6">
              <w:rPr>
                <w:rFonts w:ascii="Book Antiqua" w:hAnsi="Book Antiqua"/>
                <w:sz w:val="24"/>
                <w:szCs w:val="24"/>
                <w:vertAlign w:val="superscript"/>
              </w:rPr>
              <w:t>3</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2.93</w:t>
            </w:r>
          </w:p>
        </w:tc>
        <w:tc>
          <w:tcPr>
            <w:tcW w:w="1842" w:type="dxa"/>
            <w:shd w:val="clear" w:color="auto" w:fill="auto"/>
          </w:tcPr>
          <w:p w:rsidR="003C6E7B" w:rsidRPr="00FC25F6" w:rsidRDefault="00D955A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use of NSAIDs/ aspirin</w:t>
            </w:r>
            <w:r w:rsidR="001E43D3" w:rsidRPr="00FC25F6">
              <w:rPr>
                <w:rFonts w:ascii="Book Antiqua" w:hAnsi="Book Antiqua"/>
                <w:sz w:val="24"/>
                <w:szCs w:val="24"/>
              </w:rPr>
              <w:t>;</w:t>
            </w:r>
            <w:r w:rsidR="003C6E7B" w:rsidRPr="00FC25F6">
              <w:rPr>
                <w:rFonts w:ascii="Book Antiqua" w:hAnsi="Book Antiqua"/>
                <w:sz w:val="24"/>
                <w:szCs w:val="24"/>
              </w:rPr>
              <w:t xml:space="preserve"> </w:t>
            </w:r>
            <w:r w:rsidR="001E43D3" w:rsidRPr="00FC25F6">
              <w:rPr>
                <w:rFonts w:ascii="Book Antiqua" w:hAnsi="Book Antiqua"/>
                <w:sz w:val="24"/>
                <w:szCs w:val="24"/>
              </w:rPr>
              <w:t xml:space="preserve">(2) </w:t>
            </w:r>
            <w:r w:rsidR="003C6E7B" w:rsidRPr="00FC25F6">
              <w:rPr>
                <w:rFonts w:ascii="Book Antiqua" w:hAnsi="Book Antiqua"/>
                <w:sz w:val="24"/>
                <w:szCs w:val="24"/>
              </w:rPr>
              <w:t>active bleeding ulcer</w:t>
            </w:r>
            <w:r w:rsidR="001E43D3" w:rsidRPr="00FC25F6">
              <w:rPr>
                <w:rFonts w:ascii="Book Antiqua" w:hAnsi="Book Antiqua"/>
                <w:sz w:val="24"/>
                <w:szCs w:val="24"/>
              </w:rPr>
              <w:t xml:space="preserve">; (3) </w:t>
            </w:r>
            <w:r w:rsidR="003C6E7B" w:rsidRPr="00FC25F6">
              <w:rPr>
                <w:rFonts w:ascii="Book Antiqua" w:hAnsi="Book Antiqua"/>
                <w:sz w:val="24"/>
                <w:szCs w:val="24"/>
              </w:rPr>
              <w:t>cloth/vessel at the base of ulcer</w:t>
            </w:r>
            <w:r w:rsidR="001E43D3" w:rsidRPr="00FC25F6">
              <w:rPr>
                <w:rFonts w:ascii="Book Antiqua" w:hAnsi="Book Antiqua"/>
                <w:sz w:val="24"/>
                <w:szCs w:val="24"/>
              </w:rPr>
              <w:t xml:space="preserve">; (4) </w:t>
            </w:r>
            <w:proofErr w:type="spellStart"/>
            <w:r w:rsidR="003C6E7B" w:rsidRPr="00FC25F6">
              <w:rPr>
                <w:rFonts w:ascii="Book Antiqua" w:hAnsi="Book Antiqua"/>
                <w:sz w:val="24"/>
                <w:szCs w:val="24"/>
              </w:rPr>
              <w:t>hemodymamic</w:t>
            </w:r>
            <w:proofErr w:type="spellEnd"/>
            <w:r w:rsidR="003C6E7B" w:rsidRPr="00FC25F6">
              <w:rPr>
                <w:rFonts w:ascii="Book Antiqua" w:hAnsi="Book Antiqua"/>
                <w:sz w:val="24"/>
                <w:szCs w:val="24"/>
              </w:rPr>
              <w:t xml:space="preserve"> shock (bleeding-related death)</w:t>
            </w:r>
          </w:p>
        </w:tc>
        <w:tc>
          <w:tcPr>
            <w:tcW w:w="993" w:type="dxa"/>
            <w:shd w:val="clear" w:color="auto" w:fill="auto"/>
          </w:tcPr>
          <w:p w:rsidR="003C6E7B" w:rsidRPr="00FC25F6" w:rsidRDefault="001E43D3"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3.70</w:t>
            </w:r>
            <w:r w:rsidRPr="00FC25F6">
              <w:rPr>
                <w:rFonts w:ascii="Book Antiqua" w:hAnsi="Book Antiqua"/>
                <w:sz w:val="24"/>
                <w:szCs w:val="24"/>
              </w:rPr>
              <w:t xml:space="preserve">; (2) </w:t>
            </w:r>
            <w:r w:rsidR="003C6E7B" w:rsidRPr="00FC25F6">
              <w:rPr>
                <w:rFonts w:ascii="Book Antiqua" w:hAnsi="Book Antiqua"/>
                <w:sz w:val="24"/>
                <w:szCs w:val="24"/>
              </w:rPr>
              <w:t>12.96</w:t>
            </w:r>
            <w:r w:rsidRPr="00FC25F6">
              <w:rPr>
                <w:rFonts w:ascii="Book Antiqua" w:hAnsi="Book Antiqua"/>
                <w:sz w:val="24"/>
                <w:szCs w:val="24"/>
              </w:rPr>
              <w:t xml:space="preserve">; (3) </w:t>
            </w:r>
            <w:r w:rsidR="003C6E7B" w:rsidRPr="00FC25F6">
              <w:rPr>
                <w:rFonts w:ascii="Book Antiqua" w:hAnsi="Book Antiqua"/>
                <w:sz w:val="24"/>
                <w:szCs w:val="24"/>
              </w:rPr>
              <w:t>12.29</w:t>
            </w:r>
            <w:r w:rsidRPr="00FC25F6">
              <w:rPr>
                <w:rFonts w:ascii="Book Antiqua" w:hAnsi="Book Antiqua"/>
                <w:sz w:val="24"/>
                <w:szCs w:val="24"/>
              </w:rPr>
              <w:t xml:space="preserve">; (4) </w:t>
            </w:r>
            <w:r w:rsidR="003C6E7B" w:rsidRPr="00FC25F6">
              <w:rPr>
                <w:rFonts w:ascii="Book Antiqua" w:hAnsi="Book Antiqua"/>
                <w:sz w:val="24"/>
                <w:szCs w:val="24"/>
              </w:rPr>
              <w:t>3.75</w:t>
            </w:r>
          </w:p>
        </w:tc>
        <w:tc>
          <w:tcPr>
            <w:tcW w:w="2976"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134"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2.8 (deaths during surgery)</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t xml:space="preserve">Zhang </w:t>
            </w:r>
            <w:r w:rsidRPr="00FC25F6">
              <w:rPr>
                <w:rFonts w:ascii="Book Antiqua" w:hAnsi="Book Antiqua"/>
                <w:i/>
                <w:sz w:val="24"/>
                <w:szCs w:val="24"/>
              </w:rPr>
              <w:t>et al</w:t>
            </w:r>
            <w:r w:rsidRPr="00FC25F6">
              <w:rPr>
                <w:rFonts w:ascii="Book Antiqua" w:hAnsi="Book Antiqua"/>
                <w:sz w:val="24"/>
                <w:szCs w:val="24"/>
                <w:vertAlign w:val="superscript"/>
              </w:rPr>
              <w:t>[8]</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2010</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R</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223</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19.3 (failure of endoscopic treatment)</w:t>
            </w:r>
          </w:p>
        </w:tc>
        <w:tc>
          <w:tcPr>
            <w:tcW w:w="1842"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no. of comorbidities &gt; 1</w:t>
            </w:r>
            <w:r w:rsidRPr="00FC25F6">
              <w:rPr>
                <w:rFonts w:ascii="Book Antiqua" w:hAnsi="Book Antiqua"/>
                <w:sz w:val="24"/>
                <w:szCs w:val="24"/>
              </w:rPr>
              <w:t xml:space="preserve">; (2) </w:t>
            </w:r>
            <w:r w:rsidR="003C6E7B" w:rsidRPr="00FC25F6">
              <w:rPr>
                <w:rFonts w:ascii="Book Antiqua" w:hAnsi="Book Antiqua"/>
                <w:sz w:val="24"/>
                <w:szCs w:val="24"/>
              </w:rPr>
              <w:t xml:space="preserve">spurting of </w:t>
            </w:r>
            <w:r w:rsidR="003C6E7B" w:rsidRPr="00FC25F6">
              <w:rPr>
                <w:rFonts w:ascii="Book Antiqua" w:hAnsi="Book Antiqua"/>
                <w:sz w:val="24"/>
                <w:szCs w:val="24"/>
              </w:rPr>
              <w:lastRenderedPageBreak/>
              <w:t>blood</w:t>
            </w:r>
          </w:p>
        </w:tc>
        <w:tc>
          <w:tcPr>
            <w:tcW w:w="993"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9.580</w:t>
            </w:r>
            <w:r w:rsidRPr="00FC25F6">
              <w:rPr>
                <w:rFonts w:ascii="Book Antiqua" w:hAnsi="Book Antiqua"/>
                <w:sz w:val="24"/>
                <w:szCs w:val="24"/>
              </w:rPr>
              <w:t xml:space="preserve">; (2) </w:t>
            </w:r>
            <w:r w:rsidR="003C6E7B" w:rsidRPr="00FC25F6">
              <w:rPr>
                <w:rFonts w:ascii="Book Antiqua" w:hAnsi="Book Antiqua"/>
                <w:sz w:val="24"/>
                <w:szCs w:val="24"/>
              </w:rPr>
              <w:t>9.971</w:t>
            </w:r>
          </w:p>
        </w:tc>
        <w:tc>
          <w:tcPr>
            <w:tcW w:w="2976"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shock</w:t>
            </w:r>
            <w:r w:rsidRPr="00FC25F6">
              <w:rPr>
                <w:rFonts w:ascii="Book Antiqua" w:hAnsi="Book Antiqua"/>
                <w:sz w:val="24"/>
                <w:szCs w:val="24"/>
              </w:rPr>
              <w:t xml:space="preserve">; (2) </w:t>
            </w:r>
            <w:r w:rsidR="003C6E7B" w:rsidRPr="00FC25F6">
              <w:rPr>
                <w:rFonts w:ascii="Book Antiqua" w:hAnsi="Book Antiqua"/>
                <w:sz w:val="24"/>
                <w:szCs w:val="24"/>
              </w:rPr>
              <w:t>history of GI bleeding</w:t>
            </w:r>
            <w:r w:rsidRPr="00FC25F6">
              <w:rPr>
                <w:rFonts w:ascii="Book Antiqua" w:hAnsi="Book Antiqua"/>
                <w:sz w:val="24"/>
                <w:szCs w:val="24"/>
              </w:rPr>
              <w:t xml:space="preserve">; (3) </w:t>
            </w:r>
            <w:r w:rsidR="003C6E7B" w:rsidRPr="00FC25F6">
              <w:rPr>
                <w:rFonts w:ascii="Book Antiqua" w:hAnsi="Book Antiqua"/>
                <w:sz w:val="24"/>
                <w:szCs w:val="24"/>
              </w:rPr>
              <w:t>PLT 100 x 10</w:t>
            </w:r>
            <w:r w:rsidR="003C6E7B" w:rsidRPr="00FC25F6">
              <w:rPr>
                <w:rFonts w:ascii="Book Antiqua" w:hAnsi="Book Antiqua"/>
                <w:sz w:val="24"/>
                <w:szCs w:val="24"/>
                <w:vertAlign w:val="superscript"/>
              </w:rPr>
              <w:t>9</w:t>
            </w:r>
            <w:r w:rsidR="003C6E7B" w:rsidRPr="00FC25F6">
              <w:rPr>
                <w:rFonts w:ascii="Book Antiqua" w:hAnsi="Book Antiqua"/>
                <w:sz w:val="24"/>
                <w:szCs w:val="24"/>
              </w:rPr>
              <w:t>/L</w:t>
            </w:r>
            <w:r w:rsidRPr="00FC25F6">
              <w:rPr>
                <w:rFonts w:ascii="Book Antiqua" w:hAnsi="Book Antiqua"/>
                <w:sz w:val="24"/>
                <w:szCs w:val="24"/>
              </w:rPr>
              <w:t xml:space="preserve">; (4) </w:t>
            </w:r>
            <w:r w:rsidR="003C6E7B" w:rsidRPr="00FC25F6">
              <w:rPr>
                <w:rFonts w:ascii="Book Antiqua" w:hAnsi="Book Antiqua"/>
                <w:sz w:val="24"/>
                <w:szCs w:val="24"/>
              </w:rPr>
              <w:t>active spurting of blood</w:t>
            </w:r>
            <w:r w:rsidRPr="00FC25F6">
              <w:rPr>
                <w:rFonts w:ascii="Book Antiqua" w:hAnsi="Book Antiqua"/>
                <w:sz w:val="24"/>
                <w:szCs w:val="24"/>
              </w:rPr>
              <w:t xml:space="preserve">; (5) </w:t>
            </w:r>
            <w:r w:rsidR="003C6E7B" w:rsidRPr="00FC25F6">
              <w:rPr>
                <w:rFonts w:ascii="Book Antiqua" w:hAnsi="Book Antiqua"/>
                <w:sz w:val="24"/>
                <w:szCs w:val="24"/>
              </w:rPr>
              <w:t xml:space="preserve">large lesion </w:t>
            </w:r>
            <w:r w:rsidR="003C6E7B" w:rsidRPr="00FC25F6">
              <w:rPr>
                <w:rFonts w:ascii="Book Antiqua" w:hAnsi="Book Antiqua"/>
                <w:sz w:val="24"/>
                <w:szCs w:val="24"/>
              </w:rPr>
              <w:lastRenderedPageBreak/>
              <w:t>size</w:t>
            </w:r>
            <w:r w:rsidRPr="00FC25F6">
              <w:rPr>
                <w:rFonts w:ascii="Book Antiqua" w:hAnsi="Book Antiqua"/>
                <w:sz w:val="24"/>
                <w:szCs w:val="24"/>
              </w:rPr>
              <w:t>.</w:t>
            </w:r>
          </w:p>
        </w:tc>
        <w:tc>
          <w:tcPr>
            <w:tcW w:w="1134"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3.058</w:t>
            </w:r>
            <w:r w:rsidRPr="00FC25F6">
              <w:rPr>
                <w:rFonts w:ascii="Book Antiqua" w:hAnsi="Book Antiqua"/>
                <w:sz w:val="24"/>
                <w:szCs w:val="24"/>
              </w:rPr>
              <w:t xml:space="preserve">; (2) </w:t>
            </w:r>
            <w:r w:rsidR="003C6E7B" w:rsidRPr="00FC25F6">
              <w:rPr>
                <w:rFonts w:ascii="Book Antiqua" w:hAnsi="Book Antiqua"/>
                <w:sz w:val="24"/>
                <w:szCs w:val="24"/>
              </w:rPr>
              <w:t>2.809</w:t>
            </w:r>
            <w:r w:rsidRPr="00FC25F6">
              <w:rPr>
                <w:rFonts w:ascii="Book Antiqua" w:hAnsi="Book Antiqua"/>
                <w:sz w:val="24"/>
                <w:szCs w:val="24"/>
              </w:rPr>
              <w:t xml:space="preserve">; </w:t>
            </w:r>
            <w:r w:rsidRPr="00FC25F6">
              <w:rPr>
                <w:rFonts w:ascii="Book Antiqua" w:hAnsi="Book Antiqua"/>
                <w:sz w:val="24"/>
                <w:szCs w:val="24"/>
              </w:rPr>
              <w:lastRenderedPageBreak/>
              <w:t xml:space="preserve">(3) </w:t>
            </w:r>
            <w:r w:rsidR="003C6E7B" w:rsidRPr="00FC25F6">
              <w:rPr>
                <w:rFonts w:ascii="Book Antiqua" w:hAnsi="Book Antiqua"/>
                <w:sz w:val="24"/>
                <w:szCs w:val="24"/>
              </w:rPr>
              <w:t>0.067</w:t>
            </w:r>
            <w:r w:rsidRPr="00FC25F6">
              <w:rPr>
                <w:rFonts w:ascii="Book Antiqua" w:hAnsi="Book Antiqua"/>
                <w:sz w:val="24"/>
                <w:szCs w:val="24"/>
              </w:rPr>
              <w:t xml:space="preserve">; (4) </w:t>
            </w:r>
            <w:r w:rsidR="003C6E7B" w:rsidRPr="00FC25F6">
              <w:rPr>
                <w:rFonts w:ascii="Book Antiqua" w:hAnsi="Book Antiqua"/>
                <w:sz w:val="24"/>
                <w:szCs w:val="24"/>
              </w:rPr>
              <w:t>10.390</w:t>
            </w:r>
            <w:r w:rsidRPr="00FC25F6">
              <w:rPr>
                <w:rFonts w:ascii="Book Antiqua" w:hAnsi="Book Antiqua"/>
                <w:sz w:val="24"/>
                <w:szCs w:val="24"/>
              </w:rPr>
              <w:t xml:space="preserve">; (5) </w:t>
            </w:r>
            <w:r w:rsidR="003C6E7B" w:rsidRPr="00FC25F6">
              <w:rPr>
                <w:rFonts w:ascii="Book Antiqua" w:hAnsi="Book Antiqua"/>
                <w:sz w:val="24"/>
                <w:szCs w:val="24"/>
              </w:rPr>
              <w:t>7.111</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NA</w:t>
            </w:r>
          </w:p>
        </w:tc>
      </w:tr>
      <w:tr w:rsidR="00FC25F6" w:rsidRPr="00FC25F6" w:rsidTr="004D1C0B">
        <w:tc>
          <w:tcPr>
            <w:tcW w:w="851"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lastRenderedPageBreak/>
              <w:t>González-González</w:t>
            </w:r>
            <w:r w:rsidRPr="00FC25F6">
              <w:rPr>
                <w:rFonts w:ascii="Book Antiqua" w:hAnsi="Book Antiqua"/>
                <w:i/>
                <w:sz w:val="24"/>
                <w:szCs w:val="24"/>
              </w:rPr>
              <w:t xml:space="preserve"> </w:t>
            </w:r>
            <w:r w:rsidR="003C6E7B" w:rsidRPr="00FC25F6">
              <w:rPr>
                <w:rFonts w:ascii="Book Antiqua" w:hAnsi="Book Antiqua"/>
                <w:i/>
                <w:sz w:val="24"/>
                <w:szCs w:val="24"/>
              </w:rPr>
              <w:t>et al</w:t>
            </w:r>
            <w:r w:rsidR="003C6E7B" w:rsidRPr="00FC25F6">
              <w:rPr>
                <w:rFonts w:ascii="Book Antiqua" w:hAnsi="Book Antiqua"/>
                <w:sz w:val="24"/>
                <w:szCs w:val="24"/>
                <w:vertAlign w:val="superscript"/>
              </w:rPr>
              <w:t>[9]</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2011</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1077</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58.8 ± 18.9</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10.2</w:t>
            </w:r>
          </w:p>
        </w:tc>
        <w:tc>
          <w:tcPr>
            <w:tcW w:w="1418"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3.4</w:t>
            </w:r>
          </w:p>
        </w:tc>
        <w:tc>
          <w:tcPr>
            <w:tcW w:w="1842"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no. of comorbidities/patient</w:t>
            </w:r>
            <w:r w:rsidRPr="00FC25F6">
              <w:rPr>
                <w:rFonts w:ascii="Book Antiqua" w:hAnsi="Book Antiqua"/>
                <w:sz w:val="24"/>
                <w:szCs w:val="24"/>
              </w:rPr>
              <w:t xml:space="preserve">; (2) </w:t>
            </w:r>
            <w:r w:rsidR="003C6E7B" w:rsidRPr="00FC25F6">
              <w:rPr>
                <w:rFonts w:ascii="Book Antiqua" w:hAnsi="Book Antiqua"/>
                <w:sz w:val="24"/>
                <w:szCs w:val="24"/>
              </w:rPr>
              <w:t>serum albumin level &lt; 2.6 g/</w:t>
            </w:r>
            <w:proofErr w:type="spellStart"/>
            <w:r w:rsidR="003C6E7B" w:rsidRPr="00FC25F6">
              <w:rPr>
                <w:rFonts w:ascii="Book Antiqua" w:hAnsi="Book Antiqua"/>
                <w:sz w:val="24"/>
                <w:szCs w:val="24"/>
              </w:rPr>
              <w:t>dL</w:t>
            </w:r>
            <w:proofErr w:type="spellEnd"/>
            <w:r w:rsidRPr="00FC25F6">
              <w:rPr>
                <w:rFonts w:ascii="Book Antiqua" w:hAnsi="Book Antiqua"/>
                <w:sz w:val="24"/>
                <w:szCs w:val="24"/>
              </w:rPr>
              <w:t xml:space="preserve">; (3) </w:t>
            </w:r>
            <w:proofErr w:type="spellStart"/>
            <w:r w:rsidR="003C6E7B" w:rsidRPr="00FC25F6">
              <w:rPr>
                <w:rFonts w:ascii="Book Antiqua" w:hAnsi="Book Antiqua"/>
                <w:sz w:val="24"/>
                <w:szCs w:val="24"/>
              </w:rPr>
              <w:t>rebleeding</w:t>
            </w:r>
            <w:proofErr w:type="spellEnd"/>
            <w:r w:rsidRPr="00FC25F6">
              <w:rPr>
                <w:rFonts w:ascii="Book Antiqua" w:hAnsi="Book Antiqua"/>
                <w:sz w:val="24"/>
                <w:szCs w:val="24"/>
              </w:rPr>
              <w:t xml:space="preserve">; (4) </w:t>
            </w:r>
            <w:proofErr w:type="spellStart"/>
            <w:r w:rsidR="003C6E7B" w:rsidRPr="00FC25F6">
              <w:rPr>
                <w:rFonts w:ascii="Book Antiqua" w:hAnsi="Book Antiqua"/>
                <w:sz w:val="24"/>
                <w:szCs w:val="24"/>
              </w:rPr>
              <w:t>Rockall</w:t>
            </w:r>
            <w:proofErr w:type="spellEnd"/>
            <w:r w:rsidR="003C6E7B" w:rsidRPr="00FC25F6">
              <w:rPr>
                <w:rFonts w:ascii="Book Antiqua" w:hAnsi="Book Antiqua"/>
                <w:sz w:val="24"/>
                <w:szCs w:val="24"/>
              </w:rPr>
              <w:t xml:space="preserve"> score pre-endoscopy</w:t>
            </w:r>
            <w:r w:rsidRPr="00FC25F6">
              <w:rPr>
                <w:rFonts w:ascii="Book Antiqua" w:hAnsi="Book Antiqua"/>
                <w:sz w:val="24"/>
                <w:szCs w:val="24"/>
              </w:rPr>
              <w:t xml:space="preserve">; (5) </w:t>
            </w:r>
            <w:r w:rsidR="003C6E7B" w:rsidRPr="00FC25F6">
              <w:rPr>
                <w:rFonts w:ascii="Book Antiqua" w:hAnsi="Book Antiqua"/>
                <w:sz w:val="24"/>
                <w:szCs w:val="24"/>
              </w:rPr>
              <w:t>lengths of hospital stay</w:t>
            </w:r>
          </w:p>
        </w:tc>
        <w:tc>
          <w:tcPr>
            <w:tcW w:w="993"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1.6</w:t>
            </w:r>
            <w:r w:rsidRPr="00FC25F6">
              <w:rPr>
                <w:rFonts w:ascii="Book Antiqua" w:hAnsi="Book Antiqua"/>
                <w:sz w:val="24"/>
                <w:szCs w:val="24"/>
              </w:rPr>
              <w:t xml:space="preserve">; (2) </w:t>
            </w:r>
            <w:r w:rsidR="003C6E7B" w:rsidRPr="00FC25F6">
              <w:rPr>
                <w:rFonts w:ascii="Book Antiqua" w:hAnsi="Book Antiqua"/>
                <w:sz w:val="24"/>
                <w:szCs w:val="24"/>
              </w:rPr>
              <w:t>4.9</w:t>
            </w:r>
            <w:r w:rsidRPr="00FC25F6">
              <w:rPr>
                <w:rFonts w:ascii="Book Antiqua" w:hAnsi="Book Antiqua"/>
                <w:sz w:val="24"/>
                <w:szCs w:val="24"/>
              </w:rPr>
              <w:t xml:space="preserve">; (3) </w:t>
            </w:r>
            <w:r w:rsidR="003C6E7B" w:rsidRPr="00FC25F6">
              <w:rPr>
                <w:rFonts w:ascii="Book Antiqua" w:hAnsi="Book Antiqua"/>
                <w:sz w:val="24"/>
                <w:szCs w:val="24"/>
              </w:rPr>
              <w:t>6.5</w:t>
            </w:r>
            <w:r w:rsidRPr="00FC25F6">
              <w:rPr>
                <w:rFonts w:ascii="Book Antiqua" w:hAnsi="Book Antiqua"/>
                <w:sz w:val="24"/>
                <w:szCs w:val="24"/>
              </w:rPr>
              <w:t xml:space="preserve">; (4) </w:t>
            </w:r>
            <w:r w:rsidR="003C6E7B" w:rsidRPr="00FC25F6">
              <w:rPr>
                <w:rFonts w:ascii="Book Antiqua" w:hAnsi="Book Antiqua"/>
                <w:sz w:val="24"/>
                <w:szCs w:val="24"/>
              </w:rPr>
              <w:t>1.3</w:t>
            </w:r>
            <w:r w:rsidRPr="00FC25F6">
              <w:rPr>
                <w:rFonts w:ascii="Book Antiqua" w:hAnsi="Book Antiqua"/>
                <w:sz w:val="24"/>
                <w:szCs w:val="24"/>
              </w:rPr>
              <w:t xml:space="preserve">; (5) </w:t>
            </w:r>
            <w:r w:rsidR="003C6E7B" w:rsidRPr="00FC25F6">
              <w:rPr>
                <w:rFonts w:ascii="Book Antiqua" w:hAnsi="Book Antiqua"/>
                <w:sz w:val="24"/>
                <w:szCs w:val="24"/>
              </w:rPr>
              <w:t>1.04</w:t>
            </w:r>
          </w:p>
        </w:tc>
        <w:tc>
          <w:tcPr>
            <w:tcW w:w="2976"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134"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1.5</w:t>
            </w:r>
          </w:p>
        </w:tc>
      </w:tr>
      <w:tr w:rsidR="004D1C0B" w:rsidRPr="00FC25F6" w:rsidTr="004D1C0B">
        <w:tc>
          <w:tcPr>
            <w:tcW w:w="851"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Morales Uribe</w:t>
            </w:r>
            <w:r w:rsidRPr="00FC25F6">
              <w:rPr>
                <w:rFonts w:ascii="Book Antiqua" w:hAnsi="Book Antiqua"/>
                <w:i/>
                <w:sz w:val="24"/>
                <w:szCs w:val="24"/>
              </w:rPr>
              <w:t xml:space="preserve"> </w:t>
            </w:r>
            <w:r w:rsidR="003C6E7B" w:rsidRPr="00FC25F6">
              <w:rPr>
                <w:rFonts w:ascii="Book Antiqua" w:hAnsi="Book Antiqua"/>
                <w:i/>
                <w:sz w:val="24"/>
                <w:szCs w:val="24"/>
              </w:rPr>
              <w:lastRenderedPageBreak/>
              <w:t>et al</w:t>
            </w:r>
            <w:r w:rsidR="003C6E7B" w:rsidRPr="00FC25F6">
              <w:rPr>
                <w:rFonts w:ascii="Book Antiqua" w:hAnsi="Book Antiqua"/>
                <w:sz w:val="24"/>
                <w:szCs w:val="24"/>
                <w:vertAlign w:val="superscript"/>
              </w:rPr>
              <w:t>[10]</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2011</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464</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59.7</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9.9</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17.4</w:t>
            </w:r>
          </w:p>
        </w:tc>
        <w:tc>
          <w:tcPr>
            <w:tcW w:w="1842"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 xml:space="preserve">bleeding site (in-hospital </w:t>
            </w:r>
            <w:r w:rsidR="003C6E7B" w:rsidRPr="00FC25F6">
              <w:rPr>
                <w:rFonts w:ascii="Book Antiqua" w:hAnsi="Book Antiqua"/>
                <w:i/>
                <w:iCs/>
                <w:sz w:val="24"/>
                <w:szCs w:val="24"/>
              </w:rPr>
              <w:t>vs</w:t>
            </w:r>
            <w:r w:rsidR="003C6E7B" w:rsidRPr="00FC25F6">
              <w:rPr>
                <w:rFonts w:ascii="Book Antiqua" w:hAnsi="Book Antiqua"/>
                <w:sz w:val="24"/>
                <w:szCs w:val="24"/>
              </w:rPr>
              <w:t xml:space="preserve"> </w:t>
            </w:r>
            <w:r w:rsidR="003C6E7B" w:rsidRPr="00FC25F6">
              <w:rPr>
                <w:rFonts w:ascii="Book Antiqua" w:hAnsi="Book Antiqua"/>
                <w:sz w:val="24"/>
                <w:szCs w:val="24"/>
              </w:rPr>
              <w:lastRenderedPageBreak/>
              <w:t>outpatients)</w:t>
            </w:r>
            <w:r w:rsidRPr="00FC25F6">
              <w:rPr>
                <w:rFonts w:ascii="Book Antiqua" w:hAnsi="Book Antiqua"/>
                <w:sz w:val="24"/>
                <w:szCs w:val="24"/>
              </w:rPr>
              <w:t xml:space="preserve">; (2) </w:t>
            </w:r>
            <w:r w:rsidR="003C6E7B" w:rsidRPr="00FC25F6">
              <w:rPr>
                <w:rFonts w:ascii="Book Antiqua" w:hAnsi="Book Antiqua"/>
                <w:sz w:val="24"/>
                <w:szCs w:val="24"/>
              </w:rPr>
              <w:t>comorbidities</w:t>
            </w:r>
            <w:r w:rsidRPr="00FC25F6">
              <w:rPr>
                <w:rFonts w:ascii="Book Antiqua" w:hAnsi="Book Antiqua"/>
                <w:sz w:val="24"/>
                <w:szCs w:val="24"/>
              </w:rPr>
              <w:t xml:space="preserve"> </w:t>
            </w:r>
          </w:p>
        </w:tc>
        <w:tc>
          <w:tcPr>
            <w:tcW w:w="993" w:type="dxa"/>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2.4</w:t>
            </w:r>
            <w:r w:rsidRPr="00FC25F6">
              <w:rPr>
                <w:rFonts w:ascii="Book Antiqua" w:hAnsi="Book Antiqua"/>
                <w:sz w:val="24"/>
                <w:szCs w:val="24"/>
              </w:rPr>
              <w:t>; (2)</w:t>
            </w:r>
            <w:r w:rsidRPr="00FC25F6">
              <w:rPr>
                <w:rFonts w:ascii="Book Antiqua" w:hAnsi="Book Antiqua"/>
                <w:sz w:val="24"/>
                <w:szCs w:val="24"/>
                <w:lang w:eastAsia="zh-CN"/>
              </w:rPr>
              <w:t xml:space="preserve"> </w:t>
            </w:r>
            <w:r w:rsidR="003C6E7B" w:rsidRPr="00FC25F6">
              <w:rPr>
                <w:rFonts w:ascii="Book Antiqua" w:hAnsi="Book Antiqua"/>
                <w:sz w:val="24"/>
                <w:szCs w:val="24"/>
              </w:rPr>
              <w:t>2.5</w:t>
            </w:r>
          </w:p>
        </w:tc>
        <w:tc>
          <w:tcPr>
            <w:tcW w:w="2976"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134"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2.2</w:t>
            </w:r>
          </w:p>
        </w:tc>
      </w:tr>
      <w:tr w:rsidR="008727DC" w:rsidRPr="00FC25F6" w:rsidTr="004D1C0B">
        <w:tc>
          <w:tcPr>
            <w:tcW w:w="851"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proofErr w:type="spellStart"/>
            <w:r w:rsidRPr="00FC25F6">
              <w:rPr>
                <w:rFonts w:ascii="Book Antiqua" w:hAnsi="Book Antiqua"/>
                <w:sz w:val="24"/>
                <w:szCs w:val="24"/>
              </w:rPr>
              <w:lastRenderedPageBreak/>
              <w:t>Nahon</w:t>
            </w:r>
            <w:proofErr w:type="spellEnd"/>
            <w:r w:rsidRPr="00FC25F6">
              <w:rPr>
                <w:rFonts w:ascii="Book Antiqua" w:hAnsi="Book Antiqua"/>
                <w:sz w:val="24"/>
                <w:szCs w:val="24"/>
              </w:rPr>
              <w:t xml:space="preserve"> </w:t>
            </w:r>
            <w:r w:rsidRPr="00FC25F6">
              <w:rPr>
                <w:rFonts w:ascii="Book Antiqua" w:hAnsi="Book Antiqua"/>
                <w:i/>
                <w:sz w:val="24"/>
                <w:szCs w:val="24"/>
              </w:rPr>
              <w:t>et al</w:t>
            </w:r>
            <w:r w:rsidRPr="00FC25F6">
              <w:rPr>
                <w:rFonts w:ascii="Book Antiqua" w:hAnsi="Book Antiqua"/>
                <w:sz w:val="24"/>
                <w:szCs w:val="24"/>
                <w:vertAlign w:val="superscript"/>
              </w:rPr>
              <w:t>[11]</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2012</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UDB</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3298</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63 ± 18</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8.3</w:t>
            </w:r>
          </w:p>
        </w:tc>
        <w:tc>
          <w:tcPr>
            <w:tcW w:w="1418"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9.9</w:t>
            </w:r>
          </w:p>
        </w:tc>
        <w:tc>
          <w:tcPr>
            <w:tcW w:w="1842"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proofErr w:type="spellStart"/>
            <w:r w:rsidR="003C6E7B" w:rsidRPr="00FC25F6">
              <w:rPr>
                <w:rFonts w:ascii="Book Antiqua" w:hAnsi="Book Antiqua"/>
                <w:sz w:val="24"/>
                <w:szCs w:val="24"/>
              </w:rPr>
              <w:t>Rockall</w:t>
            </w:r>
            <w:proofErr w:type="spellEnd"/>
            <w:r w:rsidR="003C6E7B" w:rsidRPr="00FC25F6">
              <w:rPr>
                <w:rFonts w:ascii="Book Antiqua" w:hAnsi="Book Antiqua"/>
                <w:sz w:val="24"/>
                <w:szCs w:val="24"/>
              </w:rPr>
              <w:t xml:space="preserve"> score</w:t>
            </w:r>
            <w:r w:rsidRPr="00FC25F6">
              <w:rPr>
                <w:rFonts w:ascii="Book Antiqua" w:hAnsi="Book Antiqua"/>
                <w:sz w:val="24"/>
                <w:szCs w:val="24"/>
              </w:rPr>
              <w:t xml:space="preserve">; (2) </w:t>
            </w:r>
            <w:r w:rsidR="003C6E7B" w:rsidRPr="00FC25F6">
              <w:rPr>
                <w:rFonts w:ascii="Book Antiqua" w:hAnsi="Book Antiqua"/>
                <w:sz w:val="24"/>
                <w:szCs w:val="24"/>
              </w:rPr>
              <w:t>comorbidities</w:t>
            </w:r>
            <w:r w:rsidRPr="00FC25F6">
              <w:rPr>
                <w:rFonts w:ascii="Book Antiqua" w:hAnsi="Book Antiqua"/>
                <w:sz w:val="24"/>
                <w:szCs w:val="24"/>
                <w:lang w:eastAsia="zh-CN"/>
              </w:rPr>
              <w:t xml:space="preserve">; </w:t>
            </w:r>
            <w:r w:rsidRPr="00FC25F6">
              <w:rPr>
                <w:rFonts w:ascii="Book Antiqua" w:hAnsi="Book Antiqua"/>
                <w:sz w:val="24"/>
                <w:szCs w:val="24"/>
              </w:rPr>
              <w:t xml:space="preserve">(3) </w:t>
            </w:r>
            <w:r w:rsidR="003C6E7B" w:rsidRPr="00FC25F6">
              <w:rPr>
                <w:rFonts w:ascii="Book Antiqua" w:hAnsi="Book Antiqua"/>
                <w:sz w:val="24"/>
                <w:szCs w:val="24"/>
              </w:rPr>
              <w:t>SBP &lt; 100 mmHg</w:t>
            </w:r>
          </w:p>
        </w:tc>
        <w:tc>
          <w:tcPr>
            <w:tcW w:w="993"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2.8</w:t>
            </w:r>
            <w:r w:rsidRPr="00FC25F6">
              <w:rPr>
                <w:rFonts w:ascii="Book Antiqua" w:hAnsi="Book Antiqua"/>
                <w:sz w:val="24"/>
                <w:szCs w:val="24"/>
              </w:rPr>
              <w:t xml:space="preserve">; (2) </w:t>
            </w:r>
            <w:r w:rsidR="003C6E7B" w:rsidRPr="00FC25F6">
              <w:rPr>
                <w:rFonts w:ascii="Book Antiqua" w:hAnsi="Book Antiqua"/>
                <w:sz w:val="24"/>
                <w:szCs w:val="24"/>
              </w:rPr>
              <w:t>3.6 (for each additional comorbidity)</w:t>
            </w:r>
            <w:r w:rsidRPr="00FC25F6">
              <w:rPr>
                <w:rFonts w:ascii="Book Antiqua" w:hAnsi="Book Antiqua"/>
                <w:sz w:val="24"/>
                <w:szCs w:val="24"/>
              </w:rPr>
              <w:t xml:space="preserve">; (3) </w:t>
            </w:r>
            <w:r w:rsidR="003C6E7B" w:rsidRPr="00FC25F6">
              <w:rPr>
                <w:rFonts w:ascii="Book Antiqua" w:hAnsi="Book Antiqua"/>
                <w:sz w:val="24"/>
                <w:szCs w:val="24"/>
              </w:rPr>
              <w:t>2.1</w:t>
            </w:r>
          </w:p>
        </w:tc>
        <w:tc>
          <w:tcPr>
            <w:tcW w:w="2976"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need for transfusions</w:t>
            </w:r>
            <w:r w:rsidRPr="00FC25F6">
              <w:rPr>
                <w:rFonts w:ascii="Book Antiqua" w:hAnsi="Book Antiqua"/>
                <w:sz w:val="24"/>
                <w:szCs w:val="24"/>
              </w:rPr>
              <w:t xml:space="preserve">; (2) </w:t>
            </w:r>
            <w:proofErr w:type="spellStart"/>
            <w:r w:rsidR="003C6E7B" w:rsidRPr="00FC25F6">
              <w:rPr>
                <w:rFonts w:ascii="Book Antiqua" w:hAnsi="Book Antiqua"/>
                <w:sz w:val="24"/>
                <w:szCs w:val="24"/>
              </w:rPr>
              <w:t>Hb</w:t>
            </w:r>
            <w:proofErr w:type="spellEnd"/>
            <w:r w:rsidR="003C6E7B" w:rsidRPr="00FC25F6">
              <w:rPr>
                <w:rFonts w:ascii="Book Antiqua" w:hAnsi="Book Antiqua"/>
                <w:sz w:val="24"/>
                <w:szCs w:val="24"/>
              </w:rPr>
              <w:t xml:space="preserve"> &lt; 10 g/</w:t>
            </w:r>
            <w:proofErr w:type="spellStart"/>
            <w:r w:rsidR="003C6E7B" w:rsidRPr="00FC25F6">
              <w:rPr>
                <w:rFonts w:ascii="Book Antiqua" w:hAnsi="Book Antiqua"/>
                <w:sz w:val="24"/>
                <w:szCs w:val="24"/>
              </w:rPr>
              <w:t>dL</w:t>
            </w:r>
            <w:proofErr w:type="spellEnd"/>
            <w:r w:rsidRPr="00FC25F6">
              <w:rPr>
                <w:rFonts w:ascii="Book Antiqua" w:hAnsi="Book Antiqua"/>
                <w:sz w:val="24"/>
                <w:szCs w:val="24"/>
              </w:rPr>
              <w:t xml:space="preserve">; (3) </w:t>
            </w:r>
            <w:proofErr w:type="spellStart"/>
            <w:r w:rsidR="003C6E7B" w:rsidRPr="00FC25F6">
              <w:rPr>
                <w:rFonts w:ascii="Book Antiqua" w:hAnsi="Book Antiqua"/>
                <w:sz w:val="24"/>
                <w:szCs w:val="24"/>
              </w:rPr>
              <w:t>Rockall</w:t>
            </w:r>
            <w:proofErr w:type="spellEnd"/>
            <w:r w:rsidR="003C6E7B" w:rsidRPr="00FC25F6">
              <w:rPr>
                <w:rFonts w:ascii="Book Antiqua" w:hAnsi="Book Antiqua"/>
                <w:sz w:val="24"/>
                <w:szCs w:val="24"/>
              </w:rPr>
              <w:t xml:space="preserve"> score</w:t>
            </w:r>
            <w:r w:rsidRPr="00FC25F6">
              <w:rPr>
                <w:rFonts w:ascii="Book Antiqua" w:hAnsi="Book Antiqua"/>
                <w:sz w:val="24"/>
                <w:szCs w:val="24"/>
                <w:lang w:eastAsia="zh-CN"/>
              </w:rPr>
              <w:t xml:space="preserve">; </w:t>
            </w:r>
            <w:r w:rsidRPr="00FC25F6">
              <w:rPr>
                <w:rFonts w:ascii="Book Antiqua" w:hAnsi="Book Antiqua"/>
                <w:sz w:val="24"/>
                <w:szCs w:val="24"/>
              </w:rPr>
              <w:t xml:space="preserve">(4) </w:t>
            </w:r>
            <w:r w:rsidR="003C6E7B" w:rsidRPr="00FC25F6">
              <w:rPr>
                <w:rFonts w:ascii="Book Antiqua" w:hAnsi="Book Antiqua"/>
                <w:sz w:val="24"/>
                <w:szCs w:val="24"/>
              </w:rPr>
              <w:t>SBP &lt; 100 mmHg</w:t>
            </w:r>
            <w:r w:rsidRPr="00FC25F6">
              <w:rPr>
                <w:rFonts w:ascii="Book Antiqua" w:hAnsi="Book Antiqua"/>
                <w:sz w:val="24"/>
                <w:szCs w:val="24"/>
              </w:rPr>
              <w:t xml:space="preserve">; (5) </w:t>
            </w:r>
            <w:r w:rsidR="003C6E7B" w:rsidRPr="00FC25F6">
              <w:rPr>
                <w:rFonts w:ascii="Book Antiqua" w:hAnsi="Book Antiqua"/>
                <w:sz w:val="24"/>
                <w:szCs w:val="24"/>
              </w:rPr>
              <w:t>signs of recent bleeding</w:t>
            </w:r>
          </w:p>
        </w:tc>
        <w:tc>
          <w:tcPr>
            <w:tcW w:w="1134" w:type="dxa"/>
            <w:tcBorders>
              <w:left w:val="nil"/>
              <w:right w:val="nil"/>
            </w:tcBorders>
            <w:shd w:val="clear" w:color="auto" w:fill="auto"/>
          </w:tcPr>
          <w:p w:rsidR="003C6E7B" w:rsidRPr="00FC25F6" w:rsidRDefault="004D1C0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19.1</w:t>
            </w:r>
            <w:r w:rsidRPr="00FC25F6">
              <w:rPr>
                <w:rFonts w:ascii="Book Antiqua" w:hAnsi="Book Antiqua"/>
                <w:sz w:val="24"/>
                <w:szCs w:val="24"/>
              </w:rPr>
              <w:t xml:space="preserve">; (2) </w:t>
            </w:r>
            <w:r w:rsidR="003C6E7B" w:rsidRPr="00FC25F6">
              <w:rPr>
                <w:rFonts w:ascii="Book Antiqua" w:hAnsi="Book Antiqua"/>
                <w:sz w:val="24"/>
                <w:szCs w:val="24"/>
              </w:rPr>
              <w:t>1.7</w:t>
            </w:r>
            <w:r w:rsidRPr="00FC25F6">
              <w:rPr>
                <w:rFonts w:ascii="Book Antiqua" w:hAnsi="Book Antiqua"/>
                <w:sz w:val="24"/>
                <w:szCs w:val="24"/>
              </w:rPr>
              <w:t xml:space="preserve">; (3) </w:t>
            </w:r>
            <w:r w:rsidR="003C6E7B" w:rsidRPr="00FC25F6">
              <w:rPr>
                <w:rFonts w:ascii="Book Antiqua" w:hAnsi="Book Antiqua"/>
                <w:sz w:val="24"/>
                <w:szCs w:val="24"/>
              </w:rPr>
              <w:t>1.4 (for each point score increase)</w:t>
            </w:r>
            <w:r w:rsidRPr="00FC25F6">
              <w:rPr>
                <w:rFonts w:ascii="Book Antiqua" w:hAnsi="Book Antiqua"/>
                <w:sz w:val="24"/>
                <w:szCs w:val="24"/>
              </w:rPr>
              <w:t xml:space="preserve">; (4) </w:t>
            </w:r>
            <w:r w:rsidR="003C6E7B" w:rsidRPr="00FC25F6">
              <w:rPr>
                <w:rFonts w:ascii="Book Antiqua" w:hAnsi="Book Antiqua"/>
                <w:sz w:val="24"/>
                <w:szCs w:val="24"/>
              </w:rPr>
              <w:t>1.9</w:t>
            </w:r>
            <w:r w:rsidRPr="00FC25F6">
              <w:rPr>
                <w:rFonts w:ascii="Book Antiqua" w:hAnsi="Book Antiqua"/>
                <w:sz w:val="24"/>
                <w:szCs w:val="24"/>
                <w:lang w:eastAsia="zh-CN"/>
              </w:rPr>
              <w:t xml:space="preserve">; </w:t>
            </w:r>
            <w:r w:rsidRPr="00FC25F6">
              <w:rPr>
                <w:rFonts w:ascii="Book Antiqua" w:hAnsi="Book Antiqua"/>
                <w:sz w:val="24"/>
                <w:szCs w:val="24"/>
              </w:rPr>
              <w:t xml:space="preserve">(5) </w:t>
            </w:r>
            <w:r w:rsidR="003C6E7B" w:rsidRPr="00FC25F6">
              <w:rPr>
                <w:rFonts w:ascii="Book Antiqua" w:hAnsi="Book Antiqua"/>
                <w:sz w:val="24"/>
                <w:szCs w:val="24"/>
              </w:rPr>
              <w:t>2.4</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t xml:space="preserve">Del Piano </w:t>
            </w:r>
            <w:r w:rsidRPr="00FC25F6">
              <w:rPr>
                <w:rFonts w:ascii="Book Antiqua" w:hAnsi="Book Antiqua"/>
                <w:i/>
                <w:sz w:val="24"/>
                <w:szCs w:val="24"/>
              </w:rPr>
              <w:t>et al</w:t>
            </w:r>
            <w:r w:rsidRPr="00FC25F6">
              <w:rPr>
                <w:rFonts w:ascii="Book Antiqua" w:hAnsi="Book Antiqua"/>
                <w:sz w:val="24"/>
                <w:szCs w:val="24"/>
                <w:vertAlign w:val="superscript"/>
              </w:rPr>
              <w:t>[12]</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2013</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1413</w:t>
            </w:r>
          </w:p>
        </w:tc>
        <w:tc>
          <w:tcPr>
            <w:tcW w:w="992" w:type="dxa"/>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-66.5 ± 15.8 male</w:t>
            </w:r>
            <w:r w:rsidRPr="00FC25F6">
              <w:rPr>
                <w:rFonts w:ascii="Book Antiqua" w:hAnsi="Book Antiqua"/>
                <w:sz w:val="24"/>
                <w:szCs w:val="24"/>
              </w:rPr>
              <w:t xml:space="preserve">; (2) </w:t>
            </w:r>
            <w:r w:rsidR="003C6E7B" w:rsidRPr="00FC25F6">
              <w:rPr>
                <w:rFonts w:ascii="Book Antiqua" w:hAnsi="Book Antiqua"/>
                <w:sz w:val="24"/>
                <w:szCs w:val="24"/>
              </w:rPr>
              <w:t xml:space="preserve">-74.2 ± 14.6 </w:t>
            </w:r>
            <w:r w:rsidR="003C6E7B" w:rsidRPr="00FC25F6">
              <w:rPr>
                <w:rFonts w:ascii="Book Antiqua" w:hAnsi="Book Antiqua"/>
                <w:sz w:val="24"/>
                <w:szCs w:val="24"/>
              </w:rPr>
              <w:lastRenderedPageBreak/>
              <w:t>female</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5.4</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4</w:t>
            </w:r>
          </w:p>
        </w:tc>
        <w:tc>
          <w:tcPr>
            <w:tcW w:w="184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993"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2976" w:type="dxa"/>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female sex</w:t>
            </w:r>
            <w:r w:rsidRPr="00FC25F6">
              <w:rPr>
                <w:rFonts w:ascii="Book Antiqua" w:hAnsi="Book Antiqua"/>
                <w:sz w:val="24"/>
                <w:szCs w:val="24"/>
              </w:rPr>
              <w:t xml:space="preserve">; (2) </w:t>
            </w:r>
            <w:r w:rsidR="003C6E7B" w:rsidRPr="00FC25F6">
              <w:rPr>
                <w:rFonts w:ascii="Book Antiqua" w:hAnsi="Book Antiqua"/>
                <w:sz w:val="24"/>
                <w:szCs w:val="24"/>
              </w:rPr>
              <w:t>neoplasia</w:t>
            </w:r>
            <w:r w:rsidRPr="00FC25F6">
              <w:rPr>
                <w:rFonts w:ascii="Book Antiqua" w:hAnsi="Book Antiqua"/>
                <w:sz w:val="24"/>
                <w:szCs w:val="24"/>
              </w:rPr>
              <w:t xml:space="preserve">; (3) </w:t>
            </w:r>
            <w:r w:rsidR="003C6E7B" w:rsidRPr="00FC25F6">
              <w:rPr>
                <w:rFonts w:ascii="Book Antiqua" w:hAnsi="Book Antiqua"/>
                <w:sz w:val="24"/>
                <w:szCs w:val="24"/>
              </w:rPr>
              <w:t>multiple comorbidities</w:t>
            </w:r>
            <w:r w:rsidRPr="00FC25F6">
              <w:rPr>
                <w:rFonts w:ascii="Book Antiqua" w:hAnsi="Book Antiqua"/>
                <w:sz w:val="24"/>
                <w:szCs w:val="24"/>
              </w:rPr>
              <w:t xml:space="preserve">; (4) </w:t>
            </w:r>
            <w:r w:rsidR="003C6E7B" w:rsidRPr="00FC25F6">
              <w:rPr>
                <w:rFonts w:ascii="Book Antiqua" w:hAnsi="Book Antiqua"/>
                <w:sz w:val="24"/>
                <w:szCs w:val="24"/>
              </w:rPr>
              <w:t>shock at admission</w:t>
            </w:r>
            <w:r w:rsidRPr="00FC25F6">
              <w:rPr>
                <w:rFonts w:ascii="Book Antiqua" w:hAnsi="Book Antiqua"/>
                <w:sz w:val="24"/>
                <w:szCs w:val="24"/>
              </w:rPr>
              <w:t xml:space="preserve">; (5) </w:t>
            </w:r>
            <w:r w:rsidR="003C6E7B" w:rsidRPr="00FC25F6">
              <w:rPr>
                <w:rFonts w:ascii="Book Antiqua" w:hAnsi="Book Antiqua"/>
                <w:sz w:val="24"/>
                <w:szCs w:val="24"/>
              </w:rPr>
              <w:t xml:space="preserve">early </w:t>
            </w:r>
            <w:proofErr w:type="spellStart"/>
            <w:r w:rsidR="003C6E7B" w:rsidRPr="00FC25F6">
              <w:rPr>
                <w:rFonts w:ascii="Book Antiqua" w:hAnsi="Book Antiqua"/>
                <w:sz w:val="24"/>
                <w:szCs w:val="24"/>
              </w:rPr>
              <w:t>rebleeding</w:t>
            </w:r>
            <w:proofErr w:type="spellEnd"/>
          </w:p>
        </w:tc>
        <w:tc>
          <w:tcPr>
            <w:tcW w:w="1134" w:type="dxa"/>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2.19</w:t>
            </w:r>
            <w:r w:rsidRPr="00FC25F6">
              <w:rPr>
                <w:rFonts w:ascii="Book Antiqua" w:hAnsi="Book Antiqua"/>
                <w:sz w:val="24"/>
                <w:szCs w:val="24"/>
              </w:rPr>
              <w:t xml:space="preserve">; (2) </w:t>
            </w:r>
            <w:r w:rsidR="003C6E7B" w:rsidRPr="00FC25F6">
              <w:rPr>
                <w:rFonts w:ascii="Book Antiqua" w:hAnsi="Book Antiqua"/>
                <w:sz w:val="24"/>
                <w:szCs w:val="24"/>
              </w:rPr>
              <w:t>2.7</w:t>
            </w:r>
            <w:r w:rsidRPr="00FC25F6">
              <w:rPr>
                <w:rFonts w:ascii="Book Antiqua" w:hAnsi="Book Antiqua"/>
                <w:sz w:val="24"/>
                <w:szCs w:val="24"/>
              </w:rPr>
              <w:t xml:space="preserve">; (3) </w:t>
            </w:r>
            <w:r w:rsidR="003C6E7B" w:rsidRPr="00FC25F6">
              <w:rPr>
                <w:rFonts w:ascii="Book Antiqua" w:hAnsi="Book Antiqua"/>
                <w:sz w:val="24"/>
                <w:szCs w:val="24"/>
              </w:rPr>
              <w:t>5.04</w:t>
            </w:r>
            <w:r w:rsidRPr="00FC25F6">
              <w:rPr>
                <w:rFonts w:ascii="Book Antiqua" w:hAnsi="Book Antiqua"/>
                <w:sz w:val="24"/>
                <w:szCs w:val="24"/>
              </w:rPr>
              <w:t xml:space="preserve">; (4) </w:t>
            </w:r>
            <w:r w:rsidR="003C6E7B" w:rsidRPr="00FC25F6">
              <w:rPr>
                <w:rFonts w:ascii="Book Antiqua" w:hAnsi="Book Antiqua"/>
                <w:sz w:val="24"/>
                <w:szCs w:val="24"/>
              </w:rPr>
              <w:t>4.55</w:t>
            </w:r>
            <w:r w:rsidRPr="00FC25F6">
              <w:rPr>
                <w:rFonts w:ascii="Book Antiqua" w:hAnsi="Book Antiqua"/>
                <w:sz w:val="24"/>
                <w:szCs w:val="24"/>
              </w:rPr>
              <w:t xml:space="preserve">; (5) </w:t>
            </w:r>
            <w:r w:rsidR="003C6E7B" w:rsidRPr="00FC25F6">
              <w:rPr>
                <w:rFonts w:ascii="Book Antiqua" w:hAnsi="Book Antiqua"/>
                <w:sz w:val="24"/>
                <w:szCs w:val="24"/>
              </w:rPr>
              <w:t>1.47</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 xml:space="preserve">14.3 (of early </w:t>
            </w:r>
            <w:proofErr w:type="spellStart"/>
            <w:r w:rsidRPr="00FC25F6">
              <w:rPr>
                <w:rFonts w:ascii="Book Antiqua" w:hAnsi="Book Antiqua"/>
                <w:sz w:val="24"/>
                <w:szCs w:val="24"/>
              </w:rPr>
              <w:t>rebleeders</w:t>
            </w:r>
            <w:proofErr w:type="spellEnd"/>
            <w:r w:rsidRPr="00FC25F6">
              <w:rPr>
                <w:rFonts w:ascii="Book Antiqua" w:hAnsi="Book Antiqua"/>
                <w:sz w:val="24"/>
                <w:szCs w:val="24"/>
              </w:rPr>
              <w:t>)</w:t>
            </w:r>
          </w:p>
        </w:tc>
      </w:tr>
      <w:tr w:rsidR="008727DC" w:rsidRPr="00FC25F6" w:rsidTr="004D1C0B">
        <w:tc>
          <w:tcPr>
            <w:tcW w:w="851"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proofErr w:type="spellStart"/>
            <w:r w:rsidRPr="00FC25F6">
              <w:rPr>
                <w:rFonts w:ascii="Book Antiqua" w:hAnsi="Book Antiqua"/>
                <w:sz w:val="24"/>
                <w:szCs w:val="24"/>
              </w:rPr>
              <w:lastRenderedPageBreak/>
              <w:t>Taha</w:t>
            </w:r>
            <w:proofErr w:type="spellEnd"/>
            <w:r w:rsidRPr="00FC25F6">
              <w:rPr>
                <w:rFonts w:ascii="Book Antiqua" w:hAnsi="Book Antiqua"/>
                <w:sz w:val="24"/>
                <w:szCs w:val="24"/>
              </w:rPr>
              <w:t xml:space="preserve"> </w:t>
            </w:r>
            <w:r w:rsidRPr="00FC25F6">
              <w:rPr>
                <w:rFonts w:ascii="Book Antiqua" w:hAnsi="Book Antiqua"/>
                <w:i/>
                <w:sz w:val="24"/>
                <w:szCs w:val="24"/>
              </w:rPr>
              <w:t>et al</w:t>
            </w:r>
            <w:r w:rsidRPr="00FC25F6">
              <w:rPr>
                <w:rFonts w:ascii="Book Antiqua" w:hAnsi="Book Antiqua"/>
                <w:sz w:val="24"/>
                <w:szCs w:val="24"/>
                <w:vertAlign w:val="superscript"/>
              </w:rPr>
              <w:t>[13]</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2014</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UDB</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R</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2669</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7.1</w:t>
            </w:r>
          </w:p>
        </w:tc>
        <w:tc>
          <w:tcPr>
            <w:tcW w:w="1418"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p>
        </w:tc>
        <w:tc>
          <w:tcPr>
            <w:tcW w:w="1842" w:type="dxa"/>
            <w:tcBorders>
              <w:left w:val="nil"/>
              <w:right w:val="nil"/>
            </w:tcBorders>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age</w:t>
            </w:r>
            <w:r w:rsidRPr="00FC25F6">
              <w:rPr>
                <w:rFonts w:ascii="Book Antiqua" w:hAnsi="Book Antiqua"/>
                <w:sz w:val="24"/>
                <w:szCs w:val="24"/>
              </w:rPr>
              <w:t xml:space="preserve">; (2) </w:t>
            </w:r>
            <w:proofErr w:type="spellStart"/>
            <w:r w:rsidR="003C6E7B" w:rsidRPr="00FC25F6">
              <w:rPr>
                <w:rFonts w:ascii="Book Antiqua" w:hAnsi="Book Antiqua"/>
                <w:sz w:val="24"/>
                <w:szCs w:val="24"/>
              </w:rPr>
              <w:t>Charlson</w:t>
            </w:r>
            <w:proofErr w:type="spellEnd"/>
            <w:r w:rsidR="003C6E7B" w:rsidRPr="00FC25F6">
              <w:rPr>
                <w:rFonts w:ascii="Book Antiqua" w:hAnsi="Book Antiqua"/>
                <w:sz w:val="24"/>
                <w:szCs w:val="24"/>
              </w:rPr>
              <w:t xml:space="preserve"> score</w:t>
            </w:r>
            <w:r w:rsidRPr="00FC25F6">
              <w:rPr>
                <w:rFonts w:ascii="Book Antiqua" w:hAnsi="Book Antiqua"/>
                <w:sz w:val="24"/>
                <w:szCs w:val="24"/>
              </w:rPr>
              <w:t xml:space="preserve">; (3) </w:t>
            </w:r>
            <w:proofErr w:type="spellStart"/>
            <w:r w:rsidR="003C6E7B" w:rsidRPr="00FC25F6">
              <w:rPr>
                <w:rFonts w:ascii="Book Antiqua" w:hAnsi="Book Antiqua"/>
                <w:sz w:val="24"/>
                <w:szCs w:val="24"/>
              </w:rPr>
              <w:t>Rockall</w:t>
            </w:r>
            <w:proofErr w:type="spellEnd"/>
            <w:r w:rsidR="003C6E7B" w:rsidRPr="00FC25F6">
              <w:rPr>
                <w:rFonts w:ascii="Book Antiqua" w:hAnsi="Book Antiqua"/>
                <w:sz w:val="24"/>
                <w:szCs w:val="24"/>
              </w:rPr>
              <w:t xml:space="preserve"> score</w:t>
            </w:r>
            <w:r w:rsidRPr="00FC25F6">
              <w:rPr>
                <w:rFonts w:ascii="Book Antiqua" w:hAnsi="Book Antiqua"/>
                <w:sz w:val="24"/>
                <w:szCs w:val="24"/>
              </w:rPr>
              <w:t xml:space="preserve">; (4) </w:t>
            </w:r>
            <w:r w:rsidR="003C6E7B" w:rsidRPr="00FC25F6">
              <w:rPr>
                <w:rFonts w:ascii="Book Antiqua" w:hAnsi="Book Antiqua"/>
                <w:sz w:val="24"/>
                <w:szCs w:val="24"/>
              </w:rPr>
              <w:t>units of blood transfused</w:t>
            </w:r>
          </w:p>
        </w:tc>
        <w:tc>
          <w:tcPr>
            <w:tcW w:w="993" w:type="dxa"/>
            <w:tcBorders>
              <w:left w:val="nil"/>
              <w:right w:val="nil"/>
            </w:tcBorders>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1.020</w:t>
            </w:r>
            <w:r w:rsidRPr="00FC25F6">
              <w:rPr>
                <w:rFonts w:ascii="Book Antiqua" w:hAnsi="Book Antiqua"/>
                <w:sz w:val="24"/>
                <w:szCs w:val="24"/>
              </w:rPr>
              <w:t xml:space="preserve">; (2) </w:t>
            </w:r>
            <w:r w:rsidR="003C6E7B" w:rsidRPr="00FC25F6">
              <w:rPr>
                <w:rFonts w:ascii="Book Antiqua" w:hAnsi="Book Antiqua"/>
                <w:sz w:val="24"/>
                <w:szCs w:val="24"/>
              </w:rPr>
              <w:t>1.291</w:t>
            </w:r>
            <w:r w:rsidRPr="00FC25F6">
              <w:rPr>
                <w:rFonts w:ascii="Book Antiqua" w:hAnsi="Book Antiqua"/>
                <w:sz w:val="24"/>
                <w:szCs w:val="24"/>
              </w:rPr>
              <w:t xml:space="preserve">; (3) </w:t>
            </w:r>
            <w:r w:rsidR="003C6E7B" w:rsidRPr="00FC25F6">
              <w:rPr>
                <w:rFonts w:ascii="Book Antiqua" w:hAnsi="Book Antiqua"/>
                <w:sz w:val="24"/>
                <w:szCs w:val="24"/>
              </w:rPr>
              <w:t>1.274</w:t>
            </w:r>
            <w:r w:rsidRPr="00FC25F6">
              <w:rPr>
                <w:rFonts w:ascii="Book Antiqua" w:hAnsi="Book Antiqua"/>
                <w:sz w:val="24"/>
                <w:szCs w:val="24"/>
              </w:rPr>
              <w:t xml:space="preserve">; (4) </w:t>
            </w:r>
            <w:r w:rsidR="003C6E7B" w:rsidRPr="00FC25F6">
              <w:rPr>
                <w:rFonts w:ascii="Book Antiqua" w:hAnsi="Book Antiqua"/>
                <w:sz w:val="24"/>
                <w:szCs w:val="24"/>
              </w:rPr>
              <w:t>1.085</w:t>
            </w:r>
          </w:p>
        </w:tc>
        <w:tc>
          <w:tcPr>
            <w:tcW w:w="2976"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134"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2.1</w:t>
            </w:r>
          </w:p>
        </w:tc>
      </w:tr>
      <w:tr w:rsidR="008727DC" w:rsidRPr="00FC25F6" w:rsidTr="004D1C0B">
        <w:tc>
          <w:tcPr>
            <w:tcW w:w="851"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bookmarkStart w:id="25" w:name="OLE_LINK4"/>
            <w:bookmarkStart w:id="26" w:name="OLE_LINK5"/>
            <w:proofErr w:type="spellStart"/>
            <w:r w:rsidRPr="00FC25F6">
              <w:rPr>
                <w:rFonts w:ascii="Book Antiqua" w:hAnsi="Book Antiqua"/>
                <w:sz w:val="24"/>
                <w:szCs w:val="24"/>
              </w:rPr>
              <w:t>Marmo</w:t>
            </w:r>
            <w:proofErr w:type="spellEnd"/>
            <w:r w:rsidRPr="00FC25F6">
              <w:rPr>
                <w:rFonts w:ascii="Book Antiqua" w:hAnsi="Book Antiqua"/>
                <w:sz w:val="24"/>
                <w:szCs w:val="24"/>
              </w:rPr>
              <w:t xml:space="preserve"> </w:t>
            </w:r>
            <w:bookmarkEnd w:id="25"/>
            <w:bookmarkEnd w:id="26"/>
            <w:r w:rsidRPr="00FC25F6">
              <w:rPr>
                <w:rFonts w:ascii="Book Antiqua" w:hAnsi="Book Antiqua"/>
                <w:i/>
                <w:sz w:val="24"/>
                <w:szCs w:val="24"/>
              </w:rPr>
              <w:t>et al</w:t>
            </w:r>
            <w:r w:rsidRPr="00FC25F6">
              <w:rPr>
                <w:rFonts w:ascii="Book Antiqua" w:hAnsi="Book Antiqua"/>
                <w:sz w:val="24"/>
                <w:szCs w:val="24"/>
                <w:vertAlign w:val="superscript"/>
              </w:rPr>
              <w:t>[14</w:t>
            </w:r>
            <w:r w:rsidR="007948EC" w:rsidRPr="00FC25F6">
              <w:rPr>
                <w:rFonts w:ascii="Book Antiqua" w:hAnsi="Book Antiqua"/>
                <w:sz w:val="24"/>
                <w:szCs w:val="24"/>
                <w:vertAlign w:val="superscript"/>
              </w:rPr>
              <w:t>,</w:t>
            </w:r>
            <w:r w:rsidRPr="00FC25F6">
              <w:rPr>
                <w:rFonts w:ascii="Book Antiqua" w:hAnsi="Book Antiqua"/>
                <w:sz w:val="24"/>
                <w:szCs w:val="24"/>
                <w:vertAlign w:val="superscript"/>
              </w:rPr>
              <w:t>15]</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2014</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2317</w:t>
            </w:r>
          </w:p>
        </w:tc>
        <w:tc>
          <w:tcPr>
            <w:tcW w:w="992"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67.9 ± 16.7</w:t>
            </w:r>
          </w:p>
        </w:tc>
        <w:tc>
          <w:tcPr>
            <w:tcW w:w="709"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4.5</w:t>
            </w:r>
            <w:r w:rsidR="008727DC" w:rsidRPr="00FC25F6">
              <w:rPr>
                <w:rFonts w:ascii="Book Antiqua" w:hAnsi="Book Antiqua"/>
                <w:sz w:val="24"/>
                <w:szCs w:val="24"/>
              </w:rPr>
              <w:t>7</w:t>
            </w:r>
            <w:r w:rsidR="008727DC" w:rsidRPr="00FC25F6">
              <w:rPr>
                <w:rFonts w:ascii="Book Antiqua" w:hAnsi="Book Antiqua"/>
                <w:sz w:val="24"/>
                <w:szCs w:val="24"/>
                <w:vertAlign w:val="superscript"/>
              </w:rPr>
              <w:t>3</w:t>
            </w:r>
          </w:p>
        </w:tc>
        <w:tc>
          <w:tcPr>
            <w:tcW w:w="1418"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5.6</w:t>
            </w:r>
            <w:r w:rsidR="008727DC" w:rsidRPr="00FC25F6">
              <w:rPr>
                <w:rFonts w:ascii="Book Antiqua" w:hAnsi="Book Antiqua"/>
                <w:sz w:val="24"/>
                <w:szCs w:val="24"/>
                <w:vertAlign w:val="superscript"/>
              </w:rPr>
              <w:t>1</w:t>
            </w:r>
          </w:p>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3.4</w:t>
            </w:r>
            <w:r w:rsidR="008727DC" w:rsidRPr="00FC25F6">
              <w:rPr>
                <w:rFonts w:ascii="Book Antiqua" w:hAnsi="Book Antiqua"/>
                <w:sz w:val="24"/>
                <w:szCs w:val="24"/>
                <w:vertAlign w:val="superscript"/>
              </w:rPr>
              <w:t>2</w:t>
            </w:r>
          </w:p>
        </w:tc>
        <w:tc>
          <w:tcPr>
            <w:tcW w:w="1842" w:type="dxa"/>
            <w:tcBorders>
              <w:left w:val="nil"/>
              <w:right w:val="nil"/>
            </w:tcBorders>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hemodynamic instability on presentation</w:t>
            </w:r>
            <w:r w:rsidRPr="00FC25F6">
              <w:rPr>
                <w:rFonts w:ascii="Book Antiqua" w:hAnsi="Book Antiqua"/>
                <w:sz w:val="24"/>
                <w:szCs w:val="24"/>
              </w:rPr>
              <w:t xml:space="preserve">; (2) </w:t>
            </w:r>
            <w:r w:rsidR="003C6E7B" w:rsidRPr="00FC25F6">
              <w:rPr>
                <w:rFonts w:ascii="Book Antiqua" w:hAnsi="Book Antiqua"/>
                <w:sz w:val="24"/>
                <w:szCs w:val="24"/>
              </w:rPr>
              <w:t>ASA class 3 or 4</w:t>
            </w:r>
            <w:r w:rsidRPr="00FC25F6">
              <w:rPr>
                <w:rFonts w:ascii="Book Antiqua" w:hAnsi="Book Antiqua"/>
                <w:sz w:val="24"/>
                <w:szCs w:val="24"/>
              </w:rPr>
              <w:t xml:space="preserve">; (3) </w:t>
            </w:r>
            <w:r w:rsidR="003C6E7B" w:rsidRPr="00FC25F6">
              <w:rPr>
                <w:rFonts w:ascii="Book Antiqua" w:hAnsi="Book Antiqua"/>
                <w:sz w:val="24"/>
                <w:szCs w:val="24"/>
              </w:rPr>
              <w:t>low-dose aspirin use</w:t>
            </w:r>
            <w:r w:rsidRPr="00FC25F6">
              <w:rPr>
                <w:rFonts w:ascii="Book Antiqua" w:hAnsi="Book Antiqua"/>
                <w:sz w:val="24"/>
                <w:szCs w:val="24"/>
              </w:rPr>
              <w:t xml:space="preserve">; (4) </w:t>
            </w:r>
            <w:r w:rsidR="003C6E7B" w:rsidRPr="00FC25F6">
              <w:rPr>
                <w:rFonts w:ascii="Book Antiqua" w:hAnsi="Book Antiqua"/>
                <w:sz w:val="24"/>
                <w:szCs w:val="24"/>
              </w:rPr>
              <w:t>history of peptic ulcer</w:t>
            </w:r>
            <w:r w:rsidRPr="00FC25F6">
              <w:rPr>
                <w:rFonts w:ascii="Book Antiqua" w:hAnsi="Book Antiqua"/>
                <w:sz w:val="24"/>
                <w:szCs w:val="24"/>
              </w:rPr>
              <w:t xml:space="preserve">; (5) </w:t>
            </w:r>
            <w:proofErr w:type="spellStart"/>
            <w:r w:rsidR="003C6E7B" w:rsidRPr="00FC25F6">
              <w:rPr>
                <w:rFonts w:ascii="Book Antiqua" w:hAnsi="Book Antiqua"/>
                <w:sz w:val="24"/>
                <w:szCs w:val="24"/>
              </w:rPr>
              <w:t>rebleeding</w:t>
            </w:r>
            <w:proofErr w:type="spellEnd"/>
            <w:r w:rsidRPr="00FC25F6">
              <w:rPr>
                <w:rFonts w:ascii="Book Antiqua" w:hAnsi="Book Antiqua"/>
                <w:sz w:val="24"/>
                <w:szCs w:val="24"/>
              </w:rPr>
              <w:t xml:space="preserve">; (6) </w:t>
            </w:r>
            <w:r w:rsidR="003C6E7B" w:rsidRPr="00FC25F6">
              <w:rPr>
                <w:rFonts w:ascii="Book Antiqua" w:hAnsi="Book Antiqua"/>
                <w:sz w:val="24"/>
                <w:szCs w:val="24"/>
              </w:rPr>
              <w:t xml:space="preserve">failed </w:t>
            </w:r>
            <w:r w:rsidR="003C6E7B" w:rsidRPr="00FC25F6">
              <w:rPr>
                <w:rFonts w:ascii="Book Antiqua" w:hAnsi="Book Antiqua"/>
                <w:sz w:val="24"/>
                <w:szCs w:val="24"/>
              </w:rPr>
              <w:lastRenderedPageBreak/>
              <w:t>endoscopic treatment</w:t>
            </w:r>
          </w:p>
        </w:tc>
        <w:tc>
          <w:tcPr>
            <w:tcW w:w="993" w:type="dxa"/>
            <w:tcBorders>
              <w:left w:val="nil"/>
              <w:right w:val="nil"/>
            </w:tcBorders>
            <w:shd w:val="clear" w:color="auto" w:fill="auto"/>
          </w:tcPr>
          <w:p w:rsidR="003C6E7B" w:rsidRPr="00FC25F6" w:rsidRDefault="007948EC"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7.31</w:t>
            </w:r>
            <w:r w:rsidR="008727DC" w:rsidRPr="00FC25F6">
              <w:rPr>
                <w:rFonts w:ascii="Book Antiqua" w:hAnsi="Book Antiqua"/>
                <w:sz w:val="24"/>
                <w:szCs w:val="24"/>
                <w:vertAlign w:val="superscript"/>
              </w:rPr>
              <w:t>1</w:t>
            </w:r>
            <w:r w:rsidRPr="00FC25F6">
              <w:rPr>
                <w:rFonts w:ascii="Book Antiqua" w:hAnsi="Book Antiqua"/>
                <w:sz w:val="24"/>
                <w:szCs w:val="24"/>
              </w:rPr>
              <w:t xml:space="preserve">; </w:t>
            </w:r>
            <w:r w:rsidR="003C6E7B" w:rsidRPr="00FC25F6">
              <w:rPr>
                <w:rFonts w:ascii="Book Antiqua" w:hAnsi="Book Antiqua"/>
                <w:sz w:val="24"/>
                <w:szCs w:val="24"/>
              </w:rPr>
              <w:t>2.31</w:t>
            </w:r>
            <w:r w:rsidR="008727DC" w:rsidRPr="00FC25F6">
              <w:rPr>
                <w:rFonts w:ascii="Book Antiqua" w:hAnsi="Book Antiqua"/>
                <w:sz w:val="24"/>
                <w:szCs w:val="24"/>
                <w:vertAlign w:val="superscript"/>
              </w:rPr>
              <w:t>2</w:t>
            </w:r>
            <w:r w:rsidRPr="00FC25F6">
              <w:rPr>
                <w:rFonts w:ascii="Book Antiqua" w:hAnsi="Book Antiqua"/>
                <w:sz w:val="24"/>
                <w:szCs w:val="24"/>
              </w:rPr>
              <w:t>; (</w:t>
            </w:r>
            <w:r w:rsidR="008727DC" w:rsidRPr="00FC25F6">
              <w:rPr>
                <w:rFonts w:ascii="Book Antiqua" w:hAnsi="Book Antiqua"/>
                <w:sz w:val="24"/>
                <w:szCs w:val="24"/>
              </w:rPr>
              <w:t>2</w:t>
            </w:r>
            <w:r w:rsidRPr="00FC25F6">
              <w:rPr>
                <w:rFonts w:ascii="Book Antiqua" w:hAnsi="Book Antiqua"/>
                <w:sz w:val="24"/>
                <w:szCs w:val="24"/>
              </w:rPr>
              <w:t xml:space="preserve">) </w:t>
            </w:r>
            <w:r w:rsidR="003C6E7B" w:rsidRPr="00FC25F6">
              <w:rPr>
                <w:rFonts w:ascii="Book Antiqua" w:hAnsi="Book Antiqua"/>
                <w:sz w:val="24"/>
                <w:szCs w:val="24"/>
              </w:rPr>
              <w:t>6.72</w:t>
            </w:r>
            <w:r w:rsidR="008727DC" w:rsidRPr="00FC25F6">
              <w:rPr>
                <w:rFonts w:ascii="Book Antiqua" w:hAnsi="Book Antiqua"/>
                <w:sz w:val="24"/>
                <w:szCs w:val="24"/>
                <w:vertAlign w:val="superscript"/>
              </w:rPr>
              <w:t>1</w:t>
            </w:r>
            <w:r w:rsidRPr="00FC25F6">
              <w:rPr>
                <w:rFonts w:ascii="Book Antiqua" w:hAnsi="Book Antiqua"/>
                <w:sz w:val="24"/>
                <w:szCs w:val="24"/>
              </w:rPr>
              <w:t xml:space="preserve">; </w:t>
            </w:r>
            <w:r w:rsidR="003C6E7B" w:rsidRPr="00FC25F6">
              <w:rPr>
                <w:rFonts w:ascii="Book Antiqua" w:hAnsi="Book Antiqua"/>
                <w:sz w:val="24"/>
                <w:szCs w:val="24"/>
              </w:rPr>
              <w:t>3.89</w:t>
            </w:r>
            <w:r w:rsidR="008727DC" w:rsidRPr="00FC25F6">
              <w:rPr>
                <w:rFonts w:ascii="Book Antiqua" w:hAnsi="Book Antiqua"/>
                <w:sz w:val="24"/>
                <w:szCs w:val="24"/>
                <w:vertAlign w:val="superscript"/>
              </w:rPr>
              <w:t>2</w:t>
            </w:r>
            <w:r w:rsidRPr="00FC25F6">
              <w:rPr>
                <w:rFonts w:ascii="Book Antiqua" w:hAnsi="Book Antiqua"/>
                <w:sz w:val="24"/>
                <w:szCs w:val="24"/>
              </w:rPr>
              <w:t>; (</w:t>
            </w:r>
            <w:r w:rsidR="008727DC" w:rsidRPr="00FC25F6">
              <w:rPr>
                <w:rFonts w:ascii="Book Antiqua" w:hAnsi="Book Antiqua"/>
                <w:sz w:val="24"/>
                <w:szCs w:val="24"/>
              </w:rPr>
              <w:t>3</w:t>
            </w:r>
            <w:r w:rsidRPr="00FC25F6">
              <w:rPr>
                <w:rFonts w:ascii="Book Antiqua" w:hAnsi="Book Antiqua"/>
                <w:sz w:val="24"/>
                <w:szCs w:val="24"/>
              </w:rPr>
              <w:t xml:space="preserve">) </w:t>
            </w:r>
            <w:r w:rsidR="003C6E7B" w:rsidRPr="00FC25F6">
              <w:rPr>
                <w:rFonts w:ascii="Book Antiqua" w:hAnsi="Book Antiqua"/>
                <w:sz w:val="24"/>
                <w:szCs w:val="24"/>
              </w:rPr>
              <w:t>0.12</w:t>
            </w:r>
            <w:r w:rsidR="008727DC" w:rsidRPr="00FC25F6">
              <w:rPr>
                <w:rFonts w:ascii="Book Antiqua" w:hAnsi="Book Antiqua"/>
                <w:sz w:val="24"/>
                <w:szCs w:val="24"/>
                <w:vertAlign w:val="superscript"/>
              </w:rPr>
              <w:t>1</w:t>
            </w:r>
            <w:r w:rsidRPr="00FC25F6">
              <w:rPr>
                <w:rFonts w:ascii="Book Antiqua" w:hAnsi="Book Antiqua"/>
                <w:sz w:val="24"/>
                <w:szCs w:val="24"/>
              </w:rPr>
              <w:t xml:space="preserve">; </w:t>
            </w:r>
            <w:r w:rsidR="003C6E7B" w:rsidRPr="00FC25F6">
              <w:rPr>
                <w:rFonts w:ascii="Book Antiqua" w:hAnsi="Book Antiqua"/>
                <w:sz w:val="24"/>
                <w:szCs w:val="24"/>
              </w:rPr>
              <w:t>0.25</w:t>
            </w:r>
            <w:r w:rsidR="008727DC" w:rsidRPr="00FC25F6">
              <w:rPr>
                <w:rFonts w:ascii="Book Antiqua" w:hAnsi="Book Antiqua"/>
                <w:sz w:val="24"/>
                <w:szCs w:val="24"/>
                <w:vertAlign w:val="superscript"/>
              </w:rPr>
              <w:t>2</w:t>
            </w:r>
            <w:r w:rsidRPr="00FC25F6">
              <w:rPr>
                <w:rFonts w:ascii="Book Antiqua" w:hAnsi="Book Antiqua"/>
                <w:sz w:val="24"/>
                <w:szCs w:val="24"/>
              </w:rPr>
              <w:t>; (</w:t>
            </w:r>
            <w:r w:rsidR="008727DC" w:rsidRPr="00FC25F6">
              <w:rPr>
                <w:rFonts w:ascii="Book Antiqua" w:hAnsi="Book Antiqua"/>
                <w:sz w:val="24"/>
                <w:szCs w:val="24"/>
              </w:rPr>
              <w:t>4</w:t>
            </w:r>
            <w:r w:rsidRPr="00FC25F6">
              <w:rPr>
                <w:rFonts w:ascii="Book Antiqua" w:hAnsi="Book Antiqua"/>
                <w:sz w:val="24"/>
                <w:szCs w:val="24"/>
              </w:rPr>
              <w:t xml:space="preserve">) </w:t>
            </w:r>
            <w:r w:rsidR="003C6E7B" w:rsidRPr="00FC25F6">
              <w:rPr>
                <w:rFonts w:ascii="Book Antiqua" w:hAnsi="Book Antiqua"/>
                <w:sz w:val="24"/>
                <w:szCs w:val="24"/>
              </w:rPr>
              <w:t>3.18</w:t>
            </w:r>
            <w:r w:rsidR="008727DC" w:rsidRPr="00FC25F6">
              <w:rPr>
                <w:rFonts w:ascii="Book Antiqua" w:hAnsi="Book Antiqua"/>
                <w:sz w:val="24"/>
                <w:szCs w:val="24"/>
                <w:vertAlign w:val="superscript"/>
              </w:rPr>
              <w:t>1</w:t>
            </w:r>
            <w:r w:rsidRPr="00FC25F6">
              <w:rPr>
                <w:rFonts w:ascii="Book Antiqua" w:hAnsi="Book Antiqua"/>
                <w:sz w:val="24"/>
                <w:szCs w:val="24"/>
              </w:rPr>
              <w:t xml:space="preserve">; </w:t>
            </w:r>
            <w:r w:rsidR="003C6E7B" w:rsidRPr="00FC25F6">
              <w:rPr>
                <w:rFonts w:ascii="Book Antiqua" w:hAnsi="Book Antiqua"/>
                <w:sz w:val="24"/>
                <w:szCs w:val="24"/>
              </w:rPr>
              <w:lastRenderedPageBreak/>
              <w:t>1.54</w:t>
            </w:r>
            <w:r w:rsidR="008727DC" w:rsidRPr="00FC25F6">
              <w:rPr>
                <w:rFonts w:ascii="Book Antiqua" w:hAnsi="Book Antiqua"/>
                <w:sz w:val="24"/>
                <w:szCs w:val="24"/>
                <w:vertAlign w:val="superscript"/>
              </w:rPr>
              <w:t>2</w:t>
            </w:r>
            <w:r w:rsidR="008727DC" w:rsidRPr="00FC25F6">
              <w:rPr>
                <w:rFonts w:ascii="Book Antiqua" w:hAnsi="Book Antiqua"/>
                <w:sz w:val="24"/>
                <w:szCs w:val="24"/>
              </w:rPr>
              <w:t xml:space="preserve">; (5) </w:t>
            </w:r>
            <w:r w:rsidR="003C6E7B" w:rsidRPr="00FC25F6">
              <w:rPr>
                <w:rFonts w:ascii="Book Antiqua" w:hAnsi="Book Antiqua"/>
                <w:sz w:val="24"/>
                <w:szCs w:val="24"/>
              </w:rPr>
              <w:t>5.22</w:t>
            </w:r>
            <w:r w:rsidR="008727DC" w:rsidRPr="00FC25F6">
              <w:rPr>
                <w:rFonts w:ascii="Book Antiqua" w:hAnsi="Book Antiqua"/>
                <w:sz w:val="24"/>
                <w:szCs w:val="24"/>
                <w:vertAlign w:val="superscript"/>
              </w:rPr>
              <w:t>2</w:t>
            </w:r>
            <w:r w:rsidR="008727DC" w:rsidRPr="00FC25F6">
              <w:rPr>
                <w:rFonts w:ascii="Book Antiqua" w:hAnsi="Book Antiqua"/>
                <w:sz w:val="24"/>
                <w:szCs w:val="24"/>
              </w:rPr>
              <w:t xml:space="preserve">; </w:t>
            </w:r>
            <w:r w:rsidR="003C6E7B" w:rsidRPr="00FC25F6">
              <w:rPr>
                <w:rFonts w:ascii="Book Antiqua" w:hAnsi="Book Antiqua"/>
                <w:sz w:val="24"/>
                <w:szCs w:val="24"/>
              </w:rPr>
              <w:t>14.29</w:t>
            </w:r>
            <w:r w:rsidR="008727DC" w:rsidRPr="00FC25F6">
              <w:rPr>
                <w:rFonts w:ascii="Book Antiqua" w:hAnsi="Book Antiqua"/>
                <w:sz w:val="24"/>
                <w:szCs w:val="24"/>
                <w:vertAlign w:val="superscript"/>
              </w:rPr>
              <w:t>2</w:t>
            </w:r>
          </w:p>
        </w:tc>
        <w:tc>
          <w:tcPr>
            <w:tcW w:w="2976"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NA</w:t>
            </w:r>
          </w:p>
        </w:tc>
        <w:tc>
          <w:tcPr>
            <w:tcW w:w="1134" w:type="dxa"/>
            <w:tcBorders>
              <w:left w:val="nil"/>
              <w:right w:val="nil"/>
            </w:tcBorders>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tcBorders>
              <w:left w:val="nil"/>
              <w:right w:val="nil"/>
            </w:tcBorders>
            <w:shd w:val="clear" w:color="auto" w:fill="auto"/>
          </w:tcPr>
          <w:p w:rsidR="003C6E7B"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1.5</w:t>
            </w:r>
            <w:r w:rsidRPr="00FC25F6">
              <w:rPr>
                <w:rFonts w:ascii="Book Antiqua" w:hAnsi="Book Antiqua"/>
                <w:sz w:val="24"/>
                <w:szCs w:val="24"/>
                <w:vertAlign w:val="superscript"/>
              </w:rPr>
              <w:t>1</w:t>
            </w:r>
            <w:r w:rsidRPr="00FC25F6">
              <w:rPr>
                <w:rFonts w:ascii="Book Antiqua" w:hAnsi="Book Antiqua"/>
                <w:sz w:val="24"/>
                <w:szCs w:val="24"/>
              </w:rPr>
              <w:t xml:space="preserve">; (2) </w:t>
            </w:r>
            <w:r w:rsidR="003C6E7B" w:rsidRPr="00FC25F6">
              <w:rPr>
                <w:rFonts w:ascii="Book Antiqua" w:hAnsi="Book Antiqua"/>
                <w:sz w:val="24"/>
                <w:szCs w:val="24"/>
              </w:rPr>
              <w:t>2</w:t>
            </w:r>
            <w:r w:rsidRPr="00FC25F6">
              <w:rPr>
                <w:rFonts w:ascii="Book Antiqua" w:hAnsi="Book Antiqua"/>
                <w:sz w:val="24"/>
                <w:szCs w:val="24"/>
                <w:vertAlign w:val="superscript"/>
              </w:rPr>
              <w:t>2</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Lee </w:t>
            </w:r>
            <w:r w:rsidRPr="00FC25F6">
              <w:rPr>
                <w:rFonts w:ascii="Book Antiqua" w:hAnsi="Book Antiqua"/>
                <w:i/>
                <w:sz w:val="24"/>
                <w:szCs w:val="24"/>
              </w:rPr>
              <w:t>et al</w:t>
            </w:r>
            <w:r w:rsidRPr="00FC25F6">
              <w:rPr>
                <w:rFonts w:ascii="Book Antiqua" w:hAnsi="Book Antiqua"/>
                <w:sz w:val="24"/>
                <w:szCs w:val="24"/>
                <w:vertAlign w:val="superscript"/>
              </w:rPr>
              <w:t>[16]</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2016</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U</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184</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59.81</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8.7</w:t>
            </w:r>
            <w:r w:rsidR="008727DC" w:rsidRPr="00FC25F6">
              <w:rPr>
                <w:rFonts w:ascii="Book Antiqua" w:hAnsi="Book Antiqua"/>
                <w:sz w:val="24"/>
                <w:szCs w:val="24"/>
                <w:vertAlign w:val="superscript"/>
              </w:rPr>
              <w:t>3</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14.7</w:t>
            </w:r>
            <w:r w:rsidR="008727DC" w:rsidRPr="00FC25F6">
              <w:rPr>
                <w:rFonts w:ascii="Book Antiqua" w:hAnsi="Book Antiqua"/>
                <w:sz w:val="24"/>
                <w:szCs w:val="24"/>
                <w:vertAlign w:val="superscript"/>
              </w:rPr>
              <w:t>3</w:t>
            </w:r>
          </w:p>
        </w:tc>
        <w:tc>
          <w:tcPr>
            <w:tcW w:w="1842" w:type="dxa"/>
            <w:shd w:val="clear" w:color="auto" w:fill="auto"/>
          </w:tcPr>
          <w:p w:rsidR="003C6E7B"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diabetes mellitus</w:t>
            </w:r>
            <w:r w:rsidRPr="00FC25F6">
              <w:rPr>
                <w:rFonts w:ascii="Book Antiqua" w:hAnsi="Book Antiqua"/>
                <w:sz w:val="24"/>
                <w:szCs w:val="24"/>
              </w:rPr>
              <w:t xml:space="preserve">; (2) </w:t>
            </w:r>
            <w:r w:rsidR="003C6E7B" w:rsidRPr="00FC25F6">
              <w:rPr>
                <w:rFonts w:ascii="Book Antiqua" w:hAnsi="Book Antiqua"/>
                <w:sz w:val="24"/>
                <w:szCs w:val="24"/>
              </w:rPr>
              <w:t>metastatic malignancy</w:t>
            </w:r>
            <w:r w:rsidRPr="00FC25F6">
              <w:rPr>
                <w:rFonts w:ascii="Book Antiqua" w:hAnsi="Book Antiqua"/>
                <w:sz w:val="24"/>
                <w:szCs w:val="24"/>
              </w:rPr>
              <w:t xml:space="preserve">; (3) </w:t>
            </w:r>
            <w:r w:rsidR="003C6E7B" w:rsidRPr="00FC25F6">
              <w:rPr>
                <w:rFonts w:ascii="Book Antiqua" w:hAnsi="Book Antiqua"/>
                <w:sz w:val="24"/>
                <w:szCs w:val="24"/>
              </w:rPr>
              <w:t xml:space="preserve">age ≥ 65 </w:t>
            </w:r>
            <w:proofErr w:type="spellStart"/>
            <w:r w:rsidR="003C6E7B" w:rsidRPr="00FC25F6">
              <w:rPr>
                <w:rFonts w:ascii="Book Antiqua" w:hAnsi="Book Antiqua"/>
                <w:sz w:val="24"/>
                <w:szCs w:val="24"/>
              </w:rPr>
              <w:t>yr</w:t>
            </w:r>
            <w:proofErr w:type="spellEnd"/>
            <w:r w:rsidRPr="00FC25F6">
              <w:rPr>
                <w:rFonts w:ascii="Book Antiqua" w:hAnsi="Book Antiqua"/>
                <w:sz w:val="24"/>
                <w:szCs w:val="24"/>
              </w:rPr>
              <w:t xml:space="preserve">; (4) </w:t>
            </w:r>
            <w:r w:rsidR="003C6E7B" w:rsidRPr="00FC25F6">
              <w:rPr>
                <w:rFonts w:ascii="Book Antiqua" w:hAnsi="Book Antiqua"/>
                <w:sz w:val="24"/>
                <w:szCs w:val="24"/>
              </w:rPr>
              <w:t>hypotension</w:t>
            </w:r>
          </w:p>
        </w:tc>
        <w:tc>
          <w:tcPr>
            <w:tcW w:w="993" w:type="dxa"/>
            <w:shd w:val="clear" w:color="auto" w:fill="auto"/>
          </w:tcPr>
          <w:p w:rsidR="003C6E7B"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12.67</w:t>
            </w:r>
            <w:r w:rsidRPr="00FC25F6">
              <w:rPr>
                <w:rFonts w:ascii="Book Antiqua" w:hAnsi="Book Antiqua"/>
                <w:sz w:val="24"/>
                <w:szCs w:val="24"/>
              </w:rPr>
              <w:t xml:space="preserve">; (2) </w:t>
            </w:r>
            <w:r w:rsidR="003C6E7B" w:rsidRPr="00FC25F6">
              <w:rPr>
                <w:rFonts w:ascii="Book Antiqua" w:hAnsi="Book Antiqua"/>
                <w:sz w:val="24"/>
                <w:szCs w:val="24"/>
              </w:rPr>
              <w:t>29.24</w:t>
            </w:r>
            <w:r w:rsidRPr="00FC25F6">
              <w:rPr>
                <w:rFonts w:ascii="Book Antiqua" w:hAnsi="Book Antiqua"/>
                <w:sz w:val="24"/>
                <w:szCs w:val="24"/>
              </w:rPr>
              <w:t xml:space="preserve">; (3) </w:t>
            </w:r>
            <w:r w:rsidR="003C6E7B" w:rsidRPr="00FC25F6">
              <w:rPr>
                <w:rFonts w:ascii="Book Antiqua" w:hAnsi="Book Antiqua"/>
                <w:sz w:val="24"/>
                <w:szCs w:val="24"/>
              </w:rPr>
              <w:t>5.06</w:t>
            </w:r>
            <w:r w:rsidRPr="00FC25F6">
              <w:rPr>
                <w:rFonts w:ascii="Book Antiqua" w:hAnsi="Book Antiqua"/>
                <w:sz w:val="24"/>
                <w:szCs w:val="24"/>
              </w:rPr>
              <w:t xml:space="preserve">; (4) </w:t>
            </w:r>
            <w:r w:rsidR="003C6E7B" w:rsidRPr="00FC25F6">
              <w:rPr>
                <w:rFonts w:ascii="Book Antiqua" w:hAnsi="Book Antiqua"/>
                <w:sz w:val="24"/>
                <w:szCs w:val="24"/>
              </w:rPr>
              <w:t>16.63</w:t>
            </w:r>
          </w:p>
        </w:tc>
        <w:tc>
          <w:tcPr>
            <w:tcW w:w="2976"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1134"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r>
      <w:tr w:rsidR="004D1C0B" w:rsidRPr="00FC25F6" w:rsidTr="004D1C0B">
        <w:tc>
          <w:tcPr>
            <w:tcW w:w="851" w:type="dxa"/>
            <w:shd w:val="clear" w:color="auto" w:fill="auto"/>
          </w:tcPr>
          <w:p w:rsidR="003C6E7B" w:rsidRPr="00FC25F6" w:rsidRDefault="003C6E7B" w:rsidP="00DE7591">
            <w:pPr>
              <w:spacing w:after="0" w:line="360" w:lineRule="auto"/>
              <w:jc w:val="both"/>
              <w:rPr>
                <w:rFonts w:ascii="Book Antiqua" w:hAnsi="Book Antiqua"/>
                <w:sz w:val="24"/>
                <w:szCs w:val="24"/>
                <w:vertAlign w:val="superscript"/>
              </w:rPr>
            </w:pPr>
            <w:r w:rsidRPr="00FC25F6">
              <w:rPr>
                <w:rFonts w:ascii="Book Antiqua" w:hAnsi="Book Antiqua"/>
                <w:sz w:val="24"/>
                <w:szCs w:val="24"/>
              </w:rPr>
              <w:t xml:space="preserve">Hwang </w:t>
            </w:r>
            <w:r w:rsidRPr="00FC25F6">
              <w:rPr>
                <w:rFonts w:ascii="Book Antiqua" w:hAnsi="Book Antiqua"/>
                <w:i/>
                <w:sz w:val="24"/>
                <w:szCs w:val="24"/>
              </w:rPr>
              <w:t>et al</w:t>
            </w:r>
            <w:r w:rsidRPr="00FC25F6">
              <w:rPr>
                <w:rFonts w:ascii="Book Antiqua" w:hAnsi="Book Antiqua"/>
                <w:sz w:val="24"/>
                <w:szCs w:val="24"/>
                <w:vertAlign w:val="superscript"/>
              </w:rPr>
              <w:t>[17]</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2016</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NVUDB</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P</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M</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1584</w:t>
            </w:r>
          </w:p>
        </w:tc>
        <w:tc>
          <w:tcPr>
            <w:tcW w:w="992"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65</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3.4</w:t>
            </w:r>
            <w:r w:rsidR="008727DC" w:rsidRPr="00FC25F6">
              <w:rPr>
                <w:rFonts w:ascii="Book Antiqua" w:hAnsi="Book Antiqua"/>
                <w:sz w:val="24"/>
                <w:szCs w:val="24"/>
                <w:vertAlign w:val="superscript"/>
              </w:rPr>
              <w:t>3</w:t>
            </w:r>
          </w:p>
        </w:tc>
        <w:tc>
          <w:tcPr>
            <w:tcW w:w="1418"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7.3</w:t>
            </w:r>
          </w:p>
        </w:tc>
        <w:tc>
          <w:tcPr>
            <w:tcW w:w="1842" w:type="dxa"/>
            <w:shd w:val="clear" w:color="auto" w:fill="auto"/>
          </w:tcPr>
          <w:p w:rsidR="003C6E7B"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rPr>
              <w:t xml:space="preserve">(1) </w:t>
            </w:r>
            <w:r w:rsidR="003C6E7B" w:rsidRPr="00FC25F6">
              <w:rPr>
                <w:rFonts w:ascii="Book Antiqua" w:hAnsi="Book Antiqua"/>
                <w:sz w:val="24"/>
                <w:szCs w:val="24"/>
              </w:rPr>
              <w:t xml:space="preserve">age &gt; 65 </w:t>
            </w:r>
            <w:proofErr w:type="spellStart"/>
            <w:r w:rsidR="003C6E7B" w:rsidRPr="00FC25F6">
              <w:rPr>
                <w:rFonts w:ascii="Book Antiqua" w:hAnsi="Book Antiqua"/>
                <w:sz w:val="24"/>
                <w:szCs w:val="24"/>
              </w:rPr>
              <w:t>yr</w:t>
            </w:r>
            <w:proofErr w:type="spellEnd"/>
            <w:r w:rsidRPr="00FC25F6">
              <w:rPr>
                <w:rFonts w:ascii="Book Antiqua" w:hAnsi="Book Antiqua"/>
                <w:sz w:val="24"/>
                <w:szCs w:val="24"/>
              </w:rPr>
              <w:t xml:space="preserve">; (2) </w:t>
            </w:r>
            <w:r w:rsidR="003C6E7B" w:rsidRPr="00FC25F6">
              <w:rPr>
                <w:rFonts w:ascii="Book Antiqua" w:hAnsi="Book Antiqua"/>
                <w:sz w:val="24"/>
                <w:szCs w:val="24"/>
              </w:rPr>
              <w:t>hemodynamic instability</w:t>
            </w:r>
            <w:r w:rsidRPr="00FC25F6">
              <w:rPr>
                <w:rFonts w:ascii="Book Antiqua" w:hAnsi="Book Antiqua"/>
                <w:sz w:val="24"/>
                <w:szCs w:val="24"/>
              </w:rPr>
              <w:t xml:space="preserve">; (3) </w:t>
            </w:r>
            <w:r w:rsidR="003C6E7B" w:rsidRPr="00FC25F6">
              <w:rPr>
                <w:rFonts w:ascii="Book Antiqua" w:hAnsi="Book Antiqua"/>
                <w:sz w:val="24"/>
                <w:szCs w:val="24"/>
              </w:rPr>
              <w:t>serum BUN levels &gt; 40 mg/</w:t>
            </w:r>
            <w:proofErr w:type="spellStart"/>
            <w:r w:rsidR="003C6E7B" w:rsidRPr="00FC25F6">
              <w:rPr>
                <w:rFonts w:ascii="Book Antiqua" w:hAnsi="Book Antiqua"/>
                <w:sz w:val="24"/>
                <w:szCs w:val="24"/>
              </w:rPr>
              <w:t>dL</w:t>
            </w:r>
            <w:proofErr w:type="spellEnd"/>
            <w:r w:rsidRPr="00FC25F6">
              <w:rPr>
                <w:rFonts w:ascii="Book Antiqua" w:hAnsi="Book Antiqua"/>
                <w:sz w:val="24"/>
                <w:szCs w:val="24"/>
              </w:rPr>
              <w:t xml:space="preserve">; (4) </w:t>
            </w:r>
            <w:r w:rsidR="003C6E7B" w:rsidRPr="00FC25F6">
              <w:rPr>
                <w:rFonts w:ascii="Book Antiqua" w:hAnsi="Book Antiqua"/>
                <w:sz w:val="24"/>
                <w:szCs w:val="24"/>
              </w:rPr>
              <w:t xml:space="preserve">active bleeding </w:t>
            </w:r>
            <w:r w:rsidR="003C6E7B" w:rsidRPr="00FC25F6">
              <w:rPr>
                <w:rFonts w:ascii="Book Antiqua" w:hAnsi="Book Antiqua"/>
                <w:sz w:val="24"/>
                <w:szCs w:val="24"/>
              </w:rPr>
              <w:lastRenderedPageBreak/>
              <w:t>at endoscopy</w:t>
            </w:r>
            <w:r w:rsidRPr="00FC25F6">
              <w:rPr>
                <w:rFonts w:ascii="Book Antiqua" w:hAnsi="Book Antiqua"/>
                <w:sz w:val="24"/>
                <w:szCs w:val="24"/>
              </w:rPr>
              <w:t xml:space="preserve">; (5) </w:t>
            </w:r>
            <w:r w:rsidR="003C6E7B" w:rsidRPr="00FC25F6">
              <w:rPr>
                <w:rFonts w:ascii="Book Antiqua" w:hAnsi="Book Antiqua"/>
                <w:sz w:val="24"/>
                <w:szCs w:val="24"/>
              </w:rPr>
              <w:t>transfusions</w:t>
            </w:r>
            <w:r w:rsidRPr="00FC25F6">
              <w:rPr>
                <w:rFonts w:ascii="Book Antiqua" w:hAnsi="Book Antiqua"/>
                <w:sz w:val="24"/>
                <w:szCs w:val="24"/>
              </w:rPr>
              <w:t xml:space="preserve">; (6) </w:t>
            </w:r>
            <w:r w:rsidR="003C6E7B" w:rsidRPr="00FC25F6">
              <w:rPr>
                <w:rFonts w:ascii="Book Antiqua" w:hAnsi="Book Antiqua"/>
                <w:sz w:val="24"/>
                <w:szCs w:val="24"/>
              </w:rPr>
              <w:t>comorbidities</w:t>
            </w:r>
            <w:r w:rsidRPr="00FC25F6">
              <w:rPr>
                <w:rFonts w:ascii="Book Antiqua" w:hAnsi="Book Antiqua"/>
                <w:sz w:val="24"/>
                <w:szCs w:val="24"/>
              </w:rPr>
              <w:t xml:space="preserve">; (7) </w:t>
            </w:r>
            <w:proofErr w:type="spellStart"/>
            <w:r w:rsidR="003C6E7B" w:rsidRPr="00FC25F6">
              <w:rPr>
                <w:rFonts w:ascii="Book Antiqua" w:hAnsi="Book Antiqua"/>
                <w:sz w:val="24"/>
                <w:szCs w:val="24"/>
              </w:rPr>
              <w:t>rebleeding</w:t>
            </w:r>
            <w:proofErr w:type="spellEnd"/>
          </w:p>
        </w:tc>
        <w:tc>
          <w:tcPr>
            <w:tcW w:w="993" w:type="dxa"/>
            <w:shd w:val="clear" w:color="auto" w:fill="auto"/>
          </w:tcPr>
          <w:p w:rsidR="003C6E7B"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 xml:space="preserve">(1) </w:t>
            </w:r>
            <w:r w:rsidR="003C6E7B" w:rsidRPr="00FC25F6">
              <w:rPr>
                <w:rFonts w:ascii="Book Antiqua" w:hAnsi="Book Antiqua"/>
                <w:sz w:val="24"/>
                <w:szCs w:val="24"/>
              </w:rPr>
              <w:t>2.627</w:t>
            </w:r>
            <w:r w:rsidRPr="00FC25F6">
              <w:rPr>
                <w:rFonts w:ascii="Book Antiqua" w:hAnsi="Book Antiqua"/>
                <w:sz w:val="24"/>
                <w:szCs w:val="24"/>
              </w:rPr>
              <w:t xml:space="preserve">; (2) </w:t>
            </w:r>
            <w:r w:rsidR="003C6E7B" w:rsidRPr="00FC25F6">
              <w:rPr>
                <w:rFonts w:ascii="Book Antiqua" w:hAnsi="Book Antiqua"/>
                <w:sz w:val="24"/>
                <w:szCs w:val="24"/>
              </w:rPr>
              <w:t>2.217</w:t>
            </w:r>
            <w:r w:rsidRPr="00FC25F6">
              <w:rPr>
                <w:rFonts w:ascii="Book Antiqua" w:hAnsi="Book Antiqua"/>
                <w:sz w:val="24"/>
                <w:szCs w:val="24"/>
              </w:rPr>
              <w:t xml:space="preserve">; (3) </w:t>
            </w:r>
            <w:r w:rsidR="003C6E7B" w:rsidRPr="00FC25F6">
              <w:rPr>
                <w:rFonts w:ascii="Book Antiqua" w:hAnsi="Book Antiqua"/>
                <w:sz w:val="24"/>
                <w:szCs w:val="24"/>
              </w:rPr>
              <w:t>1.895</w:t>
            </w:r>
            <w:r w:rsidRPr="00FC25F6">
              <w:rPr>
                <w:rFonts w:ascii="Book Antiqua" w:hAnsi="Book Antiqua"/>
                <w:sz w:val="24"/>
                <w:szCs w:val="24"/>
              </w:rPr>
              <w:t xml:space="preserve">; (4) </w:t>
            </w:r>
            <w:r w:rsidR="003C6E7B" w:rsidRPr="00FC25F6">
              <w:rPr>
                <w:rFonts w:ascii="Book Antiqua" w:hAnsi="Book Antiqua"/>
                <w:sz w:val="24"/>
                <w:szCs w:val="24"/>
              </w:rPr>
              <w:t>2.434</w:t>
            </w:r>
            <w:r w:rsidRPr="00FC25F6">
              <w:rPr>
                <w:rFonts w:ascii="Book Antiqua" w:hAnsi="Book Antiqua"/>
                <w:sz w:val="24"/>
                <w:szCs w:val="24"/>
              </w:rPr>
              <w:t xml:space="preserve">; </w:t>
            </w:r>
            <w:r w:rsidRPr="00FC25F6">
              <w:rPr>
                <w:rFonts w:ascii="Book Antiqua" w:hAnsi="Book Antiqua"/>
                <w:sz w:val="24"/>
                <w:szCs w:val="24"/>
              </w:rPr>
              <w:lastRenderedPageBreak/>
              <w:t xml:space="preserve">(5) </w:t>
            </w:r>
            <w:r w:rsidR="003C6E7B" w:rsidRPr="00FC25F6">
              <w:rPr>
                <w:rFonts w:ascii="Book Antiqua" w:hAnsi="Book Antiqua"/>
                <w:sz w:val="24"/>
                <w:szCs w:val="24"/>
              </w:rPr>
              <w:t>3.811</w:t>
            </w:r>
            <w:r w:rsidRPr="00FC25F6">
              <w:rPr>
                <w:rFonts w:ascii="Book Antiqua" w:hAnsi="Book Antiqua"/>
                <w:sz w:val="24"/>
                <w:szCs w:val="24"/>
              </w:rPr>
              <w:t xml:space="preserve">; (6) </w:t>
            </w:r>
            <w:r w:rsidR="003C6E7B" w:rsidRPr="00FC25F6">
              <w:rPr>
                <w:rFonts w:ascii="Book Antiqua" w:hAnsi="Book Antiqua"/>
                <w:sz w:val="24"/>
                <w:szCs w:val="24"/>
              </w:rPr>
              <w:t>3.481</w:t>
            </w:r>
            <w:r w:rsidRPr="00FC25F6">
              <w:rPr>
                <w:rFonts w:ascii="Book Antiqua" w:hAnsi="Book Antiqua"/>
                <w:sz w:val="24"/>
                <w:szCs w:val="24"/>
              </w:rPr>
              <w:t xml:space="preserve">; (7) </w:t>
            </w:r>
            <w:r w:rsidR="003C6E7B" w:rsidRPr="00FC25F6">
              <w:rPr>
                <w:rFonts w:ascii="Book Antiqua" w:hAnsi="Book Antiqua"/>
                <w:sz w:val="24"/>
                <w:szCs w:val="24"/>
              </w:rPr>
              <w:t>10.581</w:t>
            </w:r>
          </w:p>
        </w:tc>
        <w:tc>
          <w:tcPr>
            <w:tcW w:w="2976"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lastRenderedPageBreak/>
              <w:t>NA</w:t>
            </w:r>
          </w:p>
        </w:tc>
        <w:tc>
          <w:tcPr>
            <w:tcW w:w="1134"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p>
        </w:tc>
        <w:tc>
          <w:tcPr>
            <w:tcW w:w="709" w:type="dxa"/>
            <w:shd w:val="clear" w:color="auto" w:fill="auto"/>
          </w:tcPr>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 xml:space="preserve">2.8 (surgery/ percutaneous </w:t>
            </w:r>
            <w:proofErr w:type="spellStart"/>
            <w:r w:rsidRPr="00FC25F6">
              <w:rPr>
                <w:rFonts w:ascii="Book Antiqua" w:hAnsi="Book Antiqua"/>
                <w:sz w:val="24"/>
                <w:szCs w:val="24"/>
              </w:rPr>
              <w:t>emb</w:t>
            </w:r>
            <w:r w:rsidRPr="00FC25F6">
              <w:rPr>
                <w:rFonts w:ascii="Book Antiqua" w:hAnsi="Book Antiqua"/>
                <w:sz w:val="24"/>
                <w:szCs w:val="24"/>
              </w:rPr>
              <w:lastRenderedPageBreak/>
              <w:t>olisation</w:t>
            </w:r>
            <w:proofErr w:type="spellEnd"/>
            <w:r w:rsidRPr="00FC25F6">
              <w:rPr>
                <w:rFonts w:ascii="Book Antiqua" w:hAnsi="Book Antiqua"/>
                <w:sz w:val="24"/>
                <w:szCs w:val="24"/>
              </w:rPr>
              <w:t>)</w:t>
            </w:r>
          </w:p>
        </w:tc>
      </w:tr>
    </w:tbl>
    <w:p w:rsidR="008727DC" w:rsidRPr="00FC25F6" w:rsidRDefault="008727DC" w:rsidP="00DE7591">
      <w:pPr>
        <w:spacing w:after="0" w:line="360" w:lineRule="auto"/>
        <w:jc w:val="both"/>
        <w:rPr>
          <w:rFonts w:ascii="Book Antiqua" w:hAnsi="Book Antiqua"/>
          <w:sz w:val="24"/>
          <w:szCs w:val="24"/>
        </w:rPr>
      </w:pPr>
      <w:r w:rsidRPr="00FC25F6">
        <w:rPr>
          <w:rFonts w:ascii="Book Antiqua" w:hAnsi="Book Antiqua"/>
          <w:sz w:val="24"/>
          <w:szCs w:val="24"/>
          <w:vertAlign w:val="superscript"/>
        </w:rPr>
        <w:lastRenderedPageBreak/>
        <w:t>1</w:t>
      </w:r>
      <w:r w:rsidRPr="00FC25F6">
        <w:rPr>
          <w:rFonts w:ascii="Book Antiqua" w:hAnsi="Book Antiqua"/>
          <w:sz w:val="24"/>
          <w:szCs w:val="24"/>
        </w:rPr>
        <w:t xml:space="preserve"> bleeding occurs in patients already hospitalized for another condition;</w:t>
      </w:r>
      <w:r w:rsidRPr="00FC25F6">
        <w:rPr>
          <w:rFonts w:ascii="Book Antiqua" w:hAnsi="Book Antiqua"/>
          <w:sz w:val="24"/>
          <w:szCs w:val="24"/>
          <w:lang w:eastAsia="zh-CN"/>
        </w:rPr>
        <w:t xml:space="preserve"> </w:t>
      </w:r>
      <w:r w:rsidRPr="00FC25F6">
        <w:rPr>
          <w:rFonts w:ascii="Book Antiqua" w:hAnsi="Book Antiqua"/>
          <w:sz w:val="24"/>
          <w:szCs w:val="24"/>
          <w:vertAlign w:val="superscript"/>
        </w:rPr>
        <w:t>2</w:t>
      </w:r>
      <w:r w:rsidRPr="00FC25F6">
        <w:rPr>
          <w:rFonts w:ascii="Book Antiqua" w:hAnsi="Book Antiqua"/>
          <w:sz w:val="24"/>
          <w:szCs w:val="24"/>
        </w:rPr>
        <w:t xml:space="preserve"> in-hospital bleeding; </w:t>
      </w:r>
      <w:r w:rsidRPr="00FC25F6">
        <w:rPr>
          <w:rFonts w:ascii="Book Antiqua" w:hAnsi="Book Antiqua"/>
          <w:sz w:val="24"/>
          <w:szCs w:val="24"/>
          <w:vertAlign w:val="superscript"/>
        </w:rPr>
        <w:t>3</w:t>
      </w:r>
      <w:r w:rsidRPr="00FC25F6">
        <w:rPr>
          <w:rFonts w:ascii="Book Antiqua" w:hAnsi="Book Antiqua"/>
          <w:sz w:val="24"/>
          <w:szCs w:val="24"/>
        </w:rPr>
        <w:t xml:space="preserve"> at 30-d from the bleeding episode.</w:t>
      </w:r>
    </w:p>
    <w:p w:rsidR="003C6E7B" w:rsidRPr="00FC25F6" w:rsidRDefault="003C6E7B" w:rsidP="00DE7591">
      <w:pPr>
        <w:spacing w:after="0" w:line="360" w:lineRule="auto"/>
        <w:jc w:val="both"/>
        <w:rPr>
          <w:rFonts w:ascii="Book Antiqua" w:hAnsi="Book Antiqua"/>
          <w:sz w:val="24"/>
          <w:szCs w:val="24"/>
        </w:rPr>
      </w:pPr>
      <w:r w:rsidRPr="00FC25F6">
        <w:rPr>
          <w:rFonts w:ascii="Book Antiqua" w:hAnsi="Book Antiqua"/>
          <w:sz w:val="24"/>
          <w:szCs w:val="24"/>
        </w:rPr>
        <w:t>NA</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Not </w:t>
      </w:r>
      <w:r w:rsidRPr="00FC25F6">
        <w:rPr>
          <w:rFonts w:ascii="Book Antiqua" w:hAnsi="Book Antiqua"/>
          <w:sz w:val="24"/>
          <w:szCs w:val="24"/>
        </w:rPr>
        <w:t>available; NVUDB</w:t>
      </w:r>
      <w:r w:rsidR="008727DC" w:rsidRPr="00FC25F6">
        <w:rPr>
          <w:rFonts w:ascii="Book Antiqua" w:hAnsi="Book Antiqua"/>
          <w:sz w:val="24"/>
          <w:szCs w:val="24"/>
        </w:rPr>
        <w:t>:</w:t>
      </w:r>
      <w:r w:rsidRPr="00FC25F6">
        <w:rPr>
          <w:rFonts w:ascii="Book Antiqua" w:hAnsi="Book Antiqua"/>
          <w:sz w:val="24"/>
          <w:szCs w:val="24"/>
        </w:rPr>
        <w:t xml:space="preserve"> </w:t>
      </w:r>
      <w:proofErr w:type="spellStart"/>
      <w:r w:rsidR="008727DC" w:rsidRPr="00FC25F6">
        <w:rPr>
          <w:rFonts w:ascii="Book Antiqua" w:hAnsi="Book Antiqua"/>
          <w:sz w:val="24"/>
          <w:szCs w:val="24"/>
        </w:rPr>
        <w:t>Nonvariceal</w:t>
      </w:r>
      <w:proofErr w:type="spellEnd"/>
      <w:r w:rsidR="008727DC" w:rsidRPr="00FC25F6">
        <w:rPr>
          <w:rFonts w:ascii="Book Antiqua" w:hAnsi="Book Antiqua"/>
          <w:sz w:val="24"/>
          <w:szCs w:val="24"/>
        </w:rPr>
        <w:t xml:space="preserve"> </w:t>
      </w:r>
      <w:r w:rsidRPr="00FC25F6">
        <w:rPr>
          <w:rFonts w:ascii="Book Antiqua" w:hAnsi="Book Antiqua"/>
          <w:sz w:val="24"/>
          <w:szCs w:val="24"/>
        </w:rPr>
        <w:t>upper digestive bleeding; UDB</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Upper </w:t>
      </w:r>
      <w:r w:rsidRPr="00FC25F6">
        <w:rPr>
          <w:rFonts w:ascii="Book Antiqua" w:hAnsi="Book Antiqua"/>
          <w:sz w:val="24"/>
          <w:szCs w:val="24"/>
        </w:rPr>
        <w:t>digestive bleeding (all causes); PUB</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Peptic </w:t>
      </w:r>
      <w:r w:rsidRPr="00FC25F6">
        <w:rPr>
          <w:rFonts w:ascii="Book Antiqua" w:hAnsi="Book Antiqua"/>
          <w:sz w:val="24"/>
          <w:szCs w:val="24"/>
        </w:rPr>
        <w:t>ulcer bleeding; R</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Retrospective </w:t>
      </w:r>
      <w:r w:rsidRPr="00FC25F6">
        <w:rPr>
          <w:rFonts w:ascii="Book Antiqua" w:hAnsi="Book Antiqua"/>
          <w:sz w:val="24"/>
          <w:szCs w:val="24"/>
        </w:rPr>
        <w:t>study; P</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Prospective </w:t>
      </w:r>
      <w:r w:rsidRPr="00FC25F6">
        <w:rPr>
          <w:rFonts w:ascii="Book Antiqua" w:hAnsi="Book Antiqua"/>
          <w:sz w:val="24"/>
          <w:szCs w:val="24"/>
        </w:rPr>
        <w:t>study; U</w:t>
      </w:r>
      <w:r w:rsidR="008727DC" w:rsidRPr="00FC25F6">
        <w:rPr>
          <w:rFonts w:ascii="Book Antiqua" w:hAnsi="Book Antiqua"/>
          <w:sz w:val="24"/>
          <w:szCs w:val="24"/>
        </w:rPr>
        <w:t>:</w:t>
      </w:r>
      <w:r w:rsidRPr="00FC25F6">
        <w:rPr>
          <w:rFonts w:ascii="Book Antiqua" w:hAnsi="Book Antiqua"/>
          <w:sz w:val="24"/>
          <w:szCs w:val="24"/>
        </w:rPr>
        <w:t xml:space="preserve"> </w:t>
      </w:r>
      <w:proofErr w:type="spellStart"/>
      <w:r w:rsidR="008727DC" w:rsidRPr="00FC25F6">
        <w:rPr>
          <w:rFonts w:ascii="Book Antiqua" w:hAnsi="Book Antiqua"/>
          <w:sz w:val="24"/>
          <w:szCs w:val="24"/>
        </w:rPr>
        <w:t>Unicentric</w:t>
      </w:r>
      <w:proofErr w:type="spellEnd"/>
      <w:r w:rsidR="008727DC" w:rsidRPr="00FC25F6">
        <w:rPr>
          <w:rFonts w:ascii="Book Antiqua" w:hAnsi="Book Antiqua"/>
          <w:sz w:val="24"/>
          <w:szCs w:val="24"/>
        </w:rPr>
        <w:t xml:space="preserve"> </w:t>
      </w:r>
      <w:r w:rsidRPr="00FC25F6">
        <w:rPr>
          <w:rFonts w:ascii="Book Antiqua" w:hAnsi="Book Antiqua"/>
          <w:sz w:val="24"/>
          <w:szCs w:val="24"/>
        </w:rPr>
        <w:t>study; M</w:t>
      </w:r>
      <w:r w:rsidR="008727DC" w:rsidRPr="00FC25F6">
        <w:rPr>
          <w:rFonts w:ascii="Book Antiqua" w:hAnsi="Book Antiqua"/>
          <w:sz w:val="24"/>
          <w:szCs w:val="24"/>
        </w:rPr>
        <w:t>:</w:t>
      </w:r>
      <w:r w:rsidRPr="00FC25F6">
        <w:rPr>
          <w:rFonts w:ascii="Book Antiqua" w:hAnsi="Book Antiqua"/>
          <w:sz w:val="24"/>
          <w:szCs w:val="24"/>
        </w:rPr>
        <w:t xml:space="preserve"> </w:t>
      </w:r>
      <w:proofErr w:type="spellStart"/>
      <w:r w:rsidR="008727DC" w:rsidRPr="00FC25F6">
        <w:rPr>
          <w:rFonts w:ascii="Book Antiqua" w:hAnsi="Book Antiqua"/>
          <w:sz w:val="24"/>
          <w:szCs w:val="24"/>
        </w:rPr>
        <w:t>Multicentric</w:t>
      </w:r>
      <w:proofErr w:type="spellEnd"/>
      <w:r w:rsidR="008727DC" w:rsidRPr="00FC25F6">
        <w:rPr>
          <w:rFonts w:ascii="Book Antiqua" w:hAnsi="Book Antiqua"/>
          <w:sz w:val="24"/>
          <w:szCs w:val="24"/>
        </w:rPr>
        <w:t xml:space="preserve"> </w:t>
      </w:r>
      <w:r w:rsidRPr="00FC25F6">
        <w:rPr>
          <w:rFonts w:ascii="Book Antiqua" w:hAnsi="Book Antiqua"/>
          <w:sz w:val="24"/>
          <w:szCs w:val="24"/>
        </w:rPr>
        <w:t>study; PPI</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Proton </w:t>
      </w:r>
      <w:r w:rsidRPr="00FC25F6">
        <w:rPr>
          <w:rFonts w:ascii="Book Antiqua" w:hAnsi="Book Antiqua"/>
          <w:sz w:val="24"/>
          <w:szCs w:val="24"/>
        </w:rPr>
        <w:t>pump inhibitor; LMWH</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 xml:space="preserve">Low </w:t>
      </w:r>
      <w:r w:rsidRPr="00FC25F6">
        <w:rPr>
          <w:rFonts w:ascii="Book Antiqua" w:hAnsi="Book Antiqua"/>
          <w:sz w:val="24"/>
          <w:szCs w:val="24"/>
        </w:rPr>
        <w:t>molecular weight heparin; GI</w:t>
      </w:r>
      <w:r w:rsidR="008727DC" w:rsidRPr="00FC25F6">
        <w:rPr>
          <w:rFonts w:ascii="Book Antiqua" w:hAnsi="Book Antiqua"/>
          <w:sz w:val="24"/>
          <w:szCs w:val="24"/>
        </w:rPr>
        <w:t>: Gastrointestinal</w:t>
      </w:r>
      <w:r w:rsidRPr="00FC25F6">
        <w:rPr>
          <w:rFonts w:ascii="Book Antiqua" w:hAnsi="Book Antiqua"/>
          <w:sz w:val="24"/>
          <w:szCs w:val="24"/>
        </w:rPr>
        <w:t>; PLT</w:t>
      </w:r>
      <w:r w:rsidR="008727DC" w:rsidRPr="00FC25F6">
        <w:rPr>
          <w:rFonts w:ascii="Book Antiqua" w:hAnsi="Book Antiqua"/>
          <w:sz w:val="24"/>
          <w:szCs w:val="24"/>
        </w:rPr>
        <w:t>:</w:t>
      </w:r>
      <w:r w:rsidRPr="00FC25F6">
        <w:rPr>
          <w:rFonts w:ascii="Book Antiqua" w:hAnsi="Book Antiqua"/>
          <w:sz w:val="24"/>
          <w:szCs w:val="24"/>
        </w:rPr>
        <w:t xml:space="preserve"> </w:t>
      </w:r>
      <w:r w:rsidR="008727DC" w:rsidRPr="00FC25F6">
        <w:rPr>
          <w:rFonts w:ascii="Book Antiqua" w:hAnsi="Book Antiqua"/>
          <w:sz w:val="24"/>
          <w:szCs w:val="24"/>
        </w:rPr>
        <w:t>Platelets.</w:t>
      </w:r>
    </w:p>
    <w:p w:rsidR="00D51582" w:rsidRPr="00FC25F6" w:rsidRDefault="00D51582" w:rsidP="00DE7591">
      <w:pPr>
        <w:spacing w:after="0" w:line="360" w:lineRule="auto"/>
        <w:jc w:val="both"/>
        <w:rPr>
          <w:rFonts w:ascii="Book Antiqua" w:hAnsi="Book Antiqua"/>
          <w:sz w:val="24"/>
          <w:szCs w:val="24"/>
        </w:rPr>
      </w:pPr>
    </w:p>
    <w:p w:rsidR="008727DC" w:rsidRPr="00FC25F6" w:rsidRDefault="008727DC" w:rsidP="00DE7591">
      <w:pPr>
        <w:spacing w:after="0" w:line="360" w:lineRule="auto"/>
        <w:jc w:val="both"/>
        <w:rPr>
          <w:rFonts w:ascii="Book Antiqua" w:hAnsi="Book Antiqua"/>
          <w:sz w:val="24"/>
          <w:szCs w:val="24"/>
        </w:rPr>
        <w:sectPr w:rsidR="008727DC" w:rsidRPr="00FC25F6" w:rsidSect="003C6E7B">
          <w:pgSz w:w="16840" w:h="11907" w:orient="landscape" w:code="9"/>
          <w:pgMar w:top="1440" w:right="1440" w:bottom="1440" w:left="1440" w:header="709" w:footer="709" w:gutter="0"/>
          <w:cols w:space="708"/>
          <w:docGrid w:linePitch="360"/>
        </w:sectPr>
      </w:pPr>
    </w:p>
    <w:p w:rsidR="00FB33E7" w:rsidRPr="00FC25F6" w:rsidRDefault="00FB33E7" w:rsidP="00DE7591">
      <w:pPr>
        <w:spacing w:after="0" w:line="360" w:lineRule="auto"/>
        <w:jc w:val="both"/>
        <w:rPr>
          <w:rFonts w:ascii="Book Antiqua" w:hAnsi="Book Antiqua"/>
          <w:sz w:val="24"/>
          <w:szCs w:val="24"/>
        </w:rPr>
      </w:pPr>
    </w:p>
    <w:sectPr w:rsidR="00FB33E7" w:rsidRPr="00FC25F6" w:rsidSect="001275D4">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8" w:rsidRDefault="00E75468" w:rsidP="00D50ACF">
      <w:pPr>
        <w:spacing w:after="0" w:line="240" w:lineRule="auto"/>
      </w:pPr>
      <w:r>
        <w:separator/>
      </w:r>
    </w:p>
  </w:endnote>
  <w:endnote w:type="continuationSeparator" w:id="0">
    <w:p w:rsidR="00E75468" w:rsidRDefault="00E75468" w:rsidP="00D5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1753AFC0-B639-47DF-8B39-7681B4FB7144}"/>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embedRegular r:id="rId2" w:fontKey="{1C15A735-CF86-4542-9341-D1EE4D294A3F}"/>
    <w:embedBold r:id="rId3" w:fontKey="{0AE9DCA8-1789-4E4D-8BA9-938CAE088BF1}"/>
    <w:embedItalic r:id="rId4" w:fontKey="{066485E3-7811-4063-A2F2-88804E601EC1}"/>
    <w:embedBoldItalic r:id="rId5" w:fontKey="{F375229D-74AC-40DB-B18A-6C4F8ADFF4DA}"/>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E4" w:rsidRPr="002B2E64" w:rsidRDefault="00376EE4">
    <w:pPr>
      <w:pStyle w:val="a6"/>
      <w:jc w:val="center"/>
      <w:rPr>
        <w:lang w:val="en-US"/>
      </w:rPr>
    </w:pPr>
    <w:r>
      <w:fldChar w:fldCharType="begin"/>
    </w:r>
    <w:r>
      <w:instrText xml:space="preserve"> PAGE   \* MERGEFORMAT </w:instrText>
    </w:r>
    <w:r>
      <w:fldChar w:fldCharType="separate"/>
    </w:r>
    <w:r w:rsidR="008773DE">
      <w:rPr>
        <w:noProof/>
      </w:rPr>
      <w:t>6</w:t>
    </w:r>
    <w:r>
      <w:fldChar w:fldCharType="end"/>
    </w:r>
  </w:p>
  <w:p w:rsidR="002B2E64" w:rsidRDefault="002B2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8" w:rsidRDefault="00E75468" w:rsidP="00D50ACF">
      <w:pPr>
        <w:spacing w:after="0" w:line="240" w:lineRule="auto"/>
      </w:pPr>
      <w:r>
        <w:separator/>
      </w:r>
    </w:p>
  </w:footnote>
  <w:footnote w:type="continuationSeparator" w:id="0">
    <w:p w:rsidR="00E75468" w:rsidRDefault="00E75468" w:rsidP="00D5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E4" w:rsidRDefault="00376EE4" w:rsidP="00376EE4">
    <w:pPr>
      <w:pStyle w:val="a5"/>
      <w:tabs>
        <w:tab w:val="left" w:pos="7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9AA460"/>
    <w:lvl w:ilvl="0">
      <w:start w:val="1"/>
      <w:numFmt w:val="decimal"/>
      <w:lvlText w:val="%1."/>
      <w:lvlJc w:val="left"/>
      <w:pPr>
        <w:tabs>
          <w:tab w:val="num" w:pos="1492"/>
        </w:tabs>
        <w:ind w:left="1492" w:hanging="360"/>
      </w:pPr>
    </w:lvl>
  </w:abstractNum>
  <w:abstractNum w:abstractNumId="1">
    <w:nsid w:val="FFFFFF7D"/>
    <w:multiLevelType w:val="singleLevel"/>
    <w:tmpl w:val="7ADA8F36"/>
    <w:lvl w:ilvl="0">
      <w:start w:val="1"/>
      <w:numFmt w:val="decimal"/>
      <w:lvlText w:val="%1."/>
      <w:lvlJc w:val="left"/>
      <w:pPr>
        <w:tabs>
          <w:tab w:val="num" w:pos="1209"/>
        </w:tabs>
        <w:ind w:left="1209" w:hanging="360"/>
      </w:pPr>
    </w:lvl>
  </w:abstractNum>
  <w:abstractNum w:abstractNumId="2">
    <w:nsid w:val="FFFFFF7E"/>
    <w:multiLevelType w:val="singleLevel"/>
    <w:tmpl w:val="EAAEB530"/>
    <w:lvl w:ilvl="0">
      <w:start w:val="1"/>
      <w:numFmt w:val="decimal"/>
      <w:lvlText w:val="%1."/>
      <w:lvlJc w:val="left"/>
      <w:pPr>
        <w:tabs>
          <w:tab w:val="num" w:pos="926"/>
        </w:tabs>
        <w:ind w:left="926" w:hanging="360"/>
      </w:pPr>
    </w:lvl>
  </w:abstractNum>
  <w:abstractNum w:abstractNumId="3">
    <w:nsid w:val="FFFFFF7F"/>
    <w:multiLevelType w:val="singleLevel"/>
    <w:tmpl w:val="FEE8AC00"/>
    <w:lvl w:ilvl="0">
      <w:start w:val="1"/>
      <w:numFmt w:val="decimal"/>
      <w:lvlText w:val="%1."/>
      <w:lvlJc w:val="left"/>
      <w:pPr>
        <w:tabs>
          <w:tab w:val="num" w:pos="643"/>
        </w:tabs>
        <w:ind w:left="643" w:hanging="360"/>
      </w:pPr>
    </w:lvl>
  </w:abstractNum>
  <w:abstractNum w:abstractNumId="4">
    <w:nsid w:val="FFFFFF80"/>
    <w:multiLevelType w:val="singleLevel"/>
    <w:tmpl w:val="1B784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2B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9A4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E9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700AC8"/>
    <w:lvl w:ilvl="0">
      <w:start w:val="1"/>
      <w:numFmt w:val="decimal"/>
      <w:lvlText w:val="%1."/>
      <w:lvlJc w:val="left"/>
      <w:pPr>
        <w:tabs>
          <w:tab w:val="num" w:pos="360"/>
        </w:tabs>
        <w:ind w:left="360" w:hanging="360"/>
      </w:pPr>
    </w:lvl>
  </w:abstractNum>
  <w:abstractNum w:abstractNumId="9">
    <w:nsid w:val="FFFFFF89"/>
    <w:multiLevelType w:val="singleLevel"/>
    <w:tmpl w:val="5D3AEE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embedSystemFonts/>
  <w:saveSubsetFonts/>
  <w:bordersDoNotSurroundHeader/>
  <w:bordersDoNotSurroundFooter/>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99|197|204|203|197|203|206|197|205|207|197|188|185|197|200|203|"/>
    <w:docVar w:name="Username" w:val="Quality Control Editor"/>
  </w:docVars>
  <w:rsids>
    <w:rsidRoot w:val="008A6D26"/>
    <w:rsid w:val="00002335"/>
    <w:rsid w:val="00011028"/>
    <w:rsid w:val="000215C6"/>
    <w:rsid w:val="000262C5"/>
    <w:rsid w:val="00032315"/>
    <w:rsid w:val="00047443"/>
    <w:rsid w:val="00055CE5"/>
    <w:rsid w:val="000702BD"/>
    <w:rsid w:val="00070D99"/>
    <w:rsid w:val="000820F1"/>
    <w:rsid w:val="000A2CB8"/>
    <w:rsid w:val="000A74C6"/>
    <w:rsid w:val="000B138E"/>
    <w:rsid w:val="000B1E02"/>
    <w:rsid w:val="000B4B3F"/>
    <w:rsid w:val="000B5082"/>
    <w:rsid w:val="000B5F0C"/>
    <w:rsid w:val="000C383A"/>
    <w:rsid w:val="000D0884"/>
    <w:rsid w:val="000D6AB0"/>
    <w:rsid w:val="000D7114"/>
    <w:rsid w:val="000E014F"/>
    <w:rsid w:val="000F4622"/>
    <w:rsid w:val="000F4895"/>
    <w:rsid w:val="000F711D"/>
    <w:rsid w:val="00102A92"/>
    <w:rsid w:val="001275D4"/>
    <w:rsid w:val="00132AD2"/>
    <w:rsid w:val="00135686"/>
    <w:rsid w:val="00141AB8"/>
    <w:rsid w:val="00144055"/>
    <w:rsid w:val="00144CD6"/>
    <w:rsid w:val="001513BB"/>
    <w:rsid w:val="0016490D"/>
    <w:rsid w:val="00187450"/>
    <w:rsid w:val="00192758"/>
    <w:rsid w:val="001B2062"/>
    <w:rsid w:val="001B21EE"/>
    <w:rsid w:val="001B6AF1"/>
    <w:rsid w:val="001E43D3"/>
    <w:rsid w:val="001F155C"/>
    <w:rsid w:val="00207FBD"/>
    <w:rsid w:val="0023506E"/>
    <w:rsid w:val="002501E1"/>
    <w:rsid w:val="00255051"/>
    <w:rsid w:val="00255AF9"/>
    <w:rsid w:val="00273F19"/>
    <w:rsid w:val="00291072"/>
    <w:rsid w:val="002A4D1E"/>
    <w:rsid w:val="002A7D38"/>
    <w:rsid w:val="002B2E64"/>
    <w:rsid w:val="002B42FA"/>
    <w:rsid w:val="002B494E"/>
    <w:rsid w:val="002B5623"/>
    <w:rsid w:val="002B592E"/>
    <w:rsid w:val="002C0517"/>
    <w:rsid w:val="002C71C5"/>
    <w:rsid w:val="002D276A"/>
    <w:rsid w:val="002E268A"/>
    <w:rsid w:val="002F1B0C"/>
    <w:rsid w:val="002F232A"/>
    <w:rsid w:val="002F52E2"/>
    <w:rsid w:val="003170D4"/>
    <w:rsid w:val="00346C38"/>
    <w:rsid w:val="00376EE4"/>
    <w:rsid w:val="00387A6D"/>
    <w:rsid w:val="00397708"/>
    <w:rsid w:val="003A63E3"/>
    <w:rsid w:val="003B69A1"/>
    <w:rsid w:val="003C09E8"/>
    <w:rsid w:val="003C3FBA"/>
    <w:rsid w:val="003C59D3"/>
    <w:rsid w:val="003C6E7B"/>
    <w:rsid w:val="003E4D2E"/>
    <w:rsid w:val="003F5581"/>
    <w:rsid w:val="00416D23"/>
    <w:rsid w:val="00422F4C"/>
    <w:rsid w:val="00426AAA"/>
    <w:rsid w:val="0044098E"/>
    <w:rsid w:val="004457E4"/>
    <w:rsid w:val="00475C33"/>
    <w:rsid w:val="00480463"/>
    <w:rsid w:val="0049381C"/>
    <w:rsid w:val="004A1C3B"/>
    <w:rsid w:val="004A31DD"/>
    <w:rsid w:val="004D1C0B"/>
    <w:rsid w:val="004E34B6"/>
    <w:rsid w:val="004F0949"/>
    <w:rsid w:val="004F2489"/>
    <w:rsid w:val="004F27C0"/>
    <w:rsid w:val="004F4FAE"/>
    <w:rsid w:val="00507A0A"/>
    <w:rsid w:val="00515E0C"/>
    <w:rsid w:val="00521D86"/>
    <w:rsid w:val="00523EC1"/>
    <w:rsid w:val="005241F3"/>
    <w:rsid w:val="005244E6"/>
    <w:rsid w:val="00527240"/>
    <w:rsid w:val="0055034C"/>
    <w:rsid w:val="00566874"/>
    <w:rsid w:val="00566EFB"/>
    <w:rsid w:val="00575A1E"/>
    <w:rsid w:val="005B6AAE"/>
    <w:rsid w:val="005B77A3"/>
    <w:rsid w:val="005C4101"/>
    <w:rsid w:val="005D00F8"/>
    <w:rsid w:val="005D45EB"/>
    <w:rsid w:val="005F0DFB"/>
    <w:rsid w:val="005F1994"/>
    <w:rsid w:val="005F72B9"/>
    <w:rsid w:val="00601C87"/>
    <w:rsid w:val="00606DF0"/>
    <w:rsid w:val="00607819"/>
    <w:rsid w:val="006170F4"/>
    <w:rsid w:val="00623EDD"/>
    <w:rsid w:val="00632D97"/>
    <w:rsid w:val="00643E85"/>
    <w:rsid w:val="00652648"/>
    <w:rsid w:val="006579F8"/>
    <w:rsid w:val="00680D3B"/>
    <w:rsid w:val="006D0B28"/>
    <w:rsid w:val="006D3579"/>
    <w:rsid w:val="006D4718"/>
    <w:rsid w:val="006E1F05"/>
    <w:rsid w:val="006E6C54"/>
    <w:rsid w:val="006F0F7D"/>
    <w:rsid w:val="006F6686"/>
    <w:rsid w:val="00717884"/>
    <w:rsid w:val="0072372E"/>
    <w:rsid w:val="00725FCA"/>
    <w:rsid w:val="007424FE"/>
    <w:rsid w:val="007537CF"/>
    <w:rsid w:val="00760D2D"/>
    <w:rsid w:val="00764477"/>
    <w:rsid w:val="00772E6C"/>
    <w:rsid w:val="007948EC"/>
    <w:rsid w:val="007963C2"/>
    <w:rsid w:val="007A5A96"/>
    <w:rsid w:val="007B3060"/>
    <w:rsid w:val="007C08FD"/>
    <w:rsid w:val="007F1440"/>
    <w:rsid w:val="00804A04"/>
    <w:rsid w:val="00805441"/>
    <w:rsid w:val="00805894"/>
    <w:rsid w:val="00813410"/>
    <w:rsid w:val="008166A4"/>
    <w:rsid w:val="00831F09"/>
    <w:rsid w:val="00833141"/>
    <w:rsid w:val="008339D1"/>
    <w:rsid w:val="00841CCB"/>
    <w:rsid w:val="008727DC"/>
    <w:rsid w:val="0087409C"/>
    <w:rsid w:val="008773DE"/>
    <w:rsid w:val="00877AC6"/>
    <w:rsid w:val="00880B63"/>
    <w:rsid w:val="0088730B"/>
    <w:rsid w:val="008A5061"/>
    <w:rsid w:val="008A6691"/>
    <w:rsid w:val="008A69C2"/>
    <w:rsid w:val="008A6D26"/>
    <w:rsid w:val="008B4CD9"/>
    <w:rsid w:val="008B7930"/>
    <w:rsid w:val="008B7ED4"/>
    <w:rsid w:val="008E18D8"/>
    <w:rsid w:val="008F1F2E"/>
    <w:rsid w:val="008F5C82"/>
    <w:rsid w:val="00900032"/>
    <w:rsid w:val="00902D9E"/>
    <w:rsid w:val="00913D1D"/>
    <w:rsid w:val="009150FF"/>
    <w:rsid w:val="00916BD4"/>
    <w:rsid w:val="0092179E"/>
    <w:rsid w:val="0093696F"/>
    <w:rsid w:val="009417FC"/>
    <w:rsid w:val="009452B1"/>
    <w:rsid w:val="00974E1D"/>
    <w:rsid w:val="009A10A8"/>
    <w:rsid w:val="009C09D5"/>
    <w:rsid w:val="009D3669"/>
    <w:rsid w:val="009D489C"/>
    <w:rsid w:val="009E607C"/>
    <w:rsid w:val="009E6BD9"/>
    <w:rsid w:val="009F4546"/>
    <w:rsid w:val="00A2046C"/>
    <w:rsid w:val="00A3092B"/>
    <w:rsid w:val="00A30A7C"/>
    <w:rsid w:val="00A4044A"/>
    <w:rsid w:val="00A40A96"/>
    <w:rsid w:val="00A4473A"/>
    <w:rsid w:val="00A47FB0"/>
    <w:rsid w:val="00A63BC0"/>
    <w:rsid w:val="00A73B98"/>
    <w:rsid w:val="00A77FF3"/>
    <w:rsid w:val="00A86E1A"/>
    <w:rsid w:val="00A93D8D"/>
    <w:rsid w:val="00AA06B2"/>
    <w:rsid w:val="00AA1D42"/>
    <w:rsid w:val="00AA3FCF"/>
    <w:rsid w:val="00AC43C8"/>
    <w:rsid w:val="00AE0D39"/>
    <w:rsid w:val="00AF0E5D"/>
    <w:rsid w:val="00AF23DD"/>
    <w:rsid w:val="00B14EC2"/>
    <w:rsid w:val="00B16CC2"/>
    <w:rsid w:val="00B20780"/>
    <w:rsid w:val="00B346D0"/>
    <w:rsid w:val="00B34AD3"/>
    <w:rsid w:val="00B40257"/>
    <w:rsid w:val="00B41341"/>
    <w:rsid w:val="00B4219C"/>
    <w:rsid w:val="00B47FDB"/>
    <w:rsid w:val="00B5498E"/>
    <w:rsid w:val="00B61BEB"/>
    <w:rsid w:val="00B74911"/>
    <w:rsid w:val="00B752E5"/>
    <w:rsid w:val="00B76EF3"/>
    <w:rsid w:val="00B80FEA"/>
    <w:rsid w:val="00B87A57"/>
    <w:rsid w:val="00B979F8"/>
    <w:rsid w:val="00BA314A"/>
    <w:rsid w:val="00BB65CA"/>
    <w:rsid w:val="00BC2899"/>
    <w:rsid w:val="00BC2EB1"/>
    <w:rsid w:val="00BE322A"/>
    <w:rsid w:val="00BE45FC"/>
    <w:rsid w:val="00BE688B"/>
    <w:rsid w:val="00BF55C4"/>
    <w:rsid w:val="00C20C7B"/>
    <w:rsid w:val="00C21997"/>
    <w:rsid w:val="00C274D1"/>
    <w:rsid w:val="00C32B87"/>
    <w:rsid w:val="00C3359A"/>
    <w:rsid w:val="00C555AD"/>
    <w:rsid w:val="00C555D5"/>
    <w:rsid w:val="00C7655B"/>
    <w:rsid w:val="00C83E77"/>
    <w:rsid w:val="00C91D43"/>
    <w:rsid w:val="00C95EF0"/>
    <w:rsid w:val="00CB0704"/>
    <w:rsid w:val="00CC2AF1"/>
    <w:rsid w:val="00CC2C19"/>
    <w:rsid w:val="00CE5FB6"/>
    <w:rsid w:val="00CE66B5"/>
    <w:rsid w:val="00CF2037"/>
    <w:rsid w:val="00CF2212"/>
    <w:rsid w:val="00D00147"/>
    <w:rsid w:val="00D24F49"/>
    <w:rsid w:val="00D3317D"/>
    <w:rsid w:val="00D44D46"/>
    <w:rsid w:val="00D50ACF"/>
    <w:rsid w:val="00D51582"/>
    <w:rsid w:val="00D52B37"/>
    <w:rsid w:val="00D53808"/>
    <w:rsid w:val="00D554E0"/>
    <w:rsid w:val="00D873C4"/>
    <w:rsid w:val="00D955AB"/>
    <w:rsid w:val="00D96322"/>
    <w:rsid w:val="00DA697E"/>
    <w:rsid w:val="00DB020B"/>
    <w:rsid w:val="00DC2BDF"/>
    <w:rsid w:val="00DE7591"/>
    <w:rsid w:val="00DF41E3"/>
    <w:rsid w:val="00E04195"/>
    <w:rsid w:val="00E42C33"/>
    <w:rsid w:val="00E75468"/>
    <w:rsid w:val="00E83BC1"/>
    <w:rsid w:val="00E84655"/>
    <w:rsid w:val="00E87087"/>
    <w:rsid w:val="00EB0A43"/>
    <w:rsid w:val="00EB0F86"/>
    <w:rsid w:val="00EB4837"/>
    <w:rsid w:val="00EC0FA1"/>
    <w:rsid w:val="00ED1CA7"/>
    <w:rsid w:val="00ED362A"/>
    <w:rsid w:val="00ED7F9E"/>
    <w:rsid w:val="00EE0CEC"/>
    <w:rsid w:val="00F33051"/>
    <w:rsid w:val="00F41DA7"/>
    <w:rsid w:val="00F4522E"/>
    <w:rsid w:val="00F65B32"/>
    <w:rsid w:val="00F72D15"/>
    <w:rsid w:val="00F73905"/>
    <w:rsid w:val="00F77C16"/>
    <w:rsid w:val="00F85FB5"/>
    <w:rsid w:val="00FA2125"/>
    <w:rsid w:val="00FA4D4B"/>
    <w:rsid w:val="00FA5972"/>
    <w:rsid w:val="00FB115E"/>
    <w:rsid w:val="00FB33E7"/>
    <w:rsid w:val="00FC25F6"/>
    <w:rsid w:val="00FD6B8D"/>
    <w:rsid w:val="00FF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uiPriority="99"/>
    <w:lsdException w:name="footer" w:uiPriority="99"/>
    <w:lsdException w:name="caption" w:locked="1" w:semiHidden="1" w:unhideWhenUsed="1" w:qFormat="1"/>
    <w:lsdException w:name="annotation reference" w:uiPriority="99"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locked="1"/>
    <w:lsdException w:name="No List" w:uiPriority="99"/>
    <w:lsdException w:name="Table Web 3" w:locked="1"/>
    <w:lsdException w:name="Balloon Tex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6D26"/>
    <w:pPr>
      <w:spacing w:before="100" w:beforeAutospacing="1" w:after="100" w:afterAutospacing="1" w:line="240" w:lineRule="auto"/>
    </w:pPr>
    <w:rPr>
      <w:rFonts w:ascii="Times New Roman" w:hAnsi="Times New Roman"/>
      <w:sz w:val="24"/>
      <w:szCs w:val="24"/>
      <w:lang w:eastAsia="ro-RO"/>
    </w:rPr>
  </w:style>
  <w:style w:type="paragraph" w:styleId="a4">
    <w:name w:val="Title"/>
    <w:basedOn w:val="a"/>
    <w:link w:val="Char"/>
    <w:qFormat/>
    <w:rsid w:val="008A6D26"/>
    <w:pPr>
      <w:spacing w:after="0" w:line="240" w:lineRule="auto"/>
      <w:jc w:val="center"/>
    </w:pPr>
    <w:rPr>
      <w:rFonts w:ascii="Times New Roman" w:hAnsi="Times New Roman"/>
      <w:b/>
      <w:bCs/>
      <w:sz w:val="24"/>
      <w:szCs w:val="24"/>
      <w:lang w:val="x-none" w:eastAsia="ro-RO"/>
    </w:rPr>
  </w:style>
  <w:style w:type="character" w:customStyle="1" w:styleId="Char">
    <w:name w:val="标题 Char"/>
    <w:link w:val="a4"/>
    <w:locked/>
    <w:rsid w:val="008A6D26"/>
    <w:rPr>
      <w:rFonts w:ascii="Times New Roman" w:hAnsi="Times New Roman" w:cs="Times New Roman"/>
      <w:b/>
      <w:bCs/>
      <w:sz w:val="24"/>
      <w:szCs w:val="24"/>
      <w:lang w:val="x-none" w:eastAsia="ro-RO"/>
    </w:rPr>
  </w:style>
  <w:style w:type="character" w:customStyle="1" w:styleId="shorttext">
    <w:name w:val="short_text"/>
    <w:rsid w:val="008A6D26"/>
    <w:rPr>
      <w:rFonts w:cs="Times New Roman"/>
    </w:rPr>
  </w:style>
  <w:style w:type="paragraph" w:styleId="a5">
    <w:name w:val="header"/>
    <w:basedOn w:val="a"/>
    <w:link w:val="Char0"/>
    <w:uiPriority w:val="99"/>
    <w:rsid w:val="00D50ACF"/>
    <w:pPr>
      <w:tabs>
        <w:tab w:val="center" w:pos="4680"/>
        <w:tab w:val="right" w:pos="9360"/>
      </w:tabs>
      <w:spacing w:after="0" w:line="240" w:lineRule="auto"/>
    </w:pPr>
    <w:rPr>
      <w:rFonts w:eastAsia="Times New Roman"/>
      <w:sz w:val="20"/>
      <w:szCs w:val="20"/>
      <w:lang w:val="x-none" w:eastAsia="x-none"/>
    </w:rPr>
  </w:style>
  <w:style w:type="character" w:customStyle="1" w:styleId="Char0">
    <w:name w:val="页眉 Char"/>
    <w:link w:val="a5"/>
    <w:uiPriority w:val="99"/>
    <w:locked/>
    <w:rsid w:val="00D50ACF"/>
    <w:rPr>
      <w:rFonts w:eastAsia="Times New Roman" w:cs="Times New Roman"/>
    </w:rPr>
  </w:style>
  <w:style w:type="paragraph" w:styleId="a6">
    <w:name w:val="footer"/>
    <w:basedOn w:val="a"/>
    <w:link w:val="Char1"/>
    <w:uiPriority w:val="99"/>
    <w:rsid w:val="00D50ACF"/>
    <w:pPr>
      <w:tabs>
        <w:tab w:val="center" w:pos="4680"/>
        <w:tab w:val="right" w:pos="9360"/>
      </w:tabs>
      <w:spacing w:after="0" w:line="240" w:lineRule="auto"/>
    </w:pPr>
    <w:rPr>
      <w:rFonts w:eastAsia="Times New Roman"/>
      <w:sz w:val="20"/>
      <w:szCs w:val="20"/>
      <w:lang w:val="x-none" w:eastAsia="x-none"/>
    </w:rPr>
  </w:style>
  <w:style w:type="character" w:customStyle="1" w:styleId="Char1">
    <w:name w:val="页脚 Char"/>
    <w:link w:val="a6"/>
    <w:uiPriority w:val="99"/>
    <w:locked/>
    <w:rsid w:val="00D50ACF"/>
    <w:rPr>
      <w:rFonts w:eastAsia="Times New Roman" w:cs="Times New Roman"/>
    </w:rPr>
  </w:style>
  <w:style w:type="paragraph" w:styleId="a7">
    <w:name w:val="Balloon Text"/>
    <w:basedOn w:val="a"/>
    <w:link w:val="Char2"/>
    <w:uiPriority w:val="99"/>
    <w:semiHidden/>
    <w:rsid w:val="006170F4"/>
    <w:pPr>
      <w:spacing w:after="0" w:line="240" w:lineRule="auto"/>
    </w:pPr>
    <w:rPr>
      <w:rFonts w:ascii="Times New Roman" w:hAnsi="Times New Roman"/>
      <w:sz w:val="18"/>
      <w:szCs w:val="18"/>
      <w:lang w:val="x-none" w:eastAsia="x-none"/>
    </w:rPr>
  </w:style>
  <w:style w:type="character" w:customStyle="1" w:styleId="Char2">
    <w:name w:val="批注框文本 Char"/>
    <w:link w:val="a7"/>
    <w:uiPriority w:val="99"/>
    <w:semiHidden/>
    <w:locked/>
    <w:rsid w:val="006170F4"/>
    <w:rPr>
      <w:rFonts w:ascii="Times New Roman" w:hAnsi="Times New Roman" w:cs="Times New Roman"/>
      <w:sz w:val="18"/>
      <w:szCs w:val="18"/>
    </w:rPr>
  </w:style>
  <w:style w:type="character" w:styleId="a8">
    <w:name w:val="annotation reference"/>
    <w:uiPriority w:val="99"/>
    <w:semiHidden/>
    <w:qFormat/>
    <w:rsid w:val="006170F4"/>
    <w:rPr>
      <w:rFonts w:ascii="Tahoma" w:hAnsi="Tahoma" w:cs="Tahoma"/>
      <w:sz w:val="16"/>
      <w:szCs w:val="16"/>
      <w:u w:val="none"/>
    </w:rPr>
  </w:style>
  <w:style w:type="paragraph" w:styleId="a9">
    <w:name w:val="annotation text"/>
    <w:basedOn w:val="a"/>
    <w:link w:val="Char3"/>
    <w:uiPriority w:val="99"/>
    <w:qFormat/>
    <w:rsid w:val="006170F4"/>
    <w:pPr>
      <w:spacing w:line="240" w:lineRule="auto"/>
    </w:pPr>
    <w:rPr>
      <w:rFonts w:ascii="Tahoma" w:hAnsi="Tahoma"/>
      <w:sz w:val="20"/>
      <w:szCs w:val="20"/>
      <w:lang w:val="x-none" w:eastAsia="x-none"/>
    </w:rPr>
  </w:style>
  <w:style w:type="character" w:customStyle="1" w:styleId="Char3">
    <w:name w:val="批注文字 Char"/>
    <w:link w:val="a9"/>
    <w:uiPriority w:val="99"/>
    <w:qFormat/>
    <w:locked/>
    <w:rsid w:val="006170F4"/>
    <w:rPr>
      <w:rFonts w:ascii="Tahoma" w:hAnsi="Tahoma" w:cs="Tahoma"/>
      <w:sz w:val="20"/>
      <w:szCs w:val="20"/>
    </w:rPr>
  </w:style>
  <w:style w:type="paragraph" w:styleId="aa">
    <w:name w:val="annotation subject"/>
    <w:basedOn w:val="a9"/>
    <w:next w:val="a9"/>
    <w:link w:val="Char4"/>
    <w:semiHidden/>
    <w:rsid w:val="006170F4"/>
    <w:rPr>
      <w:b/>
      <w:bCs/>
    </w:rPr>
  </w:style>
  <w:style w:type="character" w:customStyle="1" w:styleId="Char4">
    <w:name w:val="批注主题 Char"/>
    <w:link w:val="aa"/>
    <w:semiHidden/>
    <w:locked/>
    <w:rsid w:val="006170F4"/>
    <w:rPr>
      <w:rFonts w:ascii="Tahoma" w:hAnsi="Tahoma" w:cs="Tahoma"/>
      <w:b/>
      <w:bCs/>
      <w:sz w:val="20"/>
      <w:szCs w:val="20"/>
    </w:rPr>
  </w:style>
  <w:style w:type="paragraph" w:styleId="ab">
    <w:name w:val="Revision"/>
    <w:hidden/>
    <w:semiHidden/>
    <w:rsid w:val="00E84655"/>
    <w:rPr>
      <w:sz w:val="22"/>
      <w:szCs w:val="22"/>
      <w:lang w:eastAsia="en-US"/>
    </w:rPr>
  </w:style>
  <w:style w:type="table" w:customStyle="1" w:styleId="LightShading1">
    <w:name w:val="Light Shading1"/>
    <w:basedOn w:val="a1"/>
    <w:uiPriority w:val="60"/>
    <w:rsid w:val="00FB33E7"/>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c">
    <w:name w:val="Table Grid"/>
    <w:basedOn w:val="a1"/>
    <w:uiPriority w:val="59"/>
    <w:locked/>
    <w:rsid w:val="00FB33E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a1"/>
    <w:uiPriority w:val="60"/>
    <w:rsid w:val="00FB33E7"/>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d">
    <w:name w:val="列表段落"/>
    <w:basedOn w:val="a"/>
    <w:uiPriority w:val="34"/>
    <w:qFormat/>
    <w:rsid w:val="00FB33E7"/>
    <w:pPr>
      <w:ind w:left="720"/>
      <w:contextualSpacing/>
    </w:pPr>
    <w:rPr>
      <w:rFonts w:eastAsia="Times New Roman"/>
    </w:rPr>
  </w:style>
  <w:style w:type="table" w:customStyle="1" w:styleId="LightShading2">
    <w:name w:val="Light Shading2"/>
    <w:basedOn w:val="a1"/>
    <w:uiPriority w:val="60"/>
    <w:rsid w:val="00FB33E7"/>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Hyperlink"/>
    <w:uiPriority w:val="99"/>
    <w:unhideWhenUsed/>
    <w:rsid w:val="00FB33E7"/>
    <w:rPr>
      <w:color w:val="0000FF"/>
      <w:u w:val="single"/>
    </w:rPr>
  </w:style>
  <w:style w:type="character" w:styleId="af">
    <w:name w:val="Strong"/>
    <w:qFormat/>
    <w:locked/>
    <w:rsid w:val="00376EE4"/>
    <w:rPr>
      <w:b/>
      <w:bCs/>
    </w:rPr>
  </w:style>
  <w:style w:type="paragraph" w:styleId="af0">
    <w:name w:val="No Spacing"/>
    <w:uiPriority w:val="1"/>
    <w:qFormat/>
    <w:rsid w:val="00AA3FCF"/>
    <w:rPr>
      <w:sz w:val="22"/>
      <w:szCs w:val="22"/>
      <w:lang w:eastAsia="en-US"/>
    </w:rPr>
  </w:style>
  <w:style w:type="paragraph" w:customStyle="1" w:styleId="1">
    <w:name w:val="正文1"/>
    <w:uiPriority w:val="99"/>
    <w:rsid w:val="00CE5FB6"/>
    <w:pPr>
      <w:spacing w:after="160" w:line="276" w:lineRule="auto"/>
    </w:pPr>
    <w:rPr>
      <w:rFonts w:ascii="Arial" w:eastAsia="宋体" w:hAnsi="Arial" w:cs="Arial"/>
      <w:color w:val="000000"/>
      <w:sz w:val="22"/>
      <w:lang w:val="pl-PL" w:eastAsia="pl-PL"/>
    </w:rPr>
  </w:style>
  <w:style w:type="character" w:customStyle="1" w:styleId="10">
    <w:name w:val="批注文字 字符1"/>
    <w:uiPriority w:val="99"/>
    <w:qFormat/>
    <w:rsid w:val="003C3FBA"/>
    <w:rPr>
      <w:rFonts w:eastAsia="MS Mincho"/>
      <w:kern w:val="2"/>
      <w:sz w:val="21"/>
    </w:rPr>
  </w:style>
  <w:style w:type="paragraph" w:customStyle="1" w:styleId="p1">
    <w:name w:val="p1"/>
    <w:basedOn w:val="a"/>
    <w:rsid w:val="003C3FBA"/>
    <w:pPr>
      <w:spacing w:after="0" w:line="240" w:lineRule="auto"/>
    </w:pPr>
    <w:rPr>
      <w:rFonts w:ascii="Helvetica" w:eastAsia="MS Mincho" w:hAnsi="Helvetic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uiPriority="99"/>
    <w:lsdException w:name="footer" w:uiPriority="99"/>
    <w:lsdException w:name="caption" w:locked="1" w:semiHidden="1" w:unhideWhenUsed="1" w:qFormat="1"/>
    <w:lsdException w:name="annotation reference" w:uiPriority="99"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locked="1"/>
    <w:lsdException w:name="No List" w:uiPriority="99"/>
    <w:lsdException w:name="Table Web 3" w:locked="1"/>
    <w:lsdException w:name="Balloon Tex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6D26"/>
    <w:pPr>
      <w:spacing w:before="100" w:beforeAutospacing="1" w:after="100" w:afterAutospacing="1" w:line="240" w:lineRule="auto"/>
    </w:pPr>
    <w:rPr>
      <w:rFonts w:ascii="Times New Roman" w:hAnsi="Times New Roman"/>
      <w:sz w:val="24"/>
      <w:szCs w:val="24"/>
      <w:lang w:eastAsia="ro-RO"/>
    </w:rPr>
  </w:style>
  <w:style w:type="paragraph" w:styleId="a4">
    <w:name w:val="Title"/>
    <w:basedOn w:val="a"/>
    <w:link w:val="Char"/>
    <w:qFormat/>
    <w:rsid w:val="008A6D26"/>
    <w:pPr>
      <w:spacing w:after="0" w:line="240" w:lineRule="auto"/>
      <w:jc w:val="center"/>
    </w:pPr>
    <w:rPr>
      <w:rFonts w:ascii="Times New Roman" w:hAnsi="Times New Roman"/>
      <w:b/>
      <w:bCs/>
      <w:sz w:val="24"/>
      <w:szCs w:val="24"/>
      <w:lang w:val="x-none" w:eastAsia="ro-RO"/>
    </w:rPr>
  </w:style>
  <w:style w:type="character" w:customStyle="1" w:styleId="Char">
    <w:name w:val="标题 Char"/>
    <w:link w:val="a4"/>
    <w:locked/>
    <w:rsid w:val="008A6D26"/>
    <w:rPr>
      <w:rFonts w:ascii="Times New Roman" w:hAnsi="Times New Roman" w:cs="Times New Roman"/>
      <w:b/>
      <w:bCs/>
      <w:sz w:val="24"/>
      <w:szCs w:val="24"/>
      <w:lang w:val="x-none" w:eastAsia="ro-RO"/>
    </w:rPr>
  </w:style>
  <w:style w:type="character" w:customStyle="1" w:styleId="shorttext">
    <w:name w:val="short_text"/>
    <w:rsid w:val="008A6D26"/>
    <w:rPr>
      <w:rFonts w:cs="Times New Roman"/>
    </w:rPr>
  </w:style>
  <w:style w:type="paragraph" w:styleId="a5">
    <w:name w:val="header"/>
    <w:basedOn w:val="a"/>
    <w:link w:val="Char0"/>
    <w:uiPriority w:val="99"/>
    <w:rsid w:val="00D50ACF"/>
    <w:pPr>
      <w:tabs>
        <w:tab w:val="center" w:pos="4680"/>
        <w:tab w:val="right" w:pos="9360"/>
      </w:tabs>
      <w:spacing w:after="0" w:line="240" w:lineRule="auto"/>
    </w:pPr>
    <w:rPr>
      <w:rFonts w:eastAsia="Times New Roman"/>
      <w:sz w:val="20"/>
      <w:szCs w:val="20"/>
      <w:lang w:val="x-none" w:eastAsia="x-none"/>
    </w:rPr>
  </w:style>
  <w:style w:type="character" w:customStyle="1" w:styleId="Char0">
    <w:name w:val="页眉 Char"/>
    <w:link w:val="a5"/>
    <w:uiPriority w:val="99"/>
    <w:locked/>
    <w:rsid w:val="00D50ACF"/>
    <w:rPr>
      <w:rFonts w:eastAsia="Times New Roman" w:cs="Times New Roman"/>
    </w:rPr>
  </w:style>
  <w:style w:type="paragraph" w:styleId="a6">
    <w:name w:val="footer"/>
    <w:basedOn w:val="a"/>
    <w:link w:val="Char1"/>
    <w:uiPriority w:val="99"/>
    <w:rsid w:val="00D50ACF"/>
    <w:pPr>
      <w:tabs>
        <w:tab w:val="center" w:pos="4680"/>
        <w:tab w:val="right" w:pos="9360"/>
      </w:tabs>
      <w:spacing w:after="0" w:line="240" w:lineRule="auto"/>
    </w:pPr>
    <w:rPr>
      <w:rFonts w:eastAsia="Times New Roman"/>
      <w:sz w:val="20"/>
      <w:szCs w:val="20"/>
      <w:lang w:val="x-none" w:eastAsia="x-none"/>
    </w:rPr>
  </w:style>
  <w:style w:type="character" w:customStyle="1" w:styleId="Char1">
    <w:name w:val="页脚 Char"/>
    <w:link w:val="a6"/>
    <w:uiPriority w:val="99"/>
    <w:locked/>
    <w:rsid w:val="00D50ACF"/>
    <w:rPr>
      <w:rFonts w:eastAsia="Times New Roman" w:cs="Times New Roman"/>
    </w:rPr>
  </w:style>
  <w:style w:type="paragraph" w:styleId="a7">
    <w:name w:val="Balloon Text"/>
    <w:basedOn w:val="a"/>
    <w:link w:val="Char2"/>
    <w:uiPriority w:val="99"/>
    <w:semiHidden/>
    <w:rsid w:val="006170F4"/>
    <w:pPr>
      <w:spacing w:after="0" w:line="240" w:lineRule="auto"/>
    </w:pPr>
    <w:rPr>
      <w:rFonts w:ascii="Times New Roman" w:hAnsi="Times New Roman"/>
      <w:sz w:val="18"/>
      <w:szCs w:val="18"/>
      <w:lang w:val="x-none" w:eastAsia="x-none"/>
    </w:rPr>
  </w:style>
  <w:style w:type="character" w:customStyle="1" w:styleId="Char2">
    <w:name w:val="批注框文本 Char"/>
    <w:link w:val="a7"/>
    <w:uiPriority w:val="99"/>
    <w:semiHidden/>
    <w:locked/>
    <w:rsid w:val="006170F4"/>
    <w:rPr>
      <w:rFonts w:ascii="Times New Roman" w:hAnsi="Times New Roman" w:cs="Times New Roman"/>
      <w:sz w:val="18"/>
      <w:szCs w:val="18"/>
    </w:rPr>
  </w:style>
  <w:style w:type="character" w:styleId="a8">
    <w:name w:val="annotation reference"/>
    <w:uiPriority w:val="99"/>
    <w:semiHidden/>
    <w:qFormat/>
    <w:rsid w:val="006170F4"/>
    <w:rPr>
      <w:rFonts w:ascii="Tahoma" w:hAnsi="Tahoma" w:cs="Tahoma"/>
      <w:sz w:val="16"/>
      <w:szCs w:val="16"/>
      <w:u w:val="none"/>
    </w:rPr>
  </w:style>
  <w:style w:type="paragraph" w:styleId="a9">
    <w:name w:val="annotation text"/>
    <w:basedOn w:val="a"/>
    <w:link w:val="Char3"/>
    <w:uiPriority w:val="99"/>
    <w:qFormat/>
    <w:rsid w:val="006170F4"/>
    <w:pPr>
      <w:spacing w:line="240" w:lineRule="auto"/>
    </w:pPr>
    <w:rPr>
      <w:rFonts w:ascii="Tahoma" w:hAnsi="Tahoma"/>
      <w:sz w:val="20"/>
      <w:szCs w:val="20"/>
      <w:lang w:val="x-none" w:eastAsia="x-none"/>
    </w:rPr>
  </w:style>
  <w:style w:type="character" w:customStyle="1" w:styleId="Char3">
    <w:name w:val="批注文字 Char"/>
    <w:link w:val="a9"/>
    <w:uiPriority w:val="99"/>
    <w:qFormat/>
    <w:locked/>
    <w:rsid w:val="006170F4"/>
    <w:rPr>
      <w:rFonts w:ascii="Tahoma" w:hAnsi="Tahoma" w:cs="Tahoma"/>
      <w:sz w:val="20"/>
      <w:szCs w:val="20"/>
    </w:rPr>
  </w:style>
  <w:style w:type="paragraph" w:styleId="aa">
    <w:name w:val="annotation subject"/>
    <w:basedOn w:val="a9"/>
    <w:next w:val="a9"/>
    <w:link w:val="Char4"/>
    <w:semiHidden/>
    <w:rsid w:val="006170F4"/>
    <w:rPr>
      <w:b/>
      <w:bCs/>
    </w:rPr>
  </w:style>
  <w:style w:type="character" w:customStyle="1" w:styleId="Char4">
    <w:name w:val="批注主题 Char"/>
    <w:link w:val="aa"/>
    <w:semiHidden/>
    <w:locked/>
    <w:rsid w:val="006170F4"/>
    <w:rPr>
      <w:rFonts w:ascii="Tahoma" w:hAnsi="Tahoma" w:cs="Tahoma"/>
      <w:b/>
      <w:bCs/>
      <w:sz w:val="20"/>
      <w:szCs w:val="20"/>
    </w:rPr>
  </w:style>
  <w:style w:type="paragraph" w:styleId="ab">
    <w:name w:val="Revision"/>
    <w:hidden/>
    <w:semiHidden/>
    <w:rsid w:val="00E84655"/>
    <w:rPr>
      <w:sz w:val="22"/>
      <w:szCs w:val="22"/>
      <w:lang w:eastAsia="en-US"/>
    </w:rPr>
  </w:style>
  <w:style w:type="table" w:customStyle="1" w:styleId="LightShading1">
    <w:name w:val="Light Shading1"/>
    <w:basedOn w:val="a1"/>
    <w:uiPriority w:val="60"/>
    <w:rsid w:val="00FB33E7"/>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c">
    <w:name w:val="Table Grid"/>
    <w:basedOn w:val="a1"/>
    <w:uiPriority w:val="59"/>
    <w:locked/>
    <w:rsid w:val="00FB33E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a1"/>
    <w:uiPriority w:val="60"/>
    <w:rsid w:val="00FB33E7"/>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d">
    <w:name w:val="列表段落"/>
    <w:basedOn w:val="a"/>
    <w:uiPriority w:val="34"/>
    <w:qFormat/>
    <w:rsid w:val="00FB33E7"/>
    <w:pPr>
      <w:ind w:left="720"/>
      <w:contextualSpacing/>
    </w:pPr>
    <w:rPr>
      <w:rFonts w:eastAsia="Times New Roman"/>
    </w:rPr>
  </w:style>
  <w:style w:type="table" w:customStyle="1" w:styleId="LightShading2">
    <w:name w:val="Light Shading2"/>
    <w:basedOn w:val="a1"/>
    <w:uiPriority w:val="60"/>
    <w:rsid w:val="00FB33E7"/>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Hyperlink"/>
    <w:uiPriority w:val="99"/>
    <w:unhideWhenUsed/>
    <w:rsid w:val="00FB33E7"/>
    <w:rPr>
      <w:color w:val="0000FF"/>
      <w:u w:val="single"/>
    </w:rPr>
  </w:style>
  <w:style w:type="character" w:styleId="af">
    <w:name w:val="Strong"/>
    <w:qFormat/>
    <w:locked/>
    <w:rsid w:val="00376EE4"/>
    <w:rPr>
      <w:b/>
      <w:bCs/>
    </w:rPr>
  </w:style>
  <w:style w:type="paragraph" w:styleId="af0">
    <w:name w:val="No Spacing"/>
    <w:uiPriority w:val="1"/>
    <w:qFormat/>
    <w:rsid w:val="00AA3FCF"/>
    <w:rPr>
      <w:sz w:val="22"/>
      <w:szCs w:val="22"/>
      <w:lang w:eastAsia="en-US"/>
    </w:rPr>
  </w:style>
  <w:style w:type="paragraph" w:customStyle="1" w:styleId="1">
    <w:name w:val="正文1"/>
    <w:uiPriority w:val="99"/>
    <w:rsid w:val="00CE5FB6"/>
    <w:pPr>
      <w:spacing w:after="160" w:line="276" w:lineRule="auto"/>
    </w:pPr>
    <w:rPr>
      <w:rFonts w:ascii="Arial" w:eastAsia="宋体" w:hAnsi="Arial" w:cs="Arial"/>
      <w:color w:val="000000"/>
      <w:sz w:val="22"/>
      <w:lang w:val="pl-PL" w:eastAsia="pl-PL"/>
    </w:rPr>
  </w:style>
  <w:style w:type="character" w:customStyle="1" w:styleId="10">
    <w:name w:val="批注文字 字符1"/>
    <w:uiPriority w:val="99"/>
    <w:qFormat/>
    <w:rsid w:val="003C3FBA"/>
    <w:rPr>
      <w:rFonts w:eastAsia="MS Mincho"/>
      <w:kern w:val="2"/>
      <w:sz w:val="21"/>
    </w:rPr>
  </w:style>
  <w:style w:type="paragraph" w:customStyle="1" w:styleId="p1">
    <w:name w:val="p1"/>
    <w:basedOn w:val="a"/>
    <w:rsid w:val="003C3FBA"/>
    <w:pPr>
      <w:spacing w:after="0" w:line="240" w:lineRule="auto"/>
    </w:pPr>
    <w:rPr>
      <w:rFonts w:ascii="Helvetica" w:eastAsia="MS Mincho" w:hAnsi="Helvetic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580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46" b="1" i="0" u="none" strike="noStrike" baseline="0">
                <a:solidFill>
                  <a:srgbClr val="000000"/>
                </a:solidFill>
                <a:latin typeface="Arial"/>
                <a:ea typeface="Arial"/>
                <a:cs typeface="Arial"/>
              </a:defRPr>
            </a:pPr>
            <a:r>
              <a:rPr lang="en-US" altLang="zh-CN"/>
              <a:t>%                                                                              </a:t>
            </a:r>
          </a:p>
        </c:rich>
      </c:tx>
      <c:overlay val="0"/>
      <c:spPr>
        <a:noFill/>
        <a:ln w="24054">
          <a:noFill/>
        </a:ln>
      </c:spPr>
    </c:title>
    <c:autoTitleDeleted val="0"/>
    <c:plotArea>
      <c:layout/>
      <c:barChart>
        <c:barDir val="col"/>
        <c:grouping val="clustered"/>
        <c:varyColors val="0"/>
        <c:ser>
          <c:idx val="0"/>
          <c:order val="0"/>
          <c:tx>
            <c:strRef>
              <c:f>Sheet1!$B$1</c:f>
              <c:strCache>
                <c:ptCount val="1"/>
                <c:pt idx="0">
                  <c:v>I a</c:v>
                </c:pt>
              </c:strCache>
            </c:strRef>
          </c:tx>
          <c:spPr>
            <a:solidFill>
              <a:srgbClr val="F79646">
                <a:lumMod val="60000"/>
                <a:lumOff val="40000"/>
              </a:srgbClr>
            </a:solidFill>
            <a:ln w="24029">
              <a:noFill/>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Sheet1!$B$2:$B$2</c:f>
              <c:numCache>
                <c:formatCode>General</c:formatCode>
                <c:ptCount val="1"/>
                <c:pt idx="0">
                  <c:v>5.4</c:v>
                </c:pt>
              </c:numCache>
            </c:numRef>
          </c:val>
        </c:ser>
        <c:ser>
          <c:idx val="1"/>
          <c:order val="1"/>
          <c:tx>
            <c:strRef>
              <c:f>Sheet1!$C$1</c:f>
              <c:strCache>
                <c:ptCount val="1"/>
                <c:pt idx="0">
                  <c:v>I b</c:v>
                </c:pt>
              </c:strCache>
            </c:strRef>
          </c:tx>
          <c:spPr>
            <a:solidFill>
              <a:sysClr val="window" lastClr="CCE8CF">
                <a:lumMod val="75000"/>
              </a:sysClr>
            </a:solidFill>
            <a:ln w="24029">
              <a:noFill/>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Sheet1!$C$2:$C$2</c:f>
              <c:numCache>
                <c:formatCode>General</c:formatCode>
                <c:ptCount val="1"/>
                <c:pt idx="0">
                  <c:v>12.4</c:v>
                </c:pt>
              </c:numCache>
            </c:numRef>
          </c:val>
        </c:ser>
        <c:ser>
          <c:idx val="2"/>
          <c:order val="2"/>
          <c:tx>
            <c:strRef>
              <c:f>Sheet1!$D$1</c:f>
              <c:strCache>
                <c:ptCount val="1"/>
                <c:pt idx="0">
                  <c:v>II a</c:v>
                </c:pt>
              </c:strCache>
            </c:strRef>
          </c:tx>
          <c:spPr>
            <a:gradFill rotWithShape="0">
              <a:gsLst>
                <a:gs pos="0">
                  <a:srgbClr val="9999FF"/>
                </a:gs>
                <a:gs pos="100000">
                  <a:srgbClr val="CCCCFF"/>
                </a:gs>
              </a:gsLst>
              <a:lin ang="5400000" scaled="1"/>
            </a:gradFill>
            <a:ln w="12014">
              <a:noFill/>
              <a:prstDash val="solid"/>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Sheet1!$D$2:$D$2</c:f>
              <c:numCache>
                <c:formatCode>0.0</c:formatCode>
                <c:ptCount val="1"/>
                <c:pt idx="0">
                  <c:v>19</c:v>
                </c:pt>
              </c:numCache>
            </c:numRef>
          </c:val>
        </c:ser>
        <c:ser>
          <c:idx val="3"/>
          <c:order val="3"/>
          <c:tx>
            <c:strRef>
              <c:f>Sheet1!$E$1</c:f>
              <c:strCache>
                <c:ptCount val="1"/>
                <c:pt idx="0">
                  <c:v>II b</c:v>
                </c:pt>
              </c:strCache>
            </c:strRef>
          </c:tx>
          <c:spPr>
            <a:solidFill>
              <a:srgbClr val="FFFF00"/>
            </a:solidFill>
            <a:ln w="12014">
              <a:noFill/>
              <a:prstDash val="solid"/>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Sheet1!$E$2:$E$2</c:f>
              <c:numCache>
                <c:formatCode>General</c:formatCode>
                <c:ptCount val="1"/>
                <c:pt idx="0">
                  <c:v>14.4</c:v>
                </c:pt>
              </c:numCache>
            </c:numRef>
          </c:val>
        </c:ser>
        <c:ser>
          <c:idx val="4"/>
          <c:order val="4"/>
          <c:tx>
            <c:strRef>
              <c:f>Sheet1!$F$1</c:f>
              <c:strCache>
                <c:ptCount val="1"/>
                <c:pt idx="0">
                  <c:v>II c</c:v>
                </c:pt>
              </c:strCache>
            </c:strRef>
          </c:tx>
          <c:spPr>
            <a:solidFill>
              <a:srgbClr val="8064A2">
                <a:lumMod val="40000"/>
                <a:lumOff val="60000"/>
              </a:srgbClr>
            </a:solidFill>
            <a:ln w="12014">
              <a:noFill/>
              <a:prstDash val="solid"/>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Sheet1!$F$2:$F$2</c:f>
              <c:numCache>
                <c:formatCode>General</c:formatCode>
                <c:ptCount val="1"/>
                <c:pt idx="0">
                  <c:v>12.4</c:v>
                </c:pt>
              </c:numCache>
            </c:numRef>
          </c:val>
        </c:ser>
        <c:ser>
          <c:idx val="5"/>
          <c:order val="5"/>
          <c:tx>
            <c:strRef>
              <c:f>Sheet1!$G$1</c:f>
              <c:strCache>
                <c:ptCount val="1"/>
                <c:pt idx="0">
                  <c:v>III</c:v>
                </c:pt>
              </c:strCache>
            </c:strRef>
          </c:tx>
          <c:spPr>
            <a:solidFill>
              <a:srgbClr val="FF8080"/>
            </a:solidFill>
            <a:ln w="12014">
              <a:noFill/>
              <a:prstDash val="solid"/>
            </a:ln>
          </c:spPr>
          <c:invertIfNegative val="0"/>
          <c:dLbls>
            <c:spPr>
              <a:noFill/>
              <a:ln w="24054">
                <a:noFill/>
              </a:ln>
            </c:spPr>
            <c:txPr>
              <a:bodyPr/>
              <a:lstStyle/>
              <a:p>
                <a:pPr>
                  <a:defRPr sz="1326" b="1" i="0" u="none" strike="noStrike" baseline="0">
                    <a:solidFill>
                      <a:srgbClr val="000000"/>
                    </a:solidFill>
                    <a:latin typeface="Arial"/>
                    <a:ea typeface="Arial"/>
                    <a:cs typeface="Arial"/>
                  </a:defRPr>
                </a:pPr>
                <a:endParaRPr lang="zh-CN"/>
              </a:p>
            </c:txPr>
            <c:showLegendKey val="0"/>
            <c:showVal val="1"/>
            <c:showCatName val="0"/>
            <c:showSerName val="0"/>
            <c:showPercent val="0"/>
            <c:showBubbleSize val="0"/>
            <c:showLeaderLines val="0"/>
          </c:dLbls>
          <c:cat>
            <c:strRef>
              <c:f>Sheet1!$A$2:$A$2</c:f>
              <c:strCache>
                <c:ptCount val="1"/>
                <c:pt idx="0">
                  <c:v>Forrest classification(%)</c:v>
                </c:pt>
              </c:strCache>
            </c:strRef>
          </c:cat>
          <c:val>
            <c:numRef>
              <c:f>Sheet1!$G$2:$G$2</c:f>
              <c:numCache>
                <c:formatCode>General</c:formatCode>
                <c:ptCount val="1"/>
                <c:pt idx="0">
                  <c:v>36.4</c:v>
                </c:pt>
              </c:numCache>
            </c:numRef>
          </c:val>
        </c:ser>
        <c:dLbls>
          <c:showLegendKey val="0"/>
          <c:showVal val="0"/>
          <c:showCatName val="0"/>
          <c:showSerName val="0"/>
          <c:showPercent val="0"/>
          <c:showBubbleSize val="0"/>
        </c:dLbls>
        <c:gapWidth val="150"/>
        <c:axId val="283560192"/>
        <c:axId val="283665536"/>
      </c:barChart>
      <c:catAx>
        <c:axId val="283560192"/>
        <c:scaling>
          <c:orientation val="minMax"/>
        </c:scaling>
        <c:delete val="0"/>
        <c:axPos val="b"/>
        <c:numFmt formatCode="General" sourceLinked="1"/>
        <c:majorTickMark val="none"/>
        <c:minorTickMark val="none"/>
        <c:tickLblPos val="low"/>
        <c:spPr>
          <a:ln w="3004">
            <a:solidFill>
              <a:srgbClr val="000000"/>
            </a:solidFill>
            <a:prstDash val="solid"/>
          </a:ln>
        </c:spPr>
        <c:txPr>
          <a:bodyPr rot="0" vert="horz"/>
          <a:lstStyle/>
          <a:p>
            <a:pPr>
              <a:defRPr sz="1136" b="1" i="0" u="none" strike="noStrike" baseline="0">
                <a:solidFill>
                  <a:srgbClr val="000000"/>
                </a:solidFill>
                <a:latin typeface="Arial"/>
                <a:ea typeface="Arial"/>
                <a:cs typeface="Arial"/>
              </a:defRPr>
            </a:pPr>
            <a:endParaRPr lang="zh-CN"/>
          </a:p>
        </c:txPr>
        <c:crossAx val="283665536"/>
        <c:crosses val="autoZero"/>
        <c:auto val="1"/>
        <c:lblAlgn val="ctr"/>
        <c:lblOffset val="100"/>
        <c:noMultiLvlLbl val="0"/>
      </c:catAx>
      <c:valAx>
        <c:axId val="283665536"/>
        <c:scaling>
          <c:orientation val="minMax"/>
        </c:scaling>
        <c:delete val="0"/>
        <c:axPos val="l"/>
        <c:majorGridlines/>
        <c:numFmt formatCode="General" sourceLinked="1"/>
        <c:majorTickMark val="none"/>
        <c:minorTickMark val="none"/>
        <c:tickLblPos val="nextTo"/>
        <c:spPr>
          <a:ln w="3004">
            <a:solidFill>
              <a:srgbClr val="000000"/>
            </a:solidFill>
            <a:prstDash val="solid"/>
          </a:ln>
        </c:spPr>
        <c:txPr>
          <a:bodyPr rot="0" vert="horz"/>
          <a:lstStyle/>
          <a:p>
            <a:pPr>
              <a:defRPr sz="1136" b="1" i="0" u="none" strike="noStrike" baseline="0">
                <a:solidFill>
                  <a:srgbClr val="000000"/>
                </a:solidFill>
                <a:latin typeface="Arial"/>
                <a:ea typeface="Arial"/>
                <a:cs typeface="Arial"/>
              </a:defRPr>
            </a:pPr>
            <a:endParaRPr lang="zh-CN"/>
          </a:p>
        </c:txPr>
        <c:crossAx val="283560192"/>
        <c:crosses val="autoZero"/>
        <c:crossBetween val="between"/>
      </c:valAx>
      <c:spPr>
        <a:noFill/>
        <a:ln w="24054">
          <a:noFill/>
        </a:ln>
      </c:spPr>
    </c:plotArea>
    <c:legend>
      <c:legendPos val="r"/>
      <c:layout>
        <c:manualLayout>
          <c:xMode val="edge"/>
          <c:yMode val="edge"/>
          <c:x val="0.87394964518324103"/>
          <c:y val="0.28391959668407785"/>
          <c:w val="0.11260499844926797"/>
          <c:h val="0.52261297783321636"/>
        </c:manualLayout>
      </c:layout>
      <c:overlay val="0"/>
      <c:spPr>
        <a:noFill/>
        <a:ln w="24054">
          <a:noFill/>
        </a:ln>
      </c:spPr>
      <c:txPr>
        <a:bodyPr/>
        <a:lstStyle/>
        <a:p>
          <a:pPr>
            <a:defRPr sz="1567" b="1" i="0" u="none" strike="noStrike" baseline="0">
              <a:solidFill>
                <a:srgbClr val="000000"/>
              </a:solidFill>
              <a:latin typeface="Arial"/>
              <a:ea typeface="Arial"/>
              <a:cs typeface="Arial"/>
            </a:defRPr>
          </a:pPr>
          <a:endParaRPr lang="zh-CN"/>
        </a:p>
      </c:txPr>
    </c:legend>
    <c:plotVisOnly val="1"/>
    <c:dispBlanksAs val="gap"/>
    <c:showDLblsOverMax val="0"/>
  </c:chart>
  <c:spPr>
    <a:noFill/>
    <a:ln>
      <a:noFill/>
    </a:ln>
  </c:spPr>
  <c:txPr>
    <a:bodyPr/>
    <a:lstStyle/>
    <a:p>
      <a:pPr>
        <a:defRPr sz="1705" b="1" i="0" u="none" strike="noStrike" baseline="0">
          <a:solidFill>
            <a:srgbClr val="000000"/>
          </a:solidFill>
          <a:latin typeface="Arial"/>
          <a:ea typeface="Arial"/>
          <a:cs typeface="Arial"/>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0C1D-B26B-4952-9493-323418DC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Hewlett-Packard Company</Company>
  <LinksUpToDate>false</LinksUpToDate>
  <CharactersWithSpaces>54309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DL</dc:creator>
  <cp:lastModifiedBy>Administrator</cp:lastModifiedBy>
  <cp:revision>6</cp:revision>
  <dcterms:created xsi:type="dcterms:W3CDTF">2019-09-23T02:39:00Z</dcterms:created>
  <dcterms:modified xsi:type="dcterms:W3CDTF">2019-09-23T07:46:00Z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43586</vt:r8>
  </property>
</Properties>
</file>