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ECC" w:rsidRPr="00D01B10" w:rsidRDefault="00BA1ECC" w:rsidP="00D01B10">
      <w:pPr>
        <w:spacing w:line="360" w:lineRule="auto"/>
        <w:rPr>
          <w:rFonts w:ascii="Book Antiqua" w:hAnsi="Book Antiqua"/>
          <w:sz w:val="24"/>
          <w:szCs w:val="24"/>
        </w:rPr>
      </w:pPr>
      <w:bookmarkStart w:id="0" w:name="OLE_LINK35"/>
      <w:r w:rsidRPr="00D01B10">
        <w:rPr>
          <w:rFonts w:ascii="Book Antiqua" w:hAnsi="Book Antiqua"/>
          <w:b/>
          <w:sz w:val="24"/>
          <w:szCs w:val="24"/>
        </w:rPr>
        <w:t xml:space="preserve">Name of Journal: </w:t>
      </w:r>
      <w:r w:rsidRPr="00D01B10">
        <w:rPr>
          <w:rFonts w:ascii="Book Antiqua" w:hAnsi="Book Antiqua"/>
          <w:i/>
          <w:sz w:val="24"/>
          <w:szCs w:val="24"/>
        </w:rPr>
        <w:t>World Journal of Clinical Cases</w:t>
      </w:r>
    </w:p>
    <w:p w:rsidR="00BA1ECC" w:rsidRPr="00D01B10" w:rsidRDefault="00BA1ECC" w:rsidP="00D01B10">
      <w:pPr>
        <w:spacing w:line="360" w:lineRule="auto"/>
        <w:rPr>
          <w:rFonts w:ascii="Book Antiqua" w:hAnsi="Book Antiqua"/>
          <w:b/>
          <w:sz w:val="24"/>
          <w:szCs w:val="24"/>
        </w:rPr>
      </w:pPr>
      <w:r w:rsidRPr="00D01B10">
        <w:rPr>
          <w:rFonts w:ascii="Book Antiqua" w:hAnsi="Book Antiqua"/>
          <w:b/>
          <w:sz w:val="24"/>
          <w:szCs w:val="24"/>
        </w:rPr>
        <w:t xml:space="preserve">Manuscript NO: </w:t>
      </w:r>
      <w:r w:rsidRPr="00D01B10">
        <w:rPr>
          <w:rFonts w:ascii="Book Antiqua" w:hAnsi="Book Antiqua"/>
          <w:sz w:val="24"/>
          <w:szCs w:val="24"/>
        </w:rPr>
        <w:t>42596</w:t>
      </w:r>
    </w:p>
    <w:p w:rsidR="00BA1ECC" w:rsidRPr="00D01B10" w:rsidRDefault="00BA1ECC" w:rsidP="00D01B10">
      <w:pPr>
        <w:spacing w:line="360" w:lineRule="auto"/>
        <w:rPr>
          <w:rFonts w:ascii="Book Antiqua" w:hAnsi="Book Antiqua"/>
          <w:sz w:val="24"/>
          <w:szCs w:val="24"/>
        </w:rPr>
      </w:pPr>
      <w:r w:rsidRPr="00D01B10">
        <w:rPr>
          <w:rFonts w:ascii="Book Antiqua" w:hAnsi="Book Antiqua"/>
          <w:b/>
          <w:sz w:val="24"/>
          <w:szCs w:val="24"/>
        </w:rPr>
        <w:t xml:space="preserve">Manuscript Type: </w:t>
      </w:r>
      <w:r w:rsidRPr="00D01B10">
        <w:rPr>
          <w:rFonts w:ascii="Book Antiqua" w:hAnsi="Book Antiqua"/>
          <w:sz w:val="24"/>
          <w:szCs w:val="24"/>
        </w:rPr>
        <w:t xml:space="preserve">ORIGINAL ARTICLE </w:t>
      </w:r>
    </w:p>
    <w:p w:rsidR="00BA1ECC" w:rsidRPr="00D01B10" w:rsidRDefault="00BA1ECC" w:rsidP="00D01B10">
      <w:pPr>
        <w:spacing w:line="360" w:lineRule="auto"/>
        <w:rPr>
          <w:rFonts w:ascii="Book Antiqua" w:hAnsi="Book Antiqua"/>
          <w:sz w:val="24"/>
          <w:szCs w:val="24"/>
        </w:rPr>
      </w:pPr>
    </w:p>
    <w:p w:rsidR="00BA1ECC" w:rsidRPr="00D01B10" w:rsidRDefault="00BA1ECC" w:rsidP="00D01B10">
      <w:pPr>
        <w:spacing w:line="360" w:lineRule="auto"/>
        <w:rPr>
          <w:rFonts w:ascii="Book Antiqua" w:hAnsi="Book Antiqua"/>
          <w:b/>
          <w:i/>
          <w:sz w:val="24"/>
          <w:szCs w:val="24"/>
        </w:rPr>
      </w:pPr>
      <w:r w:rsidRPr="00D01B10">
        <w:rPr>
          <w:rFonts w:ascii="Book Antiqua" w:hAnsi="Book Antiqua"/>
          <w:b/>
          <w:i/>
          <w:sz w:val="24"/>
          <w:szCs w:val="24"/>
        </w:rPr>
        <w:t>Retrospective Cohort Study</w:t>
      </w:r>
    </w:p>
    <w:p w:rsidR="00BA1ECC" w:rsidRPr="00D01B10" w:rsidRDefault="00BA1ECC" w:rsidP="00D01B10">
      <w:pPr>
        <w:spacing w:line="360" w:lineRule="auto"/>
        <w:rPr>
          <w:rFonts w:ascii="Book Antiqua" w:hAnsi="Book Antiqua"/>
          <w:b/>
          <w:sz w:val="24"/>
          <w:szCs w:val="24"/>
        </w:rPr>
      </w:pPr>
      <w:bookmarkStart w:id="1" w:name="OLE_LINK47"/>
      <w:r w:rsidRPr="00D01B10">
        <w:rPr>
          <w:rFonts w:ascii="Book Antiqua" w:hAnsi="Book Antiqua"/>
          <w:b/>
          <w:sz w:val="24"/>
          <w:szCs w:val="24"/>
        </w:rPr>
        <w:t xml:space="preserve">Combination of serum </w:t>
      </w:r>
      <w:r w:rsidR="007842B5" w:rsidRPr="009D2A7C">
        <w:rPr>
          <w:rFonts w:ascii="Book Antiqua" w:hAnsi="Book Antiqua"/>
          <w:b/>
          <w:sz w:val="24"/>
          <w:szCs w:val="24"/>
        </w:rPr>
        <w:t>gamma-glutamyltransferase</w:t>
      </w:r>
      <w:r w:rsidR="007842B5" w:rsidRPr="00D01B10">
        <w:rPr>
          <w:rFonts w:ascii="Book Antiqua" w:hAnsi="Book Antiqua"/>
          <w:sz w:val="24"/>
          <w:szCs w:val="24"/>
        </w:rPr>
        <w:t xml:space="preserve"> </w:t>
      </w:r>
      <w:r w:rsidRPr="00D01B10">
        <w:rPr>
          <w:rFonts w:ascii="Book Antiqua" w:hAnsi="Book Antiqua"/>
          <w:b/>
          <w:sz w:val="24"/>
          <w:szCs w:val="24"/>
        </w:rPr>
        <w:t xml:space="preserve">and </w:t>
      </w:r>
      <w:r w:rsidR="007842B5" w:rsidRPr="009D2A7C">
        <w:rPr>
          <w:rFonts w:ascii="Book Antiqua" w:hAnsi="Book Antiqua"/>
          <w:b/>
          <w:sz w:val="24"/>
          <w:szCs w:val="24"/>
        </w:rPr>
        <w:t>alkaline phosphatase</w:t>
      </w:r>
      <w:r w:rsidR="007842B5" w:rsidRPr="00D01B10">
        <w:rPr>
          <w:rFonts w:ascii="Book Antiqua" w:hAnsi="Book Antiqua"/>
          <w:sz w:val="24"/>
          <w:szCs w:val="24"/>
        </w:rPr>
        <w:t xml:space="preserve"> </w:t>
      </w:r>
      <w:r w:rsidRPr="00D01B10">
        <w:rPr>
          <w:rFonts w:ascii="Book Antiqua" w:hAnsi="Book Antiqua"/>
          <w:b/>
          <w:sz w:val="24"/>
          <w:szCs w:val="24"/>
        </w:rPr>
        <w:t>in predicting the diagnosis of asymptomatic choledocholithiasis secondary to cholecystolithiasis</w:t>
      </w:r>
      <w:bookmarkEnd w:id="1"/>
    </w:p>
    <w:p w:rsidR="00BA1ECC" w:rsidRPr="00D01B10" w:rsidRDefault="00BA1ECC" w:rsidP="00D01B10">
      <w:pPr>
        <w:spacing w:line="360" w:lineRule="auto"/>
        <w:rPr>
          <w:rFonts w:ascii="Book Antiqua" w:hAnsi="Book Antiqua"/>
          <w:b/>
          <w:sz w:val="24"/>
          <w:szCs w:val="24"/>
        </w:rPr>
      </w:pPr>
    </w:p>
    <w:p w:rsidR="00BA1ECC" w:rsidRPr="00D01B10" w:rsidRDefault="00107F4A" w:rsidP="00D01B10">
      <w:pPr>
        <w:spacing w:line="360" w:lineRule="auto"/>
        <w:rPr>
          <w:rStyle w:val="a3"/>
          <w:rFonts w:ascii="Book Antiqua" w:hAnsi="Book Antiqua"/>
          <w:sz w:val="24"/>
          <w:szCs w:val="24"/>
        </w:rPr>
      </w:pPr>
      <w:r w:rsidRPr="00D01B10">
        <w:rPr>
          <w:rStyle w:val="a3"/>
          <w:rFonts w:ascii="Book Antiqua" w:hAnsi="Book Antiqua"/>
          <w:sz w:val="24"/>
          <w:szCs w:val="24"/>
        </w:rPr>
        <w:t xml:space="preserve">Mei Y </w:t>
      </w:r>
      <w:r w:rsidRPr="00D01B10">
        <w:rPr>
          <w:rStyle w:val="a3"/>
          <w:rFonts w:ascii="Book Antiqua" w:hAnsi="Book Antiqua"/>
          <w:i/>
          <w:sz w:val="24"/>
          <w:szCs w:val="24"/>
        </w:rPr>
        <w:t>et al</w:t>
      </w:r>
      <w:r w:rsidRPr="00D01B10">
        <w:rPr>
          <w:rStyle w:val="a3"/>
          <w:rFonts w:ascii="Book Antiqua" w:hAnsi="Book Antiqua"/>
          <w:sz w:val="24"/>
          <w:szCs w:val="24"/>
        </w:rPr>
        <w:t xml:space="preserve">. </w:t>
      </w:r>
      <w:r w:rsidR="00BA1ECC" w:rsidRPr="00D01B10">
        <w:rPr>
          <w:rStyle w:val="a3"/>
          <w:rFonts w:ascii="Book Antiqua" w:hAnsi="Book Antiqua"/>
          <w:sz w:val="24"/>
          <w:szCs w:val="24"/>
        </w:rPr>
        <w:t>Diagnostic value of GGT and ALP in asymptomatic choledocholithiasis</w:t>
      </w:r>
    </w:p>
    <w:p w:rsidR="00107F4A" w:rsidRPr="00D01B10" w:rsidRDefault="00107F4A" w:rsidP="00D01B10">
      <w:pPr>
        <w:spacing w:line="360" w:lineRule="auto"/>
        <w:rPr>
          <w:rFonts w:ascii="Book Antiqua" w:hAnsi="Book Antiqua"/>
          <w:b/>
          <w:sz w:val="24"/>
          <w:szCs w:val="24"/>
        </w:rPr>
      </w:pPr>
    </w:p>
    <w:bookmarkEnd w:id="0"/>
    <w:p w:rsidR="00BA1ECC" w:rsidRPr="00D01B10" w:rsidRDefault="00BA1ECC" w:rsidP="00D01B10">
      <w:pPr>
        <w:spacing w:line="360" w:lineRule="auto"/>
        <w:rPr>
          <w:rFonts w:ascii="Book Antiqua" w:hAnsi="Book Antiqua"/>
          <w:sz w:val="24"/>
          <w:szCs w:val="24"/>
        </w:rPr>
      </w:pPr>
      <w:r w:rsidRPr="00D01B10">
        <w:rPr>
          <w:rFonts w:ascii="Book Antiqua" w:hAnsi="Book Antiqua"/>
          <w:sz w:val="24"/>
          <w:szCs w:val="24"/>
        </w:rPr>
        <w:t>Yong Mei, Li Chen, Peng-Fei Zeng, Ci-Jun Peng, Jun Wang, Wen-Ping Li, Chao Du, Kun Xiong, Kai Leng, Chun-Lin Feng</w:t>
      </w:r>
      <w:r w:rsidR="002A0A2C" w:rsidRPr="00D01B10">
        <w:rPr>
          <w:rFonts w:ascii="Book Antiqua" w:hAnsi="Book Antiqua"/>
          <w:sz w:val="24"/>
          <w:szCs w:val="24"/>
        </w:rPr>
        <w:t>,</w:t>
      </w:r>
      <w:r w:rsidRPr="00D01B10">
        <w:rPr>
          <w:rFonts w:ascii="Book Antiqua" w:hAnsi="Book Antiqua"/>
          <w:sz w:val="24"/>
          <w:szCs w:val="24"/>
        </w:rPr>
        <w:t xml:space="preserve"> Ji-Hu Jia</w:t>
      </w:r>
    </w:p>
    <w:p w:rsidR="00BA1ECC" w:rsidRPr="00D01B10" w:rsidRDefault="00BA1ECC" w:rsidP="00D01B10">
      <w:pPr>
        <w:spacing w:line="360" w:lineRule="auto"/>
        <w:rPr>
          <w:rFonts w:ascii="Book Antiqua" w:hAnsi="Book Antiqua"/>
          <w:sz w:val="24"/>
          <w:szCs w:val="24"/>
        </w:rPr>
      </w:pPr>
    </w:p>
    <w:p w:rsidR="00BA1ECC" w:rsidRPr="00D01B10" w:rsidRDefault="00BA1ECC" w:rsidP="00D01B10">
      <w:pPr>
        <w:spacing w:line="360" w:lineRule="auto"/>
        <w:rPr>
          <w:rFonts w:ascii="Book Antiqua" w:hAnsi="Book Antiqua"/>
          <w:sz w:val="24"/>
          <w:szCs w:val="24"/>
        </w:rPr>
      </w:pPr>
      <w:r w:rsidRPr="00D01B10">
        <w:rPr>
          <w:rFonts w:ascii="Book Antiqua" w:hAnsi="Book Antiqua"/>
          <w:b/>
          <w:sz w:val="24"/>
          <w:szCs w:val="24"/>
        </w:rPr>
        <w:t>Yong Mei, Peng-Fei Zeng, Jun Wang, Chao Du, Kun Xiong, Kai Leng, Chun-Lin Feng</w:t>
      </w:r>
      <w:r w:rsidR="002E1370" w:rsidRPr="00D01B10">
        <w:rPr>
          <w:rFonts w:ascii="Book Antiqua" w:hAnsi="Book Antiqua"/>
          <w:b/>
          <w:sz w:val="24"/>
          <w:szCs w:val="24"/>
        </w:rPr>
        <w:t>,</w:t>
      </w:r>
      <w:r w:rsidRPr="00D01B10">
        <w:rPr>
          <w:rFonts w:ascii="Book Antiqua" w:hAnsi="Book Antiqua"/>
          <w:b/>
          <w:sz w:val="24"/>
          <w:szCs w:val="24"/>
        </w:rPr>
        <w:t xml:space="preserve"> Ji-Hu Jia, </w:t>
      </w:r>
      <w:r w:rsidRPr="00D01B10">
        <w:rPr>
          <w:rFonts w:ascii="Book Antiqua" w:hAnsi="Book Antiqua"/>
          <w:sz w:val="24"/>
          <w:szCs w:val="24"/>
        </w:rPr>
        <w:t xml:space="preserve">Department of Hepatopancreatobiliary Surgery, the Third Affiliated Hospital of Zunyi Medical University, Zunyi </w:t>
      </w:r>
      <w:r w:rsidR="002E1370" w:rsidRPr="00D01B10">
        <w:rPr>
          <w:rFonts w:ascii="Book Antiqua" w:hAnsi="Book Antiqua"/>
          <w:sz w:val="24"/>
          <w:szCs w:val="24"/>
        </w:rPr>
        <w:t>563000, Guizhou Province, China</w:t>
      </w:r>
    </w:p>
    <w:p w:rsidR="00BA1ECC" w:rsidRPr="00D01B10" w:rsidRDefault="00BA1ECC" w:rsidP="00D01B10">
      <w:pPr>
        <w:spacing w:line="360" w:lineRule="auto"/>
        <w:rPr>
          <w:rFonts w:ascii="Book Antiqua" w:hAnsi="Book Antiqua"/>
          <w:sz w:val="24"/>
          <w:szCs w:val="24"/>
        </w:rPr>
      </w:pPr>
    </w:p>
    <w:p w:rsidR="00BA1ECC" w:rsidRPr="00D01B10" w:rsidRDefault="00BA1ECC" w:rsidP="00D01B10">
      <w:pPr>
        <w:spacing w:line="360" w:lineRule="auto"/>
        <w:rPr>
          <w:rFonts w:ascii="Book Antiqua" w:hAnsi="Book Antiqua"/>
          <w:sz w:val="24"/>
          <w:szCs w:val="24"/>
        </w:rPr>
      </w:pPr>
      <w:r w:rsidRPr="00D01B10">
        <w:rPr>
          <w:rFonts w:ascii="Book Antiqua" w:hAnsi="Book Antiqua"/>
          <w:b/>
          <w:sz w:val="24"/>
          <w:szCs w:val="24"/>
        </w:rPr>
        <w:t>Li Chen,</w:t>
      </w:r>
      <w:r w:rsidRPr="00D01B10">
        <w:rPr>
          <w:rFonts w:ascii="Book Antiqua" w:hAnsi="Book Antiqua"/>
          <w:sz w:val="24"/>
          <w:szCs w:val="24"/>
        </w:rPr>
        <w:t xml:space="preserve"> Diagnostics </w:t>
      </w:r>
      <w:r w:rsidR="002D0594" w:rsidRPr="00D01B10">
        <w:rPr>
          <w:rFonts w:ascii="Book Antiqua" w:hAnsi="Book Antiqua"/>
          <w:sz w:val="24"/>
          <w:szCs w:val="24"/>
        </w:rPr>
        <w:t>Laboratory</w:t>
      </w:r>
      <w:r w:rsidRPr="00D01B10">
        <w:rPr>
          <w:rFonts w:ascii="Book Antiqua" w:hAnsi="Book Antiqua"/>
          <w:sz w:val="24"/>
          <w:szCs w:val="24"/>
        </w:rPr>
        <w:t xml:space="preserve">, Affiliated Hospital of Zunyi Medical University, Zunyi </w:t>
      </w:r>
      <w:r w:rsidR="002E1370" w:rsidRPr="00D01B10">
        <w:rPr>
          <w:rFonts w:ascii="Book Antiqua" w:hAnsi="Book Antiqua"/>
          <w:sz w:val="24"/>
          <w:szCs w:val="24"/>
        </w:rPr>
        <w:t>563000, Guizhou Province, China</w:t>
      </w:r>
    </w:p>
    <w:p w:rsidR="00BA1ECC" w:rsidRPr="00D01B10" w:rsidRDefault="00BA1ECC" w:rsidP="00D01B10">
      <w:pPr>
        <w:spacing w:line="360" w:lineRule="auto"/>
        <w:rPr>
          <w:rFonts w:ascii="Book Antiqua" w:hAnsi="Book Antiqua"/>
          <w:sz w:val="24"/>
          <w:szCs w:val="24"/>
        </w:rPr>
      </w:pPr>
    </w:p>
    <w:p w:rsidR="00BA1ECC" w:rsidRPr="00D01B10" w:rsidRDefault="00BA1ECC" w:rsidP="00D01B10">
      <w:pPr>
        <w:spacing w:line="360" w:lineRule="auto"/>
        <w:rPr>
          <w:rFonts w:ascii="Book Antiqua" w:hAnsi="Book Antiqua"/>
          <w:sz w:val="24"/>
          <w:szCs w:val="24"/>
        </w:rPr>
      </w:pPr>
      <w:r w:rsidRPr="00D01B10">
        <w:rPr>
          <w:rFonts w:ascii="Book Antiqua" w:hAnsi="Book Antiqua"/>
          <w:b/>
          <w:sz w:val="24"/>
          <w:szCs w:val="24"/>
        </w:rPr>
        <w:t xml:space="preserve">Ci-Jun Peng, </w:t>
      </w:r>
      <w:r w:rsidRPr="00D01B10">
        <w:rPr>
          <w:rFonts w:ascii="Book Antiqua" w:hAnsi="Book Antiqua"/>
          <w:sz w:val="24"/>
          <w:szCs w:val="24"/>
        </w:rPr>
        <w:t xml:space="preserve">Department of Hepatopancreatobiliary Surgery, Affiliated Hospital of Zunyi Medical University, Zunyi </w:t>
      </w:r>
      <w:r w:rsidR="002E1370" w:rsidRPr="00D01B10">
        <w:rPr>
          <w:rFonts w:ascii="Book Antiqua" w:hAnsi="Book Antiqua"/>
          <w:sz w:val="24"/>
          <w:szCs w:val="24"/>
        </w:rPr>
        <w:t>563000, Guizhou Province, China</w:t>
      </w:r>
    </w:p>
    <w:p w:rsidR="00BA1ECC" w:rsidRPr="00D01B10" w:rsidRDefault="00BA1ECC" w:rsidP="00D01B10">
      <w:pPr>
        <w:spacing w:line="360" w:lineRule="auto"/>
        <w:rPr>
          <w:rFonts w:ascii="Book Antiqua" w:hAnsi="Book Antiqua"/>
          <w:sz w:val="24"/>
          <w:szCs w:val="24"/>
        </w:rPr>
      </w:pPr>
    </w:p>
    <w:p w:rsidR="00BA1ECC" w:rsidRPr="00D01B10" w:rsidRDefault="00BA1ECC" w:rsidP="00D01B10">
      <w:pPr>
        <w:spacing w:line="360" w:lineRule="auto"/>
        <w:rPr>
          <w:rFonts w:ascii="Book Antiqua" w:hAnsi="Book Antiqua"/>
          <w:sz w:val="24"/>
          <w:szCs w:val="24"/>
        </w:rPr>
      </w:pPr>
      <w:r w:rsidRPr="00D01B10">
        <w:rPr>
          <w:rFonts w:ascii="Book Antiqua" w:hAnsi="Book Antiqua"/>
          <w:b/>
          <w:sz w:val="24"/>
          <w:szCs w:val="24"/>
        </w:rPr>
        <w:t>ORCID number:</w:t>
      </w:r>
      <w:r w:rsidRPr="00D01B10">
        <w:rPr>
          <w:rFonts w:ascii="Book Antiqua" w:hAnsi="Book Antiqua"/>
          <w:sz w:val="24"/>
          <w:szCs w:val="24"/>
        </w:rPr>
        <w:t xml:space="preserve"> Yong Mei (0000-0001-6956-2173); Li Chen (0000-0001-5948-604X); Peng-Fei Zeng (0000-0002-2084-613X); Ci-Jun Peng (0000-0001-8317-4820); Jun Wang (0000-0002-3357-3492); Wen-Ping Li </w:t>
      </w:r>
      <w:r w:rsidRPr="00D01B10">
        <w:rPr>
          <w:rFonts w:ascii="Book Antiqua" w:hAnsi="Book Antiqua"/>
          <w:sz w:val="24"/>
          <w:szCs w:val="24"/>
        </w:rPr>
        <w:lastRenderedPageBreak/>
        <w:t>(0000-0002-7518-3409); Chao Du (0000-0001-8665-2947); Kun Xiong (0000-0002-8303-6142), Kai Leng (0000-0001-5808-2326); Chun-Lin Feng (0000-0003-1295-1367); Ji-Hu Jia (0000-0002-4944-6391).</w:t>
      </w:r>
    </w:p>
    <w:p w:rsidR="00BA1ECC" w:rsidRPr="00D01B10" w:rsidRDefault="00BA1ECC" w:rsidP="00D01B10">
      <w:pPr>
        <w:spacing w:line="360" w:lineRule="auto"/>
        <w:rPr>
          <w:rFonts w:ascii="Book Antiqua" w:hAnsi="Book Antiqua"/>
          <w:sz w:val="24"/>
          <w:szCs w:val="24"/>
        </w:rPr>
      </w:pPr>
    </w:p>
    <w:p w:rsidR="00BA1ECC" w:rsidRPr="00D01B10" w:rsidRDefault="00BA1ECC" w:rsidP="00D01B10">
      <w:pPr>
        <w:spacing w:line="360" w:lineRule="auto"/>
        <w:rPr>
          <w:rFonts w:ascii="Book Antiqua" w:hAnsi="Book Antiqua"/>
          <w:sz w:val="24"/>
          <w:szCs w:val="24"/>
        </w:rPr>
      </w:pPr>
      <w:r w:rsidRPr="00D01B10">
        <w:rPr>
          <w:rFonts w:ascii="Book Antiqua" w:hAnsi="Book Antiqua"/>
          <w:b/>
          <w:sz w:val="24"/>
          <w:szCs w:val="24"/>
        </w:rPr>
        <w:t xml:space="preserve">Author contributions: </w:t>
      </w:r>
      <w:r w:rsidRPr="00D01B10">
        <w:rPr>
          <w:rFonts w:ascii="Book Antiqua" w:hAnsi="Book Antiqua"/>
          <w:sz w:val="24"/>
          <w:szCs w:val="24"/>
        </w:rPr>
        <w:t xml:space="preserve">Mei Y and Chen L contributed equally to this work; Mei Y, Chen L, Zeng PF and Peng CJ carried out the studies, participated in study design, and drafted the manuscript; Wang J, Li WP, Du C, Xiong K, Leng K, Feng CL and Jia JH participated in data collection and performed the statistical analyses; </w:t>
      </w:r>
      <w:r w:rsidR="006B4B29">
        <w:rPr>
          <w:rFonts w:ascii="Book Antiqua" w:hAnsi="Book Antiqua"/>
          <w:sz w:val="24"/>
          <w:szCs w:val="24"/>
        </w:rPr>
        <w:t>A</w:t>
      </w:r>
      <w:r w:rsidRPr="00D01B10">
        <w:rPr>
          <w:rFonts w:ascii="Book Antiqua" w:hAnsi="Book Antiqua"/>
          <w:sz w:val="24"/>
          <w:szCs w:val="24"/>
        </w:rPr>
        <w:t>ll authors read and approved the final manuscript.</w:t>
      </w:r>
    </w:p>
    <w:p w:rsidR="00BA1ECC" w:rsidRPr="00D01B10" w:rsidRDefault="00BA1ECC" w:rsidP="00D01B10">
      <w:pPr>
        <w:spacing w:line="360" w:lineRule="auto"/>
        <w:rPr>
          <w:rFonts w:ascii="Book Antiqua" w:hAnsi="Book Antiqua"/>
          <w:sz w:val="24"/>
          <w:szCs w:val="24"/>
        </w:rPr>
      </w:pPr>
    </w:p>
    <w:p w:rsidR="00BA1ECC" w:rsidRPr="00D01B10" w:rsidRDefault="00BA1ECC" w:rsidP="00D01B10">
      <w:pPr>
        <w:spacing w:line="360" w:lineRule="auto"/>
        <w:rPr>
          <w:rFonts w:ascii="Book Antiqua" w:hAnsi="Book Antiqua" w:cs="Garamond-Bold"/>
          <w:bCs/>
          <w:color w:val="000000"/>
          <w:sz w:val="24"/>
          <w:szCs w:val="24"/>
        </w:rPr>
      </w:pPr>
      <w:r w:rsidRPr="00D01B10">
        <w:rPr>
          <w:rFonts w:ascii="Book Antiqua" w:hAnsi="Book Antiqua"/>
          <w:b/>
          <w:sz w:val="24"/>
          <w:szCs w:val="24"/>
        </w:rPr>
        <w:t>Supported by</w:t>
      </w:r>
      <w:r w:rsidRPr="00D01B10">
        <w:rPr>
          <w:rFonts w:ascii="Book Antiqua" w:hAnsi="Book Antiqua" w:cs="Garamond-Bold"/>
          <w:bCs/>
          <w:color w:val="000000"/>
          <w:sz w:val="24"/>
          <w:szCs w:val="24"/>
        </w:rPr>
        <w:t xml:space="preserve"> </w:t>
      </w:r>
      <w:r w:rsidRPr="00D01B10">
        <w:rPr>
          <w:rFonts w:ascii="Book Antiqua" w:hAnsi="Book Antiqua"/>
          <w:sz w:val="24"/>
          <w:szCs w:val="24"/>
        </w:rPr>
        <w:t>the Guizhou Provincial Department of Heal</w:t>
      </w:r>
      <w:r w:rsidR="00C407E8" w:rsidRPr="00D01B10">
        <w:rPr>
          <w:rFonts w:ascii="Book Antiqua" w:hAnsi="Book Antiqua"/>
          <w:sz w:val="24"/>
          <w:szCs w:val="24"/>
        </w:rPr>
        <w:t>th Science and Technology Fund, No. GZWJKJ2014-2-151;</w:t>
      </w:r>
      <w:r w:rsidRPr="00D01B10">
        <w:rPr>
          <w:rFonts w:ascii="Book Antiqua" w:hAnsi="Book Antiqua"/>
          <w:sz w:val="24"/>
          <w:szCs w:val="24"/>
        </w:rPr>
        <w:t xml:space="preserve"> the Science and Techn</w:t>
      </w:r>
      <w:r w:rsidR="00C407E8" w:rsidRPr="00D01B10">
        <w:rPr>
          <w:rFonts w:ascii="Book Antiqua" w:hAnsi="Book Antiqua"/>
          <w:sz w:val="24"/>
          <w:szCs w:val="24"/>
        </w:rPr>
        <w:t>ology Fund of Guizhou Province, No. QKH LH [2016] 7421;</w:t>
      </w:r>
      <w:r w:rsidRPr="00D01B10">
        <w:rPr>
          <w:rFonts w:ascii="Book Antiqua" w:hAnsi="Book Antiqua"/>
          <w:sz w:val="24"/>
          <w:szCs w:val="24"/>
        </w:rPr>
        <w:t xml:space="preserve"> and the Zunyi Science and Technology Research and De</w:t>
      </w:r>
      <w:r w:rsidR="00C407E8" w:rsidRPr="00D01B10">
        <w:rPr>
          <w:rFonts w:ascii="Book Antiqua" w:hAnsi="Book Antiqua"/>
          <w:sz w:val="24"/>
          <w:szCs w:val="24"/>
        </w:rPr>
        <w:t>velopment Fund, No. ZSKHS [2016] 06</w:t>
      </w:r>
      <w:r w:rsidRPr="00D01B10">
        <w:rPr>
          <w:rFonts w:ascii="Book Antiqua" w:hAnsi="Book Antiqua"/>
          <w:sz w:val="24"/>
          <w:szCs w:val="24"/>
        </w:rPr>
        <w:t>.</w:t>
      </w:r>
    </w:p>
    <w:p w:rsidR="00BA1ECC" w:rsidRPr="00D01B10" w:rsidRDefault="00BA1ECC" w:rsidP="00D01B10">
      <w:pPr>
        <w:spacing w:line="360" w:lineRule="auto"/>
        <w:rPr>
          <w:rFonts w:ascii="Book Antiqua" w:hAnsi="Book Antiqua"/>
          <w:sz w:val="24"/>
          <w:szCs w:val="24"/>
        </w:rPr>
      </w:pPr>
    </w:p>
    <w:p w:rsidR="00BA1ECC" w:rsidRPr="00D01B10" w:rsidRDefault="00BA1ECC" w:rsidP="00D01B10">
      <w:pPr>
        <w:spacing w:line="360" w:lineRule="auto"/>
        <w:rPr>
          <w:rFonts w:ascii="Book Antiqua" w:hAnsi="Book Antiqua"/>
          <w:sz w:val="24"/>
          <w:szCs w:val="24"/>
        </w:rPr>
      </w:pPr>
      <w:r w:rsidRPr="00D01B10">
        <w:rPr>
          <w:rFonts w:ascii="Book Antiqua" w:hAnsi="Book Antiqua"/>
          <w:b/>
          <w:sz w:val="24"/>
          <w:szCs w:val="24"/>
        </w:rPr>
        <w:t xml:space="preserve">Institutional review board statement: </w:t>
      </w:r>
      <w:r w:rsidRPr="00D01B10">
        <w:rPr>
          <w:rFonts w:ascii="Book Antiqua" w:hAnsi="Book Antiqua"/>
          <w:sz w:val="24"/>
          <w:szCs w:val="24"/>
        </w:rPr>
        <w:t>The study was approved by the Ethics Committee of the Third Affiliated Hospital of Zunyi Medical University, No. ZSYYLL118.</w:t>
      </w:r>
    </w:p>
    <w:p w:rsidR="00BA1ECC" w:rsidRPr="00D01B10" w:rsidRDefault="00BA1ECC" w:rsidP="00D01B10">
      <w:pPr>
        <w:spacing w:line="360" w:lineRule="auto"/>
        <w:rPr>
          <w:rFonts w:ascii="Book Antiqua" w:hAnsi="Book Antiqua"/>
          <w:sz w:val="24"/>
          <w:szCs w:val="24"/>
        </w:rPr>
      </w:pPr>
    </w:p>
    <w:p w:rsidR="00BA1ECC" w:rsidRPr="00D01B10" w:rsidRDefault="00BA1ECC" w:rsidP="00D01B10">
      <w:pPr>
        <w:spacing w:line="360" w:lineRule="auto"/>
        <w:rPr>
          <w:rFonts w:ascii="Book Antiqua" w:hAnsi="Book Antiqua"/>
          <w:sz w:val="24"/>
          <w:szCs w:val="24"/>
        </w:rPr>
      </w:pPr>
      <w:r w:rsidRPr="00D01B10">
        <w:rPr>
          <w:rFonts w:ascii="Book Antiqua" w:hAnsi="Book Antiqua"/>
          <w:b/>
          <w:sz w:val="24"/>
          <w:szCs w:val="24"/>
        </w:rPr>
        <w:t xml:space="preserve">Informed consent statement: </w:t>
      </w:r>
      <w:r w:rsidRPr="00D01B10">
        <w:rPr>
          <w:rFonts w:ascii="Book Antiqua" w:hAnsi="Book Antiqua"/>
          <w:sz w:val="24"/>
          <w:szCs w:val="24"/>
        </w:rPr>
        <w:t>All clinical data were collected with informed consent obtained from study participants.</w:t>
      </w:r>
    </w:p>
    <w:p w:rsidR="00BA1ECC" w:rsidRPr="00D01B10" w:rsidRDefault="00BA1ECC" w:rsidP="00D01B10">
      <w:pPr>
        <w:spacing w:line="360" w:lineRule="auto"/>
        <w:rPr>
          <w:rFonts w:ascii="Book Antiqua" w:hAnsi="Book Antiqua"/>
          <w:sz w:val="24"/>
          <w:szCs w:val="24"/>
        </w:rPr>
      </w:pPr>
    </w:p>
    <w:p w:rsidR="00BA1ECC" w:rsidRPr="00D01B10" w:rsidRDefault="00BA1ECC" w:rsidP="00D01B10">
      <w:pPr>
        <w:spacing w:line="360" w:lineRule="auto"/>
        <w:rPr>
          <w:rFonts w:ascii="Book Antiqua" w:hAnsi="Book Antiqua"/>
          <w:sz w:val="24"/>
          <w:szCs w:val="24"/>
        </w:rPr>
      </w:pPr>
      <w:r w:rsidRPr="00D01B10">
        <w:rPr>
          <w:rFonts w:ascii="Book Antiqua" w:hAnsi="Book Antiqua"/>
          <w:b/>
          <w:sz w:val="24"/>
          <w:szCs w:val="24"/>
        </w:rPr>
        <w:t xml:space="preserve">Conflict-of-interest statement: </w:t>
      </w:r>
      <w:r w:rsidRPr="00D01B10">
        <w:rPr>
          <w:rFonts w:ascii="Book Antiqua" w:hAnsi="Book Antiqua"/>
          <w:sz w:val="24"/>
          <w:szCs w:val="24"/>
        </w:rPr>
        <w:t>All authors declare that they have no any conflicts of interest.</w:t>
      </w:r>
    </w:p>
    <w:p w:rsidR="00BA1ECC" w:rsidRPr="00D01B10" w:rsidRDefault="00BA1ECC" w:rsidP="00D01B10">
      <w:pPr>
        <w:spacing w:line="360" w:lineRule="auto"/>
        <w:rPr>
          <w:rFonts w:ascii="Book Antiqua" w:hAnsi="Book Antiqua"/>
          <w:sz w:val="24"/>
          <w:szCs w:val="24"/>
        </w:rPr>
      </w:pPr>
    </w:p>
    <w:p w:rsidR="005C11B2" w:rsidRPr="00D01B10" w:rsidRDefault="005C11B2" w:rsidP="00D01B10">
      <w:pPr>
        <w:pStyle w:val="a4"/>
        <w:adjustRightInd w:val="0"/>
        <w:snapToGrid w:val="0"/>
        <w:spacing w:line="360" w:lineRule="auto"/>
        <w:rPr>
          <w:rFonts w:ascii="Book Antiqua" w:hAnsi="Book Antiqua"/>
        </w:rPr>
      </w:pPr>
      <w:r w:rsidRPr="00D01B10">
        <w:rPr>
          <w:rFonts w:ascii="Book Antiqua" w:hAnsi="Book Antiqua"/>
          <w:b/>
        </w:rPr>
        <w:t xml:space="preserve">Open-Access: </w:t>
      </w:r>
      <w:r w:rsidRPr="00D01B10">
        <w:rPr>
          <w:rFonts w:ascii="Book Antiqua" w:hAnsi="Book Antiqua"/>
        </w:rPr>
        <w:t>This article is an open-access article </w:t>
      </w:r>
      <w:r w:rsidR="00657E61">
        <w:rPr>
          <w:rFonts w:ascii="Book Antiqua" w:hAnsi="Book Antiqua"/>
        </w:rPr>
        <w:t>that</w:t>
      </w:r>
      <w:r w:rsidR="00657E61" w:rsidRPr="00D01B10">
        <w:rPr>
          <w:rFonts w:ascii="Book Antiqua" w:hAnsi="Book Antiqua"/>
        </w:rPr>
        <w:t xml:space="preserve"> </w:t>
      </w:r>
      <w:r w:rsidRPr="00D01B10">
        <w:rPr>
          <w:rFonts w:ascii="Book Antiqua" w:hAnsi="Book Antiqua"/>
        </w:rPr>
        <w:t xml:space="preserve">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t>
      </w:r>
      <w:r w:rsidRPr="00D01B10">
        <w:rPr>
          <w:rFonts w:ascii="Book Antiqua" w:hAnsi="Book Antiqua"/>
        </w:rPr>
        <w:lastRenderedPageBreak/>
        <w:t>works on different terms, provided the original work is properly cited and the use is non-commercial. See: http://creativecommons.org/licenses/by-nc/4.0/</w:t>
      </w:r>
    </w:p>
    <w:p w:rsidR="005C11B2" w:rsidRPr="00D01B10" w:rsidRDefault="005C11B2" w:rsidP="00D01B10">
      <w:pPr>
        <w:spacing w:line="360" w:lineRule="auto"/>
        <w:rPr>
          <w:rFonts w:ascii="Book Antiqua" w:hAnsi="Book Antiqua"/>
          <w:b/>
          <w:sz w:val="24"/>
          <w:szCs w:val="24"/>
        </w:rPr>
      </w:pPr>
    </w:p>
    <w:p w:rsidR="005C11B2" w:rsidRPr="00D01B10" w:rsidRDefault="005C11B2" w:rsidP="00D01B10">
      <w:pPr>
        <w:spacing w:line="360" w:lineRule="auto"/>
        <w:rPr>
          <w:rFonts w:ascii="Book Antiqua" w:hAnsi="Book Antiqua"/>
          <w:b/>
          <w:sz w:val="24"/>
          <w:szCs w:val="24"/>
        </w:rPr>
      </w:pPr>
      <w:r w:rsidRPr="00D01B10">
        <w:rPr>
          <w:rFonts w:ascii="Book Antiqua" w:hAnsi="Book Antiqua"/>
          <w:b/>
          <w:sz w:val="24"/>
          <w:szCs w:val="24"/>
        </w:rPr>
        <w:t>Manuscript source:</w:t>
      </w:r>
      <w:r w:rsidRPr="00D01B10">
        <w:rPr>
          <w:rFonts w:ascii="Book Antiqua" w:hAnsi="Book Antiqua"/>
          <w:sz w:val="24"/>
          <w:szCs w:val="24"/>
        </w:rPr>
        <w:t xml:space="preserve"> Unsolicited manuscript</w:t>
      </w:r>
    </w:p>
    <w:p w:rsidR="005C11B2" w:rsidRPr="00D01B10" w:rsidRDefault="005C11B2" w:rsidP="00D01B10">
      <w:pPr>
        <w:spacing w:line="360" w:lineRule="auto"/>
        <w:rPr>
          <w:rFonts w:ascii="Book Antiqua" w:hAnsi="Book Antiqua"/>
          <w:sz w:val="24"/>
          <w:szCs w:val="24"/>
        </w:rPr>
      </w:pPr>
    </w:p>
    <w:p w:rsidR="00BA1ECC" w:rsidRPr="00D01B10" w:rsidRDefault="00776690" w:rsidP="00D01B10">
      <w:pPr>
        <w:spacing w:line="360" w:lineRule="auto"/>
        <w:rPr>
          <w:rFonts w:ascii="Book Antiqua" w:hAnsi="Book Antiqua"/>
          <w:sz w:val="24"/>
          <w:szCs w:val="24"/>
        </w:rPr>
      </w:pPr>
      <w:r w:rsidRPr="00D01B10">
        <w:rPr>
          <w:rFonts w:ascii="Book Antiqua" w:hAnsi="Book Antiqua"/>
          <w:b/>
          <w:sz w:val="24"/>
          <w:szCs w:val="24"/>
        </w:rPr>
        <w:t>Corresponding author</w:t>
      </w:r>
      <w:r w:rsidR="00BA1ECC" w:rsidRPr="00D01B10">
        <w:rPr>
          <w:rFonts w:ascii="Book Antiqua" w:hAnsi="Book Antiqua"/>
          <w:b/>
          <w:sz w:val="24"/>
          <w:szCs w:val="24"/>
        </w:rPr>
        <w:t xml:space="preserve">: Kai Leng, PhD, Chief Doctor, </w:t>
      </w:r>
      <w:r w:rsidR="00BA1ECC" w:rsidRPr="00D01B10">
        <w:rPr>
          <w:rFonts w:ascii="Book Antiqua" w:hAnsi="Book Antiqua"/>
          <w:sz w:val="24"/>
          <w:szCs w:val="24"/>
        </w:rPr>
        <w:t xml:space="preserve">Department of Hepatopancreatobiliary Surgery, the Third Affiliated Hospital of Zunyi Medical University, </w:t>
      </w:r>
      <w:r w:rsidR="006D020D" w:rsidRPr="00D01B10">
        <w:rPr>
          <w:rFonts w:ascii="Book Antiqua" w:hAnsi="Book Antiqua"/>
          <w:sz w:val="24"/>
          <w:szCs w:val="24"/>
        </w:rPr>
        <w:t xml:space="preserve">No. </w:t>
      </w:r>
      <w:r w:rsidR="00BA1ECC" w:rsidRPr="00D01B10">
        <w:rPr>
          <w:rFonts w:ascii="Book Antiqua" w:hAnsi="Book Antiqua"/>
          <w:sz w:val="24"/>
          <w:szCs w:val="24"/>
        </w:rPr>
        <w:t xml:space="preserve">98 Fenghuang Load, Zunyi 563000, </w:t>
      </w:r>
      <w:r w:rsidR="003A0801" w:rsidRPr="00D01B10">
        <w:rPr>
          <w:rFonts w:ascii="Book Antiqua" w:hAnsi="Book Antiqua"/>
          <w:sz w:val="24"/>
          <w:szCs w:val="24"/>
        </w:rPr>
        <w:t xml:space="preserve">Guizhou Province, </w:t>
      </w:r>
      <w:r w:rsidR="00BA1ECC" w:rsidRPr="00D01B10">
        <w:rPr>
          <w:rFonts w:ascii="Book Antiqua" w:hAnsi="Book Antiqua"/>
          <w:sz w:val="24"/>
          <w:szCs w:val="24"/>
        </w:rPr>
        <w:t>China. lengkai4757zsyy@163.com</w:t>
      </w:r>
    </w:p>
    <w:p w:rsidR="00BA1ECC" w:rsidRPr="00D01B10" w:rsidRDefault="00BA1ECC" w:rsidP="00D01B10">
      <w:pPr>
        <w:spacing w:line="360" w:lineRule="auto"/>
        <w:rPr>
          <w:rFonts w:ascii="Book Antiqua" w:hAnsi="Book Antiqua"/>
          <w:sz w:val="24"/>
          <w:szCs w:val="24"/>
        </w:rPr>
      </w:pPr>
      <w:r w:rsidRPr="00D01B10">
        <w:rPr>
          <w:rFonts w:ascii="Book Antiqua" w:hAnsi="Book Antiqua"/>
          <w:b/>
          <w:sz w:val="24"/>
          <w:szCs w:val="24"/>
        </w:rPr>
        <w:t xml:space="preserve">Telephone: </w:t>
      </w:r>
      <w:r w:rsidRPr="00D01B10">
        <w:rPr>
          <w:rFonts w:ascii="Book Antiqua" w:hAnsi="Book Antiqua"/>
          <w:sz w:val="24"/>
          <w:szCs w:val="24"/>
        </w:rPr>
        <w:t>+86-851-28923927</w:t>
      </w:r>
    </w:p>
    <w:p w:rsidR="00BA1ECC" w:rsidRPr="00D01B10" w:rsidRDefault="00BA1ECC" w:rsidP="00D01B10">
      <w:pPr>
        <w:spacing w:line="360" w:lineRule="auto"/>
        <w:rPr>
          <w:rFonts w:ascii="Book Antiqua" w:hAnsi="Book Antiqua"/>
          <w:sz w:val="24"/>
          <w:szCs w:val="24"/>
        </w:rPr>
      </w:pPr>
      <w:r w:rsidRPr="00D01B10">
        <w:rPr>
          <w:rFonts w:ascii="Book Antiqua" w:hAnsi="Book Antiqua"/>
          <w:b/>
          <w:sz w:val="24"/>
          <w:szCs w:val="24"/>
        </w:rPr>
        <w:t xml:space="preserve">Fax: </w:t>
      </w:r>
      <w:r w:rsidRPr="00D01B10">
        <w:rPr>
          <w:rFonts w:ascii="Book Antiqua" w:hAnsi="Book Antiqua"/>
          <w:sz w:val="24"/>
          <w:szCs w:val="24"/>
        </w:rPr>
        <w:t>+86-851-28923927</w:t>
      </w:r>
    </w:p>
    <w:p w:rsidR="004E4352" w:rsidRPr="00D01B10" w:rsidRDefault="004E4352" w:rsidP="00D01B10">
      <w:pPr>
        <w:spacing w:line="360" w:lineRule="auto"/>
        <w:rPr>
          <w:rFonts w:ascii="Book Antiqua" w:hAnsi="Book Antiqua"/>
          <w:sz w:val="24"/>
          <w:szCs w:val="24"/>
        </w:rPr>
      </w:pPr>
    </w:p>
    <w:p w:rsidR="0055568A" w:rsidRPr="00D01B10" w:rsidRDefault="0055568A" w:rsidP="00D01B10">
      <w:pPr>
        <w:spacing w:line="360" w:lineRule="auto"/>
        <w:rPr>
          <w:rFonts w:ascii="Book Antiqua" w:hAnsi="Book Antiqua"/>
          <w:sz w:val="24"/>
          <w:szCs w:val="24"/>
        </w:rPr>
      </w:pPr>
      <w:r w:rsidRPr="00D01B10">
        <w:rPr>
          <w:rFonts w:ascii="Book Antiqua" w:hAnsi="Book Antiqua"/>
          <w:b/>
          <w:sz w:val="24"/>
          <w:szCs w:val="24"/>
        </w:rPr>
        <w:t xml:space="preserve">Received: </w:t>
      </w:r>
      <w:r w:rsidR="008E44CB" w:rsidRPr="00D01B10">
        <w:rPr>
          <w:rFonts w:ascii="Book Antiqua" w:hAnsi="Book Antiqua"/>
          <w:sz w:val="24"/>
          <w:szCs w:val="24"/>
        </w:rPr>
        <w:t>October 4, 2018</w:t>
      </w:r>
    </w:p>
    <w:p w:rsidR="0055568A" w:rsidRPr="00D01B10" w:rsidRDefault="0055568A" w:rsidP="00D01B10">
      <w:pPr>
        <w:spacing w:line="360" w:lineRule="auto"/>
        <w:rPr>
          <w:rFonts w:ascii="Book Antiqua" w:hAnsi="Book Antiqua"/>
          <w:sz w:val="24"/>
          <w:szCs w:val="24"/>
        </w:rPr>
      </w:pPr>
      <w:r w:rsidRPr="00D01B10">
        <w:rPr>
          <w:rFonts w:ascii="Book Antiqua" w:hAnsi="Book Antiqua"/>
          <w:b/>
          <w:sz w:val="24"/>
          <w:szCs w:val="24"/>
        </w:rPr>
        <w:t>Peer-review started:</w:t>
      </w:r>
      <w:r w:rsidR="008E44CB" w:rsidRPr="00D01B10">
        <w:rPr>
          <w:rFonts w:ascii="Book Antiqua" w:hAnsi="Book Antiqua"/>
          <w:sz w:val="24"/>
          <w:szCs w:val="24"/>
        </w:rPr>
        <w:t xml:space="preserve"> October 4, 2018</w:t>
      </w:r>
    </w:p>
    <w:p w:rsidR="0055568A" w:rsidRPr="00D01B10" w:rsidRDefault="0055568A" w:rsidP="00D01B10">
      <w:pPr>
        <w:spacing w:line="360" w:lineRule="auto"/>
        <w:rPr>
          <w:rFonts w:ascii="Book Antiqua" w:hAnsi="Book Antiqua"/>
          <w:sz w:val="24"/>
          <w:szCs w:val="24"/>
        </w:rPr>
      </w:pPr>
      <w:r w:rsidRPr="00D01B10">
        <w:rPr>
          <w:rFonts w:ascii="Book Antiqua" w:hAnsi="Book Antiqua"/>
          <w:b/>
          <w:sz w:val="24"/>
          <w:szCs w:val="24"/>
        </w:rPr>
        <w:t xml:space="preserve">First decision: </w:t>
      </w:r>
      <w:r w:rsidR="00E43398" w:rsidRPr="00D01B10">
        <w:rPr>
          <w:rFonts w:ascii="Book Antiqua" w:hAnsi="Book Antiqua"/>
          <w:sz w:val="24"/>
          <w:szCs w:val="24"/>
        </w:rPr>
        <w:t>October 18, 2018</w:t>
      </w:r>
    </w:p>
    <w:p w:rsidR="0055568A" w:rsidRPr="00D01B10" w:rsidRDefault="0055568A" w:rsidP="00D01B10">
      <w:pPr>
        <w:spacing w:line="360" w:lineRule="auto"/>
        <w:rPr>
          <w:rFonts w:ascii="Book Antiqua" w:hAnsi="Book Antiqua"/>
          <w:b/>
          <w:sz w:val="24"/>
          <w:szCs w:val="24"/>
        </w:rPr>
      </w:pPr>
      <w:r w:rsidRPr="00D01B10">
        <w:rPr>
          <w:rFonts w:ascii="Book Antiqua" w:hAnsi="Book Antiqua"/>
          <w:b/>
          <w:sz w:val="24"/>
          <w:szCs w:val="24"/>
        </w:rPr>
        <w:t xml:space="preserve">Revised: </w:t>
      </w:r>
      <w:r w:rsidR="00975693" w:rsidRPr="00D01B10">
        <w:rPr>
          <w:rFonts w:ascii="Book Antiqua" w:hAnsi="Book Antiqua"/>
          <w:sz w:val="24"/>
          <w:szCs w:val="24"/>
        </w:rPr>
        <w:t>November 22, 2018</w:t>
      </w:r>
    </w:p>
    <w:p w:rsidR="0055568A" w:rsidRPr="00D01B10" w:rsidRDefault="0055568A" w:rsidP="00D01B10">
      <w:pPr>
        <w:spacing w:line="360" w:lineRule="auto"/>
        <w:rPr>
          <w:rFonts w:ascii="Book Antiqua" w:hAnsi="Book Antiqua"/>
          <w:b/>
          <w:sz w:val="24"/>
          <w:szCs w:val="24"/>
        </w:rPr>
      </w:pPr>
      <w:r w:rsidRPr="00D01B10">
        <w:rPr>
          <w:rFonts w:ascii="Book Antiqua" w:hAnsi="Book Antiqua"/>
          <w:b/>
          <w:sz w:val="24"/>
          <w:szCs w:val="24"/>
        </w:rPr>
        <w:t>Accepted:</w:t>
      </w:r>
      <w:r w:rsidR="009C7BCA" w:rsidRPr="009C7BCA">
        <w:t xml:space="preserve"> </w:t>
      </w:r>
      <w:r w:rsidR="009C7BCA" w:rsidRPr="009C7BCA">
        <w:rPr>
          <w:rFonts w:ascii="Book Antiqua" w:hAnsi="Book Antiqua"/>
          <w:sz w:val="24"/>
          <w:szCs w:val="24"/>
        </w:rPr>
        <w:t>December 21, 2018</w:t>
      </w:r>
      <w:r w:rsidRPr="00D01B10">
        <w:rPr>
          <w:rFonts w:ascii="Book Antiqua" w:hAnsi="Book Antiqua"/>
          <w:b/>
          <w:sz w:val="24"/>
          <w:szCs w:val="24"/>
        </w:rPr>
        <w:t xml:space="preserve"> </w:t>
      </w:r>
    </w:p>
    <w:p w:rsidR="0055568A" w:rsidRPr="00D01B10" w:rsidRDefault="0055568A" w:rsidP="00D01B10">
      <w:pPr>
        <w:spacing w:line="360" w:lineRule="auto"/>
        <w:rPr>
          <w:rFonts w:ascii="Book Antiqua" w:hAnsi="Book Antiqua"/>
          <w:b/>
          <w:sz w:val="24"/>
          <w:szCs w:val="24"/>
        </w:rPr>
      </w:pPr>
      <w:r w:rsidRPr="00D01B10">
        <w:rPr>
          <w:rFonts w:ascii="Book Antiqua" w:hAnsi="Book Antiqua"/>
          <w:b/>
          <w:sz w:val="24"/>
          <w:szCs w:val="24"/>
        </w:rPr>
        <w:t>Article in press:</w:t>
      </w:r>
      <w:r w:rsidR="003E58E1">
        <w:rPr>
          <w:rFonts w:ascii="Book Antiqua" w:hAnsi="Book Antiqua" w:hint="eastAsia"/>
          <w:b/>
          <w:sz w:val="24"/>
          <w:szCs w:val="24"/>
        </w:rPr>
        <w:t xml:space="preserve"> </w:t>
      </w:r>
      <w:r w:rsidR="003E58E1" w:rsidRPr="009C7BCA">
        <w:rPr>
          <w:rFonts w:ascii="Book Antiqua" w:hAnsi="Book Antiqua"/>
          <w:sz w:val="24"/>
          <w:szCs w:val="24"/>
        </w:rPr>
        <w:t>December 21, 2018</w:t>
      </w:r>
    </w:p>
    <w:p w:rsidR="0055568A" w:rsidRPr="00D01B10" w:rsidRDefault="0055568A" w:rsidP="00D01B10">
      <w:pPr>
        <w:spacing w:line="360" w:lineRule="auto"/>
        <w:rPr>
          <w:rFonts w:ascii="Book Antiqua" w:hAnsi="Book Antiqua"/>
          <w:sz w:val="24"/>
          <w:szCs w:val="24"/>
        </w:rPr>
      </w:pPr>
      <w:r w:rsidRPr="00D01B10">
        <w:rPr>
          <w:rFonts w:ascii="Book Antiqua" w:hAnsi="Book Antiqua"/>
          <w:b/>
          <w:sz w:val="24"/>
          <w:szCs w:val="24"/>
        </w:rPr>
        <w:t>Published online:</w:t>
      </w:r>
      <w:r w:rsidR="003E58E1">
        <w:rPr>
          <w:rFonts w:ascii="Book Antiqua" w:hAnsi="Book Antiqua" w:hint="eastAsia"/>
          <w:b/>
          <w:sz w:val="24"/>
          <w:szCs w:val="24"/>
        </w:rPr>
        <w:t xml:space="preserve"> </w:t>
      </w:r>
      <w:r w:rsidR="003E58E1" w:rsidRPr="003E58E1">
        <w:rPr>
          <w:rFonts w:ascii="Book Antiqua" w:hAnsi="Book Antiqua"/>
          <w:sz w:val="24"/>
          <w:szCs w:val="24"/>
        </w:rPr>
        <w:t>January 26, 2019</w:t>
      </w:r>
    </w:p>
    <w:p w:rsidR="00891B47" w:rsidRPr="00D01B10" w:rsidRDefault="00891B47" w:rsidP="00D01B10">
      <w:pPr>
        <w:spacing w:line="360" w:lineRule="auto"/>
        <w:rPr>
          <w:rFonts w:ascii="Book Antiqua" w:hAnsi="Book Antiqua"/>
          <w:b/>
          <w:bCs/>
          <w:sz w:val="24"/>
          <w:szCs w:val="24"/>
        </w:rPr>
      </w:pPr>
      <w:r w:rsidRPr="00D01B10">
        <w:rPr>
          <w:rFonts w:ascii="Book Antiqua" w:hAnsi="Book Antiqua"/>
          <w:sz w:val="24"/>
          <w:szCs w:val="24"/>
        </w:rPr>
        <w:br w:type="page"/>
      </w:r>
      <w:r w:rsidRPr="00D01B10">
        <w:rPr>
          <w:rFonts w:ascii="Book Antiqua" w:hAnsi="Book Antiqua"/>
          <w:b/>
          <w:sz w:val="24"/>
          <w:szCs w:val="24"/>
        </w:rPr>
        <w:lastRenderedPageBreak/>
        <w:t>Abstract</w:t>
      </w:r>
      <w:r w:rsidRPr="00D01B10">
        <w:rPr>
          <w:rFonts w:ascii="Book Antiqua" w:hAnsi="Book Antiqua"/>
          <w:b/>
          <w:bCs/>
          <w:sz w:val="24"/>
          <w:szCs w:val="24"/>
        </w:rPr>
        <w:t xml:space="preserve"> </w:t>
      </w:r>
    </w:p>
    <w:p w:rsidR="00891B47" w:rsidRPr="00D01B10" w:rsidRDefault="00891B47" w:rsidP="00D01B10">
      <w:pPr>
        <w:spacing w:line="360" w:lineRule="auto"/>
        <w:rPr>
          <w:rFonts w:ascii="Book Antiqua" w:hAnsi="Book Antiqua"/>
          <w:b/>
          <w:bCs/>
          <w:sz w:val="24"/>
          <w:szCs w:val="24"/>
        </w:rPr>
      </w:pPr>
      <w:r w:rsidRPr="00D01B10">
        <w:rPr>
          <w:rFonts w:ascii="Book Antiqua" w:hAnsi="Book Antiqua"/>
          <w:b/>
          <w:i/>
          <w:color w:val="000000"/>
          <w:sz w:val="24"/>
          <w:szCs w:val="24"/>
        </w:rPr>
        <w:t>BACKGROUND</w:t>
      </w:r>
    </w:p>
    <w:p w:rsidR="00891B47" w:rsidRPr="00D01B10" w:rsidRDefault="00891B47" w:rsidP="00D01B10">
      <w:pPr>
        <w:spacing w:line="360" w:lineRule="auto"/>
        <w:rPr>
          <w:rFonts w:ascii="Book Antiqua" w:hAnsi="Book Antiqua"/>
          <w:sz w:val="24"/>
          <w:szCs w:val="24"/>
        </w:rPr>
      </w:pPr>
      <w:r w:rsidRPr="00D01B10">
        <w:rPr>
          <w:rFonts w:ascii="Book Antiqua" w:hAnsi="Book Antiqua"/>
          <w:sz w:val="24"/>
          <w:szCs w:val="24"/>
        </w:rPr>
        <w:t xml:space="preserve">Gamma-glutamyltransferase (GGT) is one of the most important laboratory tests for the evaluation of liver damage. Through a long-term clinical observation of patients with secondary asymptomatic choledocholithiasis, we found that most patients had abnormal </w:t>
      </w:r>
      <w:r w:rsidR="00657E61" w:rsidRPr="00D01B10">
        <w:rPr>
          <w:rFonts w:ascii="Book Antiqua" w:hAnsi="Book Antiqua"/>
          <w:sz w:val="24"/>
          <w:szCs w:val="24"/>
        </w:rPr>
        <w:t xml:space="preserve">GGT </w:t>
      </w:r>
      <w:r w:rsidRPr="00D01B10">
        <w:rPr>
          <w:rFonts w:ascii="Book Antiqua" w:hAnsi="Book Antiqua"/>
          <w:sz w:val="24"/>
          <w:szCs w:val="24"/>
        </w:rPr>
        <w:t>serum level</w:t>
      </w:r>
      <w:r w:rsidR="00657E61">
        <w:rPr>
          <w:rFonts w:ascii="Book Antiqua" w:hAnsi="Book Antiqua"/>
          <w:sz w:val="24"/>
          <w:szCs w:val="24"/>
        </w:rPr>
        <w:t>s</w:t>
      </w:r>
      <w:r w:rsidRPr="00D01B10">
        <w:rPr>
          <w:rFonts w:ascii="Book Antiqua" w:hAnsi="Book Antiqua"/>
          <w:sz w:val="24"/>
          <w:szCs w:val="24"/>
        </w:rPr>
        <w:t>.</w:t>
      </w:r>
    </w:p>
    <w:p w:rsidR="00891B47" w:rsidRPr="00D01B10" w:rsidRDefault="00891B47" w:rsidP="00D01B10">
      <w:pPr>
        <w:spacing w:line="360" w:lineRule="auto"/>
        <w:rPr>
          <w:rFonts w:ascii="Book Antiqua" w:hAnsi="Book Antiqua"/>
          <w:b/>
          <w:bCs/>
          <w:sz w:val="24"/>
          <w:szCs w:val="24"/>
        </w:rPr>
      </w:pPr>
    </w:p>
    <w:p w:rsidR="00BA1ECC" w:rsidRPr="00D01B10" w:rsidRDefault="00BA1ECC" w:rsidP="00D01B10">
      <w:pPr>
        <w:spacing w:line="360" w:lineRule="auto"/>
        <w:rPr>
          <w:rFonts w:ascii="Book Antiqua" w:hAnsi="Book Antiqua"/>
          <w:i/>
          <w:sz w:val="24"/>
          <w:szCs w:val="24"/>
        </w:rPr>
      </w:pPr>
      <w:r w:rsidRPr="00D01B10">
        <w:rPr>
          <w:rFonts w:ascii="Book Antiqua" w:hAnsi="Book Antiqua"/>
          <w:b/>
          <w:bCs/>
          <w:i/>
          <w:sz w:val="24"/>
          <w:szCs w:val="24"/>
        </w:rPr>
        <w:t>AIM</w:t>
      </w:r>
    </w:p>
    <w:p w:rsidR="00BA1ECC" w:rsidRPr="00D01B10" w:rsidRDefault="00F363A9" w:rsidP="00D01B10">
      <w:pPr>
        <w:spacing w:line="360" w:lineRule="auto"/>
        <w:rPr>
          <w:rFonts w:ascii="Book Antiqua" w:hAnsi="Book Antiqua"/>
          <w:sz w:val="24"/>
          <w:szCs w:val="24"/>
        </w:rPr>
      </w:pPr>
      <w:bookmarkStart w:id="2" w:name="OLE_LINK43"/>
      <w:r w:rsidRPr="00D01B10">
        <w:rPr>
          <w:rFonts w:ascii="Book Antiqua" w:hAnsi="Book Antiqua"/>
          <w:sz w:val="24"/>
          <w:szCs w:val="24"/>
        </w:rPr>
        <w:t xml:space="preserve">To </w:t>
      </w:r>
      <w:r w:rsidR="00BA1ECC" w:rsidRPr="00D01B10">
        <w:rPr>
          <w:rFonts w:ascii="Book Antiqua" w:hAnsi="Book Antiqua"/>
          <w:sz w:val="24"/>
          <w:szCs w:val="24"/>
        </w:rPr>
        <w:t xml:space="preserve">investigate the combination of serum GGT and </w:t>
      </w:r>
      <w:r w:rsidR="00D1652F" w:rsidRPr="00D01B10">
        <w:rPr>
          <w:rFonts w:ascii="Book Antiqua" w:hAnsi="Book Antiqua"/>
          <w:sz w:val="24"/>
          <w:szCs w:val="24"/>
        </w:rPr>
        <w:t>alkaline phosphatase (</w:t>
      </w:r>
      <w:r w:rsidR="00BA1ECC" w:rsidRPr="00D01B10">
        <w:rPr>
          <w:rFonts w:ascii="Book Antiqua" w:hAnsi="Book Antiqua"/>
          <w:sz w:val="24"/>
          <w:szCs w:val="24"/>
        </w:rPr>
        <w:t>ALP</w:t>
      </w:r>
      <w:r w:rsidR="00D1652F" w:rsidRPr="00D01B10">
        <w:rPr>
          <w:rFonts w:ascii="Book Antiqua" w:hAnsi="Book Antiqua"/>
          <w:sz w:val="24"/>
          <w:szCs w:val="24"/>
        </w:rPr>
        <w:t>)</w:t>
      </w:r>
      <w:r w:rsidR="00BA1ECC" w:rsidRPr="00D01B10">
        <w:rPr>
          <w:rFonts w:ascii="Book Antiqua" w:hAnsi="Book Antiqua"/>
          <w:sz w:val="24"/>
          <w:szCs w:val="24"/>
        </w:rPr>
        <w:t xml:space="preserve"> in predicting the diagnosis of asymptomatic choledocholithiasis secondary to cholecystolithiasis.</w:t>
      </w:r>
    </w:p>
    <w:p w:rsidR="00F363A9" w:rsidRPr="00D01B10" w:rsidRDefault="00F363A9" w:rsidP="00D01B10">
      <w:pPr>
        <w:spacing w:line="360" w:lineRule="auto"/>
        <w:rPr>
          <w:rFonts w:ascii="Book Antiqua" w:hAnsi="Book Antiqua"/>
          <w:sz w:val="24"/>
          <w:szCs w:val="24"/>
        </w:rPr>
      </w:pPr>
    </w:p>
    <w:bookmarkEnd w:id="2"/>
    <w:p w:rsidR="00BA1ECC" w:rsidRPr="00D01B10" w:rsidRDefault="00BA1ECC" w:rsidP="00D01B10">
      <w:pPr>
        <w:spacing w:line="360" w:lineRule="auto"/>
        <w:rPr>
          <w:rFonts w:ascii="Book Antiqua" w:hAnsi="Book Antiqua"/>
          <w:b/>
          <w:bCs/>
          <w:i/>
          <w:sz w:val="24"/>
          <w:szCs w:val="24"/>
        </w:rPr>
      </w:pPr>
      <w:r w:rsidRPr="00D01B10">
        <w:rPr>
          <w:rFonts w:ascii="Book Antiqua" w:hAnsi="Book Antiqua"/>
          <w:b/>
          <w:bCs/>
          <w:i/>
          <w:sz w:val="24"/>
          <w:szCs w:val="24"/>
        </w:rPr>
        <w:t>METHODS</w:t>
      </w:r>
    </w:p>
    <w:p w:rsidR="00BA1ECC" w:rsidRPr="00D01B10" w:rsidRDefault="00BA1ECC" w:rsidP="00D01B10">
      <w:pPr>
        <w:spacing w:line="360" w:lineRule="auto"/>
        <w:rPr>
          <w:rFonts w:ascii="Book Antiqua" w:hAnsi="Book Antiqua"/>
          <w:sz w:val="24"/>
          <w:szCs w:val="24"/>
        </w:rPr>
      </w:pPr>
      <w:r w:rsidRPr="00D01B10">
        <w:rPr>
          <w:rFonts w:ascii="Book Antiqua" w:hAnsi="Book Antiqua"/>
          <w:sz w:val="24"/>
          <w:szCs w:val="24"/>
        </w:rPr>
        <w:t xml:space="preserve">In this retrospective cohort study, the clinical data of 829 patients with cholecystolithiasis admitted to the Third Affiliated Hospital of Zunyi Medical College from August 2014 to August 2017 were collected. Among these patients, 151 patients had secondary asymptomatic choledocholithiasis and served as </w:t>
      </w:r>
      <w:r w:rsidR="00901E42">
        <w:rPr>
          <w:rFonts w:ascii="Book Antiqua" w:hAnsi="Book Antiqua"/>
          <w:sz w:val="24"/>
          <w:szCs w:val="24"/>
        </w:rPr>
        <w:t xml:space="preserve">the </w:t>
      </w:r>
      <w:r w:rsidRPr="00D01B10">
        <w:rPr>
          <w:rFonts w:ascii="Book Antiqua" w:hAnsi="Book Antiqua"/>
          <w:sz w:val="24"/>
          <w:szCs w:val="24"/>
        </w:rPr>
        <w:t>observation group, and the remaining 678 cholecystolithiasis patients served as the control group. Serum liver function indexes were detected in both groups, and the receiver operating characteristic (</w:t>
      </w:r>
      <w:r w:rsidR="00045174">
        <w:rPr>
          <w:rFonts w:ascii="Book Antiqua" w:hAnsi="Book Antiqua"/>
          <w:sz w:val="24"/>
          <w:szCs w:val="24"/>
        </w:rPr>
        <w:t xml:space="preserve">commonly known as </w:t>
      </w:r>
      <w:r w:rsidRPr="00D01B10">
        <w:rPr>
          <w:rFonts w:ascii="Book Antiqua" w:hAnsi="Book Antiqua"/>
          <w:sz w:val="24"/>
          <w:szCs w:val="24"/>
        </w:rPr>
        <w:t>ROC) curves were constructed for markers showing statistical significances. The cutoff value, sensitivity, and specificity of each marker were calculat</w:t>
      </w:r>
      <w:r w:rsidR="005600E0" w:rsidRPr="00D01B10">
        <w:rPr>
          <w:rFonts w:ascii="Book Antiqua" w:hAnsi="Book Antiqua"/>
          <w:sz w:val="24"/>
          <w:szCs w:val="24"/>
        </w:rPr>
        <w:t>ed according to the ROC curves.</w:t>
      </w:r>
    </w:p>
    <w:p w:rsidR="003871C6" w:rsidRPr="00D01B10" w:rsidRDefault="003871C6" w:rsidP="00D01B10">
      <w:pPr>
        <w:spacing w:line="360" w:lineRule="auto"/>
        <w:rPr>
          <w:rFonts w:ascii="Book Antiqua" w:hAnsi="Book Antiqua"/>
          <w:sz w:val="24"/>
          <w:szCs w:val="24"/>
        </w:rPr>
      </w:pPr>
    </w:p>
    <w:p w:rsidR="00BA1ECC" w:rsidRPr="00D01B10" w:rsidRDefault="00BA1ECC" w:rsidP="00D01B10">
      <w:pPr>
        <w:spacing w:line="360" w:lineRule="auto"/>
        <w:rPr>
          <w:rFonts w:ascii="Book Antiqua" w:hAnsi="Book Antiqua"/>
          <w:i/>
          <w:sz w:val="24"/>
          <w:szCs w:val="24"/>
        </w:rPr>
      </w:pPr>
      <w:r w:rsidRPr="00D01B10">
        <w:rPr>
          <w:rFonts w:ascii="Book Antiqua" w:hAnsi="Book Antiqua"/>
          <w:b/>
          <w:bCs/>
          <w:i/>
          <w:sz w:val="24"/>
          <w:szCs w:val="24"/>
        </w:rPr>
        <w:t>RESULTS</w:t>
      </w:r>
    </w:p>
    <w:p w:rsidR="00BA1ECC" w:rsidRPr="00D01B10" w:rsidRDefault="00BA1ECC" w:rsidP="00D01B10">
      <w:pPr>
        <w:spacing w:line="360" w:lineRule="auto"/>
        <w:rPr>
          <w:rFonts w:ascii="Book Antiqua" w:hAnsi="Book Antiqua"/>
          <w:sz w:val="24"/>
          <w:szCs w:val="24"/>
        </w:rPr>
      </w:pPr>
      <w:r w:rsidRPr="00D01B10">
        <w:rPr>
          <w:rFonts w:ascii="Book Antiqua" w:hAnsi="Book Antiqua"/>
          <w:sz w:val="24"/>
          <w:szCs w:val="24"/>
        </w:rPr>
        <w:t xml:space="preserve">The overall incidence of </w:t>
      </w:r>
      <w:bookmarkStart w:id="3" w:name="OLE_LINK37"/>
      <w:r w:rsidRPr="00D01B10">
        <w:rPr>
          <w:rFonts w:ascii="Book Antiqua" w:hAnsi="Book Antiqua"/>
          <w:sz w:val="24"/>
          <w:szCs w:val="24"/>
        </w:rPr>
        <w:t>asymptomatic choledocholithiasis secondary to cholecystolithiasis</w:t>
      </w:r>
      <w:bookmarkEnd w:id="3"/>
      <w:r w:rsidRPr="00D01B10">
        <w:rPr>
          <w:rFonts w:ascii="Book Antiqua" w:hAnsi="Book Antiqua"/>
          <w:sz w:val="24"/>
          <w:szCs w:val="24"/>
        </w:rPr>
        <w:t xml:space="preserve"> was 18.2%. The results of liver function indexes including serum </w:t>
      </w:r>
      <w:r w:rsidR="00374125" w:rsidRPr="00D01B10">
        <w:rPr>
          <w:rFonts w:ascii="Book Antiqua" w:hAnsi="Book Antiqua"/>
          <w:sz w:val="24"/>
          <w:szCs w:val="24"/>
          <w:shd w:val="clear" w:color="auto" w:fill="FFFFFF"/>
        </w:rPr>
        <w:t>aspartate aminotransferase</w:t>
      </w:r>
      <w:r w:rsidRPr="00D01B10">
        <w:rPr>
          <w:rFonts w:ascii="Book Antiqua" w:hAnsi="Book Antiqua"/>
          <w:sz w:val="24"/>
          <w:szCs w:val="24"/>
        </w:rPr>
        <w:t xml:space="preserve">, </w:t>
      </w:r>
      <w:r w:rsidR="00703FC9" w:rsidRPr="00D01B10">
        <w:rPr>
          <w:rFonts w:ascii="Book Antiqua" w:hAnsi="Book Antiqua"/>
          <w:sz w:val="24"/>
          <w:szCs w:val="24"/>
          <w:shd w:val="clear" w:color="auto" w:fill="FFFFFF"/>
        </w:rPr>
        <w:t>alanine amino</w:t>
      </w:r>
      <w:r w:rsidR="00703FC9" w:rsidRPr="00D01B10">
        <w:rPr>
          <w:rStyle w:val="a6"/>
          <w:rFonts w:ascii="Book Antiqua" w:hAnsi="Book Antiqua"/>
          <w:i w:val="0"/>
          <w:iCs w:val="0"/>
          <w:sz w:val="24"/>
          <w:szCs w:val="24"/>
          <w:shd w:val="clear" w:color="auto" w:fill="FFFFFF"/>
        </w:rPr>
        <w:t>transferase</w:t>
      </w:r>
      <w:r w:rsidRPr="00D01B10">
        <w:rPr>
          <w:rFonts w:ascii="Book Antiqua" w:hAnsi="Book Antiqua"/>
          <w:sz w:val="24"/>
          <w:szCs w:val="24"/>
        </w:rPr>
        <w:t xml:space="preserve">, </w:t>
      </w:r>
      <w:r w:rsidR="00703FC9" w:rsidRPr="00D01B10">
        <w:rPr>
          <w:rFonts w:ascii="Book Antiqua" w:hAnsi="Book Antiqua"/>
          <w:sz w:val="24"/>
          <w:szCs w:val="24"/>
          <w:shd w:val="clear" w:color="auto" w:fill="FFFFFF"/>
        </w:rPr>
        <w:t>direct bilirubin</w:t>
      </w:r>
      <w:r w:rsidR="00703FC9" w:rsidRPr="00D01B10">
        <w:rPr>
          <w:rFonts w:ascii="Book Antiqua" w:hAnsi="Book Antiqua"/>
          <w:sz w:val="24"/>
          <w:szCs w:val="24"/>
        </w:rPr>
        <w:t xml:space="preserve"> </w:t>
      </w:r>
      <w:r w:rsidRPr="00D01B10">
        <w:rPr>
          <w:rFonts w:ascii="Book Antiqua" w:hAnsi="Book Antiqua"/>
          <w:sz w:val="24"/>
          <w:szCs w:val="24"/>
        </w:rPr>
        <w:t xml:space="preserve">and </w:t>
      </w:r>
      <w:r w:rsidR="00703FC9" w:rsidRPr="00D01B10">
        <w:rPr>
          <w:rFonts w:ascii="Book Antiqua" w:hAnsi="Book Antiqua"/>
          <w:sz w:val="24"/>
          <w:szCs w:val="24"/>
          <w:shd w:val="clear" w:color="auto" w:fill="FFFFFF"/>
        </w:rPr>
        <w:t>total bilirubin</w:t>
      </w:r>
      <w:r w:rsidR="00703FC9" w:rsidRPr="00D01B10">
        <w:rPr>
          <w:rFonts w:ascii="Book Antiqua" w:hAnsi="Book Antiqua"/>
          <w:sz w:val="24"/>
          <w:szCs w:val="24"/>
        </w:rPr>
        <w:t xml:space="preserve"> </w:t>
      </w:r>
      <w:r w:rsidRPr="00D01B10">
        <w:rPr>
          <w:rFonts w:ascii="Book Antiqua" w:hAnsi="Book Antiqua"/>
          <w:sz w:val="24"/>
          <w:szCs w:val="24"/>
        </w:rPr>
        <w:t>levels showed no significant differences between the two groups (</w:t>
      </w:r>
      <w:r w:rsidRPr="00D01B10">
        <w:rPr>
          <w:rFonts w:ascii="Book Antiqua" w:hAnsi="Book Antiqua"/>
          <w:i/>
          <w:iCs/>
          <w:sz w:val="24"/>
          <w:szCs w:val="24"/>
        </w:rPr>
        <w:t>P</w:t>
      </w:r>
      <w:r w:rsidR="0005511F" w:rsidRPr="00D01B10">
        <w:rPr>
          <w:rFonts w:ascii="Book Antiqua" w:hAnsi="Book Antiqua"/>
          <w:i/>
          <w:iCs/>
          <w:sz w:val="24"/>
          <w:szCs w:val="24"/>
        </w:rPr>
        <w:t xml:space="preserve"> </w:t>
      </w:r>
      <w:r w:rsidRPr="00D01B10">
        <w:rPr>
          <w:rFonts w:ascii="Book Antiqua" w:hAnsi="Book Antiqua"/>
          <w:sz w:val="24"/>
          <w:szCs w:val="24"/>
        </w:rPr>
        <w:t>&gt;</w:t>
      </w:r>
      <w:r w:rsidR="0005511F" w:rsidRPr="00D01B10">
        <w:rPr>
          <w:rFonts w:ascii="Book Antiqua" w:hAnsi="Book Antiqua"/>
          <w:sz w:val="24"/>
          <w:szCs w:val="24"/>
        </w:rPr>
        <w:t xml:space="preserve"> </w:t>
      </w:r>
      <w:r w:rsidRPr="00D01B10">
        <w:rPr>
          <w:rFonts w:ascii="Book Antiqua" w:hAnsi="Book Antiqua"/>
          <w:sz w:val="24"/>
          <w:szCs w:val="24"/>
        </w:rPr>
        <w:t xml:space="preserve">0.05). However, the serum GGT and ALP levels were significantly </w:t>
      </w:r>
      <w:r w:rsidRPr="00D01B10">
        <w:rPr>
          <w:rFonts w:ascii="Book Antiqua" w:hAnsi="Book Antiqua"/>
          <w:sz w:val="24"/>
          <w:szCs w:val="24"/>
        </w:rPr>
        <w:lastRenderedPageBreak/>
        <w:t>higher in the observation group than in the control group (</w:t>
      </w:r>
      <w:r w:rsidRPr="00D01B10">
        <w:rPr>
          <w:rFonts w:ascii="Book Antiqua" w:hAnsi="Book Antiqua"/>
          <w:i/>
          <w:iCs/>
          <w:sz w:val="24"/>
          <w:szCs w:val="24"/>
        </w:rPr>
        <w:t>P</w:t>
      </w:r>
      <w:r w:rsidR="00A2462A" w:rsidRPr="00D01B10">
        <w:rPr>
          <w:rFonts w:ascii="Book Antiqua" w:hAnsi="Book Antiqua"/>
          <w:i/>
          <w:iCs/>
          <w:sz w:val="24"/>
          <w:szCs w:val="24"/>
        </w:rPr>
        <w:t xml:space="preserve"> </w:t>
      </w:r>
      <w:r w:rsidRPr="00D01B10">
        <w:rPr>
          <w:rFonts w:ascii="Book Antiqua" w:hAnsi="Book Antiqua"/>
          <w:sz w:val="24"/>
          <w:szCs w:val="24"/>
        </w:rPr>
        <w:t>&lt;</w:t>
      </w:r>
      <w:r w:rsidR="00A2462A" w:rsidRPr="00D01B10">
        <w:rPr>
          <w:rFonts w:ascii="Book Antiqua" w:hAnsi="Book Antiqua"/>
          <w:sz w:val="24"/>
          <w:szCs w:val="24"/>
        </w:rPr>
        <w:t xml:space="preserve"> </w:t>
      </w:r>
      <w:r w:rsidRPr="00D01B10">
        <w:rPr>
          <w:rFonts w:ascii="Book Antiqua" w:hAnsi="Book Antiqua"/>
          <w:sz w:val="24"/>
          <w:szCs w:val="24"/>
        </w:rPr>
        <w:t>0.05). The ROC curve analysis showed that the area</w:t>
      </w:r>
      <w:r w:rsidR="00A2462A" w:rsidRPr="00D01B10">
        <w:rPr>
          <w:rFonts w:ascii="Book Antiqua" w:hAnsi="Book Antiqua"/>
          <w:sz w:val="24"/>
          <w:szCs w:val="24"/>
        </w:rPr>
        <w:t xml:space="preserve"> under the curve </w:t>
      </w:r>
      <w:r w:rsidR="00481482">
        <w:rPr>
          <w:rFonts w:ascii="Book Antiqua" w:hAnsi="Book Antiqua"/>
          <w:sz w:val="24"/>
          <w:szCs w:val="24"/>
        </w:rPr>
        <w:t>was</w:t>
      </w:r>
      <w:r w:rsidR="00481482" w:rsidRPr="00D01B10">
        <w:rPr>
          <w:rFonts w:ascii="Book Antiqua" w:hAnsi="Book Antiqua"/>
          <w:sz w:val="24"/>
          <w:szCs w:val="24"/>
        </w:rPr>
        <w:t xml:space="preserve"> </w:t>
      </w:r>
      <w:r w:rsidR="00A2462A" w:rsidRPr="00D01B10">
        <w:rPr>
          <w:rFonts w:ascii="Book Antiqua" w:hAnsi="Book Antiqua"/>
          <w:sz w:val="24"/>
          <w:szCs w:val="24"/>
        </w:rPr>
        <w:t>0.881 (</w:t>
      </w:r>
      <w:r w:rsidR="007125DC" w:rsidRPr="00D01B10">
        <w:rPr>
          <w:rFonts w:ascii="Book Antiqua" w:hAnsi="Book Antiqua"/>
          <w:sz w:val="24"/>
          <w:szCs w:val="24"/>
        </w:rPr>
        <w:t>95%</w:t>
      </w:r>
      <w:r w:rsidR="00AD26DE">
        <w:rPr>
          <w:rFonts w:ascii="Book Antiqua" w:hAnsi="Book Antiqua"/>
          <w:sz w:val="24"/>
          <w:szCs w:val="24"/>
        </w:rPr>
        <w:t xml:space="preserve"> </w:t>
      </w:r>
      <w:r w:rsidR="007125DC" w:rsidRPr="00D01B10">
        <w:rPr>
          <w:rFonts w:ascii="Book Antiqua" w:hAnsi="Book Antiqua"/>
          <w:sz w:val="24"/>
          <w:szCs w:val="24"/>
        </w:rPr>
        <w:t>CI: 0.830-</w:t>
      </w:r>
      <w:r w:rsidR="00A2462A" w:rsidRPr="00D01B10">
        <w:rPr>
          <w:rFonts w:ascii="Book Antiqua" w:hAnsi="Book Antiqua"/>
          <w:sz w:val="24"/>
          <w:szCs w:val="24"/>
        </w:rPr>
        <w:t>0.932), 0.647 (95%</w:t>
      </w:r>
      <w:r w:rsidR="00AD26DE">
        <w:rPr>
          <w:rFonts w:ascii="Book Antiqua" w:hAnsi="Book Antiqua"/>
          <w:sz w:val="24"/>
          <w:szCs w:val="24"/>
        </w:rPr>
        <w:t xml:space="preserve"> </w:t>
      </w:r>
      <w:r w:rsidR="00A2462A" w:rsidRPr="00D01B10">
        <w:rPr>
          <w:rFonts w:ascii="Book Antiqua" w:hAnsi="Book Antiqua"/>
          <w:sz w:val="24"/>
          <w:szCs w:val="24"/>
        </w:rPr>
        <w:t>CI: 0.583-0.711) and 0.923 (</w:t>
      </w:r>
      <w:r w:rsidRPr="00D01B10">
        <w:rPr>
          <w:rFonts w:ascii="Book Antiqua" w:hAnsi="Book Antiqua"/>
          <w:sz w:val="24"/>
          <w:szCs w:val="24"/>
        </w:rPr>
        <w:t>0</w:t>
      </w:r>
      <w:r w:rsidR="00A2462A" w:rsidRPr="00D01B10">
        <w:rPr>
          <w:rFonts w:ascii="Book Antiqua" w:hAnsi="Book Antiqua"/>
          <w:sz w:val="24"/>
          <w:szCs w:val="24"/>
        </w:rPr>
        <w:t>.892-0.953</w:t>
      </w:r>
      <w:r w:rsidRPr="00D01B10">
        <w:rPr>
          <w:rFonts w:ascii="Book Antiqua" w:hAnsi="Book Antiqua"/>
          <w:sz w:val="24"/>
          <w:szCs w:val="24"/>
        </w:rPr>
        <w:t>) for GGT, ALP, and GGT</w:t>
      </w:r>
      <w:r w:rsidR="007125DC" w:rsidRPr="00D01B10">
        <w:rPr>
          <w:rFonts w:ascii="Book Antiqua" w:hAnsi="Book Antiqua"/>
          <w:sz w:val="24"/>
          <w:szCs w:val="24"/>
        </w:rPr>
        <w:t xml:space="preserve"> </w:t>
      </w:r>
      <w:r w:rsidRPr="00D01B10">
        <w:rPr>
          <w:rFonts w:ascii="Book Antiqua" w:hAnsi="Book Antiqua"/>
          <w:sz w:val="24"/>
          <w:szCs w:val="24"/>
        </w:rPr>
        <w:t>+</w:t>
      </w:r>
      <w:r w:rsidR="007125DC" w:rsidRPr="00D01B10">
        <w:rPr>
          <w:rFonts w:ascii="Book Antiqua" w:hAnsi="Book Antiqua"/>
          <w:sz w:val="24"/>
          <w:szCs w:val="24"/>
        </w:rPr>
        <w:t xml:space="preserve"> </w:t>
      </w:r>
      <w:r w:rsidRPr="00D01B10">
        <w:rPr>
          <w:rFonts w:ascii="Book Antiqua" w:hAnsi="Book Antiqua"/>
          <w:sz w:val="24"/>
          <w:szCs w:val="24"/>
        </w:rPr>
        <w:t>ALP, respectively. The correspond</w:t>
      </w:r>
      <w:r w:rsidR="00481482">
        <w:rPr>
          <w:rFonts w:ascii="Book Antiqua" w:hAnsi="Book Antiqua"/>
          <w:sz w:val="24"/>
          <w:szCs w:val="24"/>
        </w:rPr>
        <w:t>ing</w:t>
      </w:r>
      <w:r w:rsidRPr="00D01B10">
        <w:rPr>
          <w:rFonts w:ascii="Book Antiqua" w:hAnsi="Book Antiqua"/>
          <w:sz w:val="24"/>
          <w:szCs w:val="24"/>
        </w:rPr>
        <w:t xml:space="preserve"> cut-off value</w:t>
      </w:r>
      <w:r w:rsidR="00481482">
        <w:rPr>
          <w:rFonts w:ascii="Book Antiqua" w:hAnsi="Book Antiqua"/>
          <w:sz w:val="24"/>
          <w:szCs w:val="24"/>
        </w:rPr>
        <w:t>s</w:t>
      </w:r>
      <w:r w:rsidRPr="00D01B10">
        <w:rPr>
          <w:rFonts w:ascii="Book Antiqua" w:hAnsi="Book Antiqua"/>
          <w:sz w:val="24"/>
          <w:szCs w:val="24"/>
        </w:rPr>
        <w:t xml:space="preserve"> of GGT and ALP were 95.5 U/L and 151.5 U/L, sensitivity were 90.8% and 65.1%, and specificity were 83.6% and 59.8%, respectively. The sensitivity and specificity of GGT</w:t>
      </w:r>
      <w:r w:rsidR="00481482">
        <w:rPr>
          <w:rFonts w:ascii="Book Antiqua" w:hAnsi="Book Antiqua"/>
          <w:sz w:val="24"/>
          <w:szCs w:val="24"/>
        </w:rPr>
        <w:t xml:space="preserve"> </w:t>
      </w:r>
      <w:r w:rsidRPr="00D01B10">
        <w:rPr>
          <w:rFonts w:ascii="Book Antiqua" w:hAnsi="Book Antiqua"/>
          <w:sz w:val="24"/>
          <w:szCs w:val="24"/>
        </w:rPr>
        <w:t>+</w:t>
      </w:r>
      <w:r w:rsidR="00481482">
        <w:rPr>
          <w:rFonts w:ascii="Book Antiqua" w:hAnsi="Book Antiqua"/>
          <w:sz w:val="24"/>
          <w:szCs w:val="24"/>
        </w:rPr>
        <w:t xml:space="preserve"> </w:t>
      </w:r>
      <w:r w:rsidRPr="00D01B10">
        <w:rPr>
          <w:rFonts w:ascii="Book Antiqua" w:hAnsi="Book Antiqua"/>
          <w:sz w:val="24"/>
          <w:szCs w:val="24"/>
        </w:rPr>
        <w:t>ALP were 93.5% and 85.1%, respectively.</w:t>
      </w:r>
    </w:p>
    <w:p w:rsidR="00B645F8" w:rsidRPr="00D01B10" w:rsidRDefault="00B645F8" w:rsidP="00D01B10">
      <w:pPr>
        <w:spacing w:line="360" w:lineRule="auto"/>
        <w:rPr>
          <w:rFonts w:ascii="Book Antiqua" w:hAnsi="Book Antiqua"/>
          <w:sz w:val="24"/>
          <w:szCs w:val="24"/>
        </w:rPr>
      </w:pPr>
    </w:p>
    <w:p w:rsidR="00BA1ECC" w:rsidRPr="00D01B10" w:rsidRDefault="00BA1ECC" w:rsidP="00D01B10">
      <w:pPr>
        <w:spacing w:line="360" w:lineRule="auto"/>
        <w:rPr>
          <w:rFonts w:ascii="Book Antiqua" w:hAnsi="Book Antiqua"/>
          <w:i/>
          <w:sz w:val="24"/>
          <w:szCs w:val="24"/>
        </w:rPr>
      </w:pPr>
      <w:r w:rsidRPr="00D01B10">
        <w:rPr>
          <w:rFonts w:ascii="Book Antiqua" w:hAnsi="Book Antiqua"/>
          <w:b/>
          <w:bCs/>
          <w:i/>
          <w:sz w:val="24"/>
          <w:szCs w:val="24"/>
        </w:rPr>
        <w:t>CONCLUSION</w:t>
      </w:r>
    </w:p>
    <w:p w:rsidR="00BA1ECC" w:rsidRPr="00D01B10" w:rsidRDefault="00481482" w:rsidP="00D01B10">
      <w:pPr>
        <w:spacing w:line="360" w:lineRule="auto"/>
        <w:rPr>
          <w:rFonts w:ascii="Book Antiqua" w:hAnsi="Book Antiqua"/>
          <w:sz w:val="24"/>
          <w:szCs w:val="24"/>
        </w:rPr>
      </w:pPr>
      <w:r>
        <w:rPr>
          <w:rFonts w:ascii="Book Antiqua" w:hAnsi="Book Antiqua"/>
          <w:sz w:val="24"/>
          <w:szCs w:val="24"/>
        </w:rPr>
        <w:t>An a</w:t>
      </w:r>
      <w:r w:rsidR="00BA1ECC" w:rsidRPr="00D01B10">
        <w:rPr>
          <w:rFonts w:ascii="Book Antiqua" w:hAnsi="Book Antiqua"/>
          <w:sz w:val="24"/>
          <w:szCs w:val="24"/>
        </w:rPr>
        <w:t xml:space="preserve">bnormally elevated serum GGT level has an important value in the diagnosis of </w:t>
      </w:r>
      <w:bookmarkStart w:id="4" w:name="OLE_LINK30"/>
      <w:r w:rsidR="00BA1ECC" w:rsidRPr="00D01B10">
        <w:rPr>
          <w:rFonts w:ascii="Book Antiqua" w:hAnsi="Book Antiqua"/>
          <w:sz w:val="24"/>
          <w:szCs w:val="24"/>
        </w:rPr>
        <w:t>asymptomatic choledocholithiasis secondary to cholecystolithiasis</w:t>
      </w:r>
      <w:bookmarkEnd w:id="4"/>
      <w:r w:rsidR="00BA1ECC" w:rsidRPr="00D01B10">
        <w:rPr>
          <w:rFonts w:ascii="Book Antiqua" w:hAnsi="Book Antiqua"/>
          <w:sz w:val="24"/>
          <w:szCs w:val="24"/>
        </w:rPr>
        <w:t xml:space="preserve">. The combination of serum GGT and ALP </w:t>
      </w:r>
      <w:r w:rsidR="002339BA">
        <w:rPr>
          <w:rFonts w:ascii="Book Antiqua" w:hAnsi="Book Antiqua"/>
          <w:sz w:val="24"/>
          <w:szCs w:val="24"/>
        </w:rPr>
        <w:t>has</w:t>
      </w:r>
      <w:r w:rsidR="002339BA" w:rsidRPr="00D01B10">
        <w:rPr>
          <w:rFonts w:ascii="Book Antiqua" w:hAnsi="Book Antiqua"/>
          <w:sz w:val="24"/>
          <w:szCs w:val="24"/>
        </w:rPr>
        <w:t xml:space="preserve"> </w:t>
      </w:r>
      <w:r w:rsidR="00BA1ECC" w:rsidRPr="00D01B10">
        <w:rPr>
          <w:rFonts w:ascii="Book Antiqua" w:hAnsi="Book Antiqua"/>
          <w:sz w:val="24"/>
          <w:szCs w:val="24"/>
        </w:rPr>
        <w:t xml:space="preserve">better diagnostic performance. As a convenient, rapid and inexpensive test, it </w:t>
      </w:r>
      <w:r w:rsidR="002339BA">
        <w:rPr>
          <w:rFonts w:ascii="Book Antiqua" w:hAnsi="Book Antiqua"/>
          <w:sz w:val="24"/>
          <w:szCs w:val="24"/>
        </w:rPr>
        <w:t>should</w:t>
      </w:r>
      <w:r w:rsidR="00BA1ECC" w:rsidRPr="00D01B10">
        <w:rPr>
          <w:rFonts w:ascii="Book Antiqua" w:hAnsi="Book Antiqua"/>
          <w:sz w:val="24"/>
          <w:szCs w:val="24"/>
        </w:rPr>
        <w:t xml:space="preserve"> be applied in secondary asymptomatic choledocholithiasis</w:t>
      </w:r>
      <w:r w:rsidR="00B645F8" w:rsidRPr="00D01B10">
        <w:rPr>
          <w:rFonts w:ascii="Book Antiqua" w:hAnsi="Book Antiqua"/>
          <w:sz w:val="24"/>
          <w:szCs w:val="24"/>
        </w:rPr>
        <w:t xml:space="preserve"> routine screening.</w:t>
      </w:r>
    </w:p>
    <w:p w:rsidR="00B645F8" w:rsidRPr="00D01B10" w:rsidRDefault="00B645F8" w:rsidP="00D01B10">
      <w:pPr>
        <w:spacing w:line="360" w:lineRule="auto"/>
        <w:rPr>
          <w:rFonts w:ascii="Book Antiqua" w:hAnsi="Book Antiqua"/>
          <w:sz w:val="24"/>
          <w:szCs w:val="24"/>
        </w:rPr>
      </w:pPr>
    </w:p>
    <w:p w:rsidR="00BA1ECC" w:rsidRPr="00D01B10" w:rsidRDefault="00BA1ECC" w:rsidP="00D01B10">
      <w:pPr>
        <w:spacing w:line="360" w:lineRule="auto"/>
        <w:rPr>
          <w:rFonts w:ascii="Book Antiqua" w:hAnsi="Book Antiqua"/>
          <w:sz w:val="24"/>
          <w:szCs w:val="24"/>
        </w:rPr>
      </w:pPr>
      <w:r w:rsidRPr="00D01B10">
        <w:rPr>
          <w:rFonts w:ascii="Book Antiqua" w:hAnsi="Book Antiqua"/>
          <w:b/>
          <w:bCs/>
          <w:sz w:val="24"/>
          <w:szCs w:val="24"/>
        </w:rPr>
        <w:t xml:space="preserve">Key words: </w:t>
      </w:r>
      <w:r w:rsidR="00B645F8" w:rsidRPr="00D01B10">
        <w:rPr>
          <w:rFonts w:ascii="Book Antiqua" w:hAnsi="Book Antiqua"/>
          <w:sz w:val="24"/>
          <w:szCs w:val="24"/>
        </w:rPr>
        <w:t xml:space="preserve">Asymptomatic </w:t>
      </w:r>
      <w:r w:rsidRPr="00D01B10">
        <w:rPr>
          <w:rFonts w:ascii="Book Antiqua" w:hAnsi="Book Antiqua"/>
          <w:sz w:val="24"/>
          <w:szCs w:val="24"/>
        </w:rPr>
        <w:t xml:space="preserve">choledocholithiasis; </w:t>
      </w:r>
      <w:bookmarkStart w:id="5" w:name="OLE_LINK6"/>
      <w:r w:rsidR="00B645F8" w:rsidRPr="00D01B10">
        <w:rPr>
          <w:rFonts w:ascii="Book Antiqua" w:hAnsi="Book Antiqua"/>
          <w:sz w:val="24"/>
          <w:szCs w:val="24"/>
        </w:rPr>
        <w:t>Gamma</w:t>
      </w:r>
      <w:r w:rsidRPr="00D01B10">
        <w:rPr>
          <w:rFonts w:ascii="Book Antiqua" w:hAnsi="Book Antiqua"/>
          <w:sz w:val="24"/>
          <w:szCs w:val="24"/>
        </w:rPr>
        <w:t>-glutamyltransferase</w:t>
      </w:r>
      <w:bookmarkEnd w:id="5"/>
      <w:r w:rsidRPr="00D01B10">
        <w:rPr>
          <w:rFonts w:ascii="Book Antiqua" w:hAnsi="Book Antiqua"/>
          <w:sz w:val="24"/>
          <w:szCs w:val="24"/>
        </w:rPr>
        <w:t>;</w:t>
      </w:r>
      <w:r w:rsidR="00203376" w:rsidRPr="00D01B10">
        <w:rPr>
          <w:rFonts w:ascii="Book Antiqua" w:hAnsi="Book Antiqua"/>
          <w:sz w:val="24"/>
          <w:szCs w:val="24"/>
        </w:rPr>
        <w:t xml:space="preserve"> Cholecystolithiasis</w:t>
      </w:r>
      <w:r w:rsidRPr="00D01B10">
        <w:rPr>
          <w:rFonts w:ascii="Book Antiqua" w:hAnsi="Book Antiqua"/>
          <w:sz w:val="24"/>
          <w:szCs w:val="24"/>
        </w:rPr>
        <w:t xml:space="preserve">; </w:t>
      </w:r>
      <w:r w:rsidR="00B645F8" w:rsidRPr="00D01B10">
        <w:rPr>
          <w:rFonts w:ascii="Book Antiqua" w:hAnsi="Book Antiqua"/>
          <w:sz w:val="24"/>
          <w:szCs w:val="24"/>
        </w:rPr>
        <w:t xml:space="preserve">Alkaline </w:t>
      </w:r>
      <w:r w:rsidRPr="00D01B10">
        <w:rPr>
          <w:rFonts w:ascii="Book Antiqua" w:hAnsi="Book Antiqua"/>
          <w:sz w:val="24"/>
          <w:szCs w:val="24"/>
        </w:rPr>
        <w:t xml:space="preserve">phosphatase; </w:t>
      </w:r>
      <w:r w:rsidR="00B645F8" w:rsidRPr="00D01B10">
        <w:rPr>
          <w:rFonts w:ascii="Book Antiqua" w:hAnsi="Book Antiqua"/>
          <w:sz w:val="24"/>
          <w:szCs w:val="24"/>
        </w:rPr>
        <w:t>Diagnosis</w:t>
      </w:r>
      <w:r w:rsidRPr="00D01B10">
        <w:rPr>
          <w:rFonts w:ascii="Book Antiqua" w:hAnsi="Book Antiqua"/>
          <w:sz w:val="24"/>
          <w:szCs w:val="24"/>
        </w:rPr>
        <w:t xml:space="preserve">; </w:t>
      </w:r>
      <w:r w:rsidR="00B645F8" w:rsidRPr="00D01B10">
        <w:rPr>
          <w:rFonts w:ascii="Book Antiqua" w:hAnsi="Book Antiqua"/>
          <w:sz w:val="24"/>
          <w:szCs w:val="24"/>
        </w:rPr>
        <w:t>Screening</w:t>
      </w:r>
    </w:p>
    <w:p w:rsidR="00BA1ECC" w:rsidRPr="00D01B10" w:rsidRDefault="00BA1ECC" w:rsidP="00D01B10">
      <w:pPr>
        <w:spacing w:line="360" w:lineRule="auto"/>
        <w:rPr>
          <w:rFonts w:ascii="Book Antiqua" w:hAnsi="Book Antiqua"/>
          <w:b/>
          <w:sz w:val="24"/>
          <w:szCs w:val="24"/>
        </w:rPr>
      </w:pPr>
    </w:p>
    <w:p w:rsidR="006258A6" w:rsidRPr="00D01B10" w:rsidRDefault="006258A6" w:rsidP="00D01B10">
      <w:pPr>
        <w:spacing w:line="360" w:lineRule="auto"/>
        <w:rPr>
          <w:rFonts w:ascii="Book Antiqua" w:hAnsi="Book Antiqua" w:cs="Arial"/>
          <w:sz w:val="24"/>
          <w:szCs w:val="24"/>
        </w:rPr>
      </w:pPr>
      <w:r w:rsidRPr="00D01B10">
        <w:rPr>
          <w:rFonts w:ascii="Book Antiqua" w:hAnsi="Book Antiqua"/>
          <w:b/>
          <w:sz w:val="24"/>
          <w:szCs w:val="24"/>
        </w:rPr>
        <w:t xml:space="preserve">© </w:t>
      </w:r>
      <w:r w:rsidRPr="00D01B10">
        <w:rPr>
          <w:rFonts w:ascii="Book Antiqua" w:hAnsi="Book Antiqua" w:cs="Arial"/>
          <w:b/>
          <w:sz w:val="24"/>
          <w:szCs w:val="24"/>
        </w:rPr>
        <w:t>The Author(s) 201</w:t>
      </w:r>
      <w:r w:rsidR="003E58E1">
        <w:rPr>
          <w:rFonts w:ascii="Book Antiqua" w:hAnsi="Book Antiqua" w:cs="Arial" w:hint="eastAsia"/>
          <w:b/>
          <w:sz w:val="24"/>
          <w:szCs w:val="24"/>
        </w:rPr>
        <w:t>9</w:t>
      </w:r>
      <w:r w:rsidRPr="00D01B10">
        <w:rPr>
          <w:rFonts w:ascii="Book Antiqua" w:hAnsi="Book Antiqua" w:cs="Arial"/>
          <w:b/>
          <w:sz w:val="24"/>
          <w:szCs w:val="24"/>
        </w:rPr>
        <w:t xml:space="preserve">. </w:t>
      </w:r>
      <w:r w:rsidRPr="00D01B10">
        <w:rPr>
          <w:rFonts w:ascii="Book Antiqua" w:hAnsi="Book Antiqua" w:cs="Arial"/>
          <w:sz w:val="24"/>
          <w:szCs w:val="24"/>
        </w:rPr>
        <w:t>Published by Baishideng Publishing Group Inc. All rights reserved.</w:t>
      </w:r>
    </w:p>
    <w:p w:rsidR="006258A6" w:rsidRPr="00D01B10" w:rsidRDefault="006258A6" w:rsidP="00D01B10">
      <w:pPr>
        <w:spacing w:line="360" w:lineRule="auto"/>
        <w:rPr>
          <w:rFonts w:ascii="Book Antiqua" w:eastAsia="Arial Unicode MS" w:hAnsi="Book Antiqua" w:cs="Arial Unicode MS"/>
          <w:b/>
          <w:sz w:val="24"/>
          <w:szCs w:val="24"/>
        </w:rPr>
      </w:pPr>
    </w:p>
    <w:p w:rsidR="00BA1ECC" w:rsidRPr="00D01B10" w:rsidRDefault="000C674D" w:rsidP="00D01B10">
      <w:pPr>
        <w:spacing w:line="360" w:lineRule="auto"/>
        <w:rPr>
          <w:rFonts w:ascii="Book Antiqua" w:eastAsia="Arial Unicode MS" w:hAnsi="Book Antiqua" w:cs="Arial Unicode MS"/>
          <w:b/>
          <w:sz w:val="24"/>
          <w:szCs w:val="24"/>
        </w:rPr>
      </w:pPr>
      <w:r w:rsidRPr="00D01B10">
        <w:rPr>
          <w:rFonts w:ascii="Book Antiqua" w:eastAsia="Arial Unicode MS" w:hAnsi="Book Antiqua" w:cs="Arial Unicode MS"/>
          <w:b/>
          <w:sz w:val="24"/>
          <w:szCs w:val="24"/>
        </w:rPr>
        <w:t>Core tip</w:t>
      </w:r>
      <w:r w:rsidR="00203376" w:rsidRPr="00D01B10">
        <w:rPr>
          <w:rFonts w:ascii="Book Antiqua" w:eastAsia="Arial Unicode MS" w:hAnsi="Book Antiqua" w:cs="Arial Unicode MS"/>
          <w:b/>
          <w:sz w:val="24"/>
          <w:szCs w:val="24"/>
        </w:rPr>
        <w:t>:</w:t>
      </w:r>
      <w:r w:rsidR="00BA1ECC" w:rsidRPr="00D01B10">
        <w:rPr>
          <w:rStyle w:val="a3"/>
          <w:rFonts w:ascii="Book Antiqua" w:hAnsi="Book Antiqua"/>
          <w:sz w:val="24"/>
          <w:szCs w:val="24"/>
        </w:rPr>
        <w:t xml:space="preserve"> Secondary choledocholithiasis is a common disease in hepatobiliary surgery, and most cases </w:t>
      </w:r>
      <w:r w:rsidR="00310E8A">
        <w:rPr>
          <w:rStyle w:val="a3"/>
          <w:rFonts w:ascii="Book Antiqua" w:hAnsi="Book Antiqua"/>
          <w:sz w:val="24"/>
          <w:szCs w:val="24"/>
        </w:rPr>
        <w:t xml:space="preserve">do not </w:t>
      </w:r>
      <w:r w:rsidR="00BA1ECC" w:rsidRPr="00D01B10">
        <w:rPr>
          <w:rStyle w:val="a3"/>
          <w:rFonts w:ascii="Book Antiqua" w:hAnsi="Book Antiqua"/>
          <w:sz w:val="24"/>
          <w:szCs w:val="24"/>
        </w:rPr>
        <w:t xml:space="preserve">have symptoms. Failure of timely </w:t>
      </w:r>
      <w:r w:rsidR="005A5F59">
        <w:rPr>
          <w:rStyle w:val="a3"/>
          <w:rFonts w:ascii="Book Antiqua" w:hAnsi="Book Antiqua"/>
          <w:sz w:val="24"/>
          <w:szCs w:val="24"/>
        </w:rPr>
        <w:t>diagnosis</w:t>
      </w:r>
      <w:r w:rsidR="005A5F59" w:rsidRPr="00D01B10">
        <w:rPr>
          <w:rStyle w:val="a3"/>
          <w:rFonts w:ascii="Book Antiqua" w:hAnsi="Book Antiqua"/>
          <w:sz w:val="24"/>
          <w:szCs w:val="24"/>
        </w:rPr>
        <w:t xml:space="preserve"> </w:t>
      </w:r>
      <w:r w:rsidR="00BA1ECC" w:rsidRPr="00D01B10">
        <w:rPr>
          <w:rStyle w:val="a3"/>
          <w:rFonts w:ascii="Book Antiqua" w:hAnsi="Book Antiqua"/>
          <w:sz w:val="24"/>
          <w:szCs w:val="24"/>
        </w:rPr>
        <w:t>of choledocholithiasis lead</w:t>
      </w:r>
      <w:r w:rsidR="00163772">
        <w:rPr>
          <w:rStyle w:val="a3"/>
          <w:rFonts w:ascii="Book Antiqua" w:hAnsi="Book Antiqua"/>
          <w:sz w:val="24"/>
          <w:szCs w:val="24"/>
        </w:rPr>
        <w:t>s</w:t>
      </w:r>
      <w:r w:rsidR="00BA1ECC" w:rsidRPr="00D01B10">
        <w:rPr>
          <w:rStyle w:val="a3"/>
          <w:rFonts w:ascii="Book Antiqua" w:hAnsi="Book Antiqua"/>
          <w:sz w:val="24"/>
          <w:szCs w:val="24"/>
        </w:rPr>
        <w:t xml:space="preserve"> to an increased incidence of postoperative residual stones and related complications. In this study, a total of </w:t>
      </w:r>
      <w:bookmarkStart w:id="6" w:name="OLE_LINK44"/>
      <w:r w:rsidR="00BA1ECC" w:rsidRPr="00D01B10">
        <w:rPr>
          <w:rStyle w:val="a3"/>
          <w:rFonts w:ascii="Book Antiqua" w:hAnsi="Book Antiqua"/>
          <w:sz w:val="24"/>
          <w:szCs w:val="24"/>
        </w:rPr>
        <w:t>829 cholelithiasis</w:t>
      </w:r>
      <w:bookmarkEnd w:id="6"/>
      <w:r w:rsidR="00BA1ECC" w:rsidRPr="00D01B10">
        <w:rPr>
          <w:rStyle w:val="a3"/>
          <w:rFonts w:ascii="Book Antiqua" w:hAnsi="Book Antiqua"/>
          <w:sz w:val="24"/>
          <w:szCs w:val="24"/>
        </w:rPr>
        <w:t xml:space="preserve"> patients were included, and the results suggest that </w:t>
      </w:r>
      <w:r w:rsidR="00163772">
        <w:rPr>
          <w:rStyle w:val="a3"/>
          <w:rFonts w:ascii="Book Antiqua" w:hAnsi="Book Antiqua"/>
          <w:sz w:val="24"/>
          <w:szCs w:val="24"/>
        </w:rPr>
        <w:t xml:space="preserve">an </w:t>
      </w:r>
      <w:r w:rsidR="00BA1ECC" w:rsidRPr="00D01B10">
        <w:rPr>
          <w:rStyle w:val="a3"/>
          <w:rFonts w:ascii="Book Antiqua" w:hAnsi="Book Antiqua"/>
          <w:sz w:val="24"/>
          <w:szCs w:val="24"/>
        </w:rPr>
        <w:t xml:space="preserve">abnormally elevated serum </w:t>
      </w:r>
      <w:r w:rsidR="00203376" w:rsidRPr="00D01B10">
        <w:rPr>
          <w:rFonts w:ascii="Book Antiqua" w:hAnsi="Book Antiqua"/>
          <w:sz w:val="24"/>
          <w:szCs w:val="24"/>
        </w:rPr>
        <w:t>gamma-glutamyltransferase</w:t>
      </w:r>
      <w:r w:rsidR="00203376" w:rsidRPr="00D01B10">
        <w:rPr>
          <w:rStyle w:val="a3"/>
          <w:rFonts w:ascii="Book Antiqua" w:hAnsi="Book Antiqua"/>
          <w:sz w:val="24"/>
          <w:szCs w:val="24"/>
        </w:rPr>
        <w:t xml:space="preserve"> </w:t>
      </w:r>
      <w:r w:rsidR="00BA1ECC" w:rsidRPr="00D01B10">
        <w:rPr>
          <w:rStyle w:val="a3"/>
          <w:rFonts w:ascii="Book Antiqua" w:hAnsi="Book Antiqua"/>
          <w:sz w:val="24"/>
          <w:szCs w:val="24"/>
        </w:rPr>
        <w:t xml:space="preserve">level has an important value in the diagnosis of asymptomatic choledocholithiasis secondary to cholecystolithiasis. As a convenient, rapid and inexpensive test, </w:t>
      </w:r>
      <w:r w:rsidR="00163772" w:rsidRPr="00D01B10">
        <w:rPr>
          <w:rStyle w:val="a3"/>
          <w:rFonts w:ascii="Book Antiqua" w:hAnsi="Book Antiqua"/>
          <w:sz w:val="24"/>
          <w:szCs w:val="24"/>
        </w:rPr>
        <w:t xml:space="preserve">serum </w:t>
      </w:r>
      <w:r w:rsidR="00163772" w:rsidRPr="00D01B10">
        <w:rPr>
          <w:rFonts w:ascii="Book Antiqua" w:hAnsi="Book Antiqua"/>
          <w:sz w:val="24"/>
          <w:szCs w:val="24"/>
        </w:rPr>
        <w:lastRenderedPageBreak/>
        <w:t>gamma-glutamyltransferase</w:t>
      </w:r>
      <w:r w:rsidR="00163772" w:rsidRPr="00D01B10">
        <w:rPr>
          <w:rStyle w:val="a3"/>
          <w:rFonts w:ascii="Book Antiqua" w:hAnsi="Book Antiqua"/>
          <w:sz w:val="24"/>
          <w:szCs w:val="24"/>
        </w:rPr>
        <w:t xml:space="preserve"> level</w:t>
      </w:r>
      <w:r w:rsidR="00163772">
        <w:rPr>
          <w:rStyle w:val="a3"/>
          <w:rFonts w:ascii="Book Antiqua" w:hAnsi="Book Antiqua"/>
          <w:sz w:val="24"/>
          <w:szCs w:val="24"/>
        </w:rPr>
        <w:t>s should be tested</w:t>
      </w:r>
      <w:r w:rsidR="00163772" w:rsidRPr="00D01B10">
        <w:rPr>
          <w:rStyle w:val="a3"/>
          <w:rFonts w:ascii="Book Antiqua" w:hAnsi="Book Antiqua"/>
          <w:sz w:val="24"/>
          <w:szCs w:val="24"/>
        </w:rPr>
        <w:t xml:space="preserve"> </w:t>
      </w:r>
      <w:r w:rsidR="00BA1ECC" w:rsidRPr="00D01B10">
        <w:rPr>
          <w:rStyle w:val="a3"/>
          <w:rFonts w:ascii="Book Antiqua" w:hAnsi="Book Antiqua"/>
          <w:sz w:val="24"/>
          <w:szCs w:val="24"/>
        </w:rPr>
        <w:t>in secondary asymptomatic choledocholithiasis routine screening.</w:t>
      </w:r>
    </w:p>
    <w:p w:rsidR="00203376" w:rsidRPr="00D01B10" w:rsidRDefault="00203376" w:rsidP="00D01B10">
      <w:pPr>
        <w:spacing w:line="360" w:lineRule="auto"/>
        <w:rPr>
          <w:rFonts w:ascii="Book Antiqua" w:hAnsi="Book Antiqua"/>
          <w:i/>
          <w:iCs/>
          <w:color w:val="000000"/>
          <w:sz w:val="24"/>
          <w:szCs w:val="24"/>
        </w:rPr>
      </w:pPr>
    </w:p>
    <w:p w:rsidR="003E58E1" w:rsidRPr="003E58E1" w:rsidRDefault="003E58E1" w:rsidP="003E58E1">
      <w:pPr>
        <w:spacing w:line="360" w:lineRule="auto"/>
        <w:rPr>
          <w:rFonts w:ascii="Book Antiqua" w:hAnsi="Book Antiqua"/>
          <w:iCs/>
          <w:color w:val="000000"/>
          <w:sz w:val="24"/>
          <w:szCs w:val="24"/>
        </w:rPr>
      </w:pPr>
      <w:r w:rsidRPr="003E58E1">
        <w:rPr>
          <w:rFonts w:ascii="Book Antiqua" w:hAnsi="Book Antiqua"/>
          <w:b/>
          <w:sz w:val="24"/>
          <w:szCs w:val="24"/>
        </w:rPr>
        <w:t>Citation:</w:t>
      </w:r>
      <w:r w:rsidRPr="003E58E1">
        <w:rPr>
          <w:rFonts w:ascii="Book Antiqua" w:hAnsi="Book Antiqua" w:hint="eastAsia"/>
          <w:b/>
          <w:sz w:val="24"/>
          <w:szCs w:val="24"/>
        </w:rPr>
        <w:t xml:space="preserve"> </w:t>
      </w:r>
      <w:r w:rsidR="00362BF8" w:rsidRPr="00D01B10">
        <w:rPr>
          <w:rFonts w:ascii="Book Antiqua" w:hAnsi="Book Antiqua"/>
          <w:sz w:val="24"/>
          <w:szCs w:val="24"/>
        </w:rPr>
        <w:t>Mei</w:t>
      </w:r>
      <w:r w:rsidR="00F16AE4" w:rsidRPr="00D01B10">
        <w:rPr>
          <w:rFonts w:ascii="Book Antiqua" w:hAnsi="Book Antiqua"/>
          <w:sz w:val="24"/>
          <w:szCs w:val="24"/>
        </w:rPr>
        <w:t xml:space="preserve"> Y</w:t>
      </w:r>
      <w:r w:rsidR="00362BF8" w:rsidRPr="00D01B10">
        <w:rPr>
          <w:rFonts w:ascii="Book Antiqua" w:hAnsi="Book Antiqua"/>
          <w:sz w:val="24"/>
          <w:szCs w:val="24"/>
        </w:rPr>
        <w:t>, Chen</w:t>
      </w:r>
      <w:r w:rsidR="00F16AE4" w:rsidRPr="00D01B10">
        <w:rPr>
          <w:rFonts w:ascii="Book Antiqua" w:hAnsi="Book Antiqua"/>
          <w:sz w:val="24"/>
          <w:szCs w:val="24"/>
        </w:rPr>
        <w:t xml:space="preserve"> L</w:t>
      </w:r>
      <w:r w:rsidR="00362BF8" w:rsidRPr="00D01B10">
        <w:rPr>
          <w:rFonts w:ascii="Book Antiqua" w:hAnsi="Book Antiqua"/>
          <w:sz w:val="24"/>
          <w:szCs w:val="24"/>
        </w:rPr>
        <w:t>, Zeng</w:t>
      </w:r>
      <w:r w:rsidR="00F16AE4" w:rsidRPr="00D01B10">
        <w:rPr>
          <w:rFonts w:ascii="Book Antiqua" w:hAnsi="Book Antiqua"/>
          <w:sz w:val="24"/>
          <w:szCs w:val="24"/>
        </w:rPr>
        <w:t xml:space="preserve"> PF</w:t>
      </w:r>
      <w:r w:rsidR="00362BF8" w:rsidRPr="00D01B10">
        <w:rPr>
          <w:rFonts w:ascii="Book Antiqua" w:hAnsi="Book Antiqua"/>
          <w:sz w:val="24"/>
          <w:szCs w:val="24"/>
        </w:rPr>
        <w:t>, Peng</w:t>
      </w:r>
      <w:r w:rsidR="00F16AE4" w:rsidRPr="00D01B10">
        <w:rPr>
          <w:rFonts w:ascii="Book Antiqua" w:hAnsi="Book Antiqua"/>
          <w:sz w:val="24"/>
          <w:szCs w:val="24"/>
        </w:rPr>
        <w:t xml:space="preserve"> CJ</w:t>
      </w:r>
      <w:r w:rsidR="00362BF8" w:rsidRPr="00D01B10">
        <w:rPr>
          <w:rFonts w:ascii="Book Antiqua" w:hAnsi="Book Antiqua"/>
          <w:sz w:val="24"/>
          <w:szCs w:val="24"/>
        </w:rPr>
        <w:t>, Wang</w:t>
      </w:r>
      <w:r w:rsidR="00F16AE4" w:rsidRPr="00D01B10">
        <w:rPr>
          <w:rFonts w:ascii="Book Antiqua" w:hAnsi="Book Antiqua"/>
          <w:sz w:val="24"/>
          <w:szCs w:val="24"/>
        </w:rPr>
        <w:t xml:space="preserve"> J</w:t>
      </w:r>
      <w:r w:rsidR="00362BF8" w:rsidRPr="00D01B10">
        <w:rPr>
          <w:rFonts w:ascii="Book Antiqua" w:hAnsi="Book Antiqua"/>
          <w:sz w:val="24"/>
          <w:szCs w:val="24"/>
        </w:rPr>
        <w:t>, Li</w:t>
      </w:r>
      <w:r w:rsidR="00F16AE4" w:rsidRPr="00D01B10">
        <w:rPr>
          <w:rFonts w:ascii="Book Antiqua" w:hAnsi="Book Antiqua"/>
          <w:sz w:val="24"/>
          <w:szCs w:val="24"/>
        </w:rPr>
        <w:t xml:space="preserve"> WP</w:t>
      </w:r>
      <w:r w:rsidR="00362BF8" w:rsidRPr="00D01B10">
        <w:rPr>
          <w:rFonts w:ascii="Book Antiqua" w:hAnsi="Book Antiqua"/>
          <w:sz w:val="24"/>
          <w:szCs w:val="24"/>
        </w:rPr>
        <w:t>, Du</w:t>
      </w:r>
      <w:r w:rsidR="00F16AE4" w:rsidRPr="00D01B10">
        <w:rPr>
          <w:rFonts w:ascii="Book Antiqua" w:hAnsi="Book Antiqua"/>
          <w:sz w:val="24"/>
          <w:szCs w:val="24"/>
        </w:rPr>
        <w:t xml:space="preserve"> C</w:t>
      </w:r>
      <w:r w:rsidR="00362BF8" w:rsidRPr="00D01B10">
        <w:rPr>
          <w:rFonts w:ascii="Book Antiqua" w:hAnsi="Book Antiqua"/>
          <w:sz w:val="24"/>
          <w:szCs w:val="24"/>
        </w:rPr>
        <w:t>, Xiong</w:t>
      </w:r>
      <w:r w:rsidR="00F16AE4" w:rsidRPr="00D01B10">
        <w:rPr>
          <w:rFonts w:ascii="Book Antiqua" w:hAnsi="Book Antiqua"/>
          <w:sz w:val="24"/>
          <w:szCs w:val="24"/>
        </w:rPr>
        <w:t xml:space="preserve"> K</w:t>
      </w:r>
      <w:r w:rsidR="00362BF8" w:rsidRPr="00D01B10">
        <w:rPr>
          <w:rFonts w:ascii="Book Antiqua" w:hAnsi="Book Antiqua"/>
          <w:sz w:val="24"/>
          <w:szCs w:val="24"/>
        </w:rPr>
        <w:t>, Leng</w:t>
      </w:r>
      <w:r w:rsidR="00F16AE4" w:rsidRPr="00D01B10">
        <w:rPr>
          <w:rFonts w:ascii="Book Antiqua" w:hAnsi="Book Antiqua"/>
          <w:sz w:val="24"/>
          <w:szCs w:val="24"/>
        </w:rPr>
        <w:t xml:space="preserve"> K</w:t>
      </w:r>
      <w:r w:rsidR="00362BF8" w:rsidRPr="00D01B10">
        <w:rPr>
          <w:rFonts w:ascii="Book Antiqua" w:hAnsi="Book Antiqua"/>
          <w:sz w:val="24"/>
          <w:szCs w:val="24"/>
        </w:rPr>
        <w:t>, Feng</w:t>
      </w:r>
      <w:r w:rsidR="00F16AE4" w:rsidRPr="00D01B10">
        <w:rPr>
          <w:rFonts w:ascii="Book Antiqua" w:hAnsi="Book Antiqua"/>
          <w:sz w:val="24"/>
          <w:szCs w:val="24"/>
        </w:rPr>
        <w:t xml:space="preserve"> CL</w:t>
      </w:r>
      <w:r w:rsidR="00362BF8" w:rsidRPr="00D01B10">
        <w:rPr>
          <w:rFonts w:ascii="Book Antiqua" w:hAnsi="Book Antiqua"/>
          <w:sz w:val="24"/>
          <w:szCs w:val="24"/>
        </w:rPr>
        <w:t>, Jia</w:t>
      </w:r>
      <w:r w:rsidR="00F16AE4" w:rsidRPr="00D01B10">
        <w:rPr>
          <w:rFonts w:ascii="Book Antiqua" w:hAnsi="Book Antiqua"/>
          <w:sz w:val="24"/>
          <w:szCs w:val="24"/>
        </w:rPr>
        <w:t xml:space="preserve"> JH</w:t>
      </w:r>
      <w:r w:rsidR="00362BF8" w:rsidRPr="00D01B10">
        <w:rPr>
          <w:rFonts w:ascii="Book Antiqua" w:hAnsi="Book Antiqua"/>
          <w:sz w:val="24"/>
          <w:szCs w:val="24"/>
        </w:rPr>
        <w:t xml:space="preserve">. Combination of serum </w:t>
      </w:r>
      <w:r w:rsidR="000802C7">
        <w:rPr>
          <w:rFonts w:ascii="Book Antiqua" w:hAnsi="Book Antiqua"/>
          <w:sz w:val="24"/>
          <w:szCs w:val="24"/>
        </w:rPr>
        <w:t>gamma-glutamyltransferase</w:t>
      </w:r>
      <w:r w:rsidR="000802C7" w:rsidRPr="00D01B10">
        <w:rPr>
          <w:rFonts w:ascii="Book Antiqua" w:hAnsi="Book Antiqua"/>
          <w:sz w:val="24"/>
          <w:szCs w:val="24"/>
        </w:rPr>
        <w:t xml:space="preserve"> </w:t>
      </w:r>
      <w:r w:rsidR="00362BF8" w:rsidRPr="00D01B10">
        <w:rPr>
          <w:rFonts w:ascii="Book Antiqua" w:hAnsi="Book Antiqua"/>
          <w:sz w:val="24"/>
          <w:szCs w:val="24"/>
        </w:rPr>
        <w:t xml:space="preserve">and </w:t>
      </w:r>
      <w:r w:rsidR="000802C7">
        <w:rPr>
          <w:rFonts w:ascii="Book Antiqua" w:hAnsi="Book Antiqua"/>
          <w:sz w:val="24"/>
          <w:szCs w:val="24"/>
        </w:rPr>
        <w:t>alkaline phosphatase</w:t>
      </w:r>
      <w:r w:rsidR="000802C7" w:rsidRPr="00D01B10">
        <w:rPr>
          <w:rFonts w:ascii="Book Antiqua" w:hAnsi="Book Antiqua"/>
          <w:sz w:val="24"/>
          <w:szCs w:val="24"/>
        </w:rPr>
        <w:t xml:space="preserve"> </w:t>
      </w:r>
      <w:r w:rsidR="00362BF8" w:rsidRPr="00D01B10">
        <w:rPr>
          <w:rFonts w:ascii="Book Antiqua" w:hAnsi="Book Antiqua"/>
          <w:sz w:val="24"/>
          <w:szCs w:val="24"/>
        </w:rPr>
        <w:t xml:space="preserve">in predicting the diagnosis of asymptomatic choledocholithiasis secondary to cholecystolithiasis. </w:t>
      </w:r>
      <w:r w:rsidR="006F7067" w:rsidRPr="00D01B10">
        <w:rPr>
          <w:rFonts w:ascii="Book Antiqua" w:hAnsi="Book Antiqua"/>
          <w:i/>
          <w:iCs/>
          <w:color w:val="000000"/>
          <w:sz w:val="24"/>
          <w:szCs w:val="24"/>
        </w:rPr>
        <w:t xml:space="preserve">World J Clin Cases </w:t>
      </w:r>
      <w:r w:rsidRPr="003E58E1">
        <w:rPr>
          <w:rFonts w:ascii="Book Antiqua" w:hAnsi="Book Antiqua"/>
          <w:iCs/>
          <w:color w:val="000000"/>
          <w:sz w:val="24"/>
          <w:szCs w:val="24"/>
        </w:rPr>
        <w:t xml:space="preserve">2019; 7(2): </w:t>
      </w:r>
      <w:r>
        <w:rPr>
          <w:rFonts w:ascii="Book Antiqua" w:hAnsi="Book Antiqua" w:hint="eastAsia"/>
          <w:iCs/>
          <w:color w:val="000000"/>
          <w:sz w:val="24"/>
          <w:szCs w:val="24"/>
        </w:rPr>
        <w:t>137-144</w:t>
      </w:r>
    </w:p>
    <w:p w:rsidR="003E58E1" w:rsidRPr="003E58E1" w:rsidRDefault="003E58E1" w:rsidP="003E58E1">
      <w:pPr>
        <w:spacing w:line="360" w:lineRule="auto"/>
        <w:rPr>
          <w:rFonts w:ascii="Book Antiqua" w:hAnsi="Book Antiqua"/>
          <w:iCs/>
          <w:color w:val="000000"/>
          <w:sz w:val="24"/>
          <w:szCs w:val="24"/>
        </w:rPr>
      </w:pPr>
      <w:r w:rsidRPr="003E58E1">
        <w:rPr>
          <w:rFonts w:ascii="Book Antiqua" w:hAnsi="Book Antiqua"/>
          <w:b/>
          <w:iCs/>
          <w:color w:val="000000"/>
          <w:sz w:val="24"/>
          <w:szCs w:val="24"/>
        </w:rPr>
        <w:t>URL:</w:t>
      </w:r>
      <w:r w:rsidRPr="003E58E1">
        <w:rPr>
          <w:rFonts w:ascii="Book Antiqua" w:hAnsi="Book Antiqua"/>
          <w:iCs/>
          <w:color w:val="000000"/>
          <w:sz w:val="24"/>
          <w:szCs w:val="24"/>
        </w:rPr>
        <w:t xml:space="preserve"> https://www.wjgnet.com/2307-8960/full/v7/i2/</w:t>
      </w:r>
      <w:r>
        <w:rPr>
          <w:rFonts w:ascii="Book Antiqua" w:hAnsi="Book Antiqua" w:hint="eastAsia"/>
          <w:iCs/>
          <w:color w:val="000000"/>
          <w:sz w:val="24"/>
          <w:szCs w:val="24"/>
        </w:rPr>
        <w:t>137</w:t>
      </w:r>
      <w:r w:rsidRPr="003E58E1">
        <w:rPr>
          <w:rFonts w:ascii="Book Antiqua" w:hAnsi="Book Antiqua"/>
          <w:iCs/>
          <w:color w:val="000000"/>
          <w:sz w:val="24"/>
          <w:szCs w:val="24"/>
        </w:rPr>
        <w:t>.htm</w:t>
      </w:r>
    </w:p>
    <w:p w:rsidR="006F7067" w:rsidRPr="00D01B10" w:rsidRDefault="003E58E1" w:rsidP="003E58E1">
      <w:pPr>
        <w:spacing w:line="360" w:lineRule="auto"/>
        <w:rPr>
          <w:rFonts w:ascii="Book Antiqua" w:hAnsi="Book Antiqua"/>
          <w:sz w:val="24"/>
          <w:szCs w:val="24"/>
        </w:rPr>
      </w:pPr>
      <w:r w:rsidRPr="003E58E1">
        <w:rPr>
          <w:rFonts w:ascii="Book Antiqua" w:hAnsi="Book Antiqua"/>
          <w:b/>
          <w:iCs/>
          <w:color w:val="000000"/>
          <w:sz w:val="24"/>
          <w:szCs w:val="24"/>
        </w:rPr>
        <w:t>DOI:</w:t>
      </w:r>
      <w:r w:rsidRPr="003E58E1">
        <w:rPr>
          <w:rFonts w:ascii="Book Antiqua" w:hAnsi="Book Antiqua"/>
          <w:iCs/>
          <w:color w:val="000000"/>
          <w:sz w:val="24"/>
          <w:szCs w:val="24"/>
        </w:rPr>
        <w:t xml:space="preserve"> https://dx.doi.org/10.12998/wjcc.v7.i2.</w:t>
      </w:r>
      <w:r>
        <w:rPr>
          <w:rFonts w:ascii="Book Antiqua" w:hAnsi="Book Antiqua" w:hint="eastAsia"/>
          <w:iCs/>
          <w:color w:val="000000"/>
          <w:sz w:val="24"/>
          <w:szCs w:val="24"/>
        </w:rPr>
        <w:t>137</w:t>
      </w:r>
      <w:bookmarkStart w:id="7" w:name="_GoBack"/>
      <w:bookmarkEnd w:id="7"/>
    </w:p>
    <w:p w:rsidR="006054FB" w:rsidRPr="00D01B10" w:rsidRDefault="006054FB" w:rsidP="00D01B10">
      <w:pPr>
        <w:autoSpaceDE w:val="0"/>
        <w:autoSpaceDN w:val="0"/>
        <w:adjustRightInd w:val="0"/>
        <w:spacing w:line="360" w:lineRule="auto"/>
        <w:rPr>
          <w:rFonts w:ascii="Book Antiqua" w:hAnsi="Book Antiqua" w:cs="Arial"/>
          <w:b/>
          <w:bCs/>
          <w:color w:val="000000"/>
          <w:sz w:val="24"/>
          <w:szCs w:val="24"/>
          <w:lang w:val="en-GB"/>
        </w:rPr>
      </w:pPr>
      <w:r w:rsidRPr="00D01B10">
        <w:rPr>
          <w:rFonts w:ascii="Book Antiqua" w:hAnsi="Book Antiqua"/>
          <w:iCs/>
          <w:color w:val="000000"/>
          <w:sz w:val="24"/>
          <w:szCs w:val="24"/>
        </w:rPr>
        <w:br w:type="page"/>
      </w:r>
      <w:r w:rsidRPr="00D01B10">
        <w:rPr>
          <w:rFonts w:ascii="Book Antiqua" w:hAnsi="Book Antiqua" w:cs="Arial"/>
          <w:b/>
          <w:bCs/>
          <w:color w:val="000000"/>
          <w:sz w:val="24"/>
          <w:szCs w:val="24"/>
          <w:lang w:val="en-GB"/>
        </w:rPr>
        <w:lastRenderedPageBreak/>
        <w:t>INTRODUCTION</w:t>
      </w:r>
    </w:p>
    <w:p w:rsidR="00BA1ECC" w:rsidRPr="00D01B10" w:rsidRDefault="00BA1ECC" w:rsidP="00D01B10">
      <w:pPr>
        <w:spacing w:line="360" w:lineRule="auto"/>
        <w:rPr>
          <w:rFonts w:ascii="Book Antiqua" w:hAnsi="Book Antiqua"/>
          <w:sz w:val="24"/>
          <w:szCs w:val="24"/>
        </w:rPr>
      </w:pPr>
      <w:r w:rsidRPr="00D01B10">
        <w:rPr>
          <w:rFonts w:ascii="Book Antiqua" w:hAnsi="Book Antiqua"/>
          <w:sz w:val="24"/>
          <w:szCs w:val="24"/>
        </w:rPr>
        <w:t xml:space="preserve">Cholelithiasis is a commonly seen disease in </w:t>
      </w:r>
      <w:r w:rsidR="001F1A96" w:rsidRPr="00D01B10">
        <w:rPr>
          <w:rFonts w:ascii="Book Antiqua" w:hAnsi="Book Antiqua"/>
          <w:sz w:val="24"/>
          <w:szCs w:val="24"/>
        </w:rPr>
        <w:t xml:space="preserve">hepatobiliary surgery </w:t>
      </w:r>
      <w:r w:rsidRPr="00D01B10">
        <w:rPr>
          <w:rFonts w:ascii="Book Antiqua" w:hAnsi="Book Antiqua"/>
          <w:sz w:val="24"/>
          <w:szCs w:val="24"/>
        </w:rPr>
        <w:t xml:space="preserve">departments in China, especially cholecystolithiasis. With improvements in laparoscopic instruments and techniques over the past 30 years, laparoscopy has become the optimal choice of treatment for extrahepatic </w:t>
      </w:r>
      <w:bookmarkStart w:id="8" w:name="OLE_LINK2"/>
      <w:r w:rsidRPr="00D01B10">
        <w:rPr>
          <w:rFonts w:ascii="Book Antiqua" w:hAnsi="Book Antiqua"/>
          <w:sz w:val="24"/>
          <w:szCs w:val="24"/>
        </w:rPr>
        <w:t>cholecystolithiasis</w:t>
      </w:r>
      <w:bookmarkEnd w:id="8"/>
      <w:r w:rsidR="00102CFC">
        <w:rPr>
          <w:rFonts w:ascii="Book Antiqua" w:hAnsi="Book Antiqua"/>
          <w:sz w:val="24"/>
          <w:szCs w:val="24"/>
          <w:vertAlign w:val="superscript"/>
        </w:rPr>
        <w:t>[1</w:t>
      </w:r>
      <w:r w:rsidR="00102CFC">
        <w:rPr>
          <w:rFonts w:ascii="Book Antiqua" w:hAnsi="Book Antiqua" w:hint="eastAsia"/>
          <w:sz w:val="24"/>
          <w:szCs w:val="24"/>
          <w:vertAlign w:val="superscript"/>
        </w:rPr>
        <w:t>,</w:t>
      </w:r>
      <w:r w:rsidRPr="00D01B10">
        <w:rPr>
          <w:rFonts w:ascii="Book Antiqua" w:hAnsi="Book Antiqua"/>
          <w:sz w:val="24"/>
          <w:szCs w:val="24"/>
          <w:vertAlign w:val="superscript"/>
        </w:rPr>
        <w:t>2]</w:t>
      </w:r>
      <w:r w:rsidRPr="00D01B10">
        <w:rPr>
          <w:rFonts w:ascii="Book Antiqua" w:hAnsi="Book Antiqua"/>
          <w:sz w:val="24"/>
          <w:szCs w:val="24"/>
        </w:rPr>
        <w:t xml:space="preserve">. Laparoscopic cholecystectomy </w:t>
      </w:r>
      <w:r w:rsidR="00C96BDE" w:rsidRPr="00D01B10">
        <w:rPr>
          <w:rFonts w:ascii="Book Antiqua" w:hAnsi="Book Antiqua"/>
          <w:sz w:val="24"/>
          <w:szCs w:val="24"/>
        </w:rPr>
        <w:t>(LC</w:t>
      </w:r>
      <w:r w:rsidRPr="00D01B10">
        <w:rPr>
          <w:rFonts w:ascii="Book Antiqua" w:hAnsi="Book Antiqua"/>
          <w:sz w:val="24"/>
          <w:szCs w:val="24"/>
        </w:rPr>
        <w:t xml:space="preserve">) has almost </w:t>
      </w:r>
      <w:r w:rsidR="008724C8">
        <w:rPr>
          <w:rFonts w:ascii="Book Antiqua" w:hAnsi="Book Antiqua"/>
          <w:sz w:val="24"/>
          <w:szCs w:val="24"/>
        </w:rPr>
        <w:t xml:space="preserve">completely </w:t>
      </w:r>
      <w:r w:rsidRPr="00D01B10">
        <w:rPr>
          <w:rFonts w:ascii="Book Antiqua" w:hAnsi="Book Antiqua"/>
          <w:sz w:val="24"/>
          <w:szCs w:val="24"/>
        </w:rPr>
        <w:t xml:space="preserve">replaced traditional open cholecystectomy as the best surgical treatment for gallstones. In </w:t>
      </w:r>
      <w:r w:rsidR="008724C8" w:rsidRPr="00D01B10">
        <w:rPr>
          <w:rFonts w:ascii="Book Antiqua" w:hAnsi="Book Antiqua"/>
          <w:sz w:val="24"/>
          <w:szCs w:val="24"/>
        </w:rPr>
        <w:t xml:space="preserve">cholecystolithiasis </w:t>
      </w:r>
      <w:r w:rsidRPr="00D01B10">
        <w:rPr>
          <w:rFonts w:ascii="Book Antiqua" w:hAnsi="Book Antiqua"/>
          <w:sz w:val="24"/>
          <w:szCs w:val="24"/>
        </w:rPr>
        <w:t xml:space="preserve">patients treated </w:t>
      </w:r>
      <w:r w:rsidR="008724C8">
        <w:rPr>
          <w:rFonts w:ascii="Book Antiqua" w:hAnsi="Book Antiqua"/>
          <w:sz w:val="24"/>
          <w:szCs w:val="24"/>
        </w:rPr>
        <w:t>with</w:t>
      </w:r>
      <w:r w:rsidR="008724C8" w:rsidRPr="00D01B10">
        <w:rPr>
          <w:rFonts w:ascii="Book Antiqua" w:hAnsi="Book Antiqua"/>
          <w:sz w:val="24"/>
          <w:szCs w:val="24"/>
        </w:rPr>
        <w:t xml:space="preserve"> </w:t>
      </w:r>
      <w:r w:rsidRPr="00D01B10">
        <w:rPr>
          <w:rFonts w:ascii="Book Antiqua" w:hAnsi="Book Antiqua"/>
          <w:sz w:val="24"/>
          <w:szCs w:val="24"/>
        </w:rPr>
        <w:t>surgery, the incidence of secondary choledocholithiasis is up to 10</w:t>
      </w:r>
      <w:r w:rsidR="00C96BDE" w:rsidRPr="00D01B10">
        <w:rPr>
          <w:rFonts w:ascii="Book Antiqua" w:hAnsi="Book Antiqua"/>
          <w:sz w:val="24"/>
          <w:szCs w:val="24"/>
        </w:rPr>
        <w:t>%</w:t>
      </w:r>
      <w:r w:rsidRPr="00D01B10">
        <w:rPr>
          <w:rFonts w:ascii="Book Antiqua" w:hAnsi="Book Antiqua"/>
          <w:sz w:val="24"/>
          <w:szCs w:val="24"/>
        </w:rPr>
        <w:t>–15%</w:t>
      </w:r>
      <w:r w:rsidR="00102CFC">
        <w:rPr>
          <w:rFonts w:ascii="Book Antiqua" w:hAnsi="Book Antiqua"/>
          <w:sz w:val="24"/>
          <w:szCs w:val="24"/>
          <w:vertAlign w:val="superscript"/>
        </w:rPr>
        <w:t>[3</w:t>
      </w:r>
      <w:r w:rsidR="00102CFC">
        <w:rPr>
          <w:rFonts w:ascii="Book Antiqua" w:hAnsi="Book Antiqua" w:hint="eastAsia"/>
          <w:sz w:val="24"/>
          <w:szCs w:val="24"/>
          <w:vertAlign w:val="superscript"/>
        </w:rPr>
        <w:t>,</w:t>
      </w:r>
      <w:r w:rsidRPr="00D01B10">
        <w:rPr>
          <w:rFonts w:ascii="Book Antiqua" w:hAnsi="Book Antiqua"/>
          <w:sz w:val="24"/>
          <w:szCs w:val="24"/>
          <w:vertAlign w:val="superscript"/>
        </w:rPr>
        <w:t>4]</w:t>
      </w:r>
      <w:r w:rsidRPr="00D01B10">
        <w:rPr>
          <w:rFonts w:ascii="Book Antiqua" w:hAnsi="Book Antiqua"/>
          <w:sz w:val="24"/>
          <w:szCs w:val="24"/>
        </w:rPr>
        <w:t xml:space="preserve">. The surgical approaches used for cholecystolithiasis with secondary </w:t>
      </w:r>
      <w:bookmarkStart w:id="9" w:name="OLE_LINK1"/>
      <w:r w:rsidRPr="00D01B10">
        <w:rPr>
          <w:rFonts w:ascii="Book Antiqua" w:hAnsi="Book Antiqua"/>
          <w:sz w:val="24"/>
          <w:szCs w:val="24"/>
        </w:rPr>
        <w:t>choledocholithiasis</w:t>
      </w:r>
      <w:bookmarkEnd w:id="9"/>
      <w:r w:rsidRPr="00D01B10">
        <w:rPr>
          <w:rFonts w:ascii="Book Antiqua" w:hAnsi="Book Antiqua"/>
          <w:sz w:val="24"/>
          <w:szCs w:val="24"/>
        </w:rPr>
        <w:t xml:space="preserve"> include laparotomy, laparoscopic common bile duct exploration and endoscopic retrograde cholangiopancreatography</w:t>
      </w:r>
      <w:r w:rsidR="00CD0A19" w:rsidRPr="00D01B10">
        <w:rPr>
          <w:rFonts w:ascii="Book Antiqua" w:hAnsi="Book Antiqua"/>
          <w:sz w:val="24"/>
          <w:szCs w:val="24"/>
        </w:rPr>
        <w:t xml:space="preserve"> (ERCP</w:t>
      </w:r>
      <w:r w:rsidRPr="00D01B10">
        <w:rPr>
          <w:rFonts w:ascii="Book Antiqua" w:hAnsi="Book Antiqua"/>
          <w:sz w:val="24"/>
          <w:szCs w:val="24"/>
        </w:rPr>
        <w:t xml:space="preserve">). With the advent of minimally invasive surgery and accelerated rehabilitation surgery, minimally invasive surgery procedures </w:t>
      </w:r>
      <w:bookmarkStart w:id="10" w:name="OLE_LINK36"/>
      <w:r w:rsidR="00406791">
        <w:rPr>
          <w:rFonts w:ascii="Book Antiqua" w:hAnsi="Book Antiqua"/>
          <w:sz w:val="24"/>
          <w:szCs w:val="24"/>
        </w:rPr>
        <w:t>such as</w:t>
      </w:r>
      <w:r w:rsidRPr="00D01B10">
        <w:rPr>
          <w:rFonts w:ascii="Book Antiqua" w:hAnsi="Book Antiqua"/>
          <w:sz w:val="24"/>
          <w:szCs w:val="24"/>
        </w:rPr>
        <w:t xml:space="preserve"> endoscopic procedures </w:t>
      </w:r>
      <w:bookmarkEnd w:id="10"/>
      <w:r w:rsidRPr="00D01B10">
        <w:rPr>
          <w:rFonts w:ascii="Book Antiqua" w:hAnsi="Book Antiqua"/>
          <w:sz w:val="24"/>
          <w:szCs w:val="24"/>
        </w:rPr>
        <w:t>have become the main methods for treat</w:t>
      </w:r>
      <w:r w:rsidR="00406791">
        <w:rPr>
          <w:rFonts w:ascii="Book Antiqua" w:hAnsi="Book Antiqua"/>
          <w:sz w:val="24"/>
          <w:szCs w:val="24"/>
        </w:rPr>
        <w:t>ing</w:t>
      </w:r>
      <w:r w:rsidRPr="00D01B10">
        <w:rPr>
          <w:rFonts w:ascii="Book Antiqua" w:hAnsi="Book Antiqua"/>
          <w:sz w:val="24"/>
          <w:szCs w:val="24"/>
        </w:rPr>
        <w:t xml:space="preserve"> extrahepatic biliary calculi</w:t>
      </w:r>
      <w:r w:rsidR="00733F29">
        <w:rPr>
          <w:rFonts w:ascii="Book Antiqua" w:hAnsi="Book Antiqua"/>
          <w:sz w:val="24"/>
          <w:szCs w:val="24"/>
          <w:vertAlign w:val="superscript"/>
        </w:rPr>
        <w:t>[5</w:t>
      </w:r>
      <w:r w:rsidR="00733F29">
        <w:rPr>
          <w:rFonts w:ascii="Book Antiqua" w:hAnsi="Book Antiqua" w:hint="eastAsia"/>
          <w:sz w:val="24"/>
          <w:szCs w:val="24"/>
          <w:vertAlign w:val="superscript"/>
        </w:rPr>
        <w:t>,</w:t>
      </w:r>
      <w:r w:rsidRPr="00D01B10">
        <w:rPr>
          <w:rFonts w:ascii="Book Antiqua" w:hAnsi="Book Antiqua"/>
          <w:sz w:val="24"/>
          <w:szCs w:val="24"/>
          <w:vertAlign w:val="superscript"/>
        </w:rPr>
        <w:t>6]</w:t>
      </w:r>
      <w:r w:rsidRPr="00D01B10">
        <w:rPr>
          <w:rFonts w:ascii="Book Antiqua" w:hAnsi="Book Antiqua"/>
          <w:sz w:val="24"/>
          <w:szCs w:val="24"/>
        </w:rPr>
        <w:t>. However, the</w:t>
      </w:r>
      <w:r w:rsidR="00406791">
        <w:rPr>
          <w:rFonts w:ascii="Book Antiqua" w:hAnsi="Book Antiqua"/>
          <w:sz w:val="24"/>
          <w:szCs w:val="24"/>
        </w:rPr>
        <w:t>se</w:t>
      </w:r>
      <w:r w:rsidRPr="00D01B10">
        <w:rPr>
          <w:rFonts w:ascii="Book Antiqua" w:hAnsi="Book Antiqua"/>
          <w:sz w:val="24"/>
          <w:szCs w:val="24"/>
        </w:rPr>
        <w:t xml:space="preserve"> two minimally invasive procedures have advantages and disadvantages, </w:t>
      </w:r>
      <w:r w:rsidR="00406791">
        <w:rPr>
          <w:rFonts w:ascii="Book Antiqua" w:hAnsi="Book Antiqua"/>
          <w:sz w:val="24"/>
          <w:szCs w:val="24"/>
        </w:rPr>
        <w:t xml:space="preserve">and </w:t>
      </w:r>
      <w:r w:rsidRPr="00D01B10">
        <w:rPr>
          <w:rFonts w:ascii="Book Antiqua" w:hAnsi="Book Antiqua"/>
          <w:sz w:val="24"/>
          <w:szCs w:val="24"/>
        </w:rPr>
        <w:t xml:space="preserve">neither </w:t>
      </w:r>
      <w:r w:rsidR="00406791">
        <w:rPr>
          <w:rFonts w:ascii="Book Antiqua" w:hAnsi="Book Antiqua"/>
          <w:sz w:val="24"/>
          <w:szCs w:val="24"/>
        </w:rPr>
        <w:t>are currently the</w:t>
      </w:r>
      <w:r w:rsidRPr="00D01B10">
        <w:rPr>
          <w:rFonts w:ascii="Book Antiqua" w:hAnsi="Book Antiqua"/>
          <w:sz w:val="24"/>
          <w:szCs w:val="24"/>
        </w:rPr>
        <w:t xml:space="preserve"> gold standard.</w:t>
      </w:r>
    </w:p>
    <w:p w:rsidR="00BA1ECC" w:rsidRPr="00D01B10" w:rsidRDefault="00BA1ECC" w:rsidP="00D01B10">
      <w:pPr>
        <w:spacing w:line="360" w:lineRule="auto"/>
        <w:ind w:firstLineChars="100" w:firstLine="240"/>
        <w:rPr>
          <w:rFonts w:ascii="Book Antiqua" w:hAnsi="Book Antiqua"/>
          <w:sz w:val="24"/>
          <w:szCs w:val="24"/>
        </w:rPr>
      </w:pPr>
      <w:r w:rsidRPr="00D01B10">
        <w:rPr>
          <w:rFonts w:ascii="Book Antiqua" w:hAnsi="Book Antiqua"/>
          <w:sz w:val="24"/>
          <w:szCs w:val="24"/>
        </w:rPr>
        <w:t xml:space="preserve">Stones can cause obstruction in the common bile duct. The patient can have abdominal pain, fever, jaundice and other manifestations, and choledochal dilatation can be seen by abdominal B-ultrasound </w:t>
      </w:r>
      <w:r w:rsidR="00AA5BA3">
        <w:rPr>
          <w:rFonts w:ascii="Book Antiqua" w:hAnsi="Book Antiqua"/>
          <w:sz w:val="24"/>
          <w:szCs w:val="24"/>
        </w:rPr>
        <w:t>in</w:t>
      </w:r>
      <w:r w:rsidR="00AA5BA3" w:rsidRPr="00D01B10">
        <w:rPr>
          <w:rFonts w:ascii="Book Antiqua" w:hAnsi="Book Antiqua"/>
          <w:sz w:val="24"/>
          <w:szCs w:val="24"/>
        </w:rPr>
        <w:t xml:space="preserve"> </w:t>
      </w:r>
      <w:r w:rsidRPr="00D01B10">
        <w:rPr>
          <w:rFonts w:ascii="Book Antiqua" w:hAnsi="Book Antiqua"/>
          <w:sz w:val="24"/>
          <w:szCs w:val="24"/>
        </w:rPr>
        <w:t>symptomatic choledocholithiasis, which is eas</w:t>
      </w:r>
      <w:r w:rsidR="00AA5BA3">
        <w:rPr>
          <w:rFonts w:ascii="Book Antiqua" w:hAnsi="Book Antiqua"/>
          <w:sz w:val="24"/>
          <w:szCs w:val="24"/>
        </w:rPr>
        <w:t>il</w:t>
      </w:r>
      <w:r w:rsidRPr="00D01B10">
        <w:rPr>
          <w:rFonts w:ascii="Book Antiqua" w:hAnsi="Book Antiqua"/>
          <w:sz w:val="24"/>
          <w:szCs w:val="24"/>
        </w:rPr>
        <w:t>y diagnose</w:t>
      </w:r>
      <w:r w:rsidR="00AA5BA3">
        <w:rPr>
          <w:rFonts w:ascii="Book Antiqua" w:hAnsi="Book Antiqua"/>
          <w:sz w:val="24"/>
          <w:szCs w:val="24"/>
        </w:rPr>
        <w:t>d</w:t>
      </w:r>
      <w:r w:rsidRPr="00D01B10">
        <w:rPr>
          <w:rFonts w:ascii="Book Antiqua" w:hAnsi="Book Antiqua"/>
          <w:sz w:val="24"/>
          <w:szCs w:val="24"/>
        </w:rPr>
        <w:t xml:space="preserve">. In contrast, most cases of secondary choledocholithiasis </w:t>
      </w:r>
      <w:r w:rsidR="00AA5BA3">
        <w:rPr>
          <w:rFonts w:ascii="Book Antiqua" w:hAnsi="Book Antiqua"/>
          <w:sz w:val="24"/>
          <w:szCs w:val="24"/>
        </w:rPr>
        <w:t xml:space="preserve">do not </w:t>
      </w:r>
      <w:r w:rsidRPr="00D01B10">
        <w:rPr>
          <w:rFonts w:ascii="Book Antiqua" w:hAnsi="Book Antiqua"/>
          <w:sz w:val="24"/>
          <w:szCs w:val="24"/>
        </w:rPr>
        <w:t>have symptoms</w:t>
      </w:r>
      <w:r w:rsidRPr="00D01B10">
        <w:rPr>
          <w:rFonts w:ascii="Book Antiqua" w:hAnsi="Book Antiqua"/>
          <w:sz w:val="24"/>
          <w:szCs w:val="24"/>
          <w:vertAlign w:val="superscript"/>
        </w:rPr>
        <w:t>[7]</w:t>
      </w:r>
      <w:r w:rsidRPr="00D01B10">
        <w:rPr>
          <w:rFonts w:ascii="Book Antiqua" w:hAnsi="Book Antiqua"/>
          <w:sz w:val="24"/>
          <w:szCs w:val="24"/>
        </w:rPr>
        <w:t xml:space="preserve"> and are often missed in diagnosis. On one hand, this may lead to </w:t>
      </w:r>
      <w:r w:rsidR="00AA5BA3">
        <w:rPr>
          <w:rFonts w:ascii="Book Antiqua" w:hAnsi="Book Antiqua"/>
          <w:sz w:val="24"/>
          <w:szCs w:val="24"/>
        </w:rPr>
        <w:t xml:space="preserve">the </w:t>
      </w:r>
      <w:r w:rsidRPr="00D01B10">
        <w:rPr>
          <w:rFonts w:ascii="Book Antiqua" w:hAnsi="Book Antiqua"/>
          <w:sz w:val="24"/>
          <w:szCs w:val="24"/>
        </w:rPr>
        <w:t>persistent presence of common bile duct stones and related complications. O</w:t>
      </w:r>
      <w:bookmarkStart w:id="11" w:name="OLE_LINK17"/>
      <w:r w:rsidRPr="00D01B10">
        <w:rPr>
          <w:rFonts w:ascii="Book Antiqua" w:hAnsi="Book Antiqua"/>
          <w:sz w:val="24"/>
          <w:szCs w:val="24"/>
        </w:rPr>
        <w:t xml:space="preserve">n the other hand, it may lead to an increased incidence of postoperative residual stones and related </w:t>
      </w:r>
      <w:r w:rsidR="000160E4">
        <w:rPr>
          <w:rFonts w:ascii="Book Antiqua" w:hAnsi="Book Antiqua"/>
          <w:sz w:val="24"/>
          <w:szCs w:val="24"/>
        </w:rPr>
        <w:t xml:space="preserve">life-threatening </w:t>
      </w:r>
      <w:r w:rsidRPr="00D01B10">
        <w:rPr>
          <w:rFonts w:ascii="Book Antiqua" w:hAnsi="Book Antiqua"/>
          <w:sz w:val="24"/>
          <w:szCs w:val="24"/>
        </w:rPr>
        <w:t>complications, exacerbating the pain and economic burden for patients after LC.</w:t>
      </w:r>
      <w:bookmarkEnd w:id="11"/>
      <w:r w:rsidRPr="00D01B10">
        <w:rPr>
          <w:rFonts w:ascii="Book Antiqua" w:hAnsi="Book Antiqua"/>
          <w:sz w:val="24"/>
          <w:szCs w:val="24"/>
        </w:rPr>
        <w:t xml:space="preserve"> Therefore, </w:t>
      </w:r>
      <w:r w:rsidR="000160E4">
        <w:rPr>
          <w:rFonts w:ascii="Book Antiqua" w:hAnsi="Book Antiqua"/>
          <w:sz w:val="24"/>
          <w:szCs w:val="24"/>
        </w:rPr>
        <w:t xml:space="preserve">an important issue has become </w:t>
      </w:r>
      <w:r w:rsidRPr="00D01B10">
        <w:rPr>
          <w:rFonts w:ascii="Book Antiqua" w:hAnsi="Book Antiqua"/>
          <w:sz w:val="24"/>
          <w:szCs w:val="24"/>
        </w:rPr>
        <w:t xml:space="preserve">how to </w:t>
      </w:r>
      <w:r w:rsidR="000160E4">
        <w:rPr>
          <w:rFonts w:ascii="Book Antiqua" w:hAnsi="Book Antiqua"/>
          <w:sz w:val="24"/>
          <w:szCs w:val="24"/>
        </w:rPr>
        <w:t xml:space="preserve">easily and efficiently </w:t>
      </w:r>
      <w:r w:rsidRPr="00D01B10">
        <w:rPr>
          <w:rFonts w:ascii="Book Antiqua" w:hAnsi="Book Antiqua"/>
          <w:sz w:val="24"/>
          <w:szCs w:val="24"/>
        </w:rPr>
        <w:t xml:space="preserve">identify secondary asymptomatic choledocholithiasis in patients with common cholecystolithiasis. </w:t>
      </w:r>
      <w:bookmarkStart w:id="12" w:name="OLE_LINK39"/>
      <w:r w:rsidR="00271B52" w:rsidRPr="00D01B10">
        <w:rPr>
          <w:rFonts w:ascii="Book Antiqua" w:hAnsi="Book Antiqua"/>
          <w:sz w:val="24"/>
          <w:szCs w:val="24"/>
        </w:rPr>
        <w:t>Gamma-glutamyltransferase (</w:t>
      </w:r>
      <w:r w:rsidRPr="00D01B10">
        <w:rPr>
          <w:rFonts w:ascii="Book Antiqua" w:hAnsi="Book Antiqua"/>
          <w:sz w:val="24"/>
          <w:szCs w:val="24"/>
        </w:rPr>
        <w:t>GGT</w:t>
      </w:r>
      <w:r w:rsidR="00271B52" w:rsidRPr="00D01B10">
        <w:rPr>
          <w:rFonts w:ascii="Book Antiqua" w:hAnsi="Book Antiqua"/>
          <w:sz w:val="24"/>
          <w:szCs w:val="24"/>
        </w:rPr>
        <w:t>)</w:t>
      </w:r>
      <w:r w:rsidRPr="00D01B10">
        <w:rPr>
          <w:rFonts w:ascii="Book Antiqua" w:hAnsi="Book Antiqua"/>
          <w:sz w:val="24"/>
          <w:szCs w:val="24"/>
        </w:rPr>
        <w:t xml:space="preserve"> is one of the most commonly requested laboratory tests and is a key </w:t>
      </w:r>
      <w:r w:rsidR="00356767">
        <w:rPr>
          <w:rFonts w:ascii="Book Antiqua" w:hAnsi="Book Antiqua"/>
          <w:sz w:val="24"/>
          <w:szCs w:val="24"/>
        </w:rPr>
        <w:lastRenderedPageBreak/>
        <w:t xml:space="preserve">test used </w:t>
      </w:r>
      <w:r w:rsidRPr="00D01B10">
        <w:rPr>
          <w:rFonts w:ascii="Book Antiqua" w:hAnsi="Book Antiqua"/>
          <w:sz w:val="24"/>
          <w:szCs w:val="24"/>
        </w:rPr>
        <w:t>for the laboratory evaluation of liver damage</w:t>
      </w:r>
      <w:bookmarkEnd w:id="12"/>
      <w:r w:rsidRPr="00D01B10">
        <w:rPr>
          <w:rFonts w:ascii="Book Antiqua" w:hAnsi="Book Antiqua"/>
          <w:sz w:val="24"/>
          <w:szCs w:val="24"/>
        </w:rPr>
        <w:t xml:space="preserve">. Serum GGT is mainly derived from the liver and is produced by hepatocyte mitochondria, excreted by the biliary tract, and </w:t>
      </w:r>
      <w:r w:rsidR="00356767">
        <w:rPr>
          <w:rFonts w:ascii="Book Antiqua" w:hAnsi="Book Antiqua"/>
          <w:sz w:val="24"/>
          <w:szCs w:val="24"/>
        </w:rPr>
        <w:t xml:space="preserve">primarily </w:t>
      </w:r>
      <w:r w:rsidRPr="00D01B10">
        <w:rPr>
          <w:rFonts w:ascii="Book Antiqua" w:hAnsi="Book Antiqua"/>
          <w:sz w:val="24"/>
          <w:szCs w:val="24"/>
        </w:rPr>
        <w:t>distributed in</w:t>
      </w:r>
      <w:r w:rsidR="00356767">
        <w:rPr>
          <w:rFonts w:ascii="Book Antiqua" w:hAnsi="Book Antiqua"/>
          <w:sz w:val="24"/>
          <w:szCs w:val="24"/>
        </w:rPr>
        <w:t xml:space="preserve"> the</w:t>
      </w:r>
      <w:r w:rsidRPr="00D01B10">
        <w:rPr>
          <w:rFonts w:ascii="Book Antiqua" w:hAnsi="Book Antiqua"/>
          <w:sz w:val="24"/>
          <w:szCs w:val="24"/>
        </w:rPr>
        <w:t xml:space="preserve"> liver cytoplasm and intrahepatic bile duct epithelium</w:t>
      </w:r>
      <w:r w:rsidRPr="00D01B10">
        <w:rPr>
          <w:rFonts w:ascii="Book Antiqua" w:hAnsi="Book Antiqua"/>
          <w:sz w:val="24"/>
          <w:szCs w:val="24"/>
          <w:vertAlign w:val="superscript"/>
        </w:rPr>
        <w:t>[8]</w:t>
      </w:r>
      <w:r w:rsidRPr="00D01B10">
        <w:rPr>
          <w:rFonts w:ascii="Book Antiqua" w:hAnsi="Book Antiqua"/>
          <w:sz w:val="24"/>
          <w:szCs w:val="24"/>
        </w:rPr>
        <w:t xml:space="preserve">. Through a long-term clinical observation of patients with secondary asymptomatic choledocholithiasis, we found that most patients had abnormal </w:t>
      </w:r>
      <w:bookmarkStart w:id="13" w:name="OLE_LINK24"/>
      <w:r w:rsidRPr="00D01B10">
        <w:rPr>
          <w:rFonts w:ascii="Book Antiqua" w:hAnsi="Book Antiqua"/>
          <w:sz w:val="24"/>
          <w:szCs w:val="24"/>
        </w:rPr>
        <w:t>serum GGT level</w:t>
      </w:r>
      <w:bookmarkEnd w:id="13"/>
      <w:r w:rsidR="00356767">
        <w:rPr>
          <w:rFonts w:ascii="Book Antiqua" w:hAnsi="Book Antiqua"/>
          <w:sz w:val="24"/>
          <w:szCs w:val="24"/>
        </w:rPr>
        <w:t>s</w:t>
      </w:r>
      <w:r w:rsidRPr="00D01B10">
        <w:rPr>
          <w:rFonts w:ascii="Book Antiqua" w:hAnsi="Book Antiqua"/>
          <w:sz w:val="24"/>
          <w:szCs w:val="24"/>
        </w:rPr>
        <w:t xml:space="preserve">. This study retrospectively analyzed the clinical data of patients with gallstone surgery in our hospital </w:t>
      </w:r>
      <w:r w:rsidR="00356767">
        <w:rPr>
          <w:rFonts w:ascii="Book Antiqua" w:hAnsi="Book Antiqua"/>
          <w:sz w:val="24"/>
          <w:szCs w:val="24"/>
        </w:rPr>
        <w:t>over</w:t>
      </w:r>
      <w:r w:rsidR="00356767" w:rsidRPr="00D01B10">
        <w:rPr>
          <w:rFonts w:ascii="Book Antiqua" w:hAnsi="Book Antiqua"/>
          <w:sz w:val="24"/>
          <w:szCs w:val="24"/>
        </w:rPr>
        <w:t xml:space="preserve"> </w:t>
      </w:r>
      <w:r w:rsidRPr="00D01B10">
        <w:rPr>
          <w:rFonts w:ascii="Book Antiqua" w:hAnsi="Book Antiqua"/>
          <w:sz w:val="24"/>
          <w:szCs w:val="24"/>
        </w:rPr>
        <w:t>the past three years and explored the diagnostic value of abnormal serum GGT level</w:t>
      </w:r>
      <w:r w:rsidR="00356767">
        <w:rPr>
          <w:rFonts w:ascii="Book Antiqua" w:hAnsi="Book Antiqua"/>
          <w:sz w:val="24"/>
          <w:szCs w:val="24"/>
        </w:rPr>
        <w:t>s</w:t>
      </w:r>
      <w:r w:rsidRPr="00D01B10">
        <w:rPr>
          <w:rFonts w:ascii="Book Antiqua" w:hAnsi="Book Antiqua"/>
          <w:sz w:val="24"/>
          <w:szCs w:val="24"/>
        </w:rPr>
        <w:t xml:space="preserve"> for secondary asymptomatic choledocholithiasis.</w:t>
      </w:r>
    </w:p>
    <w:p w:rsidR="00B5212B" w:rsidRPr="00D01B10" w:rsidRDefault="00B5212B" w:rsidP="00D01B10">
      <w:pPr>
        <w:spacing w:line="360" w:lineRule="auto"/>
        <w:ind w:firstLineChars="100" w:firstLine="240"/>
        <w:rPr>
          <w:rFonts w:ascii="Book Antiqua" w:hAnsi="Book Antiqua"/>
          <w:sz w:val="24"/>
          <w:szCs w:val="24"/>
        </w:rPr>
      </w:pPr>
    </w:p>
    <w:p w:rsidR="008D5E37" w:rsidRPr="00D01B10" w:rsidRDefault="008D5E37" w:rsidP="00D01B10">
      <w:pPr>
        <w:spacing w:line="360" w:lineRule="auto"/>
        <w:rPr>
          <w:rFonts w:ascii="Book Antiqua" w:hAnsi="Book Antiqua" w:cs="Arial"/>
          <w:b/>
          <w:bCs/>
          <w:color w:val="000000"/>
          <w:sz w:val="24"/>
          <w:szCs w:val="24"/>
          <w:lang w:val="en-GB"/>
        </w:rPr>
      </w:pPr>
      <w:r w:rsidRPr="00D01B10">
        <w:rPr>
          <w:rFonts w:ascii="Book Antiqua" w:hAnsi="Book Antiqua" w:cs="Arial"/>
          <w:b/>
          <w:bCs/>
          <w:color w:val="000000"/>
          <w:sz w:val="24"/>
          <w:szCs w:val="24"/>
          <w:lang w:val="en-GB"/>
        </w:rPr>
        <w:t>MATERIAL AND METHODS</w:t>
      </w:r>
    </w:p>
    <w:p w:rsidR="00BA1ECC" w:rsidRPr="00D01B10" w:rsidRDefault="00BA1ECC" w:rsidP="00D01B10">
      <w:pPr>
        <w:spacing w:line="360" w:lineRule="auto"/>
        <w:rPr>
          <w:rFonts w:ascii="Book Antiqua" w:hAnsi="Book Antiqua"/>
          <w:b/>
          <w:i/>
          <w:sz w:val="24"/>
          <w:szCs w:val="24"/>
        </w:rPr>
      </w:pPr>
      <w:r w:rsidRPr="00D01B10">
        <w:rPr>
          <w:rFonts w:ascii="Book Antiqua" w:hAnsi="Book Antiqua"/>
          <w:b/>
          <w:i/>
          <w:sz w:val="24"/>
          <w:szCs w:val="24"/>
        </w:rPr>
        <w:t>General data</w:t>
      </w:r>
    </w:p>
    <w:p w:rsidR="00BA1ECC" w:rsidRPr="00D01B10" w:rsidRDefault="00BA1ECC" w:rsidP="00D01B10">
      <w:pPr>
        <w:spacing w:line="360" w:lineRule="auto"/>
        <w:rPr>
          <w:rFonts w:ascii="Book Antiqua" w:hAnsi="Book Antiqua"/>
          <w:sz w:val="24"/>
          <w:szCs w:val="24"/>
        </w:rPr>
      </w:pPr>
      <w:r w:rsidRPr="00D01B10">
        <w:rPr>
          <w:rFonts w:ascii="Book Antiqua" w:hAnsi="Book Antiqua"/>
          <w:sz w:val="24"/>
          <w:szCs w:val="24"/>
        </w:rPr>
        <w:t>We collected the clinical data of 829 cases of surgically treated cholecystolithiasis in our hospital from August 2014 to August 2017. A retrospective cohort study was conducted in an observation group (</w:t>
      </w:r>
      <w:bookmarkStart w:id="14" w:name="OLE_LINK11"/>
      <w:r w:rsidRPr="00D01B10">
        <w:rPr>
          <w:rFonts w:ascii="Book Antiqua" w:hAnsi="Book Antiqua"/>
          <w:sz w:val="24"/>
          <w:szCs w:val="24"/>
        </w:rPr>
        <w:t xml:space="preserve">patients with cholecystolithiasis complicated with </w:t>
      </w:r>
      <w:bookmarkStart w:id="15" w:name="OLE_LINK38"/>
      <w:r w:rsidRPr="00D01B10">
        <w:rPr>
          <w:rFonts w:ascii="Book Antiqua" w:hAnsi="Book Antiqua"/>
          <w:sz w:val="24"/>
          <w:szCs w:val="24"/>
        </w:rPr>
        <w:t>secondary asymptomatic choledocholithiasis</w:t>
      </w:r>
      <w:bookmarkEnd w:id="14"/>
      <w:bookmarkEnd w:id="15"/>
      <w:r w:rsidRPr="00D01B10">
        <w:rPr>
          <w:rFonts w:ascii="Book Antiqua" w:hAnsi="Book Antiqua"/>
          <w:sz w:val="24"/>
          <w:szCs w:val="24"/>
        </w:rPr>
        <w:t xml:space="preserve">) and a control group (patients </w:t>
      </w:r>
      <w:bookmarkStart w:id="16" w:name="OLE_LINK8"/>
      <w:r w:rsidRPr="00D01B10">
        <w:rPr>
          <w:rFonts w:ascii="Book Antiqua" w:hAnsi="Book Antiqua"/>
          <w:sz w:val="24"/>
          <w:szCs w:val="24"/>
        </w:rPr>
        <w:t xml:space="preserve">with cholecystolithiasis </w:t>
      </w:r>
      <w:bookmarkEnd w:id="16"/>
      <w:r w:rsidRPr="00D01B10">
        <w:rPr>
          <w:rFonts w:ascii="Book Antiqua" w:hAnsi="Book Antiqua"/>
          <w:sz w:val="24"/>
          <w:szCs w:val="24"/>
        </w:rPr>
        <w:t xml:space="preserve">alone). There were 151 patients </w:t>
      </w:r>
      <w:bookmarkStart w:id="17" w:name="OLE_LINK19"/>
      <w:r w:rsidRPr="00D01B10">
        <w:rPr>
          <w:rFonts w:ascii="Book Antiqua" w:hAnsi="Book Antiqua"/>
          <w:sz w:val="24"/>
          <w:szCs w:val="24"/>
        </w:rPr>
        <w:t xml:space="preserve">aged </w:t>
      </w:r>
      <w:bookmarkEnd w:id="17"/>
      <w:r w:rsidRPr="00D01B10">
        <w:rPr>
          <w:rFonts w:ascii="Book Antiqua" w:hAnsi="Book Antiqua"/>
          <w:sz w:val="24"/>
          <w:szCs w:val="24"/>
        </w:rPr>
        <w:t>50.29</w:t>
      </w:r>
      <w:r w:rsidR="001A001D" w:rsidRPr="00D01B10">
        <w:rPr>
          <w:rFonts w:ascii="Book Antiqua" w:hAnsi="Book Antiqua"/>
          <w:sz w:val="24"/>
          <w:szCs w:val="24"/>
        </w:rPr>
        <w:t xml:space="preserve"> </w:t>
      </w:r>
      <w:r w:rsidRPr="00D01B10">
        <w:rPr>
          <w:rFonts w:ascii="Book Antiqua" w:hAnsi="Book Antiqua"/>
          <w:sz w:val="24"/>
          <w:szCs w:val="24"/>
        </w:rPr>
        <w:t>±</w:t>
      </w:r>
      <w:r w:rsidR="001A001D" w:rsidRPr="00D01B10">
        <w:rPr>
          <w:rFonts w:ascii="Book Antiqua" w:hAnsi="Book Antiqua"/>
          <w:sz w:val="24"/>
          <w:szCs w:val="24"/>
        </w:rPr>
        <w:t xml:space="preserve"> </w:t>
      </w:r>
      <w:r w:rsidRPr="00D01B10">
        <w:rPr>
          <w:rFonts w:ascii="Book Antiqua" w:hAnsi="Book Antiqua"/>
          <w:sz w:val="24"/>
          <w:szCs w:val="24"/>
        </w:rPr>
        <w:t>10.07 years in the observation group, and 678 patients aged 48.57</w:t>
      </w:r>
      <w:r w:rsidR="001A001D" w:rsidRPr="00D01B10">
        <w:rPr>
          <w:rFonts w:ascii="Book Antiqua" w:hAnsi="Book Antiqua"/>
          <w:sz w:val="24"/>
          <w:szCs w:val="24"/>
        </w:rPr>
        <w:t xml:space="preserve"> </w:t>
      </w:r>
      <w:r w:rsidRPr="00D01B10">
        <w:rPr>
          <w:rFonts w:ascii="Book Antiqua" w:hAnsi="Book Antiqua"/>
          <w:sz w:val="24"/>
          <w:szCs w:val="24"/>
        </w:rPr>
        <w:t>±</w:t>
      </w:r>
      <w:r w:rsidR="001A001D" w:rsidRPr="00D01B10">
        <w:rPr>
          <w:rFonts w:ascii="Book Antiqua" w:hAnsi="Book Antiqua"/>
          <w:sz w:val="24"/>
          <w:szCs w:val="24"/>
        </w:rPr>
        <w:t xml:space="preserve"> </w:t>
      </w:r>
      <w:r w:rsidRPr="00D01B10">
        <w:rPr>
          <w:rFonts w:ascii="Book Antiqua" w:hAnsi="Book Antiqua"/>
          <w:sz w:val="24"/>
          <w:szCs w:val="24"/>
        </w:rPr>
        <w:t xml:space="preserve">10.02 years in the control group. Both </w:t>
      </w:r>
      <w:r w:rsidR="004C7B23">
        <w:rPr>
          <w:rFonts w:ascii="Book Antiqua" w:hAnsi="Book Antiqua"/>
          <w:sz w:val="24"/>
          <w:szCs w:val="24"/>
        </w:rPr>
        <w:t>patient</w:t>
      </w:r>
      <w:r w:rsidR="004C7B23" w:rsidRPr="00D01B10">
        <w:rPr>
          <w:rFonts w:ascii="Book Antiqua" w:hAnsi="Book Antiqua"/>
          <w:sz w:val="24"/>
          <w:szCs w:val="24"/>
        </w:rPr>
        <w:t xml:space="preserve"> </w:t>
      </w:r>
      <w:r w:rsidRPr="00D01B10">
        <w:rPr>
          <w:rFonts w:ascii="Book Antiqua" w:hAnsi="Book Antiqua"/>
          <w:sz w:val="24"/>
          <w:szCs w:val="24"/>
        </w:rPr>
        <w:t xml:space="preserve">group were diagnosed with cholecystolithiasis by B-mode ultrasonography before operation, </w:t>
      </w:r>
      <w:r w:rsidR="004C7B23">
        <w:rPr>
          <w:rFonts w:ascii="Book Antiqua" w:hAnsi="Book Antiqua"/>
          <w:sz w:val="24"/>
          <w:szCs w:val="24"/>
        </w:rPr>
        <w:t>which was subsequently</w:t>
      </w:r>
      <w:r w:rsidR="004C7B23" w:rsidRPr="00D01B10">
        <w:rPr>
          <w:rFonts w:ascii="Book Antiqua" w:hAnsi="Book Antiqua"/>
          <w:sz w:val="24"/>
          <w:szCs w:val="24"/>
        </w:rPr>
        <w:t xml:space="preserve"> </w:t>
      </w:r>
      <w:r w:rsidRPr="00D01B10">
        <w:rPr>
          <w:rFonts w:ascii="Book Antiqua" w:hAnsi="Book Antiqua"/>
          <w:sz w:val="24"/>
          <w:szCs w:val="24"/>
        </w:rPr>
        <w:t xml:space="preserve">confirmed by surgery. Some patients in the observation group underwent preoperative </w:t>
      </w:r>
      <w:r w:rsidRPr="00D01B10">
        <w:rPr>
          <w:rFonts w:ascii="Book Antiqua" w:hAnsi="Book Antiqua"/>
          <w:sz w:val="24"/>
          <w:szCs w:val="24"/>
          <w:shd w:val="clear" w:color="auto" w:fill="FFFFFF"/>
        </w:rPr>
        <w:t>magnetic resonance cholangiopancreatography</w:t>
      </w:r>
      <w:r w:rsidRPr="00D01B10">
        <w:rPr>
          <w:rFonts w:ascii="Book Antiqua" w:hAnsi="Book Antiqua"/>
          <w:sz w:val="24"/>
          <w:szCs w:val="24"/>
        </w:rPr>
        <w:t xml:space="preserve"> (MRCP</w:t>
      </w:r>
      <w:r w:rsidRPr="00D01B10">
        <w:rPr>
          <w:rFonts w:ascii="Book Antiqua" w:hAnsi="Book Antiqua"/>
          <w:sz w:val="24"/>
          <w:szCs w:val="24"/>
          <w:shd w:val="clear" w:color="auto" w:fill="FFFFFF"/>
        </w:rPr>
        <w:t>)</w:t>
      </w:r>
      <w:r w:rsidRPr="00D01B10">
        <w:rPr>
          <w:rFonts w:ascii="Book Antiqua" w:hAnsi="Book Antiqua"/>
          <w:sz w:val="24"/>
          <w:szCs w:val="24"/>
        </w:rPr>
        <w:t xml:space="preserve"> examination, which indicated choledocholithiasis, and all patients were diagnosed with choledocholithiasis during surgery. There were no significant differences in age, sex, comorbidity, choledochal diameter and number of stones between the two groups </w:t>
      </w:r>
      <w:bookmarkStart w:id="18" w:name="OLE_LINK26"/>
      <w:r w:rsidRPr="00D01B10">
        <w:rPr>
          <w:rFonts w:ascii="Book Antiqua" w:hAnsi="Book Antiqua"/>
          <w:sz w:val="24"/>
          <w:szCs w:val="24"/>
        </w:rPr>
        <w:t>(</w:t>
      </w:r>
      <w:r w:rsidRPr="00D01B10">
        <w:rPr>
          <w:rFonts w:ascii="Book Antiqua" w:hAnsi="Book Antiqua"/>
          <w:i/>
          <w:iCs/>
          <w:sz w:val="24"/>
          <w:szCs w:val="24"/>
        </w:rPr>
        <w:t xml:space="preserve">P </w:t>
      </w:r>
      <w:r w:rsidR="00073B5C">
        <w:rPr>
          <w:rFonts w:ascii="Book Antiqua" w:hAnsi="Book Antiqua"/>
          <w:sz w:val="24"/>
          <w:szCs w:val="24"/>
        </w:rPr>
        <w:t>&gt;</w:t>
      </w:r>
      <w:r w:rsidRPr="00D01B10">
        <w:rPr>
          <w:rFonts w:ascii="Book Antiqua" w:hAnsi="Book Antiqua"/>
          <w:sz w:val="24"/>
          <w:szCs w:val="24"/>
        </w:rPr>
        <w:t xml:space="preserve"> 0.05)</w:t>
      </w:r>
      <w:bookmarkEnd w:id="18"/>
      <w:r w:rsidRPr="00D01B10">
        <w:rPr>
          <w:rFonts w:ascii="Book Antiqua" w:hAnsi="Book Antiqua"/>
          <w:sz w:val="24"/>
          <w:szCs w:val="24"/>
        </w:rPr>
        <w:t>, and the data were comparable (Table 1).</w:t>
      </w:r>
    </w:p>
    <w:p w:rsidR="001A001D" w:rsidRPr="00D01B10" w:rsidRDefault="001A001D" w:rsidP="00D01B10">
      <w:pPr>
        <w:spacing w:line="360" w:lineRule="auto"/>
        <w:rPr>
          <w:rFonts w:ascii="Book Antiqua" w:hAnsi="Book Antiqua"/>
          <w:i/>
          <w:sz w:val="24"/>
          <w:szCs w:val="24"/>
        </w:rPr>
      </w:pPr>
    </w:p>
    <w:p w:rsidR="00BA1ECC" w:rsidRPr="00D01B10" w:rsidRDefault="00BA1ECC" w:rsidP="00D01B10">
      <w:pPr>
        <w:spacing w:line="360" w:lineRule="auto"/>
        <w:rPr>
          <w:rFonts w:ascii="Book Antiqua" w:hAnsi="Book Antiqua"/>
          <w:b/>
          <w:i/>
          <w:sz w:val="24"/>
          <w:szCs w:val="24"/>
        </w:rPr>
      </w:pPr>
      <w:r w:rsidRPr="00D01B10">
        <w:rPr>
          <w:rFonts w:ascii="Book Antiqua" w:hAnsi="Book Antiqua"/>
          <w:b/>
          <w:i/>
          <w:sz w:val="24"/>
          <w:szCs w:val="24"/>
        </w:rPr>
        <w:t>Criteria for case selection</w:t>
      </w:r>
    </w:p>
    <w:p w:rsidR="00BA1ECC" w:rsidRPr="00D01B10" w:rsidRDefault="00BA1ECC" w:rsidP="00D01B10">
      <w:pPr>
        <w:spacing w:line="360" w:lineRule="auto"/>
        <w:rPr>
          <w:rFonts w:ascii="Book Antiqua" w:hAnsi="Book Antiqua"/>
          <w:sz w:val="24"/>
          <w:szCs w:val="24"/>
        </w:rPr>
      </w:pPr>
      <w:r w:rsidRPr="00D01B10">
        <w:rPr>
          <w:rFonts w:ascii="Book Antiqua" w:hAnsi="Book Antiqua"/>
          <w:sz w:val="24"/>
          <w:szCs w:val="24"/>
        </w:rPr>
        <w:t xml:space="preserve">Inclusion criteria: adult patients; clear diagnosis by surgery; no acute </w:t>
      </w:r>
      <w:r w:rsidRPr="00D01B10">
        <w:rPr>
          <w:rFonts w:ascii="Book Antiqua" w:hAnsi="Book Antiqua"/>
          <w:sz w:val="24"/>
          <w:szCs w:val="24"/>
        </w:rPr>
        <w:lastRenderedPageBreak/>
        <w:t>suppurative cholecystitis and cholangitis; and no manifestation of obstructive jaundice. Exclusion criteria: complicated with liver or biliary malignancies, acute or chronic hepatitis, primary choledocholithiasis or intrahepatic cholangiolithiasis; presence of Mirrizi syndrome; complicated with alcohol intoxication drug induced liver disease; and complicated with ischemic heart diseases.</w:t>
      </w:r>
    </w:p>
    <w:p w:rsidR="001A001D" w:rsidRPr="00D01B10" w:rsidRDefault="001A001D" w:rsidP="00D01B10">
      <w:pPr>
        <w:spacing w:line="360" w:lineRule="auto"/>
        <w:rPr>
          <w:rFonts w:ascii="Book Antiqua" w:hAnsi="Book Antiqua"/>
          <w:sz w:val="24"/>
          <w:szCs w:val="24"/>
        </w:rPr>
      </w:pPr>
    </w:p>
    <w:p w:rsidR="00BA1ECC" w:rsidRPr="00D01B10" w:rsidRDefault="00BA1ECC" w:rsidP="00D01B10">
      <w:pPr>
        <w:spacing w:line="360" w:lineRule="auto"/>
        <w:rPr>
          <w:rFonts w:ascii="Book Antiqua" w:hAnsi="Book Antiqua"/>
          <w:b/>
          <w:i/>
          <w:sz w:val="24"/>
          <w:szCs w:val="24"/>
        </w:rPr>
      </w:pPr>
      <w:r w:rsidRPr="00D01B10">
        <w:rPr>
          <w:rFonts w:ascii="Book Antiqua" w:hAnsi="Book Antiqua"/>
          <w:b/>
          <w:i/>
          <w:sz w:val="24"/>
          <w:szCs w:val="24"/>
        </w:rPr>
        <w:t>Evaluation indexes</w:t>
      </w:r>
    </w:p>
    <w:p w:rsidR="00BA1ECC" w:rsidRPr="00D01B10" w:rsidRDefault="00BA1ECC" w:rsidP="00D01B10">
      <w:pPr>
        <w:spacing w:line="360" w:lineRule="auto"/>
        <w:rPr>
          <w:rFonts w:ascii="Book Antiqua" w:hAnsi="Book Antiqua"/>
          <w:sz w:val="24"/>
          <w:szCs w:val="24"/>
        </w:rPr>
      </w:pPr>
      <w:r w:rsidRPr="00D01B10">
        <w:rPr>
          <w:rFonts w:ascii="Book Antiqua" w:hAnsi="Book Antiqua"/>
          <w:sz w:val="24"/>
          <w:szCs w:val="24"/>
        </w:rPr>
        <w:t xml:space="preserve">The following serum liver function indexes were detected in the two groups: </w:t>
      </w:r>
      <w:r w:rsidRPr="00D01B10">
        <w:rPr>
          <w:rFonts w:ascii="Book Antiqua" w:hAnsi="Book Antiqua"/>
          <w:sz w:val="24"/>
          <w:szCs w:val="24"/>
          <w:shd w:val="clear" w:color="auto" w:fill="FFFFFF"/>
        </w:rPr>
        <w:t>aspartate aminotransferase</w:t>
      </w:r>
      <w:r w:rsidRPr="00D01B10">
        <w:rPr>
          <w:rFonts w:ascii="Book Antiqua" w:hAnsi="Book Antiqua"/>
          <w:sz w:val="24"/>
          <w:szCs w:val="24"/>
        </w:rPr>
        <w:t xml:space="preserve">, </w:t>
      </w:r>
      <w:r w:rsidRPr="00D01B10">
        <w:rPr>
          <w:rFonts w:ascii="Book Antiqua" w:hAnsi="Book Antiqua"/>
          <w:sz w:val="24"/>
          <w:szCs w:val="24"/>
          <w:shd w:val="clear" w:color="auto" w:fill="FFFFFF"/>
        </w:rPr>
        <w:t>alanine amino</w:t>
      </w:r>
      <w:r w:rsidRPr="00D01B10">
        <w:rPr>
          <w:rStyle w:val="a6"/>
          <w:rFonts w:ascii="Book Antiqua" w:hAnsi="Book Antiqua"/>
          <w:i w:val="0"/>
          <w:iCs w:val="0"/>
          <w:sz w:val="24"/>
          <w:szCs w:val="24"/>
          <w:shd w:val="clear" w:color="auto" w:fill="FFFFFF"/>
        </w:rPr>
        <w:t>transferase</w:t>
      </w:r>
      <w:r w:rsidRPr="00D01B10">
        <w:rPr>
          <w:rFonts w:ascii="Book Antiqua" w:hAnsi="Book Antiqua"/>
          <w:sz w:val="24"/>
          <w:szCs w:val="24"/>
        </w:rPr>
        <w:t xml:space="preserve">, </w:t>
      </w:r>
      <w:bookmarkStart w:id="19" w:name="OLE_LINK27"/>
      <w:r w:rsidRPr="00D01B10">
        <w:rPr>
          <w:rFonts w:ascii="Book Antiqua" w:hAnsi="Book Antiqua"/>
          <w:sz w:val="24"/>
          <w:szCs w:val="24"/>
        </w:rPr>
        <w:t>GGT</w:t>
      </w:r>
      <w:bookmarkEnd w:id="19"/>
      <w:r w:rsidRPr="00D01B10">
        <w:rPr>
          <w:rFonts w:ascii="Book Antiqua" w:hAnsi="Book Antiqua"/>
          <w:sz w:val="24"/>
          <w:szCs w:val="24"/>
        </w:rPr>
        <w:t xml:space="preserve">, </w:t>
      </w:r>
      <w:r w:rsidRPr="00D01B10">
        <w:rPr>
          <w:rFonts w:ascii="Book Antiqua" w:hAnsi="Book Antiqua"/>
          <w:sz w:val="24"/>
          <w:szCs w:val="24"/>
          <w:shd w:val="clear" w:color="auto" w:fill="FFFFFF"/>
        </w:rPr>
        <w:t>alkaline phosphatase (ALP)</w:t>
      </w:r>
      <w:r w:rsidRPr="00D01B10">
        <w:rPr>
          <w:rFonts w:ascii="Book Antiqua" w:hAnsi="Book Antiqua"/>
          <w:sz w:val="24"/>
          <w:szCs w:val="24"/>
        </w:rPr>
        <w:t xml:space="preserve">, </w:t>
      </w:r>
      <w:r w:rsidRPr="00D01B10">
        <w:rPr>
          <w:rFonts w:ascii="Book Antiqua" w:hAnsi="Book Antiqua"/>
          <w:sz w:val="24"/>
          <w:szCs w:val="24"/>
          <w:shd w:val="clear" w:color="auto" w:fill="FFFFFF"/>
        </w:rPr>
        <w:t xml:space="preserve">total bilirubin </w:t>
      </w:r>
      <w:r w:rsidRPr="00D01B10">
        <w:rPr>
          <w:rFonts w:ascii="Book Antiqua" w:hAnsi="Book Antiqua"/>
          <w:sz w:val="24"/>
          <w:szCs w:val="24"/>
        </w:rPr>
        <w:t xml:space="preserve">and </w:t>
      </w:r>
      <w:r w:rsidRPr="00D01B10">
        <w:rPr>
          <w:rFonts w:ascii="Book Antiqua" w:hAnsi="Book Antiqua"/>
          <w:sz w:val="24"/>
          <w:szCs w:val="24"/>
          <w:shd w:val="clear" w:color="auto" w:fill="FFFFFF"/>
        </w:rPr>
        <w:t>direct bilirubin</w:t>
      </w:r>
      <w:r w:rsidRPr="00D01B10">
        <w:rPr>
          <w:rFonts w:ascii="Book Antiqua" w:hAnsi="Book Antiqua"/>
          <w:sz w:val="24"/>
          <w:szCs w:val="24"/>
        </w:rPr>
        <w:t xml:space="preserve">. The indexes with significant differences were further analyzed by </w:t>
      </w:r>
      <w:r w:rsidRPr="00D01B10">
        <w:rPr>
          <w:rFonts w:ascii="Book Antiqua" w:hAnsi="Book Antiqua"/>
          <w:sz w:val="24"/>
          <w:szCs w:val="24"/>
          <w:shd w:val="clear" w:color="auto" w:fill="FFFFFF"/>
        </w:rPr>
        <w:t>receiver operating characteristic (ROC</w:t>
      </w:r>
      <w:r w:rsidRPr="00D01B10">
        <w:rPr>
          <w:rStyle w:val="a6"/>
          <w:rFonts w:ascii="Book Antiqua" w:hAnsi="Book Antiqua"/>
          <w:i w:val="0"/>
          <w:iCs w:val="0"/>
          <w:sz w:val="24"/>
          <w:szCs w:val="24"/>
          <w:shd w:val="clear" w:color="auto" w:fill="FFFFFF"/>
        </w:rPr>
        <w:t>)</w:t>
      </w:r>
      <w:r w:rsidRPr="00D01B10">
        <w:rPr>
          <w:rFonts w:ascii="Book Antiqua" w:hAnsi="Book Antiqua"/>
          <w:sz w:val="24"/>
          <w:szCs w:val="24"/>
        </w:rPr>
        <w:t xml:space="preserve"> curve</w:t>
      </w:r>
      <w:r w:rsidR="00D76F38">
        <w:rPr>
          <w:rFonts w:ascii="Book Antiqua" w:hAnsi="Book Antiqua"/>
          <w:sz w:val="24"/>
          <w:szCs w:val="24"/>
        </w:rPr>
        <w:t>s</w:t>
      </w:r>
      <w:r w:rsidRPr="00D01B10">
        <w:rPr>
          <w:rFonts w:ascii="Book Antiqua" w:hAnsi="Book Antiqua"/>
          <w:sz w:val="24"/>
          <w:szCs w:val="24"/>
        </w:rPr>
        <w:t xml:space="preserve"> to evaluate the sensitivity and specificity of each abnormal index in the diagnosis of secondary asymptomatic choledocholithiasis.</w:t>
      </w:r>
    </w:p>
    <w:p w:rsidR="001A001D" w:rsidRPr="00D01B10" w:rsidRDefault="001A001D" w:rsidP="00D01B10">
      <w:pPr>
        <w:spacing w:line="360" w:lineRule="auto"/>
        <w:rPr>
          <w:rFonts w:ascii="Book Antiqua" w:hAnsi="Book Antiqua"/>
          <w:sz w:val="24"/>
          <w:szCs w:val="24"/>
        </w:rPr>
      </w:pPr>
    </w:p>
    <w:p w:rsidR="00BA1ECC" w:rsidRPr="00D01B10" w:rsidRDefault="00BA1ECC" w:rsidP="00D01B10">
      <w:pPr>
        <w:spacing w:line="360" w:lineRule="auto"/>
        <w:rPr>
          <w:rFonts w:ascii="Book Antiqua" w:hAnsi="Book Antiqua"/>
          <w:b/>
          <w:bCs/>
          <w:i/>
          <w:sz w:val="24"/>
          <w:szCs w:val="24"/>
        </w:rPr>
      </w:pPr>
      <w:r w:rsidRPr="00D01B10">
        <w:rPr>
          <w:rFonts w:ascii="Book Antiqua" w:hAnsi="Book Antiqua"/>
          <w:b/>
          <w:bCs/>
          <w:i/>
          <w:sz w:val="24"/>
          <w:szCs w:val="24"/>
        </w:rPr>
        <w:t>Statistical analysis</w:t>
      </w:r>
    </w:p>
    <w:p w:rsidR="00BA1ECC" w:rsidRPr="00BA1ECC" w:rsidRDefault="00BA1ECC" w:rsidP="00D01B10">
      <w:pPr>
        <w:spacing w:line="360" w:lineRule="auto"/>
        <w:rPr>
          <w:rFonts w:ascii="Book Antiqua" w:hAnsi="Book Antiqua"/>
          <w:sz w:val="24"/>
          <w:szCs w:val="24"/>
        </w:rPr>
      </w:pPr>
      <w:r w:rsidRPr="00D01B10">
        <w:rPr>
          <w:rFonts w:ascii="Book Antiqua" w:eastAsia="Verdana" w:hAnsi="Book Antiqua"/>
          <w:sz w:val="24"/>
          <w:szCs w:val="24"/>
        </w:rPr>
        <w:t>Data are described as the mean ± SD</w:t>
      </w:r>
      <w:r w:rsidR="00D76F38">
        <w:rPr>
          <w:rFonts w:ascii="Book Antiqua" w:eastAsia="Verdana" w:hAnsi="Book Antiqua"/>
          <w:sz w:val="24"/>
          <w:szCs w:val="24"/>
        </w:rPr>
        <w:t>,</w:t>
      </w:r>
      <w:r w:rsidRPr="00D01B10">
        <w:rPr>
          <w:rFonts w:ascii="Book Antiqua" w:eastAsia="Verdana" w:hAnsi="Book Antiqua"/>
          <w:sz w:val="24"/>
          <w:szCs w:val="24"/>
        </w:rPr>
        <w:t xml:space="preserve"> and SPSS 22.0 was used for statistical analyses. To compare baseline data between</w:t>
      </w:r>
      <w:r w:rsidR="00D76F38">
        <w:rPr>
          <w:rFonts w:ascii="Book Antiqua" w:eastAsia="Verdana" w:hAnsi="Book Antiqua"/>
          <w:sz w:val="24"/>
          <w:szCs w:val="24"/>
        </w:rPr>
        <w:t xml:space="preserve"> the</w:t>
      </w:r>
      <w:r w:rsidRPr="00D01B10">
        <w:rPr>
          <w:rFonts w:ascii="Book Antiqua" w:eastAsia="Verdana" w:hAnsi="Book Antiqua"/>
          <w:sz w:val="24"/>
          <w:szCs w:val="24"/>
        </w:rPr>
        <w:t xml:space="preserve"> two groups, independent sample </w:t>
      </w:r>
      <w:r w:rsidRPr="00D01B10">
        <w:rPr>
          <w:rFonts w:ascii="Book Antiqua" w:eastAsia="Verdana" w:hAnsi="Book Antiqua"/>
          <w:i/>
          <w:iCs/>
          <w:sz w:val="24"/>
          <w:szCs w:val="24"/>
        </w:rPr>
        <w:t>t</w:t>
      </w:r>
      <w:r w:rsidRPr="00D01B10">
        <w:rPr>
          <w:rFonts w:ascii="Book Antiqua" w:eastAsia="Verdana" w:hAnsi="Book Antiqua"/>
          <w:sz w:val="24"/>
          <w:szCs w:val="24"/>
        </w:rPr>
        <w:t>-test</w:t>
      </w:r>
      <w:r w:rsidR="00D76F38">
        <w:rPr>
          <w:rFonts w:ascii="Book Antiqua" w:eastAsia="Verdana" w:hAnsi="Book Antiqua"/>
          <w:sz w:val="24"/>
          <w:szCs w:val="24"/>
        </w:rPr>
        <w:t>s</w:t>
      </w:r>
      <w:r w:rsidRPr="00D01B10">
        <w:rPr>
          <w:rFonts w:ascii="Book Antiqua" w:eastAsia="Verdana" w:hAnsi="Book Antiqua"/>
          <w:sz w:val="24"/>
          <w:szCs w:val="24"/>
        </w:rPr>
        <w:t xml:space="preserve"> and </w:t>
      </w:r>
      <w:r w:rsidRPr="00D01B10">
        <w:rPr>
          <w:rFonts w:ascii="Book Antiqua" w:eastAsia="Verdana" w:hAnsi="Book Antiqua"/>
          <w:i/>
          <w:iCs/>
          <w:sz w:val="24"/>
          <w:szCs w:val="24"/>
        </w:rPr>
        <w:t>χ2</w:t>
      </w:r>
      <w:r w:rsidRPr="00D01B10">
        <w:rPr>
          <w:rFonts w:ascii="Book Antiqua" w:eastAsia="Verdana" w:hAnsi="Book Antiqua"/>
          <w:sz w:val="24"/>
          <w:szCs w:val="24"/>
        </w:rPr>
        <w:t xml:space="preserve"> test</w:t>
      </w:r>
      <w:r w:rsidR="00D76F38">
        <w:rPr>
          <w:rFonts w:ascii="Book Antiqua" w:eastAsia="Verdana" w:hAnsi="Book Antiqua"/>
          <w:sz w:val="24"/>
          <w:szCs w:val="24"/>
        </w:rPr>
        <w:t>s</w:t>
      </w:r>
      <w:r w:rsidRPr="00D01B10">
        <w:rPr>
          <w:rFonts w:ascii="Book Antiqua" w:eastAsia="Verdana" w:hAnsi="Book Antiqua"/>
          <w:sz w:val="24"/>
          <w:szCs w:val="24"/>
        </w:rPr>
        <w:t xml:space="preserve"> were employed. Independent sample </w:t>
      </w:r>
      <w:r w:rsidRPr="00D01B10">
        <w:rPr>
          <w:rFonts w:ascii="Book Antiqua" w:eastAsia="Verdana" w:hAnsi="Book Antiqua"/>
          <w:i/>
          <w:iCs/>
          <w:sz w:val="24"/>
          <w:szCs w:val="24"/>
        </w:rPr>
        <w:t>t</w:t>
      </w:r>
      <w:r w:rsidRPr="00D01B10">
        <w:rPr>
          <w:rFonts w:ascii="Book Antiqua" w:eastAsia="Verdana" w:hAnsi="Book Antiqua"/>
          <w:sz w:val="24"/>
          <w:szCs w:val="24"/>
        </w:rPr>
        <w:t>-test</w:t>
      </w:r>
      <w:r w:rsidR="00D76F38">
        <w:rPr>
          <w:rFonts w:ascii="Book Antiqua" w:eastAsia="Verdana" w:hAnsi="Book Antiqua"/>
          <w:sz w:val="24"/>
          <w:szCs w:val="24"/>
        </w:rPr>
        <w:t>s</w:t>
      </w:r>
      <w:r w:rsidRPr="00D01B10">
        <w:rPr>
          <w:rFonts w:ascii="Book Antiqua" w:eastAsia="Verdana" w:hAnsi="Book Antiqua"/>
          <w:sz w:val="24"/>
          <w:szCs w:val="24"/>
        </w:rPr>
        <w:t xml:space="preserve"> </w:t>
      </w:r>
      <w:r w:rsidR="00D76F38">
        <w:rPr>
          <w:rFonts w:ascii="Book Antiqua" w:eastAsia="Verdana" w:hAnsi="Book Antiqua"/>
          <w:sz w:val="24"/>
          <w:szCs w:val="24"/>
        </w:rPr>
        <w:t>were</w:t>
      </w:r>
      <w:r w:rsidR="00D76F38" w:rsidRPr="00D01B10">
        <w:rPr>
          <w:rFonts w:ascii="Book Antiqua" w:eastAsia="Verdana" w:hAnsi="Book Antiqua"/>
          <w:sz w:val="24"/>
          <w:szCs w:val="24"/>
        </w:rPr>
        <w:t xml:space="preserve"> </w:t>
      </w:r>
      <w:r w:rsidRPr="00D01B10">
        <w:rPr>
          <w:rFonts w:ascii="Book Antiqua" w:eastAsia="Verdana" w:hAnsi="Book Antiqua"/>
          <w:sz w:val="24"/>
          <w:szCs w:val="24"/>
        </w:rPr>
        <w:t xml:space="preserve">used to compare </w:t>
      </w:r>
      <w:bookmarkStart w:id="20" w:name="OLE_LINK13"/>
      <w:bookmarkStart w:id="21" w:name="OLE_LINK14"/>
      <w:r w:rsidRPr="00D01B10">
        <w:rPr>
          <w:rFonts w:ascii="Book Antiqua" w:eastAsia="Verdana" w:hAnsi="Book Antiqua"/>
          <w:sz w:val="24"/>
          <w:szCs w:val="24"/>
        </w:rPr>
        <w:t>serum</w:t>
      </w:r>
      <w:r w:rsidRPr="00D01B10">
        <w:rPr>
          <w:rFonts w:ascii="Book Antiqua" w:hAnsi="Book Antiqua"/>
          <w:sz w:val="24"/>
          <w:szCs w:val="24"/>
        </w:rPr>
        <w:t xml:space="preserve"> </w:t>
      </w:r>
      <w:r w:rsidRPr="00D01B10">
        <w:rPr>
          <w:rFonts w:ascii="Book Antiqua" w:eastAsia="Verdana" w:hAnsi="Book Antiqua"/>
          <w:sz w:val="24"/>
          <w:szCs w:val="24"/>
        </w:rPr>
        <w:t>liver function</w:t>
      </w:r>
      <w:bookmarkEnd w:id="20"/>
      <w:r w:rsidRPr="00D01B10">
        <w:rPr>
          <w:rFonts w:ascii="Book Antiqua" w:eastAsia="Verdana" w:hAnsi="Book Antiqua"/>
          <w:sz w:val="24"/>
          <w:szCs w:val="24"/>
        </w:rPr>
        <w:t xml:space="preserve"> indicators</w:t>
      </w:r>
      <w:bookmarkEnd w:id="21"/>
      <w:r w:rsidRPr="00D01B10">
        <w:rPr>
          <w:rFonts w:ascii="Book Antiqua" w:eastAsia="Verdana" w:hAnsi="Book Antiqua"/>
          <w:sz w:val="24"/>
          <w:szCs w:val="24"/>
        </w:rPr>
        <w:t xml:space="preserve"> between</w:t>
      </w:r>
      <w:r w:rsidR="00D76F38">
        <w:rPr>
          <w:rFonts w:ascii="Book Antiqua" w:eastAsia="Verdana" w:hAnsi="Book Antiqua"/>
          <w:sz w:val="24"/>
          <w:szCs w:val="24"/>
        </w:rPr>
        <w:t xml:space="preserve"> the two</w:t>
      </w:r>
      <w:r w:rsidRPr="00D01B10">
        <w:rPr>
          <w:rFonts w:ascii="Book Antiqua" w:eastAsia="Verdana" w:hAnsi="Book Antiqua"/>
          <w:sz w:val="24"/>
          <w:szCs w:val="24"/>
        </w:rPr>
        <w:t xml:space="preserve"> groups. The ROC curve was established to evaluate the diagnostic value of GGT</w:t>
      </w:r>
      <w:r w:rsidR="007125DC" w:rsidRPr="00D01B10">
        <w:rPr>
          <w:rFonts w:ascii="Book Antiqua" w:eastAsia="Verdana" w:hAnsi="Book Antiqua"/>
          <w:sz w:val="24"/>
          <w:szCs w:val="24"/>
        </w:rPr>
        <w:t xml:space="preserve"> and ALP; the cutoff value</w:t>
      </w:r>
      <w:r w:rsidR="007125DC" w:rsidRPr="00BA1ECC">
        <w:rPr>
          <w:rFonts w:ascii="Book Antiqua" w:hAnsi="Book Antiqua"/>
          <w:sz w:val="24"/>
          <w:szCs w:val="24"/>
        </w:rPr>
        <w:t xml:space="preserve"> </w:t>
      </w:r>
      <w:r w:rsidR="007125DC" w:rsidRPr="00D01B10">
        <w:rPr>
          <w:rFonts w:ascii="Book Antiqua" w:eastAsia="Verdana" w:hAnsi="Book Antiqua"/>
          <w:sz w:val="24"/>
          <w:szCs w:val="24"/>
        </w:rPr>
        <w:t>of the indicators was</w:t>
      </w:r>
      <w:r w:rsidRPr="00D01B10">
        <w:rPr>
          <w:rFonts w:ascii="Book Antiqua" w:eastAsia="Verdana" w:hAnsi="Book Antiqua"/>
          <w:sz w:val="24"/>
          <w:szCs w:val="24"/>
        </w:rPr>
        <w:t xml:space="preserve"> calculated using Youden index (specificity + sensitivity</w:t>
      </w:r>
      <w:r w:rsidR="00D76F38">
        <w:rPr>
          <w:rFonts w:ascii="Book Antiqua" w:eastAsia="Verdana" w:hAnsi="Book Antiqua"/>
          <w:sz w:val="24"/>
          <w:szCs w:val="24"/>
        </w:rPr>
        <w:t xml:space="preserve"> </w:t>
      </w:r>
      <w:r w:rsidRPr="00D01B10">
        <w:rPr>
          <w:rFonts w:ascii="Book Antiqua" w:eastAsia="Verdana" w:hAnsi="Book Antiqua"/>
          <w:sz w:val="24"/>
          <w:szCs w:val="24"/>
        </w:rPr>
        <w:t>-</w:t>
      </w:r>
      <w:r w:rsidR="00D76F38">
        <w:rPr>
          <w:rFonts w:ascii="Book Antiqua" w:eastAsia="Verdana" w:hAnsi="Book Antiqua"/>
          <w:sz w:val="24"/>
          <w:szCs w:val="24"/>
        </w:rPr>
        <w:t xml:space="preserve"> </w:t>
      </w:r>
      <w:r w:rsidRPr="00D01B10">
        <w:rPr>
          <w:rFonts w:ascii="Book Antiqua" w:eastAsia="Verdana" w:hAnsi="Book Antiqua"/>
          <w:sz w:val="24"/>
          <w:szCs w:val="24"/>
        </w:rPr>
        <w:t xml:space="preserve">1). The comparison of the area under the ROC curve (AUC) was analyzed by </w:t>
      </w:r>
      <w:r w:rsidRPr="00D01B10">
        <w:rPr>
          <w:rFonts w:ascii="Book Antiqua" w:eastAsia="Verdana" w:hAnsi="Book Antiqua"/>
          <w:i/>
          <w:iCs/>
          <w:sz w:val="24"/>
          <w:szCs w:val="24"/>
        </w:rPr>
        <w:t>Z</w:t>
      </w:r>
      <w:r w:rsidRPr="00D01B10">
        <w:rPr>
          <w:rFonts w:ascii="Book Antiqua" w:eastAsia="Verdana" w:hAnsi="Book Antiqua"/>
          <w:sz w:val="24"/>
          <w:szCs w:val="24"/>
        </w:rPr>
        <w:t xml:space="preserve">-test. </w:t>
      </w:r>
      <w:bookmarkStart w:id="22" w:name="OLE_LINK25"/>
      <w:r w:rsidRPr="00D01B10">
        <w:rPr>
          <w:rFonts w:ascii="Book Antiqua" w:eastAsia="Verdana" w:hAnsi="Book Antiqua"/>
          <w:i/>
          <w:iCs/>
          <w:sz w:val="24"/>
          <w:szCs w:val="24"/>
        </w:rPr>
        <w:t>P</w:t>
      </w:r>
      <w:r w:rsidRPr="00D01B10">
        <w:rPr>
          <w:rFonts w:ascii="Book Antiqua" w:eastAsia="Verdana" w:hAnsi="Book Antiqua"/>
          <w:sz w:val="24"/>
          <w:szCs w:val="24"/>
        </w:rPr>
        <w:t xml:space="preserve"> values &lt; 0.05</w:t>
      </w:r>
      <w:bookmarkEnd w:id="22"/>
      <w:r w:rsidRPr="00D01B10">
        <w:rPr>
          <w:rFonts w:ascii="Book Antiqua" w:eastAsia="Verdana" w:hAnsi="Book Antiqua"/>
          <w:sz w:val="24"/>
          <w:szCs w:val="24"/>
        </w:rPr>
        <w:t xml:space="preserve"> were considered statistically significant.</w:t>
      </w:r>
    </w:p>
    <w:p w:rsidR="00E2414D" w:rsidRPr="00BA1ECC" w:rsidRDefault="00E2414D" w:rsidP="00D01B10">
      <w:pPr>
        <w:spacing w:line="360" w:lineRule="auto"/>
        <w:rPr>
          <w:rFonts w:ascii="Book Antiqua" w:hAnsi="Book Antiqua"/>
          <w:sz w:val="24"/>
          <w:szCs w:val="24"/>
        </w:rPr>
      </w:pPr>
    </w:p>
    <w:p w:rsidR="00BA1ECC" w:rsidRPr="00D01B10" w:rsidRDefault="00BA1ECC" w:rsidP="00D01B10">
      <w:pPr>
        <w:spacing w:line="360" w:lineRule="auto"/>
        <w:rPr>
          <w:rFonts w:ascii="Book Antiqua" w:hAnsi="Book Antiqua"/>
          <w:b/>
          <w:sz w:val="24"/>
          <w:szCs w:val="24"/>
        </w:rPr>
      </w:pPr>
      <w:r w:rsidRPr="00D01B10">
        <w:rPr>
          <w:rFonts w:ascii="Book Antiqua" w:hAnsi="Book Antiqua"/>
          <w:b/>
          <w:sz w:val="24"/>
          <w:szCs w:val="24"/>
        </w:rPr>
        <w:t>RESULTS</w:t>
      </w:r>
    </w:p>
    <w:p w:rsidR="00BA1ECC" w:rsidRPr="00D01B10" w:rsidRDefault="00BA1ECC" w:rsidP="00D01B10">
      <w:pPr>
        <w:spacing w:line="360" w:lineRule="auto"/>
        <w:rPr>
          <w:rFonts w:ascii="Book Antiqua" w:hAnsi="Book Antiqua"/>
          <w:b/>
          <w:i/>
          <w:sz w:val="24"/>
          <w:szCs w:val="24"/>
        </w:rPr>
      </w:pPr>
      <w:r w:rsidRPr="00D01B10">
        <w:rPr>
          <w:rFonts w:ascii="Book Antiqua" w:hAnsi="Book Antiqua"/>
          <w:b/>
          <w:i/>
          <w:sz w:val="24"/>
          <w:szCs w:val="24"/>
        </w:rPr>
        <w:t>Incidence of secondary asymptomatic choledocholithiasis</w:t>
      </w:r>
    </w:p>
    <w:p w:rsidR="00BA1ECC" w:rsidRPr="00D01B10" w:rsidRDefault="00BA1ECC" w:rsidP="00D01B10">
      <w:pPr>
        <w:spacing w:line="360" w:lineRule="auto"/>
        <w:rPr>
          <w:rFonts w:ascii="Book Antiqua" w:hAnsi="Book Antiqua"/>
          <w:sz w:val="24"/>
          <w:szCs w:val="24"/>
        </w:rPr>
      </w:pPr>
      <w:r w:rsidRPr="00D01B10">
        <w:rPr>
          <w:rFonts w:ascii="Book Antiqua" w:hAnsi="Book Antiqua"/>
          <w:sz w:val="24"/>
          <w:szCs w:val="24"/>
        </w:rPr>
        <w:t xml:space="preserve">A total of 829 patients with cholecystolithiasis were included, 151 of them </w:t>
      </w:r>
      <w:r w:rsidRPr="00D01B10">
        <w:rPr>
          <w:rFonts w:ascii="Book Antiqua" w:hAnsi="Book Antiqua"/>
          <w:sz w:val="24"/>
          <w:szCs w:val="24"/>
        </w:rPr>
        <w:lastRenderedPageBreak/>
        <w:t>were complicated with secondary asymptomatic choledocholithiasis, and the overall incidence was 18.2%.</w:t>
      </w:r>
    </w:p>
    <w:p w:rsidR="00E2414D" w:rsidRPr="00D01B10" w:rsidRDefault="00E2414D" w:rsidP="00D01B10">
      <w:pPr>
        <w:spacing w:line="360" w:lineRule="auto"/>
        <w:rPr>
          <w:rFonts w:ascii="Book Antiqua" w:hAnsi="Book Antiqua"/>
          <w:i/>
          <w:sz w:val="24"/>
          <w:szCs w:val="24"/>
        </w:rPr>
      </w:pPr>
    </w:p>
    <w:p w:rsidR="00BA1ECC" w:rsidRPr="00D01B10" w:rsidRDefault="00BA1ECC" w:rsidP="00D01B10">
      <w:pPr>
        <w:spacing w:line="360" w:lineRule="auto"/>
        <w:rPr>
          <w:rFonts w:ascii="Book Antiqua" w:hAnsi="Book Antiqua"/>
          <w:b/>
          <w:i/>
          <w:sz w:val="24"/>
          <w:szCs w:val="24"/>
        </w:rPr>
      </w:pPr>
      <w:r w:rsidRPr="00D01B10">
        <w:rPr>
          <w:rFonts w:ascii="Book Antiqua" w:hAnsi="Book Antiqua"/>
          <w:b/>
          <w:i/>
          <w:sz w:val="24"/>
          <w:szCs w:val="24"/>
        </w:rPr>
        <w:t xml:space="preserve">Liver function </w:t>
      </w:r>
      <w:bookmarkStart w:id="23" w:name="OLE_LINK20"/>
      <w:r w:rsidRPr="00D01B10">
        <w:rPr>
          <w:rFonts w:ascii="Book Antiqua" w:hAnsi="Book Antiqua"/>
          <w:b/>
          <w:i/>
          <w:sz w:val="24"/>
          <w:szCs w:val="24"/>
        </w:rPr>
        <w:t>indexes</w:t>
      </w:r>
      <w:bookmarkEnd w:id="23"/>
    </w:p>
    <w:p w:rsidR="00BA1ECC" w:rsidRPr="00D01B10" w:rsidRDefault="00242C9A" w:rsidP="00D01B10">
      <w:pPr>
        <w:spacing w:line="360" w:lineRule="auto"/>
        <w:rPr>
          <w:rFonts w:ascii="Book Antiqua" w:hAnsi="Book Antiqua"/>
          <w:sz w:val="24"/>
          <w:szCs w:val="24"/>
        </w:rPr>
      </w:pPr>
      <w:r>
        <w:rPr>
          <w:rFonts w:ascii="Book Antiqua" w:hAnsi="Book Antiqua"/>
          <w:sz w:val="24"/>
          <w:szCs w:val="24"/>
        </w:rPr>
        <w:t>S</w:t>
      </w:r>
      <w:r w:rsidR="00BA1ECC" w:rsidRPr="00D01B10">
        <w:rPr>
          <w:rFonts w:ascii="Book Antiqua" w:hAnsi="Book Antiqua"/>
          <w:sz w:val="24"/>
          <w:szCs w:val="24"/>
        </w:rPr>
        <w:t xml:space="preserve">erum GGT and ALP </w:t>
      </w:r>
      <w:r w:rsidR="00EB3FD3" w:rsidRPr="00D01B10">
        <w:rPr>
          <w:rFonts w:ascii="Book Antiqua" w:hAnsi="Book Antiqua"/>
          <w:sz w:val="24"/>
          <w:szCs w:val="24"/>
        </w:rPr>
        <w:t>levels were</w:t>
      </w:r>
      <w:r w:rsidR="00BA1ECC" w:rsidRPr="00D01B10">
        <w:rPr>
          <w:rFonts w:ascii="Book Antiqua" w:hAnsi="Book Antiqua"/>
          <w:sz w:val="24"/>
          <w:szCs w:val="24"/>
        </w:rPr>
        <w:t xml:space="preserve"> significantly higher </w:t>
      </w:r>
      <w:r w:rsidRPr="00D01B10">
        <w:rPr>
          <w:rFonts w:ascii="Book Antiqua" w:hAnsi="Book Antiqua"/>
          <w:sz w:val="24"/>
          <w:szCs w:val="24"/>
        </w:rPr>
        <w:t xml:space="preserve">in the observation group </w:t>
      </w:r>
      <w:r w:rsidR="00BA1ECC" w:rsidRPr="00D01B10">
        <w:rPr>
          <w:rFonts w:ascii="Book Antiqua" w:hAnsi="Book Antiqua"/>
          <w:sz w:val="24"/>
          <w:szCs w:val="24"/>
        </w:rPr>
        <w:t>than in the control group (</w:t>
      </w:r>
      <w:r w:rsidR="00BA1ECC" w:rsidRPr="00D01B10">
        <w:rPr>
          <w:rFonts w:ascii="Book Antiqua" w:hAnsi="Book Antiqua"/>
          <w:i/>
          <w:iCs/>
          <w:sz w:val="24"/>
          <w:szCs w:val="24"/>
        </w:rPr>
        <w:t xml:space="preserve">P </w:t>
      </w:r>
      <w:r w:rsidR="00E2414D" w:rsidRPr="00D01B10">
        <w:rPr>
          <w:rFonts w:ascii="Book Antiqua" w:hAnsi="Book Antiqua"/>
          <w:sz w:val="24"/>
          <w:szCs w:val="24"/>
        </w:rPr>
        <w:t>&lt; 0.05</w:t>
      </w:r>
      <w:r w:rsidR="00BA1ECC" w:rsidRPr="00D01B10">
        <w:rPr>
          <w:rFonts w:ascii="Book Antiqua" w:hAnsi="Book Antiqua"/>
          <w:sz w:val="24"/>
          <w:szCs w:val="24"/>
        </w:rPr>
        <w:t xml:space="preserve">). There </w:t>
      </w:r>
      <w:r>
        <w:rPr>
          <w:rFonts w:ascii="Book Antiqua" w:hAnsi="Book Antiqua"/>
          <w:sz w:val="24"/>
          <w:szCs w:val="24"/>
        </w:rPr>
        <w:t>were</w:t>
      </w:r>
      <w:r w:rsidRPr="00D01B10">
        <w:rPr>
          <w:rFonts w:ascii="Book Antiqua" w:hAnsi="Book Antiqua"/>
          <w:sz w:val="24"/>
          <w:szCs w:val="24"/>
        </w:rPr>
        <w:t xml:space="preserve"> </w:t>
      </w:r>
      <w:r w:rsidR="00BA1ECC" w:rsidRPr="00D01B10">
        <w:rPr>
          <w:rFonts w:ascii="Book Antiqua" w:hAnsi="Book Antiqua"/>
          <w:sz w:val="24"/>
          <w:szCs w:val="24"/>
        </w:rPr>
        <w:t>no significant difference</w:t>
      </w:r>
      <w:r>
        <w:rPr>
          <w:rFonts w:ascii="Book Antiqua" w:hAnsi="Book Antiqua"/>
          <w:sz w:val="24"/>
          <w:szCs w:val="24"/>
        </w:rPr>
        <w:t>s</w:t>
      </w:r>
      <w:r w:rsidR="00BA1ECC" w:rsidRPr="00D01B10">
        <w:rPr>
          <w:rFonts w:ascii="Book Antiqua" w:hAnsi="Book Antiqua"/>
          <w:sz w:val="24"/>
          <w:szCs w:val="24"/>
        </w:rPr>
        <w:t xml:space="preserve"> in serum</w:t>
      </w:r>
      <w:r w:rsidR="00343D65">
        <w:rPr>
          <w:rFonts w:ascii="Book Antiqua" w:hAnsi="Book Antiqua"/>
          <w:sz w:val="24"/>
          <w:szCs w:val="24"/>
        </w:rPr>
        <w:t xml:space="preserve"> </w:t>
      </w:r>
      <w:r w:rsidR="00343D65" w:rsidRPr="00D01B10">
        <w:rPr>
          <w:rFonts w:ascii="Book Antiqua" w:hAnsi="Book Antiqua"/>
          <w:sz w:val="24"/>
          <w:szCs w:val="24"/>
          <w:shd w:val="clear" w:color="auto" w:fill="FFFFFF"/>
        </w:rPr>
        <w:t>aspartate aminotransferase</w:t>
      </w:r>
      <w:r w:rsidR="00BA1ECC" w:rsidRPr="00D01B10">
        <w:rPr>
          <w:rFonts w:ascii="Book Antiqua" w:hAnsi="Book Antiqua"/>
          <w:sz w:val="24"/>
          <w:szCs w:val="24"/>
        </w:rPr>
        <w:t xml:space="preserve">, </w:t>
      </w:r>
      <w:r w:rsidR="00343D65" w:rsidRPr="00D01B10">
        <w:rPr>
          <w:rFonts w:ascii="Book Antiqua" w:hAnsi="Book Antiqua"/>
          <w:sz w:val="24"/>
          <w:szCs w:val="24"/>
          <w:shd w:val="clear" w:color="auto" w:fill="FFFFFF"/>
        </w:rPr>
        <w:t>alanine amino</w:t>
      </w:r>
      <w:r w:rsidR="00343D65" w:rsidRPr="00D01B10">
        <w:rPr>
          <w:rStyle w:val="a6"/>
          <w:rFonts w:ascii="Book Antiqua" w:hAnsi="Book Antiqua"/>
          <w:i w:val="0"/>
          <w:iCs w:val="0"/>
          <w:sz w:val="24"/>
          <w:szCs w:val="24"/>
          <w:shd w:val="clear" w:color="auto" w:fill="FFFFFF"/>
        </w:rPr>
        <w:t>transferase</w:t>
      </w:r>
      <w:r w:rsidR="00BA1ECC" w:rsidRPr="00D01B10">
        <w:rPr>
          <w:rFonts w:ascii="Book Antiqua" w:hAnsi="Book Antiqua"/>
          <w:sz w:val="24"/>
          <w:szCs w:val="24"/>
        </w:rPr>
        <w:t xml:space="preserve">, </w:t>
      </w:r>
      <w:r w:rsidR="00D76F38" w:rsidRPr="00D01B10">
        <w:rPr>
          <w:rFonts w:ascii="Book Antiqua" w:hAnsi="Book Antiqua"/>
          <w:sz w:val="24"/>
          <w:szCs w:val="24"/>
          <w:shd w:val="clear" w:color="auto" w:fill="FFFFFF"/>
        </w:rPr>
        <w:t>direct bilirubin</w:t>
      </w:r>
      <w:r w:rsidR="00D76F38" w:rsidRPr="00D01B10">
        <w:rPr>
          <w:rFonts w:ascii="Book Antiqua" w:hAnsi="Book Antiqua"/>
          <w:sz w:val="24"/>
          <w:szCs w:val="24"/>
        </w:rPr>
        <w:t xml:space="preserve"> </w:t>
      </w:r>
      <w:r w:rsidR="00BA1ECC" w:rsidRPr="00D01B10">
        <w:rPr>
          <w:rFonts w:ascii="Book Antiqua" w:hAnsi="Book Antiqua"/>
          <w:sz w:val="24"/>
          <w:szCs w:val="24"/>
        </w:rPr>
        <w:t xml:space="preserve">and </w:t>
      </w:r>
      <w:r w:rsidR="00D76F38" w:rsidRPr="00D01B10">
        <w:rPr>
          <w:rFonts w:ascii="Book Antiqua" w:hAnsi="Book Antiqua"/>
          <w:sz w:val="24"/>
          <w:szCs w:val="24"/>
          <w:shd w:val="clear" w:color="auto" w:fill="FFFFFF"/>
        </w:rPr>
        <w:t xml:space="preserve">total bilirubin </w:t>
      </w:r>
      <w:r w:rsidR="00BA1ECC" w:rsidRPr="00D01B10">
        <w:rPr>
          <w:rFonts w:ascii="Book Antiqua" w:hAnsi="Book Antiqua"/>
          <w:sz w:val="24"/>
          <w:szCs w:val="24"/>
        </w:rPr>
        <w:t>levels between the two groups (</w:t>
      </w:r>
      <w:r w:rsidR="00BA1ECC" w:rsidRPr="00D01B10">
        <w:rPr>
          <w:rFonts w:ascii="Book Antiqua" w:hAnsi="Book Antiqua"/>
          <w:i/>
          <w:iCs/>
          <w:sz w:val="24"/>
          <w:szCs w:val="24"/>
        </w:rPr>
        <w:t>P &gt;</w:t>
      </w:r>
      <w:r w:rsidR="00E2414D" w:rsidRPr="00D01B10">
        <w:rPr>
          <w:rFonts w:ascii="Book Antiqua" w:hAnsi="Book Antiqua"/>
          <w:sz w:val="24"/>
          <w:szCs w:val="24"/>
        </w:rPr>
        <w:t xml:space="preserve"> 0.05</w:t>
      </w:r>
      <w:r w:rsidR="00BA1ECC" w:rsidRPr="00D01B10">
        <w:rPr>
          <w:rFonts w:ascii="Book Antiqua" w:hAnsi="Book Antiqua"/>
          <w:sz w:val="24"/>
          <w:szCs w:val="24"/>
        </w:rPr>
        <w:t>) (Table 2).</w:t>
      </w:r>
    </w:p>
    <w:p w:rsidR="00E2414D" w:rsidRPr="00D01B10" w:rsidRDefault="00E2414D" w:rsidP="00D01B10">
      <w:pPr>
        <w:spacing w:line="360" w:lineRule="auto"/>
        <w:rPr>
          <w:rFonts w:ascii="Book Antiqua" w:hAnsi="Book Antiqua"/>
          <w:sz w:val="24"/>
          <w:szCs w:val="24"/>
        </w:rPr>
      </w:pPr>
    </w:p>
    <w:p w:rsidR="00BA1ECC" w:rsidRPr="00D01B10" w:rsidRDefault="00BA1ECC" w:rsidP="00D01B10">
      <w:pPr>
        <w:spacing w:line="360" w:lineRule="auto"/>
        <w:rPr>
          <w:rFonts w:ascii="Book Antiqua" w:hAnsi="Book Antiqua"/>
          <w:b/>
          <w:bCs/>
          <w:i/>
          <w:sz w:val="24"/>
          <w:szCs w:val="24"/>
        </w:rPr>
      </w:pPr>
      <w:r w:rsidRPr="00D01B10">
        <w:rPr>
          <w:rFonts w:ascii="Book Antiqua" w:hAnsi="Book Antiqua"/>
          <w:b/>
          <w:bCs/>
          <w:i/>
          <w:sz w:val="24"/>
          <w:szCs w:val="24"/>
        </w:rPr>
        <w:t>ROC curves</w:t>
      </w:r>
    </w:p>
    <w:p w:rsidR="00BA1ECC" w:rsidRPr="00BA1ECC" w:rsidRDefault="00BA1ECC" w:rsidP="00D01B10">
      <w:pPr>
        <w:spacing w:line="360" w:lineRule="auto"/>
        <w:rPr>
          <w:rFonts w:ascii="Book Antiqua" w:hAnsi="Book Antiqua"/>
          <w:sz w:val="24"/>
          <w:szCs w:val="24"/>
        </w:rPr>
      </w:pPr>
      <w:bookmarkStart w:id="24" w:name="OLE_LINK46"/>
      <w:bookmarkStart w:id="25" w:name="OLE_LINK21"/>
      <w:r w:rsidRPr="00D01B10">
        <w:rPr>
          <w:rFonts w:ascii="Book Antiqua" w:hAnsi="Book Antiqua"/>
          <w:sz w:val="24"/>
          <w:szCs w:val="24"/>
        </w:rPr>
        <w:t>The AUC</w:t>
      </w:r>
      <w:r w:rsidR="00C01709">
        <w:rPr>
          <w:rFonts w:ascii="Book Antiqua" w:hAnsi="Book Antiqua"/>
          <w:sz w:val="24"/>
          <w:szCs w:val="24"/>
        </w:rPr>
        <w:t>s</w:t>
      </w:r>
      <w:r w:rsidRPr="00D01B10">
        <w:rPr>
          <w:rFonts w:ascii="Book Antiqua" w:hAnsi="Book Antiqua"/>
          <w:sz w:val="24"/>
          <w:szCs w:val="24"/>
        </w:rPr>
        <w:t xml:space="preserve"> were 0.881 (</w:t>
      </w:r>
      <w:r w:rsidR="00B93E2A" w:rsidRPr="00D01B10">
        <w:rPr>
          <w:rFonts w:ascii="Book Antiqua" w:hAnsi="Book Antiqua"/>
          <w:sz w:val="24"/>
          <w:szCs w:val="24"/>
        </w:rPr>
        <w:t>95%</w:t>
      </w:r>
      <w:r w:rsidR="00C01709">
        <w:rPr>
          <w:rFonts w:ascii="Book Antiqua" w:hAnsi="Book Antiqua"/>
          <w:sz w:val="24"/>
          <w:szCs w:val="24"/>
        </w:rPr>
        <w:t xml:space="preserve"> </w:t>
      </w:r>
      <w:r w:rsidR="00B93E2A" w:rsidRPr="00D01B10">
        <w:rPr>
          <w:rFonts w:ascii="Book Antiqua" w:hAnsi="Book Antiqua"/>
          <w:sz w:val="24"/>
          <w:szCs w:val="24"/>
        </w:rPr>
        <w:t>CI: 0.830-</w:t>
      </w:r>
      <w:r w:rsidRPr="00D01B10">
        <w:rPr>
          <w:rFonts w:ascii="Book Antiqua" w:hAnsi="Book Antiqua"/>
          <w:sz w:val="24"/>
          <w:szCs w:val="24"/>
        </w:rPr>
        <w:t>0.932), 0.647 (95%</w:t>
      </w:r>
      <w:r w:rsidR="00C01709">
        <w:rPr>
          <w:rFonts w:ascii="Book Antiqua" w:hAnsi="Book Antiqua"/>
          <w:sz w:val="24"/>
          <w:szCs w:val="24"/>
        </w:rPr>
        <w:t xml:space="preserve"> </w:t>
      </w:r>
      <w:r w:rsidRPr="00D01B10">
        <w:rPr>
          <w:rFonts w:ascii="Book Antiqua" w:hAnsi="Book Antiqua"/>
          <w:sz w:val="24"/>
          <w:szCs w:val="24"/>
        </w:rPr>
        <w:t xml:space="preserve">CI: 0.583-0.711) and </w:t>
      </w:r>
      <w:r w:rsidR="00B93E2A" w:rsidRPr="00D01B10">
        <w:rPr>
          <w:rFonts w:ascii="Book Antiqua" w:hAnsi="Book Antiqua"/>
          <w:sz w:val="24"/>
          <w:szCs w:val="24"/>
        </w:rPr>
        <w:t>0.923 (</w:t>
      </w:r>
      <w:r w:rsidR="00C01709">
        <w:rPr>
          <w:rFonts w:ascii="Book Antiqua" w:hAnsi="Book Antiqua"/>
          <w:sz w:val="24"/>
          <w:szCs w:val="24"/>
        </w:rPr>
        <w:t xml:space="preserve">95% CI: </w:t>
      </w:r>
      <w:r w:rsidR="00B93E2A" w:rsidRPr="00D01B10">
        <w:rPr>
          <w:rFonts w:ascii="Book Antiqua" w:hAnsi="Book Antiqua"/>
          <w:sz w:val="24"/>
          <w:szCs w:val="24"/>
        </w:rPr>
        <w:t>0.892-0.953</w:t>
      </w:r>
      <w:r w:rsidRPr="00D01B10">
        <w:rPr>
          <w:rFonts w:ascii="Book Antiqua" w:hAnsi="Book Antiqua"/>
          <w:sz w:val="24"/>
          <w:szCs w:val="24"/>
        </w:rPr>
        <w:t xml:space="preserve">) for GGT, ALP, and </w:t>
      </w:r>
      <w:r w:rsidRPr="00D01B10">
        <w:rPr>
          <w:rFonts w:ascii="Book Antiqua" w:hAnsi="Book Antiqua"/>
          <w:bCs/>
          <w:sz w:val="24"/>
          <w:szCs w:val="24"/>
        </w:rPr>
        <w:t>GGT</w:t>
      </w:r>
      <w:r w:rsidR="002D6662" w:rsidRPr="00D01B10">
        <w:rPr>
          <w:rFonts w:ascii="Book Antiqua" w:hAnsi="Book Antiqua"/>
          <w:bCs/>
          <w:sz w:val="24"/>
          <w:szCs w:val="24"/>
        </w:rPr>
        <w:t xml:space="preserve"> </w:t>
      </w:r>
      <w:r w:rsidRPr="00D01B10">
        <w:rPr>
          <w:rFonts w:ascii="Book Antiqua" w:hAnsi="Book Antiqua"/>
          <w:bCs/>
          <w:sz w:val="24"/>
          <w:szCs w:val="24"/>
        </w:rPr>
        <w:t>+</w:t>
      </w:r>
      <w:r w:rsidR="002D6662" w:rsidRPr="00D01B10">
        <w:rPr>
          <w:rFonts w:ascii="Book Antiqua" w:hAnsi="Book Antiqua"/>
          <w:bCs/>
          <w:sz w:val="24"/>
          <w:szCs w:val="24"/>
        </w:rPr>
        <w:t xml:space="preserve"> </w:t>
      </w:r>
      <w:r w:rsidRPr="00D01B10">
        <w:rPr>
          <w:rFonts w:ascii="Book Antiqua" w:hAnsi="Book Antiqua"/>
          <w:bCs/>
          <w:sz w:val="24"/>
          <w:szCs w:val="24"/>
        </w:rPr>
        <w:t xml:space="preserve">ALP, </w:t>
      </w:r>
      <w:r w:rsidRPr="00D01B10">
        <w:rPr>
          <w:rFonts w:ascii="Book Antiqua" w:hAnsi="Book Antiqua"/>
          <w:sz w:val="24"/>
          <w:szCs w:val="24"/>
        </w:rPr>
        <w:t xml:space="preserve">respectively. </w:t>
      </w:r>
      <w:r w:rsidRPr="00D01B10">
        <w:rPr>
          <w:rFonts w:ascii="Book Antiqua" w:eastAsia="Verdana" w:hAnsi="Book Antiqua"/>
          <w:sz w:val="24"/>
          <w:szCs w:val="24"/>
        </w:rPr>
        <w:t>The correspondent cut-off value</w:t>
      </w:r>
      <w:r w:rsidR="00C01709">
        <w:rPr>
          <w:rFonts w:ascii="Book Antiqua" w:eastAsia="Verdana" w:hAnsi="Book Antiqua"/>
          <w:sz w:val="24"/>
          <w:szCs w:val="24"/>
        </w:rPr>
        <w:t>s</w:t>
      </w:r>
      <w:r w:rsidRPr="00D01B10">
        <w:rPr>
          <w:rFonts w:ascii="Book Antiqua" w:eastAsia="Verdana" w:hAnsi="Book Antiqua"/>
          <w:sz w:val="24"/>
          <w:szCs w:val="24"/>
        </w:rPr>
        <w:t xml:space="preserve"> of GGT and ALP were 95.5 U/L and 151.5 </w:t>
      </w:r>
      <w:bookmarkStart w:id="26" w:name="OLE_LINK9"/>
      <w:r w:rsidRPr="00D01B10">
        <w:rPr>
          <w:rFonts w:ascii="Book Antiqua" w:eastAsia="Verdana" w:hAnsi="Book Antiqua"/>
          <w:sz w:val="24"/>
          <w:szCs w:val="24"/>
        </w:rPr>
        <w:t>U/L</w:t>
      </w:r>
      <w:bookmarkEnd w:id="26"/>
      <w:r w:rsidRPr="00D01B10">
        <w:rPr>
          <w:rFonts w:ascii="Book Antiqua" w:eastAsia="Verdana" w:hAnsi="Book Antiqua"/>
          <w:sz w:val="24"/>
          <w:szCs w:val="24"/>
        </w:rPr>
        <w:t>, sensitivit</w:t>
      </w:r>
      <w:r w:rsidR="00C01709">
        <w:rPr>
          <w:rFonts w:ascii="Book Antiqua" w:eastAsia="Verdana" w:hAnsi="Book Antiqua"/>
          <w:sz w:val="24"/>
          <w:szCs w:val="24"/>
        </w:rPr>
        <w:t>ies</w:t>
      </w:r>
      <w:r w:rsidRPr="00D01B10">
        <w:rPr>
          <w:rFonts w:ascii="Book Antiqua" w:eastAsia="Verdana" w:hAnsi="Book Antiqua"/>
          <w:sz w:val="24"/>
          <w:szCs w:val="24"/>
        </w:rPr>
        <w:t xml:space="preserve"> were 90.8% and 65.1%, and specificit</w:t>
      </w:r>
      <w:r w:rsidR="00C01709">
        <w:rPr>
          <w:rFonts w:ascii="Book Antiqua" w:eastAsia="Verdana" w:hAnsi="Book Antiqua"/>
          <w:sz w:val="24"/>
          <w:szCs w:val="24"/>
        </w:rPr>
        <w:t>ies</w:t>
      </w:r>
      <w:r w:rsidRPr="00D01B10">
        <w:rPr>
          <w:rFonts w:ascii="Book Antiqua" w:eastAsia="Verdana" w:hAnsi="Book Antiqua"/>
          <w:sz w:val="24"/>
          <w:szCs w:val="24"/>
        </w:rPr>
        <w:t xml:space="preserve"> were 83.6% and 59.8%, respectively</w:t>
      </w:r>
      <w:r w:rsidRPr="00D01B10">
        <w:rPr>
          <w:rFonts w:ascii="Book Antiqua" w:hAnsi="Book Antiqua"/>
          <w:sz w:val="24"/>
          <w:szCs w:val="24"/>
        </w:rPr>
        <w:t xml:space="preserve">. </w:t>
      </w:r>
      <w:r w:rsidRPr="00D01B10">
        <w:rPr>
          <w:rFonts w:ascii="Book Antiqua" w:eastAsia="Verdana" w:hAnsi="Book Antiqua"/>
          <w:sz w:val="24"/>
          <w:szCs w:val="24"/>
        </w:rPr>
        <w:t>The sensitivity</w:t>
      </w:r>
      <w:r w:rsidRPr="00D01B10">
        <w:rPr>
          <w:rFonts w:ascii="Book Antiqua" w:hAnsi="Book Antiqua"/>
          <w:sz w:val="24"/>
          <w:szCs w:val="24"/>
        </w:rPr>
        <w:t xml:space="preserve"> </w:t>
      </w:r>
      <w:r w:rsidRPr="00D01B10">
        <w:rPr>
          <w:rFonts w:ascii="Book Antiqua" w:eastAsia="Verdana" w:hAnsi="Book Antiqua"/>
          <w:sz w:val="24"/>
          <w:szCs w:val="24"/>
        </w:rPr>
        <w:t>and specificity</w:t>
      </w:r>
      <w:r w:rsidRPr="00D01B10">
        <w:rPr>
          <w:rFonts w:ascii="Book Antiqua" w:hAnsi="Book Antiqua"/>
          <w:sz w:val="24"/>
          <w:szCs w:val="24"/>
        </w:rPr>
        <w:t xml:space="preserve"> </w:t>
      </w:r>
      <w:r w:rsidRPr="00D01B10">
        <w:rPr>
          <w:rFonts w:ascii="Book Antiqua" w:eastAsia="Verdana" w:hAnsi="Book Antiqua"/>
          <w:sz w:val="24"/>
          <w:szCs w:val="24"/>
        </w:rPr>
        <w:t xml:space="preserve">of </w:t>
      </w:r>
      <w:r w:rsidRPr="00D01B10">
        <w:rPr>
          <w:rFonts w:ascii="Book Antiqua" w:hAnsi="Book Antiqua"/>
          <w:bCs/>
          <w:sz w:val="24"/>
          <w:szCs w:val="24"/>
        </w:rPr>
        <w:t>GGT</w:t>
      </w:r>
      <w:r w:rsidR="00D52E4A" w:rsidRPr="00D01B10">
        <w:rPr>
          <w:rFonts w:ascii="Book Antiqua" w:hAnsi="Book Antiqua"/>
          <w:bCs/>
          <w:sz w:val="24"/>
          <w:szCs w:val="24"/>
        </w:rPr>
        <w:t xml:space="preserve"> </w:t>
      </w:r>
      <w:r w:rsidRPr="00D01B10">
        <w:rPr>
          <w:rFonts w:ascii="Book Antiqua" w:hAnsi="Book Antiqua"/>
          <w:bCs/>
          <w:sz w:val="24"/>
          <w:szCs w:val="24"/>
        </w:rPr>
        <w:t>+</w:t>
      </w:r>
      <w:r w:rsidR="00D52E4A" w:rsidRPr="00D01B10">
        <w:rPr>
          <w:rFonts w:ascii="Book Antiqua" w:hAnsi="Book Antiqua"/>
          <w:bCs/>
          <w:sz w:val="24"/>
          <w:szCs w:val="24"/>
        </w:rPr>
        <w:t xml:space="preserve"> </w:t>
      </w:r>
      <w:r w:rsidRPr="00D01B10">
        <w:rPr>
          <w:rFonts w:ascii="Book Antiqua" w:hAnsi="Book Antiqua"/>
          <w:bCs/>
          <w:sz w:val="24"/>
          <w:szCs w:val="24"/>
        </w:rPr>
        <w:t>ALP were</w:t>
      </w:r>
      <w:r w:rsidRPr="00D01B10">
        <w:rPr>
          <w:rFonts w:ascii="Book Antiqua" w:eastAsia="Verdana" w:hAnsi="Book Antiqua"/>
          <w:sz w:val="24"/>
          <w:szCs w:val="24"/>
        </w:rPr>
        <w:t xml:space="preserve"> </w:t>
      </w:r>
      <w:r w:rsidRPr="00D01B10">
        <w:rPr>
          <w:rFonts w:ascii="Book Antiqua" w:hAnsi="Book Antiqua"/>
          <w:sz w:val="24"/>
          <w:szCs w:val="24"/>
        </w:rPr>
        <w:t>93.5</w:t>
      </w:r>
      <w:r w:rsidRPr="00D01B10">
        <w:rPr>
          <w:rFonts w:ascii="Book Antiqua" w:eastAsia="Verdana" w:hAnsi="Book Antiqua"/>
          <w:sz w:val="24"/>
          <w:szCs w:val="24"/>
        </w:rPr>
        <w:t xml:space="preserve">% and </w:t>
      </w:r>
      <w:r w:rsidRPr="00D01B10">
        <w:rPr>
          <w:rFonts w:ascii="Book Antiqua" w:hAnsi="Book Antiqua"/>
          <w:sz w:val="24"/>
          <w:szCs w:val="24"/>
        </w:rPr>
        <w:t>85.1</w:t>
      </w:r>
      <w:r w:rsidRPr="00D01B10">
        <w:rPr>
          <w:rFonts w:ascii="Book Antiqua" w:eastAsia="Verdana" w:hAnsi="Book Antiqua"/>
          <w:sz w:val="24"/>
          <w:szCs w:val="24"/>
        </w:rPr>
        <w:t>%, respectively (</w:t>
      </w:r>
      <w:bookmarkStart w:id="27" w:name="OLE_LINK22"/>
      <w:r w:rsidRPr="00D01B10">
        <w:rPr>
          <w:rFonts w:ascii="Book Antiqua" w:eastAsia="Verdana" w:hAnsi="Book Antiqua"/>
          <w:sz w:val="24"/>
          <w:szCs w:val="24"/>
        </w:rPr>
        <w:t>Table 3 and Figure 1</w:t>
      </w:r>
      <w:bookmarkEnd w:id="27"/>
      <w:r w:rsidRPr="00D01B10">
        <w:rPr>
          <w:rFonts w:ascii="Book Antiqua" w:eastAsia="Verdana" w:hAnsi="Book Antiqua"/>
          <w:sz w:val="24"/>
          <w:szCs w:val="24"/>
        </w:rPr>
        <w:t>).</w:t>
      </w:r>
      <w:bookmarkEnd w:id="24"/>
    </w:p>
    <w:p w:rsidR="00B93E2A" w:rsidRPr="00BA1ECC" w:rsidRDefault="00B93E2A" w:rsidP="00D01B10">
      <w:pPr>
        <w:spacing w:line="360" w:lineRule="auto"/>
        <w:rPr>
          <w:rFonts w:ascii="Book Antiqua" w:hAnsi="Book Antiqua"/>
          <w:sz w:val="24"/>
          <w:szCs w:val="24"/>
        </w:rPr>
      </w:pPr>
    </w:p>
    <w:bookmarkEnd w:id="25"/>
    <w:p w:rsidR="00BA1ECC" w:rsidRPr="00D01B10" w:rsidRDefault="00BA1ECC" w:rsidP="00D01B10">
      <w:pPr>
        <w:spacing w:line="360" w:lineRule="auto"/>
        <w:rPr>
          <w:rFonts w:ascii="Book Antiqua" w:hAnsi="Book Antiqua"/>
          <w:b/>
          <w:sz w:val="24"/>
          <w:szCs w:val="24"/>
        </w:rPr>
      </w:pPr>
      <w:r w:rsidRPr="00D01B10">
        <w:rPr>
          <w:rFonts w:ascii="Book Antiqua" w:hAnsi="Book Antiqua"/>
          <w:b/>
          <w:sz w:val="24"/>
          <w:szCs w:val="24"/>
        </w:rPr>
        <w:t>DISCUSSION</w:t>
      </w:r>
    </w:p>
    <w:p w:rsidR="00BA1ECC" w:rsidRPr="00D01B10" w:rsidRDefault="00BA1ECC" w:rsidP="00D01B10">
      <w:pPr>
        <w:spacing w:line="360" w:lineRule="auto"/>
        <w:rPr>
          <w:rFonts w:ascii="Book Antiqua" w:hAnsi="Book Antiqua"/>
          <w:sz w:val="24"/>
          <w:szCs w:val="24"/>
        </w:rPr>
      </w:pPr>
      <w:r w:rsidRPr="00D01B10">
        <w:rPr>
          <w:rFonts w:ascii="Book Antiqua" w:hAnsi="Book Antiqua"/>
          <w:sz w:val="24"/>
          <w:szCs w:val="24"/>
        </w:rPr>
        <w:t>Cholelithiasis is a common and frequently occurring disease worldwide. In the United States, the incidence of cholelithiasis is as high as 15</w:t>
      </w:r>
      <w:r w:rsidR="00EC6DB6" w:rsidRPr="00D01B10">
        <w:rPr>
          <w:rFonts w:ascii="Book Antiqua" w:hAnsi="Book Antiqua"/>
          <w:sz w:val="24"/>
          <w:szCs w:val="24"/>
        </w:rPr>
        <w:t>%</w:t>
      </w:r>
      <w:r w:rsidRPr="00D01B10">
        <w:rPr>
          <w:rFonts w:ascii="Book Antiqua" w:hAnsi="Book Antiqua"/>
          <w:sz w:val="24"/>
          <w:szCs w:val="24"/>
        </w:rPr>
        <w:t>–20%</w:t>
      </w:r>
      <w:r w:rsidRPr="00D01B10">
        <w:rPr>
          <w:rFonts w:ascii="Book Antiqua" w:hAnsi="Book Antiqua"/>
          <w:sz w:val="24"/>
          <w:szCs w:val="24"/>
          <w:vertAlign w:val="superscript"/>
        </w:rPr>
        <w:t>[9]</w:t>
      </w:r>
      <w:r w:rsidRPr="00D01B10">
        <w:rPr>
          <w:rFonts w:ascii="Book Antiqua" w:hAnsi="Book Antiqua"/>
          <w:sz w:val="24"/>
          <w:szCs w:val="24"/>
        </w:rPr>
        <w:t>. In China, the overall incidence of the disease is 10%, and the incidence is higher in the western region</w:t>
      </w:r>
      <w:r w:rsidR="00C01709">
        <w:rPr>
          <w:rFonts w:ascii="Book Antiqua" w:hAnsi="Book Antiqua"/>
          <w:sz w:val="24"/>
          <w:szCs w:val="24"/>
        </w:rPr>
        <w:t>;</w:t>
      </w:r>
      <w:r w:rsidRPr="00D01B10">
        <w:rPr>
          <w:rFonts w:ascii="Book Antiqua" w:hAnsi="Book Antiqua"/>
          <w:sz w:val="24"/>
          <w:szCs w:val="24"/>
        </w:rPr>
        <w:t xml:space="preserve"> however</w:t>
      </w:r>
      <w:r w:rsidR="00C01709">
        <w:rPr>
          <w:rFonts w:ascii="Book Antiqua" w:hAnsi="Book Antiqua"/>
          <w:sz w:val="24"/>
          <w:szCs w:val="24"/>
        </w:rPr>
        <w:t>, recent</w:t>
      </w:r>
      <w:r w:rsidRPr="00D01B10">
        <w:rPr>
          <w:rFonts w:ascii="Book Antiqua" w:hAnsi="Book Antiqua"/>
          <w:sz w:val="24"/>
          <w:szCs w:val="24"/>
        </w:rPr>
        <w:t xml:space="preserve"> studies have found that the incidence has been </w:t>
      </w:r>
      <w:r w:rsidR="00C01709" w:rsidRPr="00D01B10">
        <w:rPr>
          <w:rFonts w:ascii="Book Antiqua" w:hAnsi="Book Antiqua"/>
          <w:sz w:val="24"/>
          <w:szCs w:val="24"/>
        </w:rPr>
        <w:t xml:space="preserve">significantly </w:t>
      </w:r>
      <w:r w:rsidRPr="00D01B10">
        <w:rPr>
          <w:rFonts w:ascii="Book Antiqua" w:hAnsi="Book Antiqua"/>
          <w:sz w:val="24"/>
          <w:szCs w:val="24"/>
        </w:rPr>
        <w:t>increasing. According to the latest literature, cholelithiasis is occurring in younger patients year by year, with a significant increase in adolescents (&lt;</w:t>
      </w:r>
      <w:r w:rsidR="00C01709">
        <w:rPr>
          <w:rFonts w:ascii="Book Antiqua" w:hAnsi="Book Antiqua"/>
          <w:sz w:val="24"/>
          <w:szCs w:val="24"/>
        </w:rPr>
        <w:t xml:space="preserve"> </w:t>
      </w:r>
      <w:r w:rsidRPr="00D01B10">
        <w:rPr>
          <w:rFonts w:ascii="Book Antiqua" w:hAnsi="Book Antiqua"/>
          <w:sz w:val="24"/>
          <w:szCs w:val="24"/>
        </w:rPr>
        <w:t>20 years old), which may be related to obesity, lack of exercise, diabetes and early pregnancy</w:t>
      </w:r>
      <w:r w:rsidRPr="00D01B10">
        <w:rPr>
          <w:rFonts w:ascii="Book Antiqua" w:hAnsi="Book Antiqua"/>
          <w:sz w:val="24"/>
          <w:szCs w:val="24"/>
          <w:vertAlign w:val="superscript"/>
        </w:rPr>
        <w:t>[10]</w:t>
      </w:r>
      <w:r w:rsidRPr="00D01B10">
        <w:rPr>
          <w:rFonts w:ascii="Book Antiqua" w:hAnsi="Book Antiqua"/>
          <w:sz w:val="24"/>
          <w:szCs w:val="24"/>
        </w:rPr>
        <w:t>. Choledocholithiasis can be divided into primary and secondary disease. Most cases are secondary choledocholithiasis</w:t>
      </w:r>
      <w:r w:rsidRPr="00D01B10">
        <w:rPr>
          <w:rFonts w:ascii="Book Antiqua" w:hAnsi="Book Antiqua"/>
          <w:sz w:val="24"/>
          <w:szCs w:val="24"/>
          <w:vertAlign w:val="superscript"/>
        </w:rPr>
        <w:t>[11]</w:t>
      </w:r>
      <w:r w:rsidRPr="00D01B10">
        <w:rPr>
          <w:rFonts w:ascii="Book Antiqua" w:hAnsi="Book Antiqua"/>
          <w:sz w:val="24"/>
          <w:szCs w:val="24"/>
        </w:rPr>
        <w:t xml:space="preserve">, in which small gallstones descend to the common bile duct through the cystic duct. If they cannot be extruded from the common </w:t>
      </w:r>
      <w:r w:rsidRPr="00D01B10">
        <w:rPr>
          <w:rFonts w:ascii="Book Antiqua" w:hAnsi="Book Antiqua"/>
          <w:sz w:val="24"/>
          <w:szCs w:val="24"/>
        </w:rPr>
        <w:lastRenderedPageBreak/>
        <w:t xml:space="preserve">bile duct into the duodenum, they form common bile duct stones, also known as choledocholithiasis. Since the stones are small and float in the common bile duct, most patients are asymptomatic for a period of time, which is called static or asymptomatic choledocholithiasis. Our results showed that the overall incidence of secondary asymptomatic choledocholithiasis was as high as 18.2%. </w:t>
      </w:r>
      <w:r w:rsidR="00C01709">
        <w:rPr>
          <w:rFonts w:ascii="Book Antiqua" w:hAnsi="Book Antiqua"/>
          <w:sz w:val="24"/>
          <w:szCs w:val="24"/>
        </w:rPr>
        <w:t>P</w:t>
      </w:r>
      <w:r w:rsidRPr="00D01B10">
        <w:rPr>
          <w:rFonts w:ascii="Book Antiqua" w:hAnsi="Book Antiqua"/>
          <w:sz w:val="24"/>
          <w:szCs w:val="24"/>
        </w:rPr>
        <w:t>atients diagnosed and treated in our hospital mainly came from Southwest China, and the overall incidence of cholelithiasis in this area is high. In the process of autonomic stone drainage of choledocholithiasis, it is likely to cause serious complications such as stone incarceration, acute obstructive suppurative cholangitis and acute pancreatitis. On one hand, some</w:t>
      </w:r>
      <w:r w:rsidR="00C01709" w:rsidRPr="00C01709">
        <w:rPr>
          <w:rFonts w:ascii="Book Antiqua" w:hAnsi="Book Antiqua"/>
          <w:sz w:val="24"/>
          <w:szCs w:val="24"/>
        </w:rPr>
        <w:t xml:space="preserve"> </w:t>
      </w:r>
      <w:r w:rsidR="00C01709" w:rsidRPr="00D01B10">
        <w:rPr>
          <w:rFonts w:ascii="Book Antiqua" w:hAnsi="Book Antiqua"/>
          <w:sz w:val="24"/>
          <w:szCs w:val="24"/>
        </w:rPr>
        <w:t>cholecystolithiasis</w:t>
      </w:r>
      <w:r w:rsidRPr="00D01B10">
        <w:rPr>
          <w:rFonts w:ascii="Book Antiqua" w:hAnsi="Book Antiqua"/>
          <w:sz w:val="24"/>
          <w:szCs w:val="24"/>
        </w:rPr>
        <w:t xml:space="preserve"> patients are unwilling to undergo early surgical treatment and opt for outpatient follow-up. If they are not screened for asymptomatic choledocholithiasis, stones may exist in the common bile duct for a long time without symptoms, which can lead to long-term chronic bile duct inflammation and even cholangiocarcinoma. On the other hand, if asymptomatic choledocholithiasis is not found before surgery in patients with gallstones, LC alone may result in complications such as jaundice, acute cholangitis and acute pancreatitis. Therefore, </w:t>
      </w:r>
      <w:bookmarkStart w:id="28" w:name="OLE_LINK16"/>
      <w:r w:rsidRPr="00D01B10">
        <w:rPr>
          <w:rFonts w:ascii="Book Antiqua" w:hAnsi="Book Antiqua"/>
          <w:sz w:val="24"/>
          <w:szCs w:val="24"/>
        </w:rPr>
        <w:t>it is important to perform routine secondary asymptomatic choledocholithiasis screening</w:t>
      </w:r>
      <w:bookmarkEnd w:id="28"/>
      <w:r w:rsidR="00C01709" w:rsidRPr="00C01709">
        <w:rPr>
          <w:rFonts w:ascii="Book Antiqua" w:hAnsi="Book Antiqua"/>
          <w:sz w:val="24"/>
          <w:szCs w:val="24"/>
        </w:rPr>
        <w:t xml:space="preserve"> </w:t>
      </w:r>
      <w:r w:rsidR="00C01709">
        <w:rPr>
          <w:rFonts w:ascii="Book Antiqua" w:hAnsi="Book Antiqua"/>
          <w:sz w:val="24"/>
          <w:szCs w:val="24"/>
        </w:rPr>
        <w:t>on</w:t>
      </w:r>
      <w:r w:rsidR="00C01709" w:rsidRPr="00D01B10">
        <w:rPr>
          <w:rFonts w:ascii="Book Antiqua" w:hAnsi="Book Antiqua"/>
          <w:sz w:val="24"/>
          <w:szCs w:val="24"/>
        </w:rPr>
        <w:t xml:space="preserve"> cholecystolithiasis patients</w:t>
      </w:r>
      <w:r w:rsidRPr="00D01B10">
        <w:rPr>
          <w:rFonts w:ascii="Book Antiqua" w:hAnsi="Book Antiqua"/>
          <w:sz w:val="24"/>
          <w:szCs w:val="24"/>
        </w:rPr>
        <w:t xml:space="preserve"> to improve the vigilance of clinicians and to avoid these harmful complications.</w:t>
      </w:r>
    </w:p>
    <w:p w:rsidR="00BA1ECC" w:rsidRPr="00D01B10" w:rsidRDefault="00BA1ECC" w:rsidP="00D01B10">
      <w:pPr>
        <w:spacing w:line="360" w:lineRule="auto"/>
        <w:ind w:firstLine="420"/>
        <w:rPr>
          <w:rFonts w:ascii="Book Antiqua" w:hAnsi="Book Antiqua"/>
          <w:sz w:val="24"/>
          <w:szCs w:val="24"/>
        </w:rPr>
      </w:pPr>
      <w:r w:rsidRPr="00D01B10">
        <w:rPr>
          <w:rFonts w:ascii="Book Antiqua" w:hAnsi="Book Antiqua"/>
          <w:sz w:val="24"/>
          <w:szCs w:val="24"/>
        </w:rPr>
        <w:t xml:space="preserve">The examination methods of </w:t>
      </w:r>
      <w:bookmarkStart w:id="29" w:name="OLE_LINK7"/>
      <w:r w:rsidRPr="00D01B10">
        <w:rPr>
          <w:rFonts w:ascii="Book Antiqua" w:hAnsi="Book Antiqua"/>
          <w:sz w:val="24"/>
          <w:szCs w:val="24"/>
        </w:rPr>
        <w:t>choledocholithiasis include abdominal B-ultrasound, computed tomography (</w:t>
      </w:r>
      <w:r w:rsidR="00D96F1B">
        <w:rPr>
          <w:rFonts w:ascii="Book Antiqua" w:hAnsi="Book Antiqua"/>
          <w:sz w:val="24"/>
          <w:szCs w:val="24"/>
        </w:rPr>
        <w:t xml:space="preserve">commonly known as </w:t>
      </w:r>
      <w:r w:rsidRPr="00D01B10">
        <w:rPr>
          <w:rFonts w:ascii="Book Antiqua" w:hAnsi="Book Antiqua"/>
          <w:sz w:val="24"/>
          <w:szCs w:val="24"/>
        </w:rPr>
        <w:t>CT), MRCP</w:t>
      </w:r>
      <w:bookmarkEnd w:id="29"/>
      <w:r w:rsidRPr="00D01B10">
        <w:rPr>
          <w:rFonts w:ascii="Book Antiqua" w:hAnsi="Book Antiqua"/>
          <w:sz w:val="24"/>
          <w:szCs w:val="24"/>
        </w:rPr>
        <w:t xml:space="preserve">, </w:t>
      </w:r>
      <w:r w:rsidRPr="00D01B10">
        <w:rPr>
          <w:rFonts w:ascii="Book Antiqua" w:hAnsi="Book Antiqua"/>
          <w:sz w:val="24"/>
          <w:szCs w:val="24"/>
          <w:shd w:val="clear" w:color="auto" w:fill="FFFFFF"/>
        </w:rPr>
        <w:t xml:space="preserve">ERCP </w:t>
      </w:r>
      <w:r w:rsidRPr="00D01B10">
        <w:rPr>
          <w:rFonts w:ascii="Book Antiqua" w:hAnsi="Book Antiqua"/>
          <w:sz w:val="24"/>
          <w:szCs w:val="24"/>
        </w:rPr>
        <w:t>and endoscopic ultrasound (EUS)</w:t>
      </w:r>
      <w:r w:rsidRPr="00D01B10">
        <w:rPr>
          <w:rFonts w:ascii="Book Antiqua" w:hAnsi="Book Antiqua"/>
          <w:sz w:val="24"/>
          <w:szCs w:val="24"/>
          <w:vertAlign w:val="superscript"/>
        </w:rPr>
        <w:t>[12-14]</w:t>
      </w:r>
      <w:r w:rsidRPr="00D01B10">
        <w:rPr>
          <w:rFonts w:ascii="Book Antiqua" w:hAnsi="Book Antiqua"/>
          <w:sz w:val="24"/>
          <w:szCs w:val="24"/>
        </w:rPr>
        <w:t xml:space="preserve">. Abdominal B-ultrasound can </w:t>
      </w:r>
      <w:r w:rsidR="00D96F1B" w:rsidRPr="00D01B10">
        <w:rPr>
          <w:rFonts w:ascii="Book Antiqua" w:hAnsi="Book Antiqua"/>
          <w:sz w:val="24"/>
          <w:szCs w:val="24"/>
        </w:rPr>
        <w:t xml:space="preserve">accurately </w:t>
      </w:r>
      <w:r w:rsidRPr="00D01B10">
        <w:rPr>
          <w:rFonts w:ascii="Book Antiqua" w:hAnsi="Book Antiqua"/>
          <w:sz w:val="24"/>
          <w:szCs w:val="24"/>
        </w:rPr>
        <w:t xml:space="preserve">diagnose cholecystolithiasis and is the first choice for the examination of cholecystolithiasis. However, the location of the common bile duct is deep, and due to disturbance by </w:t>
      </w:r>
      <w:r w:rsidR="00D96F1B" w:rsidRPr="00D01B10">
        <w:rPr>
          <w:rFonts w:ascii="Book Antiqua" w:hAnsi="Book Antiqua"/>
          <w:sz w:val="24"/>
          <w:szCs w:val="24"/>
        </w:rPr>
        <w:t xml:space="preserve">abdominal wall </w:t>
      </w:r>
      <w:r w:rsidRPr="00D01B10">
        <w:rPr>
          <w:rFonts w:ascii="Book Antiqua" w:hAnsi="Book Antiqua"/>
          <w:sz w:val="24"/>
          <w:szCs w:val="24"/>
        </w:rPr>
        <w:t xml:space="preserve">fat and gastrointestinal gas, there is no expansion or no apparent expansion of the upper common bile duct, or there is stenosis and curvature of the common bile duct. Therefore, it is often difficult to detect common bile duct stones with </w:t>
      </w:r>
      <w:r w:rsidRPr="00D01B10">
        <w:rPr>
          <w:rFonts w:ascii="Book Antiqua" w:hAnsi="Book Antiqua"/>
          <w:sz w:val="24"/>
          <w:szCs w:val="24"/>
        </w:rPr>
        <w:lastRenderedPageBreak/>
        <w:t>external B-ultrasound, and its diagnostic accuracy for sediment-like stones is only 55%</w:t>
      </w:r>
      <w:r w:rsidRPr="00D01B10">
        <w:rPr>
          <w:rFonts w:ascii="Book Antiqua" w:hAnsi="Book Antiqua"/>
          <w:sz w:val="24"/>
          <w:szCs w:val="24"/>
          <w:vertAlign w:val="superscript"/>
        </w:rPr>
        <w:t>[15]</w:t>
      </w:r>
      <w:r w:rsidRPr="00D01B10">
        <w:rPr>
          <w:rFonts w:ascii="Book Antiqua" w:hAnsi="Book Antiqua"/>
          <w:sz w:val="24"/>
          <w:szCs w:val="24"/>
        </w:rPr>
        <w:t>. CT examination has a high diagnostic rate for high-density calculi with a large diameter, but the diagnostic accuracy for low-density or small stones is low</w:t>
      </w:r>
      <w:r w:rsidRPr="00D01B10">
        <w:rPr>
          <w:rFonts w:ascii="Book Antiqua" w:hAnsi="Book Antiqua"/>
          <w:sz w:val="24"/>
          <w:szCs w:val="24"/>
          <w:vertAlign w:val="superscript"/>
        </w:rPr>
        <w:t>[16]</w:t>
      </w:r>
      <w:r w:rsidRPr="00D01B10">
        <w:rPr>
          <w:rFonts w:ascii="Book Antiqua" w:hAnsi="Book Antiqua"/>
          <w:sz w:val="24"/>
          <w:szCs w:val="24"/>
        </w:rPr>
        <w:t xml:space="preserve">. MRCP is more sensitive for </w:t>
      </w:r>
      <w:r w:rsidR="00D96F1B">
        <w:rPr>
          <w:rFonts w:ascii="Book Antiqua" w:hAnsi="Book Antiqua"/>
          <w:sz w:val="24"/>
          <w:szCs w:val="24"/>
        </w:rPr>
        <w:t xml:space="preserve">the </w:t>
      </w:r>
      <w:r w:rsidRPr="00D01B10">
        <w:rPr>
          <w:rFonts w:ascii="Book Antiqua" w:hAnsi="Book Antiqua"/>
          <w:sz w:val="24"/>
          <w:szCs w:val="24"/>
        </w:rPr>
        <w:t>diagnosis of common bile duct stones, but the feasibility in patients with pathological obesity or with foreign metal materials in the body (such as a cardiac pacemaker) is low. It is also expensive and increases the economic burden on patients and may lead to waste of medical resources, so it is not appropriate as a routine preoperative screening method. ERCP can identify the location and size of common bile duct stones, and thus is still the gold standard for the diagnosis of choledocholithiasis</w:t>
      </w:r>
      <w:r w:rsidRPr="00D01B10">
        <w:rPr>
          <w:rFonts w:ascii="Book Antiqua" w:hAnsi="Book Antiqua"/>
          <w:sz w:val="24"/>
          <w:szCs w:val="24"/>
          <w:vertAlign w:val="superscript"/>
        </w:rPr>
        <w:t>[15]</w:t>
      </w:r>
      <w:r w:rsidRPr="00D01B10">
        <w:rPr>
          <w:rFonts w:ascii="Book Antiqua" w:hAnsi="Book Antiqua"/>
          <w:sz w:val="24"/>
          <w:szCs w:val="24"/>
        </w:rPr>
        <w:t xml:space="preserve">. However, this method is invasive, difficult to operate and causes many complications, so it cannot be used as an optimal routine screening method. EUS can avoid the interference of abdominal wall fat and gastrointestinal gas and obtain clear bile duct ultrasound imaging, </w:t>
      </w:r>
      <w:r w:rsidR="00FC45C7">
        <w:rPr>
          <w:rFonts w:ascii="Book Antiqua" w:hAnsi="Book Antiqua"/>
          <w:sz w:val="24"/>
          <w:szCs w:val="24"/>
        </w:rPr>
        <w:t>making</w:t>
      </w:r>
      <w:r w:rsidR="00FC45C7" w:rsidRPr="00D01B10">
        <w:rPr>
          <w:rFonts w:ascii="Book Antiqua" w:hAnsi="Book Antiqua"/>
          <w:sz w:val="24"/>
          <w:szCs w:val="24"/>
        </w:rPr>
        <w:t xml:space="preserve"> </w:t>
      </w:r>
      <w:r w:rsidRPr="00D01B10">
        <w:rPr>
          <w:rFonts w:ascii="Book Antiqua" w:hAnsi="Book Antiqua"/>
          <w:sz w:val="24"/>
          <w:szCs w:val="24"/>
        </w:rPr>
        <w:t xml:space="preserve">it a useful tool for </w:t>
      </w:r>
      <w:bookmarkStart w:id="30" w:name="OLE_LINK3"/>
      <w:r w:rsidRPr="00D01B10">
        <w:rPr>
          <w:rFonts w:ascii="Book Antiqua" w:hAnsi="Book Antiqua"/>
          <w:sz w:val="24"/>
          <w:szCs w:val="24"/>
        </w:rPr>
        <w:t>diagnosing common bile duct stones</w:t>
      </w:r>
      <w:bookmarkEnd w:id="30"/>
      <w:r w:rsidRPr="00D01B10">
        <w:rPr>
          <w:rFonts w:ascii="Book Antiqua" w:hAnsi="Book Antiqua"/>
          <w:sz w:val="24"/>
          <w:szCs w:val="24"/>
          <w:vertAlign w:val="superscript"/>
        </w:rPr>
        <w:t>[17]</w:t>
      </w:r>
      <w:r w:rsidRPr="00D01B10">
        <w:rPr>
          <w:rFonts w:ascii="Book Antiqua" w:hAnsi="Book Antiqua"/>
          <w:sz w:val="24"/>
          <w:szCs w:val="24"/>
        </w:rPr>
        <w:t xml:space="preserve">. However, EUS is not yet </w:t>
      </w:r>
      <w:r w:rsidR="00FC45C7">
        <w:rPr>
          <w:rFonts w:ascii="Book Antiqua" w:hAnsi="Book Antiqua"/>
          <w:sz w:val="24"/>
          <w:szCs w:val="24"/>
        </w:rPr>
        <w:t>performed</w:t>
      </w:r>
      <w:r w:rsidRPr="00D01B10">
        <w:rPr>
          <w:rFonts w:ascii="Book Antiqua" w:hAnsi="Book Antiqua"/>
          <w:sz w:val="24"/>
          <w:szCs w:val="24"/>
        </w:rPr>
        <w:t xml:space="preserve"> in most primary hospitals. The procedure also has difficulties </w:t>
      </w:r>
      <w:r w:rsidR="001E6496">
        <w:rPr>
          <w:rFonts w:ascii="Book Antiqua" w:hAnsi="Book Antiqua"/>
          <w:sz w:val="24"/>
          <w:szCs w:val="24"/>
        </w:rPr>
        <w:t>during</w:t>
      </w:r>
      <w:r w:rsidR="001E6496" w:rsidRPr="00D01B10">
        <w:rPr>
          <w:rFonts w:ascii="Book Antiqua" w:hAnsi="Book Antiqua"/>
          <w:sz w:val="24"/>
          <w:szCs w:val="24"/>
        </w:rPr>
        <w:t xml:space="preserve"> </w:t>
      </w:r>
      <w:r w:rsidRPr="00D01B10">
        <w:rPr>
          <w:rFonts w:ascii="Book Antiqua" w:hAnsi="Book Antiqua"/>
          <w:sz w:val="24"/>
          <w:szCs w:val="24"/>
        </w:rPr>
        <w:t>operation. For example, due to stenosis of the stomach outlet and duodenum, the endoscope cannot successfully reach the duodenal bulb, and patients experience a lot of pain, so EUS is not yet considered to be a better routine screening method. Therefore, it is of great clinical significance to find a small-trauma, convenient, fast, reliable and inexpensive examination method for asymptomatic choledocholithiasis screening. According to the literature, factors such as serum bilirubin, ALP and GGT have some predictive effects on the diagnosis of choledocholithiasis</w:t>
      </w:r>
      <w:r w:rsidRPr="00D01B10">
        <w:rPr>
          <w:rFonts w:ascii="Book Antiqua" w:hAnsi="Book Antiqua"/>
          <w:sz w:val="24"/>
          <w:szCs w:val="24"/>
          <w:vertAlign w:val="superscript"/>
        </w:rPr>
        <w:t>[1</w:t>
      </w:r>
      <w:r>
        <w:rPr>
          <w:rFonts w:ascii="Book Antiqua" w:hAnsi="Book Antiqua" w:hint="eastAsia"/>
          <w:sz w:val="24"/>
          <w:szCs w:val="24"/>
          <w:vertAlign w:val="superscript"/>
        </w:rPr>
        <w:t>8</w:t>
      </w:r>
      <w:r w:rsidRPr="00D01B10">
        <w:rPr>
          <w:rFonts w:ascii="Book Antiqua" w:hAnsi="Book Antiqua"/>
          <w:sz w:val="24"/>
          <w:szCs w:val="24"/>
          <w:vertAlign w:val="superscript"/>
        </w:rPr>
        <w:t>-20]</w:t>
      </w:r>
      <w:r w:rsidRPr="00D01B10">
        <w:rPr>
          <w:rFonts w:ascii="Book Antiqua" w:hAnsi="Book Antiqua"/>
          <w:sz w:val="24"/>
          <w:szCs w:val="24"/>
        </w:rPr>
        <w:t>. However, these studies were limited to symptomatic choledocholithiasis, and there have been few studies on secondary asymptomatic choledocholithiasis.</w:t>
      </w:r>
    </w:p>
    <w:p w:rsidR="00BA1ECC" w:rsidRPr="00D01B10" w:rsidRDefault="00BA1ECC" w:rsidP="00D01B10">
      <w:pPr>
        <w:spacing w:line="360" w:lineRule="auto"/>
        <w:ind w:firstLine="420"/>
        <w:rPr>
          <w:rFonts w:ascii="Book Antiqua" w:hAnsi="Book Antiqua"/>
          <w:sz w:val="24"/>
          <w:szCs w:val="24"/>
        </w:rPr>
      </w:pPr>
      <w:r w:rsidRPr="00D01B10">
        <w:rPr>
          <w:rFonts w:ascii="Book Antiqua" w:hAnsi="Book Antiqua"/>
          <w:sz w:val="24"/>
          <w:szCs w:val="24"/>
        </w:rPr>
        <w:t xml:space="preserve">The results of the present study showed that serum GGT and ALP levels in patients in the observation group were significantly higher than in the control group. This indicates that changes in these two indicators are related to asymptomatic choledocholithiasis, and an abnormal increase of these </w:t>
      </w:r>
      <w:r w:rsidRPr="00D01B10">
        <w:rPr>
          <w:rFonts w:ascii="Book Antiqua" w:hAnsi="Book Antiqua"/>
          <w:sz w:val="24"/>
          <w:szCs w:val="24"/>
        </w:rPr>
        <w:lastRenderedPageBreak/>
        <w:t xml:space="preserve">indicators may be a risk factor for cholecystolithiasis with common bile duct stones. ROC curve analysis showed that the AUC, sensitivity and specificity of serum GGT were high. It also indicated that an abnormal increase </w:t>
      </w:r>
      <w:r w:rsidR="00DE2A1C">
        <w:rPr>
          <w:rFonts w:ascii="Book Antiqua" w:hAnsi="Book Antiqua"/>
          <w:sz w:val="24"/>
          <w:szCs w:val="24"/>
        </w:rPr>
        <w:t>in</w:t>
      </w:r>
      <w:r w:rsidR="00DE2A1C" w:rsidRPr="00D01B10">
        <w:rPr>
          <w:rFonts w:ascii="Book Antiqua" w:hAnsi="Book Antiqua"/>
          <w:sz w:val="24"/>
          <w:szCs w:val="24"/>
        </w:rPr>
        <w:t xml:space="preserve"> </w:t>
      </w:r>
      <w:r w:rsidRPr="00D01B10">
        <w:rPr>
          <w:rFonts w:ascii="Book Antiqua" w:hAnsi="Book Antiqua"/>
          <w:sz w:val="24"/>
          <w:szCs w:val="24"/>
        </w:rPr>
        <w:t xml:space="preserve">serum GGT plays an important role in predicting cholecystolithiasis combined with secondary asymptomatic choledocholithiasis, and it may be an effective serological index for routine screening. </w:t>
      </w:r>
      <w:r w:rsidR="00DE2A1C">
        <w:rPr>
          <w:rFonts w:ascii="Book Antiqua" w:hAnsi="Book Antiqua"/>
          <w:sz w:val="24"/>
          <w:szCs w:val="24"/>
        </w:rPr>
        <w:t>With the exception of</w:t>
      </w:r>
      <w:r w:rsidR="00DE2A1C" w:rsidRPr="00D01B10">
        <w:rPr>
          <w:rFonts w:ascii="Book Antiqua" w:hAnsi="Book Antiqua"/>
          <w:sz w:val="24"/>
          <w:szCs w:val="24"/>
        </w:rPr>
        <w:t xml:space="preserve"> </w:t>
      </w:r>
      <w:r w:rsidRPr="00D01B10">
        <w:rPr>
          <w:rFonts w:ascii="Book Antiqua" w:hAnsi="Book Antiqua"/>
          <w:sz w:val="24"/>
          <w:szCs w:val="24"/>
        </w:rPr>
        <w:t>obvious jaundice, a raised GGT level has been suggested to be the most sensitive and specific indicator of CBD stones</w:t>
      </w:r>
      <w:r w:rsidRPr="00D01B10">
        <w:rPr>
          <w:rFonts w:ascii="Book Antiqua" w:hAnsi="Book Antiqua"/>
          <w:sz w:val="24"/>
          <w:szCs w:val="24"/>
          <w:vertAlign w:val="superscript"/>
        </w:rPr>
        <w:t>[21]</w:t>
      </w:r>
      <w:r w:rsidRPr="00D01B10">
        <w:rPr>
          <w:rFonts w:ascii="Book Antiqua" w:hAnsi="Book Antiqua"/>
          <w:sz w:val="24"/>
          <w:szCs w:val="24"/>
        </w:rPr>
        <w:t>. There are two reasons for increase</w:t>
      </w:r>
      <w:r w:rsidR="00DE2A1C">
        <w:rPr>
          <w:rFonts w:ascii="Book Antiqua" w:hAnsi="Book Antiqua"/>
          <w:sz w:val="24"/>
          <w:szCs w:val="24"/>
        </w:rPr>
        <w:t>d</w:t>
      </w:r>
      <w:r w:rsidRPr="00D01B10">
        <w:rPr>
          <w:rFonts w:ascii="Book Antiqua" w:hAnsi="Book Antiqua"/>
          <w:sz w:val="24"/>
          <w:szCs w:val="24"/>
        </w:rPr>
        <w:t xml:space="preserve"> GGT. First, the presence of stones may cause local inflammatory damage to the bile duct epithelium, resulting in excessive GGT production. Therefore, even the latest literature suggests that serum GGT is also an inflammatory marker</w:t>
      </w:r>
      <w:r w:rsidRPr="00D01B10">
        <w:rPr>
          <w:rFonts w:ascii="Book Antiqua" w:hAnsi="Book Antiqua"/>
          <w:sz w:val="24"/>
          <w:szCs w:val="24"/>
          <w:vertAlign w:val="superscript"/>
        </w:rPr>
        <w:t>[21]</w:t>
      </w:r>
      <w:r w:rsidRPr="00D01B10">
        <w:rPr>
          <w:rFonts w:ascii="Book Antiqua" w:hAnsi="Book Antiqua"/>
          <w:sz w:val="24"/>
          <w:szCs w:val="24"/>
        </w:rPr>
        <w:t xml:space="preserve">. Second, the presence of stones has a mechanical stimulatory effect on the bile duct epithelium, inducing the epithelial layer to increase GGT synthesis, combined with poor bile excretion, eventually leading to </w:t>
      </w:r>
      <w:r w:rsidR="00DE2A1C">
        <w:rPr>
          <w:rFonts w:ascii="Book Antiqua" w:hAnsi="Book Antiqua"/>
          <w:sz w:val="24"/>
          <w:szCs w:val="24"/>
        </w:rPr>
        <w:t xml:space="preserve">an </w:t>
      </w:r>
      <w:r w:rsidRPr="00D01B10">
        <w:rPr>
          <w:rFonts w:ascii="Book Antiqua" w:hAnsi="Book Antiqua"/>
          <w:sz w:val="24"/>
          <w:szCs w:val="24"/>
        </w:rPr>
        <w:t xml:space="preserve">abnormal increase </w:t>
      </w:r>
      <w:r w:rsidR="00DE2A1C">
        <w:rPr>
          <w:rFonts w:ascii="Book Antiqua" w:hAnsi="Book Antiqua"/>
          <w:sz w:val="24"/>
          <w:szCs w:val="24"/>
        </w:rPr>
        <w:t>in</w:t>
      </w:r>
      <w:r w:rsidR="00DE2A1C" w:rsidRPr="00D01B10">
        <w:rPr>
          <w:rFonts w:ascii="Book Antiqua" w:hAnsi="Book Antiqua"/>
          <w:sz w:val="24"/>
          <w:szCs w:val="24"/>
        </w:rPr>
        <w:t xml:space="preserve"> </w:t>
      </w:r>
      <w:r w:rsidRPr="00D01B10">
        <w:rPr>
          <w:rFonts w:ascii="Book Antiqua" w:hAnsi="Book Antiqua"/>
          <w:sz w:val="24"/>
          <w:szCs w:val="24"/>
        </w:rPr>
        <w:t xml:space="preserve">serum GGT. Therefore, if the GGT exceeds the cut-off level in serum liver function in </w:t>
      </w:r>
      <w:bookmarkStart w:id="31" w:name="OLE_LINK5"/>
      <w:r w:rsidRPr="00D01B10">
        <w:rPr>
          <w:rFonts w:ascii="Book Antiqua" w:hAnsi="Book Antiqua"/>
          <w:sz w:val="24"/>
          <w:szCs w:val="24"/>
        </w:rPr>
        <w:t xml:space="preserve">gallstone patients, we should be vigilant that </w:t>
      </w:r>
      <w:bookmarkStart w:id="32" w:name="OLE_LINK4"/>
      <w:r w:rsidRPr="00D01B10">
        <w:rPr>
          <w:rFonts w:ascii="Book Antiqua" w:hAnsi="Book Antiqua"/>
          <w:sz w:val="24"/>
          <w:szCs w:val="24"/>
        </w:rPr>
        <w:t xml:space="preserve">the patient is most likely </w:t>
      </w:r>
      <w:r w:rsidR="00DE2A1C">
        <w:rPr>
          <w:rFonts w:ascii="Book Antiqua" w:hAnsi="Book Antiqua"/>
          <w:sz w:val="24"/>
          <w:szCs w:val="24"/>
        </w:rPr>
        <w:t>afflicted</w:t>
      </w:r>
      <w:r w:rsidRPr="00D01B10">
        <w:rPr>
          <w:rFonts w:ascii="Book Antiqua" w:hAnsi="Book Antiqua"/>
          <w:sz w:val="24"/>
          <w:szCs w:val="24"/>
        </w:rPr>
        <w:t xml:space="preserve"> with </w:t>
      </w:r>
      <w:bookmarkStart w:id="33" w:name="OLE_LINK45"/>
      <w:bookmarkEnd w:id="31"/>
      <w:bookmarkEnd w:id="32"/>
      <w:r w:rsidRPr="00D01B10">
        <w:rPr>
          <w:rFonts w:ascii="Book Antiqua" w:hAnsi="Book Antiqua"/>
          <w:sz w:val="24"/>
          <w:szCs w:val="24"/>
        </w:rPr>
        <w:t>secondary asymptomatic choledocholithiasis</w:t>
      </w:r>
      <w:bookmarkEnd w:id="33"/>
      <w:r w:rsidRPr="00D01B10">
        <w:rPr>
          <w:rFonts w:ascii="Book Antiqua" w:hAnsi="Book Antiqua"/>
          <w:sz w:val="24"/>
          <w:szCs w:val="24"/>
        </w:rPr>
        <w:t>, and MRCP or ERCP examination should be performed to confirm the diagnosis. This can avoid biliary tract inflammatory disease or tissue malignant transformation caused by the long-term presence of asymptomatic choledocholithiasis. A suitable surgical plan can also be developed to prevent intraoperative accidents, serious postoperative complications and other risks due to missed diagnosis. The AUC of serum ALP was 0.647 (&lt;</w:t>
      </w:r>
      <w:r w:rsidR="00B2273C" w:rsidRPr="00D01B10">
        <w:rPr>
          <w:rFonts w:ascii="Book Antiqua" w:hAnsi="Book Antiqua"/>
          <w:sz w:val="24"/>
          <w:szCs w:val="24"/>
        </w:rPr>
        <w:t xml:space="preserve"> </w:t>
      </w:r>
      <w:r w:rsidRPr="00D01B10">
        <w:rPr>
          <w:rFonts w:ascii="Book Antiqua" w:hAnsi="Book Antiqua"/>
          <w:sz w:val="24"/>
          <w:szCs w:val="24"/>
        </w:rPr>
        <w:t>0.7), and the corresponding sensitivity and specificity were low, suggesting that serum</w:t>
      </w:r>
      <w:r w:rsidR="00DE2A1C" w:rsidRPr="00DE2A1C">
        <w:rPr>
          <w:rFonts w:ascii="Book Antiqua" w:hAnsi="Book Antiqua"/>
          <w:sz w:val="24"/>
          <w:szCs w:val="24"/>
        </w:rPr>
        <w:t xml:space="preserve"> </w:t>
      </w:r>
      <w:r w:rsidR="00DE2A1C" w:rsidRPr="00D01B10">
        <w:rPr>
          <w:rFonts w:ascii="Book Antiqua" w:hAnsi="Book Antiqua"/>
          <w:sz w:val="24"/>
          <w:szCs w:val="24"/>
        </w:rPr>
        <w:t>ALP</w:t>
      </w:r>
      <w:r w:rsidRPr="00D01B10">
        <w:rPr>
          <w:rFonts w:ascii="Book Antiqua" w:hAnsi="Book Antiqua"/>
          <w:sz w:val="24"/>
          <w:szCs w:val="24"/>
        </w:rPr>
        <w:t xml:space="preserve"> level</w:t>
      </w:r>
      <w:r w:rsidR="00DE2A1C">
        <w:rPr>
          <w:rFonts w:ascii="Book Antiqua" w:hAnsi="Book Antiqua"/>
          <w:sz w:val="24"/>
          <w:szCs w:val="24"/>
        </w:rPr>
        <w:t>s</w:t>
      </w:r>
      <w:r w:rsidRPr="00D01B10">
        <w:rPr>
          <w:rFonts w:ascii="Book Antiqua" w:hAnsi="Book Antiqua"/>
          <w:sz w:val="24"/>
          <w:szCs w:val="24"/>
        </w:rPr>
        <w:t xml:space="preserve"> may be affected by acute cholangitis in obstructive jaundice, but it is of little practical clinical value. </w:t>
      </w:r>
      <w:bookmarkStart w:id="34" w:name="OLE_LINK42"/>
      <w:r w:rsidRPr="00D01B10">
        <w:rPr>
          <w:rFonts w:ascii="Book Antiqua" w:hAnsi="Book Antiqua"/>
          <w:sz w:val="24"/>
          <w:szCs w:val="24"/>
        </w:rPr>
        <w:t>The combination of serum GGT and ALP</w:t>
      </w:r>
      <w:r w:rsidR="00B2273C" w:rsidRPr="00D01B10">
        <w:rPr>
          <w:rFonts w:ascii="Book Antiqua" w:hAnsi="Book Antiqua"/>
          <w:sz w:val="24"/>
          <w:szCs w:val="24"/>
        </w:rPr>
        <w:t xml:space="preserve"> (</w:t>
      </w:r>
      <w:r w:rsidRPr="00D01B10">
        <w:rPr>
          <w:rFonts w:ascii="Book Antiqua" w:hAnsi="Book Antiqua"/>
          <w:sz w:val="24"/>
          <w:szCs w:val="24"/>
        </w:rPr>
        <w:t>AUC</w:t>
      </w:r>
      <w:r w:rsidR="00B2273C" w:rsidRPr="00D01B10">
        <w:rPr>
          <w:rFonts w:ascii="Book Antiqua" w:hAnsi="Book Antiqua"/>
          <w:sz w:val="24"/>
          <w:szCs w:val="24"/>
        </w:rPr>
        <w:t xml:space="preserve"> </w:t>
      </w:r>
      <w:r w:rsidRPr="00D01B10">
        <w:rPr>
          <w:rFonts w:ascii="Book Antiqua" w:hAnsi="Book Antiqua"/>
          <w:sz w:val="24"/>
          <w:szCs w:val="24"/>
        </w:rPr>
        <w:t>0.923; sensit</w:t>
      </w:r>
      <w:r w:rsidR="00B2273C" w:rsidRPr="00D01B10">
        <w:rPr>
          <w:rFonts w:ascii="Book Antiqua" w:hAnsi="Book Antiqua"/>
          <w:sz w:val="24"/>
          <w:szCs w:val="24"/>
        </w:rPr>
        <w:t>ivity 93.5%; specificity 85.1%</w:t>
      </w:r>
      <w:r w:rsidRPr="00D01B10">
        <w:rPr>
          <w:rFonts w:ascii="Book Antiqua" w:hAnsi="Book Antiqua"/>
          <w:sz w:val="24"/>
          <w:szCs w:val="24"/>
        </w:rPr>
        <w:t>) had better diagnostic performance</w:t>
      </w:r>
      <w:bookmarkEnd w:id="34"/>
      <w:r w:rsidRPr="00D01B10">
        <w:rPr>
          <w:rFonts w:ascii="Book Antiqua" w:hAnsi="Book Antiqua"/>
          <w:sz w:val="24"/>
          <w:szCs w:val="24"/>
        </w:rPr>
        <w:t xml:space="preserve"> for secondary asymptomatic choledocholithiasis. </w:t>
      </w:r>
    </w:p>
    <w:p w:rsidR="00BA1ECC" w:rsidRPr="00D01B10" w:rsidRDefault="00BA1ECC" w:rsidP="00D01B10">
      <w:pPr>
        <w:spacing w:line="360" w:lineRule="auto"/>
        <w:ind w:firstLine="420"/>
        <w:rPr>
          <w:rFonts w:ascii="Book Antiqua" w:hAnsi="Book Antiqua"/>
          <w:sz w:val="24"/>
          <w:szCs w:val="24"/>
        </w:rPr>
      </w:pPr>
      <w:bookmarkStart w:id="35" w:name="OLE_LINK31"/>
      <w:r w:rsidRPr="00D01B10">
        <w:rPr>
          <w:rFonts w:ascii="Book Antiqua" w:hAnsi="Book Antiqua"/>
          <w:sz w:val="24"/>
          <w:szCs w:val="24"/>
        </w:rPr>
        <w:t xml:space="preserve">In summary, abnormally elevated </w:t>
      </w:r>
      <w:bookmarkStart w:id="36" w:name="OLE_LINK40"/>
      <w:bookmarkStart w:id="37" w:name="OLE_LINK32"/>
      <w:r w:rsidRPr="00D01B10">
        <w:rPr>
          <w:rFonts w:ascii="Book Antiqua" w:hAnsi="Book Antiqua"/>
          <w:sz w:val="24"/>
          <w:szCs w:val="24"/>
        </w:rPr>
        <w:t>serum</w:t>
      </w:r>
      <w:bookmarkEnd w:id="36"/>
      <w:r w:rsidRPr="00D01B10">
        <w:rPr>
          <w:rFonts w:ascii="Book Antiqua" w:hAnsi="Book Antiqua"/>
          <w:sz w:val="24"/>
          <w:szCs w:val="24"/>
        </w:rPr>
        <w:t xml:space="preserve"> GGT</w:t>
      </w:r>
      <w:bookmarkEnd w:id="37"/>
      <w:r w:rsidRPr="00D01B10">
        <w:rPr>
          <w:rFonts w:ascii="Book Antiqua" w:hAnsi="Book Antiqua"/>
          <w:sz w:val="24"/>
          <w:szCs w:val="24"/>
        </w:rPr>
        <w:t xml:space="preserve"> level may be a potentially </w:t>
      </w:r>
      <w:r w:rsidRPr="00D01B10">
        <w:rPr>
          <w:rFonts w:ascii="Book Antiqua" w:hAnsi="Book Antiqua"/>
          <w:sz w:val="24"/>
          <w:szCs w:val="24"/>
        </w:rPr>
        <w:lastRenderedPageBreak/>
        <w:t xml:space="preserve">useful marker for the early prediction of asymptomatic choledocholithiasis secondary to cholecystolithiasis. </w:t>
      </w:r>
      <w:r w:rsidR="00155E8E">
        <w:rPr>
          <w:rFonts w:ascii="Book Antiqua" w:hAnsi="Book Antiqua"/>
          <w:sz w:val="24"/>
          <w:szCs w:val="24"/>
        </w:rPr>
        <w:t xml:space="preserve">Additionally, </w:t>
      </w:r>
      <w:r w:rsidRPr="00D01B10">
        <w:rPr>
          <w:rFonts w:ascii="Book Antiqua" w:hAnsi="Book Antiqua"/>
          <w:sz w:val="24"/>
          <w:szCs w:val="24"/>
        </w:rPr>
        <w:t xml:space="preserve">the combination of serum GGT and ALP had better diagnostic performance. When the serum GGT level reaches the cutoff value, physicians should be vigilant about the possibility of secondary asymptomatic choledocholithiasis, and timely and proper interventions should be </w:t>
      </w:r>
      <w:r w:rsidR="00155E8E">
        <w:rPr>
          <w:rFonts w:ascii="Book Antiqua" w:hAnsi="Book Antiqua"/>
          <w:sz w:val="24"/>
          <w:szCs w:val="24"/>
        </w:rPr>
        <w:t>performed</w:t>
      </w:r>
      <w:r w:rsidRPr="00D01B10">
        <w:rPr>
          <w:rFonts w:ascii="Book Antiqua" w:hAnsi="Book Antiqua"/>
          <w:sz w:val="24"/>
          <w:szCs w:val="24"/>
        </w:rPr>
        <w:t xml:space="preserve"> to avoid aggravation of the disease. </w:t>
      </w:r>
      <w:bookmarkStart w:id="38" w:name="OLE_LINK15"/>
      <w:bookmarkStart w:id="39" w:name="OLE_LINK34"/>
      <w:r w:rsidRPr="00D01B10">
        <w:rPr>
          <w:rFonts w:ascii="Book Antiqua" w:hAnsi="Book Antiqua"/>
          <w:sz w:val="24"/>
          <w:szCs w:val="24"/>
        </w:rPr>
        <w:t xml:space="preserve">As a convenient, rapid and </w:t>
      </w:r>
      <w:r w:rsidRPr="00D01B10">
        <w:rPr>
          <w:rFonts w:ascii="Book Antiqua" w:eastAsia="TimesNewRomanPSMT" w:hAnsi="Book Antiqua"/>
          <w:sz w:val="24"/>
          <w:szCs w:val="24"/>
        </w:rPr>
        <w:t>inexpensive</w:t>
      </w:r>
      <w:r w:rsidRPr="00D01B10">
        <w:rPr>
          <w:rFonts w:ascii="Book Antiqua" w:hAnsi="Book Antiqua"/>
          <w:sz w:val="24"/>
          <w:szCs w:val="24"/>
        </w:rPr>
        <w:t xml:space="preserve"> test, it is worth appl</w:t>
      </w:r>
      <w:r w:rsidR="00155E8E">
        <w:rPr>
          <w:rFonts w:ascii="Book Antiqua" w:hAnsi="Book Antiqua"/>
          <w:sz w:val="24"/>
          <w:szCs w:val="24"/>
        </w:rPr>
        <w:t>ying this test</w:t>
      </w:r>
      <w:r w:rsidRPr="00D01B10">
        <w:rPr>
          <w:rFonts w:ascii="Book Antiqua" w:hAnsi="Book Antiqua"/>
          <w:sz w:val="24"/>
          <w:szCs w:val="24"/>
        </w:rPr>
        <w:t xml:space="preserve"> in secondary asymptomatic choledocholithiasis routine screening.</w:t>
      </w:r>
      <w:bookmarkEnd w:id="35"/>
      <w:bookmarkEnd w:id="38"/>
      <w:bookmarkEnd w:id="39"/>
    </w:p>
    <w:p w:rsidR="00EC6DB6" w:rsidRPr="00D01B10" w:rsidRDefault="00EC6DB6" w:rsidP="00D01B10">
      <w:pPr>
        <w:spacing w:line="360" w:lineRule="auto"/>
        <w:ind w:firstLine="420"/>
        <w:rPr>
          <w:rFonts w:ascii="Book Antiqua" w:hAnsi="Book Antiqua"/>
          <w:sz w:val="24"/>
          <w:szCs w:val="24"/>
        </w:rPr>
      </w:pPr>
    </w:p>
    <w:p w:rsidR="00BA1ECC" w:rsidRPr="00BA1ECC" w:rsidRDefault="00BA1ECC" w:rsidP="00D01B10">
      <w:pPr>
        <w:spacing w:line="360" w:lineRule="auto"/>
        <w:rPr>
          <w:rFonts w:ascii="Book Antiqua" w:hAnsi="Book Antiqua"/>
          <w:b/>
          <w:color w:val="000000"/>
          <w:sz w:val="24"/>
          <w:szCs w:val="24"/>
        </w:rPr>
      </w:pPr>
      <w:r w:rsidRPr="00BA1ECC">
        <w:rPr>
          <w:rFonts w:ascii="Book Antiqua" w:hAnsi="Book Antiqua" w:cs="Segoe UI"/>
          <w:b/>
          <w:color w:val="000000"/>
          <w:sz w:val="24"/>
          <w:szCs w:val="24"/>
          <w:shd w:val="clear" w:color="auto" w:fill="FFFFFF"/>
        </w:rPr>
        <w:t>ARTICLE HIGHLIGHTS</w:t>
      </w:r>
    </w:p>
    <w:p w:rsidR="00BA1ECC" w:rsidRPr="00D01B10" w:rsidRDefault="00BA1ECC" w:rsidP="00D01B10">
      <w:pPr>
        <w:spacing w:line="360" w:lineRule="auto"/>
        <w:rPr>
          <w:rFonts w:ascii="Book Antiqua" w:hAnsi="Book Antiqua"/>
          <w:b/>
          <w:bCs/>
          <w:i/>
          <w:iCs/>
          <w:sz w:val="24"/>
          <w:szCs w:val="24"/>
        </w:rPr>
      </w:pPr>
      <w:r w:rsidRPr="00D01B10">
        <w:rPr>
          <w:rFonts w:ascii="Book Antiqua" w:hAnsi="Book Antiqua"/>
          <w:b/>
          <w:i/>
          <w:color w:val="000000"/>
          <w:sz w:val="24"/>
          <w:szCs w:val="24"/>
        </w:rPr>
        <w:t>Research background</w:t>
      </w:r>
    </w:p>
    <w:p w:rsidR="00BA1ECC" w:rsidRPr="00D01B10" w:rsidRDefault="00BA1ECC" w:rsidP="00D01B10">
      <w:pPr>
        <w:spacing w:line="360" w:lineRule="auto"/>
        <w:rPr>
          <w:rFonts w:ascii="Book Antiqua" w:hAnsi="Book Antiqua"/>
          <w:sz w:val="24"/>
          <w:szCs w:val="24"/>
        </w:rPr>
      </w:pPr>
      <w:r w:rsidRPr="00D01B10">
        <w:rPr>
          <w:rFonts w:ascii="Book Antiqua" w:hAnsi="Book Antiqua"/>
          <w:sz w:val="24"/>
          <w:szCs w:val="24"/>
        </w:rPr>
        <w:t>Cholelithiasis is a commonly seen disease in hepatobiliary surgery</w:t>
      </w:r>
      <w:r w:rsidR="00CB3E1F" w:rsidRPr="00CB3E1F">
        <w:rPr>
          <w:rFonts w:ascii="Book Antiqua" w:hAnsi="Book Antiqua"/>
          <w:sz w:val="24"/>
          <w:szCs w:val="24"/>
        </w:rPr>
        <w:t xml:space="preserve"> </w:t>
      </w:r>
      <w:r w:rsidR="00CB3E1F" w:rsidRPr="00D01B10">
        <w:rPr>
          <w:rFonts w:ascii="Book Antiqua" w:hAnsi="Book Antiqua"/>
          <w:sz w:val="24"/>
          <w:szCs w:val="24"/>
        </w:rPr>
        <w:t>departments</w:t>
      </w:r>
      <w:r w:rsidRPr="00D01B10">
        <w:rPr>
          <w:rFonts w:ascii="Book Antiqua" w:hAnsi="Book Antiqua"/>
          <w:sz w:val="24"/>
          <w:szCs w:val="24"/>
        </w:rPr>
        <w:t xml:space="preserve"> in</w:t>
      </w:r>
      <w:r w:rsidR="00B2273C" w:rsidRPr="00D01B10">
        <w:rPr>
          <w:rFonts w:ascii="Book Antiqua" w:hAnsi="Book Antiqua"/>
          <w:sz w:val="24"/>
          <w:szCs w:val="24"/>
        </w:rPr>
        <w:t xml:space="preserve"> </w:t>
      </w:r>
      <w:r w:rsidRPr="00D01B10">
        <w:rPr>
          <w:rFonts w:ascii="Book Antiqua" w:hAnsi="Book Antiqua"/>
          <w:sz w:val="24"/>
          <w:szCs w:val="24"/>
        </w:rPr>
        <w:t>China. In</w:t>
      </w:r>
      <w:r w:rsidR="00CB3E1F" w:rsidRPr="00CB3E1F">
        <w:rPr>
          <w:rFonts w:ascii="Book Antiqua" w:hAnsi="Book Antiqua"/>
          <w:sz w:val="24"/>
          <w:szCs w:val="24"/>
        </w:rPr>
        <w:t xml:space="preserve"> </w:t>
      </w:r>
      <w:r w:rsidR="00CB3E1F" w:rsidRPr="00D01B10">
        <w:rPr>
          <w:rFonts w:ascii="Book Antiqua" w:hAnsi="Book Antiqua"/>
          <w:sz w:val="24"/>
          <w:szCs w:val="24"/>
        </w:rPr>
        <w:t>cholecystolithiasis</w:t>
      </w:r>
      <w:r w:rsidRPr="00D01B10">
        <w:rPr>
          <w:rFonts w:ascii="Book Antiqua" w:hAnsi="Book Antiqua"/>
          <w:sz w:val="24"/>
          <w:szCs w:val="24"/>
        </w:rPr>
        <w:t xml:space="preserve"> patients treated by surgery, the incidence of secondary choledocholithiasis is up to 10</w:t>
      </w:r>
      <w:r w:rsidR="00B2273C" w:rsidRPr="00D01B10">
        <w:rPr>
          <w:rFonts w:ascii="Book Antiqua" w:hAnsi="Book Antiqua"/>
          <w:sz w:val="24"/>
          <w:szCs w:val="24"/>
        </w:rPr>
        <w:t>%</w:t>
      </w:r>
      <w:r w:rsidRPr="00D01B10">
        <w:rPr>
          <w:rFonts w:ascii="Book Antiqua" w:hAnsi="Book Antiqua"/>
          <w:sz w:val="24"/>
          <w:szCs w:val="24"/>
        </w:rPr>
        <w:t xml:space="preserve">-15%. </w:t>
      </w:r>
      <w:r w:rsidR="00CB3E1F">
        <w:rPr>
          <w:rFonts w:ascii="Book Antiqua" w:hAnsi="Book Antiqua"/>
          <w:sz w:val="24"/>
          <w:szCs w:val="24"/>
        </w:rPr>
        <w:t>However,</w:t>
      </w:r>
      <w:r w:rsidR="00CB3E1F" w:rsidRPr="00D01B10">
        <w:rPr>
          <w:rFonts w:ascii="Book Antiqua" w:hAnsi="Book Antiqua"/>
          <w:sz w:val="24"/>
          <w:szCs w:val="24"/>
        </w:rPr>
        <w:t xml:space="preserve"> </w:t>
      </w:r>
      <w:r w:rsidRPr="00D01B10">
        <w:rPr>
          <w:rFonts w:ascii="Book Antiqua" w:hAnsi="Book Antiqua"/>
          <w:sz w:val="24"/>
          <w:szCs w:val="24"/>
        </w:rPr>
        <w:t>most cases of secondary choledocholithiasis often have no symptoms and are missed in diagnosis.</w:t>
      </w:r>
    </w:p>
    <w:p w:rsidR="00B2273C" w:rsidRPr="00D01B10" w:rsidRDefault="00B2273C" w:rsidP="00D01B10">
      <w:pPr>
        <w:spacing w:line="360" w:lineRule="auto"/>
        <w:rPr>
          <w:rFonts w:ascii="Book Antiqua" w:hAnsi="Book Antiqua"/>
          <w:sz w:val="24"/>
          <w:szCs w:val="24"/>
        </w:rPr>
      </w:pPr>
    </w:p>
    <w:p w:rsidR="00BA1ECC" w:rsidRPr="00D01B10" w:rsidRDefault="00BA1ECC" w:rsidP="00D01B10">
      <w:pPr>
        <w:spacing w:line="360" w:lineRule="auto"/>
        <w:rPr>
          <w:rFonts w:ascii="Book Antiqua" w:hAnsi="Book Antiqua"/>
          <w:i/>
          <w:sz w:val="24"/>
          <w:szCs w:val="24"/>
        </w:rPr>
      </w:pPr>
      <w:r w:rsidRPr="00D01B10">
        <w:rPr>
          <w:rFonts w:ascii="Book Antiqua" w:hAnsi="Book Antiqua"/>
          <w:b/>
          <w:i/>
          <w:color w:val="000000"/>
          <w:sz w:val="24"/>
          <w:szCs w:val="24"/>
        </w:rPr>
        <w:t>Research motivation</w:t>
      </w:r>
    </w:p>
    <w:p w:rsidR="00BA1ECC" w:rsidRPr="00D01B10" w:rsidRDefault="00BA1ECC" w:rsidP="00D01B10">
      <w:pPr>
        <w:spacing w:line="360" w:lineRule="auto"/>
        <w:rPr>
          <w:rFonts w:ascii="Book Antiqua" w:hAnsi="Book Antiqua"/>
          <w:sz w:val="24"/>
          <w:szCs w:val="24"/>
        </w:rPr>
      </w:pPr>
      <w:r w:rsidRPr="00D01B10">
        <w:rPr>
          <w:rFonts w:ascii="Book Antiqua" w:hAnsi="Book Antiqua"/>
          <w:sz w:val="24"/>
          <w:szCs w:val="24"/>
        </w:rPr>
        <w:t>It is of great clinical significance to explore the methods for the early diagnosis of asymptomatic secondary choledocholithiasis to develop rational surgical protocol</w:t>
      </w:r>
      <w:r w:rsidR="00CB3E1F">
        <w:rPr>
          <w:rFonts w:ascii="Book Antiqua" w:hAnsi="Book Antiqua"/>
          <w:sz w:val="24"/>
          <w:szCs w:val="24"/>
        </w:rPr>
        <w:t>s</w:t>
      </w:r>
      <w:r w:rsidRPr="00D01B10">
        <w:rPr>
          <w:rFonts w:ascii="Book Antiqua" w:hAnsi="Book Antiqua"/>
          <w:sz w:val="24"/>
          <w:szCs w:val="24"/>
        </w:rPr>
        <w:t>, avoid postoperative residual stones and reduce related complications.</w:t>
      </w:r>
    </w:p>
    <w:p w:rsidR="00B2273C" w:rsidRPr="00D01B10" w:rsidRDefault="00B2273C" w:rsidP="00D01B10">
      <w:pPr>
        <w:spacing w:line="360" w:lineRule="auto"/>
        <w:rPr>
          <w:rFonts w:ascii="Book Antiqua" w:hAnsi="Book Antiqua"/>
          <w:sz w:val="24"/>
          <w:szCs w:val="24"/>
        </w:rPr>
      </w:pPr>
    </w:p>
    <w:p w:rsidR="00BA1ECC" w:rsidRPr="00D01B10" w:rsidRDefault="00BA1ECC" w:rsidP="00D01B10">
      <w:pPr>
        <w:spacing w:line="360" w:lineRule="auto"/>
        <w:rPr>
          <w:rFonts w:ascii="Book Antiqua" w:hAnsi="Book Antiqua"/>
          <w:b/>
          <w:i/>
          <w:color w:val="000000"/>
          <w:sz w:val="24"/>
          <w:szCs w:val="24"/>
        </w:rPr>
      </w:pPr>
      <w:r w:rsidRPr="00D01B10">
        <w:rPr>
          <w:rFonts w:ascii="Book Antiqua" w:hAnsi="Book Antiqua"/>
          <w:b/>
          <w:i/>
          <w:color w:val="000000"/>
          <w:sz w:val="24"/>
          <w:szCs w:val="24"/>
        </w:rPr>
        <w:t>Research objectives</w:t>
      </w:r>
    </w:p>
    <w:p w:rsidR="00BA1ECC" w:rsidRPr="00D01B10" w:rsidRDefault="00BA1ECC" w:rsidP="00D01B10">
      <w:pPr>
        <w:spacing w:line="360" w:lineRule="auto"/>
        <w:rPr>
          <w:rFonts w:ascii="Book Antiqua" w:hAnsi="Book Antiqua"/>
          <w:sz w:val="24"/>
          <w:szCs w:val="24"/>
        </w:rPr>
      </w:pPr>
      <w:r w:rsidRPr="00D01B10">
        <w:rPr>
          <w:rFonts w:ascii="Book Antiqua" w:hAnsi="Book Antiqua"/>
          <w:sz w:val="24"/>
          <w:szCs w:val="24"/>
        </w:rPr>
        <w:t xml:space="preserve">To investigate the diagnostic value of abnormal serum </w:t>
      </w:r>
      <w:r w:rsidR="00F97A17" w:rsidRPr="00D01B10">
        <w:rPr>
          <w:rFonts w:ascii="Book Antiqua" w:hAnsi="Book Antiqua"/>
          <w:sz w:val="24"/>
          <w:szCs w:val="24"/>
        </w:rPr>
        <w:t>gamma-glutamyltransferase (</w:t>
      </w:r>
      <w:r w:rsidRPr="00D01B10">
        <w:rPr>
          <w:rFonts w:ascii="Book Antiqua" w:hAnsi="Book Antiqua"/>
          <w:sz w:val="24"/>
          <w:szCs w:val="24"/>
        </w:rPr>
        <w:t>GGT</w:t>
      </w:r>
      <w:r w:rsidR="00F97A17" w:rsidRPr="00D01B10">
        <w:rPr>
          <w:rFonts w:ascii="Book Antiqua" w:hAnsi="Book Antiqua"/>
          <w:sz w:val="24"/>
          <w:szCs w:val="24"/>
        </w:rPr>
        <w:t>)</w:t>
      </w:r>
      <w:r w:rsidRPr="00D01B10">
        <w:rPr>
          <w:rFonts w:ascii="Book Antiqua" w:hAnsi="Book Antiqua"/>
          <w:sz w:val="24"/>
          <w:szCs w:val="24"/>
        </w:rPr>
        <w:t xml:space="preserve"> level</w:t>
      </w:r>
      <w:r w:rsidR="00CB3E1F">
        <w:rPr>
          <w:rFonts w:ascii="Book Antiqua" w:hAnsi="Book Antiqua"/>
          <w:sz w:val="24"/>
          <w:szCs w:val="24"/>
        </w:rPr>
        <w:t>s</w:t>
      </w:r>
      <w:r w:rsidRPr="00D01B10">
        <w:rPr>
          <w:rFonts w:ascii="Book Antiqua" w:hAnsi="Book Antiqua"/>
          <w:sz w:val="24"/>
          <w:szCs w:val="24"/>
        </w:rPr>
        <w:t xml:space="preserve"> in asymptomatic choledocholithiasis secondary to cholecystolithiasis.</w:t>
      </w:r>
    </w:p>
    <w:p w:rsidR="00B2273C" w:rsidRPr="00D01B10" w:rsidRDefault="00B2273C" w:rsidP="00D01B10">
      <w:pPr>
        <w:spacing w:line="360" w:lineRule="auto"/>
        <w:rPr>
          <w:rFonts w:ascii="Book Antiqua" w:hAnsi="Book Antiqua"/>
          <w:sz w:val="24"/>
          <w:szCs w:val="24"/>
        </w:rPr>
      </w:pPr>
    </w:p>
    <w:p w:rsidR="00BA1ECC" w:rsidRPr="00D01B10" w:rsidRDefault="00BA1ECC" w:rsidP="00D01B10">
      <w:pPr>
        <w:spacing w:line="360" w:lineRule="auto"/>
        <w:rPr>
          <w:rFonts w:ascii="Book Antiqua" w:hAnsi="Book Antiqua"/>
          <w:b/>
          <w:i/>
          <w:color w:val="000000"/>
          <w:sz w:val="24"/>
          <w:szCs w:val="24"/>
        </w:rPr>
      </w:pPr>
      <w:r w:rsidRPr="00D01B10">
        <w:rPr>
          <w:rFonts w:ascii="Book Antiqua" w:hAnsi="Book Antiqua"/>
          <w:b/>
          <w:i/>
          <w:color w:val="000000"/>
          <w:sz w:val="24"/>
          <w:szCs w:val="24"/>
        </w:rPr>
        <w:t>Research methods</w:t>
      </w:r>
    </w:p>
    <w:p w:rsidR="00BA1ECC" w:rsidRPr="00D01B10" w:rsidRDefault="00BA1ECC" w:rsidP="00D01B10">
      <w:pPr>
        <w:spacing w:line="360" w:lineRule="auto"/>
        <w:rPr>
          <w:rFonts w:ascii="Book Antiqua" w:hAnsi="Book Antiqua"/>
          <w:sz w:val="24"/>
          <w:szCs w:val="24"/>
        </w:rPr>
      </w:pPr>
      <w:r w:rsidRPr="00D01B10">
        <w:rPr>
          <w:rFonts w:ascii="Book Antiqua" w:hAnsi="Book Antiqua"/>
          <w:sz w:val="24"/>
          <w:szCs w:val="24"/>
        </w:rPr>
        <w:t xml:space="preserve">In this retrospective cohort study, the clinical data of 829 </w:t>
      </w:r>
      <w:r w:rsidR="00CB3E1F" w:rsidRPr="00D01B10">
        <w:rPr>
          <w:rFonts w:ascii="Book Antiqua" w:hAnsi="Book Antiqua"/>
          <w:sz w:val="24"/>
          <w:szCs w:val="24"/>
        </w:rPr>
        <w:t xml:space="preserve">cholelithiasis </w:t>
      </w:r>
      <w:r w:rsidRPr="00D01B10">
        <w:rPr>
          <w:rFonts w:ascii="Book Antiqua" w:hAnsi="Book Antiqua"/>
          <w:sz w:val="24"/>
          <w:szCs w:val="24"/>
        </w:rPr>
        <w:lastRenderedPageBreak/>
        <w:t>patients were collected. Serum liver function indexes were detected in both groups, and the ROC curves were constructed for markers showing statistical significances.</w:t>
      </w:r>
    </w:p>
    <w:p w:rsidR="004C2767" w:rsidRPr="00D01B10" w:rsidRDefault="004C2767" w:rsidP="00D01B10">
      <w:pPr>
        <w:spacing w:line="360" w:lineRule="auto"/>
        <w:rPr>
          <w:rFonts w:ascii="Book Antiqua" w:hAnsi="Book Antiqua"/>
          <w:b/>
          <w:color w:val="000000"/>
          <w:sz w:val="24"/>
          <w:szCs w:val="24"/>
        </w:rPr>
      </w:pPr>
    </w:p>
    <w:p w:rsidR="004C2767" w:rsidRPr="00D01B10" w:rsidRDefault="004C2767" w:rsidP="00D01B10">
      <w:pPr>
        <w:spacing w:line="360" w:lineRule="auto"/>
        <w:rPr>
          <w:rFonts w:ascii="Book Antiqua" w:hAnsi="Book Antiqua"/>
          <w:b/>
          <w:i/>
          <w:color w:val="000000"/>
          <w:sz w:val="24"/>
          <w:szCs w:val="24"/>
          <w:lang w:val="en-GB"/>
        </w:rPr>
      </w:pPr>
      <w:r w:rsidRPr="00D01B10">
        <w:rPr>
          <w:rFonts w:ascii="Book Antiqua" w:hAnsi="Book Antiqua"/>
          <w:b/>
          <w:i/>
          <w:color w:val="000000"/>
          <w:sz w:val="24"/>
          <w:szCs w:val="24"/>
          <w:lang w:val="en-GB"/>
        </w:rPr>
        <w:t>Research results</w:t>
      </w:r>
    </w:p>
    <w:p w:rsidR="006B35E7" w:rsidRPr="00D01B10" w:rsidRDefault="006B35E7" w:rsidP="00D01B10">
      <w:pPr>
        <w:spacing w:line="360" w:lineRule="auto"/>
        <w:rPr>
          <w:rFonts w:ascii="Book Antiqua" w:hAnsi="Book Antiqua"/>
          <w:sz w:val="24"/>
          <w:szCs w:val="24"/>
        </w:rPr>
      </w:pPr>
      <w:r w:rsidRPr="00D01B10">
        <w:rPr>
          <w:rFonts w:ascii="Book Antiqua" w:hAnsi="Book Antiqua"/>
          <w:sz w:val="24"/>
          <w:szCs w:val="24"/>
        </w:rPr>
        <w:t>The overall incidence of asymptomatic choledocholithiasis secondary to cholecystolithiasis was 18.2%. The results of liver function indexes</w:t>
      </w:r>
      <w:r w:rsidR="00CB3E1F">
        <w:rPr>
          <w:rFonts w:ascii="Book Antiqua" w:hAnsi="Book Antiqua"/>
          <w:sz w:val="24"/>
          <w:szCs w:val="24"/>
        </w:rPr>
        <w:t>,</w:t>
      </w:r>
      <w:r w:rsidRPr="00D01B10">
        <w:rPr>
          <w:rFonts w:ascii="Book Antiqua" w:hAnsi="Book Antiqua"/>
          <w:sz w:val="24"/>
          <w:szCs w:val="24"/>
        </w:rPr>
        <w:t xml:space="preserve"> including serum </w:t>
      </w:r>
      <w:r w:rsidRPr="00D01B10">
        <w:rPr>
          <w:rFonts w:ascii="Book Antiqua" w:hAnsi="Book Antiqua"/>
          <w:sz w:val="24"/>
          <w:szCs w:val="24"/>
          <w:shd w:val="clear" w:color="auto" w:fill="FFFFFF"/>
        </w:rPr>
        <w:t>aspartate aminotransferase</w:t>
      </w:r>
      <w:r w:rsidRPr="00D01B10">
        <w:rPr>
          <w:rFonts w:ascii="Book Antiqua" w:hAnsi="Book Antiqua"/>
          <w:sz w:val="24"/>
          <w:szCs w:val="24"/>
        </w:rPr>
        <w:t xml:space="preserve">, </w:t>
      </w:r>
      <w:r w:rsidRPr="00D01B10">
        <w:rPr>
          <w:rFonts w:ascii="Book Antiqua" w:hAnsi="Book Antiqua"/>
          <w:sz w:val="24"/>
          <w:szCs w:val="24"/>
          <w:shd w:val="clear" w:color="auto" w:fill="FFFFFF"/>
        </w:rPr>
        <w:t>alanine amino</w:t>
      </w:r>
      <w:r w:rsidRPr="00D01B10">
        <w:rPr>
          <w:rStyle w:val="a6"/>
          <w:rFonts w:ascii="Book Antiqua" w:hAnsi="Book Antiqua"/>
          <w:i w:val="0"/>
          <w:iCs w:val="0"/>
          <w:sz w:val="24"/>
          <w:szCs w:val="24"/>
          <w:shd w:val="clear" w:color="auto" w:fill="FFFFFF"/>
        </w:rPr>
        <w:t>transferase</w:t>
      </w:r>
      <w:r w:rsidRPr="00D01B10">
        <w:rPr>
          <w:rFonts w:ascii="Book Antiqua" w:hAnsi="Book Antiqua"/>
          <w:sz w:val="24"/>
          <w:szCs w:val="24"/>
        </w:rPr>
        <w:t xml:space="preserve">, </w:t>
      </w:r>
      <w:r w:rsidRPr="00D01B10">
        <w:rPr>
          <w:rFonts w:ascii="Book Antiqua" w:hAnsi="Book Antiqua"/>
          <w:sz w:val="24"/>
          <w:szCs w:val="24"/>
          <w:shd w:val="clear" w:color="auto" w:fill="FFFFFF"/>
        </w:rPr>
        <w:t>direct bilirubin</w:t>
      </w:r>
      <w:r w:rsidRPr="00D01B10">
        <w:rPr>
          <w:rFonts w:ascii="Book Antiqua" w:hAnsi="Book Antiqua"/>
          <w:sz w:val="24"/>
          <w:szCs w:val="24"/>
        </w:rPr>
        <w:t xml:space="preserve"> and </w:t>
      </w:r>
      <w:r w:rsidRPr="00D01B10">
        <w:rPr>
          <w:rFonts w:ascii="Book Antiqua" w:hAnsi="Book Antiqua"/>
          <w:sz w:val="24"/>
          <w:szCs w:val="24"/>
          <w:shd w:val="clear" w:color="auto" w:fill="FFFFFF"/>
        </w:rPr>
        <w:t>total bilirubin</w:t>
      </w:r>
      <w:r w:rsidRPr="00D01B10">
        <w:rPr>
          <w:rFonts w:ascii="Book Antiqua" w:hAnsi="Book Antiqua"/>
          <w:sz w:val="24"/>
          <w:szCs w:val="24"/>
        </w:rPr>
        <w:t xml:space="preserve"> levels showed no significant differences between the two groups. However, serum GGT and alkaline phosphatase levels were significantly higher in the observation group than in the control group.</w:t>
      </w:r>
    </w:p>
    <w:p w:rsidR="006B35E7" w:rsidRPr="00D01B10" w:rsidRDefault="006B35E7" w:rsidP="00D01B10">
      <w:pPr>
        <w:spacing w:line="360" w:lineRule="auto"/>
        <w:rPr>
          <w:rFonts w:ascii="Book Antiqua" w:hAnsi="Book Antiqua"/>
          <w:sz w:val="24"/>
          <w:szCs w:val="24"/>
        </w:rPr>
      </w:pPr>
    </w:p>
    <w:p w:rsidR="004C2767" w:rsidRPr="00D01B10" w:rsidRDefault="004C2767" w:rsidP="00D01B10">
      <w:pPr>
        <w:spacing w:line="360" w:lineRule="auto"/>
        <w:rPr>
          <w:rFonts w:ascii="Book Antiqua" w:hAnsi="Book Antiqua"/>
          <w:i/>
          <w:color w:val="000000"/>
          <w:sz w:val="24"/>
          <w:szCs w:val="24"/>
          <w:lang w:val="en-GB"/>
        </w:rPr>
      </w:pPr>
      <w:r w:rsidRPr="00D01B10">
        <w:rPr>
          <w:rFonts w:ascii="Book Antiqua" w:hAnsi="Book Antiqua"/>
          <w:b/>
          <w:i/>
          <w:color w:val="000000"/>
          <w:sz w:val="24"/>
          <w:szCs w:val="24"/>
          <w:lang w:val="en-GB"/>
        </w:rPr>
        <w:t>Research conclusions</w:t>
      </w:r>
    </w:p>
    <w:p w:rsidR="00134FDA" w:rsidRPr="00D01B10" w:rsidRDefault="00E222F1" w:rsidP="00D01B10">
      <w:pPr>
        <w:spacing w:line="360" w:lineRule="auto"/>
        <w:rPr>
          <w:rFonts w:ascii="Book Antiqua" w:hAnsi="Book Antiqua"/>
          <w:sz w:val="24"/>
          <w:szCs w:val="24"/>
        </w:rPr>
      </w:pPr>
      <w:r w:rsidRPr="00D01B10">
        <w:rPr>
          <w:rFonts w:ascii="Book Antiqua" w:hAnsi="Book Antiqua"/>
          <w:sz w:val="24"/>
          <w:szCs w:val="24"/>
        </w:rPr>
        <w:t xml:space="preserve">In the diagnosis of asymptomatic choledocholithiasis secondary to cholecystolithiasis, abnormally </w:t>
      </w:r>
      <w:r w:rsidR="00134FDA" w:rsidRPr="00D01B10">
        <w:rPr>
          <w:rFonts w:ascii="Book Antiqua" w:hAnsi="Book Antiqua"/>
          <w:sz w:val="24"/>
          <w:szCs w:val="24"/>
        </w:rPr>
        <w:t>elevated serum GGT level</w:t>
      </w:r>
      <w:r w:rsidR="00CB3E1F">
        <w:rPr>
          <w:rFonts w:ascii="Book Antiqua" w:hAnsi="Book Antiqua"/>
          <w:sz w:val="24"/>
          <w:szCs w:val="24"/>
        </w:rPr>
        <w:t>s</w:t>
      </w:r>
      <w:r w:rsidR="00134FDA" w:rsidRPr="00D01B10">
        <w:rPr>
          <w:rFonts w:ascii="Book Antiqua" w:hAnsi="Book Antiqua"/>
          <w:sz w:val="24"/>
          <w:szCs w:val="24"/>
        </w:rPr>
        <w:t xml:space="preserve"> </w:t>
      </w:r>
      <w:r w:rsidR="00CB3E1F">
        <w:rPr>
          <w:rFonts w:ascii="Book Antiqua" w:hAnsi="Book Antiqua"/>
          <w:sz w:val="24"/>
          <w:szCs w:val="24"/>
        </w:rPr>
        <w:t>have</w:t>
      </w:r>
      <w:r w:rsidR="00CB3E1F" w:rsidRPr="00D01B10">
        <w:rPr>
          <w:rFonts w:ascii="Book Antiqua" w:hAnsi="Book Antiqua"/>
          <w:sz w:val="24"/>
          <w:szCs w:val="24"/>
        </w:rPr>
        <w:t xml:space="preserve"> </w:t>
      </w:r>
      <w:r w:rsidR="00134FDA" w:rsidRPr="00D01B10">
        <w:rPr>
          <w:rFonts w:ascii="Book Antiqua" w:hAnsi="Book Antiqua"/>
          <w:sz w:val="24"/>
          <w:szCs w:val="24"/>
        </w:rPr>
        <w:t xml:space="preserve">important value; and the combination of serum GGT and </w:t>
      </w:r>
      <w:r w:rsidR="00CB3E1F">
        <w:rPr>
          <w:rFonts w:ascii="Book Antiqua" w:hAnsi="Book Antiqua"/>
          <w:sz w:val="24"/>
          <w:szCs w:val="24"/>
        </w:rPr>
        <w:t>alkaline phosphatase</w:t>
      </w:r>
      <w:r w:rsidR="00CB3E1F" w:rsidRPr="00D01B10">
        <w:rPr>
          <w:rFonts w:ascii="Book Antiqua" w:hAnsi="Book Antiqua"/>
          <w:sz w:val="24"/>
          <w:szCs w:val="24"/>
        </w:rPr>
        <w:t xml:space="preserve"> </w:t>
      </w:r>
      <w:r w:rsidR="00134FDA" w:rsidRPr="00D01B10">
        <w:rPr>
          <w:rFonts w:ascii="Book Antiqua" w:hAnsi="Book Antiqua"/>
          <w:sz w:val="24"/>
          <w:szCs w:val="24"/>
        </w:rPr>
        <w:t>had better diagnostic performance.</w:t>
      </w:r>
    </w:p>
    <w:p w:rsidR="004C2767" w:rsidRPr="00D01B10" w:rsidRDefault="004C2767" w:rsidP="00D01B10">
      <w:pPr>
        <w:spacing w:line="360" w:lineRule="auto"/>
        <w:rPr>
          <w:rFonts w:ascii="Book Antiqua" w:hAnsi="Book Antiqua"/>
          <w:color w:val="000000"/>
          <w:sz w:val="24"/>
          <w:szCs w:val="24"/>
        </w:rPr>
      </w:pPr>
    </w:p>
    <w:p w:rsidR="004C2767" w:rsidRPr="00D01B10" w:rsidRDefault="004C2767" w:rsidP="00D01B10">
      <w:pPr>
        <w:spacing w:line="360" w:lineRule="auto"/>
        <w:rPr>
          <w:rFonts w:ascii="Book Antiqua" w:hAnsi="Book Antiqua"/>
          <w:color w:val="000000"/>
          <w:sz w:val="24"/>
          <w:szCs w:val="24"/>
          <w:lang w:val="en-GB"/>
        </w:rPr>
      </w:pPr>
      <w:r w:rsidRPr="00D01B10">
        <w:rPr>
          <w:rFonts w:ascii="Book Antiqua" w:hAnsi="Book Antiqua"/>
          <w:b/>
          <w:i/>
          <w:color w:val="000000"/>
          <w:sz w:val="24"/>
          <w:szCs w:val="24"/>
          <w:lang w:val="en-GB"/>
        </w:rPr>
        <w:t>Research perspectives</w:t>
      </w:r>
    </w:p>
    <w:p w:rsidR="00E222F1" w:rsidRPr="00D01B10" w:rsidRDefault="00E222F1" w:rsidP="00D01B10">
      <w:pPr>
        <w:spacing w:line="360" w:lineRule="auto"/>
        <w:rPr>
          <w:rFonts w:ascii="Book Antiqua" w:hAnsi="Book Antiqua"/>
          <w:sz w:val="24"/>
          <w:szCs w:val="24"/>
        </w:rPr>
      </w:pPr>
      <w:r w:rsidRPr="00D01B10">
        <w:rPr>
          <w:rFonts w:ascii="Book Antiqua" w:hAnsi="Book Antiqua"/>
          <w:sz w:val="24"/>
          <w:szCs w:val="24"/>
        </w:rPr>
        <w:t xml:space="preserve">Physicians should be vigilant about the possibility of secondary asymptomatic choledocholithiasis when the serum GGT level reaches the cutoff value. Timely and proper interventions should be </w:t>
      </w:r>
      <w:r w:rsidR="00CB3E1F">
        <w:rPr>
          <w:rFonts w:ascii="Book Antiqua" w:hAnsi="Book Antiqua"/>
          <w:sz w:val="24"/>
          <w:szCs w:val="24"/>
        </w:rPr>
        <w:t>performed</w:t>
      </w:r>
      <w:r w:rsidRPr="00D01B10">
        <w:rPr>
          <w:rFonts w:ascii="Book Antiqua" w:hAnsi="Book Antiqua"/>
          <w:sz w:val="24"/>
          <w:szCs w:val="24"/>
        </w:rPr>
        <w:t xml:space="preserve"> to avoid aggravation of the disease.</w:t>
      </w:r>
    </w:p>
    <w:p w:rsidR="00BA1ECC" w:rsidRPr="00D01B10" w:rsidRDefault="00BA1ECC" w:rsidP="00D01B10">
      <w:pPr>
        <w:spacing w:line="360" w:lineRule="auto"/>
        <w:rPr>
          <w:rFonts w:ascii="Book Antiqua" w:hAnsi="Book Antiqua"/>
          <w:b/>
          <w:color w:val="000000"/>
          <w:sz w:val="24"/>
          <w:szCs w:val="24"/>
        </w:rPr>
      </w:pPr>
    </w:p>
    <w:p w:rsidR="00BA1ECC" w:rsidRPr="00D01B10" w:rsidRDefault="006015C4" w:rsidP="00D01B10">
      <w:pPr>
        <w:spacing w:line="360" w:lineRule="auto"/>
        <w:rPr>
          <w:rFonts w:ascii="Book Antiqua" w:hAnsi="Book Antiqua"/>
          <w:b/>
          <w:sz w:val="24"/>
          <w:szCs w:val="24"/>
        </w:rPr>
      </w:pPr>
      <w:r w:rsidRPr="00D01B10">
        <w:rPr>
          <w:rFonts w:ascii="Book Antiqua" w:hAnsi="Book Antiqua"/>
          <w:b/>
          <w:sz w:val="24"/>
          <w:szCs w:val="24"/>
        </w:rPr>
        <w:br w:type="page"/>
      </w:r>
      <w:r w:rsidR="00BA1ECC" w:rsidRPr="00D01B10">
        <w:rPr>
          <w:rFonts w:ascii="Book Antiqua" w:hAnsi="Book Antiqua"/>
          <w:b/>
          <w:sz w:val="24"/>
          <w:szCs w:val="24"/>
        </w:rPr>
        <w:lastRenderedPageBreak/>
        <w:t>REFERENCES</w:t>
      </w:r>
    </w:p>
    <w:p w:rsidR="00D01B10" w:rsidRPr="00D01B10" w:rsidRDefault="00D01B10" w:rsidP="00D01B10">
      <w:pPr>
        <w:spacing w:line="360" w:lineRule="auto"/>
        <w:rPr>
          <w:rFonts w:ascii="Book Antiqua" w:hAnsi="Book Antiqua"/>
          <w:sz w:val="24"/>
          <w:szCs w:val="24"/>
        </w:rPr>
      </w:pPr>
      <w:r w:rsidRPr="00D01B10">
        <w:rPr>
          <w:rFonts w:ascii="Book Antiqua" w:hAnsi="Book Antiqua"/>
          <w:sz w:val="24"/>
          <w:szCs w:val="24"/>
        </w:rPr>
        <w:t xml:space="preserve">1 </w:t>
      </w:r>
      <w:r w:rsidRPr="00D01B10">
        <w:rPr>
          <w:rFonts w:ascii="Book Antiqua" w:hAnsi="Book Antiqua"/>
          <w:b/>
          <w:sz w:val="24"/>
          <w:szCs w:val="24"/>
        </w:rPr>
        <w:t>Bourgouin S</w:t>
      </w:r>
      <w:r w:rsidRPr="00D01B10">
        <w:rPr>
          <w:rFonts w:ascii="Book Antiqua" w:hAnsi="Book Antiqua"/>
          <w:sz w:val="24"/>
          <w:szCs w:val="24"/>
        </w:rPr>
        <w:t xml:space="preserve">, Mancini J, Monchal T, Calvary R, Bordes J, Balandraud P. How to predict difficult laparoscopic cholecystectomy? Proposal for a simple preoperative scoring system. </w:t>
      </w:r>
      <w:r w:rsidRPr="00D01B10">
        <w:rPr>
          <w:rFonts w:ascii="Book Antiqua" w:hAnsi="Book Antiqua"/>
          <w:i/>
          <w:sz w:val="24"/>
          <w:szCs w:val="24"/>
        </w:rPr>
        <w:t>Am J Surg</w:t>
      </w:r>
      <w:r w:rsidRPr="00D01B10">
        <w:rPr>
          <w:rFonts w:ascii="Book Antiqua" w:hAnsi="Book Antiqua"/>
          <w:sz w:val="24"/>
          <w:szCs w:val="24"/>
        </w:rPr>
        <w:t xml:space="preserve"> 2016; </w:t>
      </w:r>
      <w:r w:rsidRPr="00D01B10">
        <w:rPr>
          <w:rFonts w:ascii="Book Antiqua" w:hAnsi="Book Antiqua"/>
          <w:b/>
          <w:sz w:val="24"/>
          <w:szCs w:val="24"/>
        </w:rPr>
        <w:t>212</w:t>
      </w:r>
      <w:r w:rsidRPr="00D01B10">
        <w:rPr>
          <w:rFonts w:ascii="Book Antiqua" w:hAnsi="Book Antiqua"/>
          <w:sz w:val="24"/>
          <w:szCs w:val="24"/>
        </w:rPr>
        <w:t>: 873-881 [PMID: 27329073 DOI: 10.1016/j.amjsurg.2016.04.003]</w:t>
      </w:r>
    </w:p>
    <w:p w:rsidR="00D01B10" w:rsidRPr="00D01B10" w:rsidRDefault="00D01B10" w:rsidP="00D01B10">
      <w:pPr>
        <w:spacing w:line="360" w:lineRule="auto"/>
        <w:rPr>
          <w:rFonts w:ascii="Book Antiqua" w:hAnsi="Book Antiqua"/>
          <w:sz w:val="24"/>
          <w:szCs w:val="24"/>
        </w:rPr>
      </w:pPr>
      <w:r w:rsidRPr="00D01B10">
        <w:rPr>
          <w:rFonts w:ascii="Book Antiqua" w:hAnsi="Book Antiqua"/>
          <w:sz w:val="24"/>
          <w:szCs w:val="24"/>
        </w:rPr>
        <w:t xml:space="preserve">2 </w:t>
      </w:r>
      <w:r w:rsidRPr="00D01B10">
        <w:rPr>
          <w:rFonts w:ascii="Book Antiqua" w:hAnsi="Book Antiqua"/>
          <w:b/>
          <w:sz w:val="24"/>
          <w:szCs w:val="24"/>
        </w:rPr>
        <w:t>Cheng Y</w:t>
      </w:r>
      <w:r w:rsidRPr="00D01B10">
        <w:rPr>
          <w:rFonts w:ascii="Book Antiqua" w:hAnsi="Book Antiqua"/>
          <w:sz w:val="24"/>
          <w:szCs w:val="24"/>
        </w:rPr>
        <w:t xml:space="preserve">, Jiang ZS, Xu XP, Zhang Z, Xu TC, Zhou CJ, Qin JS, He GL, Gao Y, Pan MX. Laparoendoscopic single-site cholecystectomy vs three-port laparoscopic cholecystectomy: a large-scale retrospective study. </w:t>
      </w:r>
      <w:r w:rsidRPr="00D01B10">
        <w:rPr>
          <w:rFonts w:ascii="Book Antiqua" w:hAnsi="Book Antiqua"/>
          <w:i/>
          <w:sz w:val="24"/>
          <w:szCs w:val="24"/>
        </w:rPr>
        <w:t>World J Gastroenterol</w:t>
      </w:r>
      <w:r w:rsidRPr="00D01B10">
        <w:rPr>
          <w:rFonts w:ascii="Book Antiqua" w:hAnsi="Book Antiqua"/>
          <w:sz w:val="24"/>
          <w:szCs w:val="24"/>
        </w:rPr>
        <w:t xml:space="preserve"> 2013; </w:t>
      </w:r>
      <w:r w:rsidRPr="00D01B10">
        <w:rPr>
          <w:rFonts w:ascii="Book Antiqua" w:hAnsi="Book Antiqua"/>
          <w:b/>
          <w:sz w:val="24"/>
          <w:szCs w:val="24"/>
        </w:rPr>
        <w:t>19</w:t>
      </w:r>
      <w:r w:rsidRPr="00D01B10">
        <w:rPr>
          <w:rFonts w:ascii="Book Antiqua" w:hAnsi="Book Antiqua"/>
          <w:sz w:val="24"/>
          <w:szCs w:val="24"/>
        </w:rPr>
        <w:t>: 4209-4213 [PMID: 23864785 DOI: 10.3748/wjg.v19.i26.4209]</w:t>
      </w:r>
    </w:p>
    <w:p w:rsidR="00D01B10" w:rsidRPr="00D01B10" w:rsidRDefault="00D01B10" w:rsidP="00D01B10">
      <w:pPr>
        <w:spacing w:line="360" w:lineRule="auto"/>
        <w:rPr>
          <w:rFonts w:ascii="Book Antiqua" w:hAnsi="Book Antiqua"/>
          <w:sz w:val="24"/>
          <w:szCs w:val="24"/>
        </w:rPr>
      </w:pPr>
      <w:r w:rsidRPr="00D01B10">
        <w:rPr>
          <w:rFonts w:ascii="Book Antiqua" w:hAnsi="Book Antiqua"/>
          <w:sz w:val="24"/>
          <w:szCs w:val="24"/>
        </w:rPr>
        <w:t xml:space="preserve">3 </w:t>
      </w:r>
      <w:r w:rsidRPr="00D01B10">
        <w:rPr>
          <w:rFonts w:ascii="Book Antiqua" w:hAnsi="Book Antiqua"/>
          <w:b/>
          <w:sz w:val="24"/>
          <w:szCs w:val="24"/>
        </w:rPr>
        <w:t>Dasari BV</w:t>
      </w:r>
      <w:r w:rsidRPr="00D01B10">
        <w:rPr>
          <w:rFonts w:ascii="Book Antiqua" w:hAnsi="Book Antiqua"/>
          <w:sz w:val="24"/>
          <w:szCs w:val="24"/>
        </w:rPr>
        <w:t xml:space="preserve">, Tan CJ, Gurusamy KS, Martin DJ, Kirk G, McKie L, Diamond T, Taylor MA. Surgical versus endoscopic treatment of bile duct stones. </w:t>
      </w:r>
      <w:r w:rsidRPr="00D01B10">
        <w:rPr>
          <w:rFonts w:ascii="Book Antiqua" w:hAnsi="Book Antiqua"/>
          <w:i/>
          <w:sz w:val="24"/>
          <w:szCs w:val="24"/>
        </w:rPr>
        <w:t>Cochrane Database Syst Rev</w:t>
      </w:r>
      <w:r w:rsidRPr="00D01B10">
        <w:rPr>
          <w:rFonts w:ascii="Book Antiqua" w:hAnsi="Book Antiqua"/>
          <w:sz w:val="24"/>
          <w:szCs w:val="24"/>
        </w:rPr>
        <w:t xml:space="preserve"> 2013; CD003327 [PMID: 24338858 DOI: 10.1002/14651858.CD003327.pub4]</w:t>
      </w:r>
    </w:p>
    <w:p w:rsidR="00D01B10" w:rsidRPr="00D01B10" w:rsidRDefault="00D01B10" w:rsidP="00D01B10">
      <w:pPr>
        <w:spacing w:line="360" w:lineRule="auto"/>
        <w:rPr>
          <w:rFonts w:ascii="Book Antiqua" w:hAnsi="Book Antiqua"/>
          <w:sz w:val="24"/>
          <w:szCs w:val="24"/>
        </w:rPr>
      </w:pPr>
      <w:r w:rsidRPr="00D01B10">
        <w:rPr>
          <w:rFonts w:ascii="Book Antiqua" w:hAnsi="Book Antiqua"/>
          <w:sz w:val="24"/>
          <w:szCs w:val="24"/>
        </w:rPr>
        <w:t xml:space="preserve">4 </w:t>
      </w:r>
      <w:r w:rsidRPr="00D01B10">
        <w:rPr>
          <w:rFonts w:ascii="Book Antiqua" w:hAnsi="Book Antiqua"/>
          <w:b/>
          <w:sz w:val="24"/>
          <w:szCs w:val="24"/>
        </w:rPr>
        <w:t>Thapa PB</w:t>
      </w:r>
      <w:r w:rsidRPr="00D01B10">
        <w:rPr>
          <w:rFonts w:ascii="Book Antiqua" w:hAnsi="Book Antiqua"/>
          <w:sz w:val="24"/>
          <w:szCs w:val="24"/>
        </w:rPr>
        <w:t xml:space="preserve">, Maharjan DK, Suwal B, Byanjankar B, Singh DR. Serum gamma glutamyl transferase and alkaline phosphatase in acute cholecystitis. </w:t>
      </w:r>
      <w:r w:rsidRPr="00D01B10">
        <w:rPr>
          <w:rFonts w:ascii="Book Antiqua" w:hAnsi="Book Antiqua"/>
          <w:i/>
          <w:sz w:val="24"/>
          <w:szCs w:val="24"/>
        </w:rPr>
        <w:t>J Nepal Health Res Counc</w:t>
      </w:r>
      <w:r w:rsidRPr="00D01B10">
        <w:rPr>
          <w:rFonts w:ascii="Book Antiqua" w:hAnsi="Book Antiqua"/>
          <w:sz w:val="24"/>
          <w:szCs w:val="24"/>
        </w:rPr>
        <w:t xml:space="preserve"> 2010; </w:t>
      </w:r>
      <w:r w:rsidRPr="00D01B10">
        <w:rPr>
          <w:rFonts w:ascii="Book Antiqua" w:hAnsi="Book Antiqua"/>
          <w:b/>
          <w:sz w:val="24"/>
          <w:szCs w:val="24"/>
        </w:rPr>
        <w:t>8</w:t>
      </w:r>
      <w:r w:rsidRPr="00D01B10">
        <w:rPr>
          <w:rFonts w:ascii="Book Antiqua" w:hAnsi="Book Antiqua"/>
          <w:sz w:val="24"/>
          <w:szCs w:val="24"/>
        </w:rPr>
        <w:t>: 78-81 [PMID: 21876567]</w:t>
      </w:r>
    </w:p>
    <w:p w:rsidR="00D01B10" w:rsidRPr="00D01B10" w:rsidRDefault="00D01B10" w:rsidP="00D01B10">
      <w:pPr>
        <w:spacing w:line="360" w:lineRule="auto"/>
        <w:rPr>
          <w:rFonts w:ascii="Book Antiqua" w:hAnsi="Book Antiqua"/>
          <w:sz w:val="24"/>
          <w:szCs w:val="24"/>
        </w:rPr>
      </w:pPr>
      <w:r w:rsidRPr="00D01B10">
        <w:rPr>
          <w:rFonts w:ascii="Book Antiqua" w:hAnsi="Book Antiqua"/>
          <w:sz w:val="24"/>
          <w:szCs w:val="24"/>
        </w:rPr>
        <w:t xml:space="preserve">5 </w:t>
      </w:r>
      <w:r w:rsidRPr="00D01B10">
        <w:rPr>
          <w:rFonts w:ascii="Book Antiqua" w:hAnsi="Book Antiqua"/>
          <w:b/>
          <w:sz w:val="24"/>
          <w:szCs w:val="24"/>
        </w:rPr>
        <w:t>Schwab B</w:t>
      </w:r>
      <w:r w:rsidRPr="00D01B10">
        <w:rPr>
          <w:rFonts w:ascii="Book Antiqua" w:hAnsi="Book Antiqua"/>
          <w:sz w:val="24"/>
          <w:szCs w:val="24"/>
        </w:rPr>
        <w:t xml:space="preserve">, Teitelbaum EN, Barsuk JH, Soper NJ, Hungness ES. Single-stage laparoscopic management of choledocholithiasis: An analysis after implementation of a mastery learning resident curriculum. </w:t>
      </w:r>
      <w:r w:rsidRPr="00D01B10">
        <w:rPr>
          <w:rFonts w:ascii="Book Antiqua" w:hAnsi="Book Antiqua"/>
          <w:i/>
          <w:sz w:val="24"/>
          <w:szCs w:val="24"/>
        </w:rPr>
        <w:t>Surgery</w:t>
      </w:r>
      <w:r w:rsidRPr="00D01B10">
        <w:rPr>
          <w:rFonts w:ascii="Book Antiqua" w:hAnsi="Book Antiqua"/>
          <w:sz w:val="24"/>
          <w:szCs w:val="24"/>
        </w:rPr>
        <w:t xml:space="preserve"> 2018; </w:t>
      </w:r>
      <w:r w:rsidRPr="00D01B10">
        <w:rPr>
          <w:rFonts w:ascii="Book Antiqua" w:hAnsi="Book Antiqua"/>
          <w:b/>
          <w:sz w:val="24"/>
          <w:szCs w:val="24"/>
        </w:rPr>
        <w:t>163</w:t>
      </w:r>
      <w:r w:rsidRPr="00D01B10">
        <w:rPr>
          <w:rFonts w:ascii="Book Antiqua" w:hAnsi="Book Antiqua"/>
          <w:sz w:val="24"/>
          <w:szCs w:val="24"/>
        </w:rPr>
        <w:t>: 503-508 [PMID: 29191675 DOI: 10.1016/j.surg.2017.10.006]</w:t>
      </w:r>
    </w:p>
    <w:p w:rsidR="00D01B10" w:rsidRPr="00D01B10" w:rsidRDefault="00D01B10" w:rsidP="00D01B10">
      <w:pPr>
        <w:spacing w:line="360" w:lineRule="auto"/>
        <w:rPr>
          <w:rFonts w:ascii="Book Antiqua" w:hAnsi="Book Antiqua"/>
          <w:sz w:val="24"/>
          <w:szCs w:val="24"/>
        </w:rPr>
      </w:pPr>
      <w:r w:rsidRPr="00D01B10">
        <w:rPr>
          <w:rFonts w:ascii="Book Antiqua" w:hAnsi="Book Antiqua"/>
          <w:sz w:val="24"/>
          <w:szCs w:val="24"/>
        </w:rPr>
        <w:t xml:space="preserve">6 </w:t>
      </w:r>
      <w:r w:rsidRPr="00D01B10">
        <w:rPr>
          <w:rFonts w:ascii="Book Antiqua" w:hAnsi="Book Antiqua"/>
          <w:b/>
          <w:sz w:val="24"/>
          <w:szCs w:val="24"/>
        </w:rPr>
        <w:t>Al-Temimi MH</w:t>
      </w:r>
      <w:r w:rsidRPr="00D01B10">
        <w:rPr>
          <w:rFonts w:ascii="Book Antiqua" w:hAnsi="Book Antiqua"/>
          <w:sz w:val="24"/>
          <w:szCs w:val="24"/>
        </w:rPr>
        <w:t xml:space="preserve">, Kim EG, Chandrasekaran B, Franz V, Trujillo CN, Mousa A, Tessier DJ, Johna SD, Santos DA. Laparoscopic common bile duct exploration versus endoscopic retrograde cholangiopancreatography for choledocholithiasis found at time of laparoscopic cholecystectomy: Analysis of a large integrated health care system database. </w:t>
      </w:r>
      <w:r w:rsidRPr="00D01B10">
        <w:rPr>
          <w:rFonts w:ascii="Book Antiqua" w:hAnsi="Book Antiqua"/>
          <w:i/>
          <w:sz w:val="24"/>
          <w:szCs w:val="24"/>
        </w:rPr>
        <w:t>Am J Surg</w:t>
      </w:r>
      <w:r w:rsidRPr="00D01B10">
        <w:rPr>
          <w:rFonts w:ascii="Book Antiqua" w:hAnsi="Book Antiqua"/>
          <w:sz w:val="24"/>
          <w:szCs w:val="24"/>
        </w:rPr>
        <w:t xml:space="preserve"> 2017; </w:t>
      </w:r>
      <w:r w:rsidRPr="00D01B10">
        <w:rPr>
          <w:rFonts w:ascii="Book Antiqua" w:hAnsi="Book Antiqua"/>
          <w:b/>
          <w:sz w:val="24"/>
          <w:szCs w:val="24"/>
        </w:rPr>
        <w:t>214</w:t>
      </w:r>
      <w:r w:rsidRPr="00D01B10">
        <w:rPr>
          <w:rFonts w:ascii="Book Antiqua" w:hAnsi="Book Antiqua"/>
          <w:sz w:val="24"/>
          <w:szCs w:val="24"/>
        </w:rPr>
        <w:t>: 1075-1079 [PMID: 28939251 DOI: 10.1016/j.amjsurg.2017.08.030]</w:t>
      </w:r>
    </w:p>
    <w:p w:rsidR="00D01B10" w:rsidRPr="00D01B10" w:rsidRDefault="00D01B10" w:rsidP="00D01B10">
      <w:pPr>
        <w:spacing w:line="360" w:lineRule="auto"/>
        <w:rPr>
          <w:rFonts w:ascii="Book Antiqua" w:hAnsi="Book Antiqua"/>
          <w:sz w:val="24"/>
          <w:szCs w:val="24"/>
        </w:rPr>
      </w:pPr>
      <w:r w:rsidRPr="00D01B10">
        <w:rPr>
          <w:rFonts w:ascii="Book Antiqua" w:hAnsi="Book Antiqua"/>
          <w:sz w:val="24"/>
          <w:szCs w:val="24"/>
        </w:rPr>
        <w:t xml:space="preserve">7 </w:t>
      </w:r>
      <w:r w:rsidRPr="00D01B10">
        <w:rPr>
          <w:rFonts w:ascii="Book Antiqua" w:hAnsi="Book Antiqua"/>
          <w:b/>
          <w:sz w:val="24"/>
          <w:szCs w:val="24"/>
        </w:rPr>
        <w:t>Noda Y</w:t>
      </w:r>
      <w:r w:rsidRPr="00D01B10">
        <w:rPr>
          <w:rFonts w:ascii="Book Antiqua" w:hAnsi="Book Antiqua"/>
          <w:sz w:val="24"/>
          <w:szCs w:val="24"/>
        </w:rPr>
        <w:t xml:space="preserve">, Goshima S, Kojima T, Kawaguchi S, Kawada H, Kawai N, Koyasu H, Matsuo M, Bae KT. Improved diagnosis of common bile duct stone with single-shot balanced turbo field-echo sequence in MRCP. </w:t>
      </w:r>
      <w:r w:rsidRPr="00D01B10">
        <w:rPr>
          <w:rFonts w:ascii="Book Antiqua" w:hAnsi="Book Antiqua"/>
          <w:i/>
          <w:sz w:val="24"/>
          <w:szCs w:val="24"/>
        </w:rPr>
        <w:t>Abdom Radiol (NY)</w:t>
      </w:r>
      <w:r w:rsidRPr="00D01B10">
        <w:rPr>
          <w:rFonts w:ascii="Book Antiqua" w:hAnsi="Book Antiqua"/>
          <w:sz w:val="24"/>
          <w:szCs w:val="24"/>
        </w:rPr>
        <w:t xml:space="preserve"> </w:t>
      </w:r>
      <w:r w:rsidRPr="00D01B10">
        <w:rPr>
          <w:rFonts w:ascii="Book Antiqua" w:hAnsi="Book Antiqua"/>
          <w:sz w:val="24"/>
          <w:szCs w:val="24"/>
        </w:rPr>
        <w:lastRenderedPageBreak/>
        <w:t xml:space="preserve">2017; </w:t>
      </w:r>
      <w:r w:rsidRPr="00D01B10">
        <w:rPr>
          <w:rFonts w:ascii="Book Antiqua" w:hAnsi="Book Antiqua"/>
          <w:b/>
          <w:sz w:val="24"/>
          <w:szCs w:val="24"/>
        </w:rPr>
        <w:t>42</w:t>
      </w:r>
      <w:r w:rsidRPr="00D01B10">
        <w:rPr>
          <w:rFonts w:ascii="Book Antiqua" w:hAnsi="Book Antiqua"/>
          <w:sz w:val="24"/>
          <w:szCs w:val="24"/>
        </w:rPr>
        <w:t>: 1183-1188 [PMID: 27891550 DOI: 10.1007/s00261-016-0990-6]</w:t>
      </w:r>
    </w:p>
    <w:p w:rsidR="00D01B10" w:rsidRPr="00D01B10" w:rsidRDefault="00D01B10" w:rsidP="00D01B10">
      <w:pPr>
        <w:spacing w:line="360" w:lineRule="auto"/>
        <w:rPr>
          <w:rFonts w:ascii="Book Antiqua" w:hAnsi="Book Antiqua"/>
          <w:sz w:val="24"/>
          <w:szCs w:val="24"/>
        </w:rPr>
      </w:pPr>
      <w:r w:rsidRPr="00D01B10">
        <w:rPr>
          <w:rFonts w:ascii="Book Antiqua" w:hAnsi="Book Antiqua"/>
          <w:sz w:val="24"/>
          <w:szCs w:val="24"/>
        </w:rPr>
        <w:t xml:space="preserve">8 </w:t>
      </w:r>
      <w:r w:rsidRPr="00D01B10">
        <w:rPr>
          <w:rFonts w:ascii="Book Antiqua" w:hAnsi="Book Antiqua"/>
          <w:b/>
          <w:sz w:val="24"/>
          <w:szCs w:val="24"/>
        </w:rPr>
        <w:t>Hall P</w:t>
      </w:r>
      <w:r w:rsidRPr="00D01B10">
        <w:rPr>
          <w:rFonts w:ascii="Book Antiqua" w:hAnsi="Book Antiqua"/>
          <w:sz w:val="24"/>
          <w:szCs w:val="24"/>
        </w:rPr>
        <w:t xml:space="preserve">, Cash J. What is the real function of the liver 'function' tests? </w:t>
      </w:r>
      <w:r w:rsidRPr="00D01B10">
        <w:rPr>
          <w:rFonts w:ascii="Book Antiqua" w:hAnsi="Book Antiqua"/>
          <w:i/>
          <w:sz w:val="24"/>
          <w:szCs w:val="24"/>
        </w:rPr>
        <w:t>Ulster Med J</w:t>
      </w:r>
      <w:r w:rsidRPr="00D01B10">
        <w:rPr>
          <w:rFonts w:ascii="Book Antiqua" w:hAnsi="Book Antiqua"/>
          <w:sz w:val="24"/>
          <w:szCs w:val="24"/>
        </w:rPr>
        <w:t xml:space="preserve"> 2012; </w:t>
      </w:r>
      <w:r w:rsidRPr="00D01B10">
        <w:rPr>
          <w:rFonts w:ascii="Book Antiqua" w:hAnsi="Book Antiqua"/>
          <w:b/>
          <w:sz w:val="24"/>
          <w:szCs w:val="24"/>
        </w:rPr>
        <w:t>81</w:t>
      </w:r>
      <w:r w:rsidRPr="00D01B10">
        <w:rPr>
          <w:rFonts w:ascii="Book Antiqua" w:hAnsi="Book Antiqua"/>
          <w:sz w:val="24"/>
          <w:szCs w:val="24"/>
        </w:rPr>
        <w:t>: 30-36 [PMID: 23536736]</w:t>
      </w:r>
    </w:p>
    <w:p w:rsidR="00D01B10" w:rsidRPr="00D01B10" w:rsidRDefault="00D01B10" w:rsidP="00D01B10">
      <w:pPr>
        <w:spacing w:line="360" w:lineRule="auto"/>
        <w:rPr>
          <w:rFonts w:ascii="Book Antiqua" w:hAnsi="Book Antiqua"/>
          <w:sz w:val="24"/>
          <w:szCs w:val="24"/>
        </w:rPr>
      </w:pPr>
      <w:r w:rsidRPr="00D01B10">
        <w:rPr>
          <w:rFonts w:ascii="Book Antiqua" w:hAnsi="Book Antiqua"/>
          <w:sz w:val="24"/>
          <w:szCs w:val="24"/>
        </w:rPr>
        <w:t xml:space="preserve">9 </w:t>
      </w:r>
      <w:r w:rsidRPr="00D01B10">
        <w:rPr>
          <w:rFonts w:ascii="Book Antiqua" w:hAnsi="Book Antiqua"/>
          <w:b/>
          <w:sz w:val="24"/>
          <w:szCs w:val="24"/>
        </w:rPr>
        <w:t>Shaffer EA</w:t>
      </w:r>
      <w:r w:rsidRPr="00D01B10">
        <w:rPr>
          <w:rFonts w:ascii="Book Antiqua" w:hAnsi="Book Antiqua"/>
          <w:sz w:val="24"/>
          <w:szCs w:val="24"/>
        </w:rPr>
        <w:t xml:space="preserve">. Gallstone disease: Epidemiology of gallbladder stone disease. </w:t>
      </w:r>
      <w:r w:rsidRPr="00D01B10">
        <w:rPr>
          <w:rFonts w:ascii="Book Antiqua" w:hAnsi="Book Antiqua"/>
          <w:i/>
          <w:sz w:val="24"/>
          <w:szCs w:val="24"/>
        </w:rPr>
        <w:t>Best Pract Res Clin Gastroenterol</w:t>
      </w:r>
      <w:r w:rsidRPr="00D01B10">
        <w:rPr>
          <w:rFonts w:ascii="Book Antiqua" w:hAnsi="Book Antiqua"/>
          <w:sz w:val="24"/>
          <w:szCs w:val="24"/>
        </w:rPr>
        <w:t xml:space="preserve"> 2006; </w:t>
      </w:r>
      <w:r w:rsidRPr="00D01B10">
        <w:rPr>
          <w:rFonts w:ascii="Book Antiqua" w:hAnsi="Book Antiqua"/>
          <w:b/>
          <w:sz w:val="24"/>
          <w:szCs w:val="24"/>
        </w:rPr>
        <w:t>20</w:t>
      </w:r>
      <w:r w:rsidRPr="00D01B10">
        <w:rPr>
          <w:rFonts w:ascii="Book Antiqua" w:hAnsi="Book Antiqua"/>
          <w:sz w:val="24"/>
          <w:szCs w:val="24"/>
        </w:rPr>
        <w:t>: 981-996 [PMID: 17127183 DOI: 10.1016/j.bpg.2006.05.004]</w:t>
      </w:r>
    </w:p>
    <w:p w:rsidR="00D01B10" w:rsidRPr="00D01B10" w:rsidRDefault="00D01B10" w:rsidP="00D01B10">
      <w:pPr>
        <w:spacing w:line="360" w:lineRule="auto"/>
        <w:rPr>
          <w:rFonts w:ascii="Book Antiqua" w:hAnsi="Book Antiqua"/>
          <w:sz w:val="24"/>
          <w:szCs w:val="24"/>
        </w:rPr>
      </w:pPr>
      <w:r w:rsidRPr="00D01B10">
        <w:rPr>
          <w:rFonts w:ascii="Book Antiqua" w:hAnsi="Book Antiqua"/>
          <w:sz w:val="24"/>
          <w:szCs w:val="24"/>
        </w:rPr>
        <w:t xml:space="preserve">10 </w:t>
      </w:r>
      <w:r w:rsidRPr="00D01B10">
        <w:rPr>
          <w:rFonts w:ascii="Book Antiqua" w:hAnsi="Book Antiqua"/>
          <w:b/>
          <w:sz w:val="24"/>
          <w:szCs w:val="24"/>
        </w:rPr>
        <w:t>Chilimuri S</w:t>
      </w:r>
      <w:r w:rsidRPr="00D01B10">
        <w:rPr>
          <w:rFonts w:ascii="Book Antiqua" w:hAnsi="Book Antiqua"/>
          <w:sz w:val="24"/>
          <w:szCs w:val="24"/>
        </w:rPr>
        <w:t xml:space="preserve">, Gaduputi V, Tariq H, Nayudu S, Vakde T, Glandt M, Patel H. Symptomatic Gallstones in the Young: Changing Trends of the Gallstone Disease-Related Hospitalization in the State of New York: 1996 - 2010. </w:t>
      </w:r>
      <w:r w:rsidRPr="00D01B10">
        <w:rPr>
          <w:rFonts w:ascii="Book Antiqua" w:hAnsi="Book Antiqua"/>
          <w:i/>
          <w:sz w:val="24"/>
          <w:szCs w:val="24"/>
        </w:rPr>
        <w:t>J Clin Med Res</w:t>
      </w:r>
      <w:r w:rsidRPr="00D01B10">
        <w:rPr>
          <w:rFonts w:ascii="Book Antiqua" w:hAnsi="Book Antiqua"/>
          <w:sz w:val="24"/>
          <w:szCs w:val="24"/>
        </w:rPr>
        <w:t xml:space="preserve"> 2017; </w:t>
      </w:r>
      <w:r w:rsidRPr="00D01B10">
        <w:rPr>
          <w:rFonts w:ascii="Book Antiqua" w:hAnsi="Book Antiqua"/>
          <w:b/>
          <w:sz w:val="24"/>
          <w:szCs w:val="24"/>
        </w:rPr>
        <w:t>9</w:t>
      </w:r>
      <w:r w:rsidRPr="00D01B10">
        <w:rPr>
          <w:rFonts w:ascii="Book Antiqua" w:hAnsi="Book Antiqua"/>
          <w:sz w:val="24"/>
          <w:szCs w:val="24"/>
        </w:rPr>
        <w:t>: 117-123 [PMID: 28090227 DOI: 10.14740/jocmr2847w]</w:t>
      </w:r>
    </w:p>
    <w:p w:rsidR="00D01B10" w:rsidRPr="00D01B10" w:rsidRDefault="00D01B10" w:rsidP="00D01B10">
      <w:pPr>
        <w:spacing w:line="360" w:lineRule="auto"/>
        <w:rPr>
          <w:rFonts w:ascii="Book Antiqua" w:hAnsi="Book Antiqua"/>
          <w:sz w:val="24"/>
          <w:szCs w:val="24"/>
        </w:rPr>
      </w:pPr>
      <w:r w:rsidRPr="00D01B10">
        <w:rPr>
          <w:rFonts w:ascii="Book Antiqua" w:hAnsi="Book Antiqua"/>
          <w:sz w:val="24"/>
          <w:szCs w:val="24"/>
        </w:rPr>
        <w:t xml:space="preserve">11 </w:t>
      </w:r>
      <w:r w:rsidRPr="00D01B10">
        <w:rPr>
          <w:rFonts w:ascii="Book Antiqua" w:hAnsi="Book Antiqua"/>
          <w:b/>
          <w:sz w:val="24"/>
          <w:szCs w:val="24"/>
        </w:rPr>
        <w:t>Yousefpour Azary S</w:t>
      </w:r>
      <w:r w:rsidRPr="00D01B10">
        <w:rPr>
          <w:rFonts w:ascii="Book Antiqua" w:hAnsi="Book Antiqua"/>
          <w:sz w:val="24"/>
          <w:szCs w:val="24"/>
        </w:rPr>
        <w:t xml:space="preserve">, Kalbasi H, Setayesh A, Mousavi M, Hashemi A, Khodadoostan M, Zali MR, Mohammad Alizadeh AH. Predictive value and main determinants of abnormal features of intraoperative cholangiography during cholecystectomy. </w:t>
      </w:r>
      <w:r w:rsidRPr="00D01B10">
        <w:rPr>
          <w:rFonts w:ascii="Book Antiqua" w:hAnsi="Book Antiqua"/>
          <w:i/>
          <w:sz w:val="24"/>
          <w:szCs w:val="24"/>
        </w:rPr>
        <w:t>Hepatobiliary Pancreat Dis Int</w:t>
      </w:r>
      <w:r w:rsidRPr="00D01B10">
        <w:rPr>
          <w:rFonts w:ascii="Book Antiqua" w:hAnsi="Book Antiqua"/>
          <w:sz w:val="24"/>
          <w:szCs w:val="24"/>
        </w:rPr>
        <w:t xml:space="preserve"> 2011; </w:t>
      </w:r>
      <w:r w:rsidRPr="00D01B10">
        <w:rPr>
          <w:rFonts w:ascii="Book Antiqua" w:hAnsi="Book Antiqua"/>
          <w:b/>
          <w:sz w:val="24"/>
          <w:szCs w:val="24"/>
        </w:rPr>
        <w:t>10</w:t>
      </w:r>
      <w:r w:rsidRPr="00D01B10">
        <w:rPr>
          <w:rFonts w:ascii="Book Antiqua" w:hAnsi="Book Antiqua"/>
          <w:sz w:val="24"/>
          <w:szCs w:val="24"/>
        </w:rPr>
        <w:t>: 308-312 [PMID: 21669576</w:t>
      </w:r>
      <w:r w:rsidR="00777638">
        <w:rPr>
          <w:rFonts w:ascii="Book Antiqua" w:hAnsi="Book Antiqua" w:hint="eastAsia"/>
          <w:sz w:val="24"/>
          <w:szCs w:val="24"/>
        </w:rPr>
        <w:t xml:space="preserve"> DOI: </w:t>
      </w:r>
      <w:r w:rsidR="00777638" w:rsidRPr="00777638">
        <w:rPr>
          <w:rFonts w:ascii="Book Antiqua" w:hAnsi="Book Antiqua"/>
          <w:sz w:val="24"/>
          <w:szCs w:val="24"/>
        </w:rPr>
        <w:t>10.1016/S1499-3872(11)60051-9</w:t>
      </w:r>
      <w:r w:rsidRPr="00D01B10">
        <w:rPr>
          <w:rFonts w:ascii="Book Antiqua" w:hAnsi="Book Antiqua"/>
          <w:sz w:val="24"/>
          <w:szCs w:val="24"/>
        </w:rPr>
        <w:t>]</w:t>
      </w:r>
    </w:p>
    <w:p w:rsidR="00D01B10" w:rsidRPr="00D01B10" w:rsidRDefault="00D01B10" w:rsidP="00D01B10">
      <w:pPr>
        <w:spacing w:line="360" w:lineRule="auto"/>
        <w:rPr>
          <w:rFonts w:ascii="Book Antiqua" w:hAnsi="Book Antiqua"/>
          <w:sz w:val="24"/>
          <w:szCs w:val="24"/>
        </w:rPr>
      </w:pPr>
      <w:r w:rsidRPr="00D01B10">
        <w:rPr>
          <w:rFonts w:ascii="Book Antiqua" w:hAnsi="Book Antiqua"/>
          <w:sz w:val="24"/>
          <w:szCs w:val="24"/>
        </w:rPr>
        <w:t xml:space="preserve">12 </w:t>
      </w:r>
      <w:r w:rsidRPr="00D01B10">
        <w:rPr>
          <w:rFonts w:ascii="Book Antiqua" w:hAnsi="Book Antiqua"/>
          <w:b/>
          <w:sz w:val="24"/>
          <w:szCs w:val="24"/>
        </w:rPr>
        <w:t>Chen CC</w:t>
      </w:r>
      <w:r w:rsidRPr="00D01B10">
        <w:rPr>
          <w:rFonts w:ascii="Book Antiqua" w:hAnsi="Book Antiqua"/>
          <w:sz w:val="24"/>
          <w:szCs w:val="24"/>
        </w:rPr>
        <w:t xml:space="preserve">. The efficacy of endoscopic ultrasound for the diagnosis of common bile duct stones as compared to CT, MRCP, and ERCP. </w:t>
      </w:r>
      <w:r w:rsidRPr="00D01B10">
        <w:rPr>
          <w:rFonts w:ascii="Book Antiqua" w:hAnsi="Book Antiqua"/>
          <w:i/>
          <w:sz w:val="24"/>
          <w:szCs w:val="24"/>
        </w:rPr>
        <w:t>J Chin Med Assoc</w:t>
      </w:r>
      <w:r w:rsidRPr="00D01B10">
        <w:rPr>
          <w:rFonts w:ascii="Book Antiqua" w:hAnsi="Book Antiqua"/>
          <w:sz w:val="24"/>
          <w:szCs w:val="24"/>
        </w:rPr>
        <w:t xml:space="preserve"> 2012; </w:t>
      </w:r>
      <w:r w:rsidRPr="00D01B10">
        <w:rPr>
          <w:rFonts w:ascii="Book Antiqua" w:hAnsi="Book Antiqua"/>
          <w:b/>
          <w:sz w:val="24"/>
          <w:szCs w:val="24"/>
        </w:rPr>
        <w:t>75</w:t>
      </w:r>
      <w:r w:rsidRPr="00D01B10">
        <w:rPr>
          <w:rFonts w:ascii="Book Antiqua" w:hAnsi="Book Antiqua"/>
          <w:sz w:val="24"/>
          <w:szCs w:val="24"/>
        </w:rPr>
        <w:t>: 301-302 [PMID: 22824042 DOI: 10.1016/j.jcma.2012.05.002]</w:t>
      </w:r>
    </w:p>
    <w:p w:rsidR="00D01B10" w:rsidRPr="00D01B10" w:rsidRDefault="00D01B10" w:rsidP="00D01B10">
      <w:pPr>
        <w:spacing w:line="360" w:lineRule="auto"/>
        <w:rPr>
          <w:rFonts w:ascii="Book Antiqua" w:hAnsi="Book Antiqua"/>
          <w:sz w:val="24"/>
          <w:szCs w:val="24"/>
        </w:rPr>
      </w:pPr>
      <w:r w:rsidRPr="00D01B10">
        <w:rPr>
          <w:rFonts w:ascii="Book Antiqua" w:hAnsi="Book Antiqua"/>
          <w:sz w:val="24"/>
          <w:szCs w:val="24"/>
        </w:rPr>
        <w:t xml:space="preserve">13 </w:t>
      </w:r>
      <w:r w:rsidRPr="00D01B10">
        <w:rPr>
          <w:rFonts w:ascii="Book Antiqua" w:hAnsi="Book Antiqua"/>
          <w:b/>
          <w:sz w:val="24"/>
          <w:szCs w:val="24"/>
        </w:rPr>
        <w:t>Giljaca V</w:t>
      </w:r>
      <w:r w:rsidRPr="00D01B10">
        <w:rPr>
          <w:rFonts w:ascii="Book Antiqua" w:hAnsi="Book Antiqua"/>
          <w:sz w:val="24"/>
          <w:szCs w:val="24"/>
        </w:rPr>
        <w:t xml:space="preserve">, Gurusamy KS, Takwoingi Y, Higgie D, Poropat G, Štimac D, Davidson BR. Endoscopic ultrasound versus magnetic resonance cholangiopancreatography for common bile duct stones. </w:t>
      </w:r>
      <w:r w:rsidRPr="00D01B10">
        <w:rPr>
          <w:rFonts w:ascii="Book Antiqua" w:hAnsi="Book Antiqua"/>
          <w:i/>
          <w:sz w:val="24"/>
          <w:szCs w:val="24"/>
        </w:rPr>
        <w:t>Cochrane Database Syst Rev</w:t>
      </w:r>
      <w:r w:rsidRPr="00D01B10">
        <w:rPr>
          <w:rFonts w:ascii="Book Antiqua" w:hAnsi="Book Antiqua"/>
          <w:sz w:val="24"/>
          <w:szCs w:val="24"/>
        </w:rPr>
        <w:t xml:space="preserve"> 2015; CD011549 [PMID: 25719224 DOI: 10.1002/14651858.CD011549]</w:t>
      </w:r>
    </w:p>
    <w:p w:rsidR="00D01B10" w:rsidRPr="00D01B10" w:rsidRDefault="00D01B10" w:rsidP="00D01B10">
      <w:pPr>
        <w:spacing w:line="360" w:lineRule="auto"/>
        <w:rPr>
          <w:rFonts w:ascii="Book Antiqua" w:hAnsi="Book Antiqua"/>
          <w:sz w:val="24"/>
          <w:szCs w:val="24"/>
        </w:rPr>
      </w:pPr>
      <w:r w:rsidRPr="00D01B10">
        <w:rPr>
          <w:rFonts w:ascii="Book Antiqua" w:hAnsi="Book Antiqua"/>
          <w:sz w:val="24"/>
          <w:szCs w:val="24"/>
        </w:rPr>
        <w:t xml:space="preserve">14 </w:t>
      </w:r>
      <w:r w:rsidRPr="00D01B10">
        <w:rPr>
          <w:rFonts w:ascii="Book Antiqua" w:hAnsi="Book Antiqua"/>
          <w:b/>
          <w:sz w:val="24"/>
          <w:szCs w:val="24"/>
        </w:rPr>
        <w:t>Ward WH</w:t>
      </w:r>
      <w:r w:rsidRPr="00D01B10">
        <w:rPr>
          <w:rFonts w:ascii="Book Antiqua" w:hAnsi="Book Antiqua"/>
          <w:sz w:val="24"/>
          <w:szCs w:val="24"/>
        </w:rPr>
        <w:t xml:space="preserve">, Fluke LM, Hoagland BD, Zarow GJ, Held JM, Ricca RL. The Role of Magnetic Resonance Cholangiopancreatography in the Diagnosis of Choledocholithiasis: Do Benefits Outweigh the Costs? </w:t>
      </w:r>
      <w:r w:rsidRPr="00D01B10">
        <w:rPr>
          <w:rFonts w:ascii="Book Antiqua" w:hAnsi="Book Antiqua"/>
          <w:i/>
          <w:sz w:val="24"/>
          <w:szCs w:val="24"/>
        </w:rPr>
        <w:t>Am Surg</w:t>
      </w:r>
      <w:r w:rsidRPr="00D01B10">
        <w:rPr>
          <w:rFonts w:ascii="Book Antiqua" w:hAnsi="Book Antiqua"/>
          <w:sz w:val="24"/>
          <w:szCs w:val="24"/>
        </w:rPr>
        <w:t xml:space="preserve"> 2015; </w:t>
      </w:r>
      <w:r w:rsidRPr="00D01B10">
        <w:rPr>
          <w:rFonts w:ascii="Book Antiqua" w:hAnsi="Book Antiqua"/>
          <w:b/>
          <w:sz w:val="24"/>
          <w:szCs w:val="24"/>
        </w:rPr>
        <w:t>81</w:t>
      </w:r>
      <w:r w:rsidRPr="00D01B10">
        <w:rPr>
          <w:rFonts w:ascii="Book Antiqua" w:hAnsi="Book Antiqua"/>
          <w:sz w:val="24"/>
          <w:szCs w:val="24"/>
        </w:rPr>
        <w:t>: 720-725 [PMID: 26140894]</w:t>
      </w:r>
    </w:p>
    <w:p w:rsidR="00D01B10" w:rsidRPr="00D01B10" w:rsidRDefault="00D01B10" w:rsidP="00D01B10">
      <w:pPr>
        <w:spacing w:line="360" w:lineRule="auto"/>
        <w:rPr>
          <w:rFonts w:ascii="Book Antiqua" w:hAnsi="Book Antiqua"/>
          <w:sz w:val="24"/>
          <w:szCs w:val="24"/>
        </w:rPr>
      </w:pPr>
      <w:r w:rsidRPr="00D01B10">
        <w:rPr>
          <w:rFonts w:ascii="Book Antiqua" w:hAnsi="Book Antiqua"/>
          <w:sz w:val="24"/>
          <w:szCs w:val="24"/>
        </w:rPr>
        <w:t xml:space="preserve">15 </w:t>
      </w:r>
      <w:r w:rsidRPr="00D01B10">
        <w:rPr>
          <w:rFonts w:ascii="Book Antiqua" w:hAnsi="Book Antiqua"/>
          <w:b/>
          <w:sz w:val="24"/>
          <w:szCs w:val="24"/>
        </w:rPr>
        <w:t>Canlas KR</w:t>
      </w:r>
      <w:r w:rsidRPr="00D01B10">
        <w:rPr>
          <w:rFonts w:ascii="Book Antiqua" w:hAnsi="Book Antiqua"/>
          <w:sz w:val="24"/>
          <w:szCs w:val="24"/>
        </w:rPr>
        <w:t xml:space="preserve">, Branch MS. Role of endoscopic retrograde cholangiopancreatography in acute pancreatitis. </w:t>
      </w:r>
      <w:r w:rsidRPr="00D01B10">
        <w:rPr>
          <w:rFonts w:ascii="Book Antiqua" w:hAnsi="Book Antiqua"/>
          <w:i/>
          <w:sz w:val="24"/>
          <w:szCs w:val="24"/>
        </w:rPr>
        <w:t>World J Gastroenterol</w:t>
      </w:r>
      <w:r w:rsidRPr="00D01B10">
        <w:rPr>
          <w:rFonts w:ascii="Book Antiqua" w:hAnsi="Book Antiqua"/>
          <w:sz w:val="24"/>
          <w:szCs w:val="24"/>
        </w:rPr>
        <w:t xml:space="preserve"> 2007; </w:t>
      </w:r>
      <w:r w:rsidRPr="00D01B10">
        <w:rPr>
          <w:rFonts w:ascii="Book Antiqua" w:hAnsi="Book Antiqua"/>
          <w:b/>
          <w:sz w:val="24"/>
          <w:szCs w:val="24"/>
        </w:rPr>
        <w:t>13</w:t>
      </w:r>
      <w:r w:rsidRPr="00D01B10">
        <w:rPr>
          <w:rFonts w:ascii="Book Antiqua" w:hAnsi="Book Antiqua"/>
          <w:sz w:val="24"/>
          <w:szCs w:val="24"/>
        </w:rPr>
        <w:t>: 6314-6320 [PMID: 18081218</w:t>
      </w:r>
      <w:r w:rsidR="00777638">
        <w:rPr>
          <w:rFonts w:ascii="Book Antiqua" w:hAnsi="Book Antiqua" w:hint="eastAsia"/>
          <w:sz w:val="24"/>
          <w:szCs w:val="24"/>
        </w:rPr>
        <w:t xml:space="preserve"> DOI: </w:t>
      </w:r>
      <w:r w:rsidR="00777638" w:rsidRPr="00777638">
        <w:rPr>
          <w:rFonts w:ascii="Book Antiqua" w:hAnsi="Book Antiqua"/>
          <w:sz w:val="24"/>
          <w:szCs w:val="24"/>
        </w:rPr>
        <w:t>10.3748/wjg.v13.i47.6314</w:t>
      </w:r>
      <w:r w:rsidRPr="00D01B10">
        <w:rPr>
          <w:rFonts w:ascii="Book Antiqua" w:hAnsi="Book Antiqua"/>
          <w:sz w:val="24"/>
          <w:szCs w:val="24"/>
        </w:rPr>
        <w:t>]</w:t>
      </w:r>
    </w:p>
    <w:p w:rsidR="00D01B10" w:rsidRPr="00D01B10" w:rsidRDefault="00D01B10" w:rsidP="00D01B10">
      <w:pPr>
        <w:spacing w:line="360" w:lineRule="auto"/>
        <w:rPr>
          <w:rFonts w:ascii="Book Antiqua" w:hAnsi="Book Antiqua"/>
          <w:sz w:val="24"/>
          <w:szCs w:val="24"/>
        </w:rPr>
      </w:pPr>
      <w:r w:rsidRPr="00D01B10">
        <w:rPr>
          <w:rFonts w:ascii="Book Antiqua" w:hAnsi="Book Antiqua"/>
          <w:sz w:val="24"/>
          <w:szCs w:val="24"/>
        </w:rPr>
        <w:t xml:space="preserve">16 </w:t>
      </w:r>
      <w:r w:rsidRPr="00D01B10">
        <w:rPr>
          <w:rFonts w:ascii="Book Antiqua" w:hAnsi="Book Antiqua"/>
          <w:b/>
          <w:sz w:val="24"/>
          <w:szCs w:val="24"/>
        </w:rPr>
        <w:t>Kim CW</w:t>
      </w:r>
      <w:r w:rsidRPr="00D01B10">
        <w:rPr>
          <w:rFonts w:ascii="Book Antiqua" w:hAnsi="Book Antiqua"/>
          <w:sz w:val="24"/>
          <w:szCs w:val="24"/>
        </w:rPr>
        <w:t xml:space="preserve">, Chang JH, Lim YS, Kim TH, Lee IS, Han SW. Common bile duct </w:t>
      </w:r>
      <w:r w:rsidRPr="00D01B10">
        <w:rPr>
          <w:rFonts w:ascii="Book Antiqua" w:hAnsi="Book Antiqua"/>
          <w:sz w:val="24"/>
          <w:szCs w:val="24"/>
        </w:rPr>
        <w:lastRenderedPageBreak/>
        <w:t xml:space="preserve">stones on multidetector computed tomography: attenuation patterns and detectability. </w:t>
      </w:r>
      <w:r w:rsidRPr="00D01B10">
        <w:rPr>
          <w:rFonts w:ascii="Book Antiqua" w:hAnsi="Book Antiqua"/>
          <w:i/>
          <w:sz w:val="24"/>
          <w:szCs w:val="24"/>
        </w:rPr>
        <w:t>World J Gastroenterol</w:t>
      </w:r>
      <w:r w:rsidRPr="00D01B10">
        <w:rPr>
          <w:rFonts w:ascii="Book Antiqua" w:hAnsi="Book Antiqua"/>
          <w:sz w:val="24"/>
          <w:szCs w:val="24"/>
        </w:rPr>
        <w:t xml:space="preserve"> 2013; </w:t>
      </w:r>
      <w:r w:rsidRPr="00D01B10">
        <w:rPr>
          <w:rFonts w:ascii="Book Antiqua" w:hAnsi="Book Antiqua"/>
          <w:b/>
          <w:sz w:val="24"/>
          <w:szCs w:val="24"/>
        </w:rPr>
        <w:t>19</w:t>
      </w:r>
      <w:r w:rsidRPr="00D01B10">
        <w:rPr>
          <w:rFonts w:ascii="Book Antiqua" w:hAnsi="Book Antiqua"/>
          <w:sz w:val="24"/>
          <w:szCs w:val="24"/>
        </w:rPr>
        <w:t>: 1788-1796 [PMID: 23555167 DOI: 10.3748/wjg.v19.i11.1788]</w:t>
      </w:r>
    </w:p>
    <w:p w:rsidR="00D01B10" w:rsidRPr="00D01B10" w:rsidRDefault="00D01B10" w:rsidP="00D01B10">
      <w:pPr>
        <w:spacing w:line="360" w:lineRule="auto"/>
        <w:rPr>
          <w:rFonts w:ascii="Book Antiqua" w:hAnsi="Book Antiqua"/>
          <w:sz w:val="24"/>
          <w:szCs w:val="24"/>
        </w:rPr>
      </w:pPr>
      <w:r w:rsidRPr="00D01B10">
        <w:rPr>
          <w:rFonts w:ascii="Book Antiqua" w:hAnsi="Book Antiqua"/>
          <w:sz w:val="24"/>
          <w:szCs w:val="24"/>
        </w:rPr>
        <w:t xml:space="preserve">17 </w:t>
      </w:r>
      <w:r w:rsidRPr="00D01B10">
        <w:rPr>
          <w:rFonts w:ascii="Book Antiqua" w:hAnsi="Book Antiqua"/>
          <w:b/>
          <w:sz w:val="24"/>
          <w:szCs w:val="24"/>
        </w:rPr>
        <w:t>Aljebreen AM</w:t>
      </w:r>
      <w:r w:rsidRPr="00D01B10">
        <w:rPr>
          <w:rFonts w:ascii="Book Antiqua" w:hAnsi="Book Antiqua"/>
          <w:sz w:val="24"/>
          <w:szCs w:val="24"/>
        </w:rPr>
        <w:t xml:space="preserve">. Role of endoscopic ultrasound in common bile duct stones. </w:t>
      </w:r>
      <w:r w:rsidRPr="00D01B10">
        <w:rPr>
          <w:rFonts w:ascii="Book Antiqua" w:hAnsi="Book Antiqua"/>
          <w:i/>
          <w:sz w:val="24"/>
          <w:szCs w:val="24"/>
        </w:rPr>
        <w:t>Saudi J Gastroenterol</w:t>
      </w:r>
      <w:r w:rsidRPr="00D01B10">
        <w:rPr>
          <w:rFonts w:ascii="Book Antiqua" w:hAnsi="Book Antiqua"/>
          <w:sz w:val="24"/>
          <w:szCs w:val="24"/>
        </w:rPr>
        <w:t xml:space="preserve"> 2007; </w:t>
      </w:r>
      <w:r w:rsidRPr="00D01B10">
        <w:rPr>
          <w:rFonts w:ascii="Book Antiqua" w:hAnsi="Book Antiqua"/>
          <w:b/>
          <w:sz w:val="24"/>
          <w:szCs w:val="24"/>
        </w:rPr>
        <w:t>13</w:t>
      </w:r>
      <w:r w:rsidRPr="00D01B10">
        <w:rPr>
          <w:rFonts w:ascii="Book Antiqua" w:hAnsi="Book Antiqua"/>
          <w:sz w:val="24"/>
          <w:szCs w:val="24"/>
        </w:rPr>
        <w:t>: 11-16 [PMID: 19858606 DOI: 10.4103/1319-3767.30459]</w:t>
      </w:r>
    </w:p>
    <w:p w:rsidR="00D01B10" w:rsidRPr="00D01B10" w:rsidRDefault="00D01B10" w:rsidP="00D01B10">
      <w:pPr>
        <w:spacing w:line="360" w:lineRule="auto"/>
        <w:rPr>
          <w:rFonts w:ascii="Book Antiqua" w:hAnsi="Book Antiqua"/>
          <w:sz w:val="24"/>
          <w:szCs w:val="24"/>
        </w:rPr>
      </w:pPr>
      <w:r w:rsidRPr="00D01B10">
        <w:rPr>
          <w:rFonts w:ascii="Book Antiqua" w:hAnsi="Book Antiqua"/>
          <w:sz w:val="24"/>
          <w:szCs w:val="24"/>
        </w:rPr>
        <w:t xml:space="preserve">18 </w:t>
      </w:r>
      <w:r w:rsidRPr="00D01B10">
        <w:rPr>
          <w:rFonts w:ascii="Book Antiqua" w:hAnsi="Book Antiqua"/>
          <w:b/>
          <w:sz w:val="24"/>
          <w:szCs w:val="24"/>
        </w:rPr>
        <w:t>Zare M</w:t>
      </w:r>
      <w:r w:rsidRPr="00D01B10">
        <w:rPr>
          <w:rFonts w:ascii="Book Antiqua" w:hAnsi="Book Antiqua"/>
          <w:sz w:val="24"/>
          <w:szCs w:val="24"/>
        </w:rPr>
        <w:t xml:space="preserve">, Kargar S, Akhondi M, Mirshamsi MH. Role of liver function enzymes in diagnosis of choledocholithiasis in biliary colic patients. </w:t>
      </w:r>
      <w:r w:rsidRPr="00D01B10">
        <w:rPr>
          <w:rFonts w:ascii="Book Antiqua" w:hAnsi="Book Antiqua"/>
          <w:i/>
          <w:sz w:val="24"/>
          <w:szCs w:val="24"/>
        </w:rPr>
        <w:t>Acta Med Iran</w:t>
      </w:r>
      <w:r w:rsidRPr="00D01B10">
        <w:rPr>
          <w:rFonts w:ascii="Book Antiqua" w:hAnsi="Book Antiqua"/>
          <w:sz w:val="24"/>
          <w:szCs w:val="24"/>
        </w:rPr>
        <w:t xml:space="preserve"> 2011; </w:t>
      </w:r>
      <w:r w:rsidRPr="00D01B10">
        <w:rPr>
          <w:rFonts w:ascii="Book Antiqua" w:hAnsi="Book Antiqua"/>
          <w:b/>
          <w:sz w:val="24"/>
          <w:szCs w:val="24"/>
        </w:rPr>
        <w:t>49</w:t>
      </w:r>
      <w:r w:rsidRPr="00D01B10">
        <w:rPr>
          <w:rFonts w:ascii="Book Antiqua" w:hAnsi="Book Antiqua"/>
          <w:sz w:val="24"/>
          <w:szCs w:val="24"/>
        </w:rPr>
        <w:t>: 663-666 [PMID: 22071641]</w:t>
      </w:r>
    </w:p>
    <w:p w:rsidR="00D01B10" w:rsidRPr="00D01B10" w:rsidRDefault="00D01B10" w:rsidP="00D01B10">
      <w:pPr>
        <w:spacing w:line="360" w:lineRule="auto"/>
        <w:rPr>
          <w:rFonts w:ascii="Book Antiqua" w:hAnsi="Book Antiqua"/>
          <w:sz w:val="24"/>
          <w:szCs w:val="24"/>
        </w:rPr>
      </w:pPr>
      <w:r w:rsidRPr="00D01B10">
        <w:rPr>
          <w:rFonts w:ascii="Book Antiqua" w:hAnsi="Book Antiqua"/>
          <w:sz w:val="24"/>
          <w:szCs w:val="24"/>
        </w:rPr>
        <w:t xml:space="preserve">19 </w:t>
      </w:r>
      <w:r w:rsidRPr="00D01B10">
        <w:rPr>
          <w:rFonts w:ascii="Book Antiqua" w:hAnsi="Book Antiqua"/>
          <w:b/>
          <w:sz w:val="24"/>
          <w:szCs w:val="24"/>
        </w:rPr>
        <w:t>Agahi A</w:t>
      </w:r>
      <w:r w:rsidRPr="00D01B10">
        <w:rPr>
          <w:rFonts w:ascii="Book Antiqua" w:hAnsi="Book Antiqua"/>
          <w:sz w:val="24"/>
          <w:szCs w:val="24"/>
        </w:rPr>
        <w:t xml:space="preserve">, McNair A. Choledocholithiasis presenting with very high transaminase level. </w:t>
      </w:r>
      <w:r w:rsidRPr="00D01B10">
        <w:rPr>
          <w:rFonts w:ascii="Book Antiqua" w:hAnsi="Book Antiqua"/>
          <w:i/>
          <w:sz w:val="24"/>
          <w:szCs w:val="24"/>
        </w:rPr>
        <w:t>BMJ Case Rep</w:t>
      </w:r>
      <w:r w:rsidRPr="00D01B10">
        <w:rPr>
          <w:rFonts w:ascii="Book Antiqua" w:hAnsi="Book Antiqua"/>
          <w:sz w:val="24"/>
          <w:szCs w:val="24"/>
        </w:rPr>
        <w:t xml:space="preserve"> 2012; </w:t>
      </w:r>
      <w:r w:rsidRPr="00D01B10">
        <w:rPr>
          <w:rFonts w:ascii="Book Antiqua" w:hAnsi="Book Antiqua"/>
          <w:b/>
          <w:sz w:val="24"/>
          <w:szCs w:val="24"/>
        </w:rPr>
        <w:t>2012</w:t>
      </w:r>
      <w:r w:rsidRPr="00D01B10">
        <w:rPr>
          <w:rFonts w:ascii="Book Antiqua" w:hAnsi="Book Antiqua"/>
          <w:sz w:val="24"/>
          <w:szCs w:val="24"/>
        </w:rPr>
        <w:t>:</w:t>
      </w:r>
      <w:r w:rsidR="00777638" w:rsidRPr="00777638">
        <w:t xml:space="preserve"> </w:t>
      </w:r>
      <w:r w:rsidR="00777638" w:rsidRPr="00777638">
        <w:rPr>
          <w:rFonts w:ascii="Book Antiqua" w:hAnsi="Book Antiqua"/>
          <w:sz w:val="24"/>
          <w:szCs w:val="24"/>
        </w:rPr>
        <w:t xml:space="preserve">bcr2012007268 </w:t>
      </w:r>
      <w:r w:rsidRPr="00D01B10">
        <w:rPr>
          <w:rFonts w:ascii="Book Antiqua" w:hAnsi="Book Antiqua"/>
          <w:sz w:val="24"/>
          <w:szCs w:val="24"/>
        </w:rPr>
        <w:t>[PMID: 23188856 DOI: 10.1136/bcr-2012-007268]</w:t>
      </w:r>
    </w:p>
    <w:p w:rsidR="00D01B10" w:rsidRPr="00D01B10" w:rsidRDefault="00D01B10" w:rsidP="00D01B10">
      <w:pPr>
        <w:spacing w:line="360" w:lineRule="auto"/>
        <w:rPr>
          <w:rFonts w:ascii="Book Antiqua" w:hAnsi="Book Antiqua"/>
          <w:sz w:val="24"/>
          <w:szCs w:val="24"/>
        </w:rPr>
      </w:pPr>
      <w:r w:rsidRPr="00D01B10">
        <w:rPr>
          <w:rFonts w:ascii="Book Antiqua" w:hAnsi="Book Antiqua"/>
          <w:sz w:val="24"/>
          <w:szCs w:val="24"/>
        </w:rPr>
        <w:t xml:space="preserve">20 </w:t>
      </w:r>
      <w:r w:rsidRPr="00D01B10">
        <w:rPr>
          <w:rFonts w:ascii="Book Antiqua" w:hAnsi="Book Antiqua"/>
          <w:b/>
          <w:sz w:val="24"/>
          <w:szCs w:val="24"/>
        </w:rPr>
        <w:t>Cakar M</w:t>
      </w:r>
      <w:r w:rsidRPr="00D01B10">
        <w:rPr>
          <w:rFonts w:ascii="Book Antiqua" w:hAnsi="Book Antiqua"/>
          <w:sz w:val="24"/>
          <w:szCs w:val="24"/>
        </w:rPr>
        <w:t xml:space="preserve">, Balta S, Demirkol S, Altun B, Demirbas S. Serum gamma-glutamyltransferase (GGT) should be evaluated together with other inflammatory markers in clinical practice. </w:t>
      </w:r>
      <w:r w:rsidRPr="00D01B10">
        <w:rPr>
          <w:rFonts w:ascii="Book Antiqua" w:hAnsi="Book Antiqua"/>
          <w:i/>
          <w:sz w:val="24"/>
          <w:szCs w:val="24"/>
        </w:rPr>
        <w:t>Angiology</w:t>
      </w:r>
      <w:r w:rsidRPr="00D01B10">
        <w:rPr>
          <w:rFonts w:ascii="Book Antiqua" w:hAnsi="Book Antiqua"/>
          <w:sz w:val="24"/>
          <w:szCs w:val="24"/>
        </w:rPr>
        <w:t xml:space="preserve"> 2013; </w:t>
      </w:r>
      <w:r w:rsidRPr="00D01B10">
        <w:rPr>
          <w:rFonts w:ascii="Book Antiqua" w:hAnsi="Book Antiqua"/>
          <w:b/>
          <w:sz w:val="24"/>
          <w:szCs w:val="24"/>
        </w:rPr>
        <w:t>64</w:t>
      </w:r>
      <w:r w:rsidRPr="00D01B10">
        <w:rPr>
          <w:rFonts w:ascii="Book Antiqua" w:hAnsi="Book Antiqua"/>
          <w:sz w:val="24"/>
          <w:szCs w:val="24"/>
        </w:rPr>
        <w:t>: 401 [PMID: 23267237 DOI: 10.1177/0003319712469876]</w:t>
      </w:r>
    </w:p>
    <w:p w:rsidR="00D01B10" w:rsidRPr="00D01B10" w:rsidRDefault="00D01B10" w:rsidP="00D01B10">
      <w:pPr>
        <w:spacing w:line="360" w:lineRule="auto"/>
        <w:rPr>
          <w:rFonts w:ascii="Book Antiqua" w:hAnsi="Book Antiqua"/>
          <w:sz w:val="24"/>
          <w:szCs w:val="24"/>
        </w:rPr>
      </w:pPr>
      <w:r w:rsidRPr="00D01B10">
        <w:rPr>
          <w:rFonts w:ascii="Book Antiqua" w:hAnsi="Book Antiqua"/>
          <w:sz w:val="24"/>
          <w:szCs w:val="24"/>
        </w:rPr>
        <w:t xml:space="preserve">21 </w:t>
      </w:r>
      <w:r w:rsidRPr="00D01B10">
        <w:rPr>
          <w:rFonts w:ascii="Book Antiqua" w:hAnsi="Book Antiqua"/>
          <w:b/>
          <w:sz w:val="24"/>
          <w:szCs w:val="24"/>
        </w:rPr>
        <w:t>Jovanović P</w:t>
      </w:r>
      <w:r w:rsidRPr="00D01B10">
        <w:rPr>
          <w:rFonts w:ascii="Book Antiqua" w:hAnsi="Book Antiqua"/>
          <w:sz w:val="24"/>
          <w:szCs w:val="24"/>
        </w:rPr>
        <w:t xml:space="preserve">, Salkić NN, Zerem E, Ljuca F. Biochemical and ultrasound parameters may help predict the need for therapeutic endoscopic retrograde cholangiopancreatography (ERCP) in patients with a firm clinical and biochemical suspicion for choledocholithiasis. </w:t>
      </w:r>
      <w:r w:rsidRPr="00D01B10">
        <w:rPr>
          <w:rFonts w:ascii="Book Antiqua" w:hAnsi="Book Antiqua"/>
          <w:i/>
          <w:sz w:val="24"/>
          <w:szCs w:val="24"/>
        </w:rPr>
        <w:t>Eur J Intern Med</w:t>
      </w:r>
      <w:r w:rsidRPr="00D01B10">
        <w:rPr>
          <w:rFonts w:ascii="Book Antiqua" w:hAnsi="Book Antiqua"/>
          <w:sz w:val="24"/>
          <w:szCs w:val="24"/>
        </w:rPr>
        <w:t xml:space="preserve"> 2011; </w:t>
      </w:r>
      <w:r w:rsidRPr="00D01B10">
        <w:rPr>
          <w:rFonts w:ascii="Book Antiqua" w:hAnsi="Book Antiqua"/>
          <w:b/>
          <w:sz w:val="24"/>
          <w:szCs w:val="24"/>
        </w:rPr>
        <w:t>22</w:t>
      </w:r>
      <w:r w:rsidRPr="00D01B10">
        <w:rPr>
          <w:rFonts w:ascii="Book Antiqua" w:hAnsi="Book Antiqua"/>
          <w:sz w:val="24"/>
          <w:szCs w:val="24"/>
        </w:rPr>
        <w:t>: e110-e114 [PMID: 22075294 DOI: 10.1016/j.ejim.2011.02.008]</w:t>
      </w:r>
    </w:p>
    <w:p w:rsidR="00640DC1" w:rsidRPr="00D01B10" w:rsidRDefault="006F7067" w:rsidP="00D01B10">
      <w:pPr>
        <w:spacing w:line="360" w:lineRule="auto"/>
        <w:jc w:val="right"/>
        <w:rPr>
          <w:rFonts w:ascii="Book Antiqua" w:hAnsi="Book Antiqua"/>
          <w:sz w:val="24"/>
          <w:szCs w:val="24"/>
        </w:rPr>
      </w:pPr>
      <w:r w:rsidRPr="00D01B10">
        <w:rPr>
          <w:rFonts w:ascii="Book Antiqua" w:hAnsi="Book Antiqua"/>
          <w:b/>
          <w:color w:val="000000"/>
          <w:sz w:val="24"/>
          <w:szCs w:val="24"/>
        </w:rPr>
        <w:t>P-Reviewer:</w:t>
      </w:r>
      <w:r w:rsidRPr="00D01B10">
        <w:rPr>
          <w:rFonts w:ascii="Book Antiqua" w:hAnsi="Book Antiqua"/>
          <w:sz w:val="24"/>
          <w:szCs w:val="24"/>
        </w:rPr>
        <w:t xml:space="preserve"> </w:t>
      </w:r>
      <w:r w:rsidR="00640DC1" w:rsidRPr="00D01B10">
        <w:rPr>
          <w:rFonts w:ascii="Book Antiqua" w:hAnsi="Book Antiqua"/>
          <w:sz w:val="24"/>
          <w:szCs w:val="24"/>
        </w:rPr>
        <w:t>El-Bendary M, Gencdal G</w:t>
      </w:r>
    </w:p>
    <w:p w:rsidR="006F7067" w:rsidRPr="00D01B10" w:rsidRDefault="006F7067" w:rsidP="00CF09F1">
      <w:pPr>
        <w:wordWrap w:val="0"/>
        <w:spacing w:line="360" w:lineRule="auto"/>
        <w:jc w:val="right"/>
        <w:rPr>
          <w:rFonts w:ascii="Book Antiqua" w:hAnsi="Book Antiqua"/>
          <w:b/>
          <w:color w:val="000000"/>
          <w:sz w:val="24"/>
          <w:szCs w:val="24"/>
        </w:rPr>
      </w:pPr>
      <w:r w:rsidRPr="00D01B10">
        <w:rPr>
          <w:rFonts w:ascii="Book Antiqua" w:hAnsi="Book Antiqua"/>
          <w:b/>
          <w:color w:val="000000"/>
          <w:sz w:val="24"/>
          <w:szCs w:val="24"/>
        </w:rPr>
        <w:t xml:space="preserve">S-Editor: </w:t>
      </w:r>
      <w:r w:rsidRPr="00D01B10">
        <w:rPr>
          <w:rFonts w:ascii="Book Antiqua" w:hAnsi="Book Antiqua"/>
          <w:color w:val="000000"/>
          <w:sz w:val="24"/>
          <w:szCs w:val="24"/>
        </w:rPr>
        <w:t>Wang JL</w:t>
      </w:r>
      <w:r w:rsidRPr="00D01B10">
        <w:rPr>
          <w:rFonts w:ascii="Book Antiqua" w:hAnsi="Book Antiqua"/>
          <w:b/>
          <w:color w:val="000000"/>
          <w:sz w:val="24"/>
          <w:szCs w:val="24"/>
        </w:rPr>
        <w:t xml:space="preserve"> L-Editor: </w:t>
      </w:r>
      <w:r w:rsidR="003B6D85">
        <w:rPr>
          <w:rFonts w:ascii="Book Antiqua" w:hAnsi="Book Antiqua"/>
          <w:color w:val="000000"/>
          <w:sz w:val="24"/>
          <w:szCs w:val="24"/>
        </w:rPr>
        <w:t xml:space="preserve">Filipodia </w:t>
      </w:r>
      <w:r w:rsidRPr="00D01B10">
        <w:rPr>
          <w:rFonts w:ascii="Book Antiqua" w:hAnsi="Book Antiqua"/>
          <w:b/>
          <w:color w:val="000000"/>
          <w:sz w:val="24"/>
          <w:szCs w:val="24"/>
        </w:rPr>
        <w:t>E-Editor:</w:t>
      </w:r>
      <w:r w:rsidR="00CF09F1">
        <w:rPr>
          <w:rFonts w:ascii="Book Antiqua" w:hAnsi="Book Antiqua" w:hint="eastAsia"/>
          <w:b/>
          <w:color w:val="000000"/>
          <w:sz w:val="24"/>
          <w:szCs w:val="24"/>
        </w:rPr>
        <w:t xml:space="preserve"> </w:t>
      </w:r>
      <w:r w:rsidR="00CF09F1" w:rsidRPr="00137F75">
        <w:rPr>
          <w:rFonts w:ascii="Book Antiqua" w:hAnsi="Book Antiqua" w:hint="eastAsia"/>
          <w:color w:val="000000"/>
          <w:sz w:val="24"/>
          <w:szCs w:val="24"/>
        </w:rPr>
        <w:t>Wu YXJ</w:t>
      </w:r>
    </w:p>
    <w:p w:rsidR="006F7067" w:rsidRPr="00D01B10" w:rsidRDefault="006F7067" w:rsidP="00D01B10">
      <w:pPr>
        <w:pStyle w:val="aa"/>
        <w:spacing w:line="360" w:lineRule="auto"/>
        <w:rPr>
          <w:rFonts w:ascii="Book Antiqua" w:hAnsi="Book Antiqua"/>
          <w:b/>
          <w:color w:val="000000"/>
          <w:sz w:val="24"/>
          <w:szCs w:val="24"/>
        </w:rPr>
      </w:pPr>
      <w:r w:rsidRPr="00D01B10">
        <w:rPr>
          <w:rFonts w:ascii="Book Antiqua" w:hAnsi="Book Antiqua"/>
          <w:b/>
          <w:color w:val="000000"/>
          <w:sz w:val="24"/>
          <w:szCs w:val="24"/>
        </w:rPr>
        <w:t xml:space="preserve"> </w:t>
      </w:r>
    </w:p>
    <w:p w:rsidR="006F7067" w:rsidRPr="00D01B10" w:rsidRDefault="006F7067" w:rsidP="00D01B10">
      <w:pPr>
        <w:snapToGrid w:val="0"/>
        <w:spacing w:line="360" w:lineRule="auto"/>
        <w:rPr>
          <w:rFonts w:ascii="Book Antiqua" w:hAnsi="Book Antiqua" w:cs="Helvetica"/>
          <w:b/>
          <w:color w:val="000000"/>
          <w:sz w:val="24"/>
          <w:szCs w:val="24"/>
        </w:rPr>
      </w:pPr>
      <w:r w:rsidRPr="00D01B10">
        <w:rPr>
          <w:rFonts w:ascii="Book Antiqua" w:hAnsi="Book Antiqua" w:cs="Helvetica"/>
          <w:b/>
          <w:color w:val="000000"/>
          <w:sz w:val="24"/>
          <w:szCs w:val="24"/>
        </w:rPr>
        <w:t xml:space="preserve">Specialty type: </w:t>
      </w:r>
      <w:r w:rsidRPr="00D01B10">
        <w:rPr>
          <w:rFonts w:ascii="Book Antiqua" w:eastAsia="微软雅黑" w:hAnsi="Book Antiqua"/>
          <w:color w:val="000000"/>
          <w:sz w:val="24"/>
          <w:szCs w:val="24"/>
        </w:rPr>
        <w:t>Medicine, research and experimental</w:t>
      </w:r>
    </w:p>
    <w:p w:rsidR="006F7067" w:rsidRPr="00D01B10" w:rsidRDefault="006F7067" w:rsidP="00D01B10">
      <w:pPr>
        <w:snapToGrid w:val="0"/>
        <w:spacing w:line="360" w:lineRule="auto"/>
        <w:rPr>
          <w:rFonts w:ascii="Book Antiqua" w:hAnsi="Book Antiqua" w:cs="Helvetica"/>
          <w:b/>
          <w:color w:val="000000"/>
          <w:sz w:val="24"/>
          <w:szCs w:val="24"/>
        </w:rPr>
      </w:pPr>
      <w:r w:rsidRPr="00D01B10">
        <w:rPr>
          <w:rFonts w:ascii="Book Antiqua" w:hAnsi="Book Antiqua" w:cs="Helvetica"/>
          <w:b/>
          <w:color w:val="000000"/>
          <w:sz w:val="24"/>
          <w:szCs w:val="24"/>
        </w:rPr>
        <w:t xml:space="preserve">Country of origin: </w:t>
      </w:r>
      <w:r w:rsidR="009B3732" w:rsidRPr="00D01B10">
        <w:rPr>
          <w:rFonts w:ascii="Book Antiqua" w:hAnsi="Book Antiqua"/>
          <w:color w:val="000000"/>
          <w:sz w:val="24"/>
          <w:szCs w:val="24"/>
        </w:rPr>
        <w:t>China</w:t>
      </w:r>
    </w:p>
    <w:p w:rsidR="006F7067" w:rsidRPr="00D01B10" w:rsidRDefault="006F7067" w:rsidP="00D01B10">
      <w:pPr>
        <w:snapToGrid w:val="0"/>
        <w:spacing w:line="360" w:lineRule="auto"/>
        <w:rPr>
          <w:rFonts w:ascii="Book Antiqua" w:hAnsi="Book Antiqua" w:cs="Helvetica"/>
          <w:b/>
          <w:color w:val="000000"/>
          <w:sz w:val="24"/>
          <w:szCs w:val="24"/>
        </w:rPr>
      </w:pPr>
      <w:r w:rsidRPr="00D01B10">
        <w:rPr>
          <w:rFonts w:ascii="Book Antiqua" w:hAnsi="Book Antiqua" w:cs="Helvetica"/>
          <w:b/>
          <w:color w:val="000000"/>
          <w:sz w:val="24"/>
          <w:szCs w:val="24"/>
        </w:rPr>
        <w:t>Peer-review report classification</w:t>
      </w:r>
    </w:p>
    <w:p w:rsidR="006F7067" w:rsidRPr="00D01B10" w:rsidRDefault="006F7067" w:rsidP="00D01B10">
      <w:pPr>
        <w:snapToGrid w:val="0"/>
        <w:spacing w:line="360" w:lineRule="auto"/>
        <w:rPr>
          <w:rFonts w:ascii="Book Antiqua" w:hAnsi="Book Antiqua" w:cs="Helvetica"/>
          <w:color w:val="000000"/>
          <w:sz w:val="24"/>
          <w:szCs w:val="24"/>
        </w:rPr>
      </w:pPr>
      <w:r w:rsidRPr="00D01B10">
        <w:rPr>
          <w:rFonts w:ascii="Book Antiqua" w:hAnsi="Book Antiqua" w:cs="Helvetica"/>
          <w:color w:val="000000"/>
          <w:sz w:val="24"/>
          <w:szCs w:val="24"/>
        </w:rPr>
        <w:t xml:space="preserve">Grade A (Excellent): </w:t>
      </w:r>
      <w:r w:rsidR="00640DC1" w:rsidRPr="00D01B10">
        <w:rPr>
          <w:rFonts w:ascii="Book Antiqua" w:hAnsi="Book Antiqua" w:cs="Helvetica"/>
          <w:color w:val="000000"/>
          <w:sz w:val="24"/>
          <w:szCs w:val="24"/>
        </w:rPr>
        <w:t>0</w:t>
      </w:r>
    </w:p>
    <w:p w:rsidR="00640DC1" w:rsidRPr="00D01B10" w:rsidRDefault="00640DC1" w:rsidP="00D01B10">
      <w:pPr>
        <w:snapToGrid w:val="0"/>
        <w:spacing w:line="360" w:lineRule="auto"/>
        <w:rPr>
          <w:rFonts w:ascii="Book Antiqua" w:hAnsi="Book Antiqua" w:cs="Helvetica"/>
          <w:color w:val="000000"/>
          <w:sz w:val="24"/>
          <w:szCs w:val="24"/>
        </w:rPr>
      </w:pPr>
      <w:r w:rsidRPr="00D01B10">
        <w:rPr>
          <w:rFonts w:ascii="Book Antiqua" w:hAnsi="Book Antiqua" w:cs="Helvetica"/>
          <w:color w:val="000000"/>
          <w:sz w:val="24"/>
          <w:szCs w:val="24"/>
        </w:rPr>
        <w:t>Grade B (Very good): B</w:t>
      </w:r>
    </w:p>
    <w:p w:rsidR="006F7067" w:rsidRPr="00D01B10" w:rsidRDefault="006F7067" w:rsidP="00D01B10">
      <w:pPr>
        <w:snapToGrid w:val="0"/>
        <w:spacing w:line="360" w:lineRule="auto"/>
        <w:rPr>
          <w:rFonts w:ascii="Book Antiqua" w:hAnsi="Book Antiqua" w:cs="Helvetica"/>
          <w:color w:val="000000"/>
          <w:sz w:val="24"/>
          <w:szCs w:val="24"/>
        </w:rPr>
      </w:pPr>
      <w:r w:rsidRPr="00D01B10">
        <w:rPr>
          <w:rFonts w:ascii="Book Antiqua" w:hAnsi="Book Antiqua" w:cs="Helvetica"/>
          <w:color w:val="000000"/>
          <w:sz w:val="24"/>
          <w:szCs w:val="24"/>
        </w:rPr>
        <w:t xml:space="preserve">Grade </w:t>
      </w:r>
      <w:r w:rsidR="00640DC1" w:rsidRPr="00D01B10">
        <w:rPr>
          <w:rFonts w:ascii="Book Antiqua" w:hAnsi="Book Antiqua" w:cs="Helvetica"/>
          <w:color w:val="000000"/>
          <w:sz w:val="24"/>
          <w:szCs w:val="24"/>
        </w:rPr>
        <w:t>C (Good): C</w:t>
      </w:r>
    </w:p>
    <w:p w:rsidR="00640DC1" w:rsidRPr="00D01B10" w:rsidRDefault="006F7067" w:rsidP="00D01B10">
      <w:pPr>
        <w:snapToGrid w:val="0"/>
        <w:spacing w:line="360" w:lineRule="auto"/>
        <w:rPr>
          <w:rFonts w:ascii="Book Antiqua" w:hAnsi="Book Antiqua" w:cs="Helvetica"/>
          <w:color w:val="000000"/>
          <w:sz w:val="24"/>
          <w:szCs w:val="24"/>
        </w:rPr>
      </w:pPr>
      <w:r w:rsidRPr="00D01B10">
        <w:rPr>
          <w:rFonts w:ascii="Book Antiqua" w:hAnsi="Book Antiqua" w:cs="Helvetica"/>
          <w:color w:val="000000"/>
          <w:sz w:val="24"/>
          <w:szCs w:val="24"/>
        </w:rPr>
        <w:lastRenderedPageBreak/>
        <w:t>Grade D (Fair): 0</w:t>
      </w:r>
    </w:p>
    <w:p w:rsidR="006F7067" w:rsidRPr="00D01B10" w:rsidRDefault="006F7067" w:rsidP="00D01B10">
      <w:pPr>
        <w:snapToGrid w:val="0"/>
        <w:spacing w:line="360" w:lineRule="auto"/>
        <w:rPr>
          <w:rFonts w:ascii="Book Antiqua" w:hAnsi="Book Antiqua" w:cs="Helvetica"/>
          <w:color w:val="000000"/>
          <w:sz w:val="24"/>
          <w:szCs w:val="24"/>
        </w:rPr>
      </w:pPr>
      <w:r w:rsidRPr="00D01B10">
        <w:rPr>
          <w:rFonts w:ascii="Book Antiqua" w:hAnsi="Book Antiqua" w:cs="Helvetica"/>
          <w:color w:val="000000"/>
          <w:sz w:val="24"/>
          <w:szCs w:val="24"/>
        </w:rPr>
        <w:t>Grade E (Poor): 0</w:t>
      </w:r>
    </w:p>
    <w:p w:rsidR="00377117" w:rsidRPr="00D01B10" w:rsidRDefault="00D01B10" w:rsidP="00D01B10">
      <w:pPr>
        <w:spacing w:line="360" w:lineRule="auto"/>
        <w:rPr>
          <w:rFonts w:ascii="Book Antiqua" w:hAnsi="Book Antiqua"/>
          <w:b/>
          <w:bCs/>
          <w:sz w:val="24"/>
          <w:szCs w:val="24"/>
        </w:rPr>
      </w:pPr>
      <w:r w:rsidRPr="00D01B10">
        <w:rPr>
          <w:rFonts w:ascii="Book Antiqua" w:hAnsi="Book Antiqua"/>
          <w:sz w:val="24"/>
          <w:szCs w:val="24"/>
        </w:rPr>
        <w:br w:type="page"/>
      </w:r>
      <w:r w:rsidR="00377117" w:rsidRPr="00D01B10">
        <w:rPr>
          <w:rFonts w:ascii="Book Antiqua" w:hAnsi="Book Antiqua"/>
          <w:b/>
          <w:bCs/>
          <w:sz w:val="24"/>
          <w:szCs w:val="24"/>
        </w:rPr>
        <w:lastRenderedPageBreak/>
        <w:t>Table 1 Baseline data of patients</w:t>
      </w:r>
    </w:p>
    <w:tbl>
      <w:tblPr>
        <w:tblW w:w="0" w:type="auto"/>
        <w:tblInd w:w="107" w:type="dxa"/>
        <w:tblBorders>
          <w:top w:val="single" w:sz="12" w:space="0" w:color="auto"/>
          <w:bottom w:val="single" w:sz="12" w:space="0" w:color="auto"/>
        </w:tblBorders>
        <w:tblLayout w:type="fixed"/>
        <w:tblLook w:val="0000" w:firstRow="0" w:lastRow="0" w:firstColumn="0" w:lastColumn="0" w:noHBand="0" w:noVBand="0"/>
      </w:tblPr>
      <w:tblGrid>
        <w:gridCol w:w="2440"/>
        <w:gridCol w:w="2066"/>
        <w:gridCol w:w="1857"/>
        <w:gridCol w:w="1050"/>
        <w:gridCol w:w="981"/>
      </w:tblGrid>
      <w:tr w:rsidR="00377117" w:rsidRPr="00D01B10" w:rsidTr="00BA1ECC">
        <w:trPr>
          <w:trHeight w:val="406"/>
        </w:trPr>
        <w:tc>
          <w:tcPr>
            <w:tcW w:w="2440" w:type="dxa"/>
            <w:tcBorders>
              <w:bottom w:val="single" w:sz="6" w:space="0" w:color="auto"/>
            </w:tcBorders>
            <w:vAlign w:val="center"/>
          </w:tcPr>
          <w:p w:rsidR="00377117" w:rsidRPr="00D01B10" w:rsidRDefault="00377117" w:rsidP="00D01B10">
            <w:pPr>
              <w:spacing w:line="360" w:lineRule="auto"/>
              <w:rPr>
                <w:rFonts w:ascii="Book Antiqua" w:hAnsi="Book Antiqua"/>
                <w:b/>
                <w:sz w:val="24"/>
                <w:szCs w:val="24"/>
              </w:rPr>
            </w:pPr>
            <w:r w:rsidRPr="00D01B10">
              <w:rPr>
                <w:rFonts w:ascii="Book Antiqua" w:eastAsia="Albertus-Bold" w:hAnsi="Book Antiqua"/>
                <w:b/>
                <w:sz w:val="24"/>
                <w:szCs w:val="24"/>
              </w:rPr>
              <w:t>Characteristic</w:t>
            </w:r>
          </w:p>
        </w:tc>
        <w:tc>
          <w:tcPr>
            <w:tcW w:w="2066" w:type="dxa"/>
            <w:tcBorders>
              <w:bottom w:val="single" w:sz="6" w:space="0" w:color="auto"/>
            </w:tcBorders>
            <w:vAlign w:val="center"/>
          </w:tcPr>
          <w:p w:rsidR="00377117" w:rsidRPr="00D01B10" w:rsidRDefault="00377117" w:rsidP="003E1660">
            <w:pPr>
              <w:spacing w:line="360" w:lineRule="auto"/>
              <w:rPr>
                <w:rFonts w:ascii="Book Antiqua" w:hAnsi="Book Antiqua"/>
                <w:b/>
                <w:sz w:val="24"/>
                <w:szCs w:val="24"/>
              </w:rPr>
            </w:pPr>
            <w:r w:rsidRPr="00D01B10">
              <w:rPr>
                <w:rFonts w:ascii="Book Antiqua" w:hAnsi="Book Antiqua"/>
                <w:b/>
                <w:sz w:val="24"/>
                <w:szCs w:val="24"/>
              </w:rPr>
              <w:t>Observation group</w:t>
            </w:r>
            <w:r w:rsidR="006B4B29">
              <w:rPr>
                <w:rFonts w:ascii="Book Antiqua" w:hAnsi="Book Antiqua"/>
                <w:b/>
                <w:sz w:val="24"/>
                <w:szCs w:val="24"/>
              </w:rPr>
              <w:t>,</w:t>
            </w:r>
            <w:r w:rsidR="003E1660">
              <w:rPr>
                <w:rFonts w:ascii="Book Antiqua" w:hAnsi="Book Antiqua" w:hint="eastAsia"/>
                <w:b/>
                <w:sz w:val="24"/>
                <w:szCs w:val="24"/>
              </w:rPr>
              <w:t xml:space="preserve"> </w:t>
            </w:r>
            <w:r w:rsidRPr="004E14E4">
              <w:rPr>
                <w:rFonts w:ascii="Book Antiqua" w:hAnsi="Book Antiqua"/>
                <w:b/>
                <w:i/>
                <w:sz w:val="24"/>
                <w:szCs w:val="24"/>
              </w:rPr>
              <w:t>n</w:t>
            </w:r>
            <w:r w:rsidR="004E14E4">
              <w:rPr>
                <w:rFonts w:ascii="Book Antiqua" w:hAnsi="Book Antiqua" w:hint="eastAsia"/>
                <w:b/>
                <w:sz w:val="24"/>
                <w:szCs w:val="24"/>
              </w:rPr>
              <w:t xml:space="preserve"> </w:t>
            </w:r>
            <w:r w:rsidRPr="00D01B10">
              <w:rPr>
                <w:rFonts w:ascii="Book Antiqua" w:hAnsi="Book Antiqua"/>
                <w:b/>
                <w:sz w:val="24"/>
                <w:szCs w:val="24"/>
              </w:rPr>
              <w:t>=</w:t>
            </w:r>
            <w:r w:rsidR="004E14E4">
              <w:rPr>
                <w:rFonts w:ascii="Book Antiqua" w:hAnsi="Book Antiqua" w:hint="eastAsia"/>
                <w:b/>
                <w:sz w:val="24"/>
                <w:szCs w:val="24"/>
              </w:rPr>
              <w:t xml:space="preserve"> </w:t>
            </w:r>
            <w:r w:rsidRPr="00D01B10">
              <w:rPr>
                <w:rFonts w:ascii="Book Antiqua" w:hAnsi="Book Antiqua"/>
                <w:b/>
                <w:sz w:val="24"/>
                <w:szCs w:val="24"/>
              </w:rPr>
              <w:t>151</w:t>
            </w:r>
          </w:p>
        </w:tc>
        <w:tc>
          <w:tcPr>
            <w:tcW w:w="1857" w:type="dxa"/>
            <w:tcBorders>
              <w:bottom w:val="single" w:sz="6" w:space="0" w:color="auto"/>
            </w:tcBorders>
            <w:vAlign w:val="center"/>
          </w:tcPr>
          <w:p w:rsidR="00377117" w:rsidRPr="00D01B10" w:rsidRDefault="00377117" w:rsidP="00D01B10">
            <w:pPr>
              <w:spacing w:line="360" w:lineRule="auto"/>
              <w:rPr>
                <w:rFonts w:ascii="Book Antiqua" w:hAnsi="Book Antiqua"/>
                <w:b/>
                <w:sz w:val="24"/>
                <w:szCs w:val="24"/>
              </w:rPr>
            </w:pPr>
            <w:r w:rsidRPr="00D01B10">
              <w:rPr>
                <w:rFonts w:ascii="Book Antiqua" w:hAnsi="Book Antiqua"/>
                <w:b/>
                <w:sz w:val="24"/>
                <w:szCs w:val="24"/>
              </w:rPr>
              <w:t>Control group</w:t>
            </w:r>
            <w:r w:rsidR="006B4B29">
              <w:rPr>
                <w:rFonts w:ascii="Book Antiqua" w:hAnsi="Book Antiqua"/>
                <w:b/>
                <w:sz w:val="24"/>
                <w:szCs w:val="24"/>
              </w:rPr>
              <w:t>,</w:t>
            </w:r>
            <w:r w:rsidR="003E1660">
              <w:rPr>
                <w:rFonts w:ascii="Book Antiqua" w:hAnsi="Book Antiqua" w:hint="eastAsia"/>
                <w:b/>
                <w:sz w:val="24"/>
                <w:szCs w:val="24"/>
              </w:rPr>
              <w:t xml:space="preserve"> </w:t>
            </w:r>
            <w:r w:rsidRPr="004E14E4">
              <w:rPr>
                <w:rFonts w:ascii="Book Antiqua" w:hAnsi="Book Antiqua"/>
                <w:b/>
                <w:i/>
                <w:sz w:val="24"/>
                <w:szCs w:val="24"/>
              </w:rPr>
              <w:t>n</w:t>
            </w:r>
            <w:r w:rsidR="004E14E4">
              <w:rPr>
                <w:rFonts w:ascii="Book Antiqua" w:hAnsi="Book Antiqua" w:hint="eastAsia"/>
                <w:b/>
                <w:sz w:val="24"/>
                <w:szCs w:val="24"/>
              </w:rPr>
              <w:t xml:space="preserve"> </w:t>
            </w:r>
            <w:r w:rsidRPr="00D01B10">
              <w:rPr>
                <w:rFonts w:ascii="Book Antiqua" w:hAnsi="Book Antiqua"/>
                <w:b/>
                <w:sz w:val="24"/>
                <w:szCs w:val="24"/>
              </w:rPr>
              <w:t>=</w:t>
            </w:r>
            <w:r w:rsidR="004E14E4">
              <w:rPr>
                <w:rFonts w:ascii="Book Antiqua" w:hAnsi="Book Antiqua" w:hint="eastAsia"/>
                <w:b/>
                <w:sz w:val="24"/>
                <w:szCs w:val="24"/>
              </w:rPr>
              <w:t xml:space="preserve"> </w:t>
            </w:r>
            <w:r w:rsidRPr="00D01B10">
              <w:rPr>
                <w:rFonts w:ascii="Book Antiqua" w:hAnsi="Book Antiqua"/>
                <w:b/>
                <w:sz w:val="24"/>
                <w:szCs w:val="24"/>
              </w:rPr>
              <w:t>678</w:t>
            </w:r>
          </w:p>
        </w:tc>
        <w:tc>
          <w:tcPr>
            <w:tcW w:w="1050" w:type="dxa"/>
            <w:tcBorders>
              <w:bottom w:val="single" w:sz="6" w:space="0" w:color="auto"/>
            </w:tcBorders>
            <w:vAlign w:val="center"/>
          </w:tcPr>
          <w:p w:rsidR="00377117" w:rsidRPr="00D01B10" w:rsidRDefault="00377117" w:rsidP="00D01B10">
            <w:pPr>
              <w:spacing w:line="360" w:lineRule="auto"/>
              <w:rPr>
                <w:rFonts w:ascii="Book Antiqua" w:hAnsi="Book Antiqua"/>
                <w:b/>
                <w:sz w:val="24"/>
                <w:szCs w:val="24"/>
              </w:rPr>
            </w:pPr>
            <w:r w:rsidRPr="00D01B10">
              <w:rPr>
                <w:rFonts w:ascii="Book Antiqua" w:hAnsi="Book Antiqua"/>
                <w:b/>
                <w:sz w:val="24"/>
                <w:szCs w:val="24"/>
              </w:rPr>
              <w:t xml:space="preserve">χ </w:t>
            </w:r>
            <w:r w:rsidRPr="00D01B10">
              <w:rPr>
                <w:rFonts w:ascii="Book Antiqua" w:hAnsi="Book Antiqua"/>
                <w:b/>
                <w:sz w:val="24"/>
                <w:szCs w:val="24"/>
                <w:vertAlign w:val="superscript"/>
              </w:rPr>
              <w:t xml:space="preserve">2 </w:t>
            </w:r>
            <w:r w:rsidRPr="00D01B10">
              <w:rPr>
                <w:rFonts w:ascii="Book Antiqua" w:hAnsi="Book Antiqua"/>
                <w:b/>
                <w:sz w:val="24"/>
                <w:szCs w:val="24"/>
              </w:rPr>
              <w:t xml:space="preserve">/ </w:t>
            </w:r>
            <w:r w:rsidRPr="004E14E4">
              <w:rPr>
                <w:rFonts w:ascii="Book Antiqua" w:hAnsi="Book Antiqua"/>
                <w:b/>
                <w:i/>
                <w:sz w:val="24"/>
                <w:szCs w:val="24"/>
              </w:rPr>
              <w:t>t</w:t>
            </w:r>
            <w:r w:rsidRPr="00D01B10">
              <w:rPr>
                <w:rFonts w:ascii="Book Antiqua" w:hAnsi="Book Antiqua"/>
                <w:b/>
                <w:sz w:val="24"/>
                <w:szCs w:val="24"/>
              </w:rPr>
              <w:t xml:space="preserve"> </w:t>
            </w:r>
          </w:p>
          <w:p w:rsidR="00377117" w:rsidRPr="00D01B10" w:rsidRDefault="00377117" w:rsidP="00D01B10">
            <w:pPr>
              <w:spacing w:line="360" w:lineRule="auto"/>
              <w:rPr>
                <w:rFonts w:ascii="Book Antiqua" w:hAnsi="Book Antiqua"/>
                <w:b/>
                <w:sz w:val="24"/>
                <w:szCs w:val="24"/>
              </w:rPr>
            </w:pPr>
            <w:r w:rsidRPr="00D01B10">
              <w:rPr>
                <w:rFonts w:ascii="Book Antiqua" w:hAnsi="Book Antiqua"/>
                <w:b/>
                <w:sz w:val="24"/>
                <w:szCs w:val="24"/>
              </w:rPr>
              <w:t>value</w:t>
            </w:r>
          </w:p>
        </w:tc>
        <w:tc>
          <w:tcPr>
            <w:tcW w:w="981" w:type="dxa"/>
            <w:tcBorders>
              <w:bottom w:val="single" w:sz="6" w:space="0" w:color="auto"/>
            </w:tcBorders>
            <w:vAlign w:val="center"/>
          </w:tcPr>
          <w:p w:rsidR="00377117" w:rsidRPr="00D01B10" w:rsidRDefault="00377117" w:rsidP="00D01B10">
            <w:pPr>
              <w:spacing w:line="360" w:lineRule="auto"/>
              <w:rPr>
                <w:rFonts w:ascii="Book Antiqua" w:hAnsi="Book Antiqua"/>
                <w:b/>
                <w:i/>
                <w:iCs/>
                <w:sz w:val="24"/>
                <w:szCs w:val="24"/>
              </w:rPr>
            </w:pPr>
            <w:r w:rsidRPr="00D01B10">
              <w:rPr>
                <w:rFonts w:ascii="Book Antiqua" w:hAnsi="Book Antiqua"/>
                <w:b/>
                <w:i/>
                <w:iCs/>
                <w:sz w:val="24"/>
                <w:szCs w:val="24"/>
              </w:rPr>
              <w:t>P</w:t>
            </w:r>
          </w:p>
          <w:p w:rsidR="00377117" w:rsidRPr="00D01B10" w:rsidRDefault="00377117" w:rsidP="00D01B10">
            <w:pPr>
              <w:spacing w:line="360" w:lineRule="auto"/>
              <w:rPr>
                <w:rFonts w:ascii="Book Antiqua" w:hAnsi="Book Antiqua"/>
                <w:b/>
                <w:sz w:val="24"/>
                <w:szCs w:val="24"/>
              </w:rPr>
            </w:pPr>
            <w:r w:rsidRPr="00D01B10">
              <w:rPr>
                <w:rFonts w:ascii="Book Antiqua" w:hAnsi="Book Antiqua"/>
                <w:b/>
                <w:i/>
                <w:iCs/>
                <w:sz w:val="24"/>
                <w:szCs w:val="24"/>
              </w:rPr>
              <w:t xml:space="preserve"> </w:t>
            </w:r>
            <w:r w:rsidRPr="00D01B10">
              <w:rPr>
                <w:rFonts w:ascii="Book Antiqua" w:hAnsi="Book Antiqua"/>
                <w:b/>
                <w:sz w:val="24"/>
                <w:szCs w:val="24"/>
              </w:rPr>
              <w:t>value</w:t>
            </w:r>
          </w:p>
        </w:tc>
      </w:tr>
      <w:tr w:rsidR="00377117" w:rsidRPr="00D01B10" w:rsidTr="00BA1ECC">
        <w:trPr>
          <w:trHeight w:val="360"/>
        </w:trPr>
        <w:tc>
          <w:tcPr>
            <w:tcW w:w="2440" w:type="dxa"/>
            <w:tcBorders>
              <w:top w:val="single" w:sz="6" w:space="0" w:color="auto"/>
              <w:bottom w:val="nil"/>
            </w:tcBorders>
          </w:tcPr>
          <w:p w:rsidR="00377117" w:rsidRPr="00D01B10" w:rsidRDefault="00377117" w:rsidP="00D01B10">
            <w:pPr>
              <w:spacing w:line="360" w:lineRule="auto"/>
              <w:rPr>
                <w:rFonts w:ascii="Book Antiqua" w:hAnsi="Book Antiqua"/>
                <w:bCs/>
                <w:sz w:val="24"/>
                <w:szCs w:val="24"/>
              </w:rPr>
            </w:pPr>
            <w:r w:rsidRPr="00D01B10">
              <w:rPr>
                <w:rFonts w:ascii="Book Antiqua" w:hAnsi="Book Antiqua"/>
                <w:bCs/>
                <w:sz w:val="24"/>
                <w:szCs w:val="24"/>
              </w:rPr>
              <w:t>Age</w:t>
            </w:r>
            <w:r w:rsidR="009C6219">
              <w:rPr>
                <w:rFonts w:ascii="Book Antiqua" w:hAnsi="Book Antiqua"/>
                <w:bCs/>
                <w:sz w:val="24"/>
                <w:szCs w:val="24"/>
              </w:rPr>
              <w:t>,</w:t>
            </w:r>
            <w:r w:rsidRPr="00D01B10">
              <w:rPr>
                <w:rFonts w:ascii="Book Antiqua" w:hAnsi="Book Antiqua"/>
                <w:bCs/>
                <w:sz w:val="24"/>
                <w:szCs w:val="24"/>
              </w:rPr>
              <w:t xml:space="preserve"> yr</w:t>
            </w:r>
          </w:p>
        </w:tc>
        <w:tc>
          <w:tcPr>
            <w:tcW w:w="2066" w:type="dxa"/>
            <w:tcBorders>
              <w:top w:val="single" w:sz="6" w:space="0" w:color="auto"/>
              <w:bottom w:val="nil"/>
            </w:tcBorders>
            <w:vAlign w:val="center"/>
          </w:tcPr>
          <w:p w:rsidR="00377117" w:rsidRPr="00D01B10" w:rsidRDefault="00377117" w:rsidP="00D01B10">
            <w:pPr>
              <w:spacing w:line="360" w:lineRule="auto"/>
              <w:rPr>
                <w:rFonts w:ascii="Book Antiqua" w:hAnsi="Book Antiqua"/>
                <w:bCs/>
                <w:sz w:val="24"/>
                <w:szCs w:val="24"/>
              </w:rPr>
            </w:pPr>
            <w:r w:rsidRPr="00D01B10">
              <w:rPr>
                <w:rFonts w:ascii="Book Antiqua" w:hAnsi="Book Antiqua"/>
                <w:bCs/>
                <w:sz w:val="24"/>
                <w:szCs w:val="24"/>
              </w:rPr>
              <w:t>50.29</w:t>
            </w:r>
            <w:r w:rsidR="0046369B">
              <w:rPr>
                <w:rFonts w:ascii="Book Antiqua" w:hAnsi="Book Antiqua" w:hint="eastAsia"/>
                <w:bCs/>
                <w:sz w:val="24"/>
                <w:szCs w:val="24"/>
              </w:rPr>
              <w:t xml:space="preserve"> </w:t>
            </w:r>
            <w:r w:rsidRPr="00D01B10">
              <w:rPr>
                <w:rFonts w:ascii="Book Antiqua" w:hAnsi="Book Antiqua"/>
                <w:kern w:val="0"/>
                <w:sz w:val="24"/>
                <w:szCs w:val="24"/>
              </w:rPr>
              <w:t>±</w:t>
            </w:r>
            <w:r w:rsidR="0046369B">
              <w:rPr>
                <w:rFonts w:ascii="Book Antiqua" w:hAnsi="Book Antiqua" w:hint="eastAsia"/>
                <w:kern w:val="0"/>
                <w:sz w:val="24"/>
                <w:szCs w:val="24"/>
              </w:rPr>
              <w:t xml:space="preserve"> </w:t>
            </w:r>
            <w:r w:rsidRPr="00D01B10">
              <w:rPr>
                <w:rFonts w:ascii="Book Antiqua" w:hAnsi="Book Antiqua"/>
                <w:bCs/>
                <w:sz w:val="24"/>
                <w:szCs w:val="24"/>
              </w:rPr>
              <w:t>10.07</w:t>
            </w:r>
          </w:p>
        </w:tc>
        <w:tc>
          <w:tcPr>
            <w:tcW w:w="1857" w:type="dxa"/>
            <w:tcBorders>
              <w:top w:val="single" w:sz="6" w:space="0" w:color="auto"/>
              <w:bottom w:val="nil"/>
            </w:tcBorders>
            <w:vAlign w:val="center"/>
          </w:tcPr>
          <w:p w:rsidR="00377117" w:rsidRPr="00D01B10" w:rsidRDefault="00377117" w:rsidP="00D01B10">
            <w:pPr>
              <w:spacing w:line="360" w:lineRule="auto"/>
              <w:rPr>
                <w:rFonts w:ascii="Book Antiqua" w:hAnsi="Book Antiqua"/>
                <w:bCs/>
                <w:sz w:val="24"/>
                <w:szCs w:val="24"/>
              </w:rPr>
            </w:pPr>
            <w:bookmarkStart w:id="40" w:name="OLE_LINK18"/>
            <w:r w:rsidRPr="00D01B10">
              <w:rPr>
                <w:rFonts w:ascii="Book Antiqua" w:hAnsi="Book Antiqua"/>
                <w:bCs/>
                <w:sz w:val="24"/>
                <w:szCs w:val="24"/>
              </w:rPr>
              <w:t>48.57</w:t>
            </w:r>
            <w:r w:rsidR="004E14E4">
              <w:rPr>
                <w:rFonts w:ascii="Book Antiqua" w:hAnsi="Book Antiqua" w:hint="eastAsia"/>
                <w:bCs/>
                <w:sz w:val="24"/>
                <w:szCs w:val="24"/>
              </w:rPr>
              <w:t xml:space="preserve"> </w:t>
            </w:r>
            <w:r w:rsidRPr="00D01B10">
              <w:rPr>
                <w:rFonts w:ascii="Book Antiqua" w:hAnsi="Book Antiqua"/>
                <w:kern w:val="0"/>
                <w:sz w:val="24"/>
                <w:szCs w:val="24"/>
              </w:rPr>
              <w:t>±</w:t>
            </w:r>
            <w:r w:rsidR="004E14E4">
              <w:rPr>
                <w:rFonts w:ascii="Book Antiqua" w:hAnsi="Book Antiqua" w:hint="eastAsia"/>
                <w:kern w:val="0"/>
                <w:sz w:val="24"/>
                <w:szCs w:val="24"/>
              </w:rPr>
              <w:t xml:space="preserve"> </w:t>
            </w:r>
            <w:r w:rsidRPr="00D01B10">
              <w:rPr>
                <w:rFonts w:ascii="Book Antiqua" w:hAnsi="Book Antiqua"/>
                <w:bCs/>
                <w:sz w:val="24"/>
                <w:szCs w:val="24"/>
              </w:rPr>
              <w:t>10.02</w:t>
            </w:r>
            <w:bookmarkEnd w:id="40"/>
          </w:p>
        </w:tc>
        <w:tc>
          <w:tcPr>
            <w:tcW w:w="1050" w:type="dxa"/>
            <w:tcBorders>
              <w:top w:val="single" w:sz="6" w:space="0" w:color="auto"/>
              <w:bottom w:val="nil"/>
            </w:tcBorders>
            <w:vAlign w:val="center"/>
          </w:tcPr>
          <w:p w:rsidR="00377117" w:rsidRPr="00D01B10" w:rsidRDefault="00377117" w:rsidP="00D01B10">
            <w:pPr>
              <w:spacing w:line="360" w:lineRule="auto"/>
              <w:rPr>
                <w:rFonts w:ascii="Book Antiqua" w:hAnsi="Book Antiqua"/>
                <w:bCs/>
                <w:sz w:val="24"/>
                <w:szCs w:val="24"/>
              </w:rPr>
            </w:pPr>
            <w:r w:rsidRPr="00D01B10">
              <w:rPr>
                <w:rFonts w:ascii="Book Antiqua" w:hAnsi="Book Antiqua"/>
                <w:bCs/>
                <w:sz w:val="24"/>
                <w:szCs w:val="24"/>
              </w:rPr>
              <w:t>0.516</w:t>
            </w:r>
          </w:p>
        </w:tc>
        <w:tc>
          <w:tcPr>
            <w:tcW w:w="981" w:type="dxa"/>
            <w:tcBorders>
              <w:top w:val="single" w:sz="6" w:space="0" w:color="auto"/>
              <w:bottom w:val="nil"/>
            </w:tcBorders>
            <w:vAlign w:val="center"/>
          </w:tcPr>
          <w:p w:rsidR="00377117" w:rsidRPr="00D01B10" w:rsidRDefault="00377117" w:rsidP="00D01B10">
            <w:pPr>
              <w:spacing w:line="360" w:lineRule="auto"/>
              <w:rPr>
                <w:rFonts w:ascii="Book Antiqua" w:hAnsi="Book Antiqua"/>
                <w:bCs/>
                <w:sz w:val="24"/>
                <w:szCs w:val="24"/>
              </w:rPr>
            </w:pPr>
            <w:r w:rsidRPr="00D01B10">
              <w:rPr>
                <w:rFonts w:ascii="Book Antiqua" w:hAnsi="Book Antiqua"/>
                <w:bCs/>
                <w:sz w:val="24"/>
                <w:szCs w:val="24"/>
              </w:rPr>
              <w:t>0.609</w:t>
            </w:r>
          </w:p>
        </w:tc>
      </w:tr>
      <w:tr w:rsidR="00377117" w:rsidRPr="00D01B10" w:rsidTr="00BA1ECC">
        <w:trPr>
          <w:trHeight w:val="345"/>
        </w:trPr>
        <w:tc>
          <w:tcPr>
            <w:tcW w:w="2440" w:type="dxa"/>
            <w:tcBorders>
              <w:top w:val="nil"/>
            </w:tcBorders>
          </w:tcPr>
          <w:p w:rsidR="00377117" w:rsidRPr="00D01B10" w:rsidRDefault="00377117" w:rsidP="00D01B10">
            <w:pPr>
              <w:spacing w:line="360" w:lineRule="auto"/>
              <w:rPr>
                <w:rFonts w:ascii="Book Antiqua" w:hAnsi="Book Antiqua"/>
                <w:bCs/>
                <w:sz w:val="24"/>
                <w:szCs w:val="24"/>
              </w:rPr>
            </w:pPr>
            <w:r w:rsidRPr="00D01B10">
              <w:rPr>
                <w:rFonts w:ascii="Book Antiqua" w:hAnsi="Book Antiqua"/>
                <w:bCs/>
                <w:sz w:val="24"/>
                <w:szCs w:val="24"/>
              </w:rPr>
              <w:t>Gender</w:t>
            </w:r>
          </w:p>
        </w:tc>
        <w:tc>
          <w:tcPr>
            <w:tcW w:w="2066" w:type="dxa"/>
            <w:tcBorders>
              <w:top w:val="nil"/>
            </w:tcBorders>
            <w:vAlign w:val="center"/>
          </w:tcPr>
          <w:p w:rsidR="00377117" w:rsidRPr="00D01B10" w:rsidRDefault="00377117" w:rsidP="00D01B10">
            <w:pPr>
              <w:spacing w:line="360" w:lineRule="auto"/>
              <w:rPr>
                <w:rFonts w:ascii="Book Antiqua" w:hAnsi="Book Antiqua"/>
                <w:bCs/>
                <w:sz w:val="24"/>
                <w:szCs w:val="24"/>
              </w:rPr>
            </w:pPr>
          </w:p>
        </w:tc>
        <w:tc>
          <w:tcPr>
            <w:tcW w:w="1857" w:type="dxa"/>
            <w:tcBorders>
              <w:top w:val="nil"/>
            </w:tcBorders>
            <w:vAlign w:val="center"/>
          </w:tcPr>
          <w:p w:rsidR="00377117" w:rsidRPr="00D01B10" w:rsidRDefault="00377117" w:rsidP="00D01B10">
            <w:pPr>
              <w:spacing w:line="360" w:lineRule="auto"/>
              <w:rPr>
                <w:rFonts w:ascii="Book Antiqua" w:hAnsi="Book Antiqua"/>
                <w:bCs/>
                <w:sz w:val="24"/>
                <w:szCs w:val="24"/>
              </w:rPr>
            </w:pPr>
          </w:p>
        </w:tc>
        <w:tc>
          <w:tcPr>
            <w:tcW w:w="1050" w:type="dxa"/>
            <w:tcBorders>
              <w:top w:val="nil"/>
            </w:tcBorders>
            <w:vAlign w:val="center"/>
          </w:tcPr>
          <w:p w:rsidR="00377117" w:rsidRPr="00D01B10" w:rsidRDefault="00377117" w:rsidP="00D01B10">
            <w:pPr>
              <w:spacing w:line="360" w:lineRule="auto"/>
              <w:rPr>
                <w:rFonts w:ascii="Book Antiqua" w:hAnsi="Book Antiqua"/>
                <w:bCs/>
                <w:sz w:val="24"/>
                <w:szCs w:val="24"/>
              </w:rPr>
            </w:pPr>
          </w:p>
        </w:tc>
        <w:tc>
          <w:tcPr>
            <w:tcW w:w="981" w:type="dxa"/>
            <w:tcBorders>
              <w:top w:val="nil"/>
            </w:tcBorders>
            <w:vAlign w:val="center"/>
          </w:tcPr>
          <w:p w:rsidR="00377117" w:rsidRPr="00D01B10" w:rsidRDefault="00377117" w:rsidP="00D01B10">
            <w:pPr>
              <w:spacing w:line="360" w:lineRule="auto"/>
              <w:rPr>
                <w:rFonts w:ascii="Book Antiqua" w:hAnsi="Book Antiqua"/>
                <w:bCs/>
                <w:sz w:val="24"/>
                <w:szCs w:val="24"/>
              </w:rPr>
            </w:pPr>
          </w:p>
        </w:tc>
      </w:tr>
      <w:tr w:rsidR="00377117" w:rsidRPr="00D01B10" w:rsidTr="00BA1ECC">
        <w:trPr>
          <w:trHeight w:val="345"/>
        </w:trPr>
        <w:tc>
          <w:tcPr>
            <w:tcW w:w="2440" w:type="dxa"/>
          </w:tcPr>
          <w:p w:rsidR="00377117" w:rsidRPr="00D01B10" w:rsidRDefault="00377117" w:rsidP="00D01B10">
            <w:pPr>
              <w:spacing w:line="360" w:lineRule="auto"/>
              <w:ind w:firstLineChars="100" w:firstLine="240"/>
              <w:rPr>
                <w:rFonts w:ascii="Book Antiqua" w:hAnsi="Book Antiqua"/>
                <w:bCs/>
                <w:sz w:val="24"/>
                <w:szCs w:val="24"/>
              </w:rPr>
            </w:pPr>
            <w:r w:rsidRPr="00D01B10">
              <w:rPr>
                <w:rFonts w:ascii="Book Antiqua" w:hAnsi="Book Antiqua"/>
                <w:bCs/>
                <w:sz w:val="24"/>
                <w:szCs w:val="24"/>
              </w:rPr>
              <w:t>Male</w:t>
            </w:r>
          </w:p>
        </w:tc>
        <w:tc>
          <w:tcPr>
            <w:tcW w:w="2066" w:type="dxa"/>
            <w:vAlign w:val="center"/>
          </w:tcPr>
          <w:p w:rsidR="00377117" w:rsidRPr="00D01B10" w:rsidRDefault="00377117" w:rsidP="00D01B10">
            <w:pPr>
              <w:spacing w:line="360" w:lineRule="auto"/>
              <w:rPr>
                <w:rFonts w:ascii="Book Antiqua" w:hAnsi="Book Antiqua"/>
                <w:bCs/>
                <w:sz w:val="24"/>
                <w:szCs w:val="24"/>
              </w:rPr>
            </w:pPr>
            <w:r w:rsidRPr="00D01B10">
              <w:rPr>
                <w:rFonts w:ascii="Book Antiqua" w:hAnsi="Book Antiqua"/>
                <w:bCs/>
                <w:sz w:val="24"/>
                <w:szCs w:val="24"/>
              </w:rPr>
              <w:t>72</w:t>
            </w:r>
          </w:p>
        </w:tc>
        <w:tc>
          <w:tcPr>
            <w:tcW w:w="1857" w:type="dxa"/>
            <w:vAlign w:val="center"/>
          </w:tcPr>
          <w:p w:rsidR="00377117" w:rsidRPr="00D01B10" w:rsidRDefault="00377117" w:rsidP="00D01B10">
            <w:pPr>
              <w:spacing w:line="360" w:lineRule="auto"/>
              <w:rPr>
                <w:rFonts w:ascii="Book Antiqua" w:hAnsi="Book Antiqua"/>
                <w:bCs/>
                <w:sz w:val="24"/>
                <w:szCs w:val="24"/>
              </w:rPr>
            </w:pPr>
            <w:r w:rsidRPr="00D01B10">
              <w:rPr>
                <w:rFonts w:ascii="Book Antiqua" w:hAnsi="Book Antiqua"/>
                <w:bCs/>
                <w:sz w:val="24"/>
                <w:szCs w:val="24"/>
              </w:rPr>
              <w:t>310</w:t>
            </w:r>
          </w:p>
        </w:tc>
        <w:tc>
          <w:tcPr>
            <w:tcW w:w="1050" w:type="dxa"/>
            <w:vMerge w:val="restart"/>
            <w:vAlign w:val="center"/>
          </w:tcPr>
          <w:p w:rsidR="00377117" w:rsidRPr="00D01B10" w:rsidRDefault="00377117" w:rsidP="00D01B10">
            <w:pPr>
              <w:spacing w:line="360" w:lineRule="auto"/>
              <w:rPr>
                <w:rFonts w:ascii="Book Antiqua" w:hAnsi="Book Antiqua"/>
                <w:bCs/>
                <w:sz w:val="24"/>
                <w:szCs w:val="24"/>
              </w:rPr>
            </w:pPr>
            <w:r w:rsidRPr="00D01B10">
              <w:rPr>
                <w:rFonts w:ascii="Book Antiqua" w:hAnsi="Book Antiqua"/>
                <w:bCs/>
                <w:sz w:val="24"/>
                <w:szCs w:val="24"/>
              </w:rPr>
              <w:t>0.191</w:t>
            </w:r>
          </w:p>
        </w:tc>
        <w:tc>
          <w:tcPr>
            <w:tcW w:w="981" w:type="dxa"/>
            <w:vMerge w:val="restart"/>
            <w:vAlign w:val="center"/>
          </w:tcPr>
          <w:p w:rsidR="00377117" w:rsidRPr="00D01B10" w:rsidRDefault="00377117" w:rsidP="00D01B10">
            <w:pPr>
              <w:spacing w:line="360" w:lineRule="auto"/>
              <w:rPr>
                <w:rFonts w:ascii="Book Antiqua" w:hAnsi="Book Antiqua"/>
                <w:bCs/>
                <w:sz w:val="24"/>
                <w:szCs w:val="24"/>
              </w:rPr>
            </w:pPr>
            <w:r w:rsidRPr="00D01B10">
              <w:rPr>
                <w:rFonts w:ascii="Book Antiqua" w:hAnsi="Book Antiqua"/>
                <w:bCs/>
                <w:sz w:val="24"/>
                <w:szCs w:val="24"/>
              </w:rPr>
              <w:t>0.662</w:t>
            </w:r>
          </w:p>
        </w:tc>
      </w:tr>
      <w:tr w:rsidR="00377117" w:rsidRPr="00D01B10" w:rsidTr="00BA1ECC">
        <w:trPr>
          <w:trHeight w:val="323"/>
        </w:trPr>
        <w:tc>
          <w:tcPr>
            <w:tcW w:w="2440" w:type="dxa"/>
          </w:tcPr>
          <w:p w:rsidR="00377117" w:rsidRPr="00D01B10" w:rsidRDefault="00377117" w:rsidP="00855E0E">
            <w:pPr>
              <w:spacing w:line="360" w:lineRule="auto"/>
              <w:ind w:firstLineChars="100" w:firstLine="240"/>
              <w:rPr>
                <w:rFonts w:ascii="Book Antiqua" w:hAnsi="Book Antiqua"/>
                <w:bCs/>
                <w:sz w:val="24"/>
                <w:szCs w:val="24"/>
              </w:rPr>
            </w:pPr>
            <w:r w:rsidRPr="00D01B10">
              <w:rPr>
                <w:rFonts w:ascii="Book Antiqua" w:hAnsi="Book Antiqua"/>
                <w:bCs/>
                <w:sz w:val="24"/>
                <w:szCs w:val="24"/>
              </w:rPr>
              <w:t>Female</w:t>
            </w:r>
          </w:p>
        </w:tc>
        <w:tc>
          <w:tcPr>
            <w:tcW w:w="2066" w:type="dxa"/>
            <w:vAlign w:val="center"/>
          </w:tcPr>
          <w:p w:rsidR="00377117" w:rsidRPr="00D01B10" w:rsidRDefault="00377117" w:rsidP="00D01B10">
            <w:pPr>
              <w:spacing w:line="360" w:lineRule="auto"/>
              <w:rPr>
                <w:rFonts w:ascii="Book Antiqua" w:hAnsi="Book Antiqua"/>
                <w:bCs/>
                <w:sz w:val="24"/>
                <w:szCs w:val="24"/>
              </w:rPr>
            </w:pPr>
            <w:r w:rsidRPr="00D01B10">
              <w:rPr>
                <w:rFonts w:ascii="Book Antiqua" w:hAnsi="Book Antiqua"/>
                <w:bCs/>
                <w:sz w:val="24"/>
                <w:szCs w:val="24"/>
              </w:rPr>
              <w:t>79</w:t>
            </w:r>
          </w:p>
        </w:tc>
        <w:tc>
          <w:tcPr>
            <w:tcW w:w="1857" w:type="dxa"/>
            <w:vAlign w:val="center"/>
          </w:tcPr>
          <w:p w:rsidR="00377117" w:rsidRPr="00D01B10" w:rsidRDefault="00377117" w:rsidP="00D01B10">
            <w:pPr>
              <w:spacing w:line="360" w:lineRule="auto"/>
              <w:rPr>
                <w:rFonts w:ascii="Book Antiqua" w:hAnsi="Book Antiqua"/>
                <w:bCs/>
                <w:sz w:val="24"/>
                <w:szCs w:val="24"/>
              </w:rPr>
            </w:pPr>
            <w:r w:rsidRPr="00D01B10">
              <w:rPr>
                <w:rFonts w:ascii="Book Antiqua" w:hAnsi="Book Antiqua"/>
                <w:bCs/>
                <w:sz w:val="24"/>
                <w:szCs w:val="24"/>
              </w:rPr>
              <w:t>368</w:t>
            </w:r>
          </w:p>
        </w:tc>
        <w:tc>
          <w:tcPr>
            <w:tcW w:w="1050" w:type="dxa"/>
            <w:vMerge/>
            <w:vAlign w:val="center"/>
          </w:tcPr>
          <w:p w:rsidR="00377117" w:rsidRPr="00D01B10" w:rsidRDefault="00377117" w:rsidP="00D01B10">
            <w:pPr>
              <w:spacing w:line="360" w:lineRule="auto"/>
              <w:rPr>
                <w:rFonts w:ascii="Book Antiqua" w:hAnsi="Book Antiqua"/>
                <w:bCs/>
                <w:sz w:val="24"/>
                <w:szCs w:val="24"/>
              </w:rPr>
            </w:pPr>
          </w:p>
        </w:tc>
        <w:tc>
          <w:tcPr>
            <w:tcW w:w="981" w:type="dxa"/>
            <w:vMerge/>
            <w:vAlign w:val="center"/>
          </w:tcPr>
          <w:p w:rsidR="00377117" w:rsidRPr="00D01B10" w:rsidRDefault="00377117" w:rsidP="00D01B10">
            <w:pPr>
              <w:spacing w:line="360" w:lineRule="auto"/>
              <w:rPr>
                <w:rFonts w:ascii="Book Antiqua" w:hAnsi="Book Antiqua"/>
                <w:bCs/>
                <w:sz w:val="24"/>
                <w:szCs w:val="24"/>
              </w:rPr>
            </w:pPr>
          </w:p>
        </w:tc>
      </w:tr>
      <w:tr w:rsidR="00377117" w:rsidRPr="00D01B10" w:rsidTr="00BA1ECC">
        <w:trPr>
          <w:trHeight w:val="323"/>
        </w:trPr>
        <w:tc>
          <w:tcPr>
            <w:tcW w:w="2440" w:type="dxa"/>
          </w:tcPr>
          <w:p w:rsidR="00377117" w:rsidRPr="00D01B10" w:rsidRDefault="00377117" w:rsidP="00D01B10">
            <w:pPr>
              <w:spacing w:line="360" w:lineRule="auto"/>
              <w:rPr>
                <w:rFonts w:ascii="Book Antiqua" w:hAnsi="Book Antiqua"/>
                <w:bCs/>
                <w:sz w:val="24"/>
                <w:szCs w:val="24"/>
              </w:rPr>
            </w:pPr>
            <w:r w:rsidRPr="00D01B10">
              <w:rPr>
                <w:rFonts w:ascii="Book Antiqua" w:hAnsi="Book Antiqua"/>
                <w:bCs/>
                <w:sz w:val="24"/>
                <w:szCs w:val="24"/>
              </w:rPr>
              <w:t>BMI</w:t>
            </w:r>
          </w:p>
        </w:tc>
        <w:tc>
          <w:tcPr>
            <w:tcW w:w="2066" w:type="dxa"/>
            <w:vAlign w:val="center"/>
          </w:tcPr>
          <w:p w:rsidR="00377117" w:rsidRPr="00D01B10" w:rsidRDefault="00377117" w:rsidP="00D01B10">
            <w:pPr>
              <w:spacing w:line="360" w:lineRule="auto"/>
              <w:rPr>
                <w:rFonts w:ascii="Book Antiqua" w:hAnsi="Book Antiqua"/>
                <w:bCs/>
                <w:sz w:val="24"/>
                <w:szCs w:val="24"/>
              </w:rPr>
            </w:pPr>
            <w:r w:rsidRPr="00D01B10">
              <w:rPr>
                <w:rFonts w:ascii="Book Antiqua" w:hAnsi="Book Antiqua"/>
                <w:bCs/>
                <w:sz w:val="24"/>
                <w:szCs w:val="24"/>
              </w:rPr>
              <w:t>20.76</w:t>
            </w:r>
            <w:r w:rsidR="00CA2332">
              <w:rPr>
                <w:rFonts w:ascii="Book Antiqua" w:hAnsi="Book Antiqua" w:hint="eastAsia"/>
                <w:bCs/>
                <w:sz w:val="24"/>
                <w:szCs w:val="24"/>
              </w:rPr>
              <w:t xml:space="preserve"> </w:t>
            </w:r>
            <w:r w:rsidRPr="00D01B10">
              <w:rPr>
                <w:rFonts w:ascii="Book Antiqua" w:hAnsi="Book Antiqua"/>
                <w:kern w:val="0"/>
                <w:sz w:val="24"/>
                <w:szCs w:val="24"/>
              </w:rPr>
              <w:t>±</w:t>
            </w:r>
            <w:r w:rsidR="00CA2332">
              <w:rPr>
                <w:rFonts w:ascii="Book Antiqua" w:hAnsi="Book Antiqua" w:hint="eastAsia"/>
                <w:kern w:val="0"/>
                <w:sz w:val="24"/>
                <w:szCs w:val="24"/>
              </w:rPr>
              <w:t xml:space="preserve"> </w:t>
            </w:r>
            <w:r w:rsidRPr="00D01B10">
              <w:rPr>
                <w:rFonts w:ascii="Book Antiqua" w:hAnsi="Book Antiqua"/>
                <w:kern w:val="0"/>
                <w:sz w:val="24"/>
                <w:szCs w:val="24"/>
              </w:rPr>
              <w:t>4.51</w:t>
            </w:r>
          </w:p>
        </w:tc>
        <w:tc>
          <w:tcPr>
            <w:tcW w:w="1857" w:type="dxa"/>
            <w:vAlign w:val="center"/>
          </w:tcPr>
          <w:p w:rsidR="00377117" w:rsidRPr="00D01B10" w:rsidRDefault="00377117" w:rsidP="00D01B10">
            <w:pPr>
              <w:spacing w:line="360" w:lineRule="auto"/>
              <w:rPr>
                <w:rFonts w:ascii="Book Antiqua" w:hAnsi="Book Antiqua"/>
                <w:bCs/>
                <w:sz w:val="24"/>
                <w:szCs w:val="24"/>
              </w:rPr>
            </w:pPr>
            <w:r w:rsidRPr="00D01B10">
              <w:rPr>
                <w:rFonts w:ascii="Book Antiqua" w:hAnsi="Book Antiqua"/>
                <w:bCs/>
                <w:sz w:val="24"/>
                <w:szCs w:val="24"/>
              </w:rPr>
              <w:t>20.03</w:t>
            </w:r>
            <w:r w:rsidR="00CA2332">
              <w:rPr>
                <w:rFonts w:ascii="Book Antiqua" w:hAnsi="Book Antiqua" w:hint="eastAsia"/>
                <w:bCs/>
                <w:sz w:val="24"/>
                <w:szCs w:val="24"/>
              </w:rPr>
              <w:t xml:space="preserve"> </w:t>
            </w:r>
            <w:r w:rsidRPr="00D01B10">
              <w:rPr>
                <w:rFonts w:ascii="Book Antiqua" w:hAnsi="Book Antiqua"/>
                <w:kern w:val="0"/>
                <w:sz w:val="24"/>
                <w:szCs w:val="24"/>
              </w:rPr>
              <w:t>±</w:t>
            </w:r>
            <w:r w:rsidR="00CA2332">
              <w:rPr>
                <w:rFonts w:ascii="Book Antiqua" w:hAnsi="Book Antiqua" w:hint="eastAsia"/>
                <w:kern w:val="0"/>
                <w:sz w:val="24"/>
                <w:szCs w:val="24"/>
              </w:rPr>
              <w:t xml:space="preserve"> </w:t>
            </w:r>
            <w:r w:rsidRPr="00D01B10">
              <w:rPr>
                <w:rFonts w:ascii="Book Antiqua" w:hAnsi="Book Antiqua"/>
                <w:kern w:val="0"/>
                <w:sz w:val="24"/>
                <w:szCs w:val="24"/>
              </w:rPr>
              <w:t>4.27</w:t>
            </w:r>
          </w:p>
        </w:tc>
        <w:tc>
          <w:tcPr>
            <w:tcW w:w="1050" w:type="dxa"/>
            <w:vAlign w:val="center"/>
          </w:tcPr>
          <w:p w:rsidR="00377117" w:rsidRPr="00D01B10" w:rsidRDefault="00377117" w:rsidP="00D01B10">
            <w:pPr>
              <w:spacing w:line="360" w:lineRule="auto"/>
              <w:rPr>
                <w:rFonts w:ascii="Book Antiqua" w:hAnsi="Book Antiqua"/>
                <w:bCs/>
                <w:sz w:val="24"/>
                <w:szCs w:val="24"/>
              </w:rPr>
            </w:pPr>
            <w:r w:rsidRPr="00D01B10">
              <w:rPr>
                <w:rFonts w:ascii="Book Antiqua" w:hAnsi="Book Antiqua"/>
                <w:bCs/>
                <w:sz w:val="24"/>
                <w:szCs w:val="24"/>
              </w:rPr>
              <w:t>1.701</w:t>
            </w:r>
          </w:p>
        </w:tc>
        <w:tc>
          <w:tcPr>
            <w:tcW w:w="981" w:type="dxa"/>
            <w:vAlign w:val="center"/>
          </w:tcPr>
          <w:p w:rsidR="00377117" w:rsidRPr="00D01B10" w:rsidRDefault="00377117" w:rsidP="00D01B10">
            <w:pPr>
              <w:spacing w:line="360" w:lineRule="auto"/>
              <w:rPr>
                <w:rFonts w:ascii="Book Antiqua" w:hAnsi="Book Antiqua"/>
                <w:bCs/>
                <w:sz w:val="24"/>
                <w:szCs w:val="24"/>
              </w:rPr>
            </w:pPr>
            <w:r w:rsidRPr="00D01B10">
              <w:rPr>
                <w:rFonts w:ascii="Book Antiqua" w:hAnsi="Book Antiqua"/>
                <w:bCs/>
                <w:sz w:val="24"/>
                <w:szCs w:val="24"/>
              </w:rPr>
              <w:t>0.248</w:t>
            </w:r>
          </w:p>
        </w:tc>
      </w:tr>
      <w:tr w:rsidR="00377117" w:rsidRPr="00D01B10" w:rsidTr="00BA1ECC">
        <w:trPr>
          <w:trHeight w:val="323"/>
        </w:trPr>
        <w:tc>
          <w:tcPr>
            <w:tcW w:w="2440" w:type="dxa"/>
          </w:tcPr>
          <w:p w:rsidR="00377117" w:rsidRPr="00D01B10" w:rsidRDefault="00377117" w:rsidP="00D01B10">
            <w:pPr>
              <w:spacing w:line="360" w:lineRule="auto"/>
              <w:rPr>
                <w:rFonts w:ascii="Book Antiqua" w:hAnsi="Book Antiqua"/>
                <w:bCs/>
                <w:sz w:val="24"/>
                <w:szCs w:val="24"/>
              </w:rPr>
            </w:pPr>
            <w:r w:rsidRPr="00D01B10">
              <w:rPr>
                <w:rFonts w:ascii="Book Antiqua" w:hAnsi="Book Antiqua"/>
                <w:bCs/>
                <w:sz w:val="24"/>
                <w:szCs w:val="24"/>
              </w:rPr>
              <w:t>Complications</w:t>
            </w:r>
          </w:p>
        </w:tc>
        <w:tc>
          <w:tcPr>
            <w:tcW w:w="2066" w:type="dxa"/>
            <w:vAlign w:val="center"/>
          </w:tcPr>
          <w:p w:rsidR="00377117" w:rsidRPr="00D01B10" w:rsidRDefault="00377117" w:rsidP="00D01B10">
            <w:pPr>
              <w:spacing w:line="360" w:lineRule="auto"/>
              <w:rPr>
                <w:rFonts w:ascii="Book Antiqua" w:hAnsi="Book Antiqua"/>
                <w:bCs/>
                <w:sz w:val="24"/>
                <w:szCs w:val="24"/>
              </w:rPr>
            </w:pPr>
          </w:p>
        </w:tc>
        <w:tc>
          <w:tcPr>
            <w:tcW w:w="1857" w:type="dxa"/>
            <w:vAlign w:val="center"/>
          </w:tcPr>
          <w:p w:rsidR="00377117" w:rsidRPr="00D01B10" w:rsidRDefault="00377117" w:rsidP="00D01B10">
            <w:pPr>
              <w:spacing w:line="360" w:lineRule="auto"/>
              <w:rPr>
                <w:rFonts w:ascii="Book Antiqua" w:hAnsi="Book Antiqua"/>
                <w:bCs/>
                <w:sz w:val="24"/>
                <w:szCs w:val="24"/>
              </w:rPr>
            </w:pPr>
          </w:p>
        </w:tc>
        <w:tc>
          <w:tcPr>
            <w:tcW w:w="1050" w:type="dxa"/>
            <w:vAlign w:val="center"/>
          </w:tcPr>
          <w:p w:rsidR="00377117" w:rsidRPr="00D01B10" w:rsidRDefault="00377117" w:rsidP="00D01B10">
            <w:pPr>
              <w:spacing w:line="360" w:lineRule="auto"/>
              <w:rPr>
                <w:rFonts w:ascii="Book Antiqua" w:hAnsi="Book Antiqua"/>
                <w:bCs/>
                <w:sz w:val="24"/>
                <w:szCs w:val="24"/>
              </w:rPr>
            </w:pPr>
          </w:p>
        </w:tc>
        <w:tc>
          <w:tcPr>
            <w:tcW w:w="981" w:type="dxa"/>
            <w:vAlign w:val="center"/>
          </w:tcPr>
          <w:p w:rsidR="00377117" w:rsidRPr="00D01B10" w:rsidRDefault="00377117" w:rsidP="00D01B10">
            <w:pPr>
              <w:spacing w:line="360" w:lineRule="auto"/>
              <w:rPr>
                <w:rFonts w:ascii="Book Antiqua" w:hAnsi="Book Antiqua"/>
                <w:bCs/>
                <w:sz w:val="24"/>
                <w:szCs w:val="24"/>
              </w:rPr>
            </w:pPr>
          </w:p>
        </w:tc>
      </w:tr>
      <w:tr w:rsidR="00377117" w:rsidRPr="00D01B10" w:rsidTr="00BA1ECC">
        <w:trPr>
          <w:trHeight w:val="323"/>
        </w:trPr>
        <w:tc>
          <w:tcPr>
            <w:tcW w:w="2440" w:type="dxa"/>
          </w:tcPr>
          <w:p w:rsidR="00377117" w:rsidRPr="00D01B10" w:rsidRDefault="00377117" w:rsidP="00D01B10">
            <w:pPr>
              <w:spacing w:line="360" w:lineRule="auto"/>
              <w:ind w:firstLineChars="100" w:firstLine="240"/>
              <w:rPr>
                <w:rFonts w:ascii="Book Antiqua" w:hAnsi="Book Antiqua"/>
                <w:bCs/>
                <w:sz w:val="24"/>
                <w:szCs w:val="24"/>
              </w:rPr>
            </w:pPr>
            <w:r w:rsidRPr="00D01B10">
              <w:rPr>
                <w:rFonts w:ascii="Book Antiqua" w:hAnsi="Book Antiqua"/>
                <w:bCs/>
                <w:sz w:val="24"/>
                <w:szCs w:val="24"/>
              </w:rPr>
              <w:t>Hypertensive disease</w:t>
            </w:r>
          </w:p>
        </w:tc>
        <w:tc>
          <w:tcPr>
            <w:tcW w:w="2066" w:type="dxa"/>
            <w:vAlign w:val="center"/>
          </w:tcPr>
          <w:p w:rsidR="00377117" w:rsidRPr="00D01B10" w:rsidRDefault="00377117" w:rsidP="00D01B10">
            <w:pPr>
              <w:spacing w:line="360" w:lineRule="auto"/>
              <w:rPr>
                <w:rFonts w:ascii="Book Antiqua" w:hAnsi="Book Antiqua"/>
                <w:bCs/>
                <w:sz w:val="24"/>
                <w:szCs w:val="24"/>
              </w:rPr>
            </w:pPr>
            <w:r w:rsidRPr="00D01B10">
              <w:rPr>
                <w:rFonts w:ascii="Book Antiqua" w:hAnsi="Book Antiqua"/>
                <w:bCs/>
                <w:sz w:val="24"/>
                <w:szCs w:val="24"/>
              </w:rPr>
              <w:t>20</w:t>
            </w:r>
          </w:p>
        </w:tc>
        <w:tc>
          <w:tcPr>
            <w:tcW w:w="1857" w:type="dxa"/>
            <w:vAlign w:val="center"/>
          </w:tcPr>
          <w:p w:rsidR="00377117" w:rsidRPr="00D01B10" w:rsidRDefault="00377117" w:rsidP="00D01B10">
            <w:pPr>
              <w:spacing w:line="360" w:lineRule="auto"/>
              <w:rPr>
                <w:rFonts w:ascii="Book Antiqua" w:hAnsi="Book Antiqua"/>
                <w:bCs/>
                <w:sz w:val="24"/>
                <w:szCs w:val="24"/>
              </w:rPr>
            </w:pPr>
            <w:r w:rsidRPr="00D01B10">
              <w:rPr>
                <w:rFonts w:ascii="Book Antiqua" w:hAnsi="Book Antiqua"/>
                <w:bCs/>
                <w:sz w:val="24"/>
                <w:szCs w:val="24"/>
              </w:rPr>
              <w:t>68</w:t>
            </w:r>
          </w:p>
        </w:tc>
        <w:tc>
          <w:tcPr>
            <w:tcW w:w="1050" w:type="dxa"/>
            <w:vAlign w:val="center"/>
          </w:tcPr>
          <w:p w:rsidR="00377117" w:rsidRPr="00D01B10" w:rsidRDefault="00377117" w:rsidP="00D01B10">
            <w:pPr>
              <w:spacing w:line="360" w:lineRule="auto"/>
              <w:rPr>
                <w:rFonts w:ascii="Book Antiqua" w:hAnsi="Book Antiqua"/>
                <w:bCs/>
                <w:sz w:val="24"/>
                <w:szCs w:val="24"/>
              </w:rPr>
            </w:pPr>
            <w:r w:rsidRPr="00D01B10">
              <w:rPr>
                <w:rFonts w:ascii="Book Antiqua" w:hAnsi="Book Antiqua"/>
                <w:bCs/>
                <w:sz w:val="24"/>
                <w:szCs w:val="24"/>
              </w:rPr>
              <w:t>1.346</w:t>
            </w:r>
          </w:p>
        </w:tc>
        <w:tc>
          <w:tcPr>
            <w:tcW w:w="981" w:type="dxa"/>
            <w:vAlign w:val="center"/>
          </w:tcPr>
          <w:p w:rsidR="00377117" w:rsidRPr="00D01B10" w:rsidRDefault="00377117" w:rsidP="00D01B10">
            <w:pPr>
              <w:spacing w:line="360" w:lineRule="auto"/>
              <w:rPr>
                <w:rFonts w:ascii="Book Antiqua" w:hAnsi="Book Antiqua"/>
                <w:bCs/>
                <w:sz w:val="24"/>
                <w:szCs w:val="24"/>
              </w:rPr>
            </w:pPr>
            <w:r w:rsidRPr="00D01B10">
              <w:rPr>
                <w:rFonts w:ascii="Book Antiqua" w:hAnsi="Book Antiqua"/>
                <w:bCs/>
                <w:sz w:val="24"/>
                <w:szCs w:val="24"/>
              </w:rPr>
              <w:t>0.246</w:t>
            </w:r>
          </w:p>
        </w:tc>
      </w:tr>
      <w:tr w:rsidR="00377117" w:rsidRPr="00D01B10" w:rsidTr="00BA1ECC">
        <w:trPr>
          <w:trHeight w:val="323"/>
        </w:trPr>
        <w:tc>
          <w:tcPr>
            <w:tcW w:w="2440" w:type="dxa"/>
          </w:tcPr>
          <w:p w:rsidR="00377117" w:rsidRPr="00D01B10" w:rsidRDefault="00377117" w:rsidP="00D01B10">
            <w:pPr>
              <w:spacing w:line="360" w:lineRule="auto"/>
              <w:ind w:firstLineChars="100" w:firstLine="240"/>
              <w:rPr>
                <w:rFonts w:ascii="Book Antiqua" w:hAnsi="Book Antiqua"/>
                <w:bCs/>
                <w:sz w:val="24"/>
                <w:szCs w:val="24"/>
              </w:rPr>
            </w:pPr>
            <w:r w:rsidRPr="00D01B10">
              <w:rPr>
                <w:rFonts w:ascii="Book Antiqua" w:hAnsi="Book Antiqua"/>
                <w:color w:val="000000"/>
                <w:sz w:val="24"/>
                <w:szCs w:val="24"/>
              </w:rPr>
              <w:t>Diabetes mellitus</w:t>
            </w:r>
          </w:p>
        </w:tc>
        <w:tc>
          <w:tcPr>
            <w:tcW w:w="2066" w:type="dxa"/>
            <w:vAlign w:val="center"/>
          </w:tcPr>
          <w:p w:rsidR="00377117" w:rsidRPr="00D01B10" w:rsidRDefault="00377117" w:rsidP="00D01B10">
            <w:pPr>
              <w:spacing w:line="360" w:lineRule="auto"/>
              <w:rPr>
                <w:rFonts w:ascii="Book Antiqua" w:hAnsi="Book Antiqua"/>
                <w:bCs/>
                <w:sz w:val="24"/>
                <w:szCs w:val="24"/>
              </w:rPr>
            </w:pPr>
            <w:r w:rsidRPr="00D01B10">
              <w:rPr>
                <w:rFonts w:ascii="Book Antiqua" w:hAnsi="Book Antiqua"/>
                <w:bCs/>
                <w:sz w:val="24"/>
                <w:szCs w:val="24"/>
              </w:rPr>
              <w:t>31</w:t>
            </w:r>
          </w:p>
        </w:tc>
        <w:tc>
          <w:tcPr>
            <w:tcW w:w="1857" w:type="dxa"/>
            <w:vAlign w:val="center"/>
          </w:tcPr>
          <w:p w:rsidR="00377117" w:rsidRPr="00D01B10" w:rsidRDefault="00377117" w:rsidP="00D01B10">
            <w:pPr>
              <w:spacing w:line="360" w:lineRule="auto"/>
              <w:rPr>
                <w:rFonts w:ascii="Book Antiqua" w:hAnsi="Book Antiqua"/>
                <w:bCs/>
                <w:sz w:val="24"/>
                <w:szCs w:val="24"/>
              </w:rPr>
            </w:pPr>
            <w:r w:rsidRPr="00D01B10">
              <w:rPr>
                <w:rFonts w:ascii="Book Antiqua" w:hAnsi="Book Antiqua"/>
                <w:bCs/>
                <w:sz w:val="24"/>
                <w:szCs w:val="24"/>
              </w:rPr>
              <w:t>119</w:t>
            </w:r>
          </w:p>
        </w:tc>
        <w:tc>
          <w:tcPr>
            <w:tcW w:w="1050" w:type="dxa"/>
            <w:vAlign w:val="center"/>
          </w:tcPr>
          <w:p w:rsidR="00377117" w:rsidRPr="00D01B10" w:rsidRDefault="00377117" w:rsidP="00D01B10">
            <w:pPr>
              <w:spacing w:line="360" w:lineRule="auto"/>
              <w:rPr>
                <w:rFonts w:ascii="Book Antiqua" w:hAnsi="Book Antiqua"/>
                <w:bCs/>
                <w:sz w:val="24"/>
                <w:szCs w:val="24"/>
              </w:rPr>
            </w:pPr>
            <w:r w:rsidRPr="00D01B10">
              <w:rPr>
                <w:rFonts w:ascii="Book Antiqua" w:hAnsi="Book Antiqua"/>
                <w:bCs/>
                <w:sz w:val="24"/>
                <w:szCs w:val="24"/>
              </w:rPr>
              <w:t>0.739</w:t>
            </w:r>
          </w:p>
        </w:tc>
        <w:tc>
          <w:tcPr>
            <w:tcW w:w="981" w:type="dxa"/>
            <w:vAlign w:val="center"/>
          </w:tcPr>
          <w:p w:rsidR="00377117" w:rsidRPr="00D01B10" w:rsidRDefault="00377117" w:rsidP="00D01B10">
            <w:pPr>
              <w:spacing w:line="360" w:lineRule="auto"/>
              <w:rPr>
                <w:rFonts w:ascii="Book Antiqua" w:hAnsi="Book Antiqua"/>
                <w:bCs/>
                <w:sz w:val="24"/>
                <w:szCs w:val="24"/>
              </w:rPr>
            </w:pPr>
            <w:r w:rsidRPr="00D01B10">
              <w:rPr>
                <w:rFonts w:ascii="Book Antiqua" w:hAnsi="Book Antiqua"/>
                <w:bCs/>
                <w:sz w:val="24"/>
                <w:szCs w:val="24"/>
              </w:rPr>
              <w:t>0.390</w:t>
            </w:r>
          </w:p>
        </w:tc>
      </w:tr>
      <w:tr w:rsidR="00377117" w:rsidRPr="00D01B10" w:rsidTr="00BA1ECC">
        <w:trPr>
          <w:trHeight w:val="323"/>
        </w:trPr>
        <w:tc>
          <w:tcPr>
            <w:tcW w:w="2440" w:type="dxa"/>
          </w:tcPr>
          <w:p w:rsidR="00377117" w:rsidRPr="00D01B10" w:rsidRDefault="00377117" w:rsidP="00D01B10">
            <w:pPr>
              <w:spacing w:line="360" w:lineRule="auto"/>
              <w:ind w:firstLineChars="100" w:firstLine="240"/>
              <w:rPr>
                <w:rFonts w:ascii="Book Antiqua" w:hAnsi="Book Antiqua"/>
                <w:bCs/>
                <w:sz w:val="24"/>
                <w:szCs w:val="24"/>
              </w:rPr>
            </w:pPr>
            <w:r w:rsidRPr="00D01B10">
              <w:rPr>
                <w:rFonts w:ascii="Book Antiqua" w:hAnsi="Book Antiqua"/>
                <w:bCs/>
                <w:sz w:val="24"/>
                <w:szCs w:val="24"/>
              </w:rPr>
              <w:t>Hyperlipidemia</w:t>
            </w:r>
          </w:p>
        </w:tc>
        <w:tc>
          <w:tcPr>
            <w:tcW w:w="2066" w:type="dxa"/>
            <w:vAlign w:val="center"/>
          </w:tcPr>
          <w:p w:rsidR="00377117" w:rsidRPr="00D01B10" w:rsidRDefault="00377117" w:rsidP="00D01B10">
            <w:pPr>
              <w:spacing w:line="360" w:lineRule="auto"/>
              <w:rPr>
                <w:rFonts w:ascii="Book Antiqua" w:hAnsi="Book Antiqua"/>
                <w:bCs/>
                <w:sz w:val="24"/>
                <w:szCs w:val="24"/>
              </w:rPr>
            </w:pPr>
            <w:r w:rsidRPr="00D01B10">
              <w:rPr>
                <w:rFonts w:ascii="Book Antiqua" w:hAnsi="Book Antiqua"/>
                <w:bCs/>
                <w:sz w:val="24"/>
                <w:szCs w:val="24"/>
              </w:rPr>
              <w:t>16</w:t>
            </w:r>
          </w:p>
        </w:tc>
        <w:tc>
          <w:tcPr>
            <w:tcW w:w="1857" w:type="dxa"/>
            <w:vAlign w:val="center"/>
          </w:tcPr>
          <w:p w:rsidR="00377117" w:rsidRPr="00D01B10" w:rsidRDefault="00377117" w:rsidP="00D01B10">
            <w:pPr>
              <w:spacing w:line="360" w:lineRule="auto"/>
              <w:rPr>
                <w:rFonts w:ascii="Book Antiqua" w:hAnsi="Book Antiqua"/>
                <w:bCs/>
                <w:sz w:val="24"/>
                <w:szCs w:val="24"/>
              </w:rPr>
            </w:pPr>
            <w:r w:rsidRPr="00D01B10">
              <w:rPr>
                <w:rFonts w:ascii="Book Antiqua" w:hAnsi="Book Antiqua"/>
                <w:bCs/>
                <w:sz w:val="24"/>
                <w:szCs w:val="24"/>
              </w:rPr>
              <w:t>60</w:t>
            </w:r>
          </w:p>
        </w:tc>
        <w:tc>
          <w:tcPr>
            <w:tcW w:w="1050" w:type="dxa"/>
            <w:vAlign w:val="center"/>
          </w:tcPr>
          <w:p w:rsidR="00377117" w:rsidRPr="00D01B10" w:rsidRDefault="00377117" w:rsidP="00D01B10">
            <w:pPr>
              <w:spacing w:line="360" w:lineRule="auto"/>
              <w:rPr>
                <w:rFonts w:ascii="Book Antiqua" w:hAnsi="Book Antiqua"/>
                <w:bCs/>
                <w:sz w:val="24"/>
                <w:szCs w:val="24"/>
              </w:rPr>
            </w:pPr>
            <w:r w:rsidRPr="00D01B10">
              <w:rPr>
                <w:rFonts w:ascii="Book Antiqua" w:hAnsi="Book Antiqua"/>
                <w:bCs/>
                <w:sz w:val="24"/>
                <w:szCs w:val="24"/>
              </w:rPr>
              <w:t>0.452</w:t>
            </w:r>
          </w:p>
        </w:tc>
        <w:tc>
          <w:tcPr>
            <w:tcW w:w="981" w:type="dxa"/>
            <w:vAlign w:val="center"/>
          </w:tcPr>
          <w:p w:rsidR="00377117" w:rsidRPr="00D01B10" w:rsidRDefault="00377117" w:rsidP="00D01B10">
            <w:pPr>
              <w:spacing w:line="360" w:lineRule="auto"/>
              <w:rPr>
                <w:rFonts w:ascii="Book Antiqua" w:hAnsi="Book Antiqua"/>
                <w:bCs/>
                <w:sz w:val="24"/>
                <w:szCs w:val="24"/>
              </w:rPr>
            </w:pPr>
            <w:r w:rsidRPr="00D01B10">
              <w:rPr>
                <w:rFonts w:ascii="Book Antiqua" w:hAnsi="Book Antiqua"/>
                <w:bCs/>
                <w:sz w:val="24"/>
                <w:szCs w:val="24"/>
              </w:rPr>
              <w:t>0.501</w:t>
            </w:r>
          </w:p>
        </w:tc>
      </w:tr>
    </w:tbl>
    <w:p w:rsidR="00D01B10" w:rsidRPr="00D01B10" w:rsidRDefault="005E7375" w:rsidP="00D01B10">
      <w:pPr>
        <w:spacing w:line="360" w:lineRule="auto"/>
        <w:rPr>
          <w:rFonts w:ascii="Book Antiqua" w:hAnsi="Book Antiqua"/>
          <w:b/>
          <w:bCs/>
          <w:sz w:val="24"/>
          <w:szCs w:val="24"/>
        </w:rPr>
      </w:pPr>
      <w:r w:rsidRPr="00D01B10">
        <w:rPr>
          <w:rFonts w:ascii="Book Antiqua" w:hAnsi="Book Antiqua"/>
          <w:bCs/>
          <w:sz w:val="24"/>
          <w:szCs w:val="24"/>
        </w:rPr>
        <w:t>BMI</w:t>
      </w:r>
      <w:r>
        <w:rPr>
          <w:rFonts w:ascii="Book Antiqua" w:hAnsi="Book Antiqua" w:hint="eastAsia"/>
          <w:bCs/>
          <w:sz w:val="24"/>
          <w:szCs w:val="24"/>
        </w:rPr>
        <w:t>: Body mass index.</w:t>
      </w:r>
    </w:p>
    <w:p w:rsidR="00377117" w:rsidRPr="00D01B10" w:rsidRDefault="00D01B10" w:rsidP="00D01B10">
      <w:pPr>
        <w:spacing w:line="360" w:lineRule="auto"/>
        <w:rPr>
          <w:rFonts w:ascii="Book Antiqua" w:hAnsi="Book Antiqua"/>
          <w:b/>
          <w:bCs/>
          <w:sz w:val="24"/>
          <w:szCs w:val="24"/>
        </w:rPr>
      </w:pPr>
      <w:r w:rsidRPr="00D01B10">
        <w:rPr>
          <w:rFonts w:ascii="Book Antiqua" w:hAnsi="Book Antiqua"/>
          <w:b/>
          <w:bCs/>
          <w:sz w:val="24"/>
          <w:szCs w:val="24"/>
        </w:rPr>
        <w:br w:type="page"/>
      </w:r>
      <w:r w:rsidR="00377117" w:rsidRPr="00D01B10">
        <w:rPr>
          <w:rFonts w:ascii="Book Antiqua" w:hAnsi="Book Antiqua"/>
          <w:b/>
          <w:bCs/>
          <w:sz w:val="24"/>
          <w:szCs w:val="24"/>
        </w:rPr>
        <w:lastRenderedPageBreak/>
        <w:t>Table 2 Comparison of serum liver function indexes</w:t>
      </w:r>
    </w:p>
    <w:tbl>
      <w:tblPr>
        <w:tblW w:w="8440" w:type="dxa"/>
        <w:tblInd w:w="107" w:type="dxa"/>
        <w:tblBorders>
          <w:top w:val="single" w:sz="12" w:space="0" w:color="auto"/>
          <w:bottom w:val="single" w:sz="12" w:space="0" w:color="auto"/>
        </w:tblBorders>
        <w:tblLayout w:type="fixed"/>
        <w:tblLook w:val="0000" w:firstRow="0" w:lastRow="0" w:firstColumn="0" w:lastColumn="0" w:noHBand="0" w:noVBand="0"/>
      </w:tblPr>
      <w:tblGrid>
        <w:gridCol w:w="1754"/>
        <w:gridCol w:w="2366"/>
        <w:gridCol w:w="2102"/>
        <w:gridCol w:w="1236"/>
        <w:gridCol w:w="982"/>
      </w:tblGrid>
      <w:tr w:rsidR="00377117" w:rsidRPr="00D01B10" w:rsidTr="005F2FA2">
        <w:trPr>
          <w:trHeight w:val="387"/>
        </w:trPr>
        <w:tc>
          <w:tcPr>
            <w:tcW w:w="1754" w:type="dxa"/>
            <w:tcBorders>
              <w:bottom w:val="single" w:sz="6" w:space="0" w:color="auto"/>
            </w:tcBorders>
            <w:vAlign w:val="center"/>
          </w:tcPr>
          <w:p w:rsidR="00377117" w:rsidRPr="00D01B10" w:rsidRDefault="00377117" w:rsidP="00D01B10">
            <w:pPr>
              <w:spacing w:line="360" w:lineRule="auto"/>
              <w:rPr>
                <w:rFonts w:ascii="Book Antiqua" w:hAnsi="Book Antiqua"/>
                <w:bCs/>
                <w:sz w:val="24"/>
                <w:szCs w:val="24"/>
              </w:rPr>
            </w:pPr>
            <w:r w:rsidRPr="00D01B10">
              <w:rPr>
                <w:rFonts w:ascii="Book Antiqua" w:eastAsia="Albertus-Bold" w:hAnsi="Book Antiqua"/>
                <w:b/>
                <w:sz w:val="24"/>
                <w:szCs w:val="24"/>
              </w:rPr>
              <w:t>Variable</w:t>
            </w:r>
          </w:p>
        </w:tc>
        <w:tc>
          <w:tcPr>
            <w:tcW w:w="2366" w:type="dxa"/>
            <w:tcBorders>
              <w:bottom w:val="single" w:sz="6" w:space="0" w:color="auto"/>
            </w:tcBorders>
            <w:vAlign w:val="center"/>
          </w:tcPr>
          <w:p w:rsidR="00377117" w:rsidRPr="00D01B10" w:rsidRDefault="00377117" w:rsidP="00D01B10">
            <w:pPr>
              <w:spacing w:line="360" w:lineRule="auto"/>
              <w:rPr>
                <w:rFonts w:ascii="Book Antiqua" w:hAnsi="Book Antiqua"/>
                <w:bCs/>
                <w:sz w:val="24"/>
                <w:szCs w:val="24"/>
              </w:rPr>
            </w:pPr>
            <w:r w:rsidRPr="00D01B10">
              <w:rPr>
                <w:rFonts w:ascii="Book Antiqua" w:hAnsi="Book Antiqua"/>
                <w:b/>
                <w:sz w:val="24"/>
                <w:szCs w:val="24"/>
              </w:rPr>
              <w:t>Observation group</w:t>
            </w:r>
            <w:r w:rsidR="006B4B29">
              <w:rPr>
                <w:rFonts w:ascii="Book Antiqua" w:hAnsi="Book Antiqua"/>
                <w:b/>
                <w:sz w:val="24"/>
                <w:szCs w:val="24"/>
              </w:rPr>
              <w:t>,</w:t>
            </w:r>
            <w:r w:rsidR="00157B3F">
              <w:rPr>
                <w:rFonts w:ascii="Book Antiqua" w:hAnsi="Book Antiqua" w:hint="eastAsia"/>
                <w:b/>
                <w:sz w:val="24"/>
                <w:szCs w:val="24"/>
              </w:rPr>
              <w:t xml:space="preserve"> </w:t>
            </w:r>
            <w:r w:rsidRPr="00EE464A">
              <w:rPr>
                <w:rFonts w:ascii="Book Antiqua" w:hAnsi="Book Antiqua"/>
                <w:b/>
                <w:i/>
                <w:sz w:val="24"/>
                <w:szCs w:val="24"/>
              </w:rPr>
              <w:t>n</w:t>
            </w:r>
            <w:r w:rsidR="00EE464A">
              <w:rPr>
                <w:rFonts w:ascii="Book Antiqua" w:hAnsi="Book Antiqua" w:hint="eastAsia"/>
                <w:b/>
                <w:sz w:val="24"/>
                <w:szCs w:val="24"/>
              </w:rPr>
              <w:t xml:space="preserve"> </w:t>
            </w:r>
            <w:r w:rsidRPr="00D01B10">
              <w:rPr>
                <w:rFonts w:ascii="Book Antiqua" w:hAnsi="Book Antiqua"/>
                <w:b/>
                <w:sz w:val="24"/>
                <w:szCs w:val="24"/>
              </w:rPr>
              <w:t>=</w:t>
            </w:r>
            <w:r w:rsidR="00EE464A">
              <w:rPr>
                <w:rFonts w:ascii="Book Antiqua" w:hAnsi="Book Antiqua" w:hint="eastAsia"/>
                <w:b/>
                <w:sz w:val="24"/>
                <w:szCs w:val="24"/>
              </w:rPr>
              <w:t xml:space="preserve"> </w:t>
            </w:r>
            <w:r w:rsidRPr="00D01B10">
              <w:rPr>
                <w:rFonts w:ascii="Book Antiqua" w:hAnsi="Book Antiqua"/>
                <w:b/>
                <w:sz w:val="24"/>
                <w:szCs w:val="24"/>
              </w:rPr>
              <w:t>151</w:t>
            </w:r>
          </w:p>
        </w:tc>
        <w:tc>
          <w:tcPr>
            <w:tcW w:w="2102" w:type="dxa"/>
            <w:tcBorders>
              <w:bottom w:val="single" w:sz="6" w:space="0" w:color="auto"/>
            </w:tcBorders>
            <w:vAlign w:val="center"/>
          </w:tcPr>
          <w:p w:rsidR="00377117" w:rsidRPr="00D01B10" w:rsidRDefault="00377117" w:rsidP="00D01B10">
            <w:pPr>
              <w:spacing w:line="360" w:lineRule="auto"/>
              <w:rPr>
                <w:rFonts w:ascii="Book Antiqua" w:hAnsi="Book Antiqua"/>
                <w:bCs/>
                <w:sz w:val="24"/>
                <w:szCs w:val="24"/>
              </w:rPr>
            </w:pPr>
            <w:r w:rsidRPr="00D01B10">
              <w:rPr>
                <w:rFonts w:ascii="Book Antiqua" w:hAnsi="Book Antiqua"/>
                <w:b/>
                <w:sz w:val="24"/>
                <w:szCs w:val="24"/>
              </w:rPr>
              <w:t>Control group</w:t>
            </w:r>
            <w:r w:rsidR="006B4B29">
              <w:rPr>
                <w:rFonts w:ascii="Book Antiqua" w:hAnsi="Book Antiqua"/>
                <w:b/>
                <w:sz w:val="24"/>
                <w:szCs w:val="24"/>
              </w:rPr>
              <w:t>,</w:t>
            </w:r>
            <w:r w:rsidR="00157B3F">
              <w:rPr>
                <w:rFonts w:ascii="Book Antiqua" w:hAnsi="Book Antiqua" w:hint="eastAsia"/>
                <w:b/>
                <w:sz w:val="24"/>
                <w:szCs w:val="24"/>
              </w:rPr>
              <w:t xml:space="preserve"> </w:t>
            </w:r>
            <w:r w:rsidRPr="00EE464A">
              <w:rPr>
                <w:rFonts w:ascii="Book Antiqua" w:hAnsi="Book Antiqua"/>
                <w:b/>
                <w:i/>
                <w:sz w:val="24"/>
                <w:szCs w:val="24"/>
              </w:rPr>
              <w:t>n</w:t>
            </w:r>
            <w:r w:rsidR="00EE464A">
              <w:rPr>
                <w:rFonts w:ascii="Book Antiqua" w:hAnsi="Book Antiqua" w:hint="eastAsia"/>
                <w:b/>
                <w:sz w:val="24"/>
                <w:szCs w:val="24"/>
              </w:rPr>
              <w:t xml:space="preserve"> </w:t>
            </w:r>
            <w:r w:rsidRPr="00D01B10">
              <w:rPr>
                <w:rFonts w:ascii="Book Antiqua" w:hAnsi="Book Antiqua"/>
                <w:b/>
                <w:sz w:val="24"/>
                <w:szCs w:val="24"/>
              </w:rPr>
              <w:t>=</w:t>
            </w:r>
            <w:r w:rsidR="00EE464A">
              <w:rPr>
                <w:rFonts w:ascii="Book Antiqua" w:hAnsi="Book Antiqua" w:hint="eastAsia"/>
                <w:b/>
                <w:sz w:val="24"/>
                <w:szCs w:val="24"/>
              </w:rPr>
              <w:t xml:space="preserve"> </w:t>
            </w:r>
            <w:r w:rsidRPr="00D01B10">
              <w:rPr>
                <w:rFonts w:ascii="Book Antiqua" w:hAnsi="Book Antiqua"/>
                <w:b/>
                <w:sz w:val="24"/>
                <w:szCs w:val="24"/>
              </w:rPr>
              <w:t>678</w:t>
            </w:r>
          </w:p>
        </w:tc>
        <w:tc>
          <w:tcPr>
            <w:tcW w:w="1236" w:type="dxa"/>
            <w:tcBorders>
              <w:bottom w:val="single" w:sz="6" w:space="0" w:color="auto"/>
            </w:tcBorders>
            <w:vAlign w:val="center"/>
          </w:tcPr>
          <w:p w:rsidR="00377117" w:rsidRPr="003C3230" w:rsidRDefault="00377117" w:rsidP="00D01B10">
            <w:pPr>
              <w:spacing w:line="360" w:lineRule="auto"/>
              <w:rPr>
                <w:rFonts w:ascii="Book Antiqua" w:hAnsi="Book Antiqua"/>
                <w:b/>
                <w:i/>
                <w:sz w:val="24"/>
                <w:szCs w:val="24"/>
              </w:rPr>
            </w:pPr>
            <w:r w:rsidRPr="003C3230">
              <w:rPr>
                <w:rFonts w:ascii="Book Antiqua" w:hAnsi="Book Antiqua"/>
                <w:b/>
                <w:i/>
                <w:sz w:val="24"/>
                <w:szCs w:val="24"/>
              </w:rPr>
              <w:t>t</w:t>
            </w:r>
          </w:p>
          <w:p w:rsidR="00377117" w:rsidRPr="00D01B10" w:rsidRDefault="00377117" w:rsidP="00D01B10">
            <w:pPr>
              <w:spacing w:line="360" w:lineRule="auto"/>
              <w:rPr>
                <w:rFonts w:ascii="Book Antiqua" w:hAnsi="Book Antiqua"/>
                <w:bCs/>
                <w:sz w:val="24"/>
                <w:szCs w:val="24"/>
              </w:rPr>
            </w:pPr>
            <w:r w:rsidRPr="00D01B10">
              <w:rPr>
                <w:rFonts w:ascii="Book Antiqua" w:hAnsi="Book Antiqua"/>
                <w:b/>
                <w:sz w:val="24"/>
                <w:szCs w:val="24"/>
              </w:rPr>
              <w:t>value</w:t>
            </w:r>
          </w:p>
        </w:tc>
        <w:tc>
          <w:tcPr>
            <w:tcW w:w="982" w:type="dxa"/>
            <w:tcBorders>
              <w:bottom w:val="single" w:sz="6" w:space="0" w:color="auto"/>
            </w:tcBorders>
            <w:vAlign w:val="center"/>
          </w:tcPr>
          <w:p w:rsidR="00377117" w:rsidRPr="00D01B10" w:rsidRDefault="00377117" w:rsidP="00D01B10">
            <w:pPr>
              <w:spacing w:line="360" w:lineRule="auto"/>
              <w:rPr>
                <w:rFonts w:ascii="Book Antiqua" w:hAnsi="Book Antiqua"/>
                <w:b/>
                <w:i/>
                <w:iCs/>
                <w:sz w:val="24"/>
                <w:szCs w:val="24"/>
              </w:rPr>
            </w:pPr>
            <w:r w:rsidRPr="00D01B10">
              <w:rPr>
                <w:rFonts w:ascii="Book Antiqua" w:hAnsi="Book Antiqua"/>
                <w:b/>
                <w:i/>
                <w:iCs/>
                <w:sz w:val="24"/>
                <w:szCs w:val="24"/>
              </w:rPr>
              <w:t>P</w:t>
            </w:r>
          </w:p>
          <w:p w:rsidR="00377117" w:rsidRPr="00D01B10" w:rsidRDefault="00377117" w:rsidP="00D01B10">
            <w:pPr>
              <w:spacing w:line="360" w:lineRule="auto"/>
              <w:rPr>
                <w:rFonts w:ascii="Book Antiqua" w:hAnsi="Book Antiqua"/>
                <w:bCs/>
                <w:sz w:val="24"/>
                <w:szCs w:val="24"/>
              </w:rPr>
            </w:pPr>
            <w:r w:rsidRPr="00D01B10">
              <w:rPr>
                <w:rFonts w:ascii="Book Antiqua" w:hAnsi="Book Antiqua"/>
                <w:b/>
                <w:i/>
                <w:iCs/>
                <w:sz w:val="24"/>
                <w:szCs w:val="24"/>
              </w:rPr>
              <w:t xml:space="preserve"> </w:t>
            </w:r>
            <w:r w:rsidRPr="00D01B10">
              <w:rPr>
                <w:rFonts w:ascii="Book Antiqua" w:hAnsi="Book Antiqua"/>
                <w:b/>
                <w:sz w:val="24"/>
                <w:szCs w:val="24"/>
              </w:rPr>
              <w:t>value</w:t>
            </w:r>
          </w:p>
        </w:tc>
      </w:tr>
      <w:tr w:rsidR="00377117" w:rsidRPr="00D01B10" w:rsidTr="005F2FA2">
        <w:trPr>
          <w:trHeight w:val="382"/>
        </w:trPr>
        <w:tc>
          <w:tcPr>
            <w:tcW w:w="1754" w:type="dxa"/>
          </w:tcPr>
          <w:p w:rsidR="00377117" w:rsidRPr="00D01B10" w:rsidRDefault="00377117" w:rsidP="00D01B10">
            <w:pPr>
              <w:adjustRightInd w:val="0"/>
              <w:snapToGrid w:val="0"/>
              <w:spacing w:line="360" w:lineRule="auto"/>
              <w:rPr>
                <w:rFonts w:ascii="Book Antiqua" w:hAnsi="Book Antiqua"/>
                <w:bCs/>
                <w:sz w:val="24"/>
                <w:szCs w:val="24"/>
              </w:rPr>
            </w:pPr>
            <w:r w:rsidRPr="00D01B10">
              <w:rPr>
                <w:rFonts w:ascii="Book Antiqua" w:hAnsi="Book Antiqua"/>
                <w:bCs/>
                <w:sz w:val="24"/>
                <w:szCs w:val="24"/>
              </w:rPr>
              <w:t>ALT</w:t>
            </w:r>
            <w:r w:rsidR="006B4B29">
              <w:rPr>
                <w:rFonts w:ascii="Book Antiqua" w:hAnsi="Book Antiqua"/>
                <w:bCs/>
                <w:sz w:val="24"/>
                <w:szCs w:val="24"/>
              </w:rPr>
              <w:t>,</w:t>
            </w:r>
            <w:r w:rsidRPr="00D01B10">
              <w:rPr>
                <w:rFonts w:ascii="Book Antiqua" w:hAnsi="Book Antiqua"/>
                <w:bCs/>
                <w:sz w:val="24"/>
                <w:szCs w:val="24"/>
              </w:rPr>
              <w:t xml:space="preserve"> U/L</w:t>
            </w:r>
          </w:p>
        </w:tc>
        <w:tc>
          <w:tcPr>
            <w:tcW w:w="2366" w:type="dxa"/>
            <w:vAlign w:val="center"/>
          </w:tcPr>
          <w:p w:rsidR="00377117" w:rsidRPr="00D01B10" w:rsidRDefault="00377117" w:rsidP="00D01B10">
            <w:pPr>
              <w:adjustRightInd w:val="0"/>
              <w:snapToGrid w:val="0"/>
              <w:spacing w:line="360" w:lineRule="auto"/>
              <w:rPr>
                <w:rFonts w:ascii="Book Antiqua" w:hAnsi="Book Antiqua"/>
                <w:bCs/>
                <w:sz w:val="24"/>
                <w:szCs w:val="24"/>
              </w:rPr>
            </w:pPr>
            <w:r w:rsidRPr="00D01B10">
              <w:rPr>
                <w:rFonts w:ascii="Book Antiqua" w:hAnsi="Book Antiqua"/>
                <w:bCs/>
                <w:sz w:val="24"/>
                <w:szCs w:val="24"/>
              </w:rPr>
              <w:t>35.04</w:t>
            </w:r>
            <w:r w:rsidR="004E14E4">
              <w:rPr>
                <w:rFonts w:ascii="Book Antiqua" w:hAnsi="Book Antiqua" w:hint="eastAsia"/>
                <w:bCs/>
                <w:sz w:val="24"/>
                <w:szCs w:val="24"/>
              </w:rPr>
              <w:t xml:space="preserve"> </w:t>
            </w:r>
            <w:r w:rsidRPr="00D01B10">
              <w:rPr>
                <w:rFonts w:ascii="Book Antiqua" w:hAnsi="Book Antiqua"/>
                <w:bCs/>
                <w:kern w:val="0"/>
                <w:sz w:val="24"/>
                <w:szCs w:val="24"/>
              </w:rPr>
              <w:t>±</w:t>
            </w:r>
            <w:r w:rsidR="004E14E4">
              <w:rPr>
                <w:rFonts w:ascii="Book Antiqua" w:hAnsi="Book Antiqua" w:hint="eastAsia"/>
                <w:bCs/>
                <w:kern w:val="0"/>
                <w:sz w:val="24"/>
                <w:szCs w:val="24"/>
              </w:rPr>
              <w:t xml:space="preserve"> </w:t>
            </w:r>
            <w:r w:rsidRPr="00D01B10">
              <w:rPr>
                <w:rFonts w:ascii="Book Antiqua" w:hAnsi="Book Antiqua"/>
                <w:bCs/>
                <w:kern w:val="0"/>
                <w:sz w:val="24"/>
                <w:szCs w:val="24"/>
              </w:rPr>
              <w:t>9</w:t>
            </w:r>
            <w:r w:rsidRPr="00D01B10">
              <w:rPr>
                <w:rFonts w:ascii="Book Antiqua" w:hAnsi="Book Antiqua"/>
                <w:bCs/>
                <w:sz w:val="24"/>
                <w:szCs w:val="24"/>
              </w:rPr>
              <w:t>.18</w:t>
            </w:r>
          </w:p>
        </w:tc>
        <w:tc>
          <w:tcPr>
            <w:tcW w:w="2102" w:type="dxa"/>
            <w:vAlign w:val="center"/>
          </w:tcPr>
          <w:p w:rsidR="00377117" w:rsidRPr="00D01B10" w:rsidRDefault="00377117" w:rsidP="00D01B10">
            <w:pPr>
              <w:adjustRightInd w:val="0"/>
              <w:snapToGrid w:val="0"/>
              <w:spacing w:line="360" w:lineRule="auto"/>
              <w:rPr>
                <w:rFonts w:ascii="Book Antiqua" w:hAnsi="Book Antiqua"/>
                <w:bCs/>
                <w:sz w:val="24"/>
                <w:szCs w:val="24"/>
              </w:rPr>
            </w:pPr>
            <w:r w:rsidRPr="00D01B10">
              <w:rPr>
                <w:rFonts w:ascii="Book Antiqua" w:hAnsi="Book Antiqua"/>
                <w:bCs/>
                <w:sz w:val="24"/>
                <w:szCs w:val="24"/>
              </w:rPr>
              <w:t>33.22</w:t>
            </w:r>
            <w:r w:rsidR="004E14E4">
              <w:rPr>
                <w:rFonts w:ascii="Book Antiqua" w:hAnsi="Book Antiqua" w:hint="eastAsia"/>
                <w:bCs/>
                <w:sz w:val="24"/>
                <w:szCs w:val="24"/>
              </w:rPr>
              <w:t xml:space="preserve"> </w:t>
            </w:r>
            <w:r w:rsidRPr="00D01B10">
              <w:rPr>
                <w:rFonts w:ascii="Book Antiqua" w:hAnsi="Book Antiqua"/>
                <w:bCs/>
                <w:kern w:val="0"/>
                <w:sz w:val="24"/>
                <w:szCs w:val="24"/>
              </w:rPr>
              <w:t>±</w:t>
            </w:r>
            <w:r w:rsidR="004E14E4">
              <w:rPr>
                <w:rFonts w:ascii="Book Antiqua" w:hAnsi="Book Antiqua" w:hint="eastAsia"/>
                <w:bCs/>
                <w:kern w:val="0"/>
                <w:sz w:val="24"/>
                <w:szCs w:val="24"/>
              </w:rPr>
              <w:t xml:space="preserve"> </w:t>
            </w:r>
            <w:r w:rsidRPr="00D01B10">
              <w:rPr>
                <w:rFonts w:ascii="Book Antiqua" w:hAnsi="Book Antiqua"/>
                <w:bCs/>
                <w:kern w:val="0"/>
                <w:sz w:val="24"/>
                <w:szCs w:val="24"/>
              </w:rPr>
              <w:t>9</w:t>
            </w:r>
            <w:r w:rsidRPr="00D01B10">
              <w:rPr>
                <w:rFonts w:ascii="Book Antiqua" w:hAnsi="Book Antiqua"/>
                <w:bCs/>
                <w:sz w:val="24"/>
                <w:szCs w:val="24"/>
              </w:rPr>
              <w:t>.71</w:t>
            </w:r>
          </w:p>
        </w:tc>
        <w:tc>
          <w:tcPr>
            <w:tcW w:w="1236" w:type="dxa"/>
            <w:vAlign w:val="center"/>
          </w:tcPr>
          <w:p w:rsidR="00377117" w:rsidRPr="00D01B10" w:rsidRDefault="00377117" w:rsidP="00D01B10">
            <w:pPr>
              <w:adjustRightInd w:val="0"/>
              <w:snapToGrid w:val="0"/>
              <w:spacing w:line="360" w:lineRule="auto"/>
              <w:rPr>
                <w:rFonts w:ascii="Book Antiqua" w:hAnsi="Book Antiqua"/>
                <w:bCs/>
                <w:sz w:val="24"/>
                <w:szCs w:val="24"/>
              </w:rPr>
            </w:pPr>
            <w:r w:rsidRPr="00D01B10">
              <w:rPr>
                <w:rFonts w:ascii="Book Antiqua" w:hAnsi="Book Antiqua"/>
                <w:bCs/>
                <w:sz w:val="24"/>
                <w:szCs w:val="24"/>
              </w:rPr>
              <w:t>0.354</w:t>
            </w:r>
          </w:p>
        </w:tc>
        <w:tc>
          <w:tcPr>
            <w:tcW w:w="982" w:type="dxa"/>
            <w:vAlign w:val="center"/>
          </w:tcPr>
          <w:p w:rsidR="00377117" w:rsidRPr="00D01B10" w:rsidRDefault="00377117" w:rsidP="00D01B10">
            <w:pPr>
              <w:adjustRightInd w:val="0"/>
              <w:snapToGrid w:val="0"/>
              <w:spacing w:line="360" w:lineRule="auto"/>
              <w:rPr>
                <w:rFonts w:ascii="Book Antiqua" w:hAnsi="Book Antiqua"/>
                <w:bCs/>
                <w:sz w:val="24"/>
                <w:szCs w:val="24"/>
              </w:rPr>
            </w:pPr>
            <w:r w:rsidRPr="00D01B10">
              <w:rPr>
                <w:rFonts w:ascii="Book Antiqua" w:hAnsi="Book Antiqua"/>
                <w:bCs/>
                <w:sz w:val="24"/>
                <w:szCs w:val="24"/>
              </w:rPr>
              <w:t>0.803</w:t>
            </w:r>
          </w:p>
        </w:tc>
      </w:tr>
      <w:tr w:rsidR="00377117" w:rsidRPr="00D01B10" w:rsidTr="005F2FA2">
        <w:trPr>
          <w:trHeight w:val="392"/>
        </w:trPr>
        <w:tc>
          <w:tcPr>
            <w:tcW w:w="1754" w:type="dxa"/>
          </w:tcPr>
          <w:p w:rsidR="00377117" w:rsidRPr="00D01B10" w:rsidRDefault="00377117" w:rsidP="00D01B10">
            <w:pPr>
              <w:adjustRightInd w:val="0"/>
              <w:snapToGrid w:val="0"/>
              <w:spacing w:line="360" w:lineRule="auto"/>
              <w:rPr>
                <w:rFonts w:ascii="Book Antiqua" w:hAnsi="Book Antiqua"/>
                <w:bCs/>
                <w:sz w:val="24"/>
                <w:szCs w:val="24"/>
              </w:rPr>
            </w:pPr>
            <w:r w:rsidRPr="00D01B10">
              <w:rPr>
                <w:rFonts w:ascii="Book Antiqua" w:hAnsi="Book Antiqua"/>
                <w:bCs/>
                <w:sz w:val="24"/>
                <w:szCs w:val="24"/>
              </w:rPr>
              <w:t>AST</w:t>
            </w:r>
            <w:r w:rsidR="006B4B29">
              <w:rPr>
                <w:rFonts w:ascii="Book Antiqua" w:hAnsi="Book Antiqua"/>
                <w:bCs/>
                <w:sz w:val="24"/>
                <w:szCs w:val="24"/>
              </w:rPr>
              <w:t xml:space="preserve">, </w:t>
            </w:r>
            <w:r w:rsidRPr="00D01B10">
              <w:rPr>
                <w:rFonts w:ascii="Book Antiqua" w:hAnsi="Book Antiqua"/>
                <w:bCs/>
                <w:sz w:val="24"/>
                <w:szCs w:val="24"/>
              </w:rPr>
              <w:t>U/L</w:t>
            </w:r>
          </w:p>
        </w:tc>
        <w:tc>
          <w:tcPr>
            <w:tcW w:w="2366" w:type="dxa"/>
            <w:vAlign w:val="center"/>
          </w:tcPr>
          <w:p w:rsidR="00377117" w:rsidRPr="00D01B10" w:rsidRDefault="00377117" w:rsidP="00D01B10">
            <w:pPr>
              <w:adjustRightInd w:val="0"/>
              <w:snapToGrid w:val="0"/>
              <w:spacing w:line="360" w:lineRule="auto"/>
              <w:rPr>
                <w:rFonts w:ascii="Book Antiqua" w:hAnsi="Book Antiqua"/>
                <w:bCs/>
                <w:sz w:val="24"/>
                <w:szCs w:val="24"/>
              </w:rPr>
            </w:pPr>
            <w:r w:rsidRPr="00D01B10">
              <w:rPr>
                <w:rFonts w:ascii="Book Antiqua" w:hAnsi="Book Antiqua"/>
                <w:bCs/>
                <w:sz w:val="24"/>
                <w:szCs w:val="24"/>
              </w:rPr>
              <w:t>38.96</w:t>
            </w:r>
            <w:r w:rsidR="004E14E4">
              <w:rPr>
                <w:rFonts w:ascii="Book Antiqua" w:hAnsi="Book Antiqua" w:hint="eastAsia"/>
                <w:bCs/>
                <w:sz w:val="24"/>
                <w:szCs w:val="24"/>
              </w:rPr>
              <w:t xml:space="preserve"> </w:t>
            </w:r>
            <w:r w:rsidRPr="00D01B10">
              <w:rPr>
                <w:rFonts w:ascii="Book Antiqua" w:hAnsi="Book Antiqua"/>
                <w:bCs/>
                <w:kern w:val="0"/>
                <w:sz w:val="24"/>
                <w:szCs w:val="24"/>
              </w:rPr>
              <w:t>±</w:t>
            </w:r>
            <w:r w:rsidR="004E14E4">
              <w:rPr>
                <w:rFonts w:ascii="Book Antiqua" w:hAnsi="Book Antiqua" w:hint="eastAsia"/>
                <w:bCs/>
                <w:kern w:val="0"/>
                <w:sz w:val="24"/>
                <w:szCs w:val="24"/>
              </w:rPr>
              <w:t xml:space="preserve"> </w:t>
            </w:r>
            <w:r w:rsidRPr="00D01B10">
              <w:rPr>
                <w:rFonts w:ascii="Book Antiqua" w:hAnsi="Book Antiqua"/>
                <w:bCs/>
                <w:sz w:val="24"/>
                <w:szCs w:val="24"/>
              </w:rPr>
              <w:t>10.65</w:t>
            </w:r>
          </w:p>
        </w:tc>
        <w:tc>
          <w:tcPr>
            <w:tcW w:w="2102" w:type="dxa"/>
            <w:vAlign w:val="center"/>
          </w:tcPr>
          <w:p w:rsidR="00377117" w:rsidRPr="00D01B10" w:rsidRDefault="00377117" w:rsidP="00D01B10">
            <w:pPr>
              <w:adjustRightInd w:val="0"/>
              <w:snapToGrid w:val="0"/>
              <w:spacing w:line="360" w:lineRule="auto"/>
              <w:rPr>
                <w:rFonts w:ascii="Book Antiqua" w:hAnsi="Book Antiqua"/>
                <w:bCs/>
                <w:sz w:val="24"/>
                <w:szCs w:val="24"/>
              </w:rPr>
            </w:pPr>
            <w:r w:rsidRPr="00D01B10">
              <w:rPr>
                <w:rFonts w:ascii="Book Antiqua" w:hAnsi="Book Antiqua"/>
                <w:bCs/>
                <w:sz w:val="24"/>
                <w:szCs w:val="24"/>
              </w:rPr>
              <w:t>36.52</w:t>
            </w:r>
            <w:r w:rsidR="004E14E4">
              <w:rPr>
                <w:rFonts w:ascii="Book Antiqua" w:hAnsi="Book Antiqua" w:hint="eastAsia"/>
                <w:bCs/>
                <w:sz w:val="24"/>
                <w:szCs w:val="24"/>
              </w:rPr>
              <w:t xml:space="preserve"> </w:t>
            </w:r>
            <w:r w:rsidRPr="00D01B10">
              <w:rPr>
                <w:rFonts w:ascii="Book Antiqua" w:hAnsi="Book Antiqua"/>
                <w:bCs/>
                <w:kern w:val="0"/>
                <w:sz w:val="24"/>
                <w:szCs w:val="24"/>
              </w:rPr>
              <w:t>±</w:t>
            </w:r>
            <w:r w:rsidR="004E14E4">
              <w:rPr>
                <w:rFonts w:ascii="Book Antiqua" w:hAnsi="Book Antiqua" w:hint="eastAsia"/>
                <w:bCs/>
                <w:kern w:val="0"/>
                <w:sz w:val="24"/>
                <w:szCs w:val="24"/>
              </w:rPr>
              <w:t xml:space="preserve"> </w:t>
            </w:r>
            <w:r w:rsidRPr="00D01B10">
              <w:rPr>
                <w:rFonts w:ascii="Book Antiqua" w:hAnsi="Book Antiqua"/>
                <w:bCs/>
                <w:sz w:val="24"/>
                <w:szCs w:val="24"/>
              </w:rPr>
              <w:t>10.33</w:t>
            </w:r>
          </w:p>
        </w:tc>
        <w:tc>
          <w:tcPr>
            <w:tcW w:w="1236" w:type="dxa"/>
            <w:vAlign w:val="center"/>
          </w:tcPr>
          <w:p w:rsidR="00377117" w:rsidRPr="00D01B10" w:rsidRDefault="00377117" w:rsidP="00D01B10">
            <w:pPr>
              <w:adjustRightInd w:val="0"/>
              <w:snapToGrid w:val="0"/>
              <w:spacing w:line="360" w:lineRule="auto"/>
              <w:rPr>
                <w:rFonts w:ascii="Book Antiqua" w:hAnsi="Book Antiqua"/>
                <w:bCs/>
                <w:sz w:val="24"/>
                <w:szCs w:val="24"/>
              </w:rPr>
            </w:pPr>
            <w:r w:rsidRPr="00D01B10">
              <w:rPr>
                <w:rFonts w:ascii="Book Antiqua" w:hAnsi="Book Antiqua"/>
                <w:bCs/>
                <w:sz w:val="24"/>
                <w:szCs w:val="24"/>
              </w:rPr>
              <w:t>0.289</w:t>
            </w:r>
          </w:p>
        </w:tc>
        <w:tc>
          <w:tcPr>
            <w:tcW w:w="982" w:type="dxa"/>
            <w:vAlign w:val="center"/>
          </w:tcPr>
          <w:p w:rsidR="00377117" w:rsidRPr="00D01B10" w:rsidRDefault="00377117" w:rsidP="00D01B10">
            <w:pPr>
              <w:adjustRightInd w:val="0"/>
              <w:snapToGrid w:val="0"/>
              <w:spacing w:line="360" w:lineRule="auto"/>
              <w:rPr>
                <w:rFonts w:ascii="Book Antiqua" w:hAnsi="Book Antiqua"/>
                <w:bCs/>
                <w:sz w:val="24"/>
                <w:szCs w:val="24"/>
              </w:rPr>
            </w:pPr>
            <w:r w:rsidRPr="00D01B10">
              <w:rPr>
                <w:rFonts w:ascii="Book Antiqua" w:hAnsi="Book Antiqua"/>
                <w:bCs/>
                <w:sz w:val="24"/>
                <w:szCs w:val="24"/>
              </w:rPr>
              <w:t>0.834</w:t>
            </w:r>
          </w:p>
        </w:tc>
      </w:tr>
      <w:tr w:rsidR="00377117" w:rsidRPr="00D01B10" w:rsidTr="005F2FA2">
        <w:trPr>
          <w:trHeight w:val="392"/>
        </w:trPr>
        <w:tc>
          <w:tcPr>
            <w:tcW w:w="1754" w:type="dxa"/>
          </w:tcPr>
          <w:p w:rsidR="00377117" w:rsidRPr="00D01B10" w:rsidRDefault="00377117" w:rsidP="00D01B10">
            <w:pPr>
              <w:adjustRightInd w:val="0"/>
              <w:snapToGrid w:val="0"/>
              <w:spacing w:line="360" w:lineRule="auto"/>
              <w:rPr>
                <w:rFonts w:ascii="Book Antiqua" w:hAnsi="Book Antiqua"/>
                <w:bCs/>
                <w:sz w:val="24"/>
                <w:szCs w:val="24"/>
              </w:rPr>
            </w:pPr>
            <w:r w:rsidRPr="00D01B10">
              <w:rPr>
                <w:rFonts w:ascii="Book Antiqua" w:hAnsi="Book Antiqua"/>
                <w:bCs/>
                <w:sz w:val="24"/>
                <w:szCs w:val="24"/>
              </w:rPr>
              <w:t>TBIL</w:t>
            </w:r>
            <w:r w:rsidR="006B4B29">
              <w:rPr>
                <w:rFonts w:ascii="Book Antiqua" w:hAnsi="Book Antiqua"/>
                <w:bCs/>
                <w:sz w:val="24"/>
                <w:szCs w:val="24"/>
              </w:rPr>
              <w:t xml:space="preserve">, </w:t>
            </w:r>
            <w:bookmarkStart w:id="41" w:name="OLE_LINK10"/>
            <w:r w:rsidRPr="00D01B10">
              <w:rPr>
                <w:rFonts w:ascii="Book Antiqua" w:hAnsi="Book Antiqua"/>
                <w:bCs/>
                <w:sz w:val="24"/>
                <w:szCs w:val="24"/>
              </w:rPr>
              <w:t>μmol/L</w:t>
            </w:r>
            <w:bookmarkEnd w:id="41"/>
          </w:p>
        </w:tc>
        <w:tc>
          <w:tcPr>
            <w:tcW w:w="2366" w:type="dxa"/>
            <w:vAlign w:val="center"/>
          </w:tcPr>
          <w:p w:rsidR="00377117" w:rsidRPr="00D01B10" w:rsidRDefault="00377117" w:rsidP="00D01B10">
            <w:pPr>
              <w:adjustRightInd w:val="0"/>
              <w:snapToGrid w:val="0"/>
              <w:spacing w:line="360" w:lineRule="auto"/>
              <w:rPr>
                <w:rFonts w:ascii="Book Antiqua" w:hAnsi="Book Antiqua"/>
                <w:bCs/>
                <w:sz w:val="24"/>
                <w:szCs w:val="24"/>
              </w:rPr>
            </w:pPr>
            <w:r w:rsidRPr="00D01B10">
              <w:rPr>
                <w:rFonts w:ascii="Book Antiqua" w:hAnsi="Book Antiqua"/>
                <w:bCs/>
                <w:sz w:val="24"/>
                <w:szCs w:val="24"/>
              </w:rPr>
              <w:t>11.58</w:t>
            </w:r>
            <w:r w:rsidR="004E14E4">
              <w:rPr>
                <w:rFonts w:ascii="Book Antiqua" w:hAnsi="Book Antiqua" w:hint="eastAsia"/>
                <w:bCs/>
                <w:sz w:val="24"/>
                <w:szCs w:val="24"/>
              </w:rPr>
              <w:t xml:space="preserve"> </w:t>
            </w:r>
            <w:r w:rsidRPr="00D01B10">
              <w:rPr>
                <w:rFonts w:ascii="Book Antiqua" w:hAnsi="Book Antiqua"/>
                <w:bCs/>
                <w:kern w:val="0"/>
                <w:sz w:val="24"/>
                <w:szCs w:val="24"/>
              </w:rPr>
              <w:t>±</w:t>
            </w:r>
            <w:r w:rsidR="004E14E4">
              <w:rPr>
                <w:rFonts w:ascii="Book Antiqua" w:hAnsi="Book Antiqua" w:hint="eastAsia"/>
                <w:bCs/>
                <w:kern w:val="0"/>
                <w:sz w:val="24"/>
                <w:szCs w:val="24"/>
              </w:rPr>
              <w:t xml:space="preserve"> </w:t>
            </w:r>
            <w:r w:rsidRPr="00D01B10">
              <w:rPr>
                <w:rFonts w:ascii="Book Antiqua" w:hAnsi="Book Antiqua"/>
                <w:bCs/>
                <w:kern w:val="0"/>
                <w:sz w:val="24"/>
                <w:szCs w:val="24"/>
              </w:rPr>
              <w:t>2</w:t>
            </w:r>
            <w:r w:rsidRPr="00D01B10">
              <w:rPr>
                <w:rFonts w:ascii="Book Antiqua" w:hAnsi="Book Antiqua"/>
                <w:bCs/>
                <w:sz w:val="24"/>
                <w:szCs w:val="24"/>
              </w:rPr>
              <w:t>.87</w:t>
            </w:r>
          </w:p>
        </w:tc>
        <w:tc>
          <w:tcPr>
            <w:tcW w:w="2102" w:type="dxa"/>
            <w:vAlign w:val="center"/>
          </w:tcPr>
          <w:p w:rsidR="00377117" w:rsidRPr="00D01B10" w:rsidRDefault="00377117" w:rsidP="00D01B10">
            <w:pPr>
              <w:adjustRightInd w:val="0"/>
              <w:snapToGrid w:val="0"/>
              <w:spacing w:line="360" w:lineRule="auto"/>
              <w:rPr>
                <w:rFonts w:ascii="Book Antiqua" w:hAnsi="Book Antiqua"/>
                <w:bCs/>
                <w:sz w:val="24"/>
                <w:szCs w:val="24"/>
              </w:rPr>
            </w:pPr>
            <w:r w:rsidRPr="00D01B10">
              <w:rPr>
                <w:rFonts w:ascii="Book Antiqua" w:hAnsi="Book Antiqua"/>
                <w:bCs/>
                <w:sz w:val="24"/>
                <w:szCs w:val="24"/>
              </w:rPr>
              <w:t>9.99</w:t>
            </w:r>
            <w:r w:rsidR="004E14E4">
              <w:rPr>
                <w:rFonts w:ascii="Book Antiqua" w:hAnsi="Book Antiqua" w:hint="eastAsia"/>
                <w:bCs/>
                <w:sz w:val="24"/>
                <w:szCs w:val="24"/>
              </w:rPr>
              <w:t xml:space="preserve"> </w:t>
            </w:r>
            <w:r w:rsidRPr="00D01B10">
              <w:rPr>
                <w:rFonts w:ascii="Book Antiqua" w:hAnsi="Book Antiqua"/>
                <w:bCs/>
                <w:kern w:val="0"/>
                <w:sz w:val="24"/>
                <w:szCs w:val="24"/>
              </w:rPr>
              <w:t>±</w:t>
            </w:r>
            <w:r w:rsidR="004E14E4">
              <w:rPr>
                <w:rFonts w:ascii="Book Antiqua" w:hAnsi="Book Antiqua" w:hint="eastAsia"/>
                <w:bCs/>
                <w:kern w:val="0"/>
                <w:sz w:val="24"/>
                <w:szCs w:val="24"/>
              </w:rPr>
              <w:t xml:space="preserve"> </w:t>
            </w:r>
            <w:r w:rsidRPr="00D01B10">
              <w:rPr>
                <w:rFonts w:ascii="Book Antiqua" w:hAnsi="Book Antiqua"/>
                <w:bCs/>
                <w:kern w:val="0"/>
                <w:sz w:val="24"/>
                <w:szCs w:val="24"/>
              </w:rPr>
              <w:t>1</w:t>
            </w:r>
            <w:r w:rsidRPr="00D01B10">
              <w:rPr>
                <w:rFonts w:ascii="Book Antiqua" w:hAnsi="Book Antiqua"/>
                <w:bCs/>
                <w:sz w:val="24"/>
                <w:szCs w:val="24"/>
              </w:rPr>
              <w:t>.93</w:t>
            </w:r>
          </w:p>
        </w:tc>
        <w:tc>
          <w:tcPr>
            <w:tcW w:w="1236" w:type="dxa"/>
            <w:vAlign w:val="center"/>
          </w:tcPr>
          <w:p w:rsidR="00377117" w:rsidRPr="00D01B10" w:rsidRDefault="00377117" w:rsidP="00D01B10">
            <w:pPr>
              <w:adjustRightInd w:val="0"/>
              <w:snapToGrid w:val="0"/>
              <w:spacing w:line="360" w:lineRule="auto"/>
              <w:rPr>
                <w:rFonts w:ascii="Book Antiqua" w:hAnsi="Book Antiqua"/>
                <w:bCs/>
                <w:sz w:val="24"/>
                <w:szCs w:val="24"/>
              </w:rPr>
            </w:pPr>
            <w:r w:rsidRPr="00D01B10">
              <w:rPr>
                <w:rFonts w:ascii="Book Antiqua" w:hAnsi="Book Antiqua"/>
                <w:bCs/>
                <w:sz w:val="24"/>
                <w:szCs w:val="24"/>
              </w:rPr>
              <w:t>0.417</w:t>
            </w:r>
          </w:p>
        </w:tc>
        <w:tc>
          <w:tcPr>
            <w:tcW w:w="982" w:type="dxa"/>
            <w:vAlign w:val="center"/>
          </w:tcPr>
          <w:p w:rsidR="00377117" w:rsidRPr="00D01B10" w:rsidRDefault="00377117" w:rsidP="00D01B10">
            <w:pPr>
              <w:adjustRightInd w:val="0"/>
              <w:snapToGrid w:val="0"/>
              <w:spacing w:line="360" w:lineRule="auto"/>
              <w:rPr>
                <w:rFonts w:ascii="Book Antiqua" w:hAnsi="Book Antiqua"/>
                <w:bCs/>
                <w:sz w:val="24"/>
                <w:szCs w:val="24"/>
              </w:rPr>
            </w:pPr>
            <w:r w:rsidRPr="00D01B10">
              <w:rPr>
                <w:rFonts w:ascii="Book Antiqua" w:hAnsi="Book Antiqua"/>
                <w:bCs/>
                <w:sz w:val="24"/>
                <w:szCs w:val="24"/>
              </w:rPr>
              <w:t>0.682</w:t>
            </w:r>
          </w:p>
        </w:tc>
      </w:tr>
      <w:tr w:rsidR="00377117" w:rsidRPr="00D01B10" w:rsidTr="005F2FA2">
        <w:trPr>
          <w:trHeight w:val="402"/>
        </w:trPr>
        <w:tc>
          <w:tcPr>
            <w:tcW w:w="1754" w:type="dxa"/>
          </w:tcPr>
          <w:p w:rsidR="00377117" w:rsidRPr="00D01B10" w:rsidRDefault="00377117" w:rsidP="00D01B10">
            <w:pPr>
              <w:adjustRightInd w:val="0"/>
              <w:snapToGrid w:val="0"/>
              <w:spacing w:line="360" w:lineRule="auto"/>
              <w:rPr>
                <w:rFonts w:ascii="Book Antiqua" w:hAnsi="Book Antiqua"/>
                <w:bCs/>
                <w:sz w:val="24"/>
                <w:szCs w:val="24"/>
              </w:rPr>
            </w:pPr>
            <w:r w:rsidRPr="00D01B10">
              <w:rPr>
                <w:rFonts w:ascii="Book Antiqua" w:hAnsi="Book Antiqua"/>
                <w:bCs/>
                <w:sz w:val="24"/>
                <w:szCs w:val="24"/>
              </w:rPr>
              <w:t>DBIL</w:t>
            </w:r>
            <w:r w:rsidR="006B4B29">
              <w:rPr>
                <w:rFonts w:ascii="Book Antiqua" w:hAnsi="Book Antiqua"/>
                <w:bCs/>
                <w:sz w:val="24"/>
                <w:szCs w:val="24"/>
              </w:rPr>
              <w:t xml:space="preserve">, </w:t>
            </w:r>
            <w:r w:rsidRPr="00D01B10">
              <w:rPr>
                <w:rFonts w:ascii="Book Antiqua" w:hAnsi="Book Antiqua"/>
                <w:bCs/>
                <w:sz w:val="24"/>
                <w:szCs w:val="24"/>
              </w:rPr>
              <w:t>μmol/L</w:t>
            </w:r>
          </w:p>
        </w:tc>
        <w:tc>
          <w:tcPr>
            <w:tcW w:w="2366" w:type="dxa"/>
            <w:vAlign w:val="center"/>
          </w:tcPr>
          <w:p w:rsidR="00377117" w:rsidRPr="00D01B10" w:rsidRDefault="00377117" w:rsidP="00D01B10">
            <w:pPr>
              <w:adjustRightInd w:val="0"/>
              <w:snapToGrid w:val="0"/>
              <w:spacing w:line="360" w:lineRule="auto"/>
              <w:rPr>
                <w:rFonts w:ascii="Book Antiqua" w:hAnsi="Book Antiqua"/>
                <w:bCs/>
                <w:sz w:val="24"/>
                <w:szCs w:val="24"/>
              </w:rPr>
            </w:pPr>
            <w:r w:rsidRPr="00D01B10">
              <w:rPr>
                <w:rFonts w:ascii="Book Antiqua" w:hAnsi="Book Antiqua"/>
                <w:bCs/>
                <w:sz w:val="24"/>
                <w:szCs w:val="24"/>
              </w:rPr>
              <w:t>5.56</w:t>
            </w:r>
            <w:r w:rsidR="004E14E4">
              <w:rPr>
                <w:rFonts w:ascii="Book Antiqua" w:hAnsi="Book Antiqua" w:hint="eastAsia"/>
                <w:bCs/>
                <w:sz w:val="24"/>
                <w:szCs w:val="24"/>
              </w:rPr>
              <w:t xml:space="preserve"> </w:t>
            </w:r>
            <w:r w:rsidRPr="00D01B10">
              <w:rPr>
                <w:rFonts w:ascii="Book Antiqua" w:hAnsi="Book Antiqua"/>
                <w:bCs/>
                <w:kern w:val="0"/>
                <w:sz w:val="24"/>
                <w:szCs w:val="24"/>
              </w:rPr>
              <w:t>±</w:t>
            </w:r>
            <w:r w:rsidR="009D718F">
              <w:rPr>
                <w:rFonts w:ascii="Book Antiqua" w:hAnsi="Book Antiqua" w:hint="eastAsia"/>
                <w:bCs/>
                <w:kern w:val="0"/>
                <w:sz w:val="24"/>
                <w:szCs w:val="24"/>
              </w:rPr>
              <w:t xml:space="preserve"> </w:t>
            </w:r>
            <w:r w:rsidRPr="00D01B10">
              <w:rPr>
                <w:rFonts w:ascii="Book Antiqua" w:hAnsi="Book Antiqua"/>
                <w:bCs/>
                <w:sz w:val="24"/>
                <w:szCs w:val="24"/>
              </w:rPr>
              <w:t>0.77</w:t>
            </w:r>
          </w:p>
        </w:tc>
        <w:tc>
          <w:tcPr>
            <w:tcW w:w="2102" w:type="dxa"/>
            <w:vAlign w:val="center"/>
          </w:tcPr>
          <w:p w:rsidR="00377117" w:rsidRPr="00D01B10" w:rsidRDefault="00377117" w:rsidP="00D01B10">
            <w:pPr>
              <w:adjustRightInd w:val="0"/>
              <w:snapToGrid w:val="0"/>
              <w:spacing w:line="360" w:lineRule="auto"/>
              <w:rPr>
                <w:rFonts w:ascii="Book Antiqua" w:hAnsi="Book Antiqua"/>
                <w:bCs/>
                <w:sz w:val="24"/>
                <w:szCs w:val="24"/>
              </w:rPr>
            </w:pPr>
            <w:r w:rsidRPr="00D01B10">
              <w:rPr>
                <w:rFonts w:ascii="Book Antiqua" w:hAnsi="Book Antiqua"/>
                <w:bCs/>
                <w:sz w:val="24"/>
                <w:szCs w:val="24"/>
              </w:rPr>
              <w:t>4.95</w:t>
            </w:r>
            <w:r w:rsidR="004E14E4">
              <w:rPr>
                <w:rFonts w:ascii="Book Antiqua" w:hAnsi="Book Antiqua" w:hint="eastAsia"/>
                <w:bCs/>
                <w:sz w:val="24"/>
                <w:szCs w:val="24"/>
              </w:rPr>
              <w:t xml:space="preserve"> </w:t>
            </w:r>
            <w:r w:rsidRPr="00D01B10">
              <w:rPr>
                <w:rFonts w:ascii="Book Antiqua" w:hAnsi="Book Antiqua"/>
                <w:bCs/>
                <w:kern w:val="0"/>
                <w:sz w:val="24"/>
                <w:szCs w:val="24"/>
              </w:rPr>
              <w:t>±</w:t>
            </w:r>
            <w:r w:rsidR="004E14E4">
              <w:rPr>
                <w:rFonts w:ascii="Book Antiqua" w:hAnsi="Book Antiqua" w:hint="eastAsia"/>
                <w:bCs/>
                <w:kern w:val="0"/>
                <w:sz w:val="24"/>
                <w:szCs w:val="24"/>
              </w:rPr>
              <w:t xml:space="preserve"> </w:t>
            </w:r>
            <w:r w:rsidRPr="00D01B10">
              <w:rPr>
                <w:rFonts w:ascii="Book Antiqua" w:hAnsi="Book Antiqua"/>
                <w:bCs/>
                <w:sz w:val="24"/>
                <w:szCs w:val="24"/>
              </w:rPr>
              <w:t>0.64</w:t>
            </w:r>
          </w:p>
        </w:tc>
        <w:tc>
          <w:tcPr>
            <w:tcW w:w="1236" w:type="dxa"/>
            <w:vAlign w:val="center"/>
          </w:tcPr>
          <w:p w:rsidR="00377117" w:rsidRPr="00D01B10" w:rsidRDefault="00377117" w:rsidP="00D01B10">
            <w:pPr>
              <w:adjustRightInd w:val="0"/>
              <w:snapToGrid w:val="0"/>
              <w:spacing w:line="360" w:lineRule="auto"/>
              <w:rPr>
                <w:rFonts w:ascii="Book Antiqua" w:hAnsi="Book Antiqua"/>
                <w:bCs/>
                <w:sz w:val="24"/>
                <w:szCs w:val="24"/>
              </w:rPr>
            </w:pPr>
            <w:r w:rsidRPr="00D01B10">
              <w:rPr>
                <w:rFonts w:ascii="Book Antiqua" w:hAnsi="Book Antiqua"/>
                <w:bCs/>
                <w:sz w:val="24"/>
                <w:szCs w:val="24"/>
              </w:rPr>
              <w:t>0.392</w:t>
            </w:r>
          </w:p>
        </w:tc>
        <w:tc>
          <w:tcPr>
            <w:tcW w:w="982" w:type="dxa"/>
            <w:vAlign w:val="center"/>
          </w:tcPr>
          <w:p w:rsidR="00377117" w:rsidRPr="00D01B10" w:rsidRDefault="00377117" w:rsidP="00D01B10">
            <w:pPr>
              <w:adjustRightInd w:val="0"/>
              <w:snapToGrid w:val="0"/>
              <w:spacing w:line="360" w:lineRule="auto"/>
              <w:rPr>
                <w:rFonts w:ascii="Book Antiqua" w:hAnsi="Book Antiqua"/>
                <w:bCs/>
                <w:sz w:val="24"/>
                <w:szCs w:val="24"/>
              </w:rPr>
            </w:pPr>
            <w:r w:rsidRPr="00D01B10">
              <w:rPr>
                <w:rFonts w:ascii="Book Antiqua" w:hAnsi="Book Antiqua"/>
                <w:bCs/>
                <w:sz w:val="24"/>
                <w:szCs w:val="24"/>
              </w:rPr>
              <w:t>0.786</w:t>
            </w:r>
          </w:p>
        </w:tc>
      </w:tr>
      <w:tr w:rsidR="00377117" w:rsidRPr="00D01B10" w:rsidTr="005F2FA2">
        <w:trPr>
          <w:trHeight w:val="352"/>
        </w:trPr>
        <w:tc>
          <w:tcPr>
            <w:tcW w:w="1754" w:type="dxa"/>
          </w:tcPr>
          <w:p w:rsidR="00377117" w:rsidRPr="00D01B10" w:rsidRDefault="00377117" w:rsidP="00D01B10">
            <w:pPr>
              <w:adjustRightInd w:val="0"/>
              <w:snapToGrid w:val="0"/>
              <w:spacing w:line="360" w:lineRule="auto"/>
              <w:rPr>
                <w:rFonts w:ascii="Book Antiqua" w:hAnsi="Book Antiqua"/>
                <w:bCs/>
                <w:sz w:val="24"/>
                <w:szCs w:val="24"/>
              </w:rPr>
            </w:pPr>
            <w:r w:rsidRPr="00D01B10">
              <w:rPr>
                <w:rFonts w:ascii="Book Antiqua" w:hAnsi="Book Antiqua"/>
                <w:bCs/>
                <w:sz w:val="24"/>
                <w:szCs w:val="24"/>
              </w:rPr>
              <w:t>GGT</w:t>
            </w:r>
            <w:r w:rsidR="006B4B29">
              <w:rPr>
                <w:rFonts w:ascii="Book Antiqua" w:hAnsi="Book Antiqua"/>
                <w:bCs/>
                <w:sz w:val="24"/>
                <w:szCs w:val="24"/>
              </w:rPr>
              <w:t xml:space="preserve">, </w:t>
            </w:r>
            <w:r w:rsidRPr="00D01B10">
              <w:rPr>
                <w:rFonts w:ascii="Book Antiqua" w:hAnsi="Book Antiqua"/>
                <w:bCs/>
                <w:sz w:val="24"/>
                <w:szCs w:val="24"/>
              </w:rPr>
              <w:t>U/L</w:t>
            </w:r>
          </w:p>
        </w:tc>
        <w:tc>
          <w:tcPr>
            <w:tcW w:w="2366" w:type="dxa"/>
            <w:vAlign w:val="center"/>
          </w:tcPr>
          <w:p w:rsidR="00377117" w:rsidRPr="00D01B10" w:rsidRDefault="00377117" w:rsidP="00D01B10">
            <w:pPr>
              <w:adjustRightInd w:val="0"/>
              <w:snapToGrid w:val="0"/>
              <w:spacing w:line="360" w:lineRule="auto"/>
              <w:rPr>
                <w:rFonts w:ascii="Book Antiqua" w:hAnsi="Book Antiqua"/>
                <w:bCs/>
                <w:sz w:val="24"/>
                <w:szCs w:val="24"/>
              </w:rPr>
            </w:pPr>
            <w:r w:rsidRPr="00D01B10">
              <w:rPr>
                <w:rFonts w:ascii="Book Antiqua" w:hAnsi="Book Antiqua"/>
                <w:bCs/>
                <w:sz w:val="24"/>
                <w:szCs w:val="24"/>
              </w:rPr>
              <w:t>154.56</w:t>
            </w:r>
            <w:r w:rsidR="004E14E4">
              <w:rPr>
                <w:rFonts w:ascii="Book Antiqua" w:hAnsi="Book Antiqua" w:hint="eastAsia"/>
                <w:bCs/>
                <w:sz w:val="24"/>
                <w:szCs w:val="24"/>
              </w:rPr>
              <w:t xml:space="preserve"> </w:t>
            </w:r>
            <w:r w:rsidRPr="00D01B10">
              <w:rPr>
                <w:rFonts w:ascii="Book Antiqua" w:hAnsi="Book Antiqua"/>
                <w:bCs/>
                <w:kern w:val="0"/>
                <w:sz w:val="24"/>
                <w:szCs w:val="24"/>
              </w:rPr>
              <w:t>±</w:t>
            </w:r>
            <w:r w:rsidR="004E14E4">
              <w:rPr>
                <w:rFonts w:ascii="Book Antiqua" w:hAnsi="Book Antiqua" w:hint="eastAsia"/>
                <w:bCs/>
                <w:kern w:val="0"/>
                <w:sz w:val="24"/>
                <w:szCs w:val="24"/>
              </w:rPr>
              <w:t xml:space="preserve"> </w:t>
            </w:r>
            <w:r w:rsidRPr="00D01B10">
              <w:rPr>
                <w:rFonts w:ascii="Book Antiqua" w:hAnsi="Book Antiqua"/>
                <w:bCs/>
                <w:kern w:val="0"/>
                <w:sz w:val="24"/>
                <w:szCs w:val="24"/>
              </w:rPr>
              <w:t>3</w:t>
            </w:r>
            <w:r w:rsidRPr="00D01B10">
              <w:rPr>
                <w:rFonts w:ascii="Book Antiqua" w:hAnsi="Book Antiqua"/>
                <w:bCs/>
                <w:sz w:val="24"/>
                <w:szCs w:val="24"/>
              </w:rPr>
              <w:t>9.53</w:t>
            </w:r>
          </w:p>
        </w:tc>
        <w:tc>
          <w:tcPr>
            <w:tcW w:w="2102" w:type="dxa"/>
            <w:vAlign w:val="center"/>
          </w:tcPr>
          <w:p w:rsidR="00377117" w:rsidRPr="00D01B10" w:rsidRDefault="00377117" w:rsidP="00D01B10">
            <w:pPr>
              <w:adjustRightInd w:val="0"/>
              <w:snapToGrid w:val="0"/>
              <w:spacing w:line="360" w:lineRule="auto"/>
              <w:rPr>
                <w:rFonts w:ascii="Book Antiqua" w:hAnsi="Book Antiqua"/>
                <w:bCs/>
                <w:sz w:val="24"/>
                <w:szCs w:val="24"/>
              </w:rPr>
            </w:pPr>
            <w:r w:rsidRPr="00D01B10">
              <w:rPr>
                <w:rFonts w:ascii="Book Antiqua" w:hAnsi="Book Antiqua"/>
                <w:bCs/>
                <w:sz w:val="24"/>
                <w:szCs w:val="24"/>
              </w:rPr>
              <w:t>35.98</w:t>
            </w:r>
            <w:r w:rsidR="004E14E4">
              <w:rPr>
                <w:rFonts w:ascii="Book Antiqua" w:hAnsi="Book Antiqua" w:hint="eastAsia"/>
                <w:bCs/>
                <w:sz w:val="24"/>
                <w:szCs w:val="24"/>
              </w:rPr>
              <w:t xml:space="preserve"> </w:t>
            </w:r>
            <w:r w:rsidRPr="00D01B10">
              <w:rPr>
                <w:rFonts w:ascii="Book Antiqua" w:hAnsi="Book Antiqua"/>
                <w:bCs/>
                <w:kern w:val="0"/>
                <w:sz w:val="24"/>
                <w:szCs w:val="24"/>
              </w:rPr>
              <w:t>±</w:t>
            </w:r>
            <w:r w:rsidR="004E14E4">
              <w:rPr>
                <w:rFonts w:ascii="Book Antiqua" w:hAnsi="Book Antiqua" w:hint="eastAsia"/>
                <w:bCs/>
                <w:kern w:val="0"/>
                <w:sz w:val="24"/>
                <w:szCs w:val="24"/>
              </w:rPr>
              <w:t xml:space="preserve"> </w:t>
            </w:r>
            <w:r w:rsidRPr="00D01B10">
              <w:rPr>
                <w:rFonts w:ascii="Book Antiqua" w:hAnsi="Book Antiqua"/>
                <w:bCs/>
                <w:sz w:val="24"/>
                <w:szCs w:val="24"/>
              </w:rPr>
              <w:t>8.19</w:t>
            </w:r>
          </w:p>
        </w:tc>
        <w:tc>
          <w:tcPr>
            <w:tcW w:w="1236" w:type="dxa"/>
            <w:vAlign w:val="center"/>
          </w:tcPr>
          <w:p w:rsidR="00377117" w:rsidRPr="00D01B10" w:rsidRDefault="00377117" w:rsidP="00D01B10">
            <w:pPr>
              <w:adjustRightInd w:val="0"/>
              <w:snapToGrid w:val="0"/>
              <w:spacing w:line="360" w:lineRule="auto"/>
              <w:rPr>
                <w:rFonts w:ascii="Book Antiqua" w:hAnsi="Book Antiqua"/>
                <w:bCs/>
                <w:sz w:val="24"/>
                <w:szCs w:val="24"/>
              </w:rPr>
            </w:pPr>
            <w:r w:rsidRPr="00D01B10">
              <w:rPr>
                <w:rFonts w:ascii="Book Antiqua" w:hAnsi="Book Antiqua"/>
                <w:bCs/>
                <w:sz w:val="24"/>
                <w:szCs w:val="24"/>
              </w:rPr>
              <w:t>35.721</w:t>
            </w:r>
          </w:p>
        </w:tc>
        <w:tc>
          <w:tcPr>
            <w:tcW w:w="982" w:type="dxa"/>
            <w:vAlign w:val="center"/>
          </w:tcPr>
          <w:p w:rsidR="00377117" w:rsidRPr="00D01B10" w:rsidRDefault="00377117" w:rsidP="00D01B10">
            <w:pPr>
              <w:adjustRightInd w:val="0"/>
              <w:snapToGrid w:val="0"/>
              <w:spacing w:line="360" w:lineRule="auto"/>
              <w:rPr>
                <w:rFonts w:ascii="Book Antiqua" w:hAnsi="Book Antiqua"/>
                <w:bCs/>
                <w:sz w:val="24"/>
                <w:szCs w:val="24"/>
              </w:rPr>
            </w:pPr>
            <w:r w:rsidRPr="00D01B10">
              <w:rPr>
                <w:rFonts w:ascii="Book Antiqua" w:hAnsi="Book Antiqua"/>
                <w:bCs/>
                <w:sz w:val="24"/>
                <w:szCs w:val="24"/>
              </w:rPr>
              <w:t>0.000</w:t>
            </w:r>
          </w:p>
        </w:tc>
      </w:tr>
      <w:tr w:rsidR="00377117" w:rsidRPr="00D01B10" w:rsidTr="005F2FA2">
        <w:trPr>
          <w:trHeight w:val="352"/>
        </w:trPr>
        <w:tc>
          <w:tcPr>
            <w:tcW w:w="1754" w:type="dxa"/>
          </w:tcPr>
          <w:p w:rsidR="00377117" w:rsidRPr="00D01B10" w:rsidRDefault="00377117" w:rsidP="00D01B10">
            <w:pPr>
              <w:adjustRightInd w:val="0"/>
              <w:snapToGrid w:val="0"/>
              <w:spacing w:line="360" w:lineRule="auto"/>
              <w:rPr>
                <w:rFonts w:ascii="Book Antiqua" w:hAnsi="Book Antiqua"/>
                <w:bCs/>
                <w:sz w:val="24"/>
                <w:szCs w:val="24"/>
              </w:rPr>
            </w:pPr>
            <w:r w:rsidRPr="00D01B10">
              <w:rPr>
                <w:rFonts w:ascii="Book Antiqua" w:hAnsi="Book Antiqua"/>
                <w:bCs/>
                <w:sz w:val="24"/>
                <w:szCs w:val="24"/>
              </w:rPr>
              <w:t>ALP</w:t>
            </w:r>
            <w:r w:rsidR="006B4B29">
              <w:rPr>
                <w:rFonts w:ascii="Book Antiqua" w:hAnsi="Book Antiqua"/>
                <w:bCs/>
                <w:sz w:val="24"/>
                <w:szCs w:val="24"/>
              </w:rPr>
              <w:t xml:space="preserve">, </w:t>
            </w:r>
            <w:r w:rsidRPr="00D01B10">
              <w:rPr>
                <w:rFonts w:ascii="Book Antiqua" w:hAnsi="Book Antiqua"/>
                <w:bCs/>
                <w:sz w:val="24"/>
                <w:szCs w:val="24"/>
              </w:rPr>
              <w:t>U/L</w:t>
            </w:r>
          </w:p>
        </w:tc>
        <w:tc>
          <w:tcPr>
            <w:tcW w:w="2366" w:type="dxa"/>
            <w:vAlign w:val="center"/>
          </w:tcPr>
          <w:p w:rsidR="00377117" w:rsidRPr="00D01B10" w:rsidRDefault="00377117" w:rsidP="00D01B10">
            <w:pPr>
              <w:adjustRightInd w:val="0"/>
              <w:snapToGrid w:val="0"/>
              <w:spacing w:line="360" w:lineRule="auto"/>
              <w:rPr>
                <w:rFonts w:ascii="Book Antiqua" w:hAnsi="Book Antiqua"/>
                <w:bCs/>
                <w:sz w:val="24"/>
                <w:szCs w:val="24"/>
              </w:rPr>
            </w:pPr>
            <w:r w:rsidRPr="00D01B10">
              <w:rPr>
                <w:rFonts w:ascii="Book Antiqua" w:hAnsi="Book Antiqua"/>
                <w:bCs/>
                <w:sz w:val="24"/>
                <w:szCs w:val="24"/>
              </w:rPr>
              <w:t>171.51</w:t>
            </w:r>
            <w:r w:rsidR="004E14E4">
              <w:rPr>
                <w:rFonts w:ascii="Book Antiqua" w:hAnsi="Book Antiqua" w:hint="eastAsia"/>
                <w:bCs/>
                <w:sz w:val="24"/>
                <w:szCs w:val="24"/>
              </w:rPr>
              <w:t xml:space="preserve"> </w:t>
            </w:r>
            <w:r w:rsidRPr="00D01B10">
              <w:rPr>
                <w:rFonts w:ascii="Book Antiqua" w:hAnsi="Book Antiqua"/>
                <w:bCs/>
                <w:kern w:val="0"/>
                <w:sz w:val="24"/>
                <w:szCs w:val="24"/>
              </w:rPr>
              <w:t>±</w:t>
            </w:r>
            <w:r w:rsidR="004E14E4">
              <w:rPr>
                <w:rFonts w:ascii="Book Antiqua" w:hAnsi="Book Antiqua" w:hint="eastAsia"/>
                <w:bCs/>
                <w:kern w:val="0"/>
                <w:sz w:val="24"/>
                <w:szCs w:val="24"/>
              </w:rPr>
              <w:t xml:space="preserve"> </w:t>
            </w:r>
            <w:r w:rsidRPr="00D01B10">
              <w:rPr>
                <w:rFonts w:ascii="Book Antiqua" w:hAnsi="Book Antiqua"/>
                <w:bCs/>
                <w:kern w:val="0"/>
                <w:sz w:val="24"/>
                <w:szCs w:val="24"/>
              </w:rPr>
              <w:t>4</w:t>
            </w:r>
            <w:r w:rsidRPr="00D01B10">
              <w:rPr>
                <w:rFonts w:ascii="Book Antiqua" w:hAnsi="Book Antiqua"/>
                <w:bCs/>
                <w:sz w:val="24"/>
                <w:szCs w:val="24"/>
              </w:rPr>
              <w:t>1.74</w:t>
            </w:r>
          </w:p>
        </w:tc>
        <w:tc>
          <w:tcPr>
            <w:tcW w:w="2102" w:type="dxa"/>
            <w:vAlign w:val="center"/>
          </w:tcPr>
          <w:p w:rsidR="00377117" w:rsidRPr="00D01B10" w:rsidRDefault="00377117" w:rsidP="00D01B10">
            <w:pPr>
              <w:adjustRightInd w:val="0"/>
              <w:snapToGrid w:val="0"/>
              <w:spacing w:line="360" w:lineRule="auto"/>
              <w:rPr>
                <w:rFonts w:ascii="Book Antiqua" w:hAnsi="Book Antiqua"/>
                <w:bCs/>
                <w:sz w:val="24"/>
                <w:szCs w:val="24"/>
              </w:rPr>
            </w:pPr>
            <w:r w:rsidRPr="00D01B10">
              <w:rPr>
                <w:rFonts w:ascii="Book Antiqua" w:hAnsi="Book Antiqua"/>
                <w:bCs/>
                <w:sz w:val="24"/>
                <w:szCs w:val="24"/>
              </w:rPr>
              <w:t>139.49</w:t>
            </w:r>
            <w:r w:rsidR="004E14E4">
              <w:rPr>
                <w:rFonts w:ascii="Book Antiqua" w:hAnsi="Book Antiqua" w:hint="eastAsia"/>
                <w:bCs/>
                <w:sz w:val="24"/>
                <w:szCs w:val="24"/>
              </w:rPr>
              <w:t xml:space="preserve"> </w:t>
            </w:r>
            <w:r w:rsidRPr="00D01B10">
              <w:rPr>
                <w:rFonts w:ascii="Book Antiqua" w:hAnsi="Book Antiqua"/>
                <w:bCs/>
                <w:kern w:val="0"/>
                <w:sz w:val="24"/>
                <w:szCs w:val="24"/>
              </w:rPr>
              <w:t>±</w:t>
            </w:r>
            <w:r w:rsidR="004E14E4">
              <w:rPr>
                <w:rFonts w:ascii="Book Antiqua" w:hAnsi="Book Antiqua" w:hint="eastAsia"/>
                <w:bCs/>
                <w:kern w:val="0"/>
                <w:sz w:val="24"/>
                <w:szCs w:val="24"/>
              </w:rPr>
              <w:t xml:space="preserve"> </w:t>
            </w:r>
            <w:r w:rsidRPr="00D01B10">
              <w:rPr>
                <w:rFonts w:ascii="Book Antiqua" w:hAnsi="Book Antiqua"/>
                <w:bCs/>
                <w:sz w:val="24"/>
                <w:szCs w:val="24"/>
              </w:rPr>
              <w:t>36.64</w:t>
            </w:r>
          </w:p>
        </w:tc>
        <w:tc>
          <w:tcPr>
            <w:tcW w:w="1236" w:type="dxa"/>
            <w:vAlign w:val="center"/>
          </w:tcPr>
          <w:p w:rsidR="00377117" w:rsidRPr="00D01B10" w:rsidRDefault="00377117" w:rsidP="00D01B10">
            <w:pPr>
              <w:adjustRightInd w:val="0"/>
              <w:snapToGrid w:val="0"/>
              <w:spacing w:line="360" w:lineRule="auto"/>
              <w:rPr>
                <w:rFonts w:ascii="Book Antiqua" w:hAnsi="Book Antiqua"/>
                <w:bCs/>
                <w:sz w:val="24"/>
                <w:szCs w:val="24"/>
              </w:rPr>
            </w:pPr>
            <w:r w:rsidRPr="00D01B10">
              <w:rPr>
                <w:rFonts w:ascii="Book Antiqua" w:hAnsi="Book Antiqua"/>
                <w:bCs/>
                <w:sz w:val="24"/>
                <w:szCs w:val="24"/>
              </w:rPr>
              <w:t>7.317</w:t>
            </w:r>
          </w:p>
        </w:tc>
        <w:tc>
          <w:tcPr>
            <w:tcW w:w="982" w:type="dxa"/>
            <w:vAlign w:val="center"/>
          </w:tcPr>
          <w:p w:rsidR="00377117" w:rsidRPr="00D01B10" w:rsidRDefault="00377117" w:rsidP="00D01B10">
            <w:pPr>
              <w:adjustRightInd w:val="0"/>
              <w:snapToGrid w:val="0"/>
              <w:spacing w:line="360" w:lineRule="auto"/>
              <w:rPr>
                <w:rFonts w:ascii="Book Antiqua" w:hAnsi="Book Antiqua"/>
                <w:bCs/>
                <w:sz w:val="24"/>
                <w:szCs w:val="24"/>
              </w:rPr>
            </w:pPr>
            <w:r w:rsidRPr="00D01B10">
              <w:rPr>
                <w:rFonts w:ascii="Book Antiqua" w:hAnsi="Book Antiqua"/>
                <w:bCs/>
                <w:sz w:val="24"/>
                <w:szCs w:val="24"/>
              </w:rPr>
              <w:t>0.000</w:t>
            </w:r>
          </w:p>
        </w:tc>
      </w:tr>
    </w:tbl>
    <w:p w:rsidR="005F2FA2" w:rsidRPr="005F2FA2" w:rsidRDefault="005F2FA2" w:rsidP="005F2FA2">
      <w:pPr>
        <w:spacing w:line="360" w:lineRule="auto"/>
        <w:rPr>
          <w:rFonts w:ascii="Book Antiqua" w:hAnsi="Book Antiqua" w:hint="eastAsia"/>
          <w:bCs/>
          <w:sz w:val="24"/>
          <w:szCs w:val="24"/>
        </w:rPr>
      </w:pPr>
      <w:r w:rsidRPr="005F2FA2">
        <w:rPr>
          <w:rFonts w:ascii="Book Antiqua" w:hAnsi="Book Antiqua" w:hint="eastAsia"/>
          <w:bCs/>
          <w:sz w:val="24"/>
          <w:szCs w:val="24"/>
        </w:rPr>
        <w:t xml:space="preserve">ALT: </w:t>
      </w:r>
      <w:r w:rsidRPr="00D01B10">
        <w:rPr>
          <w:rFonts w:ascii="Book Antiqua" w:hAnsi="Book Antiqua"/>
          <w:sz w:val="24"/>
          <w:szCs w:val="24"/>
          <w:shd w:val="clear" w:color="auto" w:fill="FFFFFF"/>
        </w:rPr>
        <w:t>Alanine amino</w:t>
      </w:r>
      <w:r w:rsidRPr="00D01B10">
        <w:rPr>
          <w:rStyle w:val="a6"/>
          <w:rFonts w:ascii="Book Antiqua" w:hAnsi="Book Antiqua"/>
          <w:i w:val="0"/>
          <w:iCs w:val="0"/>
          <w:sz w:val="24"/>
          <w:szCs w:val="24"/>
          <w:shd w:val="clear" w:color="auto" w:fill="FFFFFF"/>
        </w:rPr>
        <w:t>transferase</w:t>
      </w:r>
      <w:r>
        <w:rPr>
          <w:rStyle w:val="a6"/>
          <w:rFonts w:ascii="Book Antiqua" w:hAnsi="Book Antiqua" w:hint="eastAsia"/>
          <w:i w:val="0"/>
          <w:iCs w:val="0"/>
          <w:sz w:val="24"/>
          <w:szCs w:val="24"/>
          <w:shd w:val="clear" w:color="auto" w:fill="FFFFFF"/>
        </w:rPr>
        <w:t>;</w:t>
      </w:r>
      <w:r w:rsidRPr="005F2FA2">
        <w:rPr>
          <w:rFonts w:ascii="Book Antiqua" w:hAnsi="Book Antiqua" w:hint="eastAsia"/>
          <w:bCs/>
          <w:sz w:val="24"/>
          <w:szCs w:val="24"/>
        </w:rPr>
        <w:t xml:space="preserve"> AST: </w:t>
      </w:r>
      <w:r w:rsidRPr="00D01B10">
        <w:rPr>
          <w:rFonts w:ascii="Book Antiqua" w:hAnsi="Book Antiqua"/>
          <w:sz w:val="24"/>
          <w:szCs w:val="24"/>
          <w:shd w:val="clear" w:color="auto" w:fill="FFFFFF"/>
        </w:rPr>
        <w:t>Aspartate aminotransferase</w:t>
      </w:r>
      <w:r>
        <w:rPr>
          <w:rFonts w:ascii="Book Antiqua" w:hAnsi="Book Antiqua" w:hint="eastAsia"/>
          <w:sz w:val="24"/>
          <w:szCs w:val="24"/>
          <w:shd w:val="clear" w:color="auto" w:fill="FFFFFF"/>
        </w:rPr>
        <w:t>;</w:t>
      </w:r>
      <w:r w:rsidRPr="005F2FA2">
        <w:rPr>
          <w:rFonts w:ascii="Book Antiqua" w:hAnsi="Book Antiqua" w:hint="eastAsia"/>
          <w:bCs/>
          <w:sz w:val="24"/>
          <w:szCs w:val="24"/>
        </w:rPr>
        <w:t xml:space="preserve"> TBIL: </w:t>
      </w:r>
      <w:r w:rsidRPr="00D01B10">
        <w:rPr>
          <w:rFonts w:ascii="Book Antiqua" w:hAnsi="Book Antiqua"/>
          <w:sz w:val="24"/>
          <w:szCs w:val="24"/>
          <w:shd w:val="clear" w:color="auto" w:fill="FFFFFF"/>
        </w:rPr>
        <w:t>Total bilirubin</w:t>
      </w:r>
      <w:r>
        <w:rPr>
          <w:rFonts w:ascii="Book Antiqua" w:hAnsi="Book Antiqua" w:hint="eastAsia"/>
          <w:sz w:val="24"/>
          <w:szCs w:val="24"/>
          <w:shd w:val="clear" w:color="auto" w:fill="FFFFFF"/>
        </w:rPr>
        <w:t>;</w:t>
      </w:r>
      <w:r w:rsidRPr="005F2FA2">
        <w:rPr>
          <w:rFonts w:ascii="Book Antiqua" w:hAnsi="Book Antiqua" w:hint="eastAsia"/>
          <w:bCs/>
          <w:sz w:val="24"/>
          <w:szCs w:val="24"/>
        </w:rPr>
        <w:t xml:space="preserve"> DBIL:</w:t>
      </w:r>
      <w:r w:rsidRPr="005F2FA2">
        <w:rPr>
          <w:rFonts w:ascii="Book Antiqua" w:hAnsi="Book Antiqua"/>
          <w:sz w:val="24"/>
          <w:szCs w:val="24"/>
          <w:shd w:val="clear" w:color="auto" w:fill="FFFFFF"/>
        </w:rPr>
        <w:t xml:space="preserve"> </w:t>
      </w:r>
      <w:r w:rsidRPr="00D01B10">
        <w:rPr>
          <w:rFonts w:ascii="Book Antiqua" w:hAnsi="Book Antiqua"/>
          <w:sz w:val="24"/>
          <w:szCs w:val="24"/>
          <w:shd w:val="clear" w:color="auto" w:fill="FFFFFF"/>
        </w:rPr>
        <w:t>Direct bilirubin</w:t>
      </w:r>
      <w:r>
        <w:rPr>
          <w:rFonts w:ascii="Book Antiqua" w:hAnsi="Book Antiqua" w:hint="eastAsia"/>
          <w:sz w:val="24"/>
          <w:szCs w:val="24"/>
          <w:shd w:val="clear" w:color="auto" w:fill="FFFFFF"/>
        </w:rPr>
        <w:t>;</w:t>
      </w:r>
      <w:r w:rsidRPr="005F2FA2">
        <w:rPr>
          <w:rFonts w:ascii="Book Antiqua" w:hAnsi="Book Antiqua" w:hint="eastAsia"/>
          <w:bCs/>
          <w:sz w:val="24"/>
          <w:szCs w:val="24"/>
        </w:rPr>
        <w:t xml:space="preserve"> GGT: </w:t>
      </w:r>
      <w:r w:rsidRPr="00D01B10">
        <w:rPr>
          <w:rFonts w:ascii="Book Antiqua" w:hAnsi="Book Antiqua"/>
          <w:sz w:val="24"/>
          <w:szCs w:val="24"/>
        </w:rPr>
        <w:t>Gamma-glutamyltransferase</w:t>
      </w:r>
      <w:r>
        <w:rPr>
          <w:rFonts w:ascii="Book Antiqua" w:hAnsi="Book Antiqua" w:hint="eastAsia"/>
          <w:sz w:val="24"/>
          <w:szCs w:val="24"/>
        </w:rPr>
        <w:t>;</w:t>
      </w:r>
      <w:r w:rsidRPr="005F2FA2">
        <w:rPr>
          <w:rFonts w:ascii="Book Antiqua" w:hAnsi="Book Antiqua" w:hint="eastAsia"/>
          <w:bCs/>
          <w:sz w:val="24"/>
          <w:szCs w:val="24"/>
        </w:rPr>
        <w:t xml:space="preserve"> ALP:</w:t>
      </w:r>
      <w:r w:rsidRPr="005F2FA2">
        <w:rPr>
          <w:rFonts w:ascii="Book Antiqua" w:hAnsi="Book Antiqua"/>
          <w:sz w:val="24"/>
          <w:szCs w:val="24"/>
          <w:shd w:val="clear" w:color="auto" w:fill="FFFFFF"/>
        </w:rPr>
        <w:t xml:space="preserve"> </w:t>
      </w:r>
      <w:r w:rsidRPr="00D01B10">
        <w:rPr>
          <w:rFonts w:ascii="Book Antiqua" w:hAnsi="Book Antiqua"/>
          <w:sz w:val="24"/>
          <w:szCs w:val="24"/>
          <w:shd w:val="clear" w:color="auto" w:fill="FFFFFF"/>
        </w:rPr>
        <w:t>Alkaline phosphatase</w:t>
      </w:r>
      <w:r>
        <w:rPr>
          <w:rFonts w:ascii="Book Antiqua" w:hAnsi="Book Antiqua" w:hint="eastAsia"/>
          <w:sz w:val="24"/>
          <w:szCs w:val="24"/>
          <w:shd w:val="clear" w:color="auto" w:fill="FFFFFF"/>
        </w:rPr>
        <w:t>.</w:t>
      </w:r>
    </w:p>
    <w:p w:rsidR="005F2FA2" w:rsidRPr="005F2FA2" w:rsidRDefault="005F2FA2" w:rsidP="00D01B10">
      <w:pPr>
        <w:spacing w:line="360" w:lineRule="auto"/>
        <w:rPr>
          <w:rFonts w:ascii="Book Antiqua" w:hAnsi="Book Antiqua" w:hint="eastAsia"/>
          <w:vanish/>
          <w:sz w:val="24"/>
          <w:szCs w:val="24"/>
        </w:rPr>
      </w:pPr>
    </w:p>
    <w:p w:rsidR="00377117" w:rsidRPr="004F461C" w:rsidRDefault="00D01B10" w:rsidP="00D01B10">
      <w:pPr>
        <w:spacing w:line="360" w:lineRule="auto"/>
        <w:rPr>
          <w:rFonts w:ascii="Book Antiqua" w:hAnsi="Book Antiqua"/>
          <w:b/>
          <w:bCs/>
          <w:sz w:val="24"/>
          <w:szCs w:val="24"/>
        </w:rPr>
      </w:pPr>
      <w:r w:rsidRPr="00D01B10">
        <w:rPr>
          <w:rFonts w:ascii="Book Antiqua" w:hAnsi="Book Antiqua"/>
          <w:b/>
          <w:bCs/>
          <w:sz w:val="24"/>
          <w:szCs w:val="24"/>
        </w:rPr>
        <w:br w:type="page"/>
      </w:r>
      <w:r w:rsidR="00377117" w:rsidRPr="004F461C">
        <w:rPr>
          <w:rFonts w:ascii="Book Antiqua" w:hAnsi="Book Antiqua"/>
          <w:b/>
          <w:bCs/>
          <w:sz w:val="24"/>
          <w:szCs w:val="24"/>
        </w:rPr>
        <w:lastRenderedPageBreak/>
        <w:t xml:space="preserve">Table 3 Analysis of </w:t>
      </w:r>
      <w:r w:rsidR="004F461C" w:rsidRPr="004F461C">
        <w:rPr>
          <w:rFonts w:ascii="Book Antiqua" w:hAnsi="Book Antiqua"/>
          <w:b/>
          <w:sz w:val="24"/>
          <w:szCs w:val="24"/>
        </w:rPr>
        <w:t>receiver operating characteristic</w:t>
      </w:r>
      <w:r w:rsidR="004F461C" w:rsidRPr="004F461C">
        <w:rPr>
          <w:rFonts w:ascii="Book Antiqua" w:hAnsi="Book Antiqua"/>
          <w:b/>
          <w:bCs/>
          <w:sz w:val="24"/>
          <w:szCs w:val="24"/>
        </w:rPr>
        <w:t xml:space="preserve"> </w:t>
      </w:r>
      <w:r w:rsidR="00377117" w:rsidRPr="004F461C">
        <w:rPr>
          <w:rFonts w:ascii="Book Antiqua" w:hAnsi="Book Antiqua"/>
          <w:b/>
          <w:bCs/>
          <w:sz w:val="24"/>
          <w:szCs w:val="24"/>
        </w:rPr>
        <w:t>curve</w:t>
      </w:r>
    </w:p>
    <w:tbl>
      <w:tblPr>
        <w:tblpPr w:leftFromText="180" w:rightFromText="180" w:vertAnchor="text" w:horzAnchor="page" w:tblpX="1879" w:tblpY="397"/>
        <w:tblOverlap w:val="never"/>
        <w:tblW w:w="0" w:type="auto"/>
        <w:tblInd w:w="0" w:type="dxa"/>
        <w:tblBorders>
          <w:top w:val="single" w:sz="12" w:space="0" w:color="auto"/>
          <w:bottom w:val="single" w:sz="12" w:space="0" w:color="auto"/>
        </w:tblBorders>
        <w:tblLayout w:type="fixed"/>
        <w:tblLook w:val="0000" w:firstRow="0" w:lastRow="0" w:firstColumn="0" w:lastColumn="0" w:noHBand="0" w:noVBand="0"/>
      </w:tblPr>
      <w:tblGrid>
        <w:gridCol w:w="1165"/>
        <w:gridCol w:w="725"/>
        <w:gridCol w:w="812"/>
        <w:gridCol w:w="1038"/>
        <w:gridCol w:w="1656"/>
        <w:gridCol w:w="807"/>
        <w:gridCol w:w="1124"/>
        <w:gridCol w:w="1153"/>
      </w:tblGrid>
      <w:tr w:rsidR="00377117" w:rsidRPr="00D01B10" w:rsidTr="00BA1ECC">
        <w:trPr>
          <w:trHeight w:val="973"/>
        </w:trPr>
        <w:tc>
          <w:tcPr>
            <w:tcW w:w="1165" w:type="dxa"/>
            <w:tcBorders>
              <w:bottom w:val="single" w:sz="6" w:space="0" w:color="auto"/>
            </w:tcBorders>
            <w:vAlign w:val="center"/>
          </w:tcPr>
          <w:p w:rsidR="00377117" w:rsidRPr="007C3DD9" w:rsidRDefault="00377117" w:rsidP="00D01B10">
            <w:pPr>
              <w:spacing w:line="360" w:lineRule="auto"/>
              <w:rPr>
                <w:rFonts w:ascii="Book Antiqua" w:hAnsi="Book Antiqua"/>
                <w:b/>
                <w:bCs/>
                <w:sz w:val="24"/>
                <w:szCs w:val="24"/>
              </w:rPr>
            </w:pPr>
            <w:r w:rsidRPr="007C3DD9">
              <w:rPr>
                <w:rFonts w:ascii="Book Antiqua" w:eastAsia="Albertus-Bold" w:hAnsi="Book Antiqua"/>
                <w:b/>
                <w:sz w:val="24"/>
                <w:szCs w:val="24"/>
              </w:rPr>
              <w:t>Variable</w:t>
            </w:r>
          </w:p>
        </w:tc>
        <w:tc>
          <w:tcPr>
            <w:tcW w:w="725" w:type="dxa"/>
            <w:tcBorders>
              <w:bottom w:val="single" w:sz="6" w:space="0" w:color="auto"/>
            </w:tcBorders>
            <w:vAlign w:val="center"/>
          </w:tcPr>
          <w:p w:rsidR="00377117" w:rsidRPr="007C3DD9" w:rsidRDefault="00377117" w:rsidP="00D01B10">
            <w:pPr>
              <w:spacing w:line="360" w:lineRule="auto"/>
              <w:rPr>
                <w:rFonts w:ascii="Book Antiqua" w:hAnsi="Book Antiqua"/>
                <w:b/>
                <w:bCs/>
                <w:sz w:val="24"/>
                <w:szCs w:val="24"/>
              </w:rPr>
            </w:pPr>
            <w:r w:rsidRPr="007C3DD9">
              <w:rPr>
                <w:rFonts w:ascii="Book Antiqua" w:hAnsi="Book Antiqua"/>
                <w:b/>
                <w:sz w:val="24"/>
                <w:szCs w:val="24"/>
              </w:rPr>
              <w:t>Area</w:t>
            </w:r>
          </w:p>
        </w:tc>
        <w:tc>
          <w:tcPr>
            <w:tcW w:w="812" w:type="dxa"/>
            <w:tcBorders>
              <w:bottom w:val="single" w:sz="6" w:space="0" w:color="auto"/>
            </w:tcBorders>
            <w:vAlign w:val="center"/>
          </w:tcPr>
          <w:p w:rsidR="00377117" w:rsidRPr="007C3DD9" w:rsidRDefault="00377117" w:rsidP="00D01B10">
            <w:pPr>
              <w:spacing w:line="360" w:lineRule="auto"/>
              <w:rPr>
                <w:rFonts w:ascii="Book Antiqua" w:hAnsi="Book Antiqua"/>
                <w:b/>
                <w:bCs/>
                <w:sz w:val="24"/>
                <w:szCs w:val="24"/>
              </w:rPr>
            </w:pPr>
            <w:r w:rsidRPr="007C3DD9">
              <w:rPr>
                <w:rFonts w:ascii="Book Antiqua" w:hAnsi="Book Antiqua"/>
                <w:b/>
                <w:sz w:val="24"/>
                <w:szCs w:val="24"/>
              </w:rPr>
              <w:t>Std. Error</w:t>
            </w:r>
          </w:p>
        </w:tc>
        <w:tc>
          <w:tcPr>
            <w:tcW w:w="1038" w:type="dxa"/>
            <w:tcBorders>
              <w:bottom w:val="single" w:sz="6" w:space="0" w:color="auto"/>
            </w:tcBorders>
            <w:vAlign w:val="center"/>
          </w:tcPr>
          <w:p w:rsidR="00377117" w:rsidRPr="007C3DD9" w:rsidRDefault="00377117" w:rsidP="00D01B10">
            <w:pPr>
              <w:spacing w:line="360" w:lineRule="auto"/>
              <w:rPr>
                <w:rFonts w:ascii="Book Antiqua" w:hAnsi="Book Antiqua"/>
                <w:b/>
                <w:bCs/>
                <w:sz w:val="24"/>
                <w:szCs w:val="24"/>
              </w:rPr>
            </w:pPr>
            <w:r w:rsidRPr="007C3DD9">
              <w:rPr>
                <w:rFonts w:ascii="Book Antiqua" w:hAnsi="Book Antiqua"/>
                <w:b/>
                <w:sz w:val="24"/>
                <w:szCs w:val="24"/>
              </w:rPr>
              <w:t>Asymptotic Sig</w:t>
            </w:r>
          </w:p>
        </w:tc>
        <w:tc>
          <w:tcPr>
            <w:tcW w:w="1656" w:type="dxa"/>
            <w:tcBorders>
              <w:bottom w:val="single" w:sz="6" w:space="0" w:color="auto"/>
            </w:tcBorders>
            <w:vAlign w:val="center"/>
          </w:tcPr>
          <w:p w:rsidR="00377117" w:rsidRPr="007C3DD9" w:rsidRDefault="00377117" w:rsidP="00D01B10">
            <w:pPr>
              <w:spacing w:line="360" w:lineRule="auto"/>
              <w:rPr>
                <w:rFonts w:ascii="Book Antiqua" w:hAnsi="Book Antiqua"/>
                <w:b/>
                <w:bCs/>
                <w:sz w:val="24"/>
                <w:szCs w:val="24"/>
              </w:rPr>
            </w:pPr>
            <w:r w:rsidRPr="007C3DD9">
              <w:rPr>
                <w:rFonts w:ascii="Book Antiqua" w:hAnsi="Book Antiqua"/>
                <w:b/>
                <w:sz w:val="24"/>
                <w:szCs w:val="24"/>
              </w:rPr>
              <w:t>Asymptotic 95% Confidence Interval</w:t>
            </w:r>
          </w:p>
        </w:tc>
        <w:tc>
          <w:tcPr>
            <w:tcW w:w="807" w:type="dxa"/>
            <w:tcBorders>
              <w:bottom w:val="single" w:sz="6" w:space="0" w:color="auto"/>
            </w:tcBorders>
            <w:vAlign w:val="center"/>
          </w:tcPr>
          <w:p w:rsidR="00377117" w:rsidRPr="007C3DD9" w:rsidRDefault="00377117" w:rsidP="00D01B10">
            <w:pPr>
              <w:spacing w:line="360" w:lineRule="auto"/>
              <w:rPr>
                <w:rFonts w:ascii="Book Antiqua" w:hAnsi="Book Antiqua"/>
                <w:b/>
                <w:sz w:val="24"/>
                <w:szCs w:val="24"/>
              </w:rPr>
            </w:pPr>
            <w:r w:rsidRPr="007C3DD9">
              <w:rPr>
                <w:rFonts w:ascii="Book Antiqua" w:hAnsi="Book Antiqua"/>
                <w:b/>
                <w:bCs/>
                <w:sz w:val="24"/>
                <w:szCs w:val="24"/>
              </w:rPr>
              <w:t>Cutoff value</w:t>
            </w:r>
            <w:r w:rsidR="00D262B9">
              <w:rPr>
                <w:rFonts w:ascii="Book Antiqua" w:hAnsi="Book Antiqua"/>
                <w:b/>
                <w:bCs/>
                <w:sz w:val="24"/>
                <w:szCs w:val="24"/>
              </w:rPr>
              <w:t>,</w:t>
            </w:r>
            <w:r w:rsidRPr="007C3DD9">
              <w:rPr>
                <w:rFonts w:ascii="Book Antiqua" w:hAnsi="Book Antiqua"/>
                <w:b/>
                <w:bCs/>
                <w:sz w:val="24"/>
                <w:szCs w:val="24"/>
              </w:rPr>
              <w:t xml:space="preserve"> U/L</w:t>
            </w:r>
          </w:p>
        </w:tc>
        <w:tc>
          <w:tcPr>
            <w:tcW w:w="1124" w:type="dxa"/>
            <w:tcBorders>
              <w:bottom w:val="single" w:sz="6" w:space="0" w:color="auto"/>
            </w:tcBorders>
            <w:vAlign w:val="center"/>
          </w:tcPr>
          <w:p w:rsidR="00377117" w:rsidRPr="007C3DD9" w:rsidRDefault="00377117" w:rsidP="00D01B10">
            <w:pPr>
              <w:spacing w:line="360" w:lineRule="auto"/>
              <w:rPr>
                <w:rFonts w:ascii="Book Antiqua" w:hAnsi="Book Antiqua"/>
                <w:b/>
                <w:sz w:val="24"/>
                <w:szCs w:val="24"/>
              </w:rPr>
            </w:pPr>
            <w:r w:rsidRPr="007C3DD9">
              <w:rPr>
                <w:rFonts w:ascii="Book Antiqua" w:hAnsi="Book Antiqua"/>
                <w:b/>
                <w:bCs/>
                <w:sz w:val="24"/>
                <w:szCs w:val="24"/>
              </w:rPr>
              <w:t>Sensitivity</w:t>
            </w:r>
          </w:p>
        </w:tc>
        <w:tc>
          <w:tcPr>
            <w:tcW w:w="1153" w:type="dxa"/>
            <w:tcBorders>
              <w:bottom w:val="single" w:sz="6" w:space="0" w:color="auto"/>
            </w:tcBorders>
            <w:vAlign w:val="center"/>
          </w:tcPr>
          <w:p w:rsidR="00377117" w:rsidRPr="007C3DD9" w:rsidRDefault="00377117" w:rsidP="00D01B10">
            <w:pPr>
              <w:spacing w:line="360" w:lineRule="auto"/>
              <w:rPr>
                <w:rFonts w:ascii="Book Antiqua" w:hAnsi="Book Antiqua"/>
                <w:b/>
                <w:sz w:val="24"/>
                <w:szCs w:val="24"/>
              </w:rPr>
            </w:pPr>
            <w:r w:rsidRPr="007C3DD9">
              <w:rPr>
                <w:rFonts w:ascii="Book Antiqua" w:hAnsi="Book Antiqua"/>
                <w:b/>
                <w:bCs/>
                <w:sz w:val="24"/>
                <w:szCs w:val="24"/>
              </w:rPr>
              <w:t>Specificity</w:t>
            </w:r>
          </w:p>
        </w:tc>
      </w:tr>
      <w:tr w:rsidR="00377117" w:rsidRPr="00D01B10" w:rsidTr="00BA1ECC">
        <w:trPr>
          <w:trHeight w:val="339"/>
        </w:trPr>
        <w:tc>
          <w:tcPr>
            <w:tcW w:w="1165" w:type="dxa"/>
            <w:tcBorders>
              <w:top w:val="single" w:sz="6" w:space="0" w:color="auto"/>
            </w:tcBorders>
          </w:tcPr>
          <w:p w:rsidR="00377117" w:rsidRPr="00D01B10" w:rsidRDefault="00377117" w:rsidP="00D01B10">
            <w:pPr>
              <w:spacing w:line="360" w:lineRule="auto"/>
              <w:rPr>
                <w:rFonts w:ascii="Book Antiqua" w:hAnsi="Book Antiqua"/>
                <w:bCs/>
                <w:sz w:val="24"/>
                <w:szCs w:val="24"/>
              </w:rPr>
            </w:pPr>
            <w:r w:rsidRPr="00D01B10">
              <w:rPr>
                <w:rFonts w:ascii="Book Antiqua" w:hAnsi="Book Antiqua"/>
                <w:bCs/>
                <w:sz w:val="24"/>
                <w:szCs w:val="24"/>
              </w:rPr>
              <w:t>GGT</w:t>
            </w:r>
          </w:p>
        </w:tc>
        <w:tc>
          <w:tcPr>
            <w:tcW w:w="725" w:type="dxa"/>
            <w:tcBorders>
              <w:top w:val="single" w:sz="6" w:space="0" w:color="auto"/>
            </w:tcBorders>
            <w:vAlign w:val="center"/>
          </w:tcPr>
          <w:p w:rsidR="00377117" w:rsidRPr="00D01B10" w:rsidRDefault="00377117" w:rsidP="00D01B10">
            <w:pPr>
              <w:spacing w:line="360" w:lineRule="auto"/>
              <w:rPr>
                <w:rFonts w:ascii="Book Antiqua" w:hAnsi="Book Antiqua"/>
                <w:bCs/>
                <w:sz w:val="24"/>
                <w:szCs w:val="24"/>
              </w:rPr>
            </w:pPr>
            <w:r w:rsidRPr="00D01B10">
              <w:rPr>
                <w:rFonts w:ascii="Book Antiqua" w:hAnsi="Book Antiqua"/>
                <w:bCs/>
                <w:sz w:val="24"/>
                <w:szCs w:val="24"/>
              </w:rPr>
              <w:t>0.881</w:t>
            </w:r>
          </w:p>
        </w:tc>
        <w:tc>
          <w:tcPr>
            <w:tcW w:w="812" w:type="dxa"/>
            <w:tcBorders>
              <w:top w:val="single" w:sz="6" w:space="0" w:color="auto"/>
            </w:tcBorders>
            <w:vAlign w:val="center"/>
          </w:tcPr>
          <w:p w:rsidR="00377117" w:rsidRPr="00D01B10" w:rsidRDefault="00377117" w:rsidP="00D01B10">
            <w:pPr>
              <w:spacing w:line="360" w:lineRule="auto"/>
              <w:rPr>
                <w:rFonts w:ascii="Book Antiqua" w:hAnsi="Book Antiqua"/>
                <w:bCs/>
                <w:sz w:val="24"/>
                <w:szCs w:val="24"/>
              </w:rPr>
            </w:pPr>
            <w:r w:rsidRPr="00D01B10">
              <w:rPr>
                <w:rFonts w:ascii="Book Antiqua" w:hAnsi="Book Antiqua"/>
                <w:bCs/>
                <w:sz w:val="24"/>
                <w:szCs w:val="24"/>
              </w:rPr>
              <w:t>0.026</w:t>
            </w:r>
          </w:p>
        </w:tc>
        <w:tc>
          <w:tcPr>
            <w:tcW w:w="1038" w:type="dxa"/>
            <w:tcBorders>
              <w:top w:val="single" w:sz="6" w:space="0" w:color="auto"/>
            </w:tcBorders>
            <w:vAlign w:val="center"/>
          </w:tcPr>
          <w:p w:rsidR="00377117" w:rsidRPr="00D01B10" w:rsidRDefault="00377117" w:rsidP="00D01B10">
            <w:pPr>
              <w:spacing w:line="360" w:lineRule="auto"/>
              <w:rPr>
                <w:rFonts w:ascii="Book Antiqua" w:hAnsi="Book Antiqua"/>
                <w:bCs/>
                <w:sz w:val="24"/>
                <w:szCs w:val="24"/>
              </w:rPr>
            </w:pPr>
            <w:r w:rsidRPr="00D01B10">
              <w:rPr>
                <w:rFonts w:ascii="Book Antiqua" w:hAnsi="Book Antiqua"/>
                <w:bCs/>
                <w:sz w:val="24"/>
                <w:szCs w:val="24"/>
              </w:rPr>
              <w:t>0.000</w:t>
            </w:r>
          </w:p>
        </w:tc>
        <w:tc>
          <w:tcPr>
            <w:tcW w:w="1656" w:type="dxa"/>
            <w:tcBorders>
              <w:top w:val="single" w:sz="6" w:space="0" w:color="auto"/>
            </w:tcBorders>
            <w:vAlign w:val="center"/>
          </w:tcPr>
          <w:p w:rsidR="00377117" w:rsidRPr="00D01B10" w:rsidRDefault="00377117" w:rsidP="00D01B10">
            <w:pPr>
              <w:spacing w:line="360" w:lineRule="auto"/>
              <w:rPr>
                <w:rFonts w:ascii="Book Antiqua" w:hAnsi="Book Antiqua"/>
                <w:bCs/>
                <w:sz w:val="24"/>
                <w:szCs w:val="24"/>
              </w:rPr>
            </w:pPr>
            <w:r w:rsidRPr="00D01B10">
              <w:rPr>
                <w:rFonts w:ascii="Book Antiqua" w:hAnsi="Book Antiqua"/>
                <w:bCs/>
                <w:sz w:val="24"/>
                <w:szCs w:val="24"/>
              </w:rPr>
              <w:t>0.830-0.932</w:t>
            </w:r>
          </w:p>
        </w:tc>
        <w:tc>
          <w:tcPr>
            <w:tcW w:w="807" w:type="dxa"/>
            <w:tcBorders>
              <w:top w:val="single" w:sz="6" w:space="0" w:color="auto"/>
            </w:tcBorders>
            <w:vAlign w:val="center"/>
          </w:tcPr>
          <w:p w:rsidR="00377117" w:rsidRPr="00D01B10" w:rsidRDefault="00377117" w:rsidP="00D01B10">
            <w:pPr>
              <w:spacing w:line="360" w:lineRule="auto"/>
              <w:rPr>
                <w:rFonts w:ascii="Book Antiqua" w:hAnsi="Book Antiqua"/>
                <w:sz w:val="24"/>
                <w:szCs w:val="24"/>
              </w:rPr>
            </w:pPr>
            <w:r w:rsidRPr="00D01B10">
              <w:rPr>
                <w:rFonts w:ascii="Book Antiqua" w:hAnsi="Book Antiqua"/>
                <w:sz w:val="24"/>
                <w:szCs w:val="24"/>
              </w:rPr>
              <w:t xml:space="preserve">95.5 </w:t>
            </w:r>
          </w:p>
        </w:tc>
        <w:tc>
          <w:tcPr>
            <w:tcW w:w="1124" w:type="dxa"/>
            <w:tcBorders>
              <w:top w:val="single" w:sz="6" w:space="0" w:color="auto"/>
            </w:tcBorders>
            <w:vAlign w:val="center"/>
          </w:tcPr>
          <w:p w:rsidR="00377117" w:rsidRPr="00D01B10" w:rsidRDefault="00377117" w:rsidP="00D01B10">
            <w:pPr>
              <w:spacing w:line="360" w:lineRule="auto"/>
              <w:rPr>
                <w:rFonts w:ascii="Book Antiqua" w:hAnsi="Book Antiqua"/>
                <w:sz w:val="24"/>
                <w:szCs w:val="24"/>
              </w:rPr>
            </w:pPr>
            <w:r w:rsidRPr="00D01B10">
              <w:rPr>
                <w:rFonts w:ascii="Book Antiqua" w:hAnsi="Book Antiqua"/>
                <w:sz w:val="24"/>
                <w:szCs w:val="24"/>
              </w:rPr>
              <w:t>0.908</w:t>
            </w:r>
          </w:p>
        </w:tc>
        <w:tc>
          <w:tcPr>
            <w:tcW w:w="1153" w:type="dxa"/>
            <w:tcBorders>
              <w:top w:val="single" w:sz="6" w:space="0" w:color="auto"/>
            </w:tcBorders>
            <w:vAlign w:val="center"/>
          </w:tcPr>
          <w:p w:rsidR="00377117" w:rsidRPr="00D01B10" w:rsidRDefault="00377117" w:rsidP="00D01B10">
            <w:pPr>
              <w:spacing w:line="360" w:lineRule="auto"/>
              <w:rPr>
                <w:rFonts w:ascii="Book Antiqua" w:hAnsi="Book Antiqua"/>
                <w:sz w:val="24"/>
                <w:szCs w:val="24"/>
              </w:rPr>
            </w:pPr>
            <w:r w:rsidRPr="00D01B10">
              <w:rPr>
                <w:rFonts w:ascii="Book Antiqua" w:hAnsi="Book Antiqua"/>
                <w:sz w:val="24"/>
                <w:szCs w:val="24"/>
              </w:rPr>
              <w:t>0.836</w:t>
            </w:r>
          </w:p>
        </w:tc>
      </w:tr>
      <w:tr w:rsidR="00377117" w:rsidRPr="00D01B10" w:rsidTr="00BA1ECC">
        <w:trPr>
          <w:trHeight w:val="344"/>
        </w:trPr>
        <w:tc>
          <w:tcPr>
            <w:tcW w:w="1165" w:type="dxa"/>
          </w:tcPr>
          <w:p w:rsidR="00377117" w:rsidRPr="00D01B10" w:rsidRDefault="00377117" w:rsidP="00D01B10">
            <w:pPr>
              <w:spacing w:line="360" w:lineRule="auto"/>
              <w:rPr>
                <w:rFonts w:ascii="Book Antiqua" w:hAnsi="Book Antiqua"/>
                <w:bCs/>
                <w:sz w:val="24"/>
                <w:szCs w:val="24"/>
              </w:rPr>
            </w:pPr>
            <w:r w:rsidRPr="00D01B10">
              <w:rPr>
                <w:rFonts w:ascii="Book Antiqua" w:hAnsi="Book Antiqua"/>
                <w:bCs/>
                <w:sz w:val="24"/>
                <w:szCs w:val="24"/>
              </w:rPr>
              <w:t>ALP</w:t>
            </w:r>
          </w:p>
        </w:tc>
        <w:tc>
          <w:tcPr>
            <w:tcW w:w="725" w:type="dxa"/>
            <w:vAlign w:val="center"/>
          </w:tcPr>
          <w:p w:rsidR="00377117" w:rsidRPr="00D01B10" w:rsidRDefault="00377117" w:rsidP="00D01B10">
            <w:pPr>
              <w:spacing w:line="360" w:lineRule="auto"/>
              <w:rPr>
                <w:rFonts w:ascii="Book Antiqua" w:hAnsi="Book Antiqua"/>
                <w:bCs/>
                <w:sz w:val="24"/>
                <w:szCs w:val="24"/>
              </w:rPr>
            </w:pPr>
            <w:r w:rsidRPr="00D01B10">
              <w:rPr>
                <w:rFonts w:ascii="Book Antiqua" w:hAnsi="Book Antiqua"/>
                <w:bCs/>
                <w:sz w:val="24"/>
                <w:szCs w:val="24"/>
              </w:rPr>
              <w:t>0.647</w:t>
            </w:r>
          </w:p>
        </w:tc>
        <w:tc>
          <w:tcPr>
            <w:tcW w:w="812" w:type="dxa"/>
            <w:vAlign w:val="center"/>
          </w:tcPr>
          <w:p w:rsidR="00377117" w:rsidRPr="00D01B10" w:rsidRDefault="00377117" w:rsidP="00D01B10">
            <w:pPr>
              <w:spacing w:line="360" w:lineRule="auto"/>
              <w:rPr>
                <w:rFonts w:ascii="Book Antiqua" w:hAnsi="Book Antiqua"/>
                <w:bCs/>
                <w:sz w:val="24"/>
                <w:szCs w:val="24"/>
              </w:rPr>
            </w:pPr>
            <w:r w:rsidRPr="00D01B10">
              <w:rPr>
                <w:rFonts w:ascii="Book Antiqua" w:hAnsi="Book Antiqua"/>
                <w:bCs/>
                <w:sz w:val="24"/>
                <w:szCs w:val="24"/>
              </w:rPr>
              <w:t>0.033</w:t>
            </w:r>
          </w:p>
        </w:tc>
        <w:tc>
          <w:tcPr>
            <w:tcW w:w="1038" w:type="dxa"/>
            <w:vAlign w:val="center"/>
          </w:tcPr>
          <w:p w:rsidR="00377117" w:rsidRPr="00D01B10" w:rsidRDefault="00377117" w:rsidP="00D01B10">
            <w:pPr>
              <w:spacing w:line="360" w:lineRule="auto"/>
              <w:rPr>
                <w:rFonts w:ascii="Book Antiqua" w:hAnsi="Book Antiqua"/>
                <w:bCs/>
                <w:sz w:val="24"/>
                <w:szCs w:val="24"/>
              </w:rPr>
            </w:pPr>
            <w:r w:rsidRPr="00D01B10">
              <w:rPr>
                <w:rFonts w:ascii="Book Antiqua" w:hAnsi="Book Antiqua"/>
                <w:bCs/>
                <w:sz w:val="24"/>
                <w:szCs w:val="24"/>
              </w:rPr>
              <w:t>0.000</w:t>
            </w:r>
          </w:p>
        </w:tc>
        <w:tc>
          <w:tcPr>
            <w:tcW w:w="1656" w:type="dxa"/>
            <w:vAlign w:val="center"/>
          </w:tcPr>
          <w:p w:rsidR="00377117" w:rsidRPr="00D01B10" w:rsidRDefault="00377117" w:rsidP="00D01B10">
            <w:pPr>
              <w:spacing w:line="360" w:lineRule="auto"/>
              <w:rPr>
                <w:rFonts w:ascii="Book Antiqua" w:hAnsi="Book Antiqua"/>
                <w:bCs/>
                <w:sz w:val="24"/>
                <w:szCs w:val="24"/>
              </w:rPr>
            </w:pPr>
            <w:r w:rsidRPr="00D01B10">
              <w:rPr>
                <w:rFonts w:ascii="Book Antiqua" w:hAnsi="Book Antiqua"/>
                <w:bCs/>
                <w:sz w:val="24"/>
                <w:szCs w:val="24"/>
              </w:rPr>
              <w:t>0.583-0.711</w:t>
            </w:r>
          </w:p>
        </w:tc>
        <w:tc>
          <w:tcPr>
            <w:tcW w:w="807" w:type="dxa"/>
            <w:vAlign w:val="center"/>
          </w:tcPr>
          <w:p w:rsidR="00377117" w:rsidRPr="00D01B10" w:rsidRDefault="00377117" w:rsidP="00D01B10">
            <w:pPr>
              <w:spacing w:line="360" w:lineRule="auto"/>
              <w:rPr>
                <w:rFonts w:ascii="Book Antiqua" w:hAnsi="Book Antiqua"/>
                <w:sz w:val="24"/>
                <w:szCs w:val="24"/>
              </w:rPr>
            </w:pPr>
            <w:r w:rsidRPr="00D01B10">
              <w:rPr>
                <w:rFonts w:ascii="Book Antiqua" w:hAnsi="Book Antiqua"/>
                <w:sz w:val="24"/>
                <w:szCs w:val="24"/>
              </w:rPr>
              <w:t xml:space="preserve">151.5 </w:t>
            </w:r>
          </w:p>
        </w:tc>
        <w:tc>
          <w:tcPr>
            <w:tcW w:w="1124" w:type="dxa"/>
            <w:vAlign w:val="center"/>
          </w:tcPr>
          <w:p w:rsidR="00377117" w:rsidRPr="00D01B10" w:rsidRDefault="00377117" w:rsidP="00D01B10">
            <w:pPr>
              <w:spacing w:line="360" w:lineRule="auto"/>
              <w:rPr>
                <w:rFonts w:ascii="Book Antiqua" w:hAnsi="Book Antiqua"/>
                <w:sz w:val="24"/>
                <w:szCs w:val="24"/>
              </w:rPr>
            </w:pPr>
            <w:r w:rsidRPr="00D01B10">
              <w:rPr>
                <w:rFonts w:ascii="Book Antiqua" w:hAnsi="Book Antiqua"/>
                <w:sz w:val="24"/>
                <w:szCs w:val="24"/>
              </w:rPr>
              <w:t>0.651</w:t>
            </w:r>
          </w:p>
        </w:tc>
        <w:tc>
          <w:tcPr>
            <w:tcW w:w="1153" w:type="dxa"/>
            <w:vAlign w:val="center"/>
          </w:tcPr>
          <w:p w:rsidR="00377117" w:rsidRPr="00D01B10" w:rsidRDefault="00377117" w:rsidP="00D01B10">
            <w:pPr>
              <w:spacing w:line="360" w:lineRule="auto"/>
              <w:rPr>
                <w:rFonts w:ascii="Book Antiqua" w:hAnsi="Book Antiqua"/>
                <w:sz w:val="24"/>
                <w:szCs w:val="24"/>
              </w:rPr>
            </w:pPr>
            <w:r w:rsidRPr="00D01B10">
              <w:rPr>
                <w:rFonts w:ascii="Book Antiqua" w:hAnsi="Book Antiqua"/>
                <w:sz w:val="24"/>
                <w:szCs w:val="24"/>
              </w:rPr>
              <w:t>0.598</w:t>
            </w:r>
          </w:p>
        </w:tc>
      </w:tr>
      <w:tr w:rsidR="00377117" w:rsidRPr="00D01B10" w:rsidTr="00BA1ECC">
        <w:trPr>
          <w:trHeight w:val="344"/>
        </w:trPr>
        <w:tc>
          <w:tcPr>
            <w:tcW w:w="1165" w:type="dxa"/>
          </w:tcPr>
          <w:p w:rsidR="00377117" w:rsidRPr="00D01B10" w:rsidRDefault="00377117" w:rsidP="00D01B10">
            <w:pPr>
              <w:spacing w:line="360" w:lineRule="auto"/>
              <w:rPr>
                <w:rFonts w:ascii="Book Antiqua" w:hAnsi="Book Antiqua"/>
                <w:bCs/>
                <w:sz w:val="24"/>
                <w:szCs w:val="24"/>
              </w:rPr>
            </w:pPr>
            <w:r w:rsidRPr="00D01B10">
              <w:rPr>
                <w:rFonts w:ascii="Book Antiqua" w:hAnsi="Book Antiqua"/>
                <w:bCs/>
                <w:sz w:val="24"/>
                <w:szCs w:val="24"/>
              </w:rPr>
              <w:t>GGT</w:t>
            </w:r>
            <w:r w:rsidR="00D90463">
              <w:rPr>
                <w:rFonts w:ascii="Book Antiqua" w:hAnsi="Book Antiqua"/>
                <w:bCs/>
                <w:sz w:val="24"/>
                <w:szCs w:val="24"/>
              </w:rPr>
              <w:t xml:space="preserve"> </w:t>
            </w:r>
            <w:r w:rsidRPr="00D01B10">
              <w:rPr>
                <w:rFonts w:ascii="Book Antiqua" w:hAnsi="Book Antiqua"/>
                <w:bCs/>
                <w:sz w:val="24"/>
                <w:szCs w:val="24"/>
              </w:rPr>
              <w:t>+</w:t>
            </w:r>
            <w:r w:rsidR="00D90463">
              <w:rPr>
                <w:rFonts w:ascii="Book Antiqua" w:hAnsi="Book Antiqua"/>
                <w:bCs/>
                <w:sz w:val="24"/>
                <w:szCs w:val="24"/>
              </w:rPr>
              <w:t xml:space="preserve"> </w:t>
            </w:r>
            <w:r w:rsidRPr="00D01B10">
              <w:rPr>
                <w:rFonts w:ascii="Book Antiqua" w:hAnsi="Book Antiqua"/>
                <w:bCs/>
                <w:sz w:val="24"/>
                <w:szCs w:val="24"/>
              </w:rPr>
              <w:t>ALP</w:t>
            </w:r>
          </w:p>
        </w:tc>
        <w:tc>
          <w:tcPr>
            <w:tcW w:w="725" w:type="dxa"/>
            <w:vAlign w:val="center"/>
          </w:tcPr>
          <w:p w:rsidR="00377117" w:rsidRPr="00D01B10" w:rsidRDefault="00377117" w:rsidP="00D01B10">
            <w:pPr>
              <w:spacing w:line="360" w:lineRule="auto"/>
              <w:rPr>
                <w:rFonts w:ascii="Book Antiqua" w:hAnsi="Book Antiqua"/>
                <w:bCs/>
                <w:sz w:val="24"/>
                <w:szCs w:val="24"/>
              </w:rPr>
            </w:pPr>
            <w:r w:rsidRPr="00D01B10">
              <w:rPr>
                <w:rFonts w:ascii="Book Antiqua" w:hAnsi="Book Antiqua"/>
                <w:bCs/>
                <w:sz w:val="24"/>
                <w:szCs w:val="24"/>
              </w:rPr>
              <w:t>0.923</w:t>
            </w:r>
          </w:p>
        </w:tc>
        <w:tc>
          <w:tcPr>
            <w:tcW w:w="812" w:type="dxa"/>
            <w:vAlign w:val="center"/>
          </w:tcPr>
          <w:p w:rsidR="00377117" w:rsidRPr="00D01B10" w:rsidRDefault="00377117" w:rsidP="00D01B10">
            <w:pPr>
              <w:spacing w:line="360" w:lineRule="auto"/>
              <w:rPr>
                <w:rFonts w:ascii="Book Antiqua" w:hAnsi="Book Antiqua"/>
                <w:bCs/>
                <w:sz w:val="24"/>
                <w:szCs w:val="24"/>
              </w:rPr>
            </w:pPr>
            <w:r w:rsidRPr="00D01B10">
              <w:rPr>
                <w:rFonts w:ascii="Book Antiqua" w:hAnsi="Book Antiqua"/>
                <w:bCs/>
                <w:sz w:val="24"/>
                <w:szCs w:val="24"/>
              </w:rPr>
              <w:t>0.016</w:t>
            </w:r>
          </w:p>
        </w:tc>
        <w:tc>
          <w:tcPr>
            <w:tcW w:w="1038" w:type="dxa"/>
            <w:vAlign w:val="center"/>
          </w:tcPr>
          <w:p w:rsidR="00377117" w:rsidRPr="00D01B10" w:rsidRDefault="00377117" w:rsidP="00D01B10">
            <w:pPr>
              <w:spacing w:line="360" w:lineRule="auto"/>
              <w:rPr>
                <w:rFonts w:ascii="Book Antiqua" w:hAnsi="Book Antiqua"/>
                <w:bCs/>
                <w:sz w:val="24"/>
                <w:szCs w:val="24"/>
              </w:rPr>
            </w:pPr>
            <w:r w:rsidRPr="00D01B10">
              <w:rPr>
                <w:rFonts w:ascii="Book Antiqua" w:hAnsi="Book Antiqua"/>
                <w:bCs/>
                <w:sz w:val="24"/>
                <w:szCs w:val="24"/>
              </w:rPr>
              <w:t>0.000</w:t>
            </w:r>
          </w:p>
        </w:tc>
        <w:tc>
          <w:tcPr>
            <w:tcW w:w="1656" w:type="dxa"/>
            <w:vAlign w:val="center"/>
          </w:tcPr>
          <w:p w:rsidR="00377117" w:rsidRPr="00D01B10" w:rsidRDefault="00377117" w:rsidP="00D01B10">
            <w:pPr>
              <w:spacing w:line="360" w:lineRule="auto"/>
              <w:rPr>
                <w:rFonts w:ascii="Book Antiqua" w:hAnsi="Book Antiqua"/>
                <w:bCs/>
                <w:sz w:val="24"/>
                <w:szCs w:val="24"/>
              </w:rPr>
            </w:pPr>
            <w:r w:rsidRPr="00D01B10">
              <w:rPr>
                <w:rFonts w:ascii="Book Antiqua" w:hAnsi="Book Antiqua"/>
                <w:bCs/>
                <w:sz w:val="24"/>
                <w:szCs w:val="24"/>
              </w:rPr>
              <w:t>0.892-0.953</w:t>
            </w:r>
          </w:p>
        </w:tc>
        <w:tc>
          <w:tcPr>
            <w:tcW w:w="807" w:type="dxa"/>
            <w:vAlign w:val="center"/>
          </w:tcPr>
          <w:p w:rsidR="00377117" w:rsidRPr="00D01B10" w:rsidRDefault="00377117" w:rsidP="00D01B10">
            <w:pPr>
              <w:spacing w:line="360" w:lineRule="auto"/>
              <w:rPr>
                <w:rFonts w:ascii="Book Antiqua" w:hAnsi="Book Antiqua"/>
                <w:sz w:val="24"/>
                <w:szCs w:val="24"/>
              </w:rPr>
            </w:pPr>
            <w:r w:rsidRPr="00D01B10">
              <w:rPr>
                <w:rFonts w:ascii="Book Antiqua" w:hAnsi="Book Antiqua"/>
                <w:sz w:val="24"/>
                <w:szCs w:val="24"/>
              </w:rPr>
              <w:t>-</w:t>
            </w:r>
          </w:p>
        </w:tc>
        <w:tc>
          <w:tcPr>
            <w:tcW w:w="1124" w:type="dxa"/>
            <w:vAlign w:val="center"/>
          </w:tcPr>
          <w:p w:rsidR="00377117" w:rsidRPr="00D01B10" w:rsidRDefault="00377117" w:rsidP="00D01B10">
            <w:pPr>
              <w:spacing w:line="360" w:lineRule="auto"/>
              <w:rPr>
                <w:rFonts w:ascii="Book Antiqua" w:hAnsi="Book Antiqua"/>
                <w:sz w:val="24"/>
                <w:szCs w:val="24"/>
              </w:rPr>
            </w:pPr>
            <w:r w:rsidRPr="00D01B10">
              <w:rPr>
                <w:rFonts w:ascii="Book Antiqua" w:hAnsi="Book Antiqua"/>
                <w:sz w:val="24"/>
                <w:szCs w:val="24"/>
              </w:rPr>
              <w:t>0.935</w:t>
            </w:r>
          </w:p>
        </w:tc>
        <w:tc>
          <w:tcPr>
            <w:tcW w:w="1153" w:type="dxa"/>
            <w:vAlign w:val="center"/>
          </w:tcPr>
          <w:p w:rsidR="00377117" w:rsidRPr="00D01B10" w:rsidRDefault="00377117" w:rsidP="00D01B10">
            <w:pPr>
              <w:spacing w:line="360" w:lineRule="auto"/>
              <w:rPr>
                <w:rFonts w:ascii="Book Antiqua" w:hAnsi="Book Antiqua"/>
                <w:sz w:val="24"/>
                <w:szCs w:val="24"/>
              </w:rPr>
            </w:pPr>
            <w:r w:rsidRPr="00D01B10">
              <w:rPr>
                <w:rFonts w:ascii="Book Antiqua" w:hAnsi="Book Antiqua"/>
                <w:sz w:val="24"/>
                <w:szCs w:val="24"/>
              </w:rPr>
              <w:t>0.851</w:t>
            </w:r>
          </w:p>
        </w:tc>
      </w:tr>
    </w:tbl>
    <w:p w:rsidR="005411BC" w:rsidRPr="005F2FA2" w:rsidRDefault="005411BC" w:rsidP="005411BC">
      <w:pPr>
        <w:spacing w:line="360" w:lineRule="auto"/>
        <w:rPr>
          <w:rFonts w:ascii="Book Antiqua" w:hAnsi="Book Antiqua" w:hint="eastAsia"/>
          <w:bCs/>
          <w:sz w:val="24"/>
          <w:szCs w:val="24"/>
        </w:rPr>
      </w:pPr>
      <w:r w:rsidRPr="005F2FA2">
        <w:rPr>
          <w:rFonts w:ascii="Book Antiqua" w:hAnsi="Book Antiqua" w:hint="eastAsia"/>
          <w:bCs/>
          <w:sz w:val="24"/>
          <w:szCs w:val="24"/>
        </w:rPr>
        <w:t xml:space="preserve">GGT: </w:t>
      </w:r>
      <w:r w:rsidRPr="00D01B10">
        <w:rPr>
          <w:rFonts w:ascii="Book Antiqua" w:hAnsi="Book Antiqua"/>
          <w:sz w:val="24"/>
          <w:szCs w:val="24"/>
        </w:rPr>
        <w:t>Gamma-glutamyltransferase</w:t>
      </w:r>
      <w:r>
        <w:rPr>
          <w:rFonts w:ascii="Book Antiqua" w:hAnsi="Book Antiqua" w:hint="eastAsia"/>
          <w:sz w:val="24"/>
          <w:szCs w:val="24"/>
        </w:rPr>
        <w:t>;</w:t>
      </w:r>
      <w:r w:rsidRPr="005F2FA2">
        <w:rPr>
          <w:rFonts w:ascii="Book Antiqua" w:hAnsi="Book Antiqua" w:hint="eastAsia"/>
          <w:bCs/>
          <w:sz w:val="24"/>
          <w:szCs w:val="24"/>
        </w:rPr>
        <w:t xml:space="preserve"> ALP:</w:t>
      </w:r>
      <w:r w:rsidRPr="005F2FA2">
        <w:rPr>
          <w:rFonts w:ascii="Book Antiqua" w:hAnsi="Book Antiqua"/>
          <w:sz w:val="24"/>
          <w:szCs w:val="24"/>
          <w:shd w:val="clear" w:color="auto" w:fill="FFFFFF"/>
        </w:rPr>
        <w:t xml:space="preserve"> </w:t>
      </w:r>
      <w:r w:rsidRPr="00D01B10">
        <w:rPr>
          <w:rFonts w:ascii="Book Antiqua" w:hAnsi="Book Antiqua"/>
          <w:sz w:val="24"/>
          <w:szCs w:val="24"/>
          <w:shd w:val="clear" w:color="auto" w:fill="FFFFFF"/>
        </w:rPr>
        <w:t>Alkaline phosphatase</w:t>
      </w:r>
      <w:r>
        <w:rPr>
          <w:rFonts w:ascii="Book Antiqua" w:hAnsi="Book Antiqua" w:hint="eastAsia"/>
          <w:sz w:val="24"/>
          <w:szCs w:val="24"/>
          <w:shd w:val="clear" w:color="auto" w:fill="FFFFFF"/>
        </w:rPr>
        <w:t>.</w:t>
      </w:r>
    </w:p>
    <w:p w:rsidR="00D01B10" w:rsidRPr="005411BC" w:rsidRDefault="00D01B10" w:rsidP="00D01B10">
      <w:pPr>
        <w:spacing w:line="360" w:lineRule="auto"/>
        <w:rPr>
          <w:rFonts w:ascii="Book Antiqua" w:hAnsi="Book Antiqua"/>
          <w:b/>
          <w:bCs/>
          <w:sz w:val="24"/>
          <w:szCs w:val="24"/>
        </w:rPr>
      </w:pPr>
    </w:p>
    <w:p w:rsidR="00377117" w:rsidRPr="00D01B10" w:rsidRDefault="00D01B10" w:rsidP="00D01B10">
      <w:pPr>
        <w:spacing w:line="360" w:lineRule="auto"/>
        <w:rPr>
          <w:rFonts w:ascii="Book Antiqua" w:hAnsi="Book Antiqua"/>
          <w:b/>
          <w:bCs/>
          <w:sz w:val="24"/>
          <w:szCs w:val="24"/>
        </w:rPr>
      </w:pPr>
      <w:r w:rsidRPr="00D01B10">
        <w:rPr>
          <w:rFonts w:ascii="Book Antiqua" w:hAnsi="Book Antiqua"/>
          <w:b/>
          <w:bCs/>
          <w:sz w:val="24"/>
          <w:szCs w:val="24"/>
        </w:rPr>
        <w:br w:type="page"/>
      </w:r>
    </w:p>
    <w:p w:rsidR="00377117" w:rsidRPr="00D01B10" w:rsidRDefault="009D2A7C" w:rsidP="00D01B10">
      <w:pPr>
        <w:spacing w:line="360" w:lineRule="auto"/>
        <w:rPr>
          <w:rFonts w:ascii="Book Antiqua" w:hAnsi="Book Antiqua"/>
          <w:sz w:val="24"/>
          <w:szCs w:val="24"/>
        </w:rPr>
      </w:pPr>
      <w:r>
        <w:rPr>
          <w:rFonts w:ascii="Book Antiqua" w:hAnsi="Book Antiqua"/>
          <w:noProof/>
          <w:sz w:val="24"/>
          <w:szCs w:val="24"/>
        </w:rPr>
        <w:drawing>
          <wp:inline distT="0" distB="0" distL="0" distR="0">
            <wp:extent cx="5271770" cy="4419600"/>
            <wp:effectExtent l="0" t="0" r="5080" b="0"/>
            <wp:docPr id="1" name="图片 2" descr="ROC曲线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OC曲线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1770" cy="4419600"/>
                    </a:xfrm>
                    <a:prstGeom prst="rect">
                      <a:avLst/>
                    </a:prstGeom>
                    <a:noFill/>
                    <a:ln>
                      <a:noFill/>
                    </a:ln>
                  </pic:spPr>
                </pic:pic>
              </a:graphicData>
            </a:graphic>
          </wp:inline>
        </w:drawing>
      </w:r>
    </w:p>
    <w:p w:rsidR="00E15523" w:rsidRPr="00E15523" w:rsidRDefault="00377117" w:rsidP="00E15523">
      <w:pPr>
        <w:spacing w:line="360" w:lineRule="auto"/>
        <w:rPr>
          <w:rFonts w:ascii="Book Antiqua" w:hAnsi="Book Antiqua" w:hint="eastAsia"/>
          <w:bCs/>
          <w:sz w:val="24"/>
          <w:szCs w:val="24"/>
        </w:rPr>
      </w:pPr>
      <w:bookmarkStart w:id="42" w:name="OLE_LINK12"/>
      <w:r w:rsidRPr="00063318">
        <w:rPr>
          <w:rFonts w:ascii="Book Antiqua" w:hAnsi="Book Antiqua"/>
          <w:b/>
          <w:bCs/>
          <w:sz w:val="24"/>
          <w:szCs w:val="24"/>
        </w:rPr>
        <w:t>Figure 1</w:t>
      </w:r>
      <w:bookmarkEnd w:id="42"/>
      <w:r w:rsidRPr="00063318">
        <w:rPr>
          <w:rFonts w:ascii="Book Antiqua" w:hAnsi="Book Antiqua"/>
          <w:b/>
          <w:bCs/>
          <w:sz w:val="24"/>
          <w:szCs w:val="24"/>
        </w:rPr>
        <w:t xml:space="preserve"> </w:t>
      </w:r>
      <w:r w:rsidR="00D262B9">
        <w:rPr>
          <w:rFonts w:ascii="Book Antiqua" w:hAnsi="Book Antiqua"/>
          <w:b/>
          <w:sz w:val="24"/>
          <w:szCs w:val="24"/>
        </w:rPr>
        <w:t>ROC</w:t>
      </w:r>
      <w:r w:rsidR="00063318" w:rsidRPr="00063318">
        <w:rPr>
          <w:rFonts w:ascii="Book Antiqua" w:hAnsi="Book Antiqua" w:hint="eastAsia"/>
          <w:b/>
          <w:sz w:val="24"/>
          <w:szCs w:val="24"/>
        </w:rPr>
        <w:t xml:space="preserve"> </w:t>
      </w:r>
      <w:r w:rsidRPr="00063318">
        <w:rPr>
          <w:rFonts w:ascii="Book Antiqua" w:hAnsi="Book Antiqua"/>
          <w:b/>
          <w:bCs/>
          <w:sz w:val="24"/>
          <w:szCs w:val="24"/>
        </w:rPr>
        <w:t xml:space="preserve">curve of </w:t>
      </w:r>
      <w:r w:rsidR="00D262B9">
        <w:rPr>
          <w:rFonts w:ascii="Book Antiqua" w:hAnsi="Book Antiqua"/>
          <w:b/>
          <w:sz w:val="24"/>
          <w:szCs w:val="24"/>
        </w:rPr>
        <w:t>GGT</w:t>
      </w:r>
      <w:r w:rsidR="00063318" w:rsidRPr="00063318">
        <w:rPr>
          <w:rFonts w:ascii="Book Antiqua" w:hAnsi="Book Antiqua"/>
          <w:b/>
          <w:bCs/>
          <w:sz w:val="24"/>
          <w:szCs w:val="24"/>
        </w:rPr>
        <w:t xml:space="preserve"> </w:t>
      </w:r>
      <w:r w:rsidRPr="00063318">
        <w:rPr>
          <w:rFonts w:ascii="Book Antiqua" w:hAnsi="Book Antiqua"/>
          <w:b/>
          <w:bCs/>
          <w:sz w:val="24"/>
          <w:szCs w:val="24"/>
        </w:rPr>
        <w:t xml:space="preserve">and </w:t>
      </w:r>
      <w:r w:rsidR="00D262B9">
        <w:rPr>
          <w:rFonts w:ascii="Book Antiqua" w:hAnsi="Book Antiqua"/>
          <w:b/>
          <w:sz w:val="24"/>
          <w:szCs w:val="24"/>
          <w:shd w:val="clear" w:color="auto" w:fill="FFFFFF"/>
        </w:rPr>
        <w:t>ALP</w:t>
      </w:r>
      <w:r w:rsidR="00063318" w:rsidRPr="00063318">
        <w:rPr>
          <w:rFonts w:ascii="Book Antiqua" w:hAnsi="Book Antiqua" w:hint="eastAsia"/>
          <w:b/>
          <w:sz w:val="24"/>
          <w:szCs w:val="24"/>
          <w:shd w:val="clear" w:color="auto" w:fill="FFFFFF"/>
        </w:rPr>
        <w:t>.</w:t>
      </w:r>
      <w:r w:rsidR="00E15523">
        <w:rPr>
          <w:rFonts w:ascii="Book Antiqua" w:hAnsi="Book Antiqua" w:hint="eastAsia"/>
          <w:b/>
          <w:sz w:val="24"/>
          <w:szCs w:val="24"/>
          <w:shd w:val="clear" w:color="auto" w:fill="FFFFFF"/>
        </w:rPr>
        <w:t xml:space="preserve"> </w:t>
      </w:r>
      <w:r w:rsidR="00E15523" w:rsidRPr="00E15523">
        <w:rPr>
          <w:rFonts w:ascii="Book Antiqua" w:hAnsi="Book Antiqua"/>
          <w:sz w:val="24"/>
          <w:szCs w:val="24"/>
          <w:shd w:val="clear" w:color="auto" w:fill="FFFFFF"/>
        </w:rPr>
        <w:t>ROC</w:t>
      </w:r>
      <w:r w:rsidR="00E15523" w:rsidRPr="00E15523">
        <w:rPr>
          <w:rFonts w:ascii="Book Antiqua" w:hAnsi="Book Antiqua" w:hint="eastAsia"/>
          <w:sz w:val="24"/>
          <w:szCs w:val="24"/>
          <w:shd w:val="clear" w:color="auto" w:fill="FFFFFF"/>
        </w:rPr>
        <w:t xml:space="preserve">: </w:t>
      </w:r>
      <w:r w:rsidR="00E15523" w:rsidRPr="00E15523">
        <w:rPr>
          <w:rFonts w:ascii="Book Antiqua" w:hAnsi="Book Antiqua"/>
          <w:sz w:val="24"/>
          <w:szCs w:val="24"/>
        </w:rPr>
        <w:t>Receiver operating characteristic</w:t>
      </w:r>
      <w:r w:rsidR="00E15523" w:rsidRPr="00E15523">
        <w:rPr>
          <w:rFonts w:ascii="Book Antiqua" w:hAnsi="Book Antiqua" w:hint="eastAsia"/>
          <w:bCs/>
          <w:sz w:val="24"/>
          <w:szCs w:val="24"/>
        </w:rPr>
        <w:t xml:space="preserve"> GGT: </w:t>
      </w:r>
      <w:r w:rsidR="00E15523" w:rsidRPr="00E15523">
        <w:rPr>
          <w:rFonts w:ascii="Book Antiqua" w:hAnsi="Book Antiqua"/>
          <w:sz w:val="24"/>
          <w:szCs w:val="24"/>
        </w:rPr>
        <w:t>Gamma-glutamyltransferase</w:t>
      </w:r>
      <w:r w:rsidR="00E15523" w:rsidRPr="00E15523">
        <w:rPr>
          <w:rFonts w:ascii="Book Antiqua" w:hAnsi="Book Antiqua" w:hint="eastAsia"/>
          <w:sz w:val="24"/>
          <w:szCs w:val="24"/>
        </w:rPr>
        <w:t>;</w:t>
      </w:r>
      <w:r w:rsidR="00E15523" w:rsidRPr="00E15523">
        <w:rPr>
          <w:rFonts w:ascii="Book Antiqua" w:hAnsi="Book Antiqua" w:hint="eastAsia"/>
          <w:bCs/>
          <w:sz w:val="24"/>
          <w:szCs w:val="24"/>
        </w:rPr>
        <w:t xml:space="preserve"> ALP:</w:t>
      </w:r>
      <w:r w:rsidR="00E15523" w:rsidRPr="00E15523">
        <w:rPr>
          <w:rFonts w:ascii="Book Antiqua" w:hAnsi="Book Antiqua"/>
          <w:sz w:val="24"/>
          <w:szCs w:val="24"/>
          <w:shd w:val="clear" w:color="auto" w:fill="FFFFFF"/>
        </w:rPr>
        <w:t xml:space="preserve"> Alkaline phosphatase</w:t>
      </w:r>
      <w:r w:rsidR="00E15523" w:rsidRPr="00E15523">
        <w:rPr>
          <w:rFonts w:ascii="Book Antiqua" w:hAnsi="Book Antiqua" w:hint="eastAsia"/>
          <w:sz w:val="24"/>
          <w:szCs w:val="24"/>
          <w:shd w:val="clear" w:color="auto" w:fill="FFFFFF"/>
        </w:rPr>
        <w:t>.</w:t>
      </w:r>
    </w:p>
    <w:p w:rsidR="00377117" w:rsidRPr="00E15523" w:rsidRDefault="00377117" w:rsidP="00D01B10">
      <w:pPr>
        <w:spacing w:line="360" w:lineRule="auto"/>
        <w:rPr>
          <w:rFonts w:ascii="Book Antiqua" w:hAnsi="Book Antiqua" w:hint="eastAsia"/>
          <w:bCs/>
          <w:sz w:val="24"/>
          <w:szCs w:val="24"/>
        </w:rPr>
      </w:pPr>
    </w:p>
    <w:p w:rsidR="00063318" w:rsidRPr="00063318" w:rsidRDefault="00063318" w:rsidP="00D01B10">
      <w:pPr>
        <w:spacing w:line="360" w:lineRule="auto"/>
        <w:rPr>
          <w:rFonts w:ascii="Book Antiqua" w:hAnsi="Book Antiqua"/>
          <w:sz w:val="24"/>
          <w:szCs w:val="24"/>
        </w:rPr>
      </w:pPr>
    </w:p>
    <w:sectPr w:rsidR="00063318" w:rsidRPr="00063318">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8A8" w:rsidRDefault="007D68A8" w:rsidP="00657E61">
      <w:r>
        <w:separator/>
      </w:r>
    </w:p>
  </w:endnote>
  <w:endnote w:type="continuationSeparator" w:id="0">
    <w:p w:rsidR="007D68A8" w:rsidRDefault="007D68A8" w:rsidP="00657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MT">
    <w:charset w:val="00"/>
    <w:family w:val="auto"/>
    <w:pitch w:val="variable"/>
    <w:sig w:usb0="E0002AE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lbertus-Bold">
    <w:altName w:val="Segoe Print"/>
    <w:charset w:val="00"/>
    <w:family w:val="roma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E61" w:rsidRDefault="00657E61" w:rsidP="00C96576">
    <w:pPr>
      <w:pStyle w:val="ab"/>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rsidR="00657E61" w:rsidRDefault="00657E6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E61" w:rsidRPr="009D2A7C" w:rsidRDefault="00657E61" w:rsidP="00C96576">
    <w:pPr>
      <w:pStyle w:val="ab"/>
      <w:framePr w:wrap="none" w:vAnchor="text" w:hAnchor="margin" w:xAlign="center" w:y="1"/>
      <w:rPr>
        <w:rStyle w:val="ac"/>
        <w:rFonts w:ascii="Book Antiqua" w:hAnsi="Book Antiqua"/>
        <w:sz w:val="24"/>
      </w:rPr>
    </w:pPr>
    <w:r w:rsidRPr="009D2A7C">
      <w:rPr>
        <w:rStyle w:val="ac"/>
        <w:rFonts w:ascii="Book Antiqua" w:hAnsi="Book Antiqua"/>
        <w:sz w:val="24"/>
      </w:rPr>
      <w:fldChar w:fldCharType="begin"/>
    </w:r>
    <w:r w:rsidRPr="009D2A7C">
      <w:rPr>
        <w:rStyle w:val="ac"/>
        <w:rFonts w:ascii="Book Antiqua" w:hAnsi="Book Antiqua"/>
        <w:sz w:val="24"/>
      </w:rPr>
      <w:instrText xml:space="preserve">PAGE  </w:instrText>
    </w:r>
    <w:r w:rsidRPr="009D2A7C">
      <w:rPr>
        <w:rStyle w:val="ac"/>
        <w:rFonts w:ascii="Book Antiqua" w:hAnsi="Book Antiqua"/>
        <w:sz w:val="24"/>
      </w:rPr>
      <w:fldChar w:fldCharType="separate"/>
    </w:r>
    <w:r w:rsidR="009D2A7C">
      <w:rPr>
        <w:rStyle w:val="ac"/>
        <w:rFonts w:ascii="Book Antiqua" w:hAnsi="Book Antiqua"/>
        <w:noProof/>
        <w:sz w:val="24"/>
      </w:rPr>
      <w:t>6</w:t>
    </w:r>
    <w:r w:rsidRPr="009D2A7C">
      <w:rPr>
        <w:rStyle w:val="ac"/>
        <w:rFonts w:ascii="Book Antiqua" w:hAnsi="Book Antiqua"/>
        <w:sz w:val="24"/>
      </w:rPr>
      <w:fldChar w:fldCharType="end"/>
    </w:r>
  </w:p>
  <w:p w:rsidR="00657E61" w:rsidRDefault="00657E6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8A8" w:rsidRDefault="007D68A8" w:rsidP="00657E61">
      <w:r>
        <w:separator/>
      </w:r>
    </w:p>
  </w:footnote>
  <w:footnote w:type="continuationSeparator" w:id="0">
    <w:p w:rsidR="007D68A8" w:rsidRDefault="007D68A8" w:rsidP="00657E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6C9C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60E4"/>
    <w:rsid w:val="00045174"/>
    <w:rsid w:val="0005511F"/>
    <w:rsid w:val="00063318"/>
    <w:rsid w:val="00063675"/>
    <w:rsid w:val="00073B5C"/>
    <w:rsid w:val="000802C7"/>
    <w:rsid w:val="00082802"/>
    <w:rsid w:val="000B2423"/>
    <w:rsid w:val="000C674D"/>
    <w:rsid w:val="00102CFC"/>
    <w:rsid w:val="00107F4A"/>
    <w:rsid w:val="00112B6C"/>
    <w:rsid w:val="001227C6"/>
    <w:rsid w:val="00127BA4"/>
    <w:rsid w:val="00134FDA"/>
    <w:rsid w:val="00137F75"/>
    <w:rsid w:val="00155E8E"/>
    <w:rsid w:val="00157B3F"/>
    <w:rsid w:val="001604BF"/>
    <w:rsid w:val="00163772"/>
    <w:rsid w:val="001A001D"/>
    <w:rsid w:val="001B7E6D"/>
    <w:rsid w:val="001E6496"/>
    <w:rsid w:val="001F1A96"/>
    <w:rsid w:val="00203376"/>
    <w:rsid w:val="002339BA"/>
    <w:rsid w:val="00242C9A"/>
    <w:rsid w:val="00271B52"/>
    <w:rsid w:val="002A0A2C"/>
    <w:rsid w:val="002C4DED"/>
    <w:rsid w:val="002D0594"/>
    <w:rsid w:val="002D6662"/>
    <w:rsid w:val="002E1370"/>
    <w:rsid w:val="00310E8A"/>
    <w:rsid w:val="00343D65"/>
    <w:rsid w:val="00356767"/>
    <w:rsid w:val="00362BF8"/>
    <w:rsid w:val="00374125"/>
    <w:rsid w:val="00374692"/>
    <w:rsid w:val="00377117"/>
    <w:rsid w:val="003871C6"/>
    <w:rsid w:val="003A0801"/>
    <w:rsid w:val="003B6D85"/>
    <w:rsid w:val="003C3230"/>
    <w:rsid w:val="003E1660"/>
    <w:rsid w:val="003E58E1"/>
    <w:rsid w:val="00406791"/>
    <w:rsid w:val="00424E1C"/>
    <w:rsid w:val="0042548F"/>
    <w:rsid w:val="0046369B"/>
    <w:rsid w:val="00475A72"/>
    <w:rsid w:val="00481482"/>
    <w:rsid w:val="004C2767"/>
    <w:rsid w:val="004C7B23"/>
    <w:rsid w:val="004E14E4"/>
    <w:rsid w:val="004E4352"/>
    <w:rsid w:val="004F461C"/>
    <w:rsid w:val="005411BC"/>
    <w:rsid w:val="0055568A"/>
    <w:rsid w:val="005600E0"/>
    <w:rsid w:val="005A5F59"/>
    <w:rsid w:val="005C11B2"/>
    <w:rsid w:val="005E7375"/>
    <w:rsid w:val="005F2FA2"/>
    <w:rsid w:val="006015C4"/>
    <w:rsid w:val="006044FC"/>
    <w:rsid w:val="006054FB"/>
    <w:rsid w:val="006258A6"/>
    <w:rsid w:val="00640DC1"/>
    <w:rsid w:val="00657E61"/>
    <w:rsid w:val="006B35E7"/>
    <w:rsid w:val="006B4B29"/>
    <w:rsid w:val="006D020D"/>
    <w:rsid w:val="006F7067"/>
    <w:rsid w:val="00703FC9"/>
    <w:rsid w:val="007125DC"/>
    <w:rsid w:val="00733F29"/>
    <w:rsid w:val="00774D1B"/>
    <w:rsid w:val="00776690"/>
    <w:rsid w:val="00777638"/>
    <w:rsid w:val="007842B5"/>
    <w:rsid w:val="007C2854"/>
    <w:rsid w:val="007C3DD9"/>
    <w:rsid w:val="007D68A8"/>
    <w:rsid w:val="007F4E1C"/>
    <w:rsid w:val="00855E0E"/>
    <w:rsid w:val="008724C8"/>
    <w:rsid w:val="00891B47"/>
    <w:rsid w:val="008B68FE"/>
    <w:rsid w:val="008D5E37"/>
    <w:rsid w:val="008E44CB"/>
    <w:rsid w:val="00901E42"/>
    <w:rsid w:val="00975693"/>
    <w:rsid w:val="009A314F"/>
    <w:rsid w:val="009B3732"/>
    <w:rsid w:val="009C6219"/>
    <w:rsid w:val="009C7BCA"/>
    <w:rsid w:val="009D2A7C"/>
    <w:rsid w:val="009D718F"/>
    <w:rsid w:val="00A2462A"/>
    <w:rsid w:val="00A375FD"/>
    <w:rsid w:val="00A42B3B"/>
    <w:rsid w:val="00AA15EA"/>
    <w:rsid w:val="00AA5BA3"/>
    <w:rsid w:val="00AB2E6F"/>
    <w:rsid w:val="00AD26DE"/>
    <w:rsid w:val="00AF29FF"/>
    <w:rsid w:val="00AF307D"/>
    <w:rsid w:val="00B2273C"/>
    <w:rsid w:val="00B2290B"/>
    <w:rsid w:val="00B5212B"/>
    <w:rsid w:val="00B52508"/>
    <w:rsid w:val="00B645F8"/>
    <w:rsid w:val="00B82036"/>
    <w:rsid w:val="00B93E2A"/>
    <w:rsid w:val="00BA1ECC"/>
    <w:rsid w:val="00C01709"/>
    <w:rsid w:val="00C407E8"/>
    <w:rsid w:val="00C446AD"/>
    <w:rsid w:val="00C451CB"/>
    <w:rsid w:val="00C96576"/>
    <w:rsid w:val="00C96BDE"/>
    <w:rsid w:val="00CA2332"/>
    <w:rsid w:val="00CA70B2"/>
    <w:rsid w:val="00CB3E1F"/>
    <w:rsid w:val="00CC1494"/>
    <w:rsid w:val="00CD0A19"/>
    <w:rsid w:val="00CD6B0F"/>
    <w:rsid w:val="00CF09F1"/>
    <w:rsid w:val="00D01B10"/>
    <w:rsid w:val="00D1652F"/>
    <w:rsid w:val="00D262B9"/>
    <w:rsid w:val="00D52E4A"/>
    <w:rsid w:val="00D74C94"/>
    <w:rsid w:val="00D76F38"/>
    <w:rsid w:val="00D8655B"/>
    <w:rsid w:val="00D90463"/>
    <w:rsid w:val="00D90B1F"/>
    <w:rsid w:val="00D96F1B"/>
    <w:rsid w:val="00DE2A1C"/>
    <w:rsid w:val="00E15523"/>
    <w:rsid w:val="00E222F1"/>
    <w:rsid w:val="00E2414D"/>
    <w:rsid w:val="00E43398"/>
    <w:rsid w:val="00E70D93"/>
    <w:rsid w:val="00E86094"/>
    <w:rsid w:val="00E86659"/>
    <w:rsid w:val="00E910E5"/>
    <w:rsid w:val="00EB162E"/>
    <w:rsid w:val="00EB3FD3"/>
    <w:rsid w:val="00EC6DB6"/>
    <w:rsid w:val="00EE464A"/>
    <w:rsid w:val="00F16AE4"/>
    <w:rsid w:val="00F363A9"/>
    <w:rsid w:val="00F97A17"/>
    <w:rsid w:val="00FC45C7"/>
    <w:rsid w:val="00FF7555"/>
    <w:rsid w:val="0147732D"/>
    <w:rsid w:val="01653CDB"/>
    <w:rsid w:val="01A47246"/>
    <w:rsid w:val="01D44638"/>
    <w:rsid w:val="01E677F6"/>
    <w:rsid w:val="01FD002B"/>
    <w:rsid w:val="029A51C6"/>
    <w:rsid w:val="02C31375"/>
    <w:rsid w:val="02EA2261"/>
    <w:rsid w:val="03506DC2"/>
    <w:rsid w:val="03541F98"/>
    <w:rsid w:val="03884F25"/>
    <w:rsid w:val="03A34846"/>
    <w:rsid w:val="03C13EAB"/>
    <w:rsid w:val="03F411CC"/>
    <w:rsid w:val="03FA062E"/>
    <w:rsid w:val="04325788"/>
    <w:rsid w:val="046E363F"/>
    <w:rsid w:val="0471286D"/>
    <w:rsid w:val="0485368B"/>
    <w:rsid w:val="04937461"/>
    <w:rsid w:val="049F4A1A"/>
    <w:rsid w:val="04C12029"/>
    <w:rsid w:val="04D81759"/>
    <w:rsid w:val="04F85D94"/>
    <w:rsid w:val="050C02AB"/>
    <w:rsid w:val="052D3E39"/>
    <w:rsid w:val="052F69EB"/>
    <w:rsid w:val="05563FDF"/>
    <w:rsid w:val="0593450E"/>
    <w:rsid w:val="05991A77"/>
    <w:rsid w:val="05CA5FDF"/>
    <w:rsid w:val="05DF0CB0"/>
    <w:rsid w:val="05EB5C07"/>
    <w:rsid w:val="061A5554"/>
    <w:rsid w:val="0659596E"/>
    <w:rsid w:val="069A6E6D"/>
    <w:rsid w:val="06D26C63"/>
    <w:rsid w:val="06D82C27"/>
    <w:rsid w:val="06ED6B50"/>
    <w:rsid w:val="07244710"/>
    <w:rsid w:val="074A52B9"/>
    <w:rsid w:val="076621DB"/>
    <w:rsid w:val="07926E8A"/>
    <w:rsid w:val="07A302D3"/>
    <w:rsid w:val="07A46785"/>
    <w:rsid w:val="07A80DA2"/>
    <w:rsid w:val="07BE6815"/>
    <w:rsid w:val="07D0236E"/>
    <w:rsid w:val="07F23011"/>
    <w:rsid w:val="081E563B"/>
    <w:rsid w:val="08262A58"/>
    <w:rsid w:val="08565AAD"/>
    <w:rsid w:val="08660A58"/>
    <w:rsid w:val="088058D0"/>
    <w:rsid w:val="088576FC"/>
    <w:rsid w:val="08875D95"/>
    <w:rsid w:val="0892095C"/>
    <w:rsid w:val="08AA65BA"/>
    <w:rsid w:val="091A14D9"/>
    <w:rsid w:val="09791DEE"/>
    <w:rsid w:val="097D191E"/>
    <w:rsid w:val="097F1C3F"/>
    <w:rsid w:val="09972B4D"/>
    <w:rsid w:val="09EB21B2"/>
    <w:rsid w:val="0A15659C"/>
    <w:rsid w:val="0A172B4B"/>
    <w:rsid w:val="0A1B3676"/>
    <w:rsid w:val="0A3A1451"/>
    <w:rsid w:val="0B162075"/>
    <w:rsid w:val="0B3A0CE2"/>
    <w:rsid w:val="0B4165BF"/>
    <w:rsid w:val="0B5D0834"/>
    <w:rsid w:val="0B837C47"/>
    <w:rsid w:val="0B9965E6"/>
    <w:rsid w:val="0B9F37CD"/>
    <w:rsid w:val="0BCC3700"/>
    <w:rsid w:val="0BDD7D82"/>
    <w:rsid w:val="0C6F568B"/>
    <w:rsid w:val="0C911193"/>
    <w:rsid w:val="0CC0341D"/>
    <w:rsid w:val="0CE4208E"/>
    <w:rsid w:val="0CE947B5"/>
    <w:rsid w:val="0D0A4DBB"/>
    <w:rsid w:val="0D297DC8"/>
    <w:rsid w:val="0D627863"/>
    <w:rsid w:val="0D8126E7"/>
    <w:rsid w:val="0D861F0C"/>
    <w:rsid w:val="0DA10DCA"/>
    <w:rsid w:val="0DA247EF"/>
    <w:rsid w:val="0DD226F0"/>
    <w:rsid w:val="0DF94937"/>
    <w:rsid w:val="0E4740FF"/>
    <w:rsid w:val="0E6A7360"/>
    <w:rsid w:val="0E704E67"/>
    <w:rsid w:val="0EDA246D"/>
    <w:rsid w:val="0EF4296F"/>
    <w:rsid w:val="0F2B1015"/>
    <w:rsid w:val="0F3641CF"/>
    <w:rsid w:val="0F923FD2"/>
    <w:rsid w:val="10514A42"/>
    <w:rsid w:val="109B1E4B"/>
    <w:rsid w:val="109F756F"/>
    <w:rsid w:val="10D00536"/>
    <w:rsid w:val="10E846A1"/>
    <w:rsid w:val="110C5C43"/>
    <w:rsid w:val="111D4520"/>
    <w:rsid w:val="112A0308"/>
    <w:rsid w:val="11511F29"/>
    <w:rsid w:val="116E1A16"/>
    <w:rsid w:val="117D7321"/>
    <w:rsid w:val="11996280"/>
    <w:rsid w:val="11B7282D"/>
    <w:rsid w:val="11D552DA"/>
    <w:rsid w:val="120F0628"/>
    <w:rsid w:val="124E28CD"/>
    <w:rsid w:val="12A96BEA"/>
    <w:rsid w:val="12B01A40"/>
    <w:rsid w:val="12B321C3"/>
    <w:rsid w:val="12CC60EE"/>
    <w:rsid w:val="12D610D3"/>
    <w:rsid w:val="12E8781B"/>
    <w:rsid w:val="12EA13CD"/>
    <w:rsid w:val="12EC3B1A"/>
    <w:rsid w:val="13075A0A"/>
    <w:rsid w:val="131A382B"/>
    <w:rsid w:val="135A44C8"/>
    <w:rsid w:val="139347E3"/>
    <w:rsid w:val="13A829E3"/>
    <w:rsid w:val="13F87087"/>
    <w:rsid w:val="14093E4F"/>
    <w:rsid w:val="14112C54"/>
    <w:rsid w:val="14124BC1"/>
    <w:rsid w:val="144202CD"/>
    <w:rsid w:val="1456631C"/>
    <w:rsid w:val="14636194"/>
    <w:rsid w:val="14D54EF5"/>
    <w:rsid w:val="14F20497"/>
    <w:rsid w:val="151D08AC"/>
    <w:rsid w:val="152D3864"/>
    <w:rsid w:val="153978D5"/>
    <w:rsid w:val="154C6F59"/>
    <w:rsid w:val="155364E1"/>
    <w:rsid w:val="158269C7"/>
    <w:rsid w:val="15B916C6"/>
    <w:rsid w:val="15F637C8"/>
    <w:rsid w:val="160B2AF8"/>
    <w:rsid w:val="16142A21"/>
    <w:rsid w:val="16265635"/>
    <w:rsid w:val="162901DC"/>
    <w:rsid w:val="168F3956"/>
    <w:rsid w:val="169325ED"/>
    <w:rsid w:val="16B646FC"/>
    <w:rsid w:val="16BA41B8"/>
    <w:rsid w:val="16C916F6"/>
    <w:rsid w:val="16CE6551"/>
    <w:rsid w:val="170A5F22"/>
    <w:rsid w:val="17153EA2"/>
    <w:rsid w:val="17166D48"/>
    <w:rsid w:val="172A6A4A"/>
    <w:rsid w:val="1738394D"/>
    <w:rsid w:val="17703D3D"/>
    <w:rsid w:val="17C007D1"/>
    <w:rsid w:val="17E63563"/>
    <w:rsid w:val="17F257C6"/>
    <w:rsid w:val="18A336B4"/>
    <w:rsid w:val="19182659"/>
    <w:rsid w:val="192468FE"/>
    <w:rsid w:val="194456CB"/>
    <w:rsid w:val="195B7EF4"/>
    <w:rsid w:val="199D7060"/>
    <w:rsid w:val="199F397E"/>
    <w:rsid w:val="19C25BCC"/>
    <w:rsid w:val="1A5C7169"/>
    <w:rsid w:val="1A6F79DD"/>
    <w:rsid w:val="1A822C01"/>
    <w:rsid w:val="1A8E578C"/>
    <w:rsid w:val="1AB709E1"/>
    <w:rsid w:val="1AB81522"/>
    <w:rsid w:val="1ABD5D54"/>
    <w:rsid w:val="1AD11450"/>
    <w:rsid w:val="1AF7191B"/>
    <w:rsid w:val="1AFE07B8"/>
    <w:rsid w:val="1B0A532B"/>
    <w:rsid w:val="1B3F64AC"/>
    <w:rsid w:val="1BCC1512"/>
    <w:rsid w:val="1C717A3F"/>
    <w:rsid w:val="1CC87305"/>
    <w:rsid w:val="1CCA7916"/>
    <w:rsid w:val="1D185C36"/>
    <w:rsid w:val="1D244A87"/>
    <w:rsid w:val="1D2F6B92"/>
    <w:rsid w:val="1D311AB6"/>
    <w:rsid w:val="1D6C2E4C"/>
    <w:rsid w:val="1D7E7033"/>
    <w:rsid w:val="1D85499C"/>
    <w:rsid w:val="1DEF49AF"/>
    <w:rsid w:val="1DF30A03"/>
    <w:rsid w:val="1E1D1813"/>
    <w:rsid w:val="1E303013"/>
    <w:rsid w:val="1E4271BD"/>
    <w:rsid w:val="1ED31215"/>
    <w:rsid w:val="1EF13421"/>
    <w:rsid w:val="1F2C4E6D"/>
    <w:rsid w:val="1F5F2BF7"/>
    <w:rsid w:val="1FD75418"/>
    <w:rsid w:val="1FEE3B6F"/>
    <w:rsid w:val="1FF14FA6"/>
    <w:rsid w:val="1FFF1501"/>
    <w:rsid w:val="201654B4"/>
    <w:rsid w:val="204C4C36"/>
    <w:rsid w:val="204E212C"/>
    <w:rsid w:val="20823F8A"/>
    <w:rsid w:val="20857926"/>
    <w:rsid w:val="20965C4F"/>
    <w:rsid w:val="20C855DC"/>
    <w:rsid w:val="215068CB"/>
    <w:rsid w:val="21574BB7"/>
    <w:rsid w:val="21917394"/>
    <w:rsid w:val="21C40AFF"/>
    <w:rsid w:val="227967AA"/>
    <w:rsid w:val="229F4B9A"/>
    <w:rsid w:val="22A20AD2"/>
    <w:rsid w:val="22EC41A2"/>
    <w:rsid w:val="22F349D9"/>
    <w:rsid w:val="237E2C9B"/>
    <w:rsid w:val="238077A2"/>
    <w:rsid w:val="23DD5639"/>
    <w:rsid w:val="240112FB"/>
    <w:rsid w:val="24102869"/>
    <w:rsid w:val="242D1651"/>
    <w:rsid w:val="24612F67"/>
    <w:rsid w:val="24764F8A"/>
    <w:rsid w:val="24786C49"/>
    <w:rsid w:val="24965574"/>
    <w:rsid w:val="24990405"/>
    <w:rsid w:val="24BC7593"/>
    <w:rsid w:val="24E84F70"/>
    <w:rsid w:val="250A7C46"/>
    <w:rsid w:val="25193EBC"/>
    <w:rsid w:val="258C50F7"/>
    <w:rsid w:val="25CE33C7"/>
    <w:rsid w:val="263373EC"/>
    <w:rsid w:val="263D6DCC"/>
    <w:rsid w:val="264A7D36"/>
    <w:rsid w:val="26782AF3"/>
    <w:rsid w:val="26BA39E7"/>
    <w:rsid w:val="26DA30AA"/>
    <w:rsid w:val="26F60388"/>
    <w:rsid w:val="271C74DA"/>
    <w:rsid w:val="2735676B"/>
    <w:rsid w:val="27367AD1"/>
    <w:rsid w:val="273A5774"/>
    <w:rsid w:val="276B634E"/>
    <w:rsid w:val="27875FB8"/>
    <w:rsid w:val="279E5CB2"/>
    <w:rsid w:val="27B455E0"/>
    <w:rsid w:val="280F356B"/>
    <w:rsid w:val="28204A1D"/>
    <w:rsid w:val="2841474C"/>
    <w:rsid w:val="285A3B92"/>
    <w:rsid w:val="28750BDB"/>
    <w:rsid w:val="28BE5F82"/>
    <w:rsid w:val="28E35F6B"/>
    <w:rsid w:val="28ED4603"/>
    <w:rsid w:val="28FD2B05"/>
    <w:rsid w:val="292724BA"/>
    <w:rsid w:val="292E72EA"/>
    <w:rsid w:val="2992280E"/>
    <w:rsid w:val="29B04E44"/>
    <w:rsid w:val="29F704DB"/>
    <w:rsid w:val="2A23569C"/>
    <w:rsid w:val="2A330D83"/>
    <w:rsid w:val="2A592C36"/>
    <w:rsid w:val="2A6C5CB2"/>
    <w:rsid w:val="2A6D2D2F"/>
    <w:rsid w:val="2ACA5AF5"/>
    <w:rsid w:val="2ACB6DF0"/>
    <w:rsid w:val="2AD163BD"/>
    <w:rsid w:val="2AE143B6"/>
    <w:rsid w:val="2AEF0F9A"/>
    <w:rsid w:val="2AFD4339"/>
    <w:rsid w:val="2B1D065C"/>
    <w:rsid w:val="2B4C2B6F"/>
    <w:rsid w:val="2B642D98"/>
    <w:rsid w:val="2B846F75"/>
    <w:rsid w:val="2B8509C6"/>
    <w:rsid w:val="2B9303E1"/>
    <w:rsid w:val="2BF17B47"/>
    <w:rsid w:val="2C466D7C"/>
    <w:rsid w:val="2C693F73"/>
    <w:rsid w:val="2C957A14"/>
    <w:rsid w:val="2CB54F73"/>
    <w:rsid w:val="2CD839C5"/>
    <w:rsid w:val="2D0C28EF"/>
    <w:rsid w:val="2D19086D"/>
    <w:rsid w:val="2D5D2E33"/>
    <w:rsid w:val="2D5E5496"/>
    <w:rsid w:val="2D774F52"/>
    <w:rsid w:val="2D89698A"/>
    <w:rsid w:val="2D9D7867"/>
    <w:rsid w:val="2DBB1E9E"/>
    <w:rsid w:val="2DBC577F"/>
    <w:rsid w:val="2DDE37F5"/>
    <w:rsid w:val="2E453717"/>
    <w:rsid w:val="2E477AF5"/>
    <w:rsid w:val="2E8970A1"/>
    <w:rsid w:val="2EB470C5"/>
    <w:rsid w:val="2EEF7975"/>
    <w:rsid w:val="2EF54C1D"/>
    <w:rsid w:val="2EF606A3"/>
    <w:rsid w:val="2F255EEB"/>
    <w:rsid w:val="2F2561CE"/>
    <w:rsid w:val="2F612E2E"/>
    <w:rsid w:val="2F6F04D8"/>
    <w:rsid w:val="2F722E74"/>
    <w:rsid w:val="2F867087"/>
    <w:rsid w:val="2F9C0424"/>
    <w:rsid w:val="2FF11D32"/>
    <w:rsid w:val="2FF252E0"/>
    <w:rsid w:val="2FFD543C"/>
    <w:rsid w:val="30216DB0"/>
    <w:rsid w:val="302E7FE6"/>
    <w:rsid w:val="30405F4D"/>
    <w:rsid w:val="311620C4"/>
    <w:rsid w:val="31316F72"/>
    <w:rsid w:val="315E0820"/>
    <w:rsid w:val="316243D1"/>
    <w:rsid w:val="31793883"/>
    <w:rsid w:val="31880083"/>
    <w:rsid w:val="31974E1F"/>
    <w:rsid w:val="3199129B"/>
    <w:rsid w:val="319D24AF"/>
    <w:rsid w:val="31C62671"/>
    <w:rsid w:val="320A2204"/>
    <w:rsid w:val="32222D3C"/>
    <w:rsid w:val="323C21F0"/>
    <w:rsid w:val="3281214D"/>
    <w:rsid w:val="328F043B"/>
    <w:rsid w:val="329410E2"/>
    <w:rsid w:val="32B1101B"/>
    <w:rsid w:val="32E10B57"/>
    <w:rsid w:val="32F85581"/>
    <w:rsid w:val="33026F81"/>
    <w:rsid w:val="33027B37"/>
    <w:rsid w:val="335E3403"/>
    <w:rsid w:val="336C00E2"/>
    <w:rsid w:val="33C31FBE"/>
    <w:rsid w:val="34310779"/>
    <w:rsid w:val="347769AD"/>
    <w:rsid w:val="34940C7B"/>
    <w:rsid w:val="34991EFE"/>
    <w:rsid w:val="34B55867"/>
    <w:rsid w:val="34D50943"/>
    <w:rsid w:val="34E678CB"/>
    <w:rsid w:val="34FB700B"/>
    <w:rsid w:val="34FC5820"/>
    <w:rsid w:val="34FF168A"/>
    <w:rsid w:val="35A32000"/>
    <w:rsid w:val="35A474E5"/>
    <w:rsid w:val="35AD6A90"/>
    <w:rsid w:val="35C2310E"/>
    <w:rsid w:val="35D331C9"/>
    <w:rsid w:val="35FF3A6A"/>
    <w:rsid w:val="362763EB"/>
    <w:rsid w:val="36321151"/>
    <w:rsid w:val="363C5122"/>
    <w:rsid w:val="36763051"/>
    <w:rsid w:val="36A60419"/>
    <w:rsid w:val="36A923B9"/>
    <w:rsid w:val="36EC101D"/>
    <w:rsid w:val="36FC1871"/>
    <w:rsid w:val="37101F5F"/>
    <w:rsid w:val="37442B1F"/>
    <w:rsid w:val="37446B89"/>
    <w:rsid w:val="37466454"/>
    <w:rsid w:val="37473EDF"/>
    <w:rsid w:val="38075074"/>
    <w:rsid w:val="38183A5C"/>
    <w:rsid w:val="382E48CB"/>
    <w:rsid w:val="382E7DD8"/>
    <w:rsid w:val="38311183"/>
    <w:rsid w:val="38880F32"/>
    <w:rsid w:val="38A45586"/>
    <w:rsid w:val="39053A1F"/>
    <w:rsid w:val="394271FF"/>
    <w:rsid w:val="399155BD"/>
    <w:rsid w:val="39A867B2"/>
    <w:rsid w:val="39AF362E"/>
    <w:rsid w:val="39E82371"/>
    <w:rsid w:val="3A2D21CF"/>
    <w:rsid w:val="3A387BB5"/>
    <w:rsid w:val="3A7E4533"/>
    <w:rsid w:val="3AAF0AEA"/>
    <w:rsid w:val="3AC769C6"/>
    <w:rsid w:val="3ADA5164"/>
    <w:rsid w:val="3AF37B84"/>
    <w:rsid w:val="3B3A02B8"/>
    <w:rsid w:val="3B3C3031"/>
    <w:rsid w:val="3B6E7ABB"/>
    <w:rsid w:val="3BA95F99"/>
    <w:rsid w:val="3C08424E"/>
    <w:rsid w:val="3C432619"/>
    <w:rsid w:val="3CBF335D"/>
    <w:rsid w:val="3CE37C7F"/>
    <w:rsid w:val="3D3A20A5"/>
    <w:rsid w:val="3DBA08D5"/>
    <w:rsid w:val="3DF01EDE"/>
    <w:rsid w:val="3E66743A"/>
    <w:rsid w:val="3EC12B97"/>
    <w:rsid w:val="3EC93AB1"/>
    <w:rsid w:val="3EDB78CD"/>
    <w:rsid w:val="3EE10133"/>
    <w:rsid w:val="3F051328"/>
    <w:rsid w:val="3F0D3521"/>
    <w:rsid w:val="3F1470C4"/>
    <w:rsid w:val="3F5A2592"/>
    <w:rsid w:val="3F5A699E"/>
    <w:rsid w:val="3FD656FE"/>
    <w:rsid w:val="3FDA08CF"/>
    <w:rsid w:val="40014AC6"/>
    <w:rsid w:val="40433823"/>
    <w:rsid w:val="40483F4B"/>
    <w:rsid w:val="407764B4"/>
    <w:rsid w:val="40800AF9"/>
    <w:rsid w:val="408F5F20"/>
    <w:rsid w:val="40BE60DD"/>
    <w:rsid w:val="40DB2B54"/>
    <w:rsid w:val="40F42B31"/>
    <w:rsid w:val="410442E3"/>
    <w:rsid w:val="410A4F34"/>
    <w:rsid w:val="416C1CD2"/>
    <w:rsid w:val="417B279E"/>
    <w:rsid w:val="41877D31"/>
    <w:rsid w:val="418E1BBB"/>
    <w:rsid w:val="41A02A59"/>
    <w:rsid w:val="41AC2346"/>
    <w:rsid w:val="41B55E3D"/>
    <w:rsid w:val="42100C68"/>
    <w:rsid w:val="421D0227"/>
    <w:rsid w:val="424F6F60"/>
    <w:rsid w:val="42576AC7"/>
    <w:rsid w:val="426B4FFF"/>
    <w:rsid w:val="427805FD"/>
    <w:rsid w:val="429811B4"/>
    <w:rsid w:val="42A26C2F"/>
    <w:rsid w:val="42C942AD"/>
    <w:rsid w:val="430643F9"/>
    <w:rsid w:val="430A5131"/>
    <w:rsid w:val="431921C2"/>
    <w:rsid w:val="43255C31"/>
    <w:rsid w:val="4363202A"/>
    <w:rsid w:val="439C5A84"/>
    <w:rsid w:val="43C83110"/>
    <w:rsid w:val="43CB3016"/>
    <w:rsid w:val="43F9567F"/>
    <w:rsid w:val="4404356E"/>
    <w:rsid w:val="44152CBC"/>
    <w:rsid w:val="449268D2"/>
    <w:rsid w:val="44CD5EDB"/>
    <w:rsid w:val="44F6320C"/>
    <w:rsid w:val="453864AF"/>
    <w:rsid w:val="45503E49"/>
    <w:rsid w:val="45900024"/>
    <w:rsid w:val="45AE1F15"/>
    <w:rsid w:val="45CC7ADE"/>
    <w:rsid w:val="46327D23"/>
    <w:rsid w:val="463718FA"/>
    <w:rsid w:val="467A710F"/>
    <w:rsid w:val="46C56AE8"/>
    <w:rsid w:val="46CA5122"/>
    <w:rsid w:val="46CD1DC6"/>
    <w:rsid w:val="46DD106E"/>
    <w:rsid w:val="46E51652"/>
    <w:rsid w:val="47346948"/>
    <w:rsid w:val="47383516"/>
    <w:rsid w:val="47806662"/>
    <w:rsid w:val="47890F46"/>
    <w:rsid w:val="478E1F77"/>
    <w:rsid w:val="47A65BF6"/>
    <w:rsid w:val="47D852A2"/>
    <w:rsid w:val="47DF7588"/>
    <w:rsid w:val="487D6CC4"/>
    <w:rsid w:val="48811DFF"/>
    <w:rsid w:val="48A31A4C"/>
    <w:rsid w:val="48BE47D6"/>
    <w:rsid w:val="48D4604D"/>
    <w:rsid w:val="48F44BA6"/>
    <w:rsid w:val="49037CA7"/>
    <w:rsid w:val="49133C32"/>
    <w:rsid w:val="496C15F6"/>
    <w:rsid w:val="49754F66"/>
    <w:rsid w:val="49A06F1A"/>
    <w:rsid w:val="49DC6D06"/>
    <w:rsid w:val="49E24BBF"/>
    <w:rsid w:val="49F40800"/>
    <w:rsid w:val="49F57316"/>
    <w:rsid w:val="4A272DDC"/>
    <w:rsid w:val="4A34671B"/>
    <w:rsid w:val="4A3A27C2"/>
    <w:rsid w:val="4A60504B"/>
    <w:rsid w:val="4A774B54"/>
    <w:rsid w:val="4A7B3A70"/>
    <w:rsid w:val="4A7E3DF4"/>
    <w:rsid w:val="4A824ED7"/>
    <w:rsid w:val="4ACC5DC5"/>
    <w:rsid w:val="4B35589A"/>
    <w:rsid w:val="4B382311"/>
    <w:rsid w:val="4B4F41E4"/>
    <w:rsid w:val="4B82581A"/>
    <w:rsid w:val="4B9941DE"/>
    <w:rsid w:val="4BC5025C"/>
    <w:rsid w:val="4C09168D"/>
    <w:rsid w:val="4C2B66E9"/>
    <w:rsid w:val="4C450C93"/>
    <w:rsid w:val="4C484570"/>
    <w:rsid w:val="4C5E32AA"/>
    <w:rsid w:val="4C7E3EEF"/>
    <w:rsid w:val="4C8D7E4F"/>
    <w:rsid w:val="4CA20BFB"/>
    <w:rsid w:val="4CAE0CB4"/>
    <w:rsid w:val="4CAE7A87"/>
    <w:rsid w:val="4CCC457A"/>
    <w:rsid w:val="4CE84DDD"/>
    <w:rsid w:val="4D4153D6"/>
    <w:rsid w:val="4D4845CB"/>
    <w:rsid w:val="4D5D4037"/>
    <w:rsid w:val="4D840183"/>
    <w:rsid w:val="4D8B1F96"/>
    <w:rsid w:val="4D8F59B5"/>
    <w:rsid w:val="4D98590A"/>
    <w:rsid w:val="4D9917EA"/>
    <w:rsid w:val="4D9D6103"/>
    <w:rsid w:val="4E1D0004"/>
    <w:rsid w:val="4E623414"/>
    <w:rsid w:val="4E672298"/>
    <w:rsid w:val="4E6874E6"/>
    <w:rsid w:val="4E7F6866"/>
    <w:rsid w:val="4E9830B2"/>
    <w:rsid w:val="4EE21FAE"/>
    <w:rsid w:val="4EE8121D"/>
    <w:rsid w:val="4F6241CE"/>
    <w:rsid w:val="4F982B82"/>
    <w:rsid w:val="4FA1542C"/>
    <w:rsid w:val="4FA24449"/>
    <w:rsid w:val="4FFA060A"/>
    <w:rsid w:val="500C2714"/>
    <w:rsid w:val="50110490"/>
    <w:rsid w:val="5027551B"/>
    <w:rsid w:val="503166CC"/>
    <w:rsid w:val="50356B19"/>
    <w:rsid w:val="504615B1"/>
    <w:rsid w:val="505705A4"/>
    <w:rsid w:val="505A402B"/>
    <w:rsid w:val="505B0DFA"/>
    <w:rsid w:val="50A15F30"/>
    <w:rsid w:val="50EC2498"/>
    <w:rsid w:val="51264EB4"/>
    <w:rsid w:val="51694996"/>
    <w:rsid w:val="516A2A99"/>
    <w:rsid w:val="51874A2C"/>
    <w:rsid w:val="51886396"/>
    <w:rsid w:val="51D64F0F"/>
    <w:rsid w:val="51E976FA"/>
    <w:rsid w:val="521C7F3E"/>
    <w:rsid w:val="527C53FC"/>
    <w:rsid w:val="529975CC"/>
    <w:rsid w:val="52A21022"/>
    <w:rsid w:val="52E70844"/>
    <w:rsid w:val="52F72DAE"/>
    <w:rsid w:val="531A5EB2"/>
    <w:rsid w:val="534505B2"/>
    <w:rsid w:val="536156E3"/>
    <w:rsid w:val="53FF6F76"/>
    <w:rsid w:val="54113F80"/>
    <w:rsid w:val="541B48DC"/>
    <w:rsid w:val="542968BD"/>
    <w:rsid w:val="544417D5"/>
    <w:rsid w:val="547D7987"/>
    <w:rsid w:val="548063FD"/>
    <w:rsid w:val="54963706"/>
    <w:rsid w:val="54966B60"/>
    <w:rsid w:val="54A50F91"/>
    <w:rsid w:val="54BB435D"/>
    <w:rsid w:val="54C22FE5"/>
    <w:rsid w:val="54E4157A"/>
    <w:rsid w:val="550B689E"/>
    <w:rsid w:val="554D3821"/>
    <w:rsid w:val="555202A8"/>
    <w:rsid w:val="557C4EDE"/>
    <w:rsid w:val="55CD5170"/>
    <w:rsid w:val="55EC4BDB"/>
    <w:rsid w:val="55F36D31"/>
    <w:rsid w:val="561F13B3"/>
    <w:rsid w:val="56276FC1"/>
    <w:rsid w:val="56596255"/>
    <w:rsid w:val="56612C32"/>
    <w:rsid w:val="56692D4E"/>
    <w:rsid w:val="566A77CC"/>
    <w:rsid w:val="56AD0F4E"/>
    <w:rsid w:val="56B21035"/>
    <w:rsid w:val="56B96664"/>
    <w:rsid w:val="56BD1537"/>
    <w:rsid w:val="574B66D4"/>
    <w:rsid w:val="57784673"/>
    <w:rsid w:val="578B2A25"/>
    <w:rsid w:val="5792530D"/>
    <w:rsid w:val="57B17A6F"/>
    <w:rsid w:val="57D56AAB"/>
    <w:rsid w:val="57E44455"/>
    <w:rsid w:val="58177947"/>
    <w:rsid w:val="58587504"/>
    <w:rsid w:val="58715B0F"/>
    <w:rsid w:val="58741FBB"/>
    <w:rsid w:val="588229F7"/>
    <w:rsid w:val="588E3718"/>
    <w:rsid w:val="589A4A11"/>
    <w:rsid w:val="58A34AE2"/>
    <w:rsid w:val="5917482B"/>
    <w:rsid w:val="591C3137"/>
    <w:rsid w:val="59304C44"/>
    <w:rsid w:val="59B50C7B"/>
    <w:rsid w:val="59D6789F"/>
    <w:rsid w:val="5A0A0501"/>
    <w:rsid w:val="5A45071C"/>
    <w:rsid w:val="5A5D6B97"/>
    <w:rsid w:val="5A7D3BA5"/>
    <w:rsid w:val="5AC665AD"/>
    <w:rsid w:val="5ACE5DC3"/>
    <w:rsid w:val="5AD67C0F"/>
    <w:rsid w:val="5AE42E51"/>
    <w:rsid w:val="5B032771"/>
    <w:rsid w:val="5B130164"/>
    <w:rsid w:val="5B165688"/>
    <w:rsid w:val="5B4B17A4"/>
    <w:rsid w:val="5BAE2DF6"/>
    <w:rsid w:val="5BBD7B31"/>
    <w:rsid w:val="5BBE638C"/>
    <w:rsid w:val="5C0D3ED2"/>
    <w:rsid w:val="5C4F282D"/>
    <w:rsid w:val="5C5E5827"/>
    <w:rsid w:val="5C600AAA"/>
    <w:rsid w:val="5C7B76E6"/>
    <w:rsid w:val="5C8D25C6"/>
    <w:rsid w:val="5C8F792B"/>
    <w:rsid w:val="5C935776"/>
    <w:rsid w:val="5CB24214"/>
    <w:rsid w:val="5CD2666A"/>
    <w:rsid w:val="5D4777E2"/>
    <w:rsid w:val="5D6D0A92"/>
    <w:rsid w:val="5DC31D34"/>
    <w:rsid w:val="5DCA1C59"/>
    <w:rsid w:val="5DF610B4"/>
    <w:rsid w:val="5E1A16A0"/>
    <w:rsid w:val="5E200574"/>
    <w:rsid w:val="5E2F3D6B"/>
    <w:rsid w:val="5E4D768F"/>
    <w:rsid w:val="5E677050"/>
    <w:rsid w:val="5E742A14"/>
    <w:rsid w:val="5F214ED7"/>
    <w:rsid w:val="5F311067"/>
    <w:rsid w:val="5F3C387C"/>
    <w:rsid w:val="5F480362"/>
    <w:rsid w:val="5F4A0F84"/>
    <w:rsid w:val="5F4C34A5"/>
    <w:rsid w:val="5F590DA8"/>
    <w:rsid w:val="5F764BFB"/>
    <w:rsid w:val="5F7C60A7"/>
    <w:rsid w:val="5F9D67C3"/>
    <w:rsid w:val="5FF33876"/>
    <w:rsid w:val="601C6A87"/>
    <w:rsid w:val="60277F66"/>
    <w:rsid w:val="60305D58"/>
    <w:rsid w:val="603E1183"/>
    <w:rsid w:val="6052201C"/>
    <w:rsid w:val="606326C5"/>
    <w:rsid w:val="6066387F"/>
    <w:rsid w:val="6090262E"/>
    <w:rsid w:val="60A747C0"/>
    <w:rsid w:val="60AD32CE"/>
    <w:rsid w:val="60AF4D16"/>
    <w:rsid w:val="60B42AC2"/>
    <w:rsid w:val="60BE7EE3"/>
    <w:rsid w:val="60CC4F84"/>
    <w:rsid w:val="60CF11EA"/>
    <w:rsid w:val="60DF0FC0"/>
    <w:rsid w:val="60EA43F5"/>
    <w:rsid w:val="60F5365F"/>
    <w:rsid w:val="610A3ABC"/>
    <w:rsid w:val="610D5FED"/>
    <w:rsid w:val="611E6876"/>
    <w:rsid w:val="613C7322"/>
    <w:rsid w:val="6143277F"/>
    <w:rsid w:val="6153159B"/>
    <w:rsid w:val="61B25D41"/>
    <w:rsid w:val="622C570D"/>
    <w:rsid w:val="62642559"/>
    <w:rsid w:val="62B47149"/>
    <w:rsid w:val="62C17B93"/>
    <w:rsid w:val="62DA10B4"/>
    <w:rsid w:val="62E03B05"/>
    <w:rsid w:val="62F11CE4"/>
    <w:rsid w:val="6303006A"/>
    <w:rsid w:val="6310462F"/>
    <w:rsid w:val="6362764E"/>
    <w:rsid w:val="63640C73"/>
    <w:rsid w:val="63932C63"/>
    <w:rsid w:val="63DE2845"/>
    <w:rsid w:val="645017F7"/>
    <w:rsid w:val="64682BAC"/>
    <w:rsid w:val="646D3A01"/>
    <w:rsid w:val="647E539B"/>
    <w:rsid w:val="64A314F2"/>
    <w:rsid w:val="64B34FAE"/>
    <w:rsid w:val="64C63625"/>
    <w:rsid w:val="650A1CC1"/>
    <w:rsid w:val="65336D2B"/>
    <w:rsid w:val="65595948"/>
    <w:rsid w:val="65A667AC"/>
    <w:rsid w:val="65B918CD"/>
    <w:rsid w:val="65D4163D"/>
    <w:rsid w:val="66485DEA"/>
    <w:rsid w:val="667948FB"/>
    <w:rsid w:val="66F00F13"/>
    <w:rsid w:val="66FF395B"/>
    <w:rsid w:val="671B6ED8"/>
    <w:rsid w:val="675C43FB"/>
    <w:rsid w:val="678F14EA"/>
    <w:rsid w:val="67A913ED"/>
    <w:rsid w:val="67CC4A9B"/>
    <w:rsid w:val="67DF6523"/>
    <w:rsid w:val="68061374"/>
    <w:rsid w:val="68123F39"/>
    <w:rsid w:val="68191419"/>
    <w:rsid w:val="68221B67"/>
    <w:rsid w:val="6837787A"/>
    <w:rsid w:val="68551C27"/>
    <w:rsid w:val="686B029F"/>
    <w:rsid w:val="68755C41"/>
    <w:rsid w:val="68AD072B"/>
    <w:rsid w:val="68BC2C04"/>
    <w:rsid w:val="68DB6E54"/>
    <w:rsid w:val="693F6DFB"/>
    <w:rsid w:val="69482463"/>
    <w:rsid w:val="695A6203"/>
    <w:rsid w:val="696F3104"/>
    <w:rsid w:val="69986076"/>
    <w:rsid w:val="699B62F3"/>
    <w:rsid w:val="69BD5579"/>
    <w:rsid w:val="69F73FAA"/>
    <w:rsid w:val="6A0730A8"/>
    <w:rsid w:val="6A172D96"/>
    <w:rsid w:val="6A4C2779"/>
    <w:rsid w:val="6A571B11"/>
    <w:rsid w:val="6A6650AE"/>
    <w:rsid w:val="6AA57A50"/>
    <w:rsid w:val="6AB758FA"/>
    <w:rsid w:val="6ABD5C8B"/>
    <w:rsid w:val="6AD7003F"/>
    <w:rsid w:val="6AE32C99"/>
    <w:rsid w:val="6AEA56DC"/>
    <w:rsid w:val="6B1672FF"/>
    <w:rsid w:val="6B530A1A"/>
    <w:rsid w:val="6B704830"/>
    <w:rsid w:val="6B902CA8"/>
    <w:rsid w:val="6BE24F62"/>
    <w:rsid w:val="6BF75711"/>
    <w:rsid w:val="6C405F6D"/>
    <w:rsid w:val="6C486F0C"/>
    <w:rsid w:val="6C4917B4"/>
    <w:rsid w:val="6C8C0A8F"/>
    <w:rsid w:val="6C9808F8"/>
    <w:rsid w:val="6CD228A1"/>
    <w:rsid w:val="6CFD022E"/>
    <w:rsid w:val="6D1B5F77"/>
    <w:rsid w:val="6D4165A8"/>
    <w:rsid w:val="6D852C72"/>
    <w:rsid w:val="6DDA78A3"/>
    <w:rsid w:val="6E1E24CA"/>
    <w:rsid w:val="6E227DEB"/>
    <w:rsid w:val="6E255EC6"/>
    <w:rsid w:val="6E2804BE"/>
    <w:rsid w:val="6E4A7982"/>
    <w:rsid w:val="6E5947BE"/>
    <w:rsid w:val="6E7E6361"/>
    <w:rsid w:val="6EA0360B"/>
    <w:rsid w:val="6ECF3F26"/>
    <w:rsid w:val="6EFF618E"/>
    <w:rsid w:val="6F252CBE"/>
    <w:rsid w:val="6F4F465B"/>
    <w:rsid w:val="6F5961CF"/>
    <w:rsid w:val="6FDC27B6"/>
    <w:rsid w:val="6FE80862"/>
    <w:rsid w:val="6FEE7BEB"/>
    <w:rsid w:val="700266F0"/>
    <w:rsid w:val="70133740"/>
    <w:rsid w:val="70152CF0"/>
    <w:rsid w:val="701E4957"/>
    <w:rsid w:val="70542EE8"/>
    <w:rsid w:val="705D2D19"/>
    <w:rsid w:val="705F23FB"/>
    <w:rsid w:val="70C50B22"/>
    <w:rsid w:val="70E50814"/>
    <w:rsid w:val="711405DC"/>
    <w:rsid w:val="71356D63"/>
    <w:rsid w:val="719541D8"/>
    <w:rsid w:val="71980896"/>
    <w:rsid w:val="71C3313D"/>
    <w:rsid w:val="71DA55CC"/>
    <w:rsid w:val="72180B0B"/>
    <w:rsid w:val="721B04B6"/>
    <w:rsid w:val="72353AC0"/>
    <w:rsid w:val="72426332"/>
    <w:rsid w:val="72567C89"/>
    <w:rsid w:val="7258625A"/>
    <w:rsid w:val="728E0349"/>
    <w:rsid w:val="7293230D"/>
    <w:rsid w:val="72AA46C1"/>
    <w:rsid w:val="72D30065"/>
    <w:rsid w:val="7314756E"/>
    <w:rsid w:val="73535F1B"/>
    <w:rsid w:val="73A83567"/>
    <w:rsid w:val="73BF6DAD"/>
    <w:rsid w:val="73CA31C2"/>
    <w:rsid w:val="73D652F3"/>
    <w:rsid w:val="73E62B5C"/>
    <w:rsid w:val="74771E32"/>
    <w:rsid w:val="74794417"/>
    <w:rsid w:val="7490297C"/>
    <w:rsid w:val="74AE618B"/>
    <w:rsid w:val="74E55BE0"/>
    <w:rsid w:val="758C36BF"/>
    <w:rsid w:val="75DD549A"/>
    <w:rsid w:val="75F145D7"/>
    <w:rsid w:val="75F17FF2"/>
    <w:rsid w:val="75F42BC4"/>
    <w:rsid w:val="76151900"/>
    <w:rsid w:val="76170E60"/>
    <w:rsid w:val="76265422"/>
    <w:rsid w:val="763E6318"/>
    <w:rsid w:val="7646385C"/>
    <w:rsid w:val="766F4DC3"/>
    <w:rsid w:val="76716D99"/>
    <w:rsid w:val="7673582D"/>
    <w:rsid w:val="76823F72"/>
    <w:rsid w:val="76B27F47"/>
    <w:rsid w:val="76F71F0C"/>
    <w:rsid w:val="7728364A"/>
    <w:rsid w:val="774027D9"/>
    <w:rsid w:val="774F517B"/>
    <w:rsid w:val="776251C0"/>
    <w:rsid w:val="777A3929"/>
    <w:rsid w:val="77967305"/>
    <w:rsid w:val="77AB1E02"/>
    <w:rsid w:val="77C43E44"/>
    <w:rsid w:val="77C62F62"/>
    <w:rsid w:val="77D75E72"/>
    <w:rsid w:val="77F50936"/>
    <w:rsid w:val="78135BE3"/>
    <w:rsid w:val="78233A89"/>
    <w:rsid w:val="78B42760"/>
    <w:rsid w:val="78F36936"/>
    <w:rsid w:val="78FD43F9"/>
    <w:rsid w:val="790C1962"/>
    <w:rsid w:val="790E2815"/>
    <w:rsid w:val="79397F5B"/>
    <w:rsid w:val="798B48E5"/>
    <w:rsid w:val="799D4C6F"/>
    <w:rsid w:val="79E70638"/>
    <w:rsid w:val="79ED36A0"/>
    <w:rsid w:val="79EF28E4"/>
    <w:rsid w:val="7A385BC4"/>
    <w:rsid w:val="7A4925E4"/>
    <w:rsid w:val="7A75366B"/>
    <w:rsid w:val="7AA32461"/>
    <w:rsid w:val="7AC74979"/>
    <w:rsid w:val="7AEB18E3"/>
    <w:rsid w:val="7AEE552A"/>
    <w:rsid w:val="7B902F3B"/>
    <w:rsid w:val="7B996C35"/>
    <w:rsid w:val="7BBF7B19"/>
    <w:rsid w:val="7BCD0FBA"/>
    <w:rsid w:val="7BDF1B02"/>
    <w:rsid w:val="7CAC20CA"/>
    <w:rsid w:val="7CAE1E76"/>
    <w:rsid w:val="7CDB53F2"/>
    <w:rsid w:val="7CFB0E1C"/>
    <w:rsid w:val="7D1810E4"/>
    <w:rsid w:val="7D4619F2"/>
    <w:rsid w:val="7D680735"/>
    <w:rsid w:val="7DB10458"/>
    <w:rsid w:val="7DD303CB"/>
    <w:rsid w:val="7DDC6E0E"/>
    <w:rsid w:val="7E167954"/>
    <w:rsid w:val="7E2A2F10"/>
    <w:rsid w:val="7E3E6BD8"/>
    <w:rsid w:val="7E4641C5"/>
    <w:rsid w:val="7E6D07BA"/>
    <w:rsid w:val="7EDA4FCD"/>
    <w:rsid w:val="7F0A6D2D"/>
    <w:rsid w:val="7F10265B"/>
    <w:rsid w:val="7F634D77"/>
    <w:rsid w:val="7F7F271E"/>
    <w:rsid w:val="7FE60542"/>
    <w:rsid w:val="7FEB5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Default Paragraph Font" w:semiHidden="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Pr>
      <w:rFonts w:cs="Times New Roman"/>
      <w:sz w:val="18"/>
      <w:szCs w:val="18"/>
    </w:rPr>
  </w:style>
  <w:style w:type="character" w:customStyle="1" w:styleId="Char">
    <w:name w:val="批注文字 Char"/>
    <w:link w:val="a4"/>
    <w:rPr>
      <w:kern w:val="2"/>
      <w:sz w:val="24"/>
      <w:szCs w:val="24"/>
    </w:rPr>
  </w:style>
  <w:style w:type="character" w:styleId="a5">
    <w:name w:val="Hyperlink"/>
    <w:uiPriority w:val="99"/>
    <w:unhideWhenUsed/>
    <w:rPr>
      <w:color w:val="0000FF"/>
      <w:u w:val="single"/>
    </w:rPr>
  </w:style>
  <w:style w:type="character" w:styleId="a6">
    <w:name w:val="Emphasis"/>
    <w:qFormat/>
    <w:rPr>
      <w:rFonts w:cs="Times New Roman"/>
      <w:i/>
      <w:iCs/>
    </w:rPr>
  </w:style>
  <w:style w:type="character" w:customStyle="1" w:styleId="Char0">
    <w:name w:val="批注主题 Char"/>
    <w:link w:val="a7"/>
    <w:rPr>
      <w:b/>
      <w:bCs/>
      <w:kern w:val="2"/>
      <w:sz w:val="21"/>
      <w:szCs w:val="22"/>
    </w:rPr>
  </w:style>
  <w:style w:type="character" w:customStyle="1" w:styleId="Char1">
    <w:name w:val="批注框文本 Char"/>
    <w:link w:val="a8"/>
    <w:rPr>
      <w:kern w:val="2"/>
      <w:sz w:val="18"/>
      <w:szCs w:val="18"/>
    </w:rPr>
  </w:style>
  <w:style w:type="paragraph" w:styleId="a8">
    <w:name w:val="Balloon Text"/>
    <w:basedOn w:val="a"/>
    <w:link w:val="Char1"/>
    <w:rPr>
      <w:sz w:val="18"/>
      <w:szCs w:val="18"/>
    </w:rPr>
  </w:style>
  <w:style w:type="paragraph" w:styleId="a4">
    <w:name w:val="annotation text"/>
    <w:basedOn w:val="a"/>
    <w:link w:val="Char"/>
    <w:rPr>
      <w:sz w:val="24"/>
      <w:szCs w:val="24"/>
    </w:rPr>
  </w:style>
  <w:style w:type="paragraph" w:styleId="a7">
    <w:name w:val="annotation subject"/>
    <w:basedOn w:val="a4"/>
    <w:next w:val="a4"/>
    <w:link w:val="Char0"/>
    <w:pPr>
      <w:jc w:val="left"/>
    </w:pPr>
    <w:rPr>
      <w:b/>
      <w:bCs/>
      <w:sz w:val="21"/>
      <w:szCs w:val="22"/>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Plain Text"/>
    <w:basedOn w:val="a"/>
    <w:link w:val="Char2"/>
    <w:unhideWhenUsed/>
    <w:rsid w:val="006F7067"/>
    <w:rPr>
      <w:rFonts w:ascii="宋体" w:hAnsi="Courier New" w:cs="Courier New"/>
      <w:szCs w:val="21"/>
    </w:rPr>
  </w:style>
  <w:style w:type="character" w:customStyle="1" w:styleId="Char2">
    <w:name w:val="纯文本 Char"/>
    <w:link w:val="aa"/>
    <w:rsid w:val="006F7067"/>
    <w:rPr>
      <w:rFonts w:ascii="宋体" w:hAnsi="Courier New" w:cs="Courier New"/>
      <w:kern w:val="2"/>
      <w:sz w:val="21"/>
      <w:szCs w:val="21"/>
    </w:rPr>
  </w:style>
  <w:style w:type="paragraph" w:styleId="ab">
    <w:name w:val="footer"/>
    <w:basedOn w:val="a"/>
    <w:link w:val="Char3"/>
    <w:rsid w:val="00657E61"/>
    <w:pPr>
      <w:tabs>
        <w:tab w:val="center" w:pos="4680"/>
        <w:tab w:val="right" w:pos="9360"/>
      </w:tabs>
    </w:pPr>
  </w:style>
  <w:style w:type="character" w:customStyle="1" w:styleId="Char3">
    <w:name w:val="页脚 Char"/>
    <w:link w:val="ab"/>
    <w:rsid w:val="00657E61"/>
    <w:rPr>
      <w:kern w:val="2"/>
      <w:sz w:val="21"/>
      <w:szCs w:val="22"/>
      <w:lang w:eastAsia="zh-CN"/>
    </w:rPr>
  </w:style>
  <w:style w:type="character" w:styleId="ac">
    <w:name w:val="page number"/>
    <w:rsid w:val="00657E61"/>
  </w:style>
  <w:style w:type="paragraph" w:styleId="ad">
    <w:name w:val="header"/>
    <w:basedOn w:val="a"/>
    <w:link w:val="Char4"/>
    <w:rsid w:val="00657E61"/>
    <w:pPr>
      <w:tabs>
        <w:tab w:val="center" w:pos="4680"/>
        <w:tab w:val="right" w:pos="9360"/>
      </w:tabs>
    </w:pPr>
  </w:style>
  <w:style w:type="character" w:customStyle="1" w:styleId="Char4">
    <w:name w:val="页眉 Char"/>
    <w:link w:val="ad"/>
    <w:rsid w:val="00657E61"/>
    <w:rPr>
      <w:kern w:val="2"/>
      <w:sz w:val="21"/>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Default Paragraph Font" w:semiHidden="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Pr>
      <w:rFonts w:cs="Times New Roman"/>
      <w:sz w:val="18"/>
      <w:szCs w:val="18"/>
    </w:rPr>
  </w:style>
  <w:style w:type="character" w:customStyle="1" w:styleId="Char">
    <w:name w:val="批注文字 Char"/>
    <w:link w:val="a4"/>
    <w:rPr>
      <w:kern w:val="2"/>
      <w:sz w:val="24"/>
      <w:szCs w:val="24"/>
    </w:rPr>
  </w:style>
  <w:style w:type="character" w:styleId="a5">
    <w:name w:val="Hyperlink"/>
    <w:uiPriority w:val="99"/>
    <w:unhideWhenUsed/>
    <w:rPr>
      <w:color w:val="0000FF"/>
      <w:u w:val="single"/>
    </w:rPr>
  </w:style>
  <w:style w:type="character" w:styleId="a6">
    <w:name w:val="Emphasis"/>
    <w:qFormat/>
    <w:rPr>
      <w:rFonts w:cs="Times New Roman"/>
      <w:i/>
      <w:iCs/>
    </w:rPr>
  </w:style>
  <w:style w:type="character" w:customStyle="1" w:styleId="Char0">
    <w:name w:val="批注主题 Char"/>
    <w:link w:val="a7"/>
    <w:rPr>
      <w:b/>
      <w:bCs/>
      <w:kern w:val="2"/>
      <w:sz w:val="21"/>
      <w:szCs w:val="22"/>
    </w:rPr>
  </w:style>
  <w:style w:type="character" w:customStyle="1" w:styleId="Char1">
    <w:name w:val="批注框文本 Char"/>
    <w:link w:val="a8"/>
    <w:rPr>
      <w:kern w:val="2"/>
      <w:sz w:val="18"/>
      <w:szCs w:val="18"/>
    </w:rPr>
  </w:style>
  <w:style w:type="paragraph" w:styleId="a8">
    <w:name w:val="Balloon Text"/>
    <w:basedOn w:val="a"/>
    <w:link w:val="Char1"/>
    <w:rPr>
      <w:sz w:val="18"/>
      <w:szCs w:val="18"/>
    </w:rPr>
  </w:style>
  <w:style w:type="paragraph" w:styleId="a4">
    <w:name w:val="annotation text"/>
    <w:basedOn w:val="a"/>
    <w:link w:val="Char"/>
    <w:rPr>
      <w:sz w:val="24"/>
      <w:szCs w:val="24"/>
    </w:rPr>
  </w:style>
  <w:style w:type="paragraph" w:styleId="a7">
    <w:name w:val="annotation subject"/>
    <w:basedOn w:val="a4"/>
    <w:next w:val="a4"/>
    <w:link w:val="Char0"/>
    <w:pPr>
      <w:jc w:val="left"/>
    </w:pPr>
    <w:rPr>
      <w:b/>
      <w:bCs/>
      <w:sz w:val="21"/>
      <w:szCs w:val="22"/>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Plain Text"/>
    <w:basedOn w:val="a"/>
    <w:link w:val="Char2"/>
    <w:unhideWhenUsed/>
    <w:rsid w:val="006F7067"/>
    <w:rPr>
      <w:rFonts w:ascii="宋体" w:hAnsi="Courier New" w:cs="Courier New"/>
      <w:szCs w:val="21"/>
    </w:rPr>
  </w:style>
  <w:style w:type="character" w:customStyle="1" w:styleId="Char2">
    <w:name w:val="纯文本 Char"/>
    <w:link w:val="aa"/>
    <w:rsid w:val="006F7067"/>
    <w:rPr>
      <w:rFonts w:ascii="宋体" w:hAnsi="Courier New" w:cs="Courier New"/>
      <w:kern w:val="2"/>
      <w:sz w:val="21"/>
      <w:szCs w:val="21"/>
    </w:rPr>
  </w:style>
  <w:style w:type="paragraph" w:styleId="ab">
    <w:name w:val="footer"/>
    <w:basedOn w:val="a"/>
    <w:link w:val="Char3"/>
    <w:rsid w:val="00657E61"/>
    <w:pPr>
      <w:tabs>
        <w:tab w:val="center" w:pos="4680"/>
        <w:tab w:val="right" w:pos="9360"/>
      </w:tabs>
    </w:pPr>
  </w:style>
  <w:style w:type="character" w:customStyle="1" w:styleId="Char3">
    <w:name w:val="页脚 Char"/>
    <w:link w:val="ab"/>
    <w:rsid w:val="00657E61"/>
    <w:rPr>
      <w:kern w:val="2"/>
      <w:sz w:val="21"/>
      <w:szCs w:val="22"/>
      <w:lang w:eastAsia="zh-CN"/>
    </w:rPr>
  </w:style>
  <w:style w:type="character" w:styleId="ac">
    <w:name w:val="page number"/>
    <w:rsid w:val="00657E61"/>
  </w:style>
  <w:style w:type="paragraph" w:styleId="ad">
    <w:name w:val="header"/>
    <w:basedOn w:val="a"/>
    <w:link w:val="Char4"/>
    <w:rsid w:val="00657E61"/>
    <w:pPr>
      <w:tabs>
        <w:tab w:val="center" w:pos="4680"/>
        <w:tab w:val="right" w:pos="9360"/>
      </w:tabs>
    </w:pPr>
  </w:style>
  <w:style w:type="character" w:customStyle="1" w:styleId="Char4">
    <w:name w:val="页眉 Char"/>
    <w:link w:val="ad"/>
    <w:rsid w:val="00657E61"/>
    <w:rPr>
      <w:kern w:val="2"/>
      <w:sz w:val="21"/>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4606</Words>
  <Characters>26257</Characters>
  <Application>Microsoft Office Word</Application>
  <DocSecurity>0</DocSecurity>
  <PresentationFormat/>
  <Lines>218</Lines>
  <Paragraphs>61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ma</cp:lastModifiedBy>
  <cp:revision>2</cp:revision>
  <dcterms:created xsi:type="dcterms:W3CDTF">2019-01-26T07:39:00Z</dcterms:created>
  <dcterms:modified xsi:type="dcterms:W3CDTF">2019-01-26T07:39:00Z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