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1B095" w14:textId="77777777" w:rsidR="00A77B3E" w:rsidRDefault="00A869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B9002EC" w14:textId="77777777" w:rsidR="00A77B3E" w:rsidRDefault="00A869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56545</w:t>
      </w:r>
    </w:p>
    <w:p w14:paraId="4ECCD374" w14:textId="77777777" w:rsidR="00A77B3E" w:rsidRDefault="00A869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2D8DA11" w14:textId="77777777" w:rsidR="00A77B3E" w:rsidRDefault="00A77B3E">
      <w:pPr>
        <w:spacing w:line="360" w:lineRule="auto"/>
        <w:jc w:val="both"/>
      </w:pPr>
    </w:p>
    <w:p w14:paraId="7432783E" w14:textId="77777777" w:rsidR="00A77B3E" w:rsidRDefault="00A869C1">
      <w:pPr>
        <w:spacing w:line="360" w:lineRule="auto"/>
        <w:jc w:val="both"/>
      </w:pPr>
      <w:r>
        <w:rPr>
          <w:rFonts w:ascii="Book Antiqua" w:eastAsia="Book Antiqua" w:hAnsi="Book Antiqua" w:cs="Book Antiqua"/>
          <w:b/>
          <w:i/>
          <w:color w:val="000000"/>
        </w:rPr>
        <w:t>Retrospective Study</w:t>
      </w:r>
    </w:p>
    <w:p w14:paraId="4F3BD9F5" w14:textId="77777777" w:rsidR="00A77B3E" w:rsidRDefault="00A869C1">
      <w:pPr>
        <w:spacing w:line="360" w:lineRule="auto"/>
        <w:jc w:val="both"/>
      </w:pPr>
      <w:r>
        <w:rPr>
          <w:rFonts w:ascii="Book Antiqua" w:eastAsia="Book Antiqua" w:hAnsi="Book Antiqua" w:cs="Book Antiqua"/>
          <w:b/>
          <w:bCs/>
          <w:color w:val="000000"/>
        </w:rPr>
        <w:t>Endoscopic submucosal dissection as alternative to surgery for complicated gastric heterotopic pancreas</w:t>
      </w:r>
    </w:p>
    <w:p w14:paraId="46257A86" w14:textId="77777777" w:rsidR="00A77B3E" w:rsidRPr="00DB1C6A" w:rsidRDefault="00A77B3E">
      <w:pPr>
        <w:spacing w:line="360" w:lineRule="auto"/>
        <w:jc w:val="both"/>
        <w:rPr>
          <w:rFonts w:ascii="Book Antiqua" w:hAnsi="Book Antiqua"/>
        </w:rPr>
      </w:pPr>
    </w:p>
    <w:p w14:paraId="26DA3D73" w14:textId="77777777" w:rsidR="00A77B3E" w:rsidRDefault="00A869C1">
      <w:pPr>
        <w:spacing w:line="360" w:lineRule="auto"/>
        <w:jc w:val="both"/>
      </w:pPr>
      <w:r>
        <w:rPr>
          <w:rFonts w:ascii="Book Antiqua" w:eastAsia="Book Antiqua" w:hAnsi="Book Antiqua" w:cs="Book Antiqua"/>
          <w:color w:val="000000"/>
        </w:rPr>
        <w:t xml:space="preserve">Noh JH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zCs w:val="20"/>
        </w:rPr>
        <w:t>ESD for complicated GHP</w:t>
      </w:r>
    </w:p>
    <w:p w14:paraId="1D74254B" w14:textId="77777777" w:rsidR="00A77B3E" w:rsidRDefault="00A77B3E">
      <w:pPr>
        <w:spacing w:line="360" w:lineRule="auto"/>
        <w:jc w:val="both"/>
      </w:pPr>
    </w:p>
    <w:p w14:paraId="0BC770C9" w14:textId="77777777" w:rsidR="00A77B3E" w:rsidRDefault="00A869C1">
      <w:pPr>
        <w:spacing w:line="360" w:lineRule="auto"/>
        <w:jc w:val="both"/>
      </w:pPr>
      <w:r>
        <w:rPr>
          <w:rFonts w:ascii="Book Antiqua" w:eastAsia="Book Antiqua" w:hAnsi="Book Antiqua" w:cs="Book Antiqua"/>
          <w:color w:val="000000"/>
        </w:rPr>
        <w:t>Jin Hee Noh, Do Hoon Kim, So-Woon Kim, Young Soo Park, Hee Kyong Na, Ji Yong Ahn, Kee Wook Jung, Jeong Hoon Lee, Kee Don Choi, Ho June Song, Gin Hyug Lee, Hwoon-Yong Jung</w:t>
      </w:r>
    </w:p>
    <w:p w14:paraId="7D3E8DE2" w14:textId="77777777" w:rsidR="00A77B3E" w:rsidRDefault="00A77B3E">
      <w:pPr>
        <w:spacing w:line="360" w:lineRule="auto"/>
        <w:jc w:val="both"/>
      </w:pPr>
    </w:p>
    <w:p w14:paraId="63D60026" w14:textId="77777777" w:rsidR="00A77B3E" w:rsidRDefault="00A869C1">
      <w:pPr>
        <w:spacing w:line="360" w:lineRule="auto"/>
        <w:jc w:val="both"/>
      </w:pPr>
      <w:r>
        <w:rPr>
          <w:rFonts w:ascii="Book Antiqua" w:eastAsia="Book Antiqua" w:hAnsi="Book Antiqua" w:cs="Book Antiqua"/>
          <w:b/>
          <w:bCs/>
          <w:color w:val="000000"/>
        </w:rPr>
        <w:t xml:space="preserve">Jin Hee Noh, Do Hoon Kim, Hee Kyong Na, Ji Yong Ahn, Kee Wook Jung, Jeong Hoon Lee, Kee Don Choi, Ho June Song, Gin Hyug Lee, Hwoon-Yong Jung, </w:t>
      </w:r>
      <w:r>
        <w:rPr>
          <w:rFonts w:ascii="Book Antiqua" w:eastAsia="Book Antiqua" w:hAnsi="Book Antiqua" w:cs="Book Antiqua"/>
          <w:color w:val="000000"/>
        </w:rPr>
        <w:t>Department of Gastroenterology, University of Ulsan College of Medicine, Asan Medical Center, Seoul 05505, South Korea</w:t>
      </w:r>
    </w:p>
    <w:p w14:paraId="23D0A51F" w14:textId="77777777" w:rsidR="00A77B3E" w:rsidRDefault="00A77B3E">
      <w:pPr>
        <w:spacing w:line="360" w:lineRule="auto"/>
        <w:jc w:val="both"/>
      </w:pPr>
    </w:p>
    <w:p w14:paraId="165B5EA5" w14:textId="77777777" w:rsidR="00A77B3E" w:rsidRDefault="00A869C1">
      <w:pPr>
        <w:spacing w:line="360" w:lineRule="auto"/>
        <w:jc w:val="both"/>
      </w:pPr>
      <w:r>
        <w:rPr>
          <w:rFonts w:ascii="Book Antiqua" w:eastAsia="Book Antiqua" w:hAnsi="Book Antiqua" w:cs="Book Antiqua"/>
          <w:b/>
          <w:bCs/>
          <w:color w:val="000000"/>
        </w:rPr>
        <w:t xml:space="preserve">So-Woon Kim, Young Soo Park, </w:t>
      </w:r>
      <w:r>
        <w:rPr>
          <w:rFonts w:ascii="Book Antiqua" w:eastAsia="Book Antiqua" w:hAnsi="Book Antiqua" w:cs="Book Antiqua"/>
          <w:color w:val="000000"/>
        </w:rPr>
        <w:t>Department of Pathology, University of Ulsan College of Medicine, Asan Medical Center, Seoul 05505, South Korea</w:t>
      </w:r>
    </w:p>
    <w:p w14:paraId="4A4AA540" w14:textId="77777777" w:rsidR="00A77B3E" w:rsidRDefault="00A77B3E">
      <w:pPr>
        <w:spacing w:line="360" w:lineRule="auto"/>
        <w:jc w:val="both"/>
      </w:pPr>
    </w:p>
    <w:p w14:paraId="2CB262C4" w14:textId="220FBA14" w:rsidR="00A77B3E" w:rsidRDefault="00A869C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CFCFC"/>
        </w:rPr>
        <w:t>All authors contributed to the study design and data collection</w:t>
      </w:r>
      <w:r w:rsidR="00FF45AC">
        <w:rPr>
          <w:rFonts w:ascii="Book Antiqua" w:eastAsia="Book Antiqua" w:hAnsi="Book Antiqua" w:cs="Book Antiqua"/>
          <w:color w:val="000000"/>
          <w:shd w:val="clear" w:color="auto" w:fill="FCFCFC"/>
        </w:rPr>
        <w:t>,</w:t>
      </w:r>
      <w:r>
        <w:rPr>
          <w:rFonts w:ascii="Book Antiqua" w:eastAsia="Book Antiqua" w:hAnsi="Book Antiqua" w:cs="Book Antiqua"/>
          <w:color w:val="000000"/>
          <w:shd w:val="clear" w:color="auto" w:fill="FCFCFC"/>
        </w:rPr>
        <w:t xml:space="preserve"> </w:t>
      </w:r>
      <w:r w:rsidR="00FF45AC">
        <w:rPr>
          <w:rFonts w:ascii="Book Antiqua" w:eastAsia="Book Antiqua" w:hAnsi="Book Antiqua" w:cs="Book Antiqua"/>
          <w:color w:val="000000"/>
          <w:shd w:val="clear" w:color="auto" w:fill="FCFCFC"/>
        </w:rPr>
        <w:t>Noh JH, Kim DH contributed to m</w:t>
      </w:r>
      <w:r>
        <w:rPr>
          <w:rFonts w:ascii="Book Antiqua" w:eastAsia="Book Antiqua" w:hAnsi="Book Antiqua" w:cs="Book Antiqua"/>
          <w:color w:val="000000"/>
          <w:shd w:val="clear" w:color="auto" w:fill="FCFCFC"/>
        </w:rPr>
        <w:t xml:space="preserve">aterial preparation, data collection and analysis; </w:t>
      </w:r>
      <w:r w:rsidR="00FF45AC">
        <w:rPr>
          <w:rFonts w:ascii="Book Antiqua" w:eastAsia="Book Antiqua" w:hAnsi="Book Antiqua" w:cs="Book Antiqua"/>
          <w:color w:val="000000"/>
          <w:shd w:val="clear" w:color="auto" w:fill="FCFCFC"/>
        </w:rPr>
        <w:t xml:space="preserve">Noh JH, Kim DH contributed to writing </w:t>
      </w:r>
      <w:r>
        <w:rPr>
          <w:rFonts w:ascii="Book Antiqua" w:eastAsia="Book Antiqua" w:hAnsi="Book Antiqua" w:cs="Book Antiqua"/>
          <w:color w:val="000000"/>
          <w:shd w:val="clear" w:color="auto" w:fill="FCFCFC"/>
        </w:rPr>
        <w:t>the first draft of the manuscript</w:t>
      </w:r>
      <w:r w:rsidR="00FF45AC">
        <w:rPr>
          <w:rFonts w:ascii="Book Antiqua" w:eastAsia="Book Antiqua" w:hAnsi="Book Antiqua" w:cs="Book Antiqua"/>
          <w:color w:val="000000"/>
          <w:shd w:val="clear" w:color="auto" w:fill="FCFCFC"/>
        </w:rPr>
        <w:t xml:space="preserve">; </w:t>
      </w:r>
      <w:r>
        <w:rPr>
          <w:rFonts w:ascii="Book Antiqua" w:eastAsia="Book Antiqua" w:hAnsi="Book Antiqua" w:cs="Book Antiqua"/>
          <w:color w:val="000000"/>
          <w:shd w:val="clear" w:color="auto" w:fill="FCFCFC"/>
        </w:rPr>
        <w:t xml:space="preserve">all authors edited on previous versions of the manuscript; </w:t>
      </w:r>
      <w:r w:rsidR="00FF45AC">
        <w:rPr>
          <w:rFonts w:ascii="Book Antiqua" w:eastAsia="Book Antiqua" w:hAnsi="Book Antiqua" w:cs="Book Antiqua"/>
          <w:color w:val="000000"/>
          <w:shd w:val="clear" w:color="auto" w:fill="FCFCFC"/>
        </w:rPr>
        <w:t xml:space="preserve">and </w:t>
      </w:r>
      <w:r>
        <w:rPr>
          <w:rFonts w:ascii="Book Antiqua" w:eastAsia="Book Antiqua" w:hAnsi="Book Antiqua" w:cs="Book Antiqua"/>
          <w:color w:val="000000"/>
          <w:shd w:val="clear" w:color="auto" w:fill="FCFCFC"/>
        </w:rPr>
        <w:t>all authors read and approved the final manuscript.</w:t>
      </w:r>
    </w:p>
    <w:p w14:paraId="5283BCDD" w14:textId="77777777" w:rsidR="00A77B3E" w:rsidRDefault="00A77B3E">
      <w:pPr>
        <w:spacing w:line="360" w:lineRule="auto"/>
        <w:jc w:val="both"/>
      </w:pPr>
    </w:p>
    <w:p w14:paraId="22F144F3" w14:textId="77777777" w:rsidR="00A77B3E" w:rsidRDefault="00A869C1">
      <w:pPr>
        <w:spacing w:line="360" w:lineRule="auto"/>
        <w:jc w:val="both"/>
      </w:pPr>
      <w:r>
        <w:rPr>
          <w:rFonts w:ascii="Book Antiqua" w:eastAsia="Book Antiqua" w:hAnsi="Book Antiqua" w:cs="Book Antiqua"/>
          <w:b/>
          <w:bCs/>
          <w:color w:val="000000"/>
        </w:rPr>
        <w:lastRenderedPageBreak/>
        <w:t xml:space="preserve">Corresponding author: Do Hoon Kim, MD, PhD, Associate Professor, </w:t>
      </w:r>
      <w:r>
        <w:rPr>
          <w:rFonts w:ascii="Book Antiqua" w:eastAsia="Book Antiqua" w:hAnsi="Book Antiqua" w:cs="Book Antiqua"/>
          <w:color w:val="000000"/>
        </w:rPr>
        <w:t>Department of Gastroenterology, University of Ulsan College of Medicine, Asan Medical Center, 88, Olympic-ro 43-gil, Songpa-gu, Seoul 05505, South Korea. dohoon.md@gmail.com</w:t>
      </w:r>
    </w:p>
    <w:p w14:paraId="1CEEEFE0" w14:textId="77777777" w:rsidR="00A77B3E" w:rsidRDefault="00A77B3E">
      <w:pPr>
        <w:spacing w:line="360" w:lineRule="auto"/>
        <w:jc w:val="both"/>
      </w:pPr>
    </w:p>
    <w:p w14:paraId="157536CD" w14:textId="77777777" w:rsidR="00A77B3E" w:rsidRDefault="00A869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11, 2020</w:t>
      </w:r>
    </w:p>
    <w:p w14:paraId="4CC40275" w14:textId="77777777" w:rsidR="00A77B3E" w:rsidRDefault="00A869C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8, 2020</w:t>
      </w:r>
    </w:p>
    <w:p w14:paraId="169F0DE2" w14:textId="34FBC23E" w:rsidR="00A77B3E" w:rsidRPr="00FE6FAB" w:rsidRDefault="00A869C1" w:rsidP="00FE6FA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FE6FAB">
        <w:rPr>
          <w:rFonts w:ascii="Book Antiqua" w:hAnsi="Book Antiqua" w:cs="Arial"/>
          <w:color w:val="000000" w:themeColor="text1"/>
          <w:shd w:val="clear" w:color="auto" w:fill="FFFFFF"/>
        </w:rPr>
        <w:t>September 8, 2020</w:t>
      </w:r>
    </w:p>
    <w:p w14:paraId="6EE46699" w14:textId="27AC2B66" w:rsidR="00A77B3E" w:rsidRPr="003D3ECD" w:rsidRDefault="00A869C1">
      <w:pPr>
        <w:spacing w:line="360" w:lineRule="auto"/>
        <w:jc w:val="both"/>
        <w:rPr>
          <w:lang w:eastAsia="zh-CN"/>
        </w:rPr>
      </w:pPr>
      <w:r>
        <w:rPr>
          <w:rFonts w:ascii="Book Antiqua" w:eastAsia="Book Antiqua" w:hAnsi="Book Antiqua" w:cs="Book Antiqua"/>
          <w:b/>
          <w:bCs/>
          <w:color w:val="000000"/>
        </w:rPr>
        <w:t xml:space="preserve">Published online: </w:t>
      </w:r>
      <w:r w:rsidR="003D3ECD" w:rsidRPr="003D3ECD">
        <w:rPr>
          <w:rFonts w:ascii="Book Antiqua" w:hAnsi="Book Antiqua" w:cs="Book Antiqua" w:hint="eastAsia"/>
          <w:bCs/>
          <w:color w:val="000000"/>
          <w:lang w:eastAsia="zh-CN"/>
        </w:rPr>
        <w:t xml:space="preserve">October </w:t>
      </w:r>
      <w:r w:rsidR="004F62A0">
        <w:rPr>
          <w:rFonts w:ascii="Book Antiqua" w:hAnsi="Book Antiqua" w:cs="Book Antiqua" w:hint="eastAsia"/>
          <w:bCs/>
          <w:color w:val="000000"/>
          <w:lang w:eastAsia="zh-CN"/>
        </w:rPr>
        <w:t>2</w:t>
      </w:r>
      <w:r w:rsidR="003D3ECD" w:rsidRPr="003D3ECD">
        <w:rPr>
          <w:rFonts w:ascii="Book Antiqua" w:hAnsi="Book Antiqua" w:cs="Book Antiqua" w:hint="eastAsia"/>
          <w:bCs/>
          <w:color w:val="000000"/>
          <w:lang w:eastAsia="zh-CN"/>
        </w:rPr>
        <w:t>6, 2020</w:t>
      </w:r>
    </w:p>
    <w:p w14:paraId="4B40F11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56D1230" w14:textId="77777777" w:rsidR="00A77B3E" w:rsidRDefault="00A869C1">
      <w:pPr>
        <w:spacing w:line="360" w:lineRule="auto"/>
        <w:jc w:val="both"/>
      </w:pPr>
      <w:r>
        <w:rPr>
          <w:rFonts w:ascii="Book Antiqua" w:eastAsia="Book Antiqua" w:hAnsi="Book Antiqua" w:cs="Book Antiqua"/>
          <w:b/>
          <w:color w:val="000000"/>
        </w:rPr>
        <w:t>Abstract</w:t>
      </w:r>
    </w:p>
    <w:p w14:paraId="145F7C54" w14:textId="77777777" w:rsidR="00A77B3E" w:rsidRDefault="00A869C1">
      <w:pPr>
        <w:spacing w:line="360" w:lineRule="auto"/>
        <w:jc w:val="both"/>
      </w:pPr>
      <w:r>
        <w:rPr>
          <w:rFonts w:ascii="Book Antiqua" w:eastAsia="Book Antiqua" w:hAnsi="Book Antiqua" w:cs="Book Antiqua"/>
          <w:color w:val="000000"/>
        </w:rPr>
        <w:t>BACKGROUND</w:t>
      </w:r>
    </w:p>
    <w:p w14:paraId="2E316188" w14:textId="77777777" w:rsidR="00A77B3E" w:rsidRDefault="00A869C1">
      <w:pPr>
        <w:spacing w:line="360" w:lineRule="auto"/>
        <w:jc w:val="both"/>
      </w:pPr>
      <w:r>
        <w:rPr>
          <w:rFonts w:ascii="Book Antiqua" w:eastAsia="Book Antiqua" w:hAnsi="Book Antiqua" w:cs="Book Antiqua"/>
          <w:color w:val="000000"/>
        </w:rPr>
        <w:t>Gastric heterotopic pancreas (GHP) is generally asymptomatic and rarely features complications such as pancreatitis, pseudocysts, gastric outlet obstruction, bleeding, obstructive jaundice, or intussusception. However, the treatment of complicated GHP is challenging and often requires surgical resection.</w:t>
      </w:r>
    </w:p>
    <w:p w14:paraId="37776F08" w14:textId="77777777" w:rsidR="00A77B3E" w:rsidRDefault="00A77B3E">
      <w:pPr>
        <w:spacing w:line="360" w:lineRule="auto"/>
        <w:jc w:val="both"/>
      </w:pPr>
    </w:p>
    <w:p w14:paraId="7BEB4A76" w14:textId="77777777" w:rsidR="00A77B3E" w:rsidRDefault="00A869C1">
      <w:pPr>
        <w:spacing w:line="360" w:lineRule="auto"/>
        <w:jc w:val="both"/>
      </w:pPr>
      <w:r>
        <w:rPr>
          <w:rFonts w:ascii="Book Antiqua" w:eastAsia="Book Antiqua" w:hAnsi="Book Antiqua" w:cs="Book Antiqua"/>
          <w:color w:val="000000"/>
        </w:rPr>
        <w:t>AIM</w:t>
      </w:r>
    </w:p>
    <w:p w14:paraId="0C9498CA" w14:textId="1E18115B" w:rsidR="00A77B3E" w:rsidRDefault="00A869C1">
      <w:pPr>
        <w:spacing w:line="360" w:lineRule="auto"/>
        <w:jc w:val="both"/>
      </w:pPr>
      <w:r>
        <w:rPr>
          <w:rFonts w:ascii="Book Antiqua" w:eastAsia="Book Antiqua" w:hAnsi="Book Antiqua" w:cs="Book Antiqua"/>
          <w:color w:val="000000"/>
        </w:rPr>
        <w:t>To investigate the clinical outcomes of endoscopic submucosal dissection (ESD) as alternative to surgical resection for complicated GHP.</w:t>
      </w:r>
    </w:p>
    <w:p w14:paraId="3BB6440A" w14:textId="77777777" w:rsidR="00A77B3E" w:rsidRDefault="00A77B3E">
      <w:pPr>
        <w:spacing w:line="360" w:lineRule="auto"/>
        <w:jc w:val="both"/>
      </w:pPr>
    </w:p>
    <w:p w14:paraId="5A5D187C" w14:textId="77777777" w:rsidR="00A77B3E" w:rsidRDefault="00A869C1">
      <w:pPr>
        <w:spacing w:line="360" w:lineRule="auto"/>
        <w:jc w:val="both"/>
      </w:pPr>
      <w:r>
        <w:rPr>
          <w:rFonts w:ascii="Book Antiqua" w:eastAsia="Book Antiqua" w:hAnsi="Book Antiqua" w:cs="Book Antiqua"/>
          <w:color w:val="000000"/>
        </w:rPr>
        <w:t>METHODS</w:t>
      </w:r>
    </w:p>
    <w:p w14:paraId="4081399E" w14:textId="77777777" w:rsidR="00A77B3E" w:rsidRDefault="00A869C1">
      <w:pPr>
        <w:spacing w:line="360" w:lineRule="auto"/>
        <w:jc w:val="both"/>
      </w:pPr>
      <w:r>
        <w:rPr>
          <w:rFonts w:ascii="Book Antiqua" w:eastAsia="Book Antiqua" w:hAnsi="Book Antiqua" w:cs="Book Antiqua"/>
          <w:color w:val="000000"/>
        </w:rPr>
        <w:t>This is a single-center, retrospective study. Between January 2013 and December 2017, a total of 5 patients underwent ESD for complicated GHP at Asan Medical Center. Patients who were diagnosed with complicated GHP were treated conservatively as with general practice for acute pancreatitis. After conservative management for resolving the acute phase of pancreatitis, ESD was performed as definitive treatment for complicated GHP. ESD was performed using the conventional method under conscious sedation. The clinical features of patients and tumors, procedure-related characteristics, and long-term outcomes were investigated.</w:t>
      </w:r>
    </w:p>
    <w:p w14:paraId="388C43CE" w14:textId="77777777" w:rsidR="00A77B3E" w:rsidRDefault="00A77B3E">
      <w:pPr>
        <w:spacing w:line="360" w:lineRule="auto"/>
        <w:jc w:val="both"/>
      </w:pPr>
    </w:p>
    <w:p w14:paraId="781214C4" w14:textId="77777777" w:rsidR="00A77B3E" w:rsidRDefault="00A869C1">
      <w:pPr>
        <w:spacing w:line="360" w:lineRule="auto"/>
        <w:jc w:val="both"/>
      </w:pPr>
      <w:r>
        <w:rPr>
          <w:rFonts w:ascii="Book Antiqua" w:eastAsia="Book Antiqua" w:hAnsi="Book Antiqua" w:cs="Book Antiqua"/>
          <w:color w:val="000000"/>
        </w:rPr>
        <w:t>RESULTS</w:t>
      </w:r>
    </w:p>
    <w:p w14:paraId="68B3A8B9" w14:textId="340B50C7" w:rsidR="00A77B3E" w:rsidRDefault="00A869C1">
      <w:pPr>
        <w:spacing w:line="360" w:lineRule="auto"/>
        <w:jc w:val="both"/>
      </w:pPr>
      <w:r>
        <w:rPr>
          <w:rFonts w:ascii="Book Antiqua" w:eastAsia="Book Antiqua" w:hAnsi="Book Antiqua" w:cs="Book Antiqua"/>
          <w:color w:val="000000"/>
        </w:rPr>
        <w:t>The age of the 5 patients ranged from 28</w:t>
      </w:r>
      <w:r w:rsidR="00077A86">
        <w:rPr>
          <w:rFonts w:ascii="Book Antiqua" w:eastAsia="Book Antiqua" w:hAnsi="Book Antiqua" w:cs="Book Antiqua"/>
          <w:color w:val="000000"/>
        </w:rPr>
        <w:t>-</w:t>
      </w:r>
      <w:r>
        <w:rPr>
          <w:rFonts w:ascii="Book Antiqua" w:eastAsia="Book Antiqua" w:hAnsi="Book Antiqua" w:cs="Book Antiqua"/>
          <w:color w:val="000000"/>
        </w:rPr>
        <w:t xml:space="preserve">43 years. Two of the patients were males. All lesions were located in the greater curvature of the antrum. On endoscopic ultrasonography during the pain episode, all lesions were located across the muscularis mucosa, submucosa, and proper muscle layers. The median lesion size was 20 </w:t>
      </w:r>
      <w:r w:rsidR="00F301C8">
        <w:rPr>
          <w:rFonts w:ascii="Book Antiqua" w:eastAsia="Book Antiqua" w:hAnsi="Book Antiqua" w:cs="Book Antiqua"/>
          <w:color w:val="000000"/>
        </w:rPr>
        <w:t>[interquartile range (IQR)</w:t>
      </w:r>
      <w:r>
        <w:rPr>
          <w:rFonts w:ascii="Book Antiqua" w:eastAsia="Book Antiqua" w:hAnsi="Book Antiqua" w:cs="Book Antiqua"/>
          <w:color w:val="000000"/>
        </w:rPr>
        <w:t>,</w:t>
      </w:r>
      <w:r w:rsidR="00F301C8">
        <w:rPr>
          <w:rFonts w:ascii="Book Antiqua" w:eastAsia="Book Antiqua" w:hAnsi="Book Antiqua" w:cs="Book Antiqua"/>
          <w:color w:val="000000"/>
        </w:rPr>
        <w:t xml:space="preserve"> </w:t>
      </w:r>
      <w:r>
        <w:rPr>
          <w:rFonts w:ascii="Book Antiqua" w:eastAsia="Book Antiqua" w:hAnsi="Book Antiqua" w:cs="Book Antiqua"/>
          <w:color w:val="000000"/>
        </w:rPr>
        <w:t>18</w:t>
      </w:r>
      <w:r w:rsidR="00DE28FD">
        <w:rPr>
          <w:rFonts w:ascii="Book Antiqua" w:eastAsia="Book Antiqua" w:hAnsi="Book Antiqua" w:cs="Book Antiqua"/>
          <w:color w:val="000000"/>
        </w:rPr>
        <w:t>-</w:t>
      </w:r>
      <w:r>
        <w:rPr>
          <w:rFonts w:ascii="Book Antiqua" w:eastAsia="Book Antiqua" w:hAnsi="Book Antiqua" w:cs="Book Antiqua"/>
          <w:color w:val="000000"/>
        </w:rPr>
        <w:t>35</w:t>
      </w:r>
      <w:r w:rsidR="00F301C8">
        <w:rPr>
          <w:rFonts w:ascii="Book Antiqua" w:eastAsia="Book Antiqua" w:hAnsi="Book Antiqua" w:cs="Book Antiqua"/>
          <w:color w:val="000000"/>
        </w:rPr>
        <w:t>]</w:t>
      </w:r>
      <w:r>
        <w:rPr>
          <w:rFonts w:ascii="Book Antiqua" w:eastAsia="Book Antiqua" w:hAnsi="Book Antiqua" w:cs="Book Antiqua"/>
          <w:color w:val="000000"/>
        </w:rPr>
        <w:t xml:space="preserve"> during the pain episode at the time of the diagnosis of complicated GHP, and 15 mm (IQR, 9</w:t>
      </w:r>
      <w:r w:rsidR="00DE28FD">
        <w:rPr>
          <w:rFonts w:ascii="Book Antiqua" w:eastAsia="Book Antiqua" w:hAnsi="Book Antiqua" w:cs="Book Antiqua"/>
          <w:color w:val="000000"/>
        </w:rPr>
        <w:t>-</w:t>
      </w:r>
      <w:r>
        <w:rPr>
          <w:rFonts w:ascii="Book Antiqua" w:eastAsia="Book Antiqua" w:hAnsi="Book Antiqua" w:cs="Book Antiqua"/>
          <w:color w:val="000000"/>
        </w:rPr>
        <w:t>33) at the time of ESD after conservative treatment. The procedure time ranged from 15</w:t>
      </w:r>
      <w:r w:rsidR="00077A86">
        <w:rPr>
          <w:rFonts w:ascii="Book Antiqua" w:eastAsia="Book Antiqua" w:hAnsi="Book Antiqua" w:cs="Book Antiqua"/>
          <w:color w:val="000000"/>
        </w:rPr>
        <w:t>-</w:t>
      </w:r>
      <w:r>
        <w:rPr>
          <w:rFonts w:ascii="Book Antiqua" w:eastAsia="Book Antiqua" w:hAnsi="Book Antiqua" w:cs="Book Antiqua"/>
          <w:color w:val="000000"/>
        </w:rPr>
        <w:t>120 min. There were no procedure-related adverse events such as perforation or bleeding. The length of hospital stay after the procedure ranged from 2</w:t>
      </w:r>
      <w:r w:rsidR="00DE28FD">
        <w:rPr>
          <w:rFonts w:ascii="Book Antiqua" w:eastAsia="Book Antiqua" w:hAnsi="Book Antiqua" w:cs="Book Antiqua"/>
          <w:color w:val="000000"/>
        </w:rPr>
        <w:t>-</w:t>
      </w:r>
      <w:r>
        <w:rPr>
          <w:rFonts w:ascii="Book Antiqua" w:eastAsia="Book Antiqua" w:hAnsi="Book Antiqua" w:cs="Book Antiqua"/>
          <w:color w:val="000000"/>
        </w:rPr>
        <w:t>4 d. All patients were symptom free during the median follow-up period of 46.0 mo (IQR, 39</w:t>
      </w:r>
      <w:r w:rsidR="00DE28FD">
        <w:rPr>
          <w:rFonts w:ascii="Book Antiqua" w:eastAsia="Book Antiqua" w:hAnsi="Book Antiqua" w:cs="Book Antiqua"/>
          <w:color w:val="000000"/>
        </w:rPr>
        <w:t>-</w:t>
      </w:r>
      <w:r>
        <w:rPr>
          <w:rFonts w:ascii="Book Antiqua" w:eastAsia="Book Antiqua" w:hAnsi="Book Antiqua" w:cs="Book Antiqua"/>
          <w:color w:val="000000"/>
        </w:rPr>
        <w:t>60).</w:t>
      </w:r>
    </w:p>
    <w:p w14:paraId="4F5CB56C" w14:textId="77777777" w:rsidR="00A77B3E" w:rsidRDefault="00A77B3E">
      <w:pPr>
        <w:spacing w:line="360" w:lineRule="auto"/>
        <w:jc w:val="both"/>
      </w:pPr>
    </w:p>
    <w:p w14:paraId="32A8BF82" w14:textId="77777777" w:rsidR="00A77B3E" w:rsidRDefault="00A869C1">
      <w:pPr>
        <w:spacing w:line="360" w:lineRule="auto"/>
        <w:jc w:val="both"/>
      </w:pPr>
      <w:r>
        <w:rPr>
          <w:rFonts w:ascii="Book Antiqua" w:eastAsia="Book Antiqua" w:hAnsi="Book Antiqua" w:cs="Book Antiqua"/>
          <w:color w:val="000000"/>
        </w:rPr>
        <w:t>CONCLUSION</w:t>
      </w:r>
    </w:p>
    <w:p w14:paraId="0EC7BED0" w14:textId="27C36AB9" w:rsidR="00A77B3E" w:rsidRDefault="00A869C1">
      <w:pPr>
        <w:spacing w:line="360" w:lineRule="auto"/>
        <w:jc w:val="both"/>
      </w:pPr>
      <w:r>
        <w:rPr>
          <w:rFonts w:ascii="Book Antiqua" w:eastAsia="Book Antiqua" w:hAnsi="Book Antiqua" w:cs="Book Antiqua"/>
          <w:color w:val="000000"/>
        </w:rPr>
        <w:t>ESD appears to be a feasible and effective treatment option for complicated GHP based on the favorable clinical outcomes.</w:t>
      </w:r>
    </w:p>
    <w:p w14:paraId="1FEFEA36" w14:textId="77777777" w:rsidR="00A77B3E" w:rsidRDefault="00A77B3E">
      <w:pPr>
        <w:spacing w:line="360" w:lineRule="auto"/>
        <w:jc w:val="both"/>
      </w:pPr>
    </w:p>
    <w:p w14:paraId="51F8D961" w14:textId="77777777" w:rsidR="00A77B3E" w:rsidRDefault="00A869C1">
      <w:pPr>
        <w:spacing w:line="360" w:lineRule="auto"/>
        <w:jc w:val="both"/>
      </w:pPr>
      <w:r>
        <w:rPr>
          <w:rFonts w:ascii="Book Antiqua" w:eastAsia="Book Antiqua" w:hAnsi="Book Antiqua" w:cs="Book Antiqua"/>
          <w:b/>
          <w:bCs/>
          <w:color w:val="000000"/>
        </w:rPr>
        <w:t xml:space="preserve">Key </w:t>
      </w:r>
      <w:r w:rsidRPr="00791A2E">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Endoscopic submucosal dissection; Gastric; Heterotopic pancreas; Pancreatitis</w:t>
      </w:r>
    </w:p>
    <w:p w14:paraId="52B84E2E" w14:textId="77777777" w:rsidR="00A77B3E" w:rsidRDefault="00A77B3E">
      <w:pPr>
        <w:spacing w:line="360" w:lineRule="auto"/>
        <w:jc w:val="both"/>
      </w:pPr>
    </w:p>
    <w:p w14:paraId="6DB38D08" w14:textId="77777777" w:rsidR="006F62D6" w:rsidRDefault="00CE1D75">
      <w:pPr>
        <w:spacing w:line="360" w:lineRule="auto"/>
        <w:jc w:val="both"/>
        <w:rPr>
          <w:rFonts w:ascii="Book Antiqua" w:hAnsi="Book Antiqua" w:cs="Book Antiqua" w:hint="eastAsia"/>
          <w:color w:val="000000"/>
          <w:lang w:eastAsia="zh-CN"/>
        </w:rPr>
      </w:pPr>
      <w:r w:rsidRPr="00CE1D75">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869C1">
        <w:rPr>
          <w:rFonts w:ascii="Book Antiqua" w:eastAsia="Book Antiqua" w:hAnsi="Book Antiqua" w:cs="Book Antiqua"/>
          <w:color w:val="000000"/>
        </w:rPr>
        <w:t xml:space="preserve">Noh JH, Kim DH, Kim SW, Park YS, Na HK, Ahn JY, Jung KW, Lee JH, Choi KD, Song HJ, Lee GH, Jung HY. Endoscopic submucosal dissection as alternative to surgery for complicated gastric heterotopic pancreas. </w:t>
      </w:r>
      <w:r w:rsidR="00A869C1">
        <w:rPr>
          <w:rFonts w:ascii="Book Antiqua" w:eastAsia="Book Antiqua" w:hAnsi="Book Antiqua" w:cs="Book Antiqua"/>
          <w:i/>
          <w:iCs/>
          <w:color w:val="000000"/>
        </w:rPr>
        <w:t>World J Clin Cases</w:t>
      </w:r>
      <w:r w:rsidR="00A869C1">
        <w:rPr>
          <w:rFonts w:ascii="Book Antiqua" w:eastAsia="Book Antiqua" w:hAnsi="Book Antiqua" w:cs="Book Antiqua"/>
          <w:color w:val="000000"/>
        </w:rPr>
        <w:t xml:space="preserve"> </w:t>
      </w:r>
      <w:bookmarkStart w:id="0" w:name="OLE_LINK36"/>
      <w:r w:rsidR="00A869C1">
        <w:rPr>
          <w:rFonts w:ascii="Book Antiqua" w:eastAsia="Book Antiqua" w:hAnsi="Book Antiqua" w:cs="Book Antiqua"/>
          <w:color w:val="000000"/>
        </w:rPr>
        <w:t xml:space="preserve">2020; </w:t>
      </w:r>
      <w:r w:rsidR="00DE457D" w:rsidRPr="00DE457D">
        <w:rPr>
          <w:rFonts w:ascii="Book Antiqua" w:eastAsia="Book Antiqua" w:hAnsi="Book Antiqua" w:cs="Book Antiqua"/>
          <w:color w:val="000000"/>
        </w:rPr>
        <w:t>8(</w:t>
      </w:r>
      <w:r w:rsidR="004F62A0">
        <w:rPr>
          <w:rFonts w:ascii="Book Antiqua" w:hAnsi="Book Antiqua" w:cs="Book Antiqua" w:hint="eastAsia"/>
          <w:color w:val="000000"/>
          <w:lang w:eastAsia="zh-CN"/>
        </w:rPr>
        <w:t>20</w:t>
      </w:r>
      <w:r w:rsidR="00DE457D" w:rsidRPr="00DE457D">
        <w:rPr>
          <w:rFonts w:ascii="Book Antiqua" w:eastAsia="Book Antiqua" w:hAnsi="Book Antiqua" w:cs="Book Antiqua"/>
          <w:color w:val="000000"/>
        </w:rPr>
        <w:t xml:space="preserve">): </w:t>
      </w:r>
      <w:r w:rsidR="003E700E" w:rsidRPr="003E700E">
        <w:rPr>
          <w:rFonts w:ascii="Book Antiqua" w:eastAsia="Book Antiqua" w:hAnsi="Book Antiqua" w:cs="Book Antiqua"/>
          <w:color w:val="000000"/>
        </w:rPr>
        <w:t>4708-</w:t>
      </w:r>
      <w:bookmarkStart w:id="1" w:name="_GoBack"/>
      <w:r w:rsidR="003E700E" w:rsidRPr="003E700E">
        <w:rPr>
          <w:rFonts w:ascii="Book Antiqua" w:eastAsia="Book Antiqua" w:hAnsi="Book Antiqua" w:cs="Book Antiqua"/>
          <w:color w:val="000000"/>
        </w:rPr>
        <w:t>4718</w:t>
      </w:r>
      <w:bookmarkEnd w:id="0"/>
      <w:bookmarkEnd w:id="1"/>
      <w:r w:rsidR="00DE457D" w:rsidRPr="00DE457D">
        <w:rPr>
          <w:rFonts w:ascii="Book Antiqua" w:eastAsia="Book Antiqua" w:hAnsi="Book Antiqua" w:cs="Book Antiqua"/>
          <w:color w:val="000000"/>
        </w:rPr>
        <w:t xml:space="preserve">  </w:t>
      </w:r>
    </w:p>
    <w:p w14:paraId="6D011562" w14:textId="77777777" w:rsidR="006F62D6" w:rsidRDefault="00DE457D">
      <w:pPr>
        <w:spacing w:line="360" w:lineRule="auto"/>
        <w:jc w:val="both"/>
        <w:rPr>
          <w:rFonts w:ascii="Book Antiqua" w:hAnsi="Book Antiqua" w:cs="Book Antiqua" w:hint="eastAsia"/>
          <w:color w:val="000000"/>
          <w:lang w:eastAsia="zh-CN"/>
        </w:rPr>
      </w:pPr>
      <w:r w:rsidRPr="006F62D6">
        <w:rPr>
          <w:rFonts w:ascii="Book Antiqua" w:eastAsia="Book Antiqua" w:hAnsi="Book Antiqua" w:cs="Book Antiqua"/>
          <w:b/>
          <w:color w:val="000000"/>
        </w:rPr>
        <w:t>URL:</w:t>
      </w:r>
      <w:r w:rsidRPr="00DE457D">
        <w:rPr>
          <w:rFonts w:ascii="Book Antiqua" w:eastAsia="Book Antiqua" w:hAnsi="Book Antiqua" w:cs="Book Antiqua"/>
          <w:color w:val="000000"/>
        </w:rPr>
        <w:t xml:space="preserve"> https://www.wjgnet.com/2307-8960/full/v8/i</w:t>
      </w:r>
      <w:r w:rsidR="004F62A0">
        <w:rPr>
          <w:rFonts w:ascii="Book Antiqua" w:hAnsi="Book Antiqua" w:cs="Book Antiqua" w:hint="eastAsia"/>
          <w:color w:val="000000"/>
          <w:lang w:eastAsia="zh-CN"/>
        </w:rPr>
        <w:t>20</w:t>
      </w:r>
      <w:r w:rsidRPr="00DE457D">
        <w:rPr>
          <w:rFonts w:ascii="Book Antiqua" w:eastAsia="Book Antiqua" w:hAnsi="Book Antiqua" w:cs="Book Antiqua"/>
          <w:color w:val="000000"/>
        </w:rPr>
        <w:t>/</w:t>
      </w:r>
      <w:r w:rsidR="003E700E">
        <w:rPr>
          <w:rFonts w:ascii="Book Antiqua" w:hAnsi="Book Antiqua" w:cs="Book Antiqua" w:hint="eastAsia"/>
          <w:color w:val="000000"/>
          <w:lang w:eastAsia="zh-CN"/>
        </w:rPr>
        <w:t>4708</w:t>
      </w:r>
      <w:r w:rsidRPr="00DE457D">
        <w:rPr>
          <w:rFonts w:ascii="Book Antiqua" w:eastAsia="Book Antiqua" w:hAnsi="Book Antiqua" w:cs="Book Antiqua"/>
          <w:color w:val="000000"/>
        </w:rPr>
        <w:t xml:space="preserve">.htm  </w:t>
      </w:r>
    </w:p>
    <w:p w14:paraId="039C22CA" w14:textId="5D9E50E1" w:rsidR="00A77B3E" w:rsidRPr="003E700E" w:rsidRDefault="00DE457D">
      <w:pPr>
        <w:spacing w:line="360" w:lineRule="auto"/>
        <w:jc w:val="both"/>
        <w:rPr>
          <w:rFonts w:hint="eastAsia"/>
          <w:lang w:eastAsia="zh-CN"/>
        </w:rPr>
      </w:pPr>
      <w:r w:rsidRPr="006F62D6">
        <w:rPr>
          <w:rFonts w:ascii="Book Antiqua" w:eastAsia="Book Antiqua" w:hAnsi="Book Antiqua" w:cs="Book Antiqua"/>
          <w:b/>
          <w:color w:val="000000"/>
        </w:rPr>
        <w:t>DOI:</w:t>
      </w:r>
      <w:r w:rsidRPr="00DE457D">
        <w:rPr>
          <w:rFonts w:ascii="Book Antiqua" w:eastAsia="Book Antiqua" w:hAnsi="Book Antiqua" w:cs="Book Antiqua"/>
          <w:color w:val="000000"/>
        </w:rPr>
        <w:t xml:space="preserve"> </w:t>
      </w:r>
      <w:bookmarkStart w:id="2" w:name="OLE_LINK37"/>
      <w:bookmarkStart w:id="3" w:name="OLE_LINK38"/>
      <w:r w:rsidRPr="00DE457D">
        <w:rPr>
          <w:rFonts w:ascii="Book Antiqua" w:eastAsia="Book Antiqua" w:hAnsi="Book Antiqua" w:cs="Book Antiqua"/>
          <w:color w:val="000000"/>
        </w:rPr>
        <w:t>https://dx.doi.org/10.12998/wjcc.v8.i</w:t>
      </w:r>
      <w:r w:rsidR="004F62A0">
        <w:rPr>
          <w:rFonts w:ascii="Book Antiqua" w:hAnsi="Book Antiqua" w:cs="Book Antiqua" w:hint="eastAsia"/>
          <w:color w:val="000000"/>
          <w:lang w:eastAsia="zh-CN"/>
        </w:rPr>
        <w:t>20</w:t>
      </w:r>
      <w:r w:rsidRPr="00DE457D">
        <w:rPr>
          <w:rFonts w:ascii="Book Antiqua" w:eastAsia="Book Antiqua" w:hAnsi="Book Antiqua" w:cs="Book Antiqua"/>
          <w:color w:val="000000"/>
        </w:rPr>
        <w:t>.</w:t>
      </w:r>
      <w:r w:rsidR="003E700E">
        <w:rPr>
          <w:rFonts w:ascii="Book Antiqua" w:hAnsi="Book Antiqua" w:cs="Book Antiqua" w:hint="eastAsia"/>
          <w:color w:val="000000"/>
          <w:lang w:eastAsia="zh-CN"/>
        </w:rPr>
        <w:t>4708</w:t>
      </w:r>
      <w:bookmarkEnd w:id="2"/>
      <w:bookmarkEnd w:id="3"/>
    </w:p>
    <w:p w14:paraId="17EF5E53" w14:textId="77777777" w:rsidR="00A77B3E" w:rsidRDefault="00A77B3E">
      <w:pPr>
        <w:spacing w:line="360" w:lineRule="auto"/>
        <w:jc w:val="both"/>
      </w:pPr>
    </w:p>
    <w:p w14:paraId="572250E1" w14:textId="2133A414" w:rsidR="00A77B3E" w:rsidRDefault="00A869C1">
      <w:pPr>
        <w:spacing w:line="360" w:lineRule="auto"/>
        <w:jc w:val="both"/>
      </w:pPr>
      <w:r>
        <w:rPr>
          <w:rFonts w:ascii="Book Antiqua" w:eastAsia="Book Antiqua" w:hAnsi="Book Antiqua" w:cs="Book Antiqua"/>
          <w:b/>
          <w:bCs/>
          <w:color w:val="000000"/>
        </w:rPr>
        <w:t xml:space="preserve">Core </w:t>
      </w:r>
      <w:r w:rsidRPr="00791A2E">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r w:rsidR="00D43653" w:rsidRPr="00D43653">
        <w:rPr>
          <w:rFonts w:ascii="Book Antiqua" w:eastAsia="Book Antiqua" w:hAnsi="Book Antiqua" w:cs="Book Antiqua"/>
          <w:color w:val="000000"/>
        </w:rPr>
        <w:t>Treatment of complicated gastric heterotopic pancreas (GHP) is challenging and often requires surgical resection like gastrectomy. We experienced several cases of complicated GHP with pseudocyst that was treated successfully with endoscopic submucosal dissection (ESD), and there were no procedure-related adverse events. All patients were symptom free during the median follow-up period and patients consequently could preserve their stomach. Our findings suggested that ESD can be a feasible minimally invasive treatment alternative to surgical resection.</w:t>
      </w:r>
    </w:p>
    <w:p w14:paraId="5A85A8EB" w14:textId="3241CBC9" w:rsidR="00A77B3E" w:rsidRDefault="00D43653">
      <w:pPr>
        <w:spacing w:line="360" w:lineRule="auto"/>
        <w:jc w:val="both"/>
      </w:pPr>
      <w:r>
        <w:rPr>
          <w:rFonts w:ascii="Book Antiqua" w:eastAsia="Book Antiqua" w:hAnsi="Book Antiqua" w:cs="Book Antiqua"/>
          <w:b/>
          <w:caps/>
          <w:color w:val="000000"/>
          <w:u w:val="single"/>
        </w:rPr>
        <w:br w:type="page"/>
      </w:r>
      <w:r w:rsidR="00A869C1">
        <w:rPr>
          <w:rFonts w:ascii="Book Antiqua" w:eastAsia="Book Antiqua" w:hAnsi="Book Antiqua" w:cs="Book Antiqua"/>
          <w:b/>
          <w:caps/>
          <w:color w:val="000000"/>
          <w:u w:val="single"/>
        </w:rPr>
        <w:t>INTRODUCTION</w:t>
      </w:r>
    </w:p>
    <w:p w14:paraId="54AE2FC3" w14:textId="5F9C1464" w:rsidR="00A77B3E" w:rsidRDefault="00A869C1">
      <w:pPr>
        <w:spacing w:line="360" w:lineRule="auto"/>
        <w:jc w:val="both"/>
      </w:pPr>
      <w:r>
        <w:rPr>
          <w:rFonts w:ascii="Book Antiqua" w:eastAsia="Book Antiqua" w:hAnsi="Book Antiqua" w:cs="Book Antiqua"/>
          <w:color w:val="000000"/>
        </w:rPr>
        <w:t>Heterotopic pancreas is a congenital anomaly defined as an abnormally located pancreatic tissue without anatomic or vascular connections with the pancreas. Its incidence is reportedly 0.55</w:t>
      </w:r>
      <w:r w:rsidR="00327A7A">
        <w:rPr>
          <w:rFonts w:ascii="Book Antiqua" w:eastAsia="Book Antiqua" w:hAnsi="Book Antiqua" w:cs="Book Antiqua"/>
          <w:color w:val="000000"/>
          <w:shd w:val="clear" w:color="auto" w:fill="FFFFFF"/>
        </w:rPr>
        <w:t>%</w:t>
      </w:r>
      <w:r w:rsidR="00C06261">
        <w:rPr>
          <w:rFonts w:ascii="Book Antiqua" w:eastAsia="Book Antiqua" w:hAnsi="Book Antiqua" w:cs="Book Antiqua"/>
          <w:color w:val="000000"/>
        </w:rPr>
        <w:t>-</w:t>
      </w:r>
      <w:r>
        <w:rPr>
          <w:rFonts w:ascii="Book Antiqua" w:eastAsia="Book Antiqua" w:hAnsi="Book Antiqua" w:cs="Book Antiqua"/>
          <w:color w:val="000000"/>
        </w:rPr>
        <w:t>14% on autopsy</w:t>
      </w:r>
      <w:r w:rsidR="00C06261" w:rsidRPr="00C06261">
        <w:rPr>
          <w:rFonts w:ascii="Book Antiqua" w:eastAsia="Book Antiqua" w:hAnsi="Book Antiqua" w:cs="Book Antiqua"/>
          <w:color w:val="000000"/>
          <w:vertAlign w:val="superscript"/>
        </w:rPr>
        <w:t>[</w:t>
      </w:r>
      <w:r w:rsidR="00C06261">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Heterotopic pancreas is primarily found in the stomach, duodenum, or proximal part of the jejunum but may occur in the esophagus, gallbladder, bile duct, liver, spleen, or mesentery</w:t>
      </w:r>
      <w:r w:rsidR="00C06261" w:rsidRPr="00C06261">
        <w:rPr>
          <w:rFonts w:ascii="Book Antiqua" w:eastAsia="Book Antiqua" w:hAnsi="Book Antiqua" w:cs="Book Antiqua"/>
          <w:color w:val="000000"/>
          <w:vertAlign w:val="superscript"/>
        </w:rPr>
        <w:t>[</w:t>
      </w:r>
      <w:r w:rsidR="00C06261">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Gastric heterotopic pancreas (GHP) appears as a subepithelial lesion and is usually localized in the greater curvature or posterior wall of the antrum. It has a central indentation as an opening of a large excretory tube</w:t>
      </w:r>
      <w:r w:rsidR="00C06261" w:rsidRPr="00C06261">
        <w:rPr>
          <w:rFonts w:ascii="Book Antiqua" w:eastAsia="Book Antiqua" w:hAnsi="Book Antiqua" w:cs="Book Antiqua"/>
          <w:color w:val="000000"/>
          <w:vertAlign w:val="superscript"/>
        </w:rPr>
        <w:t>[</w:t>
      </w:r>
      <w:r w:rsidR="00C06261">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Its histological diagnosis is usually difficult because adequate tissue specimens cannot be obtained on conventional endoscopic forceps biopsy. Endoscopic ultrasonography (EUS) is useful for diagnosing heterotopic pancreas</w:t>
      </w:r>
      <w:r w:rsidR="00C06261" w:rsidRPr="00C06261">
        <w:rPr>
          <w:rFonts w:ascii="Book Antiqua" w:eastAsia="Book Antiqua" w:hAnsi="Book Antiqua" w:cs="Book Antiqua"/>
          <w:color w:val="000000"/>
          <w:vertAlign w:val="superscript"/>
        </w:rPr>
        <w:t>[</w:t>
      </w:r>
      <w:r w:rsidR="00C06261">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EUS features of heterotopic pancreas include a heterogeneous hypoechoic echo pattern</w:t>
      </w:r>
      <w:r w:rsidR="00C06261" w:rsidRPr="00C06261">
        <w:rPr>
          <w:rFonts w:ascii="Book Antiqua" w:eastAsia="Book Antiqua" w:hAnsi="Book Antiqua" w:cs="Book Antiqua"/>
          <w:color w:val="000000"/>
          <w:vertAlign w:val="superscript"/>
        </w:rPr>
        <w:t>[</w:t>
      </w:r>
      <w:r w:rsidR="00C06261">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96B375D" w14:textId="5500669A" w:rsidR="00A77B3E" w:rsidRDefault="00A869C1" w:rsidP="00C06261">
      <w:pPr>
        <w:spacing w:line="360" w:lineRule="auto"/>
        <w:ind w:firstLineChars="100" w:firstLine="240"/>
        <w:jc w:val="both"/>
      </w:pPr>
      <w:r>
        <w:rPr>
          <w:rFonts w:ascii="Book Antiqua" w:eastAsia="Book Antiqua" w:hAnsi="Book Antiqua" w:cs="Book Antiqua"/>
          <w:color w:val="000000"/>
        </w:rPr>
        <w:t>Most cases of GHP are asymptomatic, but a minority may present with nonspecific symptoms such as epigastric pain, abdominal discomfort, nausea, and vomiting</w:t>
      </w:r>
      <w:r w:rsidR="00814248" w:rsidRPr="00814248">
        <w:rPr>
          <w:rFonts w:ascii="Book Antiqua" w:eastAsia="Book Antiqua" w:hAnsi="Book Antiqua" w:cs="Book Antiqua"/>
          <w:color w:val="000000"/>
          <w:vertAlign w:val="superscript"/>
        </w:rPr>
        <w:t>[</w:t>
      </w:r>
      <w:r w:rsidR="00814248">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GHP is rarely associated with complications such as pancreatitis, pseudocysts, abscess, hemorrhages, and necrosis; </w:t>
      </w:r>
      <w:r w:rsidRPr="00814248">
        <w:rPr>
          <w:rFonts w:ascii="Book Antiqua" w:eastAsia="Book Antiqua" w:hAnsi="Book Antiqua" w:cs="Book Antiqua"/>
          <w:i/>
          <w:iCs/>
          <w:color w:val="000000"/>
        </w:rPr>
        <w:t>i.e.</w:t>
      </w:r>
      <w:r>
        <w:rPr>
          <w:rFonts w:ascii="Book Antiqua" w:eastAsia="Book Antiqua" w:hAnsi="Book Antiqua" w:cs="Book Antiqua"/>
          <w:color w:val="000000"/>
        </w:rPr>
        <w:t>, conditions similar to those that may occur in normal pancreases. In addition to gastrointestinal obstruction, stenosis or intussusception can occur depending on the location and size of the lesion</w:t>
      </w:r>
      <w:r w:rsidR="00814248" w:rsidRPr="00814248">
        <w:rPr>
          <w:rFonts w:ascii="Book Antiqua" w:eastAsia="Book Antiqua" w:hAnsi="Book Antiqua" w:cs="Book Antiqua"/>
          <w:color w:val="000000"/>
          <w:vertAlign w:val="superscript"/>
        </w:rPr>
        <w:t>[</w:t>
      </w:r>
      <w:r w:rsidR="00814248">
        <w:rPr>
          <w:rFonts w:ascii="Book Antiqua" w:eastAsia="Book Antiqua" w:hAnsi="Book Antiqua" w:cs="Book Antiqua"/>
          <w:color w:val="000000"/>
          <w:szCs w:val="30"/>
          <w:vertAlign w:val="superscript"/>
        </w:rPr>
        <w:t>3,9,10]</w:t>
      </w:r>
      <w:r>
        <w:rPr>
          <w:rFonts w:ascii="Book Antiqua" w:eastAsia="Book Antiqua" w:hAnsi="Book Antiqua" w:cs="Book Antiqua"/>
          <w:color w:val="000000"/>
        </w:rPr>
        <w:t xml:space="preserve">. </w:t>
      </w:r>
      <w:r w:rsidRPr="00814248">
        <w:rPr>
          <w:rFonts w:ascii="Book Antiqua" w:eastAsia="Book Antiqua" w:hAnsi="Book Antiqua" w:cs="Book Antiqua"/>
          <w:color w:val="000000"/>
        </w:rPr>
        <w:t>Asymptomatic GHP is generally considered benign and can be periodically follow-up by endoscopy without intervention, whereas complicated GHP often requires treatment for symptom relief, including surgical resection</w:t>
      </w:r>
      <w:r w:rsidR="00814248" w:rsidRPr="00814248">
        <w:rPr>
          <w:rFonts w:ascii="Book Antiqua" w:eastAsia="Book Antiqua" w:hAnsi="Book Antiqua" w:cs="Book Antiqua"/>
          <w:color w:val="000000"/>
          <w:vertAlign w:val="superscript"/>
        </w:rPr>
        <w:t>[</w:t>
      </w:r>
      <w:r w:rsidR="00814248" w:rsidRPr="00814248">
        <w:rPr>
          <w:rFonts w:ascii="Book Antiqua" w:eastAsia="Book Antiqua" w:hAnsi="Book Antiqua" w:cs="Book Antiqua"/>
          <w:color w:val="000000"/>
          <w:szCs w:val="30"/>
          <w:vertAlign w:val="superscript"/>
        </w:rPr>
        <w:t>11-14</w:t>
      </w:r>
      <w:r w:rsidR="00814248">
        <w:rPr>
          <w:rFonts w:ascii="Book Antiqua" w:eastAsia="Book Antiqua" w:hAnsi="Book Antiqua" w:cs="Book Antiqua"/>
          <w:color w:val="000000"/>
          <w:szCs w:val="30"/>
          <w:vertAlign w:val="superscript"/>
        </w:rPr>
        <w:t>]</w:t>
      </w:r>
      <w:r w:rsidRPr="00814248">
        <w:rPr>
          <w:rFonts w:ascii="Book Antiqua" w:eastAsia="Book Antiqua" w:hAnsi="Book Antiqua" w:cs="Book Antiqua"/>
          <w:color w:val="000000"/>
        </w:rPr>
        <w:t xml:space="preserve">. We previously reported a case of GHP with pancreatitis and pseudocyst that was treated successfully with endoscopic submucosal dissection (ESD); our findings suggested that ESD can be a feasible alternative to surgical resection </w:t>
      </w:r>
      <w:r w:rsidRPr="00962765">
        <w:rPr>
          <w:rFonts w:ascii="Book Antiqua" w:eastAsia="Book Antiqua" w:hAnsi="Book Antiqua" w:cs="Book Antiqua"/>
          <w:color w:val="000000"/>
        </w:rPr>
        <w:t>with minimal invasiveness</w:t>
      </w:r>
      <w:r w:rsidR="0059614B" w:rsidRPr="0059614B">
        <w:rPr>
          <w:rFonts w:ascii="Book Antiqua" w:eastAsia="Book Antiqua" w:hAnsi="Book Antiqua" w:cs="Book Antiqua"/>
          <w:color w:val="000000"/>
          <w:vertAlign w:val="superscript"/>
        </w:rPr>
        <w:t>[</w:t>
      </w:r>
      <w:r w:rsidR="0059614B" w:rsidRPr="00962765">
        <w:rPr>
          <w:rFonts w:ascii="Book Antiqua" w:eastAsia="Book Antiqua" w:hAnsi="Book Antiqua" w:cs="Book Antiqua"/>
          <w:color w:val="000000"/>
          <w:szCs w:val="30"/>
          <w:vertAlign w:val="superscript"/>
        </w:rPr>
        <w:t>15</w:t>
      </w:r>
      <w:r w:rsidR="0059614B">
        <w:rPr>
          <w:rFonts w:ascii="Book Antiqua" w:eastAsia="Book Antiqua" w:hAnsi="Book Antiqua" w:cs="Book Antiqua"/>
          <w:color w:val="000000"/>
          <w:szCs w:val="30"/>
          <w:vertAlign w:val="superscript"/>
        </w:rPr>
        <w:t>]</w:t>
      </w:r>
      <w:r w:rsidRPr="00962765">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In this study, we investigated the clinical outcomes to determine the feasibility and effectiveness of ESD for complicated GHP.</w:t>
      </w:r>
    </w:p>
    <w:p w14:paraId="6137B75C" w14:textId="77777777" w:rsidR="00A77B3E" w:rsidRDefault="00A77B3E" w:rsidP="00FF45AC">
      <w:pPr>
        <w:spacing w:line="360" w:lineRule="auto"/>
        <w:jc w:val="both"/>
      </w:pPr>
    </w:p>
    <w:p w14:paraId="318236B0" w14:textId="77777777" w:rsidR="00A77B3E" w:rsidRDefault="00A869C1">
      <w:pPr>
        <w:spacing w:line="360" w:lineRule="auto"/>
        <w:jc w:val="both"/>
      </w:pPr>
      <w:r>
        <w:rPr>
          <w:rFonts w:ascii="Book Antiqua" w:eastAsia="Book Antiqua" w:hAnsi="Book Antiqua" w:cs="Book Antiqua"/>
          <w:b/>
          <w:caps/>
          <w:color w:val="000000"/>
          <w:u w:val="single"/>
        </w:rPr>
        <w:t>MATERIALS AND METHODS</w:t>
      </w:r>
    </w:p>
    <w:p w14:paraId="6B78D7D9" w14:textId="39688DC5" w:rsidR="00A77B3E" w:rsidRDefault="00A869C1">
      <w:pPr>
        <w:spacing w:line="360" w:lineRule="auto"/>
        <w:jc w:val="both"/>
      </w:pPr>
      <w:r>
        <w:rPr>
          <w:rFonts w:ascii="Book Antiqua" w:eastAsia="Book Antiqua" w:hAnsi="Book Antiqua" w:cs="Book Antiqua"/>
          <w:color w:val="000000"/>
        </w:rPr>
        <w:t xml:space="preserve">Between January 2013 and December 2017, subjects underwent ESD for complicated GHP at Asan Medical Center. The diagnosis of complicated GHP was made when a patient with GHP had a recurrent severe abdominal pain and met at least one of the following criteria: (1) </w:t>
      </w:r>
      <w:r w:rsidR="00F301C8">
        <w:rPr>
          <w:rFonts w:ascii="Book Antiqua" w:eastAsia="Book Antiqua" w:hAnsi="Book Antiqua" w:cs="Book Antiqua"/>
          <w:color w:val="000000"/>
        </w:rPr>
        <w:t>M</w:t>
      </w:r>
      <w:r>
        <w:rPr>
          <w:rFonts w:ascii="Book Antiqua" w:eastAsia="Book Antiqua" w:hAnsi="Book Antiqua" w:cs="Book Antiqua"/>
          <w:color w:val="000000"/>
        </w:rPr>
        <w:t>orphological change of the GHP on endoscopy, abdominal computed tomography (CT), or magnetic resonance imaging (MRI) during the pain episode</w:t>
      </w:r>
      <w:r w:rsidR="00BA4542">
        <w:rPr>
          <w:rFonts w:ascii="Book Antiqua" w:eastAsia="Book Antiqua" w:hAnsi="Book Antiqua" w:cs="Book Antiqua"/>
          <w:color w:val="000000"/>
        </w:rPr>
        <w:t>;</w:t>
      </w:r>
      <w:r>
        <w:rPr>
          <w:rFonts w:ascii="Book Antiqua" w:eastAsia="Book Antiqua" w:hAnsi="Book Antiqua" w:cs="Book Antiqua"/>
          <w:color w:val="000000"/>
        </w:rPr>
        <w:t xml:space="preserve"> and (2) </w:t>
      </w:r>
      <w:r w:rsidR="00F301C8">
        <w:rPr>
          <w:rFonts w:ascii="Book Antiqua" w:eastAsia="Book Antiqua" w:hAnsi="Book Antiqua" w:cs="Book Antiqua"/>
          <w:color w:val="000000"/>
        </w:rPr>
        <w:t>E</w:t>
      </w:r>
      <w:r>
        <w:rPr>
          <w:rFonts w:ascii="Book Antiqua" w:eastAsia="Book Antiqua" w:hAnsi="Book Antiqua" w:cs="Book Antiqua"/>
          <w:color w:val="000000"/>
        </w:rPr>
        <w:t>levated serum pancreatic enzyme level with normal pancreas on imaging. All patients who were diagnosed with complicated GHP underwent EUS for the evaluation of lesion size, sonographic layer, echogenicity, homogeneity, and accompanied complications.</w:t>
      </w:r>
    </w:p>
    <w:p w14:paraId="15FD9ED7" w14:textId="4698F5FF" w:rsidR="00A77B3E" w:rsidRDefault="00A869C1" w:rsidP="00F301C8">
      <w:pPr>
        <w:spacing w:line="360" w:lineRule="auto"/>
        <w:ind w:firstLineChars="100" w:firstLine="240"/>
        <w:jc w:val="both"/>
      </w:pPr>
      <w:r>
        <w:rPr>
          <w:rFonts w:ascii="Book Antiqua" w:eastAsia="Book Antiqua" w:hAnsi="Book Antiqua" w:cs="Book Antiqua"/>
          <w:color w:val="000000"/>
        </w:rPr>
        <w:t>Patients who were diagnosed with complicated GHP were treated conservatively with intravenous hydration, pain control, and restricted oral intake as with general practice for acute pancreatitis</w:t>
      </w:r>
      <w:r w:rsidR="00F301C8" w:rsidRPr="00F301C8">
        <w:rPr>
          <w:rFonts w:ascii="Book Antiqua" w:eastAsia="Book Antiqua" w:hAnsi="Book Antiqua" w:cs="Book Antiqua"/>
          <w:color w:val="000000"/>
          <w:vertAlign w:val="superscript"/>
        </w:rPr>
        <w:t>[</w:t>
      </w:r>
      <w:r w:rsidR="00F301C8">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After conservative management for resolving the acute phase of pancreatitis, ESD was performed as definitive treatment for complicated GHP.</w:t>
      </w:r>
    </w:p>
    <w:p w14:paraId="3DC34D16" w14:textId="665E219B" w:rsidR="00A77B3E" w:rsidRDefault="00A869C1" w:rsidP="00F301C8">
      <w:pPr>
        <w:spacing w:line="360" w:lineRule="auto"/>
        <w:ind w:firstLineChars="100" w:firstLine="240"/>
        <w:jc w:val="both"/>
      </w:pPr>
      <w:r>
        <w:rPr>
          <w:rFonts w:ascii="Book Antiqua" w:eastAsia="Book Antiqua" w:hAnsi="Book Antiqua" w:cs="Book Antiqua"/>
          <w:color w:val="000000"/>
        </w:rPr>
        <w:t>ESD was performed using the conventional method under conscious sedation with intravenous midazolam (0.05</w:t>
      </w:r>
      <w:r w:rsidR="00F301C8">
        <w:rPr>
          <w:rFonts w:ascii="Book Antiqua" w:eastAsia="Book Antiqua" w:hAnsi="Book Antiqua" w:cs="Book Antiqua"/>
          <w:color w:val="000000"/>
        </w:rPr>
        <w:t>-</w:t>
      </w:r>
      <w:r>
        <w:rPr>
          <w:rFonts w:ascii="Book Antiqua" w:eastAsia="Book Antiqua" w:hAnsi="Book Antiqua" w:cs="Book Antiqua"/>
          <w:color w:val="000000"/>
        </w:rPr>
        <w:t>0.1 mg/kg) and pethidine (25</w:t>
      </w:r>
      <w:r w:rsidR="00F301C8">
        <w:rPr>
          <w:rFonts w:ascii="Book Antiqua" w:eastAsia="Book Antiqua" w:hAnsi="Book Antiqua" w:cs="Book Antiqua"/>
          <w:color w:val="000000"/>
        </w:rPr>
        <w:t>-</w:t>
      </w:r>
      <w:r>
        <w:rPr>
          <w:rFonts w:ascii="Book Antiqua" w:eastAsia="Book Antiqua" w:hAnsi="Book Antiqua" w:cs="Book Antiqua"/>
          <w:color w:val="000000"/>
        </w:rPr>
        <w:t>50 mg), with continuous monitoring of cardiorespiratory function (Figure 1). After marking outside the lesion, normal saline containing epinephrine and indigo carmine was submucosally injected with a 23</w:t>
      </w:r>
      <w:r w:rsidR="00F301C8">
        <w:rPr>
          <w:rFonts w:ascii="Book Antiqua" w:eastAsia="Book Antiqua" w:hAnsi="Book Antiqua" w:cs="Book Antiqua"/>
          <w:color w:val="000000"/>
        </w:rPr>
        <w:t>-</w:t>
      </w:r>
      <w:r>
        <w:rPr>
          <w:rFonts w:ascii="Book Antiqua" w:eastAsia="Book Antiqua" w:hAnsi="Book Antiqua" w:cs="Book Antiqua"/>
          <w:color w:val="000000"/>
        </w:rPr>
        <w:t xml:space="preserve">gauge needle (Finemedix Co., LTD., Daegu, </w:t>
      </w:r>
      <w:r w:rsidR="00AD43F4">
        <w:rPr>
          <w:rFonts w:ascii="Book Antiqua" w:eastAsia="Book Antiqua" w:hAnsi="Book Antiqua" w:cs="Book Antiqua"/>
          <w:color w:val="000000"/>
        </w:rPr>
        <w:t xml:space="preserve">South </w:t>
      </w:r>
      <w:r>
        <w:rPr>
          <w:rFonts w:ascii="Book Antiqua" w:eastAsia="Book Antiqua" w:hAnsi="Book Antiqua" w:cs="Book Antiqua"/>
          <w:color w:val="000000"/>
        </w:rPr>
        <w:t>Korea). A circumferential incision was made with a needle (MTW Endoskopie, Wesel, Germany) or O type knife (Finemedix Co., LTD</w:t>
      </w:r>
      <w:r w:rsidR="005B11C8">
        <w:rPr>
          <w:rFonts w:ascii="Book Antiqua" w:eastAsia="Book Antiqua" w:hAnsi="Book Antiqua" w:cs="Book Antiqua"/>
          <w:color w:val="000000"/>
        </w:rPr>
        <w:t>.</w:t>
      </w:r>
      <w:r>
        <w:rPr>
          <w:rFonts w:ascii="Book Antiqua" w:eastAsia="Book Antiqua" w:hAnsi="Book Antiqua" w:cs="Book Antiqua"/>
          <w:color w:val="000000"/>
        </w:rPr>
        <w:t>). The submucosal connective tissue and part of the muscularis propria was dissected with an O-type knife. Hemostasis was performed during or after the dissection using hemostatic forceps (FD-410LR; Olympus). After the procedure, patients were monitored in an outpatient clinic to assess symptom recurrence. The endoscopy was performed 6 mo after the procedure, and was performed annually thereafter.</w:t>
      </w:r>
    </w:p>
    <w:p w14:paraId="08711A90" w14:textId="2DD92A07" w:rsidR="00A77B3E" w:rsidRDefault="00A869C1" w:rsidP="00F301C8">
      <w:pPr>
        <w:spacing w:line="360" w:lineRule="auto"/>
        <w:ind w:firstLineChars="100" w:firstLine="240"/>
        <w:jc w:val="both"/>
      </w:pPr>
      <w:r>
        <w:rPr>
          <w:rFonts w:ascii="Book Antiqua" w:eastAsia="Book Antiqua" w:hAnsi="Book Antiqua" w:cs="Book Antiqua"/>
          <w:color w:val="000000"/>
        </w:rPr>
        <w:t xml:space="preserve">Informed consent was obtained from all patients before the procedure. This study was approved by the institutional review board of Asan Medical Center (IRB </w:t>
      </w:r>
      <w:r w:rsidR="00F301C8">
        <w:rPr>
          <w:rFonts w:ascii="Book Antiqua" w:eastAsia="Book Antiqua" w:hAnsi="Book Antiqua" w:cs="Book Antiqua"/>
          <w:color w:val="000000"/>
        </w:rPr>
        <w:t xml:space="preserve">No. </w:t>
      </w:r>
      <w:r>
        <w:rPr>
          <w:rFonts w:ascii="Book Antiqua" w:eastAsia="Book Antiqua" w:hAnsi="Book Antiqua" w:cs="Book Antiqua"/>
          <w:color w:val="000000"/>
        </w:rPr>
        <w:t>2019</w:t>
      </w:r>
      <w:r w:rsidR="00F301C8">
        <w:rPr>
          <w:rFonts w:ascii="Book Antiqua" w:eastAsia="Book Antiqua" w:hAnsi="Book Antiqua" w:cs="Book Antiqua"/>
          <w:color w:val="000000"/>
        </w:rPr>
        <w:t>-</w:t>
      </w:r>
      <w:r>
        <w:rPr>
          <w:rFonts w:ascii="Book Antiqua" w:eastAsia="Book Antiqua" w:hAnsi="Book Antiqua" w:cs="Book Antiqua"/>
          <w:color w:val="000000"/>
        </w:rPr>
        <w:t>0963).</w:t>
      </w:r>
    </w:p>
    <w:p w14:paraId="7614CA6B" w14:textId="03517E2D" w:rsidR="00A77B3E" w:rsidRDefault="00A869C1" w:rsidP="00F301C8">
      <w:pPr>
        <w:spacing w:line="360" w:lineRule="auto"/>
        <w:ind w:firstLineChars="100" w:firstLine="240"/>
        <w:jc w:val="both"/>
      </w:pPr>
      <w:r>
        <w:rPr>
          <w:rFonts w:ascii="Book Antiqua" w:eastAsia="Book Antiqua" w:hAnsi="Book Antiqua" w:cs="Book Antiqua"/>
          <w:color w:val="000000"/>
        </w:rPr>
        <w:t>Descriptive variables are summarized as median (interquartile range</w:t>
      </w:r>
      <w:r w:rsidR="00F301C8">
        <w:rPr>
          <w:rFonts w:ascii="Book Antiqua" w:eastAsia="Book Antiqua" w:hAnsi="Book Antiqua" w:cs="Book Antiqua"/>
          <w:color w:val="000000"/>
        </w:rPr>
        <w:t xml:space="preserve">, </w:t>
      </w:r>
      <w:r>
        <w:rPr>
          <w:rFonts w:ascii="Book Antiqua" w:eastAsia="Book Antiqua" w:hAnsi="Book Antiqua" w:cs="Book Antiqua"/>
          <w:color w:val="000000"/>
        </w:rPr>
        <w:t xml:space="preserve">IQR) or mean ± standard deviation. All statistical analyses were performed using SPSS version 24 (IBM Corporation, Somers, NY, </w:t>
      </w:r>
      <w:r w:rsidR="00F301C8">
        <w:rPr>
          <w:rFonts w:ascii="Book Antiqua" w:eastAsia="Book Antiqua" w:hAnsi="Book Antiqua" w:cs="Book Antiqua"/>
          <w:color w:val="000000"/>
        </w:rPr>
        <w:t>United States</w:t>
      </w:r>
      <w:r>
        <w:rPr>
          <w:rFonts w:ascii="Book Antiqua" w:eastAsia="Book Antiqua" w:hAnsi="Book Antiqua" w:cs="Book Antiqua"/>
          <w:color w:val="000000"/>
        </w:rPr>
        <w:t>).</w:t>
      </w:r>
    </w:p>
    <w:p w14:paraId="16A66F59" w14:textId="77777777" w:rsidR="00A77B3E" w:rsidRDefault="00A77B3E" w:rsidP="00F301C8">
      <w:pPr>
        <w:spacing w:line="360" w:lineRule="auto"/>
        <w:jc w:val="both"/>
      </w:pPr>
    </w:p>
    <w:p w14:paraId="0A0A6235" w14:textId="77777777" w:rsidR="00A77B3E" w:rsidRDefault="00A869C1">
      <w:pPr>
        <w:spacing w:line="360" w:lineRule="auto"/>
        <w:jc w:val="both"/>
      </w:pPr>
      <w:r>
        <w:rPr>
          <w:rFonts w:ascii="Book Antiqua" w:eastAsia="Book Antiqua" w:hAnsi="Book Antiqua" w:cs="Book Antiqua"/>
          <w:b/>
          <w:caps/>
          <w:color w:val="000000"/>
          <w:u w:val="single"/>
        </w:rPr>
        <w:t>RESULTS</w:t>
      </w:r>
    </w:p>
    <w:p w14:paraId="4B66398F" w14:textId="063B9459" w:rsidR="00A77B3E" w:rsidRDefault="00A869C1">
      <w:pPr>
        <w:spacing w:line="360" w:lineRule="auto"/>
        <w:jc w:val="both"/>
      </w:pPr>
      <w:r>
        <w:rPr>
          <w:rFonts w:ascii="Book Antiqua" w:eastAsia="Book Antiqua" w:hAnsi="Book Antiqua" w:cs="Book Antiqua"/>
          <w:color w:val="000000"/>
        </w:rPr>
        <w:t xml:space="preserve">Five patients were diagnosed with complicated GHP and underwent ESD during the study period. The characteristics of each patients and lesions, and procedure-related outcomes are shown in Table 1 and Figure </w:t>
      </w:r>
      <w:r w:rsidR="00F301C8">
        <w:rPr>
          <w:rFonts w:ascii="Book Antiqua" w:eastAsia="Book Antiqua" w:hAnsi="Book Antiqua" w:cs="Book Antiqua"/>
          <w:color w:val="000000"/>
        </w:rPr>
        <w:t>2</w:t>
      </w:r>
      <w:r>
        <w:rPr>
          <w:rFonts w:ascii="Book Antiqua" w:eastAsia="Book Antiqua" w:hAnsi="Book Antiqua" w:cs="Book Antiqua"/>
          <w:color w:val="000000"/>
        </w:rPr>
        <w:t>. The age of the 5 patients ranged from 28</w:t>
      </w:r>
      <w:r w:rsidR="00ED01D8">
        <w:rPr>
          <w:rFonts w:ascii="Book Antiqua" w:eastAsia="Book Antiqua" w:hAnsi="Book Antiqua" w:cs="Book Antiqua"/>
          <w:color w:val="000000"/>
        </w:rPr>
        <w:t>-</w:t>
      </w:r>
      <w:r>
        <w:rPr>
          <w:rFonts w:ascii="Book Antiqua" w:eastAsia="Book Antiqua" w:hAnsi="Book Antiqua" w:cs="Book Antiqua"/>
          <w:color w:val="000000"/>
        </w:rPr>
        <w:t xml:space="preserve">43 years. Two of the patients were male. All lesions were located in the greater curvature of the antrum and appeared to be subepithelial. Three lesions showed a typical central indentation, while 2 </w:t>
      </w:r>
      <w:r w:rsidR="00076AF7">
        <w:rPr>
          <w:rFonts w:ascii="Book Antiqua" w:eastAsia="Book Antiqua" w:hAnsi="Book Antiqua" w:cs="Book Antiqua"/>
          <w:color w:val="000000"/>
        </w:rPr>
        <w:t>l</w:t>
      </w:r>
      <w:r>
        <w:rPr>
          <w:rFonts w:ascii="Book Antiqua" w:eastAsia="Book Antiqua" w:hAnsi="Book Antiqua" w:cs="Book Antiqua"/>
          <w:color w:val="000000"/>
        </w:rPr>
        <w:t>esions were accompanied by surface ulcerations. All lesions involved the muscularis mucosa, submucosa, and muscularis propria layer on EUS. The median lesion size was 20 mm (IQR, 18</w:t>
      </w:r>
      <w:r w:rsidR="00076AF7">
        <w:rPr>
          <w:rFonts w:ascii="Book Antiqua" w:eastAsia="Book Antiqua" w:hAnsi="Book Antiqua" w:cs="Book Antiqua"/>
          <w:color w:val="000000"/>
        </w:rPr>
        <w:t>-</w:t>
      </w:r>
      <w:r>
        <w:rPr>
          <w:rFonts w:ascii="Book Antiqua" w:eastAsia="Book Antiqua" w:hAnsi="Book Antiqua" w:cs="Book Antiqua"/>
          <w:color w:val="000000"/>
        </w:rPr>
        <w:t xml:space="preserve">35) at the time of the diagnosis of complicated GHP and decreased after conservative treatment </w:t>
      </w:r>
      <w:r w:rsidR="00076AF7">
        <w:rPr>
          <w:rFonts w:ascii="Book Antiqua" w:eastAsia="Book Antiqua" w:hAnsi="Book Antiqua" w:cs="Book Antiqua"/>
          <w:color w:val="000000"/>
        </w:rPr>
        <w:t>[</w:t>
      </w:r>
      <w:r>
        <w:rPr>
          <w:rFonts w:ascii="Book Antiqua" w:eastAsia="Book Antiqua" w:hAnsi="Book Antiqua" w:cs="Book Antiqua"/>
          <w:color w:val="000000"/>
        </w:rPr>
        <w:t xml:space="preserve">median, 15 mm, </w:t>
      </w:r>
      <w:r w:rsidR="00076AF7">
        <w:rPr>
          <w:rFonts w:ascii="Book Antiqua" w:eastAsia="Book Antiqua" w:hAnsi="Book Antiqua" w:cs="Book Antiqua"/>
          <w:color w:val="000000"/>
        </w:rPr>
        <w:t>(</w:t>
      </w:r>
      <w:r>
        <w:rPr>
          <w:rFonts w:ascii="Book Antiqua" w:eastAsia="Book Antiqua" w:hAnsi="Book Antiqua" w:cs="Book Antiqua"/>
          <w:color w:val="000000"/>
        </w:rPr>
        <w:t>IQR, 9</w:t>
      </w:r>
      <w:r w:rsidR="00076AF7">
        <w:rPr>
          <w:rFonts w:ascii="Book Antiqua" w:eastAsia="Book Antiqua" w:hAnsi="Book Antiqua" w:cs="Book Antiqua"/>
          <w:color w:val="000000"/>
        </w:rPr>
        <w:t>-</w:t>
      </w:r>
      <w:r>
        <w:rPr>
          <w:rFonts w:ascii="Book Antiqua" w:eastAsia="Book Antiqua" w:hAnsi="Book Antiqua" w:cs="Book Antiqua"/>
          <w:color w:val="000000"/>
        </w:rPr>
        <w:t>33</w:t>
      </w:r>
      <w:r w:rsidR="00076AF7">
        <w:rPr>
          <w:rFonts w:ascii="Book Antiqua" w:eastAsia="Book Antiqua" w:hAnsi="Book Antiqua" w:cs="Book Antiqua"/>
          <w:color w:val="000000"/>
        </w:rPr>
        <w:t>)]</w:t>
      </w:r>
      <w:r>
        <w:rPr>
          <w:rFonts w:ascii="Book Antiqua" w:eastAsia="Book Antiqua" w:hAnsi="Book Antiqua" w:cs="Book Antiqua"/>
          <w:color w:val="000000"/>
        </w:rPr>
        <w:t>.</w:t>
      </w:r>
    </w:p>
    <w:p w14:paraId="2BBB0688" w14:textId="20C84FEE" w:rsidR="00A77B3E" w:rsidRDefault="00A869C1" w:rsidP="00076AF7">
      <w:pPr>
        <w:spacing w:line="360" w:lineRule="auto"/>
        <w:ind w:firstLineChars="100" w:firstLine="240"/>
        <w:jc w:val="both"/>
      </w:pPr>
      <w:r>
        <w:rPr>
          <w:rFonts w:ascii="Book Antiqua" w:eastAsia="Book Antiqua" w:hAnsi="Book Antiqua" w:cs="Book Antiqua"/>
          <w:color w:val="000000"/>
        </w:rPr>
        <w:t>The procedure time ranged from 15</w:t>
      </w:r>
      <w:r w:rsidR="00ED01D8">
        <w:rPr>
          <w:rFonts w:ascii="Book Antiqua" w:eastAsia="Book Antiqua" w:hAnsi="Book Antiqua" w:cs="Book Antiqua"/>
          <w:color w:val="000000"/>
        </w:rPr>
        <w:t>-</w:t>
      </w:r>
      <w:r>
        <w:rPr>
          <w:rFonts w:ascii="Book Antiqua" w:eastAsia="Book Antiqua" w:hAnsi="Book Antiqua" w:cs="Book Antiqua"/>
          <w:color w:val="000000"/>
        </w:rPr>
        <w:t>120 min. There were no procedure-related adverse events such as perforation or bleeding. The length of hospital stay after the procedure ranged from 2</w:t>
      </w:r>
      <w:r w:rsidR="00076AF7">
        <w:rPr>
          <w:rFonts w:ascii="Book Antiqua" w:eastAsia="Book Antiqua" w:hAnsi="Book Antiqua" w:cs="Book Antiqua"/>
          <w:color w:val="000000"/>
        </w:rPr>
        <w:t>-</w:t>
      </w:r>
      <w:r>
        <w:rPr>
          <w:rFonts w:ascii="Book Antiqua" w:eastAsia="Book Antiqua" w:hAnsi="Book Antiqua" w:cs="Book Antiqua"/>
          <w:color w:val="000000"/>
        </w:rPr>
        <w:t>4 d. During the median follow-up period of 46.0 mo (IQR, 39</w:t>
      </w:r>
      <w:r w:rsidR="00076AF7">
        <w:rPr>
          <w:rFonts w:ascii="Book Antiqua" w:eastAsia="Book Antiqua" w:hAnsi="Book Antiqua" w:cs="Book Antiqua"/>
          <w:color w:val="000000"/>
        </w:rPr>
        <w:t>-</w:t>
      </w:r>
      <w:r>
        <w:rPr>
          <w:rFonts w:ascii="Book Antiqua" w:eastAsia="Book Antiqua" w:hAnsi="Book Antiqua" w:cs="Book Antiqua"/>
          <w:color w:val="000000"/>
        </w:rPr>
        <w:t>60), no patients experienced symptom recurrence.</w:t>
      </w:r>
    </w:p>
    <w:p w14:paraId="40F6523E" w14:textId="2AB4D9FF" w:rsidR="00A77B3E" w:rsidRDefault="00A869C1">
      <w:pPr>
        <w:spacing w:line="360" w:lineRule="auto"/>
        <w:ind w:firstLine="240"/>
        <w:jc w:val="both"/>
      </w:pPr>
      <w:r>
        <w:rPr>
          <w:rFonts w:ascii="Book Antiqua" w:eastAsia="Book Antiqua" w:hAnsi="Book Antiqua" w:cs="Book Antiqua"/>
          <w:color w:val="000000"/>
        </w:rPr>
        <w:t xml:space="preserve">The diagnosis and treatment of each patient is summarized as follows. In patient 1, the laboratory test was normal and there were no specific findings except for gastric subepithelial tumor on CT at the time of the presentation of abdominal pain. The abdominal pain was localized to the epigastric and right upper quadrant areas. The size of GHP was 18.6 mm on EUS, larger than that at the initial diagnosis (10 mm). After conservative management, lesion size decreased to 15 mm, but symptoms persisted. The patient eventually underwent therapeutic ESD. The clinical course of lesion size according to abdominal pain are shown in Figure </w:t>
      </w:r>
      <w:r w:rsidR="00F301C8">
        <w:rPr>
          <w:rFonts w:ascii="Book Antiqua" w:eastAsia="Book Antiqua" w:hAnsi="Book Antiqua" w:cs="Book Antiqua"/>
          <w:color w:val="000000"/>
        </w:rPr>
        <w:t>3</w:t>
      </w:r>
      <w:r>
        <w:rPr>
          <w:rFonts w:ascii="Book Antiqua" w:eastAsia="Book Antiqua" w:hAnsi="Book Antiqua" w:cs="Book Antiqua"/>
          <w:color w:val="000000"/>
        </w:rPr>
        <w:t>A. According to the histopathological report, the pancreatic tissue was within the proper muscle layer, and the peripheral resection margin was negative and the deep resection margin was positive for tumor involvement (Figure 4A).</w:t>
      </w:r>
    </w:p>
    <w:p w14:paraId="44BDEF43" w14:textId="1B5CB9E6" w:rsidR="00A77B3E" w:rsidRDefault="00A869C1" w:rsidP="00D0613D">
      <w:pPr>
        <w:spacing w:line="360" w:lineRule="auto"/>
        <w:ind w:firstLineChars="100" w:firstLine="240"/>
        <w:jc w:val="both"/>
      </w:pPr>
      <w:r>
        <w:rPr>
          <w:rFonts w:ascii="Book Antiqua" w:eastAsia="Book Antiqua" w:hAnsi="Book Antiqua" w:cs="Book Antiqua"/>
          <w:color w:val="000000"/>
        </w:rPr>
        <w:t>Patient 2 complained of epigastric and right upper quadrant pain and had elevated pancreatic enzyme levels during pain (amylase, 236 U/L; lipase, 361 U/L). The abdominal CT revealed irregular wall thickening of the gastric antrum and fluid collection along the greater curvature of the stomach. The GHP was 28 mm on EUS. After one month of conservative treatment, no symptom improvement was noted; rather, severe inflammatory changes around the gastric antrum and cystic lesions presumed to be pseudocysts were observed on follow-up abdominal CT. Lesion size was increased to 50 mm. The patient underwent therapeutic ESD</w:t>
      </w:r>
      <w:r w:rsidR="00D0613D" w:rsidRPr="00D0613D">
        <w:rPr>
          <w:rFonts w:ascii="Book Antiqua" w:eastAsia="Book Antiqua" w:hAnsi="Book Antiqua" w:cs="Book Antiqua"/>
          <w:color w:val="000000"/>
          <w:vertAlign w:val="superscript"/>
        </w:rPr>
        <w:t>[</w:t>
      </w:r>
      <w:r w:rsidR="00D0613D">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According to the histopathological report, the pancreatic tissue was extended to the proper muscle layer, and there was no involvement of the peripheral resection margin; however, the deep resection margin was positive.</w:t>
      </w:r>
    </w:p>
    <w:p w14:paraId="4590B5E8" w14:textId="0F9ACF04" w:rsidR="00A77B3E" w:rsidRDefault="00A869C1" w:rsidP="00D0613D">
      <w:pPr>
        <w:spacing w:line="360" w:lineRule="auto"/>
        <w:ind w:firstLineChars="100" w:firstLine="240"/>
        <w:jc w:val="both"/>
      </w:pPr>
      <w:r>
        <w:rPr>
          <w:rFonts w:ascii="Book Antiqua" w:eastAsia="Book Antiqua" w:hAnsi="Book Antiqua" w:cs="Book Antiqua"/>
          <w:color w:val="000000"/>
        </w:rPr>
        <w:t xml:space="preserve">In patient 3, GHP with pancreatitis and suspected pseudocyst was observed on abdominal CT, and the lesion size on EUS (45 mm) was larger than ever (17 mm). The symptoms were improved and the lesion size was decreased to 10 mm after conservative treatment; thereafter, the patient requested outpatient follow-up only. One month later, the patient complained of recurrent epigastric pain. She eventually underwent ESD to prevent recurrence of symptom and complications (Figure </w:t>
      </w:r>
      <w:r w:rsidR="00F301C8">
        <w:rPr>
          <w:rFonts w:ascii="Book Antiqua" w:eastAsia="Book Antiqua" w:hAnsi="Book Antiqua" w:cs="Book Antiqua"/>
          <w:color w:val="000000"/>
        </w:rPr>
        <w:t>3</w:t>
      </w:r>
      <w:r>
        <w:rPr>
          <w:rFonts w:ascii="Book Antiqua" w:eastAsia="Book Antiqua" w:hAnsi="Book Antiqua" w:cs="Book Antiqua"/>
          <w:color w:val="000000"/>
        </w:rPr>
        <w:t>B). On the histopathologic report, the lesion was dissected to the submucosal layer, and only foreign body reactions and calcification were noted (Figure 4B). After the endoscopic therapy, she did not complain of abdominal pain during follow-up period.</w:t>
      </w:r>
    </w:p>
    <w:p w14:paraId="5B9F5394" w14:textId="352A8FE2" w:rsidR="00A77B3E" w:rsidRDefault="00A869C1" w:rsidP="00D0613D">
      <w:pPr>
        <w:spacing w:line="360" w:lineRule="auto"/>
        <w:ind w:firstLineChars="100" w:firstLine="240"/>
        <w:jc w:val="both"/>
      </w:pPr>
      <w:r>
        <w:rPr>
          <w:rFonts w:ascii="Book Antiqua" w:eastAsia="Book Antiqua" w:hAnsi="Book Antiqua" w:cs="Book Antiqua"/>
          <w:color w:val="000000"/>
        </w:rPr>
        <w:t xml:space="preserve">In patient 4, the GHP size increased from 15 mm to 35 mm on EUS. She complained of epigastric pain and had elevated pancreatic enzyme levels during times of abdominal pain (amylase, 294 U/L; lipase, 26 U/L). A soft tissue lesion containing a cystic portion in the gastric antral wall was observed on CT. After conservative treatment, the lesion size decreased to less than 10 mm on EUS, and the symptoms were improved. The patient requested to be followed in the outpatient clinic, but abdominal pain similar to previous pain recurred during the follow-up period. Therefore, she underwent ESD for GHP (Figure </w:t>
      </w:r>
      <w:r w:rsidR="00F301C8">
        <w:rPr>
          <w:rFonts w:ascii="Book Antiqua" w:eastAsia="Book Antiqua" w:hAnsi="Book Antiqua" w:cs="Book Antiqua"/>
          <w:color w:val="000000"/>
        </w:rPr>
        <w:t>3</w:t>
      </w:r>
      <w:r>
        <w:rPr>
          <w:rFonts w:ascii="Book Antiqua" w:eastAsia="Book Antiqua" w:hAnsi="Book Antiqua" w:cs="Book Antiqua"/>
          <w:color w:val="000000"/>
        </w:rPr>
        <w:t>C). On the histopathologic report, the lesion was dissected to the submucosal layer, and only foreign body reaction and calcification were noted similar to patient 3 (Figure 4C). The abdominal pain improved after the procedure.</w:t>
      </w:r>
    </w:p>
    <w:p w14:paraId="0A564DDA" w14:textId="77777777" w:rsidR="00A77B3E" w:rsidRDefault="00A869C1">
      <w:pPr>
        <w:spacing w:line="360" w:lineRule="auto"/>
        <w:ind w:firstLine="240"/>
        <w:jc w:val="both"/>
      </w:pPr>
      <w:r>
        <w:rPr>
          <w:rFonts w:ascii="Book Antiqua" w:eastAsia="Book Antiqua" w:hAnsi="Book Antiqua" w:cs="Book Antiqua"/>
          <w:color w:val="000000"/>
        </w:rPr>
        <w:t>In patient 5, the GHP was 12 mm, and the pancreas appeared normal on MRI. He complained of epigastric pain and showed no GHP size changes on EUS during the pain. However, the abdominal pain continued, and the pancreatic enzymes were elevated (amylase, 120 U/L; lipase, 32 U/L). We suspected that the symptoms might be related with complicated GHP; thus, the patient underwent therapeutic ESD. Thereafter, the symptoms were relieved. The histopathological report indicated that the pancreatic tissue was located in the submucosa and there was no involvement of the peripheral or deep resection margins (Figure 4D).</w:t>
      </w:r>
    </w:p>
    <w:p w14:paraId="2BF56C0E" w14:textId="77777777" w:rsidR="00A77B3E" w:rsidRDefault="00A77B3E" w:rsidP="00D0613D">
      <w:pPr>
        <w:spacing w:line="360" w:lineRule="auto"/>
        <w:jc w:val="both"/>
      </w:pPr>
    </w:p>
    <w:p w14:paraId="013F0FFC" w14:textId="77777777" w:rsidR="00A77B3E" w:rsidRDefault="00A869C1">
      <w:pPr>
        <w:spacing w:line="360" w:lineRule="auto"/>
        <w:jc w:val="both"/>
      </w:pPr>
      <w:r>
        <w:rPr>
          <w:rFonts w:ascii="Book Antiqua" w:eastAsia="Book Antiqua" w:hAnsi="Book Antiqua" w:cs="Book Antiqua"/>
          <w:b/>
          <w:caps/>
          <w:color w:val="000000"/>
          <w:u w:val="single"/>
        </w:rPr>
        <w:t>DISCUSSION</w:t>
      </w:r>
    </w:p>
    <w:p w14:paraId="6B54E12E" w14:textId="00A46F58" w:rsidR="00A77B3E" w:rsidRDefault="00A869C1">
      <w:pPr>
        <w:spacing w:line="360" w:lineRule="auto"/>
        <w:jc w:val="both"/>
      </w:pPr>
      <w:r>
        <w:rPr>
          <w:rFonts w:ascii="Book Antiqua" w:eastAsia="Book Antiqua" w:hAnsi="Book Antiqua" w:cs="Book Antiqua"/>
          <w:color w:val="000000"/>
        </w:rPr>
        <w:t>ESD appears to be a feasible and effective treatment option for complicated GHP that shows favorable clinical outcomes. The conservative treatment for resolving the acute phase of pancreatitis was helpful to perform ESD, since parenchymal inflammation, edema, and necrosis make ESD difficult.</w:t>
      </w:r>
    </w:p>
    <w:p w14:paraId="324F891D" w14:textId="4E86E130" w:rsidR="00A77B3E" w:rsidRDefault="00A869C1" w:rsidP="00012CFC">
      <w:pPr>
        <w:spacing w:line="360" w:lineRule="auto"/>
        <w:ind w:firstLineChars="100" w:firstLine="240"/>
        <w:jc w:val="both"/>
      </w:pPr>
      <w:r>
        <w:rPr>
          <w:rFonts w:ascii="Book Antiqua" w:eastAsia="Book Antiqua" w:hAnsi="Book Antiqua" w:cs="Book Antiqua"/>
          <w:color w:val="000000"/>
        </w:rPr>
        <w:t>Diagnostic criteria for complicated GHP are not established. Most cases of GHP are asymptomatic, but a few patients have nonspecific symptoms such as abdominal pain, indigestion, nausea, and vomiting. Only a few patients may experience complications, such as pancreatitis, hemorrhage, necrosis, and malignant transformation that could occur in normal pancreatic tissue</w:t>
      </w:r>
      <w:r w:rsidR="00E70AFB" w:rsidRPr="00E70AFB">
        <w:rPr>
          <w:rFonts w:ascii="Book Antiqua" w:eastAsia="Book Antiqua" w:hAnsi="Book Antiqua" w:cs="Book Antiqua"/>
          <w:color w:val="000000"/>
          <w:vertAlign w:val="superscript"/>
        </w:rPr>
        <w:t>[</w:t>
      </w:r>
      <w:r w:rsidR="00E70AFB">
        <w:rPr>
          <w:rFonts w:ascii="Book Antiqua" w:eastAsia="Book Antiqua" w:hAnsi="Book Antiqua" w:cs="Book Antiqua"/>
          <w:color w:val="000000"/>
          <w:szCs w:val="30"/>
          <w:vertAlign w:val="superscript"/>
        </w:rPr>
        <w:t>9,17]</w:t>
      </w:r>
      <w:r>
        <w:rPr>
          <w:rFonts w:ascii="Book Antiqua" w:eastAsia="Book Antiqua" w:hAnsi="Book Antiqua" w:cs="Book Antiqua"/>
          <w:color w:val="000000"/>
        </w:rPr>
        <w:t>. Therefore, further clues are needed in addition to abdominal pain to diagnose complicated GHP. According to a previous report, some cases of complicated GHP can elevate the pancreatic enzymes</w:t>
      </w:r>
      <w:r w:rsidR="00E70AFB" w:rsidRPr="00E70AFB">
        <w:rPr>
          <w:rFonts w:ascii="Book Antiqua" w:eastAsia="Book Antiqua" w:hAnsi="Book Antiqua" w:cs="Book Antiqua"/>
          <w:color w:val="000000"/>
          <w:vertAlign w:val="superscript"/>
        </w:rPr>
        <w:t>[</w:t>
      </w:r>
      <w:r w:rsidR="00E70AFB">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In the present study, three patients had elevated pancreatic enzymes. Chemical irritation or inflammation caused by the endocrine and exocrine function of the heterotopic pancreas tissue can cause symptoms</w:t>
      </w:r>
      <w:r w:rsidR="00E70AFB" w:rsidRPr="00E70AFB">
        <w:rPr>
          <w:rFonts w:ascii="Book Antiqua" w:eastAsia="Book Antiqua" w:hAnsi="Book Antiqua" w:cs="Book Antiqua"/>
          <w:color w:val="000000"/>
          <w:vertAlign w:val="superscript"/>
        </w:rPr>
        <w:t>[</w:t>
      </w:r>
      <w:r w:rsidR="00E70AFB">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pancreatitis, the pancreas is enlarged diffusely or locally by the interstitial or inflammatory edema; in fact, </w:t>
      </w:r>
      <w:r>
        <w:rPr>
          <w:rFonts w:ascii="Book Antiqua" w:eastAsia="Book Antiqua" w:hAnsi="Book Antiqua" w:cs="Book Antiqua"/>
          <w:color w:val="000000"/>
          <w:shd w:val="clear" w:color="auto" w:fill="FFFFFF"/>
        </w:rPr>
        <w:t>four of the five patients in our study showed GHP enlargement</w:t>
      </w:r>
      <w:r w:rsidR="00E70AFB" w:rsidRPr="00E70AFB">
        <w:rPr>
          <w:rFonts w:ascii="Book Antiqua" w:eastAsia="Book Antiqua" w:hAnsi="Book Antiqua" w:cs="Book Antiqua"/>
          <w:color w:val="000000"/>
          <w:vertAlign w:val="superscript"/>
        </w:rPr>
        <w:t>[</w:t>
      </w:r>
      <w:r w:rsidR="00E70AFB">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rPr>
        <w:t xml:space="preserve">. Based on the above results, we diagnosed complicated GHP when the patient had recurrent severe abdominal pain and met at least one of the following criteria: (1) </w:t>
      </w:r>
      <w:r w:rsidR="00E70AFB">
        <w:rPr>
          <w:rFonts w:ascii="Book Antiqua" w:eastAsia="Book Antiqua" w:hAnsi="Book Antiqua" w:cs="Book Antiqua"/>
          <w:color w:val="000000"/>
        </w:rPr>
        <w:t>M</w:t>
      </w:r>
      <w:r>
        <w:rPr>
          <w:rFonts w:ascii="Book Antiqua" w:eastAsia="Book Antiqua" w:hAnsi="Book Antiqua" w:cs="Book Antiqua"/>
          <w:color w:val="000000"/>
        </w:rPr>
        <w:t xml:space="preserve">orphologic change in GHP on endoscopy, CT, or MRI during the pain episode; </w:t>
      </w:r>
      <w:r w:rsidR="00E70AFB">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E70AFB">
        <w:rPr>
          <w:rFonts w:ascii="Book Antiqua" w:eastAsia="Book Antiqua" w:hAnsi="Book Antiqua" w:cs="Book Antiqua"/>
          <w:color w:val="000000"/>
        </w:rPr>
        <w:t>E</w:t>
      </w:r>
      <w:r>
        <w:rPr>
          <w:rFonts w:ascii="Book Antiqua" w:eastAsia="Book Antiqua" w:hAnsi="Book Antiqua" w:cs="Book Antiqua"/>
          <w:color w:val="000000"/>
        </w:rPr>
        <w:t>levated serum pancreatic enzymes with a normal pancreas on imaging.</w:t>
      </w:r>
    </w:p>
    <w:p w14:paraId="304BF607" w14:textId="4D82ED17" w:rsidR="00A77B3E" w:rsidRDefault="00A869C1" w:rsidP="00E70AFB">
      <w:pPr>
        <w:spacing w:line="360" w:lineRule="auto"/>
        <w:ind w:firstLineChars="100" w:firstLine="240"/>
        <w:jc w:val="both"/>
      </w:pPr>
      <w:r>
        <w:rPr>
          <w:rFonts w:ascii="Book Antiqua" w:eastAsia="Book Antiqua" w:hAnsi="Book Antiqua" w:cs="Book Antiqua"/>
          <w:color w:val="000000"/>
        </w:rPr>
        <w:t>The heterotopic pancreas on CT reportedly shows similar enhancement to that of normal pancreatic tissue. The common CT feature is that of an oval-shaped intramural mass with microlobulated margins</w:t>
      </w:r>
      <w:r w:rsidR="00E70AFB" w:rsidRPr="00E70AFB">
        <w:rPr>
          <w:rFonts w:ascii="Book Antiqua" w:eastAsia="Book Antiqua" w:hAnsi="Book Antiqua" w:cs="Book Antiqua"/>
          <w:color w:val="000000"/>
          <w:vertAlign w:val="superscript"/>
        </w:rPr>
        <w:t>[</w:t>
      </w:r>
      <w:r w:rsidR="00E70AFB">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However, the role of CT in the diagnosis of GHP without complications is insignificant</w:t>
      </w:r>
      <w:r w:rsidR="00E70AFB" w:rsidRPr="00E70AFB">
        <w:rPr>
          <w:rFonts w:ascii="Book Antiqua" w:eastAsia="Book Antiqua" w:hAnsi="Book Antiqua" w:cs="Book Antiqua"/>
          <w:color w:val="000000"/>
          <w:vertAlign w:val="superscript"/>
        </w:rPr>
        <w:t>[</w:t>
      </w:r>
      <w:r w:rsidR="00E70AFB">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our cases, all patients showed a normal pancreas and a small irregular enhancing intramural mass in the gastric antrum. They showed inflammatory changes on GHP and fluid collection along the greater curvature of the stomach. Two patients also had cystic lesions in the gastric antrum, which suggests a pseudocyst on GHP.</w:t>
      </w:r>
    </w:p>
    <w:p w14:paraId="6D2A31DF" w14:textId="5CFDA515" w:rsidR="00A77B3E" w:rsidRDefault="00A869C1" w:rsidP="00887F88">
      <w:pPr>
        <w:spacing w:line="360" w:lineRule="auto"/>
        <w:ind w:firstLineChars="100" w:firstLine="240"/>
        <w:jc w:val="both"/>
      </w:pPr>
      <w:r>
        <w:rPr>
          <w:rFonts w:ascii="Book Antiqua" w:eastAsia="Book Antiqua" w:hAnsi="Book Antiqua" w:cs="Book Antiqua"/>
          <w:color w:val="000000"/>
        </w:rPr>
        <w:t>In asymptomatic GHP, close observation with serial follow-up endoscopy is sufficient because the risk of complications or malignant changes is extremely low. However, if symptoms or complications occur, complete resection should be considered</w:t>
      </w:r>
      <w:r w:rsidR="0031306A" w:rsidRPr="0031306A">
        <w:rPr>
          <w:rFonts w:ascii="Book Antiqua" w:eastAsia="Book Antiqua" w:hAnsi="Book Antiqua" w:cs="Book Antiqua"/>
          <w:color w:val="000000"/>
          <w:vertAlign w:val="superscript"/>
        </w:rPr>
        <w:t>[</w:t>
      </w:r>
      <w:r w:rsidR="0031306A">
        <w:rPr>
          <w:rFonts w:ascii="Book Antiqua" w:eastAsia="Book Antiqua" w:hAnsi="Book Antiqua" w:cs="Book Antiqua"/>
          <w:color w:val="000000"/>
          <w:szCs w:val="30"/>
          <w:vertAlign w:val="superscript"/>
        </w:rPr>
        <w:t>15,23]</w:t>
      </w:r>
      <w:r>
        <w:rPr>
          <w:rFonts w:ascii="Book Antiqua" w:eastAsia="Book Antiqua" w:hAnsi="Book Antiqua" w:cs="Book Antiqua"/>
          <w:color w:val="000000"/>
        </w:rPr>
        <w:t>. In a previous study, ESD was safe and feasible for curative treatment of GHP. This procedure was performed for asymptomatic or symptomatic GHP with a nonspecific abdominal pain, and approximately 65% of lesions originated from the mucosa or the submucosa layer</w:t>
      </w:r>
      <w:r w:rsidR="0031306A" w:rsidRPr="0031306A">
        <w:rPr>
          <w:rFonts w:ascii="Book Antiqua" w:eastAsia="Book Antiqua" w:hAnsi="Book Antiqua" w:cs="Book Antiqua"/>
          <w:color w:val="000000"/>
          <w:vertAlign w:val="superscript"/>
        </w:rPr>
        <w:t>[</w:t>
      </w:r>
      <w:r w:rsidR="0031306A">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 complete resection of complicated GHP by ESD is challenging, because the lesion is usually located in the deep submucosal and proper muscle layers.</w:t>
      </w:r>
    </w:p>
    <w:p w14:paraId="06C83539" w14:textId="750354BB" w:rsidR="00A77B3E" w:rsidRDefault="00A869C1" w:rsidP="0031306A">
      <w:pPr>
        <w:spacing w:line="360" w:lineRule="auto"/>
        <w:ind w:firstLineChars="100" w:firstLine="240"/>
        <w:jc w:val="both"/>
      </w:pPr>
      <w:r>
        <w:rPr>
          <w:rFonts w:ascii="Book Antiqua" w:eastAsia="Book Antiqua" w:hAnsi="Book Antiqua" w:cs="Book Antiqua"/>
          <w:color w:val="000000"/>
        </w:rPr>
        <w:t>When GHP is accompanied by complications including pancreatitis like in a normal pancreas, the lesion enlarges because of tissue inflammation and edema. In this case, each layer is difficult to distinguish because of the inflammatory changes. Even if the inflammation has improved, endoscopic dissection is difficult because the tumor boundary is not clear owing to the tissue changes caused by the inflammation. Therefore, dissection as close as possible to the proper muscle based on the easily identifiable layer, rather than on the tumor with an unclear border, would be a better tip for complete resection. In this study, there were two cases of endoscopically complete but pathologically incomplete resection of the deep resection margin. The possibility of recurrence from remnant tissues was closely followed up, but neither symptoms nor tumors recurred during the median follow-up period of 46.0 mo. It might suggest that the significant cauterization effect at the deep resection margin of the lesion during ESD generally ablates any remnant cells. And other two cases were confirmed only foreign body reactions and calcification on histopathologic report. We suggested the reasons for this situation as follows. First, the pancreas tissue was eliminated because of the ulcer. Second, the severe inflammation resulted in the necrosis of normal pancreatic tissue, and eventually, there are no normal pancreatic tissues after conservative treatment. Third, significant cauterization effect at the deep resection margin of the lesion during ESD generally ablates any remnant cells.</w:t>
      </w:r>
    </w:p>
    <w:p w14:paraId="49AE6CE6" w14:textId="4F181F62" w:rsidR="00A77B3E" w:rsidRDefault="00A869C1" w:rsidP="0031306A">
      <w:pPr>
        <w:spacing w:line="360" w:lineRule="auto"/>
        <w:ind w:firstLineChars="100" w:firstLine="240"/>
        <w:jc w:val="both"/>
      </w:pPr>
      <w:r>
        <w:rPr>
          <w:rFonts w:ascii="Book Antiqua" w:eastAsia="Book Antiqua" w:hAnsi="Book Antiqua" w:cs="Book Antiqua"/>
          <w:color w:val="000000"/>
        </w:rPr>
        <w:t>Although further discussions are needed to determine the optimal removal timing and method, early removal is recommended for patients with complicated GHP given that severe recurrent abdominal pain occurred 2</w:t>
      </w:r>
      <w:r w:rsidR="009638F1">
        <w:rPr>
          <w:rFonts w:ascii="Book Antiqua" w:eastAsia="Book Antiqua" w:hAnsi="Book Antiqua" w:cs="Book Antiqua"/>
          <w:color w:val="000000"/>
        </w:rPr>
        <w:t>-</w:t>
      </w:r>
      <w:r>
        <w:rPr>
          <w:rFonts w:ascii="Book Antiqua" w:eastAsia="Book Antiqua" w:hAnsi="Book Antiqua" w:cs="Book Antiqua"/>
          <w:color w:val="000000"/>
        </w:rPr>
        <w:t>10 times before lesion removal in our study. These patients were first treated conservatively with the aim of reducing inflammation and relieving symptoms, while ESD was performed later. None of the patients who underwent ESD for complicated GHP experienced procedure-related adverse events or symptom recurrence during the follow-up period.</w:t>
      </w:r>
    </w:p>
    <w:p w14:paraId="43949F4D" w14:textId="04C41C0B" w:rsidR="00A77B3E" w:rsidRDefault="00A869C1" w:rsidP="009638F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Our study had several limitations. First, because it was retrospective and conducted in a single center, there were no definitive criteria for patient selection, optimal resection timing, or treatment method. Second, the assessment of severe pain required for the diagnosis of complicated GHP is subjective and may vary from person to person. However, we used the numeric rating scale to assess pain intensity for persons able to self-report. We attempted to evaluate pain as objectively as possible by documenting the patient’s history of requiring narcotic analgesics to improve pain or visiting the emergency room when the pain occurred. We also tried to differentiate between abdominal pain caused by pancreatitis and that due to other reasons. Despite these limitations, the present study examined the largest number of cases to date reported in the literature, and our findings strongly support the current strategy of ESD for complicated GHP.</w:t>
      </w:r>
    </w:p>
    <w:p w14:paraId="727495A7" w14:textId="11DECA95" w:rsidR="009638F1" w:rsidRDefault="009638F1" w:rsidP="009638F1">
      <w:pPr>
        <w:spacing w:line="360" w:lineRule="auto"/>
        <w:jc w:val="both"/>
        <w:rPr>
          <w:rFonts w:ascii="Book Antiqua" w:eastAsia="Book Antiqua" w:hAnsi="Book Antiqua" w:cs="Book Antiqua"/>
          <w:color w:val="000000"/>
        </w:rPr>
      </w:pPr>
    </w:p>
    <w:p w14:paraId="2B0E60D7" w14:textId="6F81FE94" w:rsidR="009638F1" w:rsidRDefault="009638F1" w:rsidP="009638F1">
      <w:pPr>
        <w:spacing w:line="360" w:lineRule="auto"/>
        <w:jc w:val="both"/>
      </w:pPr>
      <w:r>
        <w:rPr>
          <w:rFonts w:ascii="Book Antiqua" w:eastAsia="Book Antiqua" w:hAnsi="Book Antiqua" w:cs="Book Antiqua"/>
          <w:b/>
          <w:caps/>
          <w:color w:val="000000"/>
          <w:u w:val="single"/>
        </w:rPr>
        <w:t>CONCLUSION</w:t>
      </w:r>
    </w:p>
    <w:p w14:paraId="37B02E75" w14:textId="77777777" w:rsidR="00A77B3E" w:rsidRDefault="00A869C1" w:rsidP="009638F1">
      <w:pPr>
        <w:spacing w:line="360" w:lineRule="auto"/>
        <w:jc w:val="both"/>
      </w:pPr>
      <w:r>
        <w:rPr>
          <w:rFonts w:ascii="Book Antiqua" w:eastAsia="Book Antiqua" w:hAnsi="Book Antiqua" w:cs="Book Antiqua"/>
          <w:color w:val="000000"/>
        </w:rPr>
        <w:t>In conclusion, when patients with GHP experience recurrent severe acute abdominal pain, complicated GHP should be considered as a differential diagnosis. Conservative treatment followed by ESD can be a feasible minimally invasive alternative to surgical resection.</w:t>
      </w:r>
    </w:p>
    <w:p w14:paraId="7CF2FE0A" w14:textId="77777777" w:rsidR="00A77B3E" w:rsidRDefault="00A77B3E" w:rsidP="009638F1">
      <w:pPr>
        <w:spacing w:line="360" w:lineRule="auto"/>
        <w:jc w:val="both"/>
      </w:pPr>
    </w:p>
    <w:p w14:paraId="1108C70A" w14:textId="77777777" w:rsidR="00A77B3E" w:rsidRDefault="00A869C1">
      <w:pPr>
        <w:spacing w:line="360" w:lineRule="auto"/>
        <w:jc w:val="both"/>
      </w:pPr>
      <w:r>
        <w:rPr>
          <w:rFonts w:ascii="Book Antiqua" w:eastAsia="Book Antiqua" w:hAnsi="Book Antiqua" w:cs="Book Antiqua"/>
          <w:b/>
          <w:caps/>
          <w:color w:val="000000"/>
          <w:u w:val="single"/>
        </w:rPr>
        <w:t>ARTICLE HIGHLIGHTS</w:t>
      </w:r>
    </w:p>
    <w:p w14:paraId="18C8726C" w14:textId="77777777" w:rsidR="00A77B3E" w:rsidRDefault="00A869C1">
      <w:pPr>
        <w:spacing w:line="360" w:lineRule="auto"/>
        <w:jc w:val="both"/>
      </w:pPr>
      <w:r>
        <w:rPr>
          <w:rFonts w:ascii="Book Antiqua" w:eastAsia="Book Antiqua" w:hAnsi="Book Antiqua" w:cs="Book Antiqua"/>
          <w:b/>
          <w:i/>
          <w:color w:val="000000"/>
        </w:rPr>
        <w:t>Research background</w:t>
      </w:r>
    </w:p>
    <w:p w14:paraId="5CDA5E04" w14:textId="69105EFC" w:rsidR="00A77B3E" w:rsidRDefault="00A869C1">
      <w:pPr>
        <w:spacing w:line="360" w:lineRule="auto"/>
        <w:jc w:val="both"/>
      </w:pPr>
      <w:r>
        <w:rPr>
          <w:rFonts w:ascii="Book Antiqua" w:eastAsia="Book Antiqua" w:hAnsi="Book Antiqua" w:cs="Book Antiqua"/>
          <w:color w:val="000000"/>
        </w:rPr>
        <w:t>Gastric heterotopic pancreas (GHP) is generally asymptomatic and rarely features complications. However, the treatment of complicated GHP is challenging and often requires surgical resection.</w:t>
      </w:r>
    </w:p>
    <w:p w14:paraId="4055B5EA" w14:textId="77777777" w:rsidR="00A77B3E" w:rsidRDefault="00A77B3E">
      <w:pPr>
        <w:spacing w:line="360" w:lineRule="auto"/>
        <w:jc w:val="both"/>
      </w:pPr>
    </w:p>
    <w:p w14:paraId="3330B284" w14:textId="77777777" w:rsidR="00A77B3E" w:rsidRDefault="00A869C1">
      <w:pPr>
        <w:spacing w:line="360" w:lineRule="auto"/>
        <w:jc w:val="both"/>
      </w:pPr>
      <w:r>
        <w:rPr>
          <w:rFonts w:ascii="Book Antiqua" w:eastAsia="Book Antiqua" w:hAnsi="Book Antiqua" w:cs="Book Antiqua"/>
          <w:b/>
          <w:i/>
          <w:color w:val="000000"/>
        </w:rPr>
        <w:t>Research motivation</w:t>
      </w:r>
    </w:p>
    <w:p w14:paraId="6E3D49FE" w14:textId="03CC850E" w:rsidR="00A77B3E" w:rsidRDefault="00A869C1" w:rsidP="009638F1">
      <w:pPr>
        <w:spacing w:line="360" w:lineRule="auto"/>
        <w:jc w:val="both"/>
      </w:pPr>
      <w:r>
        <w:rPr>
          <w:rFonts w:ascii="Book Antiqua" w:eastAsia="Book Antiqua" w:hAnsi="Book Antiqua" w:cs="Book Antiqua"/>
          <w:color w:val="000000"/>
        </w:rPr>
        <w:t xml:space="preserve">This retrospective study describes clinical outcomes in patients who underwent </w:t>
      </w:r>
      <w:r w:rsidR="009638F1">
        <w:rPr>
          <w:rFonts w:ascii="Book Antiqua" w:eastAsia="Book Antiqua" w:hAnsi="Book Antiqua" w:cs="Book Antiqua"/>
          <w:color w:val="000000"/>
        </w:rPr>
        <w:t>endoscopic submucosal dissection (ESD)</w:t>
      </w:r>
      <w:r>
        <w:rPr>
          <w:rFonts w:ascii="Book Antiqua" w:eastAsia="Book Antiqua" w:hAnsi="Book Antiqua" w:cs="Book Antiqua"/>
          <w:color w:val="000000"/>
        </w:rPr>
        <w:t xml:space="preserve"> for complicated GHP.</w:t>
      </w:r>
    </w:p>
    <w:p w14:paraId="404C7F86" w14:textId="77777777" w:rsidR="00A77B3E" w:rsidRDefault="00A77B3E" w:rsidP="009638F1">
      <w:pPr>
        <w:spacing w:line="360" w:lineRule="auto"/>
        <w:jc w:val="both"/>
      </w:pPr>
    </w:p>
    <w:p w14:paraId="51C50109" w14:textId="77777777" w:rsidR="00A77B3E" w:rsidRDefault="00A869C1">
      <w:pPr>
        <w:spacing w:line="360" w:lineRule="auto"/>
        <w:jc w:val="both"/>
      </w:pPr>
      <w:r>
        <w:rPr>
          <w:rFonts w:ascii="Book Antiqua" w:eastAsia="Book Antiqua" w:hAnsi="Book Antiqua" w:cs="Book Antiqua"/>
          <w:b/>
          <w:i/>
          <w:color w:val="000000"/>
        </w:rPr>
        <w:t>Research objectives</w:t>
      </w:r>
    </w:p>
    <w:p w14:paraId="0DC58971" w14:textId="2202D670" w:rsidR="00A77B3E" w:rsidRDefault="00A869C1">
      <w:pPr>
        <w:spacing w:line="360" w:lineRule="auto"/>
        <w:jc w:val="both"/>
      </w:pPr>
      <w:r>
        <w:rPr>
          <w:rFonts w:ascii="Book Antiqua" w:eastAsia="Book Antiqua" w:hAnsi="Book Antiqua" w:cs="Book Antiqua"/>
          <w:color w:val="000000"/>
        </w:rPr>
        <w:t>This study aimed to investigate the clinical outcomes of ESD as alternative to surgical resection for complicated GHP.</w:t>
      </w:r>
    </w:p>
    <w:p w14:paraId="6E367F5A" w14:textId="77777777" w:rsidR="00A77B3E" w:rsidRDefault="00A77B3E">
      <w:pPr>
        <w:spacing w:line="360" w:lineRule="auto"/>
        <w:jc w:val="both"/>
      </w:pPr>
    </w:p>
    <w:p w14:paraId="3BC08E97" w14:textId="77777777" w:rsidR="00A77B3E" w:rsidRDefault="00A869C1">
      <w:pPr>
        <w:spacing w:line="360" w:lineRule="auto"/>
        <w:jc w:val="both"/>
      </w:pPr>
      <w:r>
        <w:rPr>
          <w:rFonts w:ascii="Book Antiqua" w:eastAsia="Book Antiqua" w:hAnsi="Book Antiqua" w:cs="Book Antiqua"/>
          <w:b/>
          <w:i/>
          <w:color w:val="000000"/>
        </w:rPr>
        <w:t>Research methods</w:t>
      </w:r>
    </w:p>
    <w:p w14:paraId="652B0A19" w14:textId="77777777" w:rsidR="00A77B3E" w:rsidRDefault="00A869C1">
      <w:pPr>
        <w:spacing w:line="360" w:lineRule="auto"/>
        <w:jc w:val="both"/>
      </w:pPr>
      <w:r>
        <w:rPr>
          <w:rFonts w:ascii="Book Antiqua" w:eastAsia="Book Antiqua" w:hAnsi="Book Antiqua" w:cs="Book Antiqua"/>
          <w:color w:val="000000"/>
        </w:rPr>
        <w:t>Patients who were diagnosed with complicated GHP were treated conservatively as with general practice for acute pancreatitis. After conservative management for resolving the acute phase of pancreatitis, ESD was performed as definitive treatment for complicated GHP. The clinical features of patients and tumors, procedure-related characteristics, and long-term outcomes were investigated.</w:t>
      </w:r>
    </w:p>
    <w:p w14:paraId="3F2F59B8" w14:textId="77777777" w:rsidR="00A77B3E" w:rsidRDefault="00A77B3E">
      <w:pPr>
        <w:spacing w:line="360" w:lineRule="auto"/>
        <w:jc w:val="both"/>
      </w:pPr>
    </w:p>
    <w:p w14:paraId="1691AC42" w14:textId="77777777" w:rsidR="00A77B3E" w:rsidRDefault="00A869C1">
      <w:pPr>
        <w:spacing w:line="360" w:lineRule="auto"/>
        <w:jc w:val="both"/>
      </w:pPr>
      <w:r>
        <w:rPr>
          <w:rFonts w:ascii="Book Antiqua" w:eastAsia="Book Antiqua" w:hAnsi="Book Antiqua" w:cs="Book Antiqua"/>
          <w:b/>
          <w:i/>
          <w:color w:val="000000"/>
        </w:rPr>
        <w:t>Research results</w:t>
      </w:r>
    </w:p>
    <w:p w14:paraId="6D8A0D3B" w14:textId="6783E65D" w:rsidR="00A77B3E" w:rsidRDefault="00A869C1">
      <w:pPr>
        <w:spacing w:line="360" w:lineRule="auto"/>
        <w:jc w:val="both"/>
      </w:pPr>
      <w:r>
        <w:rPr>
          <w:rFonts w:ascii="Book Antiqua" w:eastAsia="Book Antiqua" w:hAnsi="Book Antiqua" w:cs="Book Antiqua"/>
          <w:color w:val="000000"/>
        </w:rPr>
        <w:t>All lesions were located in the greater curvature of the antrum. On endoscopic ultrasonography during the pain episode, all lesions were located across the muscularis mucosa, submucosa, and proper muscle layers. The median lesion size was 20 during the pain episode at the time of the diagnosis of complicated GHP, and 15 mm at the time of ESD after conservative treatment. The procedure time ranged from 15</w:t>
      </w:r>
      <w:r w:rsidR="009638F1">
        <w:rPr>
          <w:rFonts w:ascii="Book Antiqua" w:eastAsia="Book Antiqua" w:hAnsi="Book Antiqua" w:cs="Book Antiqua"/>
          <w:color w:val="000000"/>
        </w:rPr>
        <w:t>-</w:t>
      </w:r>
      <w:r>
        <w:rPr>
          <w:rFonts w:ascii="Book Antiqua" w:eastAsia="Book Antiqua" w:hAnsi="Book Antiqua" w:cs="Book Antiqua"/>
          <w:color w:val="000000"/>
        </w:rPr>
        <w:t>120 min. There were no procedure-related adverse events such as perforation or bleeding. The length of hospital stay after the procedure ranged from 2</w:t>
      </w:r>
      <w:r w:rsidR="009638F1">
        <w:rPr>
          <w:rFonts w:ascii="Book Antiqua" w:eastAsia="Book Antiqua" w:hAnsi="Book Antiqua" w:cs="Book Antiqua"/>
          <w:color w:val="000000"/>
        </w:rPr>
        <w:t>-</w:t>
      </w:r>
      <w:r>
        <w:rPr>
          <w:rFonts w:ascii="Book Antiqua" w:eastAsia="Book Antiqua" w:hAnsi="Book Antiqua" w:cs="Book Antiqua"/>
          <w:color w:val="000000"/>
        </w:rPr>
        <w:t>4 d. All patients were symptom free during the median follow-up period of 46.0 mo.</w:t>
      </w:r>
    </w:p>
    <w:p w14:paraId="642A858B" w14:textId="77777777" w:rsidR="00A77B3E" w:rsidRDefault="00A77B3E">
      <w:pPr>
        <w:spacing w:line="360" w:lineRule="auto"/>
        <w:jc w:val="both"/>
      </w:pPr>
    </w:p>
    <w:p w14:paraId="4E52221A" w14:textId="77777777" w:rsidR="00A77B3E" w:rsidRDefault="00A869C1">
      <w:pPr>
        <w:spacing w:line="360" w:lineRule="auto"/>
        <w:jc w:val="both"/>
      </w:pPr>
      <w:r>
        <w:rPr>
          <w:rFonts w:ascii="Book Antiqua" w:eastAsia="Book Antiqua" w:hAnsi="Book Antiqua" w:cs="Book Antiqua"/>
          <w:b/>
          <w:i/>
          <w:color w:val="000000"/>
        </w:rPr>
        <w:t>Research conclusions</w:t>
      </w:r>
    </w:p>
    <w:p w14:paraId="3FF31BE8" w14:textId="77777777" w:rsidR="00A77B3E" w:rsidRDefault="00A869C1">
      <w:pPr>
        <w:spacing w:line="360" w:lineRule="auto"/>
        <w:jc w:val="both"/>
      </w:pPr>
      <w:r>
        <w:rPr>
          <w:rFonts w:ascii="Book Antiqua" w:eastAsia="Book Antiqua" w:hAnsi="Book Antiqua" w:cs="Book Antiqua"/>
          <w:color w:val="000000"/>
        </w:rPr>
        <w:t>When patients with GHP experience recurrent severe acute abdominal pain, complicated GHP should be considered as a differential diagnosis.</w:t>
      </w:r>
    </w:p>
    <w:p w14:paraId="6C8272AA" w14:textId="77777777" w:rsidR="00A77B3E" w:rsidRDefault="00A77B3E">
      <w:pPr>
        <w:spacing w:line="360" w:lineRule="auto"/>
        <w:jc w:val="both"/>
      </w:pPr>
    </w:p>
    <w:p w14:paraId="6375C65D" w14:textId="77777777" w:rsidR="00A77B3E" w:rsidRDefault="00A869C1">
      <w:pPr>
        <w:spacing w:line="360" w:lineRule="auto"/>
        <w:jc w:val="both"/>
      </w:pPr>
      <w:r>
        <w:rPr>
          <w:rFonts w:ascii="Book Antiqua" w:eastAsia="Book Antiqua" w:hAnsi="Book Antiqua" w:cs="Book Antiqua"/>
          <w:b/>
          <w:i/>
          <w:color w:val="000000"/>
        </w:rPr>
        <w:t>Research perspectives</w:t>
      </w:r>
    </w:p>
    <w:p w14:paraId="3847B920" w14:textId="77777777" w:rsidR="00A77B3E" w:rsidRDefault="00A869C1" w:rsidP="009638F1">
      <w:pPr>
        <w:spacing w:line="360" w:lineRule="auto"/>
        <w:jc w:val="both"/>
      </w:pPr>
      <w:r>
        <w:rPr>
          <w:rFonts w:ascii="Book Antiqua" w:eastAsia="Book Antiqua" w:hAnsi="Book Antiqua" w:cs="Book Antiqua"/>
          <w:color w:val="000000"/>
        </w:rPr>
        <w:t>Conservative treatment followed by ESD can be a feasible minimally invasive alternative to surgical resection.</w:t>
      </w:r>
    </w:p>
    <w:p w14:paraId="3295C436" w14:textId="77777777" w:rsidR="00A77B3E" w:rsidRDefault="00A77B3E" w:rsidP="009638F1">
      <w:pPr>
        <w:spacing w:line="360" w:lineRule="auto"/>
        <w:jc w:val="both"/>
      </w:pPr>
    </w:p>
    <w:p w14:paraId="36951F50" w14:textId="77777777" w:rsidR="00A77B3E" w:rsidRDefault="00A869C1" w:rsidP="009638F1">
      <w:pPr>
        <w:spacing w:line="360" w:lineRule="auto"/>
        <w:jc w:val="both"/>
      </w:pPr>
      <w:r>
        <w:rPr>
          <w:rFonts w:ascii="Book Antiqua" w:eastAsia="Book Antiqua" w:hAnsi="Book Antiqua" w:cs="Book Antiqua"/>
          <w:b/>
          <w:color w:val="000000"/>
        </w:rPr>
        <w:t>REFERENCES</w:t>
      </w:r>
    </w:p>
    <w:p w14:paraId="11DF15C9" w14:textId="77777777" w:rsidR="00A77B3E" w:rsidRDefault="00A869C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Lai EC</w:t>
      </w:r>
      <w:r>
        <w:rPr>
          <w:rFonts w:ascii="Book Antiqua" w:eastAsia="Book Antiqua" w:hAnsi="Book Antiqua" w:cs="Book Antiqua"/>
          <w:color w:val="000000"/>
        </w:rPr>
        <w:t xml:space="preserve">, Tompkins RK. Heterotopic pancreas. Review of a 26 year experience.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1986; </w:t>
      </w:r>
      <w:r>
        <w:rPr>
          <w:rFonts w:ascii="Book Antiqua" w:eastAsia="Book Antiqua" w:hAnsi="Book Antiqua" w:cs="Book Antiqua"/>
          <w:b/>
          <w:bCs/>
          <w:color w:val="000000"/>
        </w:rPr>
        <w:t>151</w:t>
      </w:r>
      <w:r>
        <w:rPr>
          <w:rFonts w:ascii="Book Antiqua" w:eastAsia="Book Antiqua" w:hAnsi="Book Antiqua" w:cs="Book Antiqua"/>
          <w:color w:val="000000"/>
        </w:rPr>
        <w:t>: 697-700 [PMID: 3717502 DOI: 10.1016/0002-9610(86)90045-0]</w:t>
      </w:r>
    </w:p>
    <w:p w14:paraId="36536BB4" w14:textId="77777777" w:rsidR="00A77B3E" w:rsidRDefault="00A869C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DeBord JR</w:t>
      </w:r>
      <w:r>
        <w:rPr>
          <w:rFonts w:ascii="Book Antiqua" w:eastAsia="Book Antiqua" w:hAnsi="Book Antiqua" w:cs="Book Antiqua"/>
          <w:color w:val="000000"/>
        </w:rPr>
        <w:t xml:space="preserve">, Majarakis JD, Nyhus LM. An unusual case of heterotopic pancreas of the stomach.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1981; </w:t>
      </w:r>
      <w:r>
        <w:rPr>
          <w:rFonts w:ascii="Book Antiqua" w:eastAsia="Book Antiqua" w:hAnsi="Book Antiqua" w:cs="Book Antiqua"/>
          <w:b/>
          <w:bCs/>
          <w:color w:val="000000"/>
        </w:rPr>
        <w:t>141</w:t>
      </w:r>
      <w:r>
        <w:rPr>
          <w:rFonts w:ascii="Book Antiqua" w:eastAsia="Book Antiqua" w:hAnsi="Book Antiqua" w:cs="Book Antiqua"/>
          <w:color w:val="000000"/>
        </w:rPr>
        <w:t>: 269-273 [PMID: 7457747 DOI: 10.1016/0002-9610(81)90172-0]</w:t>
      </w:r>
    </w:p>
    <w:p w14:paraId="3957AE42" w14:textId="77777777" w:rsidR="00A77B3E" w:rsidRDefault="00A869C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Burke GW</w:t>
      </w:r>
      <w:r>
        <w:rPr>
          <w:rFonts w:ascii="Book Antiqua" w:eastAsia="Book Antiqua" w:hAnsi="Book Antiqua" w:cs="Book Antiqua"/>
          <w:color w:val="000000"/>
        </w:rPr>
        <w:t xml:space="preserve">, Binder SC, Barron AM, Dratch PL, Umlas J. Heterotopic pancreas: gastric outlet obstruction secondary to pancreatitis and pancreatic pseudocyst.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1989; </w:t>
      </w:r>
      <w:r>
        <w:rPr>
          <w:rFonts w:ascii="Book Antiqua" w:eastAsia="Book Antiqua" w:hAnsi="Book Antiqua" w:cs="Book Antiqua"/>
          <w:b/>
          <w:bCs/>
          <w:color w:val="000000"/>
        </w:rPr>
        <w:t>84</w:t>
      </w:r>
      <w:r>
        <w:rPr>
          <w:rFonts w:ascii="Book Antiqua" w:eastAsia="Book Antiqua" w:hAnsi="Book Antiqua" w:cs="Book Antiqua"/>
          <w:color w:val="000000"/>
        </w:rPr>
        <w:t>: 52-55 [PMID: 2912031]</w:t>
      </w:r>
    </w:p>
    <w:p w14:paraId="73C4F9F5" w14:textId="77777777" w:rsidR="00A77B3E" w:rsidRDefault="00A869C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Christodoulidis G</w:t>
      </w:r>
      <w:r>
        <w:rPr>
          <w:rFonts w:ascii="Book Antiqua" w:eastAsia="Book Antiqua" w:hAnsi="Book Antiqua" w:cs="Book Antiqua"/>
          <w:color w:val="000000"/>
        </w:rPr>
        <w:t xml:space="preserve">, Zacharoulis D, Barbanis S, Katsogridakis E, Hatzitheofilou K. Heterotopic pancreas in the stomach: a case report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6098-6100 [PMID: 18023108 DOI: 10.3748/wjg.v13.45.6098]</w:t>
      </w:r>
    </w:p>
    <w:p w14:paraId="66B61FFE" w14:textId="77777777" w:rsidR="00A77B3E" w:rsidRDefault="00A869C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SH</w:t>
      </w:r>
      <w:r>
        <w:rPr>
          <w:rFonts w:ascii="Book Antiqua" w:eastAsia="Book Antiqua" w:hAnsi="Book Antiqua" w:cs="Book Antiqua"/>
          <w:color w:val="000000"/>
        </w:rPr>
        <w:t xml:space="preserve">, Huang WH, Feng CL, Chou JW, Hsu CH, Peng CY, Yang MD. Clinical analysis of ectopic pancreas with endoscopic ultrasonography: an experience in a medical center.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877-881 [PMID: 18246404 DOI: 10.1007/s11605-008-0476-0]</w:t>
      </w:r>
    </w:p>
    <w:p w14:paraId="73F63401" w14:textId="77777777" w:rsidR="00A77B3E" w:rsidRDefault="00A869C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Matsushita M</w:t>
      </w:r>
      <w:r>
        <w:rPr>
          <w:rFonts w:ascii="Book Antiqua" w:eastAsia="Book Antiqua" w:hAnsi="Book Antiqua" w:cs="Book Antiqua"/>
          <w:color w:val="000000"/>
        </w:rPr>
        <w:t xml:space="preserve">, Hajiro K, Okazaki K, Takakuwa H. Gastric aberrant pancreas: EUS analysis in comparison with the histology.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1999; </w:t>
      </w:r>
      <w:r>
        <w:rPr>
          <w:rFonts w:ascii="Book Antiqua" w:eastAsia="Book Antiqua" w:hAnsi="Book Antiqua" w:cs="Book Antiqua"/>
          <w:b/>
          <w:bCs/>
          <w:color w:val="000000"/>
        </w:rPr>
        <w:t>49</w:t>
      </w:r>
      <w:r>
        <w:rPr>
          <w:rFonts w:ascii="Book Antiqua" w:eastAsia="Book Antiqua" w:hAnsi="Book Antiqua" w:cs="Book Antiqua"/>
          <w:color w:val="000000"/>
        </w:rPr>
        <w:t>: 493-497 [PMID: 10202065 DOI: 10.1016/s0016-5107(99)70049-0]</w:t>
      </w:r>
    </w:p>
    <w:p w14:paraId="4735F74F" w14:textId="77777777" w:rsidR="00A77B3E" w:rsidRDefault="00A869C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Pih GY</w:t>
      </w:r>
      <w:r>
        <w:rPr>
          <w:rFonts w:ascii="Book Antiqua" w:eastAsia="Book Antiqua" w:hAnsi="Book Antiqua" w:cs="Book Antiqua"/>
          <w:color w:val="000000"/>
        </w:rPr>
        <w:t xml:space="preserve">, Kim DH. Endoscopic Ultrasound-Guided Fine Needle Aspiration and Biopsy in Gastrointestinal Subepithelial Tumors.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52</w:t>
      </w:r>
      <w:r>
        <w:rPr>
          <w:rFonts w:ascii="Book Antiqua" w:eastAsia="Book Antiqua" w:hAnsi="Book Antiqua" w:cs="Book Antiqua"/>
          <w:color w:val="000000"/>
        </w:rPr>
        <w:t>: 314-320 [PMID: 31370379 DOI: 10.5946/ce.2019.100]</w:t>
      </w:r>
    </w:p>
    <w:p w14:paraId="7C5D6FBB" w14:textId="77777777" w:rsidR="00A77B3E" w:rsidRDefault="00A869C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Armstrong CP</w:t>
      </w:r>
      <w:r>
        <w:rPr>
          <w:rFonts w:ascii="Book Antiqua" w:eastAsia="Book Antiqua" w:hAnsi="Book Antiqua" w:cs="Book Antiqua"/>
          <w:color w:val="000000"/>
        </w:rPr>
        <w:t xml:space="preserve">, King PM, Dixon JM, Macleod IB. The clinical significance of heterotopic pancreas in the gastrointestinal tract.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1981; </w:t>
      </w:r>
      <w:r>
        <w:rPr>
          <w:rFonts w:ascii="Book Antiqua" w:eastAsia="Book Antiqua" w:hAnsi="Book Antiqua" w:cs="Book Antiqua"/>
          <w:b/>
          <w:bCs/>
          <w:color w:val="000000"/>
        </w:rPr>
        <w:t>68</w:t>
      </w:r>
      <w:r>
        <w:rPr>
          <w:rFonts w:ascii="Book Antiqua" w:eastAsia="Book Antiqua" w:hAnsi="Book Antiqua" w:cs="Book Antiqua"/>
          <w:color w:val="000000"/>
        </w:rPr>
        <w:t>: 384-387 [PMID: 7237066 DOI: 10.1002/bjs.1800680606]</w:t>
      </w:r>
    </w:p>
    <w:p w14:paraId="27945790" w14:textId="77777777" w:rsidR="00A77B3E" w:rsidRDefault="00A869C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Shaib YH</w:t>
      </w:r>
      <w:r>
        <w:rPr>
          <w:rFonts w:ascii="Book Antiqua" w:eastAsia="Book Antiqua" w:hAnsi="Book Antiqua" w:cs="Book Antiqua"/>
          <w:color w:val="000000"/>
        </w:rPr>
        <w:t xml:space="preserve">, Rabaa E, Feddersen RM, Jamal MM, Qaseem T. Gastric outlet obstruction secondary to heterotopic pancreas in the antrum: case report and review.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2001; </w:t>
      </w:r>
      <w:r>
        <w:rPr>
          <w:rFonts w:ascii="Book Antiqua" w:eastAsia="Book Antiqua" w:hAnsi="Book Antiqua" w:cs="Book Antiqua"/>
          <w:b/>
          <w:bCs/>
          <w:color w:val="000000"/>
        </w:rPr>
        <w:t>54</w:t>
      </w:r>
      <w:r>
        <w:rPr>
          <w:rFonts w:ascii="Book Antiqua" w:eastAsia="Book Antiqua" w:hAnsi="Book Antiqua" w:cs="Book Antiqua"/>
          <w:color w:val="000000"/>
        </w:rPr>
        <w:t>: 527-530 [PMID: 11577327 DOI: 10.1067/mge.2001.116461]</w:t>
      </w:r>
    </w:p>
    <w:p w14:paraId="00F00842" w14:textId="77777777" w:rsidR="00A77B3E" w:rsidRDefault="00A869C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Covarelli P</w:t>
      </w:r>
      <w:r>
        <w:rPr>
          <w:rFonts w:ascii="Book Antiqua" w:eastAsia="Book Antiqua" w:hAnsi="Book Antiqua" w:cs="Book Antiqua"/>
          <w:color w:val="000000"/>
        </w:rPr>
        <w:t xml:space="preserve">, Cirocchi R, Bellochi R, Ricci P, Morozzi B, Nonno S, Mosci F. [Upper digestive hemorrhage as a rare manifestation of ectopic pancreas with gastric localization]. </w:t>
      </w:r>
      <w:r>
        <w:rPr>
          <w:rFonts w:ascii="Book Antiqua" w:eastAsia="Book Antiqua" w:hAnsi="Book Antiqua" w:cs="Book Antiqua"/>
          <w:i/>
          <w:iCs/>
          <w:color w:val="000000"/>
        </w:rPr>
        <w:t>G Chir</w:t>
      </w:r>
      <w:r>
        <w:rPr>
          <w:rFonts w:ascii="Book Antiqua" w:eastAsia="Book Antiqua" w:hAnsi="Book Antiqua" w:cs="Book Antiqua"/>
          <w:color w:val="000000"/>
        </w:rPr>
        <w:t xml:space="preserve"> 1997; </w:t>
      </w:r>
      <w:r>
        <w:rPr>
          <w:rFonts w:ascii="Book Antiqua" w:eastAsia="Book Antiqua" w:hAnsi="Book Antiqua" w:cs="Book Antiqua"/>
          <w:b/>
          <w:bCs/>
          <w:color w:val="000000"/>
        </w:rPr>
        <w:t>18</w:t>
      </w:r>
      <w:r>
        <w:rPr>
          <w:rFonts w:ascii="Book Antiqua" w:eastAsia="Book Antiqua" w:hAnsi="Book Antiqua" w:cs="Book Antiqua"/>
          <w:color w:val="000000"/>
        </w:rPr>
        <w:t>: 97-100 [PMID: 9206503]</w:t>
      </w:r>
    </w:p>
    <w:p w14:paraId="13797065" w14:textId="77777777" w:rsidR="00A77B3E" w:rsidRDefault="00A869C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Elwir S</w:t>
      </w:r>
      <w:r>
        <w:rPr>
          <w:rFonts w:ascii="Book Antiqua" w:eastAsia="Book Antiqua" w:hAnsi="Book Antiqua" w:cs="Book Antiqua"/>
          <w:color w:val="000000"/>
        </w:rPr>
        <w:t xml:space="preserve">, Glessing B, Amin K, Jensen E, Mallery S. Pancreatitis of ectopic pancreatic tissue: a rare cause of gastric outlet obstruction. </w:t>
      </w:r>
      <w:r>
        <w:rPr>
          <w:rFonts w:ascii="Book Antiqua" w:eastAsia="Book Antiqua" w:hAnsi="Book Antiqua" w:cs="Book Antiqua"/>
          <w:i/>
          <w:iCs/>
          <w:color w:val="000000"/>
        </w:rPr>
        <w:t>Gastroenterol Rep (Oxf)</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237-240 [PMID: 26224685 DOI: 10.1093/gastro/gov037]</w:t>
      </w:r>
    </w:p>
    <w:p w14:paraId="34D990CF" w14:textId="77777777" w:rsidR="00A77B3E" w:rsidRDefault="00A869C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Attwell A</w:t>
      </w:r>
      <w:r>
        <w:rPr>
          <w:rFonts w:ascii="Book Antiqua" w:eastAsia="Book Antiqua" w:hAnsi="Book Antiqua" w:cs="Book Antiqua"/>
          <w:color w:val="000000"/>
        </w:rPr>
        <w:t xml:space="preserve">, Sams S, Fukami N. Induction of acute ectopic pancreatitis by endoscopic ultrasound with fine-needle aspiration.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1196-1198 [PMID: 24361413 DOI: 10.1016/j.cgh.2013.11.037]</w:t>
      </w:r>
    </w:p>
    <w:p w14:paraId="19952A6F" w14:textId="40CFF40A" w:rsidR="00A77B3E" w:rsidRDefault="00A869C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Trifan A</w:t>
      </w:r>
      <w:r>
        <w:rPr>
          <w:rFonts w:ascii="Book Antiqua" w:eastAsia="Book Antiqua" w:hAnsi="Book Antiqua" w:cs="Book Antiqua"/>
          <w:color w:val="000000"/>
        </w:rPr>
        <w:t xml:space="preserve">, Târcoveanu E, Danciu M, </w:t>
      </w:r>
      <w:r w:rsidR="003B12F5" w:rsidRPr="003B12F5">
        <w:rPr>
          <w:rFonts w:ascii="Book Antiqua" w:eastAsia="Book Antiqua" w:hAnsi="Book Antiqua" w:cs="Book Antiqua"/>
          <w:color w:val="000000"/>
        </w:rPr>
        <w:t>Huţanaşu C</w:t>
      </w:r>
      <w:r>
        <w:rPr>
          <w:rFonts w:ascii="Book Antiqua" w:eastAsia="Book Antiqua" w:hAnsi="Book Antiqua" w:cs="Book Antiqua"/>
          <w:color w:val="000000"/>
        </w:rPr>
        <w:t xml:space="preserve">, Cojocariu C, Stanciu C. Gastric heterotopic pancreas: an unusual case and review of the literature. </w:t>
      </w:r>
      <w:r>
        <w:rPr>
          <w:rFonts w:ascii="Book Antiqua" w:eastAsia="Book Antiqua" w:hAnsi="Book Antiqua" w:cs="Book Antiqua"/>
          <w:i/>
          <w:iCs/>
          <w:color w:val="000000"/>
        </w:rPr>
        <w:t>J Gastrointestin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209-212 [PMID: 22720312]</w:t>
      </w:r>
    </w:p>
    <w:p w14:paraId="0A899C43" w14:textId="77777777" w:rsidR="00A77B3E" w:rsidRDefault="00A869C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Mulholland KC</w:t>
      </w:r>
      <w:r>
        <w:rPr>
          <w:rFonts w:ascii="Book Antiqua" w:eastAsia="Book Antiqua" w:hAnsi="Book Antiqua" w:cs="Book Antiqua"/>
          <w:color w:val="000000"/>
        </w:rPr>
        <w:t xml:space="preserve">, Wallace WD, Epanomeritakis E, Hall SR. Pseudocyst formation in gastric ectopic pancreas. </w:t>
      </w:r>
      <w:r>
        <w:rPr>
          <w:rFonts w:ascii="Book Antiqua" w:eastAsia="Book Antiqua" w:hAnsi="Book Antiqua" w:cs="Book Antiqua"/>
          <w:i/>
          <w:iCs/>
          <w:color w:val="000000"/>
        </w:rPr>
        <w:t>JOP</w:t>
      </w:r>
      <w:r>
        <w:rPr>
          <w:rFonts w:ascii="Book Antiqua" w:eastAsia="Book Antiqua" w:hAnsi="Book Antiqua" w:cs="Book Antiqua"/>
          <w:color w:val="000000"/>
        </w:rPr>
        <w:t xml:space="preserve"> 2004; </w:t>
      </w:r>
      <w:r>
        <w:rPr>
          <w:rFonts w:ascii="Book Antiqua" w:eastAsia="Book Antiqua" w:hAnsi="Book Antiqua" w:cs="Book Antiqua"/>
          <w:b/>
          <w:bCs/>
          <w:color w:val="000000"/>
        </w:rPr>
        <w:t>5</w:t>
      </w:r>
      <w:r>
        <w:rPr>
          <w:rFonts w:ascii="Book Antiqua" w:eastAsia="Book Antiqua" w:hAnsi="Book Antiqua" w:cs="Book Antiqua"/>
          <w:color w:val="000000"/>
        </w:rPr>
        <w:t>: 498-501 [PMID: 15536290]</w:t>
      </w:r>
    </w:p>
    <w:p w14:paraId="5C3C6D73" w14:textId="77777777" w:rsidR="00A77B3E" w:rsidRDefault="00A869C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Gong EJ</w:t>
      </w:r>
      <w:r>
        <w:rPr>
          <w:rFonts w:ascii="Book Antiqua" w:eastAsia="Book Antiqua" w:hAnsi="Book Antiqua" w:cs="Book Antiqua"/>
          <w:color w:val="000000"/>
        </w:rPr>
        <w:t xml:space="preserve">, Kim DH, Cho CJ, Lee SS, Jung HY, Yoo SH. Endoscopic submucosal dissection of ectopic pancreas with pancreatitis and pseudocyst formation.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1126 [PMID: 26215649 DOI: 10.1016/j.gie.2015.06.029]</w:t>
      </w:r>
    </w:p>
    <w:p w14:paraId="153FB254" w14:textId="77777777" w:rsidR="00A77B3E" w:rsidRDefault="00A869C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Greenberg JA</w:t>
      </w:r>
      <w:r>
        <w:rPr>
          <w:rFonts w:ascii="Book Antiqua" w:eastAsia="Book Antiqua" w:hAnsi="Book Antiqua" w:cs="Book Antiqua"/>
          <w:color w:val="000000"/>
        </w:rPr>
        <w:t xml:space="preserve">, Hsu J, Bawazeer M, Marshall J, Friedrich JO, Nathens A, Coburn N, May GR, Pearsall E, McLeod RS. Clinical practice guideline: management of acute pancreatitis. </w:t>
      </w:r>
      <w:r>
        <w:rPr>
          <w:rFonts w:ascii="Book Antiqua" w:eastAsia="Book Antiqua" w:hAnsi="Book Antiqua" w:cs="Book Antiqua"/>
          <w:i/>
          <w:iCs/>
          <w:color w:val="000000"/>
        </w:rPr>
        <w:t>Can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128-140 [PMID: 27007094 DOI: 10.1503/cjs.015015]</w:t>
      </w:r>
    </w:p>
    <w:p w14:paraId="47A8FEB5" w14:textId="792414DF" w:rsidR="00A77B3E" w:rsidRDefault="00A869C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Lee SL</w:t>
      </w:r>
      <w:r>
        <w:rPr>
          <w:rFonts w:ascii="Book Antiqua" w:eastAsia="Book Antiqua" w:hAnsi="Book Antiqua" w:cs="Book Antiqua"/>
          <w:color w:val="000000"/>
        </w:rPr>
        <w:t xml:space="preserve">, Ku YM, Lee HH, Cho YS. Gastric ectopic pancreas complicated by formation of a pseudocyst.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389-391 [PMID: 24726272 DOI: 10.1016/j.clinre.2014.02.011]</w:t>
      </w:r>
    </w:p>
    <w:p w14:paraId="39403674" w14:textId="77777777" w:rsidR="00A77B3E" w:rsidRDefault="00A869C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Riyaz A</w:t>
      </w:r>
      <w:r>
        <w:rPr>
          <w:rFonts w:ascii="Book Antiqua" w:eastAsia="Book Antiqua" w:hAnsi="Book Antiqua" w:cs="Book Antiqua"/>
          <w:color w:val="000000"/>
        </w:rPr>
        <w:t xml:space="preserve">, Cohen H. Ectopic pancreas presenting as a submucosal gastric antral tumor that was cystic on EUS.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2001; </w:t>
      </w:r>
      <w:r>
        <w:rPr>
          <w:rFonts w:ascii="Book Antiqua" w:eastAsia="Book Antiqua" w:hAnsi="Book Antiqua" w:cs="Book Antiqua"/>
          <w:b/>
          <w:bCs/>
          <w:color w:val="000000"/>
        </w:rPr>
        <w:t>53</w:t>
      </w:r>
      <w:r>
        <w:rPr>
          <w:rFonts w:ascii="Book Antiqua" w:eastAsia="Book Antiqua" w:hAnsi="Book Antiqua" w:cs="Book Antiqua"/>
          <w:color w:val="000000"/>
        </w:rPr>
        <w:t>: 675-677 [PMID: 11323606 DOI: 10.1067/mge.2001.113270]</w:t>
      </w:r>
    </w:p>
    <w:p w14:paraId="6F75CBAA" w14:textId="77777777" w:rsidR="00A77B3E" w:rsidRDefault="00A869C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Ormarsson OT</w:t>
      </w:r>
      <w:r>
        <w:rPr>
          <w:rFonts w:ascii="Book Antiqua" w:eastAsia="Book Antiqua" w:hAnsi="Book Antiqua" w:cs="Book Antiqua"/>
          <w:color w:val="000000"/>
        </w:rPr>
        <w:t xml:space="preserve">, Gudmundsdottir I, Mårvik R. Diagnosis and treatment of gastric heterotopic pancreas.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1682-1689 [PMID: 16902740 DOI: 10.1007/s00268-005-0669-6]</w:t>
      </w:r>
    </w:p>
    <w:p w14:paraId="15133C8F" w14:textId="77777777" w:rsidR="00A77B3E" w:rsidRDefault="00A869C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Busireddy KK</w:t>
      </w:r>
      <w:r>
        <w:rPr>
          <w:rFonts w:ascii="Book Antiqua" w:eastAsia="Book Antiqua" w:hAnsi="Book Antiqua" w:cs="Book Antiqua"/>
          <w:color w:val="000000"/>
        </w:rPr>
        <w:t xml:space="preserve">, AlObaidy M, Ramalho M, Kalubowila J, Baodong L, Santagostino I, Semelka RC. Pancreatitis-imaging approach. </w:t>
      </w:r>
      <w:r>
        <w:rPr>
          <w:rFonts w:ascii="Book Antiqua" w:eastAsia="Book Antiqua" w:hAnsi="Book Antiqua" w:cs="Book Antiqua"/>
          <w:i/>
          <w:iCs/>
          <w:color w:val="000000"/>
        </w:rPr>
        <w:t>World J Gastrointest Pathophysiol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252-270 [PMID: 25133027 DOI: 10.4291/wjgp.v5.i3.252]</w:t>
      </w:r>
    </w:p>
    <w:p w14:paraId="1E0700E9" w14:textId="77777777" w:rsidR="00A77B3E" w:rsidRDefault="00A869C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Rezvani M</w:t>
      </w:r>
      <w:r>
        <w:rPr>
          <w:rFonts w:ascii="Book Antiqua" w:eastAsia="Book Antiqua" w:hAnsi="Book Antiqua" w:cs="Book Antiqua"/>
          <w:color w:val="000000"/>
        </w:rPr>
        <w:t xml:space="preserve">, Menias C, Sandrasegaran K, Olpin JD, Elsayes KM, Shaaban AM. Heterotopic Pancreas: Histopathologic Features, Imaging Findings, and Complications.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484-499 [PMID: 28287935 DOI: 10.1148/rg.2017160091]</w:t>
      </w:r>
    </w:p>
    <w:p w14:paraId="0DBA9EA6" w14:textId="77777777" w:rsidR="00A77B3E" w:rsidRDefault="00A869C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Cho JS</w:t>
      </w:r>
      <w:r>
        <w:rPr>
          <w:rFonts w:ascii="Book Antiqua" w:eastAsia="Book Antiqua" w:hAnsi="Book Antiqua" w:cs="Book Antiqua"/>
          <w:color w:val="000000"/>
        </w:rPr>
        <w:t xml:space="preserve">, Shin KS, Kwon ST, Kim JW, Song CJ, Noh SM, Kang DY, Kim HY, Kang HK. Heterotopic pancreas in the stomach: CT findings.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217</w:t>
      </w:r>
      <w:r>
        <w:rPr>
          <w:rFonts w:ascii="Book Antiqua" w:eastAsia="Book Antiqua" w:hAnsi="Book Antiqua" w:cs="Book Antiqua"/>
          <w:color w:val="000000"/>
        </w:rPr>
        <w:t>: 139-144 [PMID: 11012436 DOI: 10.1148/radiology.217.1.r00oc09139]</w:t>
      </w:r>
    </w:p>
    <w:p w14:paraId="4B64FC07" w14:textId="60E0710C" w:rsidR="00A77B3E" w:rsidRDefault="00A869C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w:t>
      </w:r>
      <w:r w:rsidR="00BE2621">
        <w:rPr>
          <w:rFonts w:ascii="Book Antiqua" w:eastAsia="Book Antiqua" w:hAnsi="Book Antiqua" w:cs="Book Antiqua"/>
          <w:b/>
          <w:bCs/>
          <w:color w:val="000000"/>
        </w:rPr>
        <w:t>e</w:t>
      </w:r>
      <w:r>
        <w:rPr>
          <w:rFonts w:ascii="Book Antiqua" w:eastAsia="Book Antiqua" w:hAnsi="Book Antiqua" w:cs="Book Antiqua"/>
          <w:b/>
          <w:bCs/>
          <w:color w:val="000000"/>
        </w:rPr>
        <w:t xml:space="preserve"> C</w:t>
      </w:r>
      <w:r w:rsidR="00BE2621">
        <w:rPr>
          <w:rFonts w:ascii="Book Antiqua" w:eastAsia="Book Antiqua" w:hAnsi="Book Antiqua" w:cs="Book Antiqua"/>
          <w:b/>
          <w:bCs/>
          <w:color w:val="000000"/>
        </w:rPr>
        <w:t>astro</w:t>
      </w:r>
      <w:r>
        <w:rPr>
          <w:rFonts w:ascii="Book Antiqua" w:eastAsia="Book Antiqua" w:hAnsi="Book Antiqua" w:cs="Book Antiqua"/>
          <w:b/>
          <w:bCs/>
          <w:color w:val="000000"/>
        </w:rPr>
        <w:t xml:space="preserve"> B</w:t>
      </w:r>
      <w:r w:rsidR="00BE2621">
        <w:rPr>
          <w:rFonts w:ascii="Book Antiqua" w:eastAsia="Book Antiqua" w:hAnsi="Book Antiqua" w:cs="Book Antiqua"/>
          <w:b/>
          <w:bCs/>
          <w:color w:val="000000"/>
        </w:rPr>
        <w:t>arbosa</w:t>
      </w:r>
      <w:r>
        <w:rPr>
          <w:rFonts w:ascii="Book Antiqua" w:eastAsia="Book Antiqua" w:hAnsi="Book Antiqua" w:cs="Book Antiqua"/>
          <w:b/>
          <w:bCs/>
          <w:color w:val="000000"/>
        </w:rPr>
        <w:t xml:space="preserve"> JJ</w:t>
      </w:r>
      <w:r>
        <w:rPr>
          <w:rFonts w:ascii="Book Antiqua" w:eastAsia="Book Antiqua" w:hAnsi="Book Antiqua" w:cs="Book Antiqua"/>
          <w:color w:val="000000"/>
        </w:rPr>
        <w:t>, D</w:t>
      </w:r>
      <w:r w:rsidR="00BE2621">
        <w:rPr>
          <w:rFonts w:ascii="Book Antiqua" w:eastAsia="Book Antiqua" w:hAnsi="Book Antiqua" w:cs="Book Antiqua"/>
          <w:color w:val="000000"/>
        </w:rPr>
        <w:t>ockerty</w:t>
      </w:r>
      <w:r>
        <w:rPr>
          <w:rFonts w:ascii="Book Antiqua" w:eastAsia="Book Antiqua" w:hAnsi="Book Antiqua" w:cs="Book Antiqua"/>
          <w:color w:val="000000"/>
        </w:rPr>
        <w:t xml:space="preserve"> MB, W</w:t>
      </w:r>
      <w:r w:rsidR="00BE2621">
        <w:rPr>
          <w:rFonts w:ascii="Book Antiqua" w:eastAsia="Book Antiqua" w:hAnsi="Book Antiqua" w:cs="Book Antiqua"/>
          <w:color w:val="000000"/>
        </w:rPr>
        <w:t>augh</w:t>
      </w:r>
      <w:r>
        <w:rPr>
          <w:rFonts w:ascii="Book Antiqua" w:eastAsia="Book Antiqua" w:hAnsi="Book Antiqua" w:cs="Book Antiqua"/>
          <w:color w:val="000000"/>
        </w:rPr>
        <w:t xml:space="preserve"> JM. Pancreatic heterotopia; review of the literature and report of 41 authenticated surgical cases, of which 25 were clinically significant. </w:t>
      </w:r>
      <w:r>
        <w:rPr>
          <w:rFonts w:ascii="Book Antiqua" w:eastAsia="Book Antiqua" w:hAnsi="Book Antiqua" w:cs="Book Antiqua"/>
          <w:i/>
          <w:iCs/>
          <w:color w:val="000000"/>
        </w:rPr>
        <w:t>Surg Gynecol Obstet</w:t>
      </w:r>
      <w:r>
        <w:rPr>
          <w:rFonts w:ascii="Book Antiqua" w:eastAsia="Book Antiqua" w:hAnsi="Book Antiqua" w:cs="Book Antiqua"/>
          <w:color w:val="000000"/>
        </w:rPr>
        <w:t xml:space="preserve"> 1946; </w:t>
      </w:r>
      <w:r>
        <w:rPr>
          <w:rFonts w:ascii="Book Antiqua" w:eastAsia="Book Antiqua" w:hAnsi="Book Antiqua" w:cs="Book Antiqua"/>
          <w:b/>
          <w:bCs/>
          <w:color w:val="000000"/>
        </w:rPr>
        <w:t>82</w:t>
      </w:r>
      <w:r>
        <w:rPr>
          <w:rFonts w:ascii="Book Antiqua" w:eastAsia="Book Antiqua" w:hAnsi="Book Antiqua" w:cs="Book Antiqua"/>
          <w:color w:val="000000"/>
        </w:rPr>
        <w:t>: 527-542 [PMID: 21024692]</w:t>
      </w:r>
    </w:p>
    <w:p w14:paraId="7C257B72" w14:textId="77777777" w:rsidR="00A77B3E" w:rsidRDefault="00A869C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Zhou Y</w:t>
      </w:r>
      <w:r>
        <w:rPr>
          <w:rFonts w:ascii="Book Antiqua" w:eastAsia="Book Antiqua" w:hAnsi="Book Antiqua" w:cs="Book Antiqua"/>
          <w:color w:val="000000"/>
        </w:rPr>
        <w:t xml:space="preserve">, Zhou S, Shi Y, Zheng S, Liu B. Endoscopic submucosal dissection for gastric ectopic pancreas: a single-center experience.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69 [PMID: 30992068 DOI: 10.1186/s12957-019-1612-x]</w:t>
      </w:r>
    </w:p>
    <w:p w14:paraId="44FDBBA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13C2AA" w14:textId="77777777" w:rsidR="00A77B3E" w:rsidRDefault="00A869C1">
      <w:pPr>
        <w:spacing w:line="360" w:lineRule="auto"/>
        <w:jc w:val="both"/>
      </w:pPr>
      <w:r>
        <w:rPr>
          <w:rFonts w:ascii="Book Antiqua" w:eastAsia="Book Antiqua" w:hAnsi="Book Antiqua" w:cs="Book Antiqua"/>
          <w:b/>
          <w:color w:val="000000"/>
        </w:rPr>
        <w:t>Footnotes</w:t>
      </w:r>
    </w:p>
    <w:p w14:paraId="721FCFEB" w14:textId="76712808" w:rsidR="00A77B3E" w:rsidRDefault="00A869C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approved by the institutional review board of Asan Medical Center (IRB </w:t>
      </w:r>
      <w:r w:rsidR="00524989">
        <w:rPr>
          <w:rFonts w:ascii="Book Antiqua" w:eastAsia="Book Antiqua" w:hAnsi="Book Antiqua" w:cs="Book Antiqua"/>
          <w:color w:val="000000"/>
        </w:rPr>
        <w:t>No.</w:t>
      </w:r>
      <w:r>
        <w:rPr>
          <w:rFonts w:ascii="Book Antiqua" w:eastAsia="Book Antiqua" w:hAnsi="Book Antiqua" w:cs="Book Antiqua"/>
          <w:color w:val="000000"/>
        </w:rPr>
        <w:t xml:space="preserve"> 2019-0963).</w:t>
      </w:r>
    </w:p>
    <w:p w14:paraId="4978543F" w14:textId="77777777" w:rsidR="00A77B3E" w:rsidRDefault="00A77B3E">
      <w:pPr>
        <w:spacing w:line="360" w:lineRule="auto"/>
        <w:jc w:val="both"/>
      </w:pPr>
    </w:p>
    <w:p w14:paraId="2844C1B1" w14:textId="77777777" w:rsidR="00A77B3E" w:rsidRDefault="00A869C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70C75DBE" w14:textId="77777777" w:rsidR="00A77B3E" w:rsidRDefault="00A77B3E">
      <w:pPr>
        <w:spacing w:line="360" w:lineRule="auto"/>
        <w:jc w:val="both"/>
      </w:pPr>
    </w:p>
    <w:p w14:paraId="2B6435F0" w14:textId="77777777" w:rsidR="00A77B3E" w:rsidRDefault="00A869C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E761207" w14:textId="77777777" w:rsidR="00A77B3E" w:rsidRDefault="00A77B3E">
      <w:pPr>
        <w:spacing w:line="360" w:lineRule="auto"/>
        <w:jc w:val="both"/>
      </w:pPr>
    </w:p>
    <w:p w14:paraId="529E6837" w14:textId="77777777" w:rsidR="00A77B3E" w:rsidRDefault="00A869C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210DF5F" w14:textId="77777777" w:rsidR="00A77B3E" w:rsidRDefault="00A77B3E">
      <w:pPr>
        <w:spacing w:line="360" w:lineRule="auto"/>
        <w:jc w:val="both"/>
      </w:pPr>
    </w:p>
    <w:p w14:paraId="7C560DBC" w14:textId="77777777" w:rsidR="00A77B3E" w:rsidRDefault="00A869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59D76B" w14:textId="77777777" w:rsidR="00A77B3E" w:rsidRDefault="00A77B3E">
      <w:pPr>
        <w:spacing w:line="360" w:lineRule="auto"/>
        <w:jc w:val="both"/>
      </w:pPr>
    </w:p>
    <w:p w14:paraId="6DA9C98F" w14:textId="6A548820" w:rsidR="00A77B3E" w:rsidRDefault="00A869C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24989">
        <w:rPr>
          <w:rFonts w:ascii="Book Antiqua" w:eastAsia="Book Antiqua" w:hAnsi="Book Antiqua" w:cs="Book Antiqua"/>
          <w:color w:val="000000"/>
        </w:rPr>
        <w:t>m</w:t>
      </w:r>
      <w:r>
        <w:rPr>
          <w:rFonts w:ascii="Book Antiqua" w:eastAsia="Book Antiqua" w:hAnsi="Book Antiqua" w:cs="Book Antiqua"/>
          <w:color w:val="000000"/>
        </w:rPr>
        <w:t>anuscript</w:t>
      </w:r>
    </w:p>
    <w:p w14:paraId="25A65ACD" w14:textId="77777777" w:rsidR="00A77B3E" w:rsidRDefault="00A77B3E">
      <w:pPr>
        <w:spacing w:line="360" w:lineRule="auto"/>
        <w:jc w:val="both"/>
      </w:pPr>
    </w:p>
    <w:p w14:paraId="79F63B04" w14:textId="77777777" w:rsidR="00A77B3E" w:rsidRDefault="00A869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11, 2020</w:t>
      </w:r>
    </w:p>
    <w:p w14:paraId="764312C5" w14:textId="77777777" w:rsidR="00A77B3E" w:rsidRDefault="00A869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21, 2020</w:t>
      </w:r>
    </w:p>
    <w:p w14:paraId="0633F566" w14:textId="63C1ADAB" w:rsidR="00A77B3E" w:rsidRDefault="00A869C1">
      <w:pPr>
        <w:spacing w:line="360" w:lineRule="auto"/>
        <w:jc w:val="both"/>
      </w:pPr>
      <w:r>
        <w:rPr>
          <w:rFonts w:ascii="Book Antiqua" w:eastAsia="Book Antiqua" w:hAnsi="Book Antiqua" w:cs="Book Antiqua"/>
          <w:b/>
          <w:color w:val="000000"/>
        </w:rPr>
        <w:t xml:space="preserve">Article in press: </w:t>
      </w:r>
      <w:r w:rsidR="003D3ECD">
        <w:rPr>
          <w:rFonts w:ascii="Book Antiqua" w:hAnsi="Book Antiqua" w:cs="Arial"/>
          <w:color w:val="000000" w:themeColor="text1"/>
          <w:shd w:val="clear" w:color="auto" w:fill="FFFFFF"/>
        </w:rPr>
        <w:t>September 8, 2020</w:t>
      </w:r>
    </w:p>
    <w:p w14:paraId="1259F7D7" w14:textId="77777777" w:rsidR="00A77B3E" w:rsidRDefault="00A77B3E">
      <w:pPr>
        <w:spacing w:line="360" w:lineRule="auto"/>
        <w:jc w:val="both"/>
      </w:pPr>
    </w:p>
    <w:p w14:paraId="2085A5E9" w14:textId="4A1CCD09" w:rsidR="00A77B3E" w:rsidRDefault="00A869C1">
      <w:pPr>
        <w:spacing w:line="360" w:lineRule="auto"/>
        <w:jc w:val="both"/>
      </w:pPr>
      <w:r>
        <w:rPr>
          <w:rFonts w:ascii="Book Antiqua" w:eastAsia="Book Antiqua" w:hAnsi="Book Antiqua" w:cs="Book Antiqua"/>
          <w:b/>
          <w:color w:val="000000"/>
        </w:rPr>
        <w:t xml:space="preserve">Specialty type: </w:t>
      </w:r>
      <w:r w:rsidR="00AD4CB2" w:rsidRPr="00AD4CB2">
        <w:rPr>
          <w:rFonts w:ascii="Book Antiqua" w:eastAsia="Book Antiqua" w:hAnsi="Book Antiqua" w:cs="Book Antiqua"/>
          <w:color w:val="000000"/>
        </w:rPr>
        <w:t>Medicine, research and experimental</w:t>
      </w:r>
    </w:p>
    <w:p w14:paraId="423A94F7" w14:textId="77777777" w:rsidR="00A77B3E" w:rsidRDefault="00A869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5C719FD8" w14:textId="77777777" w:rsidR="00A77B3E" w:rsidRDefault="00A869C1">
      <w:pPr>
        <w:spacing w:line="360" w:lineRule="auto"/>
        <w:jc w:val="both"/>
      </w:pPr>
      <w:r>
        <w:rPr>
          <w:rFonts w:ascii="Book Antiqua" w:eastAsia="Book Antiqua" w:hAnsi="Book Antiqua" w:cs="Book Antiqua"/>
          <w:b/>
          <w:color w:val="000000"/>
        </w:rPr>
        <w:t>Peer-review report’s scientific quality classification</w:t>
      </w:r>
    </w:p>
    <w:p w14:paraId="0E0E12B0" w14:textId="77777777" w:rsidR="00A77B3E" w:rsidRDefault="00A869C1">
      <w:pPr>
        <w:spacing w:line="360" w:lineRule="auto"/>
        <w:jc w:val="both"/>
      </w:pPr>
      <w:r>
        <w:rPr>
          <w:rFonts w:ascii="Book Antiqua" w:eastAsia="Book Antiqua" w:hAnsi="Book Antiqua" w:cs="Book Antiqua"/>
          <w:color w:val="000000"/>
        </w:rPr>
        <w:t>Grade A (Excellent): 0</w:t>
      </w:r>
    </w:p>
    <w:p w14:paraId="4CEFAF05" w14:textId="41DADAD0" w:rsidR="00A77B3E" w:rsidRDefault="00A869C1">
      <w:pPr>
        <w:spacing w:line="360" w:lineRule="auto"/>
        <w:jc w:val="both"/>
      </w:pPr>
      <w:r>
        <w:rPr>
          <w:rFonts w:ascii="Book Antiqua" w:eastAsia="Book Antiqua" w:hAnsi="Book Antiqua" w:cs="Book Antiqua"/>
          <w:color w:val="000000"/>
        </w:rPr>
        <w:t xml:space="preserve">Grade B (Very good): </w:t>
      </w:r>
      <w:r w:rsidR="00305C87">
        <w:rPr>
          <w:rFonts w:ascii="Book Antiqua" w:eastAsia="Book Antiqua" w:hAnsi="Book Antiqua" w:cs="Book Antiqua"/>
          <w:color w:val="000000"/>
        </w:rPr>
        <w:t>B, B</w:t>
      </w:r>
    </w:p>
    <w:p w14:paraId="221A3ECA" w14:textId="77777777" w:rsidR="00A77B3E" w:rsidRDefault="00A869C1">
      <w:pPr>
        <w:spacing w:line="360" w:lineRule="auto"/>
        <w:jc w:val="both"/>
      </w:pPr>
      <w:r>
        <w:rPr>
          <w:rFonts w:ascii="Book Antiqua" w:eastAsia="Book Antiqua" w:hAnsi="Book Antiqua" w:cs="Book Antiqua"/>
          <w:color w:val="000000"/>
        </w:rPr>
        <w:t>Grade C (Good): C, C, C, C, C</w:t>
      </w:r>
    </w:p>
    <w:p w14:paraId="63E79B68" w14:textId="77777777" w:rsidR="00A77B3E" w:rsidRDefault="00A869C1">
      <w:pPr>
        <w:spacing w:line="360" w:lineRule="auto"/>
        <w:jc w:val="both"/>
      </w:pPr>
      <w:r>
        <w:rPr>
          <w:rFonts w:ascii="Book Antiqua" w:eastAsia="Book Antiqua" w:hAnsi="Book Antiqua" w:cs="Book Antiqua"/>
          <w:color w:val="000000"/>
        </w:rPr>
        <w:t>Grade D (Fair): D</w:t>
      </w:r>
    </w:p>
    <w:p w14:paraId="4741BE52" w14:textId="77777777" w:rsidR="00A77B3E" w:rsidRDefault="00A869C1">
      <w:pPr>
        <w:spacing w:line="360" w:lineRule="auto"/>
        <w:jc w:val="both"/>
      </w:pPr>
      <w:r>
        <w:rPr>
          <w:rFonts w:ascii="Book Antiqua" w:eastAsia="Book Antiqua" w:hAnsi="Book Antiqua" w:cs="Book Antiqua"/>
          <w:color w:val="000000"/>
        </w:rPr>
        <w:t>Grade E (Poor): E</w:t>
      </w:r>
    </w:p>
    <w:p w14:paraId="402F2BF4" w14:textId="77777777" w:rsidR="00A77B3E" w:rsidRDefault="00A77B3E">
      <w:pPr>
        <w:spacing w:line="360" w:lineRule="auto"/>
        <w:jc w:val="both"/>
      </w:pPr>
    </w:p>
    <w:p w14:paraId="6CB5F326" w14:textId="4A9EFC2F" w:rsidR="00A77B3E" w:rsidRPr="003D3ECD" w:rsidRDefault="00A869C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sidR="00611D6B" w:rsidRPr="00611D6B">
        <w:rPr>
          <w:rFonts w:ascii="Book Antiqua" w:eastAsia="Book Antiqua" w:hAnsi="Book Antiqua" w:cs="Book Antiqua"/>
          <w:color w:val="000000"/>
        </w:rPr>
        <w:t>Bausys</w:t>
      </w:r>
      <w:r w:rsidR="00611D6B">
        <w:rPr>
          <w:rFonts w:ascii="Book Antiqua" w:eastAsia="Book Antiqua" w:hAnsi="Book Antiqua" w:cs="Book Antiqua"/>
          <w:color w:val="000000"/>
        </w:rPr>
        <w:t xml:space="preserve"> A, </w:t>
      </w:r>
      <w:r>
        <w:rPr>
          <w:rFonts w:ascii="Book Antiqua" w:eastAsia="Book Antiqua" w:hAnsi="Book Antiqua" w:cs="Book Antiqua"/>
          <w:color w:val="000000"/>
        </w:rPr>
        <w:t>Esaki M, Katayama Y, Kawabata H, Kishida Y, Kojima Y, Maehata Y</w:t>
      </w:r>
      <w:r w:rsidR="00611D6B">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3D3ECD" w:rsidRPr="003D3EC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3D3ECD" w:rsidRPr="003D3ECD">
        <w:rPr>
          <w:rFonts w:ascii="Book Antiqua" w:hAnsi="Book Antiqua" w:cs="Book Antiqua" w:hint="eastAsia"/>
          <w:color w:val="000000"/>
          <w:lang w:eastAsia="zh-CN"/>
        </w:rPr>
        <w:t>Li JH</w:t>
      </w:r>
    </w:p>
    <w:p w14:paraId="5F8FCCD0" w14:textId="77777777" w:rsidR="00611D6B" w:rsidRDefault="00611D6B">
      <w:pPr>
        <w:spacing w:line="360" w:lineRule="auto"/>
        <w:jc w:val="both"/>
        <w:sectPr w:rsidR="00611D6B">
          <w:pgSz w:w="12240" w:h="15840"/>
          <w:pgMar w:top="1440" w:right="1440" w:bottom="1440" w:left="1440" w:header="720" w:footer="720" w:gutter="0"/>
          <w:cols w:space="720"/>
          <w:docGrid w:linePitch="360"/>
        </w:sectPr>
      </w:pPr>
    </w:p>
    <w:p w14:paraId="1B3DEBE6" w14:textId="0FB8923B" w:rsidR="00A77B3E" w:rsidRDefault="00A869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6CEA7B8" w14:textId="67D93061" w:rsidR="00BB0182" w:rsidRDefault="00BB0182">
      <w:pPr>
        <w:spacing w:line="360" w:lineRule="auto"/>
        <w:jc w:val="both"/>
      </w:pPr>
      <w:r>
        <w:rPr>
          <w:noProof/>
          <w:lang w:eastAsia="zh-CN"/>
        </w:rPr>
        <w:drawing>
          <wp:inline distT="0" distB="0" distL="0" distR="0" wp14:anchorId="1221E1FE" wp14:editId="38E79535">
            <wp:extent cx="5724525" cy="4705350"/>
            <wp:effectExtent l="0" t="0" r="9525" b="0"/>
            <wp:docPr id="5" name="그림 5"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그림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318F8A08" w14:textId="63E809DB" w:rsidR="00A77B3E" w:rsidRDefault="00A869C1">
      <w:pPr>
        <w:spacing w:line="360" w:lineRule="auto"/>
        <w:jc w:val="both"/>
      </w:pPr>
      <w:r>
        <w:rPr>
          <w:rFonts w:ascii="Book Antiqua" w:eastAsia="Book Antiqua" w:hAnsi="Book Antiqua" w:cs="Book Antiqua"/>
          <w:b/>
          <w:bCs/>
          <w:color w:val="000000"/>
        </w:rPr>
        <w:t>Figure 1</w:t>
      </w:r>
      <w:r w:rsidRPr="00BB0182">
        <w:rPr>
          <w:rFonts w:ascii="Book Antiqua" w:eastAsia="Book Antiqua" w:hAnsi="Book Antiqua" w:cs="Book Antiqua"/>
          <w:b/>
          <w:bCs/>
          <w:color w:val="000000"/>
        </w:rPr>
        <w:t xml:space="preserve"> Endoscopic submucosal dissection of complicated gastric heterotopic pancreas (</w:t>
      </w:r>
      <w:r w:rsidR="00B84C10">
        <w:rPr>
          <w:rFonts w:ascii="Book Antiqua" w:eastAsia="Book Antiqua" w:hAnsi="Book Antiqua" w:cs="Book Antiqua"/>
          <w:b/>
          <w:bCs/>
          <w:color w:val="000000"/>
        </w:rPr>
        <w:t>p</w:t>
      </w:r>
      <w:r w:rsidRPr="00BB0182">
        <w:rPr>
          <w:rFonts w:ascii="Book Antiqua" w:eastAsia="Book Antiqua" w:hAnsi="Book Antiqua" w:cs="Book Antiqua"/>
          <w:b/>
          <w:bCs/>
          <w:color w:val="000000"/>
        </w:rPr>
        <w:t>atient 5).</w:t>
      </w:r>
      <w:r>
        <w:rPr>
          <w:rFonts w:ascii="Book Antiqua" w:eastAsia="Book Antiqua" w:hAnsi="Book Antiqua" w:cs="Book Antiqua"/>
          <w:color w:val="000000"/>
        </w:rPr>
        <w:t xml:space="preserve"> </w:t>
      </w:r>
      <w:r w:rsidR="00BB0182">
        <w:rPr>
          <w:rFonts w:ascii="Book Antiqua" w:eastAsia="Book Antiqua" w:hAnsi="Book Antiqua" w:cs="Book Antiqua"/>
          <w:color w:val="000000"/>
        </w:rPr>
        <w:t>A:</w:t>
      </w:r>
      <w:r>
        <w:rPr>
          <w:rFonts w:ascii="Book Antiqua" w:eastAsia="Book Antiqua" w:hAnsi="Book Antiqua" w:cs="Book Antiqua"/>
          <w:color w:val="000000"/>
        </w:rPr>
        <w:t xml:space="preserve"> Endoscopic ultrasonography image showing a homogeneous hypoechoic lesion with cystic (hypoechoic) foci that was located within the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and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layers</w:t>
      </w:r>
      <w:r w:rsidR="00374A32">
        <w:rPr>
          <w:rFonts w:ascii="Book Antiqua" w:eastAsia="Book Antiqua" w:hAnsi="Book Antiqua" w:cs="Book Antiqua"/>
          <w:color w:val="000000"/>
        </w:rPr>
        <w:t>;</w:t>
      </w:r>
      <w:r>
        <w:rPr>
          <w:rFonts w:ascii="Book Antiqua" w:eastAsia="Book Antiqua" w:hAnsi="Book Antiqua" w:cs="Book Antiqua"/>
          <w:color w:val="000000"/>
        </w:rPr>
        <w:t xml:space="preserve"> B</w:t>
      </w:r>
      <w:r w:rsidR="00374A32">
        <w:rPr>
          <w:rFonts w:ascii="Book Antiqua" w:eastAsia="Book Antiqua" w:hAnsi="Book Antiqua" w:cs="Book Antiqua"/>
          <w:color w:val="000000"/>
        </w:rPr>
        <w:t>:</w:t>
      </w:r>
      <w:r>
        <w:rPr>
          <w:rFonts w:ascii="Book Antiqua" w:eastAsia="Book Antiqua" w:hAnsi="Book Antiqua" w:cs="Book Antiqua"/>
          <w:color w:val="000000"/>
        </w:rPr>
        <w:t xml:space="preserve"> A 1.5 cm subepithelial tumor with umbilication was observed on the greater curvature of the antrum</w:t>
      </w:r>
      <w:r w:rsidR="00374A32">
        <w:rPr>
          <w:rFonts w:ascii="Book Antiqua" w:eastAsia="Book Antiqua" w:hAnsi="Book Antiqua" w:cs="Book Antiqua"/>
          <w:color w:val="000000"/>
        </w:rPr>
        <w:t>;</w:t>
      </w:r>
      <w:r>
        <w:rPr>
          <w:rFonts w:ascii="Book Antiqua" w:eastAsia="Book Antiqua" w:hAnsi="Book Antiqua" w:cs="Book Antiqua"/>
          <w:color w:val="000000"/>
        </w:rPr>
        <w:t xml:space="preserve"> C</w:t>
      </w:r>
      <w:r w:rsidR="00374A32">
        <w:rPr>
          <w:rFonts w:ascii="Book Antiqua" w:eastAsia="Book Antiqua" w:hAnsi="Book Antiqua" w:cs="Book Antiqua"/>
          <w:color w:val="000000"/>
        </w:rPr>
        <w:t>:</w:t>
      </w:r>
      <w:r>
        <w:rPr>
          <w:rFonts w:ascii="Book Antiqua" w:eastAsia="Book Antiqua" w:hAnsi="Book Antiqua" w:cs="Book Antiqua"/>
          <w:color w:val="000000"/>
        </w:rPr>
        <w:t xml:space="preserve"> The lesion borders were marked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Saline with epinephrine was submucosally injected, and a circumferential mucosal incision was made</w:t>
      </w:r>
      <w:r w:rsidR="00374A32">
        <w:rPr>
          <w:rFonts w:ascii="Book Antiqua" w:eastAsia="Book Antiqua" w:hAnsi="Book Antiqua" w:cs="Book Antiqua"/>
          <w:color w:val="000000"/>
        </w:rPr>
        <w:t>;</w:t>
      </w:r>
      <w:r>
        <w:rPr>
          <w:rFonts w:ascii="Book Antiqua" w:eastAsia="Book Antiqua" w:hAnsi="Book Antiqua" w:cs="Book Antiqua"/>
          <w:color w:val="000000"/>
        </w:rPr>
        <w:t xml:space="preserve"> E</w:t>
      </w:r>
      <w:r w:rsidR="00374A32">
        <w:rPr>
          <w:rFonts w:ascii="Book Antiqua" w:eastAsia="Book Antiqua" w:hAnsi="Book Antiqua" w:cs="Book Antiqua"/>
          <w:color w:val="000000"/>
        </w:rPr>
        <w:t>:</w:t>
      </w:r>
      <w:r>
        <w:rPr>
          <w:rFonts w:ascii="Book Antiqua" w:eastAsia="Book Antiqua" w:hAnsi="Book Antiqua" w:cs="Book Antiqua"/>
          <w:color w:val="000000"/>
        </w:rPr>
        <w:t xml:space="preserve"> The submucosal connective tissue and part of the muscularis propria were dissected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F</w:t>
      </w:r>
      <w:r w:rsidR="00374A32">
        <w:rPr>
          <w:rFonts w:ascii="Book Antiqua" w:eastAsia="Book Antiqua" w:hAnsi="Book Antiqua" w:cs="Book Antiqua"/>
          <w:color w:val="000000"/>
        </w:rPr>
        <w:t>:</w:t>
      </w:r>
      <w:r>
        <w:rPr>
          <w:rFonts w:ascii="Book Antiqua" w:eastAsia="Book Antiqua" w:hAnsi="Book Antiqua" w:cs="Book Antiqua"/>
          <w:color w:val="000000"/>
        </w:rPr>
        <w:t xml:space="preserve"> The resected specimen was fixed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G</w:t>
      </w:r>
      <w:r w:rsidR="00374A32">
        <w:rPr>
          <w:rFonts w:ascii="Book Antiqua" w:eastAsia="Book Antiqua" w:hAnsi="Book Antiqua" w:cs="Book Antiqua"/>
          <w:color w:val="000000"/>
        </w:rPr>
        <w:t>:</w:t>
      </w:r>
      <w:r>
        <w:rPr>
          <w:rFonts w:ascii="Book Antiqua" w:eastAsia="Book Antiqua" w:hAnsi="Book Antiqua" w:cs="Book Antiqua"/>
          <w:color w:val="000000"/>
        </w:rPr>
        <w:t xml:space="preserve"> Heterotopic pancreas is located in the submucosa underlying intact gastric mucosa (hematoxylin-eosin; original magnification, ×</w:t>
      </w:r>
      <w:r w:rsidR="00374A32">
        <w:rPr>
          <w:rFonts w:ascii="Book Antiqua" w:eastAsia="Book Antiqua" w:hAnsi="Book Antiqua" w:cs="Book Antiqua"/>
          <w:color w:val="000000"/>
        </w:rPr>
        <w:t xml:space="preserve"> </w:t>
      </w:r>
      <w:r>
        <w:rPr>
          <w:rFonts w:ascii="Book Antiqua" w:eastAsia="Book Antiqua" w:hAnsi="Book Antiqua" w:cs="Book Antiqua"/>
          <w:color w:val="000000"/>
        </w:rPr>
        <w:t>40)</w:t>
      </w:r>
      <w:r w:rsidR="00374A32">
        <w:rPr>
          <w:rFonts w:ascii="Book Antiqua" w:eastAsia="Book Antiqua" w:hAnsi="Book Antiqua" w:cs="Book Antiqua"/>
          <w:color w:val="000000"/>
        </w:rPr>
        <w:t>;</w:t>
      </w:r>
      <w:r>
        <w:rPr>
          <w:rFonts w:ascii="Book Antiqua" w:eastAsia="Book Antiqua" w:hAnsi="Book Antiqua" w:cs="Book Antiqua"/>
          <w:color w:val="000000"/>
        </w:rPr>
        <w:t xml:space="preserve"> H</w:t>
      </w:r>
      <w:r w:rsidR="00374A32">
        <w:rPr>
          <w:rFonts w:ascii="Book Antiqua" w:eastAsia="Book Antiqua" w:hAnsi="Book Antiqua" w:cs="Book Antiqua"/>
          <w:color w:val="000000"/>
        </w:rPr>
        <w:t>:</w:t>
      </w:r>
      <w:r>
        <w:rPr>
          <w:rFonts w:ascii="Book Antiqua" w:eastAsia="Book Antiqua" w:hAnsi="Book Antiqua" w:cs="Book Antiqua"/>
          <w:color w:val="000000"/>
        </w:rPr>
        <w:t xml:space="preserve"> Normal pancreatic acini with ducts are noted (×</w:t>
      </w:r>
      <w:r w:rsidR="00374A32">
        <w:rPr>
          <w:rFonts w:ascii="Book Antiqua" w:eastAsia="Book Antiqua" w:hAnsi="Book Antiqua" w:cs="Book Antiqua"/>
          <w:color w:val="000000"/>
        </w:rPr>
        <w:t xml:space="preserve"> </w:t>
      </w:r>
      <w:r>
        <w:rPr>
          <w:rFonts w:ascii="Book Antiqua" w:eastAsia="Book Antiqua" w:hAnsi="Book Antiqua" w:cs="Book Antiqua"/>
          <w:color w:val="000000"/>
        </w:rPr>
        <w:t>200).</w:t>
      </w:r>
    </w:p>
    <w:p w14:paraId="62D15512" w14:textId="229395AD" w:rsidR="00AA110D" w:rsidRDefault="00BB018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AA110D">
        <w:rPr>
          <w:rFonts w:eastAsiaTheme="minorHAnsi"/>
          <w:noProof/>
          <w:lang w:eastAsia="zh-CN"/>
        </w:rPr>
        <w:drawing>
          <wp:inline distT="0" distB="0" distL="0" distR="0" wp14:anchorId="12E1E25F" wp14:editId="7EB605CA">
            <wp:extent cx="5724525" cy="3295650"/>
            <wp:effectExtent l="0" t="0" r="9525" b="0"/>
            <wp:docPr id="4" name="그림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295650"/>
                    </a:xfrm>
                    <a:prstGeom prst="rect">
                      <a:avLst/>
                    </a:prstGeom>
                    <a:noFill/>
                    <a:ln>
                      <a:noFill/>
                    </a:ln>
                  </pic:spPr>
                </pic:pic>
              </a:graphicData>
            </a:graphic>
          </wp:inline>
        </w:drawing>
      </w:r>
    </w:p>
    <w:p w14:paraId="5C67D527" w14:textId="56DAF7BF" w:rsidR="00A77B3E" w:rsidRDefault="00A869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AA110D">
        <w:rPr>
          <w:rFonts w:ascii="Book Antiqua" w:eastAsia="Book Antiqua" w:hAnsi="Book Antiqua" w:cs="Book Antiqua"/>
          <w:b/>
          <w:bCs/>
          <w:color w:val="000000"/>
        </w:rPr>
        <w:t>2</w:t>
      </w:r>
      <w:r w:rsidRPr="00AA110D">
        <w:rPr>
          <w:rFonts w:ascii="Book Antiqua" w:eastAsia="Book Antiqua" w:hAnsi="Book Antiqua" w:cs="Book Antiqua"/>
          <w:b/>
          <w:bCs/>
          <w:color w:val="000000"/>
        </w:rPr>
        <w:t xml:space="preserve"> Computed tomography and endoscopic ultrasonography images of each patient at the time of diagnosis of complicated gastric heterotopic pancreas.</w:t>
      </w:r>
      <w:r>
        <w:rPr>
          <w:rFonts w:ascii="Book Antiqua" w:eastAsia="Book Antiqua" w:hAnsi="Book Antiqua" w:cs="Book Antiqua"/>
          <w:color w:val="000000"/>
        </w:rPr>
        <w:t xml:space="preserve"> </w:t>
      </w:r>
      <w:r w:rsidR="00AA110D">
        <w:rPr>
          <w:rFonts w:ascii="Book Antiqua" w:eastAsia="Book Antiqua" w:hAnsi="Book Antiqua" w:cs="Book Antiqua"/>
          <w:color w:val="000000"/>
        </w:rPr>
        <w:t>A-E</w:t>
      </w:r>
      <w:r w:rsidR="00AA110D">
        <w:rPr>
          <w:rFonts w:ascii="宋体" w:eastAsia="宋体" w:hAnsi="宋体" w:cs="宋体"/>
          <w:color w:val="000000"/>
          <w:lang w:eastAsia="zh-CN"/>
        </w:rPr>
        <w:t>:</w:t>
      </w:r>
      <w:r>
        <w:rPr>
          <w:rFonts w:ascii="Book Antiqua" w:eastAsia="Book Antiqua" w:hAnsi="Book Antiqua" w:cs="Book Antiqua"/>
          <w:color w:val="000000"/>
        </w:rPr>
        <w:t xml:space="preserve"> </w:t>
      </w:r>
      <w:r w:rsidR="00AA110D">
        <w:rPr>
          <w:rFonts w:ascii="Book Antiqua" w:eastAsia="Book Antiqua" w:hAnsi="Book Antiqua" w:cs="Book Antiqua"/>
          <w:color w:val="000000"/>
        </w:rPr>
        <w:t>C</w:t>
      </w:r>
      <w:r>
        <w:rPr>
          <w:rFonts w:ascii="Book Antiqua" w:eastAsia="Book Antiqua" w:hAnsi="Book Antiqua" w:cs="Book Antiqua"/>
          <w:color w:val="000000"/>
        </w:rPr>
        <w:t xml:space="preserve">orrespond to patient 1, 2, 3, 4, and 5, respectively. The </w:t>
      </w:r>
      <w:r w:rsidR="00AA110D">
        <w:rPr>
          <w:rFonts w:ascii="Book Antiqua" w:eastAsia="Book Antiqua" w:hAnsi="Book Antiqua" w:cs="Book Antiqua"/>
          <w:color w:val="000000"/>
        </w:rPr>
        <w:t>computed tomography</w:t>
      </w:r>
      <w:r>
        <w:rPr>
          <w:rFonts w:ascii="Book Antiqua" w:eastAsia="Book Antiqua" w:hAnsi="Book Antiqua" w:cs="Book Antiqua"/>
          <w:color w:val="000000"/>
        </w:rPr>
        <w:t xml:space="preserve"> and </w:t>
      </w:r>
      <w:r w:rsidR="00AA110D">
        <w:rPr>
          <w:rFonts w:ascii="Book Antiqua" w:eastAsia="Book Antiqua" w:hAnsi="Book Antiqua" w:cs="Book Antiqua"/>
          <w:color w:val="000000"/>
        </w:rPr>
        <w:t>endoscopic ultrasonography</w:t>
      </w:r>
      <w:r>
        <w:rPr>
          <w:rFonts w:ascii="Book Antiqua" w:eastAsia="Book Antiqua" w:hAnsi="Book Antiqua" w:cs="Book Antiqua"/>
          <w:color w:val="000000"/>
        </w:rPr>
        <w:t xml:space="preserve"> findings of each patient are summarized in Table 1.</w:t>
      </w:r>
    </w:p>
    <w:p w14:paraId="2D4CB4A7" w14:textId="77AA6878" w:rsidR="00FC3456" w:rsidRDefault="00AA110D" w:rsidP="00AA110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C3456">
        <w:rPr>
          <w:rFonts w:eastAsiaTheme="minorHAnsi"/>
          <w:b/>
          <w:noProof/>
          <w:lang w:eastAsia="zh-CN"/>
        </w:rPr>
        <w:drawing>
          <wp:inline distT="0" distB="0" distL="0" distR="0" wp14:anchorId="3E325F3F" wp14:editId="2D7CB91F">
            <wp:extent cx="5731510" cy="1482266"/>
            <wp:effectExtent l="0" t="0" r="2540" b="3810"/>
            <wp:docPr id="3" name="그림 3" descr="D:\■GIC 논문\Submit\■GHP\WJG\Revision\Figure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C 논문\Submit\■GHP\WJG\Revision\Figure 2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482266"/>
                    </a:xfrm>
                    <a:prstGeom prst="rect">
                      <a:avLst/>
                    </a:prstGeom>
                    <a:noFill/>
                    <a:ln>
                      <a:noFill/>
                    </a:ln>
                  </pic:spPr>
                </pic:pic>
              </a:graphicData>
            </a:graphic>
          </wp:inline>
        </w:drawing>
      </w:r>
    </w:p>
    <w:p w14:paraId="5F76BF13" w14:textId="32D75AD0" w:rsidR="00FC3456" w:rsidRDefault="00FC3456" w:rsidP="00AA110D">
      <w:pPr>
        <w:spacing w:line="360" w:lineRule="auto"/>
        <w:jc w:val="both"/>
        <w:rPr>
          <w:rFonts w:ascii="Book Antiqua" w:eastAsia="Book Antiqua" w:hAnsi="Book Antiqua" w:cs="Book Antiqua"/>
          <w:b/>
          <w:bCs/>
          <w:color w:val="000000"/>
        </w:rPr>
      </w:pPr>
      <w:r>
        <w:rPr>
          <w:rFonts w:eastAsiaTheme="minorHAnsi"/>
          <w:b/>
          <w:noProof/>
          <w:lang w:eastAsia="zh-CN"/>
        </w:rPr>
        <w:drawing>
          <wp:inline distT="0" distB="0" distL="0" distR="0" wp14:anchorId="2B0C9D48" wp14:editId="1DFA9FF6">
            <wp:extent cx="5731510" cy="1427141"/>
            <wp:effectExtent l="0" t="0" r="2540" b="1905"/>
            <wp:docPr id="8" name="그림 8" descr="D:\■GIC 논문\Submit\■GHP\WJG\Revision\Figure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C 논문\Submit\■GHP\WJG\Revision\Figure 2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427141"/>
                    </a:xfrm>
                    <a:prstGeom prst="rect">
                      <a:avLst/>
                    </a:prstGeom>
                    <a:noFill/>
                    <a:ln>
                      <a:noFill/>
                    </a:ln>
                  </pic:spPr>
                </pic:pic>
              </a:graphicData>
            </a:graphic>
          </wp:inline>
        </w:drawing>
      </w:r>
    </w:p>
    <w:p w14:paraId="4E35867B" w14:textId="3EE23D16" w:rsidR="00FC3456" w:rsidRDefault="00FC3456" w:rsidP="00AA110D">
      <w:pPr>
        <w:spacing w:line="360" w:lineRule="auto"/>
        <w:jc w:val="both"/>
        <w:rPr>
          <w:rFonts w:ascii="Book Antiqua" w:eastAsia="Book Antiqua" w:hAnsi="Book Antiqua" w:cs="Book Antiqua"/>
          <w:b/>
          <w:bCs/>
          <w:color w:val="000000"/>
        </w:rPr>
      </w:pPr>
      <w:r>
        <w:rPr>
          <w:rFonts w:eastAsiaTheme="minorHAnsi"/>
          <w:b/>
          <w:noProof/>
          <w:lang w:eastAsia="zh-CN"/>
        </w:rPr>
        <w:drawing>
          <wp:inline distT="0" distB="0" distL="0" distR="0" wp14:anchorId="77B875E4" wp14:editId="7A8F945A">
            <wp:extent cx="5731510" cy="1447863"/>
            <wp:effectExtent l="0" t="0" r="2540" b="0"/>
            <wp:docPr id="9" name="그림 9" descr="D:\■GIC 논문\Submit\■GHP\WJG\Revision\Figure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IC 논문\Submit\■GHP\WJG\Revision\Figure 2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447863"/>
                    </a:xfrm>
                    <a:prstGeom prst="rect">
                      <a:avLst/>
                    </a:prstGeom>
                    <a:noFill/>
                    <a:ln>
                      <a:noFill/>
                    </a:ln>
                  </pic:spPr>
                </pic:pic>
              </a:graphicData>
            </a:graphic>
          </wp:inline>
        </w:drawing>
      </w:r>
    </w:p>
    <w:p w14:paraId="02FC6382" w14:textId="7E319EFE" w:rsidR="00FC3456" w:rsidRDefault="00FC3456" w:rsidP="00AA110D">
      <w:pPr>
        <w:spacing w:line="360" w:lineRule="auto"/>
        <w:jc w:val="both"/>
        <w:rPr>
          <w:rFonts w:ascii="Book Antiqua" w:eastAsia="Book Antiqua" w:hAnsi="Book Antiqua" w:cs="Book Antiqua"/>
          <w:b/>
          <w:bCs/>
          <w:color w:val="000000"/>
        </w:rPr>
      </w:pPr>
      <w:r>
        <w:rPr>
          <w:rFonts w:eastAsiaTheme="minorHAnsi"/>
          <w:b/>
          <w:noProof/>
          <w:lang w:eastAsia="zh-CN"/>
        </w:rPr>
        <w:drawing>
          <wp:inline distT="0" distB="0" distL="0" distR="0" wp14:anchorId="50AD811D" wp14:editId="2B3F25B4">
            <wp:extent cx="3486150" cy="1715911"/>
            <wp:effectExtent l="0" t="0" r="0" b="0"/>
            <wp:docPr id="10" name="그림 10" descr="D:\■GIC 논문\Submit\■GHP\WJG\Revision\Figure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IC 논문\Submit\■GHP\WJG\Revision\Figure 2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4481" cy="1720012"/>
                    </a:xfrm>
                    <a:prstGeom prst="rect">
                      <a:avLst/>
                    </a:prstGeom>
                    <a:noFill/>
                    <a:ln>
                      <a:noFill/>
                    </a:ln>
                  </pic:spPr>
                </pic:pic>
              </a:graphicData>
            </a:graphic>
          </wp:inline>
        </w:drawing>
      </w:r>
    </w:p>
    <w:p w14:paraId="029E4F93" w14:textId="50E1EB95" w:rsidR="00AA110D" w:rsidRDefault="00AA110D" w:rsidP="00AA110D">
      <w:pPr>
        <w:spacing w:line="360" w:lineRule="auto"/>
        <w:jc w:val="both"/>
      </w:pPr>
      <w:r>
        <w:rPr>
          <w:rFonts w:ascii="Book Antiqua" w:eastAsia="Book Antiqua" w:hAnsi="Book Antiqua" w:cs="Book Antiqua"/>
          <w:b/>
          <w:bCs/>
          <w:color w:val="000000"/>
        </w:rPr>
        <w:t xml:space="preserve">Figure </w:t>
      </w:r>
      <w:r w:rsidR="00FC3456">
        <w:rPr>
          <w:rFonts w:ascii="Book Antiqua" w:eastAsia="Book Antiqua" w:hAnsi="Book Antiqua" w:cs="Book Antiqua"/>
          <w:b/>
          <w:bCs/>
          <w:color w:val="000000"/>
        </w:rPr>
        <w:t>3</w:t>
      </w:r>
      <w:r>
        <w:rPr>
          <w:rFonts w:ascii="Book Antiqua" w:eastAsia="Book Antiqua" w:hAnsi="Book Antiqua" w:cs="Book Antiqua"/>
          <w:color w:val="000000"/>
        </w:rPr>
        <w:t xml:space="preserve"> </w:t>
      </w:r>
      <w:r w:rsidRPr="00FC3456">
        <w:rPr>
          <w:rFonts w:ascii="Book Antiqua" w:eastAsia="Book Antiqua" w:hAnsi="Book Antiqua" w:cs="Book Antiqua"/>
          <w:b/>
          <w:bCs/>
          <w:color w:val="000000"/>
        </w:rPr>
        <w:t xml:space="preserve">The clinical course of lesion size according to abdominal pain are summarized. </w:t>
      </w:r>
      <w:r>
        <w:rPr>
          <w:rFonts w:ascii="Book Antiqua" w:eastAsia="Book Antiqua" w:hAnsi="Book Antiqua" w:cs="Book Antiqua"/>
          <w:color w:val="000000"/>
        </w:rPr>
        <w:t>A</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1</w:t>
      </w:r>
      <w:r w:rsidR="00FC3456">
        <w:rPr>
          <w:rFonts w:ascii="Book Antiqua" w:eastAsia="Book Antiqua" w:hAnsi="Book Antiqua" w:cs="Book Antiqua"/>
          <w:color w:val="000000"/>
        </w:rPr>
        <w:t>;</w:t>
      </w:r>
      <w:r>
        <w:rPr>
          <w:rFonts w:ascii="Book Antiqua" w:eastAsia="Book Antiqua" w:hAnsi="Book Antiqua" w:cs="Book Antiqua"/>
          <w:color w:val="000000"/>
        </w:rPr>
        <w:t xml:space="preserve"> B</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3</w:t>
      </w:r>
      <w:r w:rsidR="00FC3456">
        <w:rPr>
          <w:rFonts w:ascii="Book Antiqua" w:eastAsia="Book Antiqua" w:hAnsi="Book Antiqua" w:cs="Book Antiqua"/>
          <w:color w:val="000000"/>
        </w:rPr>
        <w:t>;</w:t>
      </w:r>
      <w:r>
        <w:rPr>
          <w:rFonts w:ascii="Book Antiqua" w:eastAsia="Book Antiqua" w:hAnsi="Book Antiqua" w:cs="Book Antiqua"/>
          <w:color w:val="000000"/>
        </w:rPr>
        <w:t xml:space="preserve"> C</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4</w:t>
      </w:r>
      <w:r w:rsidR="00FC3456">
        <w:rPr>
          <w:rFonts w:ascii="Book Antiqua" w:eastAsia="Book Antiqua" w:hAnsi="Book Antiqua" w:cs="Book Antiqua"/>
          <w:color w:val="000000"/>
        </w:rPr>
        <w:t>;</w:t>
      </w:r>
      <w:r>
        <w:rPr>
          <w:rFonts w:ascii="Book Antiqua" w:eastAsia="Book Antiqua" w:hAnsi="Book Antiqua" w:cs="Book Antiqua"/>
          <w:color w:val="000000"/>
        </w:rPr>
        <w:t xml:space="preserve"> D</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5.</w:t>
      </w:r>
    </w:p>
    <w:p w14:paraId="57C383A6" w14:textId="77777777" w:rsidR="00AA110D" w:rsidRDefault="00AA110D">
      <w:pPr>
        <w:spacing w:line="360" w:lineRule="auto"/>
        <w:jc w:val="both"/>
      </w:pPr>
    </w:p>
    <w:p w14:paraId="2A77811F" w14:textId="0B60D48A" w:rsidR="00F43DF8" w:rsidRDefault="00FC345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43DF8">
        <w:rPr>
          <w:rFonts w:eastAsiaTheme="minorHAnsi"/>
          <w:noProof/>
          <w:lang w:eastAsia="zh-CN"/>
        </w:rPr>
        <w:drawing>
          <wp:inline distT="0" distB="0" distL="0" distR="0" wp14:anchorId="1CC6573A" wp14:editId="000CFC2E">
            <wp:extent cx="5731510" cy="4346251"/>
            <wp:effectExtent l="0" t="0" r="2540" b="0"/>
            <wp:docPr id="6" name="그림 6" descr="D:\■GIC 논문\Submit\■GHP\WJG\Revision\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C 논문\Submit\■GHP\WJG\Revision\Figure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46251"/>
                    </a:xfrm>
                    <a:prstGeom prst="rect">
                      <a:avLst/>
                    </a:prstGeom>
                    <a:noFill/>
                    <a:ln>
                      <a:noFill/>
                    </a:ln>
                  </pic:spPr>
                </pic:pic>
              </a:graphicData>
            </a:graphic>
          </wp:inline>
        </w:drawing>
      </w:r>
    </w:p>
    <w:p w14:paraId="16692DC2" w14:textId="4AC59816" w:rsidR="00F665EA" w:rsidRDefault="00A869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F43DF8">
        <w:rPr>
          <w:rFonts w:ascii="Book Antiqua" w:eastAsia="Book Antiqua" w:hAnsi="Book Antiqua" w:cs="Book Antiqua"/>
          <w:b/>
          <w:bCs/>
          <w:color w:val="000000"/>
        </w:rPr>
        <w:t>Representative histologic images of gastric heterotopic pancreas.</w:t>
      </w:r>
      <w:r>
        <w:rPr>
          <w:rFonts w:ascii="Book Antiqua" w:eastAsia="Book Antiqua" w:hAnsi="Book Antiqua" w:cs="Book Antiqua"/>
          <w:color w:val="000000"/>
        </w:rPr>
        <w:t xml:space="preserve"> A</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1: Pancreatic tissue is in proper muscle with involvement of resection margin (arrow) (hematoxylin-eosin; original magnification,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40)</w:t>
      </w:r>
      <w:r w:rsidR="00F43DF8">
        <w:rPr>
          <w:rFonts w:ascii="Book Antiqua" w:eastAsia="Book Antiqua" w:hAnsi="Book Antiqua" w:cs="Book Antiqua"/>
          <w:color w:val="000000"/>
        </w:rPr>
        <w:t>;</w:t>
      </w:r>
      <w:r>
        <w:rPr>
          <w:rFonts w:ascii="Book Antiqua" w:eastAsia="Book Antiqua" w:hAnsi="Book Antiqua" w:cs="Book Antiqua"/>
          <w:color w:val="000000"/>
        </w:rPr>
        <w:t xml:space="preserve"> B</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3: There is focal nest of cells and bluish material with fibrosis and severe cautery artifact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100)</w:t>
      </w:r>
      <w:r w:rsidR="00F43DF8">
        <w:rPr>
          <w:rFonts w:ascii="Book Antiqua" w:eastAsia="Book Antiqua" w:hAnsi="Book Antiqua" w:cs="Book Antiqua"/>
          <w:color w:val="000000"/>
        </w:rPr>
        <w:t>;</w:t>
      </w:r>
      <w:r>
        <w:rPr>
          <w:rFonts w:ascii="Book Antiqua" w:eastAsia="Book Antiqua" w:hAnsi="Book Antiqua" w:cs="Book Antiqua"/>
          <w:color w:val="000000"/>
        </w:rPr>
        <w:t xml:space="preserve"> C</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4: Submucosal fibrosis with foreign body reaction and dystrophic calcification (arrow) was noted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40)</w:t>
      </w:r>
      <w:r w:rsidR="00F43DF8">
        <w:rPr>
          <w:rFonts w:ascii="Book Antiqua" w:eastAsia="Book Antiqua" w:hAnsi="Book Antiqua" w:cs="Book Antiqua"/>
          <w:color w:val="000000"/>
        </w:rPr>
        <w:t>;</w:t>
      </w:r>
      <w:r>
        <w:rPr>
          <w:rFonts w:ascii="Book Antiqua" w:eastAsia="Book Antiqua" w:hAnsi="Book Antiqua" w:cs="Book Antiqua"/>
          <w:color w:val="000000"/>
        </w:rPr>
        <w:t xml:space="preserve"> D</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5: Pancreatic tissue is in submucosa overlying gastric mucosa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40).</w:t>
      </w:r>
    </w:p>
    <w:p w14:paraId="3C37FBD9" w14:textId="12684433" w:rsidR="00A77B3E" w:rsidRDefault="00F665E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B77AD8" w:rsidRPr="00B77AD8">
        <w:rPr>
          <w:rFonts w:ascii="Book Antiqua" w:eastAsia="Book Antiqua" w:hAnsi="Book Antiqua" w:cs="Book Antiqua"/>
          <w:b/>
          <w:bCs/>
          <w:color w:val="000000"/>
        </w:rPr>
        <w:t>Table 1 Patient and lesion characteristics and procedure</w:t>
      </w:r>
      <w:r w:rsidR="00B77AD8">
        <w:rPr>
          <w:rFonts w:ascii="Book Antiqua" w:eastAsia="Book Antiqua" w:hAnsi="Book Antiqua" w:cs="Book Antiqua"/>
          <w:b/>
          <w:bCs/>
          <w:color w:val="000000"/>
        </w:rPr>
        <w:t>-</w:t>
      </w:r>
      <w:r w:rsidR="00B77AD8" w:rsidRPr="00B77AD8">
        <w:rPr>
          <w:rFonts w:ascii="Book Antiqua" w:eastAsia="Book Antiqua" w:hAnsi="Book Antiqua" w:cs="Book Antiqua"/>
          <w:b/>
          <w:bCs/>
          <w:color w:val="000000"/>
        </w:rPr>
        <w:t>related outcomes</w:t>
      </w:r>
    </w:p>
    <w:tbl>
      <w:tblPr>
        <w:tblStyle w:val="a3"/>
        <w:tblpPr w:leftFromText="142" w:rightFromText="142" w:vertAnchor="page" w:horzAnchor="margin" w:tblpY="2425"/>
        <w:tblW w:w="9747" w:type="dxa"/>
        <w:tblLayout w:type="fixed"/>
        <w:tblLook w:val="04A0" w:firstRow="1" w:lastRow="0" w:firstColumn="1" w:lastColumn="0" w:noHBand="0" w:noVBand="1"/>
      </w:tblPr>
      <w:tblGrid>
        <w:gridCol w:w="817"/>
        <w:gridCol w:w="709"/>
        <w:gridCol w:w="709"/>
        <w:gridCol w:w="1417"/>
        <w:gridCol w:w="1559"/>
        <w:gridCol w:w="2268"/>
        <w:gridCol w:w="1271"/>
        <w:gridCol w:w="997"/>
      </w:tblGrid>
      <w:tr w:rsidR="007941A1" w:rsidRPr="007941A1" w14:paraId="63A317E9" w14:textId="77777777" w:rsidTr="00A61DB6">
        <w:trPr>
          <w:trHeight w:val="983"/>
        </w:trPr>
        <w:tc>
          <w:tcPr>
            <w:tcW w:w="817" w:type="dxa"/>
            <w:tcBorders>
              <w:left w:val="nil"/>
              <w:bottom w:val="nil"/>
              <w:right w:val="nil"/>
            </w:tcBorders>
          </w:tcPr>
          <w:p w14:paraId="0C474891" w14:textId="411374E4" w:rsidR="007941A1" w:rsidRPr="007941A1" w:rsidRDefault="007941A1" w:rsidP="007941A1">
            <w:pPr>
              <w:snapToGrid w:val="0"/>
              <w:spacing w:line="360" w:lineRule="auto"/>
              <w:rPr>
                <w:rFonts w:ascii="Book Antiqua" w:eastAsia="Malgun Gothic" w:hAnsi="Book Antiqua" w:cs="Times New Roman"/>
                <w:b/>
                <w:bCs/>
              </w:rPr>
            </w:pPr>
            <w:r w:rsidRPr="007941A1">
              <w:rPr>
                <w:rFonts w:ascii="Book Antiqua" w:eastAsiaTheme="minorHAnsi" w:hAnsi="Book Antiqua" w:cs="Times New Roman"/>
                <w:b/>
                <w:bCs/>
              </w:rPr>
              <w:t>Patient</w:t>
            </w:r>
            <w:r w:rsidR="00B84C10">
              <w:rPr>
                <w:rFonts w:ascii="Book Antiqua" w:eastAsiaTheme="minorHAnsi" w:hAnsi="Book Antiqua" w:cs="Times New Roman"/>
                <w:b/>
                <w:bCs/>
              </w:rPr>
              <w:t xml:space="preserve"> No.</w:t>
            </w:r>
          </w:p>
        </w:tc>
        <w:tc>
          <w:tcPr>
            <w:tcW w:w="709" w:type="dxa"/>
            <w:tcBorders>
              <w:left w:val="nil"/>
              <w:bottom w:val="nil"/>
              <w:right w:val="nil"/>
            </w:tcBorders>
          </w:tcPr>
          <w:p w14:paraId="25B79E52"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Sex</w:t>
            </w:r>
          </w:p>
        </w:tc>
        <w:tc>
          <w:tcPr>
            <w:tcW w:w="709" w:type="dxa"/>
            <w:tcBorders>
              <w:left w:val="nil"/>
              <w:bottom w:val="nil"/>
              <w:right w:val="nil"/>
            </w:tcBorders>
          </w:tcPr>
          <w:p w14:paraId="104179BF"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Age</w:t>
            </w:r>
          </w:p>
        </w:tc>
        <w:tc>
          <w:tcPr>
            <w:tcW w:w="1417" w:type="dxa"/>
            <w:tcBorders>
              <w:left w:val="nil"/>
              <w:bottom w:val="nil"/>
              <w:right w:val="nil"/>
            </w:tcBorders>
          </w:tcPr>
          <w:p w14:paraId="3AE85294" w14:textId="29E3975D"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Abdominal pain episodes</w:t>
            </w:r>
            <w:r w:rsidR="0084786F">
              <w:rPr>
                <w:rFonts w:ascii="Book Antiqua" w:eastAsiaTheme="minorHAnsi" w:hAnsi="Book Antiqua" w:cs="Times New Roman"/>
                <w:b/>
                <w:bCs/>
              </w:rPr>
              <w:t xml:space="preserve"> (</w:t>
            </w:r>
            <w:r w:rsidR="0084786F" w:rsidRPr="0084786F">
              <w:rPr>
                <w:rFonts w:ascii="Book Antiqua" w:eastAsiaTheme="minorHAnsi" w:hAnsi="Book Antiqua" w:cs="Times New Roman"/>
                <w:b/>
                <w:bCs/>
              </w:rPr>
              <w:t>times</w:t>
            </w:r>
            <w:r w:rsidR="0084786F">
              <w:rPr>
                <w:rFonts w:ascii="Book Antiqua" w:eastAsiaTheme="minorHAnsi" w:hAnsi="Book Antiqua" w:cs="Times New Roman"/>
                <w:b/>
                <w:bCs/>
              </w:rPr>
              <w:t>)</w:t>
            </w:r>
          </w:p>
        </w:tc>
        <w:tc>
          <w:tcPr>
            <w:tcW w:w="1559" w:type="dxa"/>
            <w:tcBorders>
              <w:left w:val="nil"/>
              <w:bottom w:val="nil"/>
              <w:right w:val="nil"/>
            </w:tcBorders>
          </w:tcPr>
          <w:p w14:paraId="7DB4C876"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Amylase/lipase (U/L)</w:t>
            </w:r>
          </w:p>
        </w:tc>
        <w:tc>
          <w:tcPr>
            <w:tcW w:w="4536" w:type="dxa"/>
            <w:gridSpan w:val="3"/>
            <w:tcBorders>
              <w:left w:val="nil"/>
              <w:bottom w:val="single" w:sz="4" w:space="0" w:color="auto"/>
              <w:right w:val="nil"/>
            </w:tcBorders>
          </w:tcPr>
          <w:p w14:paraId="1B7B48C3"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Endoscopic ultrasonography findings</w:t>
            </w:r>
          </w:p>
        </w:tc>
      </w:tr>
      <w:tr w:rsidR="007941A1" w:rsidRPr="007941A1" w14:paraId="59E2EB53" w14:textId="77777777" w:rsidTr="00A145B5">
        <w:tc>
          <w:tcPr>
            <w:tcW w:w="817" w:type="dxa"/>
            <w:tcBorders>
              <w:top w:val="nil"/>
              <w:left w:val="nil"/>
              <w:bottom w:val="single" w:sz="4" w:space="0" w:color="auto"/>
              <w:right w:val="nil"/>
            </w:tcBorders>
          </w:tcPr>
          <w:p w14:paraId="02D932E5"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709" w:type="dxa"/>
            <w:tcBorders>
              <w:top w:val="nil"/>
              <w:left w:val="nil"/>
              <w:bottom w:val="single" w:sz="4" w:space="0" w:color="auto"/>
              <w:right w:val="nil"/>
            </w:tcBorders>
          </w:tcPr>
          <w:p w14:paraId="61822839"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709" w:type="dxa"/>
            <w:tcBorders>
              <w:top w:val="nil"/>
              <w:left w:val="nil"/>
              <w:bottom w:val="single" w:sz="4" w:space="0" w:color="auto"/>
              <w:right w:val="nil"/>
            </w:tcBorders>
          </w:tcPr>
          <w:p w14:paraId="594DF2EB"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1417" w:type="dxa"/>
            <w:tcBorders>
              <w:top w:val="nil"/>
              <w:left w:val="nil"/>
              <w:bottom w:val="single" w:sz="4" w:space="0" w:color="auto"/>
              <w:right w:val="nil"/>
            </w:tcBorders>
          </w:tcPr>
          <w:p w14:paraId="1E6CF48B"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1559" w:type="dxa"/>
            <w:tcBorders>
              <w:top w:val="nil"/>
              <w:left w:val="nil"/>
              <w:bottom w:val="single" w:sz="4" w:space="0" w:color="auto"/>
              <w:right w:val="nil"/>
            </w:tcBorders>
          </w:tcPr>
          <w:p w14:paraId="54EE43CC"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2268" w:type="dxa"/>
            <w:tcBorders>
              <w:top w:val="single" w:sz="4" w:space="0" w:color="auto"/>
              <w:left w:val="nil"/>
              <w:bottom w:val="single" w:sz="4" w:space="0" w:color="auto"/>
              <w:right w:val="nil"/>
            </w:tcBorders>
          </w:tcPr>
          <w:p w14:paraId="53ABD801"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Echogenicity, homogeneity</w:t>
            </w:r>
          </w:p>
        </w:tc>
        <w:tc>
          <w:tcPr>
            <w:tcW w:w="1271" w:type="dxa"/>
            <w:tcBorders>
              <w:top w:val="single" w:sz="4" w:space="0" w:color="auto"/>
              <w:left w:val="nil"/>
              <w:bottom w:val="single" w:sz="4" w:space="0" w:color="auto"/>
              <w:right w:val="nil"/>
            </w:tcBorders>
          </w:tcPr>
          <w:p w14:paraId="028A719D"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Size change (mm)</w:t>
            </w:r>
          </w:p>
        </w:tc>
        <w:tc>
          <w:tcPr>
            <w:tcW w:w="997" w:type="dxa"/>
            <w:tcBorders>
              <w:top w:val="single" w:sz="4" w:space="0" w:color="auto"/>
              <w:left w:val="nil"/>
              <w:bottom w:val="single" w:sz="4" w:space="0" w:color="auto"/>
              <w:right w:val="nil"/>
            </w:tcBorders>
          </w:tcPr>
          <w:p w14:paraId="14353FF2"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Layer</w:t>
            </w:r>
          </w:p>
        </w:tc>
      </w:tr>
      <w:tr w:rsidR="007941A1" w:rsidRPr="007941A1" w14:paraId="0DC23F65" w14:textId="77777777" w:rsidTr="00A145B5">
        <w:tc>
          <w:tcPr>
            <w:tcW w:w="817" w:type="dxa"/>
            <w:tcBorders>
              <w:left w:val="nil"/>
              <w:bottom w:val="nil"/>
              <w:right w:val="nil"/>
            </w:tcBorders>
          </w:tcPr>
          <w:p w14:paraId="716AB9C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w:t>
            </w:r>
          </w:p>
        </w:tc>
        <w:tc>
          <w:tcPr>
            <w:tcW w:w="709" w:type="dxa"/>
            <w:tcBorders>
              <w:left w:val="nil"/>
              <w:bottom w:val="nil"/>
              <w:right w:val="nil"/>
            </w:tcBorders>
          </w:tcPr>
          <w:p w14:paraId="2665CCFA"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F</w:t>
            </w:r>
          </w:p>
        </w:tc>
        <w:tc>
          <w:tcPr>
            <w:tcW w:w="709" w:type="dxa"/>
            <w:tcBorders>
              <w:left w:val="nil"/>
              <w:bottom w:val="nil"/>
              <w:right w:val="nil"/>
            </w:tcBorders>
          </w:tcPr>
          <w:p w14:paraId="2A7569F7"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43</w:t>
            </w:r>
          </w:p>
        </w:tc>
        <w:tc>
          <w:tcPr>
            <w:tcW w:w="1417" w:type="dxa"/>
            <w:tcBorders>
              <w:left w:val="nil"/>
              <w:bottom w:val="nil"/>
              <w:right w:val="nil"/>
            </w:tcBorders>
          </w:tcPr>
          <w:p w14:paraId="756EE5B8" w14:textId="6C81C573"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&gt;</w:t>
            </w:r>
            <w:r>
              <w:rPr>
                <w:rFonts w:ascii="Book Antiqua" w:eastAsiaTheme="minorHAnsi" w:hAnsi="Book Antiqua" w:cs="Times New Roman"/>
              </w:rPr>
              <w:t xml:space="preserve"> </w:t>
            </w:r>
            <w:r w:rsidRPr="007941A1">
              <w:rPr>
                <w:rFonts w:ascii="Book Antiqua" w:eastAsiaTheme="minorHAnsi" w:hAnsi="Book Antiqua" w:cs="Times New Roman"/>
              </w:rPr>
              <w:t>10</w:t>
            </w:r>
          </w:p>
        </w:tc>
        <w:tc>
          <w:tcPr>
            <w:tcW w:w="1559" w:type="dxa"/>
            <w:tcBorders>
              <w:left w:val="nil"/>
              <w:bottom w:val="nil"/>
              <w:right w:val="nil"/>
            </w:tcBorders>
          </w:tcPr>
          <w:p w14:paraId="3A6FBE81"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Not done</w:t>
            </w:r>
          </w:p>
        </w:tc>
        <w:tc>
          <w:tcPr>
            <w:tcW w:w="2268" w:type="dxa"/>
            <w:tcBorders>
              <w:left w:val="nil"/>
              <w:bottom w:val="nil"/>
              <w:right w:val="nil"/>
            </w:tcBorders>
          </w:tcPr>
          <w:p w14:paraId="6BEC1BAD" w14:textId="47D429CF"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left w:val="nil"/>
              <w:bottom w:val="nil"/>
              <w:right w:val="nil"/>
            </w:tcBorders>
          </w:tcPr>
          <w:p w14:paraId="5BEE9A42" w14:textId="7978F0DD"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10</w:t>
            </w:r>
            <w:r>
              <w:rPr>
                <w:rFonts w:ascii="Book Antiqua" w:eastAsiaTheme="minorHAnsi" w:hAnsi="Book Antiqua" w:cs="Times New Roman"/>
              </w:rPr>
              <w:t>-</w:t>
            </w:r>
            <w:r w:rsidRPr="007941A1">
              <w:rPr>
                <w:rFonts w:ascii="Book Antiqua" w:eastAsiaTheme="minorHAnsi" w:hAnsi="Book Antiqua" w:cs="Times New Roman"/>
              </w:rPr>
              <w:t>18</w:t>
            </w:r>
          </w:p>
        </w:tc>
        <w:tc>
          <w:tcPr>
            <w:tcW w:w="997" w:type="dxa"/>
            <w:tcBorders>
              <w:left w:val="nil"/>
              <w:bottom w:val="nil"/>
              <w:right w:val="nil"/>
            </w:tcBorders>
          </w:tcPr>
          <w:p w14:paraId="6BA0AAB8"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10C6720D" w14:textId="77777777" w:rsidTr="00A145B5">
        <w:tc>
          <w:tcPr>
            <w:tcW w:w="817" w:type="dxa"/>
            <w:tcBorders>
              <w:top w:val="nil"/>
              <w:left w:val="nil"/>
              <w:bottom w:val="nil"/>
              <w:right w:val="nil"/>
            </w:tcBorders>
          </w:tcPr>
          <w:p w14:paraId="7006C48E"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w:t>
            </w:r>
          </w:p>
        </w:tc>
        <w:tc>
          <w:tcPr>
            <w:tcW w:w="709" w:type="dxa"/>
            <w:tcBorders>
              <w:top w:val="nil"/>
              <w:left w:val="nil"/>
              <w:bottom w:val="nil"/>
              <w:right w:val="nil"/>
            </w:tcBorders>
          </w:tcPr>
          <w:p w14:paraId="4EAF64A3"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M</w:t>
            </w:r>
          </w:p>
        </w:tc>
        <w:tc>
          <w:tcPr>
            <w:tcW w:w="709" w:type="dxa"/>
            <w:tcBorders>
              <w:top w:val="nil"/>
              <w:left w:val="nil"/>
              <w:bottom w:val="nil"/>
              <w:right w:val="nil"/>
            </w:tcBorders>
          </w:tcPr>
          <w:p w14:paraId="39B48E2B"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28</w:t>
            </w:r>
          </w:p>
        </w:tc>
        <w:tc>
          <w:tcPr>
            <w:tcW w:w="1417" w:type="dxa"/>
            <w:tcBorders>
              <w:top w:val="nil"/>
              <w:left w:val="nil"/>
              <w:bottom w:val="nil"/>
              <w:right w:val="nil"/>
            </w:tcBorders>
          </w:tcPr>
          <w:p w14:paraId="5EBED000"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w:t>
            </w:r>
          </w:p>
        </w:tc>
        <w:tc>
          <w:tcPr>
            <w:tcW w:w="1559" w:type="dxa"/>
            <w:tcBorders>
              <w:top w:val="nil"/>
              <w:left w:val="nil"/>
              <w:bottom w:val="nil"/>
              <w:right w:val="nil"/>
            </w:tcBorders>
          </w:tcPr>
          <w:p w14:paraId="593E7BAC"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236/361</w:t>
            </w:r>
          </w:p>
        </w:tc>
        <w:tc>
          <w:tcPr>
            <w:tcW w:w="2268" w:type="dxa"/>
            <w:tcBorders>
              <w:top w:val="nil"/>
              <w:left w:val="nil"/>
              <w:bottom w:val="nil"/>
              <w:right w:val="nil"/>
            </w:tcBorders>
          </w:tcPr>
          <w:p w14:paraId="4D1B4FFF" w14:textId="36B0C80C"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heterogeneous, cystic foci</w:t>
            </w:r>
            <w:r>
              <w:rPr>
                <w:rFonts w:ascii="Book Antiqua" w:eastAsiaTheme="minorHAnsi" w:hAnsi="Book Antiqua" w:cs="Times New Roman"/>
              </w:rPr>
              <w:t>.</w:t>
            </w:r>
          </w:p>
        </w:tc>
        <w:tc>
          <w:tcPr>
            <w:tcW w:w="1271" w:type="dxa"/>
            <w:tcBorders>
              <w:top w:val="nil"/>
              <w:left w:val="nil"/>
              <w:bottom w:val="nil"/>
              <w:right w:val="nil"/>
            </w:tcBorders>
          </w:tcPr>
          <w:p w14:paraId="2BD8D3A9" w14:textId="0CD7BED1"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17</w:t>
            </w:r>
            <w:r>
              <w:rPr>
                <w:rFonts w:ascii="Book Antiqua" w:eastAsiaTheme="minorHAnsi" w:hAnsi="Book Antiqua" w:cs="Times New Roman"/>
              </w:rPr>
              <w:t>-</w:t>
            </w:r>
            <w:r w:rsidRPr="007941A1">
              <w:rPr>
                <w:rFonts w:ascii="Book Antiqua" w:eastAsiaTheme="minorHAnsi" w:hAnsi="Book Antiqua" w:cs="Times New Roman"/>
              </w:rPr>
              <w:t>50</w:t>
            </w:r>
          </w:p>
        </w:tc>
        <w:tc>
          <w:tcPr>
            <w:tcW w:w="997" w:type="dxa"/>
            <w:tcBorders>
              <w:top w:val="nil"/>
              <w:left w:val="nil"/>
              <w:bottom w:val="nil"/>
              <w:right w:val="nil"/>
            </w:tcBorders>
          </w:tcPr>
          <w:p w14:paraId="383CD50F"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30268868" w14:textId="77777777" w:rsidTr="00A145B5">
        <w:tc>
          <w:tcPr>
            <w:tcW w:w="817" w:type="dxa"/>
            <w:tcBorders>
              <w:top w:val="nil"/>
              <w:left w:val="nil"/>
              <w:bottom w:val="nil"/>
              <w:right w:val="nil"/>
            </w:tcBorders>
          </w:tcPr>
          <w:p w14:paraId="281208C8"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w:t>
            </w:r>
          </w:p>
        </w:tc>
        <w:tc>
          <w:tcPr>
            <w:tcW w:w="709" w:type="dxa"/>
            <w:tcBorders>
              <w:top w:val="nil"/>
              <w:left w:val="nil"/>
              <w:bottom w:val="nil"/>
              <w:right w:val="nil"/>
            </w:tcBorders>
          </w:tcPr>
          <w:p w14:paraId="56E7B300"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F</w:t>
            </w:r>
          </w:p>
        </w:tc>
        <w:tc>
          <w:tcPr>
            <w:tcW w:w="709" w:type="dxa"/>
            <w:tcBorders>
              <w:top w:val="nil"/>
              <w:left w:val="nil"/>
              <w:bottom w:val="nil"/>
              <w:right w:val="nil"/>
            </w:tcBorders>
          </w:tcPr>
          <w:p w14:paraId="11CAF8BF"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37</w:t>
            </w:r>
          </w:p>
        </w:tc>
        <w:tc>
          <w:tcPr>
            <w:tcW w:w="1417" w:type="dxa"/>
            <w:tcBorders>
              <w:top w:val="nil"/>
              <w:left w:val="nil"/>
              <w:bottom w:val="nil"/>
              <w:right w:val="nil"/>
            </w:tcBorders>
          </w:tcPr>
          <w:p w14:paraId="32B5608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w:t>
            </w:r>
          </w:p>
        </w:tc>
        <w:tc>
          <w:tcPr>
            <w:tcW w:w="1559" w:type="dxa"/>
            <w:tcBorders>
              <w:top w:val="nil"/>
              <w:left w:val="nil"/>
              <w:bottom w:val="nil"/>
              <w:right w:val="nil"/>
            </w:tcBorders>
          </w:tcPr>
          <w:p w14:paraId="7344C3CD"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Not done</w:t>
            </w:r>
          </w:p>
        </w:tc>
        <w:tc>
          <w:tcPr>
            <w:tcW w:w="2268" w:type="dxa"/>
            <w:tcBorders>
              <w:top w:val="nil"/>
              <w:left w:val="nil"/>
              <w:bottom w:val="nil"/>
              <w:right w:val="nil"/>
            </w:tcBorders>
          </w:tcPr>
          <w:p w14:paraId="3018887C" w14:textId="13108F70"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top w:val="nil"/>
              <w:left w:val="nil"/>
              <w:bottom w:val="nil"/>
              <w:right w:val="nil"/>
            </w:tcBorders>
          </w:tcPr>
          <w:p w14:paraId="3838BE03" w14:textId="240EC2BC"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16.9</w:t>
            </w:r>
            <w:r>
              <w:rPr>
                <w:rFonts w:ascii="Book Antiqua" w:eastAsiaTheme="minorHAnsi" w:hAnsi="Book Antiqua" w:cs="Times New Roman"/>
              </w:rPr>
              <w:t>-</w:t>
            </w:r>
            <w:r w:rsidRPr="007941A1">
              <w:rPr>
                <w:rFonts w:ascii="Book Antiqua" w:eastAsiaTheme="minorHAnsi" w:hAnsi="Book Antiqua" w:cs="Times New Roman"/>
              </w:rPr>
              <w:t>45</w:t>
            </w:r>
          </w:p>
        </w:tc>
        <w:tc>
          <w:tcPr>
            <w:tcW w:w="997" w:type="dxa"/>
            <w:tcBorders>
              <w:top w:val="nil"/>
              <w:left w:val="nil"/>
              <w:bottom w:val="nil"/>
              <w:right w:val="nil"/>
            </w:tcBorders>
          </w:tcPr>
          <w:p w14:paraId="73DE3F12"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4F10FBA0" w14:textId="77777777" w:rsidTr="00A145B5">
        <w:tc>
          <w:tcPr>
            <w:tcW w:w="817" w:type="dxa"/>
            <w:tcBorders>
              <w:top w:val="nil"/>
              <w:left w:val="nil"/>
              <w:bottom w:val="nil"/>
              <w:right w:val="nil"/>
            </w:tcBorders>
          </w:tcPr>
          <w:p w14:paraId="514BC2CA"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4</w:t>
            </w:r>
          </w:p>
        </w:tc>
        <w:tc>
          <w:tcPr>
            <w:tcW w:w="709" w:type="dxa"/>
            <w:tcBorders>
              <w:top w:val="nil"/>
              <w:left w:val="nil"/>
              <w:bottom w:val="nil"/>
              <w:right w:val="nil"/>
            </w:tcBorders>
          </w:tcPr>
          <w:p w14:paraId="627CA462"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F</w:t>
            </w:r>
          </w:p>
        </w:tc>
        <w:tc>
          <w:tcPr>
            <w:tcW w:w="709" w:type="dxa"/>
            <w:tcBorders>
              <w:top w:val="nil"/>
              <w:left w:val="nil"/>
              <w:bottom w:val="nil"/>
              <w:right w:val="nil"/>
            </w:tcBorders>
          </w:tcPr>
          <w:p w14:paraId="62BB3E1C"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32</w:t>
            </w:r>
          </w:p>
        </w:tc>
        <w:tc>
          <w:tcPr>
            <w:tcW w:w="1417" w:type="dxa"/>
            <w:tcBorders>
              <w:top w:val="nil"/>
              <w:left w:val="nil"/>
              <w:bottom w:val="nil"/>
              <w:right w:val="nil"/>
            </w:tcBorders>
          </w:tcPr>
          <w:p w14:paraId="444A915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w:t>
            </w:r>
          </w:p>
        </w:tc>
        <w:tc>
          <w:tcPr>
            <w:tcW w:w="1559" w:type="dxa"/>
            <w:tcBorders>
              <w:top w:val="nil"/>
              <w:left w:val="nil"/>
              <w:bottom w:val="nil"/>
              <w:right w:val="nil"/>
            </w:tcBorders>
          </w:tcPr>
          <w:p w14:paraId="7BB66FEC"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294/26</w:t>
            </w:r>
          </w:p>
        </w:tc>
        <w:tc>
          <w:tcPr>
            <w:tcW w:w="2268" w:type="dxa"/>
            <w:tcBorders>
              <w:top w:val="nil"/>
              <w:left w:val="nil"/>
              <w:bottom w:val="nil"/>
              <w:right w:val="nil"/>
            </w:tcBorders>
          </w:tcPr>
          <w:p w14:paraId="20F0AF37" w14:textId="0FC78563"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top w:val="nil"/>
              <w:left w:val="nil"/>
              <w:bottom w:val="nil"/>
              <w:right w:val="nil"/>
            </w:tcBorders>
          </w:tcPr>
          <w:p w14:paraId="4C7E9BD5" w14:textId="00660AA5"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15</w:t>
            </w:r>
            <w:r>
              <w:rPr>
                <w:rFonts w:ascii="Book Antiqua" w:eastAsiaTheme="minorHAnsi" w:hAnsi="Book Antiqua" w:cs="Times New Roman"/>
              </w:rPr>
              <w:t>-</w:t>
            </w:r>
            <w:r w:rsidRPr="007941A1">
              <w:rPr>
                <w:rFonts w:ascii="Book Antiqua" w:eastAsiaTheme="minorHAnsi" w:hAnsi="Book Antiqua" w:cs="Times New Roman"/>
              </w:rPr>
              <w:t>35</w:t>
            </w:r>
          </w:p>
        </w:tc>
        <w:tc>
          <w:tcPr>
            <w:tcW w:w="997" w:type="dxa"/>
            <w:tcBorders>
              <w:top w:val="nil"/>
              <w:left w:val="nil"/>
              <w:bottom w:val="nil"/>
              <w:right w:val="nil"/>
            </w:tcBorders>
          </w:tcPr>
          <w:p w14:paraId="302D25D4"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6EB47252" w14:textId="77777777" w:rsidTr="0084786F">
        <w:tc>
          <w:tcPr>
            <w:tcW w:w="817" w:type="dxa"/>
            <w:tcBorders>
              <w:top w:val="nil"/>
              <w:left w:val="nil"/>
              <w:bottom w:val="single" w:sz="4" w:space="0" w:color="auto"/>
              <w:right w:val="nil"/>
            </w:tcBorders>
          </w:tcPr>
          <w:p w14:paraId="5991F92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5</w:t>
            </w:r>
          </w:p>
        </w:tc>
        <w:tc>
          <w:tcPr>
            <w:tcW w:w="709" w:type="dxa"/>
            <w:tcBorders>
              <w:top w:val="nil"/>
              <w:left w:val="nil"/>
              <w:bottom w:val="single" w:sz="4" w:space="0" w:color="auto"/>
              <w:right w:val="nil"/>
            </w:tcBorders>
          </w:tcPr>
          <w:p w14:paraId="50100058"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M</w:t>
            </w:r>
          </w:p>
        </w:tc>
        <w:tc>
          <w:tcPr>
            <w:tcW w:w="709" w:type="dxa"/>
            <w:tcBorders>
              <w:top w:val="nil"/>
              <w:left w:val="nil"/>
              <w:bottom w:val="single" w:sz="4" w:space="0" w:color="auto"/>
              <w:right w:val="nil"/>
            </w:tcBorders>
          </w:tcPr>
          <w:p w14:paraId="10EA0C22"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28</w:t>
            </w:r>
          </w:p>
        </w:tc>
        <w:tc>
          <w:tcPr>
            <w:tcW w:w="1417" w:type="dxa"/>
            <w:tcBorders>
              <w:top w:val="nil"/>
              <w:left w:val="nil"/>
              <w:bottom w:val="single" w:sz="4" w:space="0" w:color="auto"/>
              <w:right w:val="nil"/>
            </w:tcBorders>
          </w:tcPr>
          <w:p w14:paraId="7DE037DC" w14:textId="7454E18E"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&gt;</w:t>
            </w:r>
            <w:r>
              <w:rPr>
                <w:rFonts w:ascii="Book Antiqua" w:eastAsiaTheme="minorHAnsi" w:hAnsi="Book Antiqua" w:cs="Times New Roman"/>
              </w:rPr>
              <w:t xml:space="preserve"> </w:t>
            </w:r>
            <w:r w:rsidRPr="007941A1">
              <w:rPr>
                <w:rFonts w:ascii="Book Antiqua" w:eastAsiaTheme="minorHAnsi" w:hAnsi="Book Antiqua" w:cs="Times New Roman"/>
              </w:rPr>
              <w:t>10</w:t>
            </w:r>
          </w:p>
        </w:tc>
        <w:tc>
          <w:tcPr>
            <w:tcW w:w="1559" w:type="dxa"/>
            <w:tcBorders>
              <w:top w:val="nil"/>
              <w:left w:val="nil"/>
              <w:bottom w:val="single" w:sz="4" w:space="0" w:color="auto"/>
              <w:right w:val="nil"/>
            </w:tcBorders>
          </w:tcPr>
          <w:p w14:paraId="1DCBE604"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120/32</w:t>
            </w:r>
          </w:p>
        </w:tc>
        <w:tc>
          <w:tcPr>
            <w:tcW w:w="2268" w:type="dxa"/>
            <w:tcBorders>
              <w:top w:val="nil"/>
              <w:left w:val="nil"/>
              <w:bottom w:val="single" w:sz="4" w:space="0" w:color="auto"/>
              <w:right w:val="nil"/>
            </w:tcBorders>
          </w:tcPr>
          <w:p w14:paraId="3243DAEE" w14:textId="41F6CE53"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top w:val="nil"/>
              <w:left w:val="nil"/>
              <w:bottom w:val="single" w:sz="4" w:space="0" w:color="auto"/>
              <w:right w:val="nil"/>
            </w:tcBorders>
          </w:tcPr>
          <w:p w14:paraId="7032AE21" w14:textId="20357B20"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15</w:t>
            </w:r>
            <w:r>
              <w:rPr>
                <w:rFonts w:ascii="Book Antiqua" w:eastAsiaTheme="minorHAnsi" w:hAnsi="Book Antiqua" w:cs="Times New Roman"/>
              </w:rPr>
              <w:t>-</w:t>
            </w:r>
            <w:r w:rsidRPr="007941A1">
              <w:rPr>
                <w:rFonts w:ascii="Book Antiqua" w:eastAsiaTheme="minorHAnsi" w:hAnsi="Book Antiqua" w:cs="Times New Roman"/>
              </w:rPr>
              <w:t>15</w:t>
            </w:r>
          </w:p>
        </w:tc>
        <w:tc>
          <w:tcPr>
            <w:tcW w:w="997" w:type="dxa"/>
            <w:tcBorders>
              <w:top w:val="nil"/>
              <w:left w:val="nil"/>
              <w:bottom w:val="single" w:sz="4" w:space="0" w:color="auto"/>
              <w:right w:val="nil"/>
            </w:tcBorders>
          </w:tcPr>
          <w:p w14:paraId="634F27BD"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A145B5" w:rsidRPr="007941A1" w14:paraId="69DBA8C9" w14:textId="77777777" w:rsidTr="0084786F">
        <w:tc>
          <w:tcPr>
            <w:tcW w:w="3652" w:type="dxa"/>
            <w:gridSpan w:val="4"/>
            <w:tcBorders>
              <w:top w:val="single" w:sz="4" w:space="0" w:color="auto"/>
              <w:left w:val="nil"/>
              <w:bottom w:val="single" w:sz="4" w:space="0" w:color="auto"/>
              <w:right w:val="nil"/>
            </w:tcBorders>
          </w:tcPr>
          <w:p w14:paraId="76CE6339" w14:textId="359A4013"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CT findings at the time of diagnosis</w:t>
            </w:r>
          </w:p>
        </w:tc>
        <w:tc>
          <w:tcPr>
            <w:tcW w:w="1559" w:type="dxa"/>
            <w:tcBorders>
              <w:top w:val="single" w:sz="4" w:space="0" w:color="auto"/>
              <w:left w:val="nil"/>
              <w:bottom w:val="single" w:sz="4" w:space="0" w:color="auto"/>
              <w:right w:val="nil"/>
            </w:tcBorders>
          </w:tcPr>
          <w:p w14:paraId="66C167D5" w14:textId="1EF0110F"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Pathological diagnosis</w:t>
            </w:r>
          </w:p>
        </w:tc>
        <w:tc>
          <w:tcPr>
            <w:tcW w:w="2268" w:type="dxa"/>
            <w:tcBorders>
              <w:top w:val="single" w:sz="4" w:space="0" w:color="auto"/>
              <w:left w:val="nil"/>
              <w:bottom w:val="single" w:sz="4" w:space="0" w:color="auto"/>
              <w:right w:val="nil"/>
            </w:tcBorders>
          </w:tcPr>
          <w:p w14:paraId="24B94666" w14:textId="15ED8D57"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Procedure time (min)</w:t>
            </w:r>
          </w:p>
        </w:tc>
        <w:tc>
          <w:tcPr>
            <w:tcW w:w="1271" w:type="dxa"/>
            <w:tcBorders>
              <w:top w:val="single" w:sz="4" w:space="0" w:color="auto"/>
              <w:left w:val="nil"/>
              <w:bottom w:val="single" w:sz="4" w:space="0" w:color="auto"/>
              <w:right w:val="nil"/>
            </w:tcBorders>
          </w:tcPr>
          <w:p w14:paraId="72CE7FBB" w14:textId="26F7B5BD"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ESD hospitalization (d)</w:t>
            </w:r>
          </w:p>
        </w:tc>
        <w:tc>
          <w:tcPr>
            <w:tcW w:w="997" w:type="dxa"/>
            <w:tcBorders>
              <w:top w:val="single" w:sz="4" w:space="0" w:color="auto"/>
              <w:left w:val="nil"/>
              <w:bottom w:val="single" w:sz="4" w:space="0" w:color="auto"/>
              <w:right w:val="nil"/>
            </w:tcBorders>
          </w:tcPr>
          <w:p w14:paraId="7707307A" w14:textId="018DDB99"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Follow-up (mon)</w:t>
            </w:r>
          </w:p>
        </w:tc>
      </w:tr>
      <w:tr w:rsidR="00CF03FB" w:rsidRPr="007941A1" w14:paraId="460C1AA8" w14:textId="77777777" w:rsidTr="0084786F">
        <w:tc>
          <w:tcPr>
            <w:tcW w:w="3652" w:type="dxa"/>
            <w:gridSpan w:val="4"/>
            <w:tcBorders>
              <w:top w:val="single" w:sz="4" w:space="0" w:color="auto"/>
              <w:left w:val="nil"/>
              <w:bottom w:val="nil"/>
              <w:right w:val="nil"/>
            </w:tcBorders>
          </w:tcPr>
          <w:p w14:paraId="7E507C5B" w14:textId="1C4E60C9"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Ovoid-shaped lesion with a lobulating contour in the gastric antrum</w:t>
            </w:r>
          </w:p>
        </w:tc>
        <w:tc>
          <w:tcPr>
            <w:tcW w:w="1559" w:type="dxa"/>
            <w:tcBorders>
              <w:top w:val="single" w:sz="4" w:space="0" w:color="auto"/>
              <w:left w:val="nil"/>
              <w:bottom w:val="nil"/>
              <w:right w:val="nil"/>
            </w:tcBorders>
          </w:tcPr>
          <w:p w14:paraId="70BFB148" w14:textId="43A68C8C"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Heterotopic pancreas</w:t>
            </w:r>
          </w:p>
        </w:tc>
        <w:tc>
          <w:tcPr>
            <w:tcW w:w="2268" w:type="dxa"/>
            <w:tcBorders>
              <w:top w:val="single" w:sz="4" w:space="0" w:color="auto"/>
              <w:left w:val="nil"/>
              <w:bottom w:val="nil"/>
              <w:right w:val="nil"/>
            </w:tcBorders>
          </w:tcPr>
          <w:p w14:paraId="05010BAC" w14:textId="7D8421B9"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15</w:t>
            </w:r>
          </w:p>
        </w:tc>
        <w:tc>
          <w:tcPr>
            <w:tcW w:w="1271" w:type="dxa"/>
            <w:tcBorders>
              <w:top w:val="single" w:sz="4" w:space="0" w:color="auto"/>
              <w:left w:val="nil"/>
              <w:bottom w:val="nil"/>
              <w:right w:val="nil"/>
            </w:tcBorders>
          </w:tcPr>
          <w:p w14:paraId="14298A59" w14:textId="6775E58A"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3</w:t>
            </w:r>
          </w:p>
        </w:tc>
        <w:tc>
          <w:tcPr>
            <w:tcW w:w="997" w:type="dxa"/>
            <w:tcBorders>
              <w:top w:val="single" w:sz="4" w:space="0" w:color="auto"/>
              <w:left w:val="nil"/>
              <w:bottom w:val="nil"/>
              <w:right w:val="nil"/>
            </w:tcBorders>
          </w:tcPr>
          <w:p w14:paraId="18AD290A" w14:textId="3A11388B"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33</w:t>
            </w:r>
          </w:p>
        </w:tc>
      </w:tr>
      <w:tr w:rsidR="00CF03FB" w:rsidRPr="007941A1" w14:paraId="1A874A09" w14:textId="77777777" w:rsidTr="0084786F">
        <w:tc>
          <w:tcPr>
            <w:tcW w:w="3652" w:type="dxa"/>
            <w:gridSpan w:val="4"/>
            <w:tcBorders>
              <w:top w:val="nil"/>
              <w:left w:val="nil"/>
              <w:bottom w:val="nil"/>
              <w:right w:val="nil"/>
            </w:tcBorders>
          </w:tcPr>
          <w:p w14:paraId="62727C03" w14:textId="35FF4031"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Enhancing mass-like and cystic lesions in the gastric antrum</w:t>
            </w:r>
          </w:p>
        </w:tc>
        <w:tc>
          <w:tcPr>
            <w:tcW w:w="1559" w:type="dxa"/>
            <w:tcBorders>
              <w:top w:val="nil"/>
              <w:left w:val="nil"/>
              <w:bottom w:val="nil"/>
              <w:right w:val="nil"/>
            </w:tcBorders>
          </w:tcPr>
          <w:p w14:paraId="5D0C637E" w14:textId="676AC0F5"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Heterotopic pancreas</w:t>
            </w:r>
          </w:p>
        </w:tc>
        <w:tc>
          <w:tcPr>
            <w:tcW w:w="2268" w:type="dxa"/>
            <w:tcBorders>
              <w:top w:val="nil"/>
              <w:left w:val="nil"/>
              <w:bottom w:val="nil"/>
              <w:right w:val="nil"/>
            </w:tcBorders>
          </w:tcPr>
          <w:p w14:paraId="3F51C1E6" w14:textId="510EB0B7"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120</w:t>
            </w:r>
          </w:p>
        </w:tc>
        <w:tc>
          <w:tcPr>
            <w:tcW w:w="1271" w:type="dxa"/>
            <w:tcBorders>
              <w:top w:val="nil"/>
              <w:left w:val="nil"/>
              <w:bottom w:val="nil"/>
              <w:right w:val="nil"/>
            </w:tcBorders>
          </w:tcPr>
          <w:p w14:paraId="3E886853" w14:textId="30F3D2AC"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4</w:t>
            </w:r>
          </w:p>
        </w:tc>
        <w:tc>
          <w:tcPr>
            <w:tcW w:w="997" w:type="dxa"/>
            <w:tcBorders>
              <w:top w:val="nil"/>
              <w:left w:val="nil"/>
              <w:bottom w:val="nil"/>
              <w:right w:val="nil"/>
            </w:tcBorders>
          </w:tcPr>
          <w:p w14:paraId="121714D7" w14:textId="41B2EEE2"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60</w:t>
            </w:r>
          </w:p>
        </w:tc>
      </w:tr>
      <w:tr w:rsidR="00CF03FB" w:rsidRPr="007941A1" w14:paraId="36C280CE" w14:textId="77777777" w:rsidTr="0084786F">
        <w:tc>
          <w:tcPr>
            <w:tcW w:w="3652" w:type="dxa"/>
            <w:gridSpan w:val="4"/>
            <w:tcBorders>
              <w:top w:val="nil"/>
              <w:left w:val="nil"/>
              <w:bottom w:val="nil"/>
              <w:right w:val="nil"/>
            </w:tcBorders>
          </w:tcPr>
          <w:p w14:paraId="33FC1E36" w14:textId="407079D9"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Subepithelial mass with an internal low-density portion in the gastric antrum</w:t>
            </w:r>
          </w:p>
        </w:tc>
        <w:tc>
          <w:tcPr>
            <w:tcW w:w="1559" w:type="dxa"/>
            <w:tcBorders>
              <w:top w:val="nil"/>
              <w:left w:val="nil"/>
              <w:bottom w:val="nil"/>
              <w:right w:val="nil"/>
            </w:tcBorders>
          </w:tcPr>
          <w:p w14:paraId="6A1FD1AF" w14:textId="057958A4"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Calcification and foreign body reaction</w:t>
            </w:r>
          </w:p>
        </w:tc>
        <w:tc>
          <w:tcPr>
            <w:tcW w:w="2268" w:type="dxa"/>
            <w:tcBorders>
              <w:top w:val="nil"/>
              <w:left w:val="nil"/>
              <w:bottom w:val="nil"/>
              <w:right w:val="nil"/>
            </w:tcBorders>
          </w:tcPr>
          <w:p w14:paraId="61BC1F22" w14:textId="3B9E35B8"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27</w:t>
            </w:r>
          </w:p>
        </w:tc>
        <w:tc>
          <w:tcPr>
            <w:tcW w:w="1271" w:type="dxa"/>
            <w:tcBorders>
              <w:top w:val="nil"/>
              <w:left w:val="nil"/>
              <w:bottom w:val="nil"/>
              <w:right w:val="nil"/>
            </w:tcBorders>
          </w:tcPr>
          <w:p w14:paraId="09033F29" w14:textId="14E5EDC6"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3</w:t>
            </w:r>
          </w:p>
        </w:tc>
        <w:tc>
          <w:tcPr>
            <w:tcW w:w="997" w:type="dxa"/>
            <w:tcBorders>
              <w:top w:val="nil"/>
              <w:left w:val="nil"/>
              <w:bottom w:val="nil"/>
              <w:right w:val="nil"/>
            </w:tcBorders>
          </w:tcPr>
          <w:p w14:paraId="5C9AB945" w14:textId="08832B66"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59</w:t>
            </w:r>
          </w:p>
        </w:tc>
      </w:tr>
      <w:tr w:rsidR="00CF03FB" w:rsidRPr="007941A1" w14:paraId="36CC0EC8" w14:textId="77777777" w:rsidTr="0084786F">
        <w:tc>
          <w:tcPr>
            <w:tcW w:w="3652" w:type="dxa"/>
            <w:gridSpan w:val="4"/>
            <w:tcBorders>
              <w:top w:val="nil"/>
              <w:left w:val="nil"/>
              <w:bottom w:val="nil"/>
              <w:right w:val="nil"/>
            </w:tcBorders>
          </w:tcPr>
          <w:p w14:paraId="633CF35A" w14:textId="353780DC"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Soft tissue lesion containing a cystic portion and tiny calcification in the gastric antrum</w:t>
            </w:r>
          </w:p>
        </w:tc>
        <w:tc>
          <w:tcPr>
            <w:tcW w:w="1559" w:type="dxa"/>
            <w:tcBorders>
              <w:top w:val="nil"/>
              <w:left w:val="nil"/>
              <w:bottom w:val="nil"/>
              <w:right w:val="nil"/>
            </w:tcBorders>
          </w:tcPr>
          <w:p w14:paraId="3450A0D5" w14:textId="1B4A32B1"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Calcification and foreign body reaction</w:t>
            </w:r>
          </w:p>
        </w:tc>
        <w:tc>
          <w:tcPr>
            <w:tcW w:w="2268" w:type="dxa"/>
            <w:tcBorders>
              <w:top w:val="nil"/>
              <w:left w:val="nil"/>
              <w:bottom w:val="nil"/>
              <w:right w:val="nil"/>
            </w:tcBorders>
          </w:tcPr>
          <w:p w14:paraId="1436DCC1" w14:textId="3F7FBA7F"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17</w:t>
            </w:r>
          </w:p>
        </w:tc>
        <w:tc>
          <w:tcPr>
            <w:tcW w:w="1271" w:type="dxa"/>
            <w:tcBorders>
              <w:top w:val="nil"/>
              <w:left w:val="nil"/>
              <w:bottom w:val="nil"/>
              <w:right w:val="nil"/>
            </w:tcBorders>
          </w:tcPr>
          <w:p w14:paraId="17BF95A2" w14:textId="53DF7DE0"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w:t>
            </w:r>
          </w:p>
        </w:tc>
        <w:tc>
          <w:tcPr>
            <w:tcW w:w="997" w:type="dxa"/>
            <w:tcBorders>
              <w:top w:val="nil"/>
              <w:left w:val="nil"/>
              <w:bottom w:val="nil"/>
              <w:right w:val="nil"/>
            </w:tcBorders>
          </w:tcPr>
          <w:p w14:paraId="2BDC2033" w14:textId="2B248C9F"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45</w:t>
            </w:r>
          </w:p>
        </w:tc>
      </w:tr>
      <w:tr w:rsidR="00CF03FB" w:rsidRPr="007941A1" w14:paraId="6CAC3EF2" w14:textId="77777777" w:rsidTr="0084786F">
        <w:tc>
          <w:tcPr>
            <w:tcW w:w="3652" w:type="dxa"/>
            <w:gridSpan w:val="4"/>
            <w:tcBorders>
              <w:top w:val="nil"/>
              <w:left w:val="nil"/>
              <w:bottom w:val="single" w:sz="4" w:space="0" w:color="auto"/>
              <w:right w:val="nil"/>
            </w:tcBorders>
          </w:tcPr>
          <w:p w14:paraId="0C683F4D" w14:textId="2E1480A5"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Enhancing mass-like lesion in the gastric antrum</w:t>
            </w:r>
          </w:p>
        </w:tc>
        <w:tc>
          <w:tcPr>
            <w:tcW w:w="1559" w:type="dxa"/>
            <w:tcBorders>
              <w:top w:val="nil"/>
              <w:left w:val="nil"/>
              <w:bottom w:val="single" w:sz="4" w:space="0" w:color="auto"/>
              <w:right w:val="nil"/>
            </w:tcBorders>
          </w:tcPr>
          <w:p w14:paraId="16512D1D" w14:textId="0887831A"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Heterotopic pancreas</w:t>
            </w:r>
          </w:p>
        </w:tc>
        <w:tc>
          <w:tcPr>
            <w:tcW w:w="2268" w:type="dxa"/>
            <w:tcBorders>
              <w:top w:val="nil"/>
              <w:left w:val="nil"/>
              <w:bottom w:val="single" w:sz="4" w:space="0" w:color="auto"/>
              <w:right w:val="nil"/>
            </w:tcBorders>
          </w:tcPr>
          <w:p w14:paraId="433C7798" w14:textId="22226E22"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26</w:t>
            </w:r>
          </w:p>
        </w:tc>
        <w:tc>
          <w:tcPr>
            <w:tcW w:w="1271" w:type="dxa"/>
            <w:tcBorders>
              <w:top w:val="nil"/>
              <w:left w:val="nil"/>
              <w:bottom w:val="single" w:sz="4" w:space="0" w:color="auto"/>
              <w:right w:val="nil"/>
            </w:tcBorders>
          </w:tcPr>
          <w:p w14:paraId="01C4D5B1" w14:textId="3FECD603"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w:t>
            </w:r>
          </w:p>
        </w:tc>
        <w:tc>
          <w:tcPr>
            <w:tcW w:w="997" w:type="dxa"/>
            <w:tcBorders>
              <w:top w:val="nil"/>
              <w:left w:val="nil"/>
              <w:bottom w:val="single" w:sz="4" w:space="0" w:color="auto"/>
              <w:right w:val="nil"/>
            </w:tcBorders>
          </w:tcPr>
          <w:p w14:paraId="7746A81C" w14:textId="34337BD1"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46</w:t>
            </w:r>
          </w:p>
        </w:tc>
      </w:tr>
    </w:tbl>
    <w:p w14:paraId="0ACAC93E" w14:textId="7A6C6446" w:rsidR="00CF03FB" w:rsidRPr="00E35646" w:rsidRDefault="00E35646">
      <w:pPr>
        <w:spacing w:line="360" w:lineRule="auto"/>
        <w:jc w:val="both"/>
        <w:rPr>
          <w:rFonts w:ascii="Book Antiqua" w:hAnsi="Book Antiqua"/>
        </w:rPr>
      </w:pPr>
      <w:r w:rsidRPr="00E35646">
        <w:rPr>
          <w:rFonts w:ascii="Book Antiqua" w:hAnsi="Book Antiqua"/>
        </w:rPr>
        <w:t>CT</w:t>
      </w:r>
      <w:r>
        <w:rPr>
          <w:rFonts w:ascii="Book Antiqua" w:hAnsi="Book Antiqua"/>
        </w:rPr>
        <w:t>:</w:t>
      </w:r>
      <w:r w:rsidRPr="00E35646">
        <w:rPr>
          <w:rFonts w:ascii="Book Antiqua" w:hAnsi="Book Antiqua"/>
        </w:rPr>
        <w:t xml:space="preserve"> </w:t>
      </w:r>
      <w:r>
        <w:rPr>
          <w:rFonts w:ascii="Book Antiqua" w:hAnsi="Book Antiqua"/>
        </w:rPr>
        <w:t>C</w:t>
      </w:r>
      <w:r w:rsidRPr="00E35646">
        <w:rPr>
          <w:rFonts w:ascii="Book Antiqua" w:hAnsi="Book Antiqua"/>
        </w:rPr>
        <w:t>omputed tomography; GHP</w:t>
      </w:r>
      <w:r>
        <w:rPr>
          <w:rFonts w:ascii="Book Antiqua" w:hAnsi="Book Antiqua"/>
        </w:rPr>
        <w:t>:</w:t>
      </w:r>
      <w:r w:rsidRPr="00E35646">
        <w:rPr>
          <w:rFonts w:ascii="Book Antiqua" w:hAnsi="Book Antiqua"/>
        </w:rPr>
        <w:t xml:space="preserve"> </w:t>
      </w:r>
      <w:r>
        <w:rPr>
          <w:rFonts w:ascii="Book Antiqua" w:hAnsi="Book Antiqua"/>
        </w:rPr>
        <w:t>G</w:t>
      </w:r>
      <w:r w:rsidRPr="00E35646">
        <w:rPr>
          <w:rFonts w:ascii="Book Antiqua" w:hAnsi="Book Antiqua"/>
        </w:rPr>
        <w:t>astric heterotopic pancreas</w:t>
      </w:r>
      <w:r>
        <w:rPr>
          <w:rFonts w:ascii="Book Antiqua" w:hAnsi="Book Antiqua"/>
        </w:rPr>
        <w:t>.</w:t>
      </w:r>
    </w:p>
    <w:sectPr w:rsidR="00CF03FB" w:rsidRPr="00E356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809C6" w14:textId="77777777" w:rsidR="0091799D" w:rsidRDefault="0091799D" w:rsidP="00192C8B">
      <w:r>
        <w:separator/>
      </w:r>
    </w:p>
  </w:endnote>
  <w:endnote w:type="continuationSeparator" w:id="0">
    <w:p w14:paraId="0423BA77" w14:textId="77777777" w:rsidR="0091799D" w:rsidRDefault="0091799D" w:rsidP="00192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000860"/>
      <w:docPartObj>
        <w:docPartGallery w:val="Page Numbers (Bottom of Page)"/>
        <w:docPartUnique/>
      </w:docPartObj>
    </w:sdtPr>
    <w:sdtEndPr/>
    <w:sdtContent>
      <w:sdt>
        <w:sdtPr>
          <w:id w:val="-1705238520"/>
          <w:docPartObj>
            <w:docPartGallery w:val="Page Numbers (Top of Page)"/>
            <w:docPartUnique/>
          </w:docPartObj>
        </w:sdtPr>
        <w:sdtEndPr/>
        <w:sdtContent>
          <w:p w14:paraId="668C43B5" w14:textId="76D4C1C6" w:rsidR="00192C8B" w:rsidRDefault="00192C8B" w:rsidP="00192C8B">
            <w:pPr>
              <w:pStyle w:val="a5"/>
              <w:jc w:val="right"/>
            </w:pPr>
            <w:r w:rsidRPr="00192C8B">
              <w:rPr>
                <w:rFonts w:ascii="Book Antiqua" w:hAnsi="Book Antiqua"/>
                <w:b/>
                <w:bCs/>
                <w:sz w:val="21"/>
                <w:szCs w:val="21"/>
                <w:lang w:val="zh-CN" w:eastAsia="zh-CN"/>
              </w:rPr>
              <w:t xml:space="preserve"> </w:t>
            </w:r>
            <w:r w:rsidRPr="00192C8B">
              <w:rPr>
                <w:rFonts w:ascii="Book Antiqua" w:hAnsi="Book Antiqua"/>
                <w:b/>
                <w:bCs/>
                <w:sz w:val="21"/>
                <w:szCs w:val="21"/>
              </w:rPr>
              <w:fldChar w:fldCharType="begin"/>
            </w:r>
            <w:r w:rsidRPr="00192C8B">
              <w:rPr>
                <w:rFonts w:ascii="Book Antiqua" w:hAnsi="Book Antiqua"/>
                <w:b/>
                <w:bCs/>
                <w:sz w:val="21"/>
                <w:szCs w:val="21"/>
              </w:rPr>
              <w:instrText>PAGE</w:instrText>
            </w:r>
            <w:r w:rsidRPr="00192C8B">
              <w:rPr>
                <w:rFonts w:ascii="Book Antiqua" w:hAnsi="Book Antiqua"/>
                <w:b/>
                <w:bCs/>
                <w:sz w:val="21"/>
                <w:szCs w:val="21"/>
              </w:rPr>
              <w:fldChar w:fldCharType="separate"/>
            </w:r>
            <w:r w:rsidR="0091799D">
              <w:rPr>
                <w:rFonts w:ascii="Book Antiqua" w:hAnsi="Book Antiqua"/>
                <w:b/>
                <w:bCs/>
                <w:noProof/>
                <w:sz w:val="21"/>
                <w:szCs w:val="21"/>
              </w:rPr>
              <w:t>1</w:t>
            </w:r>
            <w:r w:rsidRPr="00192C8B">
              <w:rPr>
                <w:rFonts w:ascii="Book Antiqua" w:hAnsi="Book Antiqua"/>
                <w:b/>
                <w:bCs/>
                <w:sz w:val="21"/>
                <w:szCs w:val="21"/>
              </w:rPr>
              <w:fldChar w:fldCharType="end"/>
            </w:r>
            <w:r w:rsidRPr="00192C8B">
              <w:rPr>
                <w:rFonts w:ascii="Book Antiqua" w:hAnsi="Book Antiqua"/>
                <w:b/>
                <w:bCs/>
                <w:sz w:val="21"/>
                <w:szCs w:val="21"/>
                <w:lang w:val="zh-CN" w:eastAsia="zh-CN"/>
              </w:rPr>
              <w:t xml:space="preserve"> / </w:t>
            </w:r>
            <w:r w:rsidRPr="00192C8B">
              <w:rPr>
                <w:rFonts w:ascii="Book Antiqua" w:hAnsi="Book Antiqua"/>
                <w:b/>
                <w:bCs/>
                <w:sz w:val="21"/>
                <w:szCs w:val="21"/>
              </w:rPr>
              <w:fldChar w:fldCharType="begin"/>
            </w:r>
            <w:r w:rsidRPr="00192C8B">
              <w:rPr>
                <w:rFonts w:ascii="Book Antiqua" w:hAnsi="Book Antiqua"/>
                <w:b/>
                <w:bCs/>
                <w:sz w:val="21"/>
                <w:szCs w:val="21"/>
              </w:rPr>
              <w:instrText>NUMPAGES</w:instrText>
            </w:r>
            <w:r w:rsidRPr="00192C8B">
              <w:rPr>
                <w:rFonts w:ascii="Book Antiqua" w:hAnsi="Book Antiqua"/>
                <w:b/>
                <w:bCs/>
                <w:sz w:val="21"/>
                <w:szCs w:val="21"/>
              </w:rPr>
              <w:fldChar w:fldCharType="separate"/>
            </w:r>
            <w:r w:rsidR="0091799D">
              <w:rPr>
                <w:rFonts w:ascii="Book Antiqua" w:hAnsi="Book Antiqua"/>
                <w:b/>
                <w:bCs/>
                <w:noProof/>
                <w:sz w:val="21"/>
                <w:szCs w:val="21"/>
              </w:rPr>
              <w:t>1</w:t>
            </w:r>
            <w:r w:rsidRPr="00192C8B">
              <w:rPr>
                <w:rFonts w:ascii="Book Antiqua" w:hAnsi="Book Antiqua"/>
                <w:b/>
                <w:bCs/>
                <w:sz w:val="21"/>
                <w:szCs w:val="21"/>
              </w:rPr>
              <w:fldChar w:fldCharType="end"/>
            </w:r>
          </w:p>
        </w:sdtContent>
      </w:sdt>
    </w:sdtContent>
  </w:sdt>
  <w:p w14:paraId="19168834" w14:textId="77777777" w:rsidR="00192C8B" w:rsidRDefault="00192C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4AA8A" w14:textId="77777777" w:rsidR="0091799D" w:rsidRDefault="0091799D" w:rsidP="00192C8B">
      <w:r>
        <w:separator/>
      </w:r>
    </w:p>
  </w:footnote>
  <w:footnote w:type="continuationSeparator" w:id="0">
    <w:p w14:paraId="1F7B45C4" w14:textId="77777777" w:rsidR="0091799D" w:rsidRDefault="0091799D" w:rsidP="00192C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CFC"/>
    <w:rsid w:val="0004714C"/>
    <w:rsid w:val="000538C8"/>
    <w:rsid w:val="00067E1A"/>
    <w:rsid w:val="00076AF7"/>
    <w:rsid w:val="00077A86"/>
    <w:rsid w:val="000C25ED"/>
    <w:rsid w:val="000C3EE9"/>
    <w:rsid w:val="001430CF"/>
    <w:rsid w:val="00192C8B"/>
    <w:rsid w:val="00201BD8"/>
    <w:rsid w:val="00305C87"/>
    <w:rsid w:val="0031306A"/>
    <w:rsid w:val="00327A7A"/>
    <w:rsid w:val="00374A32"/>
    <w:rsid w:val="0039302B"/>
    <w:rsid w:val="003931C5"/>
    <w:rsid w:val="003B12F5"/>
    <w:rsid w:val="003D3ECD"/>
    <w:rsid w:val="003E700E"/>
    <w:rsid w:val="00402345"/>
    <w:rsid w:val="004152CA"/>
    <w:rsid w:val="004A1CA1"/>
    <w:rsid w:val="004A6A41"/>
    <w:rsid w:val="004F62A0"/>
    <w:rsid w:val="0052238C"/>
    <w:rsid w:val="00524989"/>
    <w:rsid w:val="00555D4B"/>
    <w:rsid w:val="0059614B"/>
    <w:rsid w:val="005B11C8"/>
    <w:rsid w:val="005F2DE6"/>
    <w:rsid w:val="00611D6B"/>
    <w:rsid w:val="00613C40"/>
    <w:rsid w:val="00675A89"/>
    <w:rsid w:val="00686297"/>
    <w:rsid w:val="00686C8C"/>
    <w:rsid w:val="006B3A04"/>
    <w:rsid w:val="006E39D9"/>
    <w:rsid w:val="006E7231"/>
    <w:rsid w:val="006F0563"/>
    <w:rsid w:val="006F62D6"/>
    <w:rsid w:val="00720322"/>
    <w:rsid w:val="00743A76"/>
    <w:rsid w:val="00743E28"/>
    <w:rsid w:val="00791A2E"/>
    <w:rsid w:val="007941A1"/>
    <w:rsid w:val="00814248"/>
    <w:rsid w:val="008311CF"/>
    <w:rsid w:val="00841765"/>
    <w:rsid w:val="00842655"/>
    <w:rsid w:val="0084786F"/>
    <w:rsid w:val="00887F88"/>
    <w:rsid w:val="008974D5"/>
    <w:rsid w:val="008D103E"/>
    <w:rsid w:val="008D20A2"/>
    <w:rsid w:val="0091799D"/>
    <w:rsid w:val="00962765"/>
    <w:rsid w:val="009638F1"/>
    <w:rsid w:val="00974181"/>
    <w:rsid w:val="00A145B5"/>
    <w:rsid w:val="00A232E5"/>
    <w:rsid w:val="00A25F8F"/>
    <w:rsid w:val="00A61DB6"/>
    <w:rsid w:val="00A77B3E"/>
    <w:rsid w:val="00A869C1"/>
    <w:rsid w:val="00AA110D"/>
    <w:rsid w:val="00AD43F4"/>
    <w:rsid w:val="00AD4CB2"/>
    <w:rsid w:val="00B12660"/>
    <w:rsid w:val="00B65634"/>
    <w:rsid w:val="00B76E50"/>
    <w:rsid w:val="00B77AD8"/>
    <w:rsid w:val="00B84C10"/>
    <w:rsid w:val="00BA17BD"/>
    <w:rsid w:val="00BA4542"/>
    <w:rsid w:val="00BB0182"/>
    <w:rsid w:val="00BE2621"/>
    <w:rsid w:val="00C02D83"/>
    <w:rsid w:val="00C06261"/>
    <w:rsid w:val="00C658E7"/>
    <w:rsid w:val="00C81C9D"/>
    <w:rsid w:val="00C97E0C"/>
    <w:rsid w:val="00CA2A55"/>
    <w:rsid w:val="00CE1D75"/>
    <w:rsid w:val="00CF03FB"/>
    <w:rsid w:val="00D0613D"/>
    <w:rsid w:val="00D3780E"/>
    <w:rsid w:val="00D43653"/>
    <w:rsid w:val="00DB1C6A"/>
    <w:rsid w:val="00DE28FD"/>
    <w:rsid w:val="00DE457D"/>
    <w:rsid w:val="00E2620A"/>
    <w:rsid w:val="00E26752"/>
    <w:rsid w:val="00E35646"/>
    <w:rsid w:val="00E70AFB"/>
    <w:rsid w:val="00EA6C71"/>
    <w:rsid w:val="00EB7060"/>
    <w:rsid w:val="00ED01D8"/>
    <w:rsid w:val="00ED74DF"/>
    <w:rsid w:val="00EF1018"/>
    <w:rsid w:val="00F07A22"/>
    <w:rsid w:val="00F301C8"/>
    <w:rsid w:val="00F43DF8"/>
    <w:rsid w:val="00F62CE1"/>
    <w:rsid w:val="00F665EA"/>
    <w:rsid w:val="00FC3456"/>
    <w:rsid w:val="00FE6FAB"/>
    <w:rsid w:val="00FF4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0C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41A1"/>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192C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92C8B"/>
    <w:rPr>
      <w:sz w:val="18"/>
      <w:szCs w:val="18"/>
    </w:rPr>
  </w:style>
  <w:style w:type="paragraph" w:styleId="a5">
    <w:name w:val="footer"/>
    <w:basedOn w:val="a"/>
    <w:link w:val="Char0"/>
    <w:uiPriority w:val="99"/>
    <w:unhideWhenUsed/>
    <w:rsid w:val="00192C8B"/>
    <w:pPr>
      <w:tabs>
        <w:tab w:val="center" w:pos="4153"/>
        <w:tab w:val="right" w:pos="8306"/>
      </w:tabs>
      <w:snapToGrid w:val="0"/>
    </w:pPr>
    <w:rPr>
      <w:sz w:val="18"/>
      <w:szCs w:val="18"/>
    </w:rPr>
  </w:style>
  <w:style w:type="character" w:customStyle="1" w:styleId="Char0">
    <w:name w:val="页脚 Char"/>
    <w:basedOn w:val="a0"/>
    <w:link w:val="a5"/>
    <w:uiPriority w:val="99"/>
    <w:rsid w:val="00192C8B"/>
    <w:rPr>
      <w:sz w:val="18"/>
      <w:szCs w:val="18"/>
    </w:rPr>
  </w:style>
  <w:style w:type="paragraph" w:styleId="a6">
    <w:name w:val="Balloon Text"/>
    <w:basedOn w:val="a"/>
    <w:link w:val="Char1"/>
    <w:semiHidden/>
    <w:unhideWhenUsed/>
    <w:rsid w:val="003D3ECD"/>
    <w:rPr>
      <w:sz w:val="18"/>
      <w:szCs w:val="18"/>
    </w:rPr>
  </w:style>
  <w:style w:type="character" w:customStyle="1" w:styleId="Char1">
    <w:name w:val="批注框文本 Char"/>
    <w:basedOn w:val="a0"/>
    <w:link w:val="a6"/>
    <w:semiHidden/>
    <w:rsid w:val="003D3E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41A1"/>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192C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92C8B"/>
    <w:rPr>
      <w:sz w:val="18"/>
      <w:szCs w:val="18"/>
    </w:rPr>
  </w:style>
  <w:style w:type="paragraph" w:styleId="a5">
    <w:name w:val="footer"/>
    <w:basedOn w:val="a"/>
    <w:link w:val="Char0"/>
    <w:uiPriority w:val="99"/>
    <w:unhideWhenUsed/>
    <w:rsid w:val="00192C8B"/>
    <w:pPr>
      <w:tabs>
        <w:tab w:val="center" w:pos="4153"/>
        <w:tab w:val="right" w:pos="8306"/>
      </w:tabs>
      <w:snapToGrid w:val="0"/>
    </w:pPr>
    <w:rPr>
      <w:sz w:val="18"/>
      <w:szCs w:val="18"/>
    </w:rPr>
  </w:style>
  <w:style w:type="character" w:customStyle="1" w:styleId="Char0">
    <w:name w:val="页脚 Char"/>
    <w:basedOn w:val="a0"/>
    <w:link w:val="a5"/>
    <w:uiPriority w:val="99"/>
    <w:rsid w:val="00192C8B"/>
    <w:rPr>
      <w:sz w:val="18"/>
      <w:szCs w:val="18"/>
    </w:rPr>
  </w:style>
  <w:style w:type="paragraph" w:styleId="a6">
    <w:name w:val="Balloon Text"/>
    <w:basedOn w:val="a"/>
    <w:link w:val="Char1"/>
    <w:semiHidden/>
    <w:unhideWhenUsed/>
    <w:rsid w:val="003D3ECD"/>
    <w:rPr>
      <w:sz w:val="18"/>
      <w:szCs w:val="18"/>
    </w:rPr>
  </w:style>
  <w:style w:type="character" w:customStyle="1" w:styleId="Char1">
    <w:name w:val="批注框文本 Char"/>
    <w:basedOn w:val="a0"/>
    <w:link w:val="a6"/>
    <w:semiHidden/>
    <w:rsid w:val="003D3E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24</Pages>
  <Words>4766</Words>
  <Characters>27170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2020-09-08T00:23:00Z</dcterms:created>
  <dcterms:modified xsi:type="dcterms:W3CDTF">2020-10-22T06:28:00Z</dcterms:modified>
</cp:coreProperties>
</file>