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CF65F" w14:textId="3E6721AA" w:rsidR="008356C0" w:rsidRPr="0075543B" w:rsidRDefault="008356C0" w:rsidP="0075543B">
      <w:pPr>
        <w:adjustRightInd w:val="0"/>
        <w:snapToGrid w:val="0"/>
        <w:spacing w:line="360" w:lineRule="auto"/>
        <w:rPr>
          <w:rFonts w:ascii="Book Antiqua" w:hAnsi="Book Antiqua"/>
          <w:b/>
          <w:sz w:val="24"/>
        </w:rPr>
      </w:pPr>
      <w:r w:rsidRPr="0075543B">
        <w:rPr>
          <w:rFonts w:ascii="Book Antiqua" w:hAnsi="Book Antiqua"/>
          <w:b/>
          <w:sz w:val="24"/>
        </w:rPr>
        <w:t>Name of Journal:</w:t>
      </w:r>
      <w:r w:rsidRPr="0075543B">
        <w:rPr>
          <w:rFonts w:ascii="Book Antiqua" w:hAnsi="Book Antiqua"/>
          <w:bCs/>
          <w:sz w:val="24"/>
        </w:rPr>
        <w:t xml:space="preserve"> </w:t>
      </w:r>
      <w:r w:rsidRPr="0075543B">
        <w:rPr>
          <w:rFonts w:ascii="Book Antiqua" w:hAnsi="Book Antiqua"/>
          <w:bCs/>
          <w:i/>
          <w:iCs/>
          <w:sz w:val="24"/>
        </w:rPr>
        <w:t xml:space="preserve">World Journal of Clinical Cases </w:t>
      </w:r>
    </w:p>
    <w:p w14:paraId="0FE47C85" w14:textId="77777777" w:rsidR="008356C0" w:rsidRPr="0075543B" w:rsidRDefault="008356C0" w:rsidP="0075543B">
      <w:pPr>
        <w:adjustRightInd w:val="0"/>
        <w:snapToGrid w:val="0"/>
        <w:spacing w:line="360" w:lineRule="auto"/>
        <w:rPr>
          <w:rFonts w:ascii="Book Antiqua" w:hAnsi="Book Antiqua"/>
          <w:bCs/>
          <w:sz w:val="24"/>
        </w:rPr>
      </w:pPr>
      <w:r w:rsidRPr="0075543B">
        <w:rPr>
          <w:rFonts w:ascii="Book Antiqua" w:hAnsi="Book Antiqua"/>
          <w:b/>
          <w:sz w:val="24"/>
        </w:rPr>
        <w:t>Manuscript NO:</w:t>
      </w:r>
      <w:r w:rsidRPr="0075543B">
        <w:rPr>
          <w:rFonts w:ascii="Book Antiqua" w:hAnsi="Book Antiqua"/>
          <w:bCs/>
          <w:sz w:val="24"/>
        </w:rPr>
        <w:t xml:space="preserve"> 52699</w:t>
      </w:r>
    </w:p>
    <w:p w14:paraId="4B89C445" w14:textId="77777777" w:rsidR="008356C0" w:rsidRPr="0075543B" w:rsidRDefault="008356C0" w:rsidP="0075543B">
      <w:pPr>
        <w:adjustRightInd w:val="0"/>
        <w:snapToGrid w:val="0"/>
        <w:spacing w:line="360" w:lineRule="auto"/>
        <w:rPr>
          <w:rFonts w:ascii="Book Antiqua" w:hAnsi="Book Antiqua"/>
          <w:bCs/>
          <w:sz w:val="24"/>
        </w:rPr>
      </w:pPr>
      <w:r w:rsidRPr="0075543B">
        <w:rPr>
          <w:rFonts w:ascii="Book Antiqua" w:hAnsi="Book Antiqua"/>
          <w:b/>
          <w:sz w:val="24"/>
        </w:rPr>
        <w:t>Manuscript Type:</w:t>
      </w:r>
      <w:r w:rsidRPr="0075543B">
        <w:rPr>
          <w:rFonts w:ascii="Book Antiqua" w:hAnsi="Book Antiqua"/>
          <w:bCs/>
          <w:sz w:val="24"/>
        </w:rPr>
        <w:t xml:space="preserve"> CASE REPORT</w:t>
      </w:r>
    </w:p>
    <w:p w14:paraId="5BB8EF7F" w14:textId="77777777" w:rsidR="00394B0D" w:rsidRPr="0075543B" w:rsidRDefault="00394B0D" w:rsidP="0075543B">
      <w:pPr>
        <w:adjustRightInd w:val="0"/>
        <w:snapToGrid w:val="0"/>
        <w:spacing w:line="360" w:lineRule="auto"/>
        <w:rPr>
          <w:rFonts w:ascii="Book Antiqua" w:hAnsi="Book Antiqua"/>
          <w:b/>
          <w:bCs/>
          <w:sz w:val="24"/>
        </w:rPr>
      </w:pPr>
    </w:p>
    <w:p w14:paraId="1F475FD6" w14:textId="336ACB03" w:rsidR="00605CD3" w:rsidRPr="0075543B" w:rsidRDefault="00E469D1" w:rsidP="0075543B">
      <w:pPr>
        <w:adjustRightInd w:val="0"/>
        <w:snapToGrid w:val="0"/>
        <w:spacing w:line="360" w:lineRule="auto"/>
        <w:rPr>
          <w:rFonts w:ascii="Book Antiqua" w:hAnsi="Book Antiqua"/>
          <w:b/>
          <w:bCs/>
          <w:sz w:val="24"/>
        </w:rPr>
      </w:pPr>
      <w:bookmarkStart w:id="0" w:name="OLE_LINK1"/>
      <w:bookmarkStart w:id="1" w:name="OLE_LINK2"/>
      <w:r w:rsidRPr="0075543B">
        <w:rPr>
          <w:rFonts w:ascii="Book Antiqua" w:hAnsi="Book Antiqua"/>
          <w:b/>
          <w:bCs/>
          <w:sz w:val="24"/>
        </w:rPr>
        <w:t xml:space="preserve">Metabolic and </w:t>
      </w:r>
      <w:r w:rsidR="00394B0D" w:rsidRPr="0075543B">
        <w:rPr>
          <w:rFonts w:ascii="Book Antiqua" w:hAnsi="Book Antiqua"/>
          <w:b/>
          <w:bCs/>
          <w:sz w:val="24"/>
        </w:rPr>
        <w:t xml:space="preserve">genetic assessments interpret unexplained aggressive pulmonary </w:t>
      </w:r>
      <w:r w:rsidR="00371469" w:rsidRPr="0075543B">
        <w:rPr>
          <w:rFonts w:ascii="Book Antiqua" w:hAnsi="Book Antiqua"/>
          <w:b/>
          <w:bCs/>
          <w:sz w:val="24"/>
        </w:rPr>
        <w:t>h</w:t>
      </w:r>
      <w:r w:rsidR="00394B0D" w:rsidRPr="0075543B">
        <w:rPr>
          <w:rFonts w:ascii="Book Antiqua" w:hAnsi="Book Antiqua"/>
          <w:b/>
          <w:bCs/>
          <w:sz w:val="24"/>
        </w:rPr>
        <w:t>ypertension i</w:t>
      </w:r>
      <w:r w:rsidRPr="0075543B">
        <w:rPr>
          <w:rFonts w:ascii="Book Antiqua" w:hAnsi="Book Antiqua"/>
          <w:b/>
          <w:bCs/>
          <w:sz w:val="24"/>
        </w:rPr>
        <w:t xml:space="preserve">nduced by </w:t>
      </w:r>
      <w:r w:rsidR="00394B0D" w:rsidRPr="0075543B">
        <w:rPr>
          <w:rFonts w:ascii="Book Antiqua" w:hAnsi="Book Antiqua"/>
          <w:b/>
          <w:bCs/>
          <w:sz w:val="24"/>
        </w:rPr>
        <w:t>methylmalonic acidemia</w:t>
      </w:r>
      <w:r w:rsidR="0080078E" w:rsidRPr="00AB46EE">
        <w:rPr>
          <w:rFonts w:ascii="Book Antiqua" w:hAnsi="Book Antiqua"/>
          <w:b/>
          <w:bCs/>
          <w:sz w:val="24"/>
        </w:rPr>
        <w:t>: A case report</w:t>
      </w:r>
      <w:bookmarkEnd w:id="0"/>
      <w:bookmarkEnd w:id="1"/>
    </w:p>
    <w:p w14:paraId="60C8C828" w14:textId="77777777" w:rsidR="00394B0D" w:rsidRPr="0075543B" w:rsidRDefault="00394B0D" w:rsidP="0075543B">
      <w:pPr>
        <w:adjustRightInd w:val="0"/>
        <w:snapToGrid w:val="0"/>
        <w:spacing w:line="360" w:lineRule="auto"/>
        <w:rPr>
          <w:rFonts w:ascii="Book Antiqua" w:hAnsi="Book Antiqua"/>
          <w:sz w:val="24"/>
        </w:rPr>
      </w:pPr>
    </w:p>
    <w:p w14:paraId="0781B7D6" w14:textId="77777777" w:rsidR="00394B0D" w:rsidRPr="0075543B" w:rsidRDefault="00394B0D" w:rsidP="0075543B">
      <w:pPr>
        <w:adjustRightInd w:val="0"/>
        <w:snapToGrid w:val="0"/>
        <w:spacing w:line="360" w:lineRule="auto"/>
        <w:rPr>
          <w:rFonts w:ascii="Book Antiqua" w:hAnsi="Book Antiqua"/>
          <w:sz w:val="24"/>
        </w:rPr>
      </w:pPr>
      <w:r w:rsidRPr="0080078E">
        <w:rPr>
          <w:rFonts w:ascii="Book Antiqua" w:hAnsi="Book Antiqua"/>
          <w:sz w:val="24"/>
        </w:rPr>
        <w:t xml:space="preserve">Liao HY </w:t>
      </w:r>
      <w:r w:rsidRPr="0080078E">
        <w:rPr>
          <w:rFonts w:ascii="Book Antiqua" w:hAnsi="Book Antiqua"/>
          <w:i/>
          <w:sz w:val="24"/>
        </w:rPr>
        <w:t xml:space="preserve">et al. </w:t>
      </w:r>
      <w:r w:rsidRPr="0075543B">
        <w:rPr>
          <w:rFonts w:ascii="Book Antiqua" w:hAnsi="Book Antiqua"/>
          <w:sz w:val="24"/>
        </w:rPr>
        <w:t>PH induce by methylmalonic acidemia</w:t>
      </w:r>
    </w:p>
    <w:p w14:paraId="16763967" w14:textId="77777777" w:rsidR="00394B0D" w:rsidRPr="0075543B" w:rsidRDefault="00394B0D" w:rsidP="0075543B">
      <w:pPr>
        <w:adjustRightInd w:val="0"/>
        <w:snapToGrid w:val="0"/>
        <w:spacing w:line="360" w:lineRule="auto"/>
        <w:rPr>
          <w:rFonts w:ascii="Book Antiqua" w:hAnsi="Book Antiqua"/>
          <w:sz w:val="24"/>
        </w:rPr>
      </w:pPr>
    </w:p>
    <w:p w14:paraId="5084E1C9" w14:textId="77777777" w:rsidR="00394B0D" w:rsidRPr="0075543B" w:rsidRDefault="00394B0D" w:rsidP="0075543B">
      <w:pPr>
        <w:adjustRightInd w:val="0"/>
        <w:snapToGrid w:val="0"/>
        <w:spacing w:line="360" w:lineRule="auto"/>
        <w:rPr>
          <w:rFonts w:ascii="Book Antiqua" w:hAnsi="Book Antiqua"/>
          <w:sz w:val="24"/>
        </w:rPr>
      </w:pPr>
      <w:r w:rsidRPr="0075543B">
        <w:rPr>
          <w:rFonts w:ascii="Book Antiqua" w:hAnsi="Book Antiqua"/>
          <w:sz w:val="24"/>
        </w:rPr>
        <w:t>Hong-Yu Liao,</w:t>
      </w:r>
      <w:r w:rsidRPr="0075543B">
        <w:rPr>
          <w:rFonts w:ascii="Book Antiqua" w:hAnsi="Book Antiqua"/>
          <w:sz w:val="24"/>
          <w:vertAlign w:val="superscript"/>
        </w:rPr>
        <w:t xml:space="preserve"> </w:t>
      </w:r>
      <w:r w:rsidRPr="0075543B">
        <w:rPr>
          <w:rFonts w:ascii="Book Antiqua" w:hAnsi="Book Antiqua"/>
          <w:sz w:val="24"/>
        </w:rPr>
        <w:t>Xiao-Qing Shi, Yi-Fei Li</w:t>
      </w:r>
    </w:p>
    <w:p w14:paraId="14D6ACCC" w14:textId="77777777" w:rsidR="00394B0D" w:rsidRPr="0075543B" w:rsidRDefault="00394B0D" w:rsidP="0075543B">
      <w:pPr>
        <w:adjustRightInd w:val="0"/>
        <w:snapToGrid w:val="0"/>
        <w:spacing w:line="360" w:lineRule="auto"/>
        <w:rPr>
          <w:rFonts w:ascii="Book Antiqua" w:hAnsi="Book Antiqua"/>
          <w:sz w:val="24"/>
        </w:rPr>
      </w:pPr>
    </w:p>
    <w:p w14:paraId="0AAFBA3F" w14:textId="77777777" w:rsidR="00394B0D" w:rsidRPr="0075543B" w:rsidRDefault="00394B0D" w:rsidP="0075543B">
      <w:pPr>
        <w:adjustRightInd w:val="0"/>
        <w:snapToGrid w:val="0"/>
        <w:spacing w:line="360" w:lineRule="auto"/>
        <w:rPr>
          <w:rFonts w:ascii="Book Antiqua" w:hAnsi="Book Antiqua"/>
          <w:sz w:val="24"/>
        </w:rPr>
      </w:pPr>
      <w:r w:rsidRPr="0075543B">
        <w:rPr>
          <w:rFonts w:ascii="Book Antiqua" w:hAnsi="Book Antiqua"/>
          <w:b/>
          <w:bCs/>
          <w:sz w:val="24"/>
        </w:rPr>
        <w:t>Hong-Yu Liao,</w:t>
      </w:r>
      <w:r w:rsidRPr="0075543B">
        <w:rPr>
          <w:rFonts w:ascii="Book Antiqua" w:hAnsi="Book Antiqua"/>
          <w:b/>
          <w:bCs/>
          <w:sz w:val="24"/>
          <w:vertAlign w:val="superscript"/>
        </w:rPr>
        <w:t xml:space="preserve"> </w:t>
      </w:r>
      <w:r w:rsidRPr="0075543B">
        <w:rPr>
          <w:rFonts w:ascii="Book Antiqua" w:hAnsi="Book Antiqua"/>
          <w:b/>
          <w:bCs/>
          <w:sz w:val="24"/>
        </w:rPr>
        <w:t xml:space="preserve">Xiao-Qing Shi, Yi-Fei Li, </w:t>
      </w:r>
      <w:r w:rsidRPr="0075543B">
        <w:rPr>
          <w:rFonts w:ascii="Book Antiqua" w:eastAsia="楷体_GB2312" w:hAnsi="Book Antiqua"/>
          <w:sz w:val="24"/>
        </w:rPr>
        <w:t xml:space="preserve">Department of Pediatrics and </w:t>
      </w:r>
      <w:r w:rsidRPr="0075543B">
        <w:rPr>
          <w:rFonts w:ascii="Book Antiqua" w:hAnsi="Book Antiqua"/>
          <w:sz w:val="24"/>
        </w:rPr>
        <w:t>Ministry of Education Key Laboratory of Women and Children's Diseases and Birth Defects</w:t>
      </w:r>
      <w:r w:rsidRPr="0075543B">
        <w:rPr>
          <w:rFonts w:ascii="Book Antiqua" w:eastAsia="楷体_GB2312" w:hAnsi="Book Antiqua"/>
          <w:sz w:val="24"/>
        </w:rPr>
        <w:t>, West China Second University Hospital, Sichuan University, Chengdu 610041, Sichuan Province, China</w:t>
      </w:r>
    </w:p>
    <w:p w14:paraId="1288B5D7" w14:textId="77777777" w:rsidR="00394B0D" w:rsidRPr="0075543B" w:rsidRDefault="00394B0D" w:rsidP="0075543B">
      <w:pPr>
        <w:adjustRightInd w:val="0"/>
        <w:snapToGrid w:val="0"/>
        <w:spacing w:line="360" w:lineRule="auto"/>
        <w:rPr>
          <w:rFonts w:ascii="Book Antiqua" w:hAnsi="Book Antiqua"/>
          <w:sz w:val="24"/>
        </w:rPr>
      </w:pPr>
    </w:p>
    <w:p w14:paraId="21B4C05D" w14:textId="77777777" w:rsidR="00394B0D" w:rsidRPr="0075543B" w:rsidRDefault="00394B0D" w:rsidP="0075543B">
      <w:pPr>
        <w:adjustRightInd w:val="0"/>
        <w:snapToGrid w:val="0"/>
        <w:spacing w:line="360" w:lineRule="auto"/>
        <w:rPr>
          <w:rFonts w:ascii="Book Antiqua" w:hAnsi="Book Antiqua"/>
          <w:sz w:val="24"/>
        </w:rPr>
      </w:pPr>
      <w:r w:rsidRPr="0075543B">
        <w:rPr>
          <w:rFonts w:ascii="Book Antiqua" w:hAnsi="Book Antiqua"/>
          <w:b/>
          <w:sz w:val="24"/>
        </w:rPr>
        <w:t>Author contributions:</w:t>
      </w:r>
      <w:r w:rsidRPr="0075543B">
        <w:rPr>
          <w:rFonts w:ascii="Book Antiqua" w:hAnsi="Book Antiqua"/>
          <w:sz w:val="24"/>
        </w:rPr>
        <w:t xml:space="preserve"> Liao H and Shi X contributed equally to this work. Shi X and Li Y were the patient’s physician. All the authors reviewed the literature and contributed to manuscript drafting; Shi X interpreted the metabolic screening and genetic sequence results. Li Y conceptualized and designed the study, coordinated and supervised data collection, and critically reviewed the manuscript for important intellectual content. Liao H, Shi X and Li Y were responsible for the revision of the manuscript for important intellectual content; all authors issued final approval for the version to be submitted.</w:t>
      </w:r>
    </w:p>
    <w:p w14:paraId="2E447FA9" w14:textId="77777777" w:rsidR="00394B0D" w:rsidRPr="0075543B" w:rsidRDefault="00394B0D" w:rsidP="0075543B">
      <w:pPr>
        <w:adjustRightInd w:val="0"/>
        <w:snapToGrid w:val="0"/>
        <w:spacing w:line="360" w:lineRule="auto"/>
        <w:rPr>
          <w:rFonts w:ascii="Book Antiqua" w:hAnsi="Book Antiqua"/>
          <w:b/>
          <w:sz w:val="24"/>
        </w:rPr>
      </w:pPr>
    </w:p>
    <w:p w14:paraId="14E24200" w14:textId="3B093061" w:rsidR="00394B0D" w:rsidRPr="0075543B" w:rsidRDefault="00394B0D" w:rsidP="0075543B">
      <w:pPr>
        <w:adjustRightInd w:val="0"/>
        <w:snapToGrid w:val="0"/>
        <w:spacing w:line="360" w:lineRule="auto"/>
        <w:rPr>
          <w:rFonts w:ascii="Book Antiqua" w:eastAsia="楷体_GB2312" w:hAnsi="Book Antiqua"/>
          <w:sz w:val="24"/>
        </w:rPr>
      </w:pPr>
      <w:r w:rsidRPr="0075543B">
        <w:rPr>
          <w:rFonts w:ascii="Book Antiqua" w:hAnsi="Book Antiqua"/>
          <w:b/>
          <w:sz w:val="24"/>
        </w:rPr>
        <w:t>Corresponding author: Yi-Fei Li,</w:t>
      </w:r>
      <w:r w:rsidRPr="007E31AC">
        <w:rPr>
          <w:rFonts w:ascii="Book Antiqua" w:hAnsi="Book Antiqua"/>
          <w:sz w:val="24"/>
        </w:rPr>
        <w:t xml:space="preserve"> </w:t>
      </w:r>
      <w:r w:rsidRPr="0075543B">
        <w:rPr>
          <w:rFonts w:ascii="Book Antiqua" w:hAnsi="Book Antiqua"/>
          <w:b/>
          <w:sz w:val="24"/>
        </w:rPr>
        <w:t>MD, Associate Professor,</w:t>
      </w:r>
      <w:r w:rsidRPr="0075543B">
        <w:rPr>
          <w:rFonts w:ascii="Book Antiqua" w:hAnsi="Book Antiqua"/>
          <w:sz w:val="24"/>
        </w:rPr>
        <w:t xml:space="preserve"> </w:t>
      </w:r>
      <w:r w:rsidRPr="0075543B">
        <w:rPr>
          <w:rFonts w:ascii="Book Antiqua" w:eastAsia="楷体_GB2312" w:hAnsi="Book Antiqua"/>
          <w:sz w:val="24"/>
        </w:rPr>
        <w:t xml:space="preserve">Department of Pediatrics and </w:t>
      </w:r>
      <w:r w:rsidRPr="0075543B">
        <w:rPr>
          <w:rFonts w:ascii="Book Antiqua" w:hAnsi="Book Antiqua"/>
          <w:sz w:val="24"/>
        </w:rPr>
        <w:t>Ministry of Education Key Laboratory of Women and Children's Diseases and Birth Defects</w:t>
      </w:r>
      <w:r w:rsidRPr="0075543B">
        <w:rPr>
          <w:rFonts w:ascii="Book Antiqua" w:eastAsia="楷体_GB2312" w:hAnsi="Book Antiqua"/>
          <w:sz w:val="24"/>
        </w:rPr>
        <w:t>, West China Second University Hospital, Sichuan University, No. 20, 3</w:t>
      </w:r>
      <w:r w:rsidRPr="0075543B">
        <w:rPr>
          <w:rFonts w:ascii="Book Antiqua" w:eastAsia="楷体_GB2312" w:hAnsi="Book Antiqua"/>
          <w:sz w:val="24"/>
          <w:vertAlign w:val="superscript"/>
        </w:rPr>
        <w:t>rd</w:t>
      </w:r>
      <w:r w:rsidRPr="0075543B">
        <w:rPr>
          <w:rFonts w:ascii="Book Antiqua" w:eastAsia="楷体_GB2312" w:hAnsi="Book Antiqua"/>
          <w:sz w:val="24"/>
        </w:rPr>
        <w:t xml:space="preserve"> section, South Renmin Road</w:t>
      </w:r>
      <w:r w:rsidRPr="0075543B">
        <w:rPr>
          <w:rFonts w:ascii="Book Antiqua" w:hAnsi="Book Antiqua"/>
          <w:sz w:val="24"/>
        </w:rPr>
        <w:t xml:space="preserve">, </w:t>
      </w:r>
      <w:r w:rsidRPr="0075543B">
        <w:rPr>
          <w:rFonts w:ascii="Book Antiqua" w:eastAsia="楷体_GB2312" w:hAnsi="Book Antiqua"/>
          <w:sz w:val="24"/>
        </w:rPr>
        <w:t>Chengdu 610041, Sichuan Province, China</w:t>
      </w:r>
      <w:r w:rsidRPr="0075543B">
        <w:rPr>
          <w:rFonts w:ascii="Book Antiqua" w:hAnsi="Book Antiqua"/>
          <w:sz w:val="24"/>
        </w:rPr>
        <w:t xml:space="preserve">. </w:t>
      </w:r>
      <w:hyperlink r:id="rId8" w:history="1">
        <w:r w:rsidR="00953670" w:rsidRPr="0075543B">
          <w:rPr>
            <w:rStyle w:val="a3"/>
            <w:rFonts w:ascii="Book Antiqua" w:eastAsia="楷体_GB2312" w:hAnsi="Book Antiqua"/>
            <w:sz w:val="24"/>
          </w:rPr>
          <w:t>liyfwcsh@scu.edu.cn</w:t>
        </w:r>
      </w:hyperlink>
    </w:p>
    <w:p w14:paraId="22FB1047" w14:textId="77777777" w:rsidR="0080078E" w:rsidRDefault="0080078E" w:rsidP="0075543B">
      <w:pPr>
        <w:adjustRightInd w:val="0"/>
        <w:snapToGrid w:val="0"/>
        <w:spacing w:line="360" w:lineRule="auto"/>
        <w:rPr>
          <w:rFonts w:ascii="Book Antiqua" w:eastAsia="楷体_GB2312" w:hAnsi="Book Antiqua"/>
          <w:sz w:val="24"/>
        </w:rPr>
      </w:pPr>
    </w:p>
    <w:p w14:paraId="014340C3" w14:textId="77777777" w:rsidR="00394B0D" w:rsidRPr="0075543B" w:rsidRDefault="00394B0D" w:rsidP="0075543B">
      <w:pPr>
        <w:adjustRightInd w:val="0"/>
        <w:snapToGrid w:val="0"/>
        <w:spacing w:line="360" w:lineRule="auto"/>
        <w:rPr>
          <w:rFonts w:ascii="Book Antiqua" w:hAnsi="Book Antiqua"/>
          <w:b/>
          <w:kern w:val="0"/>
          <w:sz w:val="24"/>
          <w:lang w:val="en-GB"/>
        </w:rPr>
      </w:pPr>
      <w:r w:rsidRPr="0075543B">
        <w:rPr>
          <w:rFonts w:ascii="Book Antiqua" w:hAnsi="Book Antiqua"/>
          <w:b/>
          <w:sz w:val="24"/>
          <w:lang w:val="en-GB"/>
        </w:rPr>
        <w:lastRenderedPageBreak/>
        <w:t xml:space="preserve">Received: </w:t>
      </w:r>
      <w:r w:rsidRPr="0075543B">
        <w:rPr>
          <w:rFonts w:ascii="Book Antiqua" w:hAnsi="Book Antiqua"/>
          <w:sz w:val="24"/>
          <w:lang w:val="en-GB"/>
        </w:rPr>
        <w:t>November 14, 2019</w:t>
      </w:r>
    </w:p>
    <w:p w14:paraId="0C182640" w14:textId="77777777" w:rsidR="00394B0D" w:rsidRPr="0075543B" w:rsidRDefault="00394B0D" w:rsidP="0075543B">
      <w:pPr>
        <w:adjustRightInd w:val="0"/>
        <w:snapToGrid w:val="0"/>
        <w:spacing w:line="360" w:lineRule="auto"/>
        <w:rPr>
          <w:rFonts w:ascii="Book Antiqua" w:hAnsi="Book Antiqua"/>
          <w:b/>
          <w:sz w:val="24"/>
          <w:lang w:val="en-GB"/>
        </w:rPr>
      </w:pPr>
      <w:r w:rsidRPr="0075543B">
        <w:rPr>
          <w:rFonts w:ascii="Book Antiqua" w:hAnsi="Book Antiqua"/>
          <w:b/>
          <w:sz w:val="24"/>
          <w:lang w:val="en-GB"/>
        </w:rPr>
        <w:t xml:space="preserve">Revised: </w:t>
      </w:r>
      <w:r w:rsidRPr="0075543B">
        <w:rPr>
          <w:rFonts w:ascii="Book Antiqua" w:hAnsi="Book Antiqua"/>
          <w:sz w:val="24"/>
          <w:lang w:val="en-GB"/>
        </w:rPr>
        <w:t>December 31, 2019</w:t>
      </w:r>
    </w:p>
    <w:p w14:paraId="15801B94" w14:textId="77777777" w:rsidR="00394B0D" w:rsidRPr="0075543B" w:rsidRDefault="00394B0D" w:rsidP="0075543B">
      <w:pPr>
        <w:adjustRightInd w:val="0"/>
        <w:snapToGrid w:val="0"/>
        <w:spacing w:line="360" w:lineRule="auto"/>
        <w:rPr>
          <w:rFonts w:ascii="Book Antiqua" w:hAnsi="Book Antiqua"/>
          <w:b/>
          <w:sz w:val="24"/>
          <w:lang w:val="en-GB"/>
        </w:rPr>
      </w:pPr>
      <w:r w:rsidRPr="0075543B">
        <w:rPr>
          <w:rFonts w:ascii="Book Antiqua" w:hAnsi="Book Antiqua"/>
          <w:b/>
          <w:sz w:val="24"/>
          <w:lang w:val="en-GB"/>
        </w:rPr>
        <w:t>Accepted:</w:t>
      </w:r>
      <w:r w:rsidRPr="0075543B">
        <w:rPr>
          <w:rFonts w:ascii="Book Antiqua" w:hAnsi="Book Antiqua"/>
          <w:sz w:val="24"/>
          <w:lang w:val="en-GB"/>
        </w:rPr>
        <w:t xml:space="preserve"> January 19, 2020</w:t>
      </w:r>
    </w:p>
    <w:p w14:paraId="6EAEAFD4" w14:textId="64EC8B8D" w:rsidR="00394B0D" w:rsidRPr="0075543B" w:rsidRDefault="00394B0D" w:rsidP="0075543B">
      <w:pPr>
        <w:adjustRightInd w:val="0"/>
        <w:snapToGrid w:val="0"/>
        <w:spacing w:line="360" w:lineRule="auto"/>
        <w:rPr>
          <w:rFonts w:ascii="Book Antiqua" w:hAnsi="Book Antiqua"/>
          <w:b/>
          <w:sz w:val="24"/>
          <w:lang w:val="en-GB"/>
        </w:rPr>
      </w:pPr>
      <w:r w:rsidRPr="0075543B">
        <w:rPr>
          <w:rFonts w:ascii="Book Antiqua" w:hAnsi="Book Antiqua"/>
          <w:b/>
          <w:sz w:val="24"/>
          <w:lang w:val="en-GB"/>
        </w:rPr>
        <w:t xml:space="preserve">Published online: </w:t>
      </w:r>
      <w:r w:rsidR="00387C9D">
        <w:rPr>
          <w:rFonts w:ascii="Book Antiqua" w:hAnsi="Book Antiqua" w:hint="eastAsia"/>
          <w:bCs/>
          <w:color w:val="000000"/>
        </w:rPr>
        <w:t>March</w:t>
      </w:r>
      <w:r w:rsidR="00387C9D" w:rsidRPr="00A914E2">
        <w:rPr>
          <w:rFonts w:ascii="Book Antiqua" w:hAnsi="Book Antiqua" w:hint="eastAsia"/>
          <w:bCs/>
          <w:color w:val="000000"/>
        </w:rPr>
        <w:t xml:space="preserve"> </w:t>
      </w:r>
      <w:r w:rsidR="00387C9D">
        <w:rPr>
          <w:rFonts w:ascii="Book Antiqua" w:hAnsi="Book Antiqua" w:hint="eastAsia"/>
          <w:bCs/>
          <w:color w:val="000000"/>
        </w:rPr>
        <w:t>26</w:t>
      </w:r>
      <w:r w:rsidR="00387C9D" w:rsidRPr="00A914E2">
        <w:rPr>
          <w:rFonts w:ascii="Book Antiqua" w:hAnsi="Book Antiqua" w:hint="eastAsia"/>
          <w:bCs/>
          <w:color w:val="000000"/>
        </w:rPr>
        <w:t>, 2020</w:t>
      </w:r>
    </w:p>
    <w:p w14:paraId="3E9C3CE8" w14:textId="77777777" w:rsidR="00394B0D" w:rsidRPr="0075543B" w:rsidRDefault="00394B0D" w:rsidP="0075543B">
      <w:pPr>
        <w:adjustRightInd w:val="0"/>
        <w:snapToGrid w:val="0"/>
        <w:spacing w:line="360" w:lineRule="auto"/>
        <w:rPr>
          <w:rFonts w:ascii="Book Antiqua" w:hAnsi="Book Antiqua"/>
          <w:b/>
          <w:bCs/>
          <w:sz w:val="24"/>
        </w:rPr>
      </w:pPr>
    </w:p>
    <w:p w14:paraId="2D459E67" w14:textId="77777777" w:rsidR="0080078E" w:rsidRDefault="0080078E">
      <w:pPr>
        <w:widowControl/>
        <w:jc w:val="left"/>
        <w:rPr>
          <w:rFonts w:ascii="Book Antiqua" w:hAnsi="Book Antiqua"/>
          <w:b/>
          <w:bCs/>
          <w:sz w:val="24"/>
        </w:rPr>
      </w:pPr>
      <w:r>
        <w:rPr>
          <w:rFonts w:ascii="Book Antiqua" w:hAnsi="Book Antiqua"/>
          <w:b/>
          <w:bCs/>
          <w:sz w:val="24"/>
        </w:rPr>
        <w:br w:type="page"/>
      </w:r>
    </w:p>
    <w:p w14:paraId="10344DFE" w14:textId="14AC33A3" w:rsidR="00605CD3" w:rsidRPr="0075543B" w:rsidRDefault="00E469D1" w:rsidP="0075543B">
      <w:pPr>
        <w:adjustRightInd w:val="0"/>
        <w:snapToGrid w:val="0"/>
        <w:spacing w:line="360" w:lineRule="auto"/>
        <w:rPr>
          <w:rFonts w:ascii="Book Antiqua" w:hAnsi="Book Antiqua"/>
          <w:b/>
          <w:bCs/>
          <w:sz w:val="24"/>
        </w:rPr>
      </w:pPr>
      <w:r w:rsidRPr="0075543B">
        <w:rPr>
          <w:rFonts w:ascii="Book Antiqua" w:hAnsi="Book Antiqua"/>
          <w:b/>
          <w:bCs/>
          <w:sz w:val="24"/>
        </w:rPr>
        <w:t>Abstract</w:t>
      </w:r>
    </w:p>
    <w:p w14:paraId="41A0B40F" w14:textId="69D0F27D" w:rsidR="00605CD3" w:rsidRPr="00B61294" w:rsidRDefault="00B61294" w:rsidP="0075543B">
      <w:pPr>
        <w:adjustRightInd w:val="0"/>
        <w:snapToGrid w:val="0"/>
        <w:spacing w:line="360" w:lineRule="auto"/>
        <w:rPr>
          <w:rFonts w:ascii="Book Antiqua" w:hAnsi="Book Antiqua"/>
          <w:bCs/>
          <w:sz w:val="24"/>
        </w:rPr>
      </w:pPr>
      <w:bookmarkStart w:id="2" w:name="OLE_LINK7"/>
      <w:r w:rsidRPr="00B61294">
        <w:rPr>
          <w:rFonts w:ascii="Book Antiqua" w:hAnsi="Book Antiqua"/>
          <w:bCs/>
          <w:sz w:val="24"/>
        </w:rPr>
        <w:t>BACKGROUND</w:t>
      </w:r>
    </w:p>
    <w:p w14:paraId="4D28726C" w14:textId="7FC93967" w:rsidR="00605CD3" w:rsidRDefault="00E469D1" w:rsidP="0075543B">
      <w:pPr>
        <w:adjustRightInd w:val="0"/>
        <w:snapToGrid w:val="0"/>
        <w:spacing w:line="360" w:lineRule="auto"/>
        <w:rPr>
          <w:rFonts w:ascii="Book Antiqua" w:hAnsi="Book Antiqua"/>
          <w:bCs/>
          <w:sz w:val="24"/>
        </w:rPr>
      </w:pPr>
      <w:r w:rsidRPr="0075543B">
        <w:rPr>
          <w:rFonts w:ascii="Book Antiqua" w:hAnsi="Book Antiqua"/>
          <w:bCs/>
          <w:sz w:val="24"/>
        </w:rPr>
        <w:t xml:space="preserve">Pulmonary hypertension (PH) causes significant morbidity and mortality in diverse childhood diseases. However, limited information has been reported to obtain a good understanding of pediatric PH. Gaps exist between genome sequencing and metabolic </w:t>
      </w:r>
      <w:r w:rsidR="00F63C3E" w:rsidRPr="0075543B">
        <w:rPr>
          <w:rFonts w:ascii="Book Antiqua" w:hAnsi="Book Antiqua"/>
          <w:bCs/>
          <w:sz w:val="24"/>
        </w:rPr>
        <w:t>assessments</w:t>
      </w:r>
      <w:r w:rsidRPr="0075543B">
        <w:rPr>
          <w:rFonts w:ascii="Book Antiqua" w:hAnsi="Book Antiqua"/>
          <w:bCs/>
          <w:sz w:val="24"/>
        </w:rPr>
        <w:t xml:space="preserve"> </w:t>
      </w:r>
      <w:r w:rsidR="00F63C3E" w:rsidRPr="0075543B">
        <w:rPr>
          <w:rFonts w:ascii="Book Antiqua" w:hAnsi="Book Antiqua"/>
          <w:bCs/>
          <w:sz w:val="24"/>
        </w:rPr>
        <w:t xml:space="preserve">and </w:t>
      </w:r>
      <w:r w:rsidR="00A31ABD" w:rsidRPr="0075543B">
        <w:rPr>
          <w:rFonts w:ascii="Book Antiqua" w:hAnsi="Book Antiqua"/>
          <w:bCs/>
          <w:sz w:val="24"/>
        </w:rPr>
        <w:t xml:space="preserve">lead to misinterpretations </w:t>
      </w:r>
      <w:r w:rsidRPr="0075543B">
        <w:rPr>
          <w:rFonts w:ascii="Book Antiqua" w:hAnsi="Book Antiqua"/>
          <w:bCs/>
          <w:sz w:val="24"/>
        </w:rPr>
        <w:t xml:space="preserve">of the complicated </w:t>
      </w:r>
      <w:r w:rsidR="00A31ABD" w:rsidRPr="0075543B">
        <w:rPr>
          <w:rFonts w:ascii="Book Antiqua" w:hAnsi="Book Antiqua"/>
          <w:bCs/>
          <w:sz w:val="24"/>
        </w:rPr>
        <w:t xml:space="preserve">symptoms </w:t>
      </w:r>
      <w:r w:rsidRPr="0075543B">
        <w:rPr>
          <w:rFonts w:ascii="Book Antiqua" w:hAnsi="Book Antiqua"/>
          <w:bCs/>
          <w:sz w:val="24"/>
        </w:rPr>
        <w:t>of PH. Here, we report a rare case</w:t>
      </w:r>
      <w:r w:rsidR="00F63C3E" w:rsidRPr="0075543B">
        <w:rPr>
          <w:rFonts w:ascii="Book Antiqua" w:hAnsi="Book Antiqua"/>
          <w:bCs/>
          <w:sz w:val="24"/>
        </w:rPr>
        <w:t xml:space="preserve"> of a patient</w:t>
      </w:r>
      <w:r w:rsidRPr="0075543B">
        <w:rPr>
          <w:rFonts w:ascii="Book Antiqua" w:hAnsi="Book Antiqua"/>
          <w:bCs/>
          <w:sz w:val="24"/>
        </w:rPr>
        <w:t xml:space="preserve"> who presented</w:t>
      </w:r>
      <w:r w:rsidR="00F63C3E" w:rsidRPr="0075543B">
        <w:rPr>
          <w:rFonts w:ascii="Book Antiqua" w:hAnsi="Book Antiqua"/>
          <w:bCs/>
          <w:sz w:val="24"/>
        </w:rPr>
        <w:t xml:space="preserve"> with</w:t>
      </w:r>
      <w:r w:rsidRPr="0075543B">
        <w:rPr>
          <w:rFonts w:ascii="Book Antiqua" w:hAnsi="Book Antiqua"/>
          <w:bCs/>
          <w:sz w:val="24"/>
        </w:rPr>
        <w:t xml:space="preserve"> severe PH as the first manifestation without significant cardiovascular malformation and was finally diagnosed with methylmalonic aciduria (MMA) after metabolic and </w:t>
      </w:r>
      <w:r w:rsidR="00A31ABD" w:rsidRPr="0075543B">
        <w:rPr>
          <w:rFonts w:ascii="Book Antiqua" w:hAnsi="Book Antiqua"/>
          <w:bCs/>
          <w:sz w:val="24"/>
        </w:rPr>
        <w:t xml:space="preserve">genomic </w:t>
      </w:r>
      <w:r w:rsidR="00F63C3E" w:rsidRPr="0075543B">
        <w:rPr>
          <w:rFonts w:ascii="Book Antiqua" w:hAnsi="Book Antiqua"/>
          <w:bCs/>
          <w:sz w:val="24"/>
        </w:rPr>
        <w:t>assessments</w:t>
      </w:r>
      <w:r w:rsidRPr="0075543B">
        <w:rPr>
          <w:rFonts w:ascii="Book Antiqua" w:hAnsi="Book Antiqua"/>
          <w:bCs/>
          <w:sz w:val="24"/>
        </w:rPr>
        <w:t>.</w:t>
      </w:r>
    </w:p>
    <w:p w14:paraId="0FF3938F" w14:textId="77777777" w:rsidR="00B61294" w:rsidRPr="0075543B" w:rsidRDefault="00B61294" w:rsidP="0075543B">
      <w:pPr>
        <w:adjustRightInd w:val="0"/>
        <w:snapToGrid w:val="0"/>
        <w:spacing w:line="360" w:lineRule="auto"/>
        <w:rPr>
          <w:rFonts w:ascii="Book Antiqua" w:hAnsi="Book Antiqua"/>
          <w:bCs/>
          <w:sz w:val="24"/>
        </w:rPr>
      </w:pPr>
    </w:p>
    <w:p w14:paraId="23BA844F" w14:textId="0E3FCE7F" w:rsidR="00605CD3" w:rsidRPr="00B61294" w:rsidRDefault="00B61294" w:rsidP="0075543B">
      <w:pPr>
        <w:adjustRightInd w:val="0"/>
        <w:snapToGrid w:val="0"/>
        <w:spacing w:line="360" w:lineRule="auto"/>
        <w:rPr>
          <w:rFonts w:ascii="Book Antiqua" w:hAnsi="Book Antiqua"/>
          <w:bCs/>
          <w:sz w:val="24"/>
        </w:rPr>
      </w:pPr>
      <w:r w:rsidRPr="00B61294">
        <w:rPr>
          <w:rFonts w:ascii="Book Antiqua" w:hAnsi="Book Antiqua"/>
          <w:bCs/>
          <w:sz w:val="24"/>
        </w:rPr>
        <w:t>CASE SUMMARY</w:t>
      </w:r>
    </w:p>
    <w:p w14:paraId="457293D4" w14:textId="6F582186" w:rsidR="00605CD3" w:rsidRDefault="00E469D1" w:rsidP="0075543B">
      <w:pPr>
        <w:adjustRightInd w:val="0"/>
        <w:snapToGrid w:val="0"/>
        <w:spacing w:line="360" w:lineRule="auto"/>
        <w:rPr>
          <w:rFonts w:ascii="Book Antiqua" w:hAnsi="Book Antiqua"/>
          <w:bCs/>
          <w:sz w:val="24"/>
        </w:rPr>
      </w:pPr>
      <w:r w:rsidRPr="0075543B">
        <w:rPr>
          <w:rFonts w:ascii="Book Antiqua" w:hAnsi="Book Antiqua"/>
          <w:bCs/>
          <w:sz w:val="24"/>
        </w:rPr>
        <w:t xml:space="preserve">An 11-year-old female presented with an aggressive reduction in activity capability and shortness of breath for only 4 </w:t>
      </w:r>
      <w:proofErr w:type="spellStart"/>
      <w:r w:rsidR="00B61294">
        <w:rPr>
          <w:rFonts w:ascii="Book Antiqua" w:hAnsi="Book Antiqua" w:hint="eastAsia"/>
          <w:bCs/>
          <w:sz w:val="24"/>
        </w:rPr>
        <w:t>mo</w:t>
      </w:r>
      <w:proofErr w:type="spellEnd"/>
      <w:r w:rsidR="00B61294">
        <w:rPr>
          <w:rFonts w:ascii="Book Antiqua" w:hAnsi="Book Antiqua" w:hint="eastAsia"/>
          <w:bCs/>
          <w:sz w:val="24"/>
        </w:rPr>
        <w:t xml:space="preserve"> </w:t>
      </w:r>
      <w:r w:rsidRPr="0075543B">
        <w:rPr>
          <w:rFonts w:ascii="Book Antiqua" w:hAnsi="Book Antiqua"/>
          <w:bCs/>
          <w:sz w:val="24"/>
        </w:rPr>
        <w:t xml:space="preserve">and suffered </w:t>
      </w:r>
      <w:r w:rsidR="00F63C3E" w:rsidRPr="0075543B">
        <w:rPr>
          <w:rFonts w:ascii="Book Antiqua" w:hAnsi="Book Antiqua"/>
          <w:bCs/>
          <w:sz w:val="24"/>
        </w:rPr>
        <w:t xml:space="preserve">from </w:t>
      </w:r>
      <w:r w:rsidRPr="0075543B">
        <w:rPr>
          <w:rFonts w:ascii="Book Antiqua" w:hAnsi="Book Antiqua"/>
          <w:bCs/>
          <w:sz w:val="24"/>
        </w:rPr>
        <w:t xml:space="preserve">unexplained PH. A series of examinations was </w:t>
      </w:r>
      <w:r w:rsidR="00A31ABD" w:rsidRPr="0075543B">
        <w:rPr>
          <w:rFonts w:ascii="Book Antiqua" w:hAnsi="Book Antiqua"/>
          <w:bCs/>
          <w:sz w:val="24"/>
        </w:rPr>
        <w:t xml:space="preserve">performed </w:t>
      </w:r>
      <w:r w:rsidRPr="0075543B">
        <w:rPr>
          <w:rFonts w:ascii="Book Antiqua" w:hAnsi="Book Antiqua"/>
          <w:bCs/>
          <w:sz w:val="24"/>
        </w:rPr>
        <w:t xml:space="preserve">to evaluate any possible </w:t>
      </w:r>
      <w:r w:rsidR="00F63C3E" w:rsidRPr="0075543B">
        <w:rPr>
          <w:rFonts w:ascii="Book Antiqua" w:hAnsi="Book Antiqua"/>
          <w:bCs/>
          <w:sz w:val="24"/>
        </w:rPr>
        <w:t xml:space="preserve">malformations </w:t>
      </w:r>
      <w:r w:rsidRPr="0075543B">
        <w:rPr>
          <w:rFonts w:ascii="Book Antiqua" w:hAnsi="Book Antiqua"/>
          <w:bCs/>
          <w:sz w:val="24"/>
        </w:rPr>
        <w:t xml:space="preserve">or abnormalities of the cardiovascular system and lungs, but negative results were obtained. </w:t>
      </w:r>
      <w:r w:rsidR="00F63C3E" w:rsidRPr="0075543B">
        <w:rPr>
          <w:rFonts w:ascii="Book Antiqua" w:hAnsi="Book Antiqua"/>
          <w:bCs/>
          <w:sz w:val="24"/>
        </w:rPr>
        <w:t xml:space="preserve">The blood </w:t>
      </w:r>
      <w:r w:rsidRPr="0075543B">
        <w:rPr>
          <w:rFonts w:ascii="Book Antiqua" w:hAnsi="Book Antiqua"/>
          <w:bCs/>
          <w:sz w:val="24"/>
        </w:rPr>
        <w:t xml:space="preserve">tests </w:t>
      </w:r>
      <w:r w:rsidR="00F63C3E" w:rsidRPr="0075543B">
        <w:rPr>
          <w:rFonts w:ascii="Book Antiqua" w:hAnsi="Book Antiqua"/>
          <w:bCs/>
          <w:sz w:val="24"/>
        </w:rPr>
        <w:t xml:space="preserve">were </w:t>
      </w:r>
      <w:r w:rsidRPr="0075543B">
        <w:rPr>
          <w:rFonts w:ascii="Book Antiqua" w:hAnsi="Book Antiqua"/>
          <w:bCs/>
          <w:sz w:val="24"/>
        </w:rPr>
        <w:t xml:space="preserve">normal except </w:t>
      </w:r>
      <w:r w:rsidR="00F63C3E" w:rsidRPr="0075543B">
        <w:rPr>
          <w:rFonts w:ascii="Book Antiqua" w:hAnsi="Book Antiqua"/>
          <w:bCs/>
          <w:sz w:val="24"/>
        </w:rPr>
        <w:t xml:space="preserve">for manifestations of </w:t>
      </w:r>
      <w:r w:rsidRPr="0075543B">
        <w:rPr>
          <w:rFonts w:ascii="Book Antiqua" w:hAnsi="Book Antiqua"/>
          <w:bCs/>
          <w:sz w:val="24"/>
        </w:rPr>
        <w:t>microcytic anemia and elevated total ho</w:t>
      </w:r>
      <w:r w:rsidR="00B61294">
        <w:rPr>
          <w:rFonts w:ascii="Book Antiqua" w:hAnsi="Book Antiqua"/>
          <w:bCs/>
          <w:sz w:val="24"/>
        </w:rPr>
        <w:t>mocysteine. Computed tomography</w:t>
      </w:r>
      <w:r w:rsidRPr="0075543B">
        <w:rPr>
          <w:rFonts w:ascii="Book Antiqua" w:hAnsi="Book Antiqua"/>
          <w:bCs/>
          <w:sz w:val="24"/>
        </w:rPr>
        <w:t xml:space="preserve"> and magnetic resonance imaging failed to </w:t>
      </w:r>
      <w:r w:rsidR="00F63C3E" w:rsidRPr="0075543B">
        <w:rPr>
          <w:rFonts w:ascii="Book Antiqua" w:hAnsi="Book Antiqua"/>
          <w:bCs/>
          <w:sz w:val="24"/>
        </w:rPr>
        <w:t xml:space="preserve">identify </w:t>
      </w:r>
      <w:r w:rsidRPr="0075543B">
        <w:rPr>
          <w:rFonts w:ascii="Book Antiqua" w:hAnsi="Book Antiqua"/>
          <w:bCs/>
          <w:sz w:val="24"/>
        </w:rPr>
        <w:t>any pulmonary diseases. Cardiac catheterization examination identified a small right coronary artery to pulmonary artery shunt and severe PH. During</w:t>
      </w:r>
      <w:r w:rsidR="00A31ABD" w:rsidRPr="0075543B">
        <w:rPr>
          <w:rFonts w:ascii="Book Antiqua" w:hAnsi="Book Antiqua"/>
          <w:bCs/>
          <w:sz w:val="24"/>
        </w:rPr>
        <w:t xml:space="preserve"> the</w:t>
      </w:r>
      <w:r w:rsidRPr="0075543B">
        <w:rPr>
          <w:rFonts w:ascii="Book Antiqua" w:hAnsi="Book Antiqua"/>
          <w:bCs/>
          <w:sz w:val="24"/>
        </w:rPr>
        <w:t xml:space="preserve"> follow-up, PH progressed rapidly. Then, genome </w:t>
      </w:r>
      <w:r w:rsidR="00A31ABD" w:rsidRPr="0075543B">
        <w:rPr>
          <w:rFonts w:ascii="Book Antiqua" w:hAnsi="Book Antiqua"/>
          <w:bCs/>
          <w:sz w:val="24"/>
        </w:rPr>
        <w:t xml:space="preserve">sequencing </w:t>
      </w:r>
      <w:r w:rsidRPr="0075543B">
        <w:rPr>
          <w:rFonts w:ascii="Book Antiqua" w:hAnsi="Book Antiqua"/>
          <w:bCs/>
          <w:sz w:val="24"/>
        </w:rPr>
        <w:t xml:space="preserve">and metabolic disorder screening were </w:t>
      </w:r>
      <w:r w:rsidR="00F63C3E" w:rsidRPr="0075543B">
        <w:rPr>
          <w:rFonts w:ascii="Book Antiqua" w:hAnsi="Book Antiqua"/>
          <w:bCs/>
          <w:sz w:val="24"/>
        </w:rPr>
        <w:t>performed</w:t>
      </w:r>
      <w:r w:rsidRPr="0075543B">
        <w:rPr>
          <w:rFonts w:ascii="Book Antiqua" w:hAnsi="Book Antiqua"/>
          <w:bCs/>
          <w:sz w:val="24"/>
        </w:rPr>
        <w:t xml:space="preserve">, </w:t>
      </w:r>
      <w:proofErr w:type="gramStart"/>
      <w:r w:rsidRPr="0075543B">
        <w:rPr>
          <w:rFonts w:ascii="Book Antiqua" w:hAnsi="Book Antiqua"/>
          <w:bCs/>
          <w:sz w:val="24"/>
        </w:rPr>
        <w:t>which</w:t>
      </w:r>
      <w:r w:rsidR="00F63C3E" w:rsidRPr="0075543B">
        <w:rPr>
          <w:rFonts w:ascii="Book Antiqua" w:hAnsi="Book Antiqua"/>
          <w:bCs/>
          <w:sz w:val="24"/>
        </w:rPr>
        <w:t xml:space="preserve"> </w:t>
      </w:r>
      <w:r w:rsidR="009E5806" w:rsidRPr="0075543B">
        <w:rPr>
          <w:rFonts w:ascii="Book Antiqua" w:hAnsi="Book Antiqua"/>
          <w:bCs/>
          <w:sz w:val="24"/>
        </w:rPr>
        <w:t xml:space="preserve"> </w:t>
      </w:r>
      <w:r w:rsidRPr="0075543B">
        <w:rPr>
          <w:rFonts w:ascii="Book Antiqua" w:hAnsi="Book Antiqua"/>
          <w:bCs/>
          <w:sz w:val="24"/>
        </w:rPr>
        <w:t>confirm</w:t>
      </w:r>
      <w:r w:rsidR="009E5806" w:rsidRPr="0075543B">
        <w:rPr>
          <w:rFonts w:ascii="Book Antiqua" w:hAnsi="Book Antiqua"/>
          <w:bCs/>
          <w:sz w:val="24"/>
        </w:rPr>
        <w:t>ed</w:t>
      </w:r>
      <w:proofErr w:type="gramEnd"/>
      <w:r w:rsidRPr="0075543B">
        <w:rPr>
          <w:rFonts w:ascii="Book Antiqua" w:hAnsi="Book Antiqua"/>
          <w:bCs/>
          <w:sz w:val="24"/>
        </w:rPr>
        <w:t xml:space="preserve"> a </w:t>
      </w:r>
      <w:r w:rsidR="00F63C3E" w:rsidRPr="0075543B">
        <w:rPr>
          <w:rFonts w:ascii="Book Antiqua" w:hAnsi="Book Antiqua"/>
          <w:bCs/>
          <w:sz w:val="24"/>
        </w:rPr>
        <w:t xml:space="preserve">diagnosis </w:t>
      </w:r>
      <w:r w:rsidRPr="0075543B">
        <w:rPr>
          <w:rFonts w:ascii="Book Antiqua" w:hAnsi="Book Antiqua"/>
          <w:bCs/>
          <w:sz w:val="24"/>
        </w:rPr>
        <w:t xml:space="preserve">of MMA with MMACHC c.80A&gt;G/c and 609G&gt;A mutations.  </w:t>
      </w:r>
      <w:r w:rsidR="009E5806" w:rsidRPr="0075543B">
        <w:rPr>
          <w:rFonts w:ascii="Book Antiqua" w:hAnsi="Book Antiqua"/>
          <w:bCs/>
          <w:sz w:val="24"/>
        </w:rPr>
        <w:t>V</w:t>
      </w:r>
      <w:r w:rsidRPr="0075543B">
        <w:rPr>
          <w:rFonts w:ascii="Book Antiqua" w:hAnsi="Book Antiqua"/>
          <w:bCs/>
          <w:sz w:val="24"/>
        </w:rPr>
        <w:t xml:space="preserve">itamin B12, betaine and </w:t>
      </w:r>
      <w:proofErr w:type="spellStart"/>
      <w:r w:rsidRPr="0075543B">
        <w:rPr>
          <w:rFonts w:ascii="Book Antiqua" w:hAnsi="Book Antiqua"/>
          <w:bCs/>
          <w:sz w:val="24"/>
        </w:rPr>
        <w:t>bosentan</w:t>
      </w:r>
      <w:proofErr w:type="spellEnd"/>
      <w:r w:rsidRPr="0075543B">
        <w:rPr>
          <w:rFonts w:ascii="Book Antiqua" w:hAnsi="Book Antiqua"/>
          <w:bCs/>
          <w:sz w:val="24"/>
        </w:rPr>
        <w:t xml:space="preserve"> were </w:t>
      </w:r>
      <w:r w:rsidR="000051F1" w:rsidRPr="0075543B">
        <w:rPr>
          <w:rFonts w:ascii="Book Antiqua" w:hAnsi="Book Antiqua"/>
          <w:bCs/>
          <w:sz w:val="24"/>
        </w:rPr>
        <w:t xml:space="preserve">then </w:t>
      </w:r>
      <w:r w:rsidRPr="0075543B">
        <w:rPr>
          <w:rFonts w:ascii="Book Antiqua" w:hAnsi="Book Antiqua"/>
          <w:bCs/>
          <w:sz w:val="24"/>
        </w:rPr>
        <w:t>administered as the main treatments. During the 6-</w:t>
      </w:r>
      <w:r w:rsidR="002A33DF">
        <w:rPr>
          <w:rFonts w:ascii="Book Antiqua" w:hAnsi="Book Antiqua" w:hint="eastAsia"/>
          <w:bCs/>
          <w:sz w:val="24"/>
        </w:rPr>
        <w:t>mo</w:t>
      </w:r>
      <w:r w:rsidRPr="0075543B">
        <w:rPr>
          <w:rFonts w:ascii="Book Antiqua" w:hAnsi="Book Antiqua"/>
          <w:bCs/>
          <w:sz w:val="24"/>
        </w:rPr>
        <w:t xml:space="preserve"> follow-up, </w:t>
      </w:r>
      <w:r w:rsidR="00A31ABD" w:rsidRPr="0075543B">
        <w:rPr>
          <w:rFonts w:ascii="Book Antiqua" w:hAnsi="Book Antiqua"/>
          <w:bCs/>
          <w:sz w:val="24"/>
        </w:rPr>
        <w:t xml:space="preserve">the </w:t>
      </w:r>
      <w:r w:rsidRPr="0075543B">
        <w:rPr>
          <w:rFonts w:ascii="Book Antiqua" w:hAnsi="Book Antiqua"/>
          <w:bCs/>
          <w:sz w:val="24"/>
        </w:rPr>
        <w:t xml:space="preserve">pulmonary artery pressure dropped to 45 mmHg, while the right ventricle structure recovered. </w:t>
      </w:r>
      <w:r w:rsidR="00A31ABD" w:rsidRPr="0075543B">
        <w:rPr>
          <w:rFonts w:ascii="Book Antiqua" w:hAnsi="Book Antiqua"/>
          <w:bCs/>
          <w:sz w:val="24"/>
        </w:rPr>
        <w:t xml:space="preserve">The patient’s heart </w:t>
      </w:r>
      <w:r w:rsidRPr="0075543B">
        <w:rPr>
          <w:rFonts w:ascii="Book Antiqua" w:hAnsi="Book Antiqua"/>
          <w:bCs/>
          <w:sz w:val="24"/>
        </w:rPr>
        <w:t xml:space="preserve">function </w:t>
      </w:r>
      <w:r w:rsidR="00A31ABD" w:rsidRPr="0075543B">
        <w:rPr>
          <w:rFonts w:ascii="Book Antiqua" w:hAnsi="Book Antiqua"/>
          <w:bCs/>
          <w:sz w:val="24"/>
        </w:rPr>
        <w:t xml:space="preserve">recovered to </w:t>
      </w:r>
      <w:r w:rsidRPr="0075543B">
        <w:rPr>
          <w:rFonts w:ascii="Book Antiqua" w:hAnsi="Book Antiqua"/>
          <w:bCs/>
          <w:sz w:val="24"/>
        </w:rPr>
        <w:t>NYHA class II. Metabolic disorder analysis failed to identify significant abnormalities.</w:t>
      </w:r>
    </w:p>
    <w:p w14:paraId="1622DD0F" w14:textId="77777777" w:rsidR="00B61294" w:rsidRPr="0075543B" w:rsidRDefault="00B61294" w:rsidP="0075543B">
      <w:pPr>
        <w:adjustRightInd w:val="0"/>
        <w:snapToGrid w:val="0"/>
        <w:spacing w:line="360" w:lineRule="auto"/>
        <w:rPr>
          <w:rFonts w:ascii="Book Antiqua" w:hAnsi="Book Antiqua"/>
          <w:bCs/>
          <w:sz w:val="24"/>
        </w:rPr>
      </w:pPr>
    </w:p>
    <w:p w14:paraId="579E10A5" w14:textId="2BF2A3AA" w:rsidR="00605CD3" w:rsidRPr="00B61294" w:rsidRDefault="00B61294" w:rsidP="0075543B">
      <w:pPr>
        <w:adjustRightInd w:val="0"/>
        <w:snapToGrid w:val="0"/>
        <w:spacing w:line="360" w:lineRule="auto"/>
        <w:rPr>
          <w:rFonts w:ascii="Book Antiqua" w:hAnsi="Book Antiqua"/>
          <w:bCs/>
          <w:sz w:val="24"/>
        </w:rPr>
      </w:pPr>
      <w:r w:rsidRPr="00B61294">
        <w:rPr>
          <w:rFonts w:ascii="Book Antiqua" w:hAnsi="Book Antiqua"/>
          <w:bCs/>
          <w:sz w:val="24"/>
        </w:rPr>
        <w:t>CONCLUSION</w:t>
      </w:r>
    </w:p>
    <w:p w14:paraId="65F1619B" w14:textId="277A976C" w:rsidR="00605CD3" w:rsidRDefault="00E469D1" w:rsidP="0075543B">
      <w:pPr>
        <w:adjustRightInd w:val="0"/>
        <w:snapToGrid w:val="0"/>
        <w:spacing w:line="360" w:lineRule="auto"/>
        <w:rPr>
          <w:rFonts w:ascii="Book Antiqua" w:hAnsi="Book Antiqua"/>
          <w:bCs/>
          <w:sz w:val="24"/>
        </w:rPr>
      </w:pPr>
      <w:r w:rsidRPr="0075543B">
        <w:rPr>
          <w:rFonts w:ascii="Book Antiqua" w:hAnsi="Book Antiqua"/>
          <w:bCs/>
          <w:sz w:val="24"/>
        </w:rPr>
        <w:t xml:space="preserve"> As emerging types of metabolic dysfunction have </w:t>
      </w:r>
      <w:proofErr w:type="gramStart"/>
      <w:r w:rsidRPr="0075543B">
        <w:rPr>
          <w:rFonts w:ascii="Book Antiqua" w:hAnsi="Book Antiqua"/>
          <w:bCs/>
          <w:sz w:val="24"/>
        </w:rPr>
        <w:t xml:space="preserve">been  </w:t>
      </w:r>
      <w:r w:rsidR="002A722D" w:rsidRPr="0075543B">
        <w:rPr>
          <w:rFonts w:ascii="Book Antiqua" w:hAnsi="Book Antiqua"/>
          <w:bCs/>
          <w:sz w:val="24"/>
        </w:rPr>
        <w:t>shown</w:t>
      </w:r>
      <w:proofErr w:type="gramEnd"/>
      <w:r w:rsidR="002A722D" w:rsidRPr="0075543B">
        <w:rPr>
          <w:rFonts w:ascii="Book Antiqua" w:hAnsi="Book Antiqua"/>
          <w:bCs/>
          <w:sz w:val="24"/>
        </w:rPr>
        <w:t xml:space="preserve"> </w:t>
      </w:r>
      <w:r w:rsidRPr="0075543B">
        <w:rPr>
          <w:rFonts w:ascii="Book Antiqua" w:hAnsi="Book Antiqua"/>
          <w:bCs/>
          <w:sz w:val="24"/>
        </w:rPr>
        <w:t xml:space="preserve">to present </w:t>
      </w:r>
      <w:r w:rsidRPr="0075543B">
        <w:rPr>
          <w:rFonts w:ascii="Book Antiqua" w:hAnsi="Book Antiqua"/>
          <w:sz w:val="24"/>
        </w:rPr>
        <w:t>as the first manifestation</w:t>
      </w:r>
      <w:r w:rsidRPr="0075543B">
        <w:rPr>
          <w:rFonts w:ascii="Book Antiqua" w:hAnsi="Book Antiqua"/>
          <w:bCs/>
          <w:sz w:val="24"/>
        </w:rPr>
        <w:t xml:space="preserve"> </w:t>
      </w:r>
      <w:r w:rsidR="00A31ABD" w:rsidRPr="0075543B">
        <w:rPr>
          <w:rFonts w:ascii="Book Antiqua" w:hAnsi="Book Antiqua"/>
          <w:bCs/>
          <w:sz w:val="24"/>
        </w:rPr>
        <w:t xml:space="preserve">of PH, </w:t>
      </w:r>
      <w:r w:rsidRPr="0075543B">
        <w:rPr>
          <w:rFonts w:ascii="Book Antiqua" w:hAnsi="Book Antiqua"/>
          <w:bCs/>
          <w:sz w:val="24"/>
        </w:rPr>
        <w:t xml:space="preserve">and taking advantage of next generation </w:t>
      </w:r>
      <w:r w:rsidR="00353DB6" w:rsidRPr="0075543B">
        <w:rPr>
          <w:rFonts w:ascii="Book Antiqua" w:hAnsi="Book Antiqua"/>
          <w:bCs/>
          <w:sz w:val="24"/>
        </w:rPr>
        <w:t xml:space="preserve">sequencing </w:t>
      </w:r>
      <w:r w:rsidRPr="0075543B">
        <w:rPr>
          <w:rFonts w:ascii="Book Antiqua" w:hAnsi="Book Antiqua"/>
          <w:bCs/>
          <w:sz w:val="24"/>
        </w:rPr>
        <w:t xml:space="preserve">technology, genome </w:t>
      </w:r>
      <w:r w:rsidR="00353DB6" w:rsidRPr="0075543B">
        <w:rPr>
          <w:rFonts w:ascii="Book Antiqua" w:hAnsi="Book Antiqua"/>
          <w:bCs/>
          <w:sz w:val="24"/>
        </w:rPr>
        <w:t xml:space="preserve">sequencing </w:t>
      </w:r>
      <w:r w:rsidRPr="0075543B">
        <w:rPr>
          <w:rFonts w:ascii="Book Antiqua" w:hAnsi="Book Antiqua"/>
          <w:bCs/>
          <w:sz w:val="24"/>
        </w:rPr>
        <w:t xml:space="preserve">and metabolic disorder screening </w:t>
      </w:r>
      <w:r w:rsidR="00353DB6" w:rsidRPr="0075543B">
        <w:rPr>
          <w:rFonts w:ascii="Book Antiqua" w:hAnsi="Book Antiqua"/>
          <w:bCs/>
          <w:sz w:val="24"/>
        </w:rPr>
        <w:t xml:space="preserve">are recommended to have </w:t>
      </w:r>
      <w:r w:rsidRPr="0075543B">
        <w:rPr>
          <w:rFonts w:ascii="Book Antiqua" w:hAnsi="Book Antiqua"/>
          <w:bCs/>
          <w:sz w:val="24"/>
        </w:rPr>
        <w:t xml:space="preserve">a more superior role when attempting to </w:t>
      </w:r>
      <w:r w:rsidR="00353DB6" w:rsidRPr="0075543B">
        <w:rPr>
          <w:rFonts w:ascii="Book Antiqua" w:hAnsi="Book Antiqua"/>
          <w:bCs/>
          <w:sz w:val="24"/>
        </w:rPr>
        <w:t xml:space="preserve">understand </w:t>
      </w:r>
      <w:r w:rsidRPr="0075543B">
        <w:rPr>
          <w:rFonts w:ascii="Book Antiqua" w:hAnsi="Book Antiqua"/>
          <w:bCs/>
          <w:sz w:val="24"/>
        </w:rPr>
        <w:t xml:space="preserve">unclear or aggressive PH. </w:t>
      </w:r>
      <w:bookmarkEnd w:id="2"/>
    </w:p>
    <w:p w14:paraId="66061002" w14:textId="77777777" w:rsidR="00602F26" w:rsidRDefault="00602F26" w:rsidP="0075543B">
      <w:pPr>
        <w:adjustRightInd w:val="0"/>
        <w:snapToGrid w:val="0"/>
        <w:spacing w:line="360" w:lineRule="auto"/>
        <w:rPr>
          <w:rFonts w:ascii="Book Antiqua" w:hAnsi="Book Antiqua"/>
          <w:bCs/>
          <w:sz w:val="24"/>
        </w:rPr>
      </w:pPr>
    </w:p>
    <w:p w14:paraId="195A3CBF" w14:textId="77777777" w:rsidR="00602F26" w:rsidRPr="00602F26" w:rsidRDefault="00602F26" w:rsidP="00602F26">
      <w:pPr>
        <w:spacing w:line="360" w:lineRule="auto"/>
        <w:rPr>
          <w:rFonts w:ascii="Book Antiqua" w:hAnsi="Book Antiqua"/>
          <w:kern w:val="0"/>
          <w:sz w:val="24"/>
        </w:rPr>
      </w:pPr>
      <w:r w:rsidRPr="00602F26">
        <w:rPr>
          <w:rFonts w:ascii="Book Antiqua" w:hAnsi="Book Antiqua"/>
          <w:b/>
          <w:bCs/>
          <w:sz w:val="24"/>
        </w:rPr>
        <w:t xml:space="preserve">Key words: </w:t>
      </w:r>
      <w:bookmarkStart w:id="3" w:name="OLE_LINK93"/>
      <w:r w:rsidRPr="00602F26">
        <w:rPr>
          <w:rFonts w:ascii="Book Antiqua" w:hAnsi="Book Antiqua"/>
          <w:sz w:val="24"/>
        </w:rPr>
        <w:t>Pulmonary hypertension</w:t>
      </w:r>
      <w:bookmarkEnd w:id="3"/>
      <w:r w:rsidRPr="00602F26">
        <w:rPr>
          <w:rFonts w:ascii="Book Antiqua" w:hAnsi="Book Antiqua"/>
          <w:sz w:val="24"/>
        </w:rPr>
        <w:t xml:space="preserve">; </w:t>
      </w:r>
      <w:bookmarkStart w:id="4" w:name="OLE_LINK94"/>
      <w:r w:rsidRPr="00602F26">
        <w:rPr>
          <w:rFonts w:ascii="Book Antiqua" w:hAnsi="Book Antiqua"/>
          <w:sz w:val="24"/>
        </w:rPr>
        <w:t>Methylmalonic acidemia</w:t>
      </w:r>
      <w:bookmarkEnd w:id="4"/>
      <w:r w:rsidRPr="00602F26">
        <w:rPr>
          <w:rFonts w:ascii="Book Antiqua" w:hAnsi="Book Antiqua"/>
          <w:sz w:val="24"/>
        </w:rPr>
        <w:t>;</w:t>
      </w:r>
      <w:r w:rsidRPr="00602F26">
        <w:rPr>
          <w:rFonts w:ascii="Book Antiqua" w:hAnsi="Book Antiqua"/>
          <w:kern w:val="0"/>
          <w:sz w:val="24"/>
        </w:rPr>
        <w:t xml:space="preserve"> </w:t>
      </w:r>
      <w:bookmarkStart w:id="5" w:name="OLE_LINK95"/>
      <w:r w:rsidRPr="00602F26">
        <w:rPr>
          <w:rFonts w:ascii="Book Antiqua" w:hAnsi="Book Antiqua"/>
          <w:kern w:val="0"/>
          <w:sz w:val="24"/>
        </w:rPr>
        <w:t>Genomic sequence</w:t>
      </w:r>
      <w:bookmarkEnd w:id="5"/>
      <w:r w:rsidRPr="00602F26">
        <w:rPr>
          <w:rFonts w:ascii="Book Antiqua" w:hAnsi="Book Antiqua"/>
          <w:kern w:val="0"/>
          <w:sz w:val="24"/>
        </w:rPr>
        <w:t xml:space="preserve">; </w:t>
      </w:r>
      <w:bookmarkStart w:id="6" w:name="OLE_LINK96"/>
      <w:bookmarkStart w:id="7" w:name="OLE_LINK97"/>
      <w:r w:rsidRPr="00602F26">
        <w:rPr>
          <w:rFonts w:ascii="Book Antiqua" w:hAnsi="Book Antiqua"/>
          <w:kern w:val="0"/>
          <w:sz w:val="24"/>
        </w:rPr>
        <w:t>Metabolic disorder</w:t>
      </w:r>
      <w:bookmarkEnd w:id="6"/>
      <w:bookmarkEnd w:id="7"/>
      <w:r w:rsidRPr="00602F26">
        <w:rPr>
          <w:rFonts w:ascii="Book Antiqua" w:hAnsi="Book Antiqua"/>
          <w:kern w:val="0"/>
          <w:sz w:val="24"/>
        </w:rPr>
        <w:t xml:space="preserve">; </w:t>
      </w:r>
      <w:bookmarkStart w:id="8" w:name="OLE_LINK98"/>
      <w:bookmarkStart w:id="9" w:name="OLE_LINK99"/>
      <w:r w:rsidRPr="00602F26">
        <w:rPr>
          <w:rFonts w:ascii="Book Antiqua" w:hAnsi="Book Antiqua"/>
          <w:kern w:val="0"/>
          <w:sz w:val="24"/>
        </w:rPr>
        <w:t>Case report</w:t>
      </w:r>
      <w:bookmarkEnd w:id="8"/>
      <w:bookmarkEnd w:id="9"/>
    </w:p>
    <w:p w14:paraId="25081F19" w14:textId="77777777" w:rsidR="00602F26" w:rsidRPr="00602F26" w:rsidRDefault="00602F26" w:rsidP="00602F26">
      <w:pPr>
        <w:spacing w:line="360" w:lineRule="auto"/>
        <w:rPr>
          <w:rFonts w:ascii="Book Antiqua" w:hAnsi="Book Antiqua"/>
          <w:kern w:val="0"/>
          <w:sz w:val="24"/>
        </w:rPr>
      </w:pPr>
    </w:p>
    <w:p w14:paraId="098F34F8" w14:textId="3940E3A8" w:rsidR="00E762D0" w:rsidRDefault="00E762D0" w:rsidP="00602F26">
      <w:pPr>
        <w:adjustRightInd w:val="0"/>
        <w:snapToGrid w:val="0"/>
        <w:spacing w:line="360" w:lineRule="auto"/>
        <w:rPr>
          <w:rFonts w:ascii="Book Antiqua" w:hAnsi="Book Antiqua" w:hint="eastAsia"/>
          <w:iCs/>
          <w:sz w:val="24"/>
        </w:rPr>
      </w:pPr>
      <w:r w:rsidRPr="00E762D0">
        <w:rPr>
          <w:rFonts w:ascii="Book Antiqua" w:hAnsi="Book Antiqua" w:hint="eastAsia"/>
          <w:b/>
          <w:sz w:val="24"/>
        </w:rPr>
        <w:t xml:space="preserve">Citation: </w:t>
      </w:r>
      <w:r w:rsidR="00602F26" w:rsidRPr="00602F26">
        <w:rPr>
          <w:rFonts w:ascii="Book Antiqua" w:hAnsi="Book Antiqua"/>
          <w:sz w:val="24"/>
        </w:rPr>
        <w:t>Liao HY,</w:t>
      </w:r>
      <w:r w:rsidR="00602F26" w:rsidRPr="00602F26">
        <w:rPr>
          <w:rFonts w:ascii="Book Antiqua" w:hAnsi="Book Antiqua"/>
          <w:sz w:val="24"/>
          <w:vertAlign w:val="superscript"/>
        </w:rPr>
        <w:t xml:space="preserve"> </w:t>
      </w:r>
      <w:r w:rsidR="00602F26" w:rsidRPr="00602F26">
        <w:rPr>
          <w:rFonts w:ascii="Book Antiqua" w:hAnsi="Book Antiqua"/>
          <w:sz w:val="24"/>
        </w:rPr>
        <w:t xml:space="preserve">Shi XQ, Li YF. </w:t>
      </w:r>
      <w:r w:rsidR="00426E90" w:rsidRPr="00426E90">
        <w:rPr>
          <w:rFonts w:ascii="Book Antiqua" w:hAnsi="Book Antiqua"/>
          <w:bCs/>
          <w:sz w:val="24"/>
        </w:rPr>
        <w:t>Metabolic and genetic assessments interpret unexplained aggressive pulmonary hypertension induced by methylmalonic acidemia: A case report</w:t>
      </w:r>
      <w:r w:rsidR="00602F26" w:rsidRPr="00426E90">
        <w:rPr>
          <w:rFonts w:ascii="Book Antiqua" w:hAnsi="Book Antiqua"/>
          <w:sz w:val="24"/>
        </w:rPr>
        <w:t xml:space="preserve">. </w:t>
      </w:r>
      <w:r w:rsidR="00602F26" w:rsidRPr="00602F26">
        <w:rPr>
          <w:rFonts w:ascii="Book Antiqua" w:hAnsi="Book Antiqua"/>
          <w:i/>
          <w:iCs/>
          <w:sz w:val="24"/>
        </w:rPr>
        <w:t xml:space="preserve">World J </w:t>
      </w:r>
      <w:proofErr w:type="spellStart"/>
      <w:r w:rsidR="00602F26" w:rsidRPr="00602F26">
        <w:rPr>
          <w:rFonts w:ascii="Book Antiqua" w:hAnsi="Book Antiqua"/>
          <w:i/>
          <w:iCs/>
          <w:sz w:val="24"/>
        </w:rPr>
        <w:t>Clin</w:t>
      </w:r>
      <w:proofErr w:type="spellEnd"/>
      <w:r w:rsidR="00602F26" w:rsidRPr="00602F26">
        <w:rPr>
          <w:rFonts w:ascii="Book Antiqua" w:hAnsi="Book Antiqua"/>
          <w:i/>
          <w:iCs/>
          <w:sz w:val="24"/>
        </w:rPr>
        <w:t xml:space="preserve"> Cases </w:t>
      </w:r>
      <w:r w:rsidR="00390DBD" w:rsidRPr="00651643">
        <w:rPr>
          <w:rFonts w:ascii="Book Antiqua" w:hAnsi="Book Antiqua"/>
          <w:iCs/>
          <w:sz w:val="24"/>
        </w:rPr>
        <w:t>2020; 8(</w:t>
      </w:r>
      <w:r w:rsidR="00390DBD">
        <w:rPr>
          <w:rFonts w:ascii="Book Antiqua" w:hAnsi="Book Antiqua" w:hint="eastAsia"/>
          <w:iCs/>
          <w:sz w:val="24"/>
        </w:rPr>
        <w:t>6</w:t>
      </w:r>
      <w:r w:rsidR="00390DBD" w:rsidRPr="00651643">
        <w:rPr>
          <w:rFonts w:ascii="Book Antiqua" w:hAnsi="Book Antiqua"/>
          <w:iCs/>
          <w:sz w:val="24"/>
        </w:rPr>
        <w:t xml:space="preserve">): </w:t>
      </w:r>
      <w:r w:rsidR="00390DBD" w:rsidRPr="00B67B40">
        <w:rPr>
          <w:rFonts w:ascii="Book Antiqua" w:hAnsi="Book Antiqua"/>
          <w:iCs/>
          <w:sz w:val="24"/>
        </w:rPr>
        <w:t>1137-1141</w:t>
      </w:r>
      <w:r w:rsidR="00390DBD">
        <w:rPr>
          <w:rFonts w:ascii="Book Antiqua" w:hAnsi="Book Antiqua" w:hint="eastAsia"/>
          <w:iCs/>
          <w:sz w:val="24"/>
        </w:rPr>
        <w:t xml:space="preserve"> </w:t>
      </w:r>
    </w:p>
    <w:p w14:paraId="69915354" w14:textId="77777777" w:rsidR="00E762D0" w:rsidRDefault="00390DBD" w:rsidP="00602F26">
      <w:pPr>
        <w:adjustRightInd w:val="0"/>
        <w:snapToGrid w:val="0"/>
        <w:spacing w:line="360" w:lineRule="auto"/>
        <w:rPr>
          <w:rFonts w:ascii="Book Antiqua" w:hAnsi="Book Antiqua" w:hint="eastAsia"/>
          <w:iCs/>
          <w:sz w:val="24"/>
        </w:rPr>
      </w:pPr>
      <w:r w:rsidRPr="00E762D0">
        <w:rPr>
          <w:rFonts w:ascii="Book Antiqua" w:hAnsi="Book Antiqua"/>
          <w:b/>
          <w:iCs/>
          <w:sz w:val="24"/>
        </w:rPr>
        <w:t xml:space="preserve">URL: </w:t>
      </w:r>
      <w:r w:rsidRPr="00651643">
        <w:rPr>
          <w:rFonts w:ascii="Book Antiqua" w:hAnsi="Book Antiqua"/>
          <w:iCs/>
          <w:sz w:val="24"/>
        </w:rPr>
        <w:t>https://www.wjgnet.com/2307-8960/full/v8/i</w:t>
      </w:r>
      <w:r>
        <w:rPr>
          <w:rFonts w:ascii="Book Antiqua" w:hAnsi="Book Antiqua" w:hint="eastAsia"/>
          <w:iCs/>
          <w:sz w:val="24"/>
        </w:rPr>
        <w:t>6</w:t>
      </w:r>
      <w:r w:rsidRPr="00651643">
        <w:rPr>
          <w:rFonts w:ascii="Book Antiqua" w:hAnsi="Book Antiqua"/>
          <w:iCs/>
          <w:sz w:val="24"/>
        </w:rPr>
        <w:t>/</w:t>
      </w:r>
      <w:r>
        <w:rPr>
          <w:rFonts w:ascii="Book Antiqua" w:hAnsi="Book Antiqua" w:hint="eastAsia"/>
          <w:iCs/>
          <w:sz w:val="24"/>
        </w:rPr>
        <w:t>1137</w:t>
      </w:r>
      <w:r>
        <w:rPr>
          <w:rFonts w:ascii="Book Antiqua" w:hAnsi="Book Antiqua"/>
          <w:iCs/>
          <w:sz w:val="24"/>
        </w:rPr>
        <w:t>.htm</w:t>
      </w:r>
      <w:r>
        <w:rPr>
          <w:rFonts w:ascii="Book Antiqua" w:hAnsi="Book Antiqua" w:hint="eastAsia"/>
          <w:iCs/>
          <w:sz w:val="24"/>
        </w:rPr>
        <w:t xml:space="preserve"> </w:t>
      </w:r>
    </w:p>
    <w:p w14:paraId="6764E73E" w14:textId="0736BD92" w:rsidR="00602F26" w:rsidRPr="00426E90" w:rsidRDefault="00390DBD" w:rsidP="00602F26">
      <w:pPr>
        <w:adjustRightInd w:val="0"/>
        <w:snapToGrid w:val="0"/>
        <w:spacing w:line="360" w:lineRule="auto"/>
        <w:rPr>
          <w:rFonts w:ascii="Book Antiqua" w:hAnsi="Book Antiqua"/>
          <w:b/>
          <w:bCs/>
          <w:sz w:val="24"/>
        </w:rPr>
      </w:pPr>
      <w:r w:rsidRPr="00E762D0">
        <w:rPr>
          <w:rFonts w:ascii="Book Antiqua" w:hAnsi="Book Antiqua"/>
          <w:b/>
          <w:iCs/>
          <w:sz w:val="24"/>
        </w:rPr>
        <w:t>DOI:</w:t>
      </w:r>
      <w:r w:rsidRPr="00651643">
        <w:rPr>
          <w:rFonts w:ascii="Book Antiqua" w:hAnsi="Book Antiqua"/>
          <w:iCs/>
          <w:sz w:val="24"/>
        </w:rPr>
        <w:t xml:space="preserve"> https://dx.doi.org/10.12998/wjcc.v8.i</w:t>
      </w:r>
      <w:r>
        <w:rPr>
          <w:rFonts w:ascii="Book Antiqua" w:hAnsi="Book Antiqua" w:hint="eastAsia"/>
          <w:iCs/>
          <w:sz w:val="24"/>
        </w:rPr>
        <w:t>6</w:t>
      </w:r>
      <w:r w:rsidRPr="00651643">
        <w:rPr>
          <w:rFonts w:ascii="Book Antiqua" w:hAnsi="Book Antiqua"/>
          <w:iCs/>
          <w:sz w:val="24"/>
        </w:rPr>
        <w:t>.</w:t>
      </w:r>
      <w:r>
        <w:rPr>
          <w:rFonts w:ascii="Book Antiqua" w:hAnsi="Book Antiqua" w:hint="eastAsia"/>
          <w:iCs/>
          <w:sz w:val="24"/>
        </w:rPr>
        <w:t>1137</w:t>
      </w:r>
    </w:p>
    <w:p w14:paraId="728D97D6" w14:textId="77777777" w:rsidR="00602F26" w:rsidRPr="00602F26" w:rsidRDefault="00602F26" w:rsidP="0075543B">
      <w:pPr>
        <w:adjustRightInd w:val="0"/>
        <w:snapToGrid w:val="0"/>
        <w:spacing w:line="360" w:lineRule="auto"/>
        <w:rPr>
          <w:rFonts w:ascii="Book Antiqua" w:hAnsi="Book Antiqua"/>
          <w:sz w:val="24"/>
        </w:rPr>
      </w:pPr>
    </w:p>
    <w:p w14:paraId="5C27F01C" w14:textId="77777777" w:rsidR="00602F26" w:rsidRPr="00602F26" w:rsidRDefault="00602F26" w:rsidP="00602F26">
      <w:pPr>
        <w:spacing w:line="360" w:lineRule="auto"/>
        <w:rPr>
          <w:rFonts w:ascii="Book Antiqua" w:hAnsi="Book Antiqua"/>
          <w:bCs/>
          <w:sz w:val="24"/>
        </w:rPr>
      </w:pPr>
      <w:r w:rsidRPr="00602F26">
        <w:rPr>
          <w:rFonts w:ascii="Book Antiqua" w:hAnsi="Book Antiqua"/>
          <w:b/>
          <w:bCs/>
          <w:sz w:val="24"/>
        </w:rPr>
        <w:t xml:space="preserve">Core tip: </w:t>
      </w:r>
      <w:bookmarkStart w:id="10" w:name="OLE_LINK100"/>
      <w:r w:rsidRPr="00602F26">
        <w:rPr>
          <w:rFonts w:ascii="Book Antiqua" w:hAnsi="Book Antiqua"/>
          <w:bCs/>
          <w:sz w:val="24"/>
        </w:rPr>
        <w:t xml:space="preserve">This report describes a case who suffered an aggressive pulmonary hypertension (PH) as her first onset manifestation. Following the routine diagnostic and therapeutic procedure, we failed to address any abnormalities which could explain the origins of PH. However, taking the advantage of metabolic screening and genome sequencing, we achieved the diagnosis of </w:t>
      </w:r>
      <w:r w:rsidRPr="00602F26">
        <w:rPr>
          <w:rFonts w:ascii="Book Antiqua" w:hAnsi="Book Antiqua"/>
          <w:sz w:val="24"/>
        </w:rPr>
        <w:t>methylmalonic acidemia</w:t>
      </w:r>
      <w:r w:rsidRPr="00602F26">
        <w:rPr>
          <w:rFonts w:ascii="Book Antiqua" w:hAnsi="Book Antiqua"/>
          <w:bCs/>
          <w:sz w:val="24"/>
        </w:rPr>
        <w:t xml:space="preserve"> and revealed that the severe PH is secondary to </w:t>
      </w:r>
      <w:r w:rsidRPr="00602F26">
        <w:rPr>
          <w:rFonts w:ascii="Book Antiqua" w:hAnsi="Book Antiqua"/>
          <w:sz w:val="24"/>
        </w:rPr>
        <w:t>methylmalonic acidemia, which was not mentioned among several guidelines of PH</w:t>
      </w:r>
      <w:r w:rsidRPr="00602F26">
        <w:rPr>
          <w:rFonts w:ascii="Book Antiqua" w:hAnsi="Book Antiqua"/>
          <w:bCs/>
          <w:sz w:val="24"/>
        </w:rPr>
        <w:t>. Although metabolic and genome screenings have been recommended in guideline, this case brought our reconsideration to the timing for perform metabolic and genomic screenings. So that, we would like to mention that for some aggressive unexplained PH patients who meets the criteria, such screening procedure should be applied in an earlier stage to prevent putting the patients into irreversible conditions.</w:t>
      </w:r>
    </w:p>
    <w:bookmarkEnd w:id="10"/>
    <w:p w14:paraId="35D9224F" w14:textId="77777777" w:rsidR="00602F26" w:rsidRDefault="00602F26" w:rsidP="0075543B">
      <w:pPr>
        <w:adjustRightInd w:val="0"/>
        <w:snapToGrid w:val="0"/>
        <w:spacing w:line="360" w:lineRule="auto"/>
        <w:rPr>
          <w:rFonts w:ascii="Book Antiqua" w:hAnsi="Book Antiqua"/>
          <w:sz w:val="24"/>
        </w:rPr>
      </w:pPr>
    </w:p>
    <w:p w14:paraId="3E185BA9" w14:textId="77777777" w:rsidR="000C7508" w:rsidRDefault="000C7508">
      <w:pPr>
        <w:widowControl/>
        <w:jc w:val="left"/>
        <w:rPr>
          <w:rFonts w:ascii="Book Antiqua" w:hAnsi="Book Antiqua"/>
          <w:sz w:val="24"/>
        </w:rPr>
      </w:pPr>
      <w:r>
        <w:rPr>
          <w:rFonts w:ascii="Book Antiqua" w:hAnsi="Book Antiqua"/>
          <w:sz w:val="24"/>
        </w:rPr>
        <w:br w:type="page"/>
      </w:r>
    </w:p>
    <w:p w14:paraId="280B58A1" w14:textId="14C3FEF3" w:rsidR="00605CD3" w:rsidRPr="000C7508" w:rsidRDefault="002A722D" w:rsidP="0075543B">
      <w:pPr>
        <w:widowControl/>
        <w:adjustRightInd w:val="0"/>
        <w:snapToGrid w:val="0"/>
        <w:spacing w:line="360" w:lineRule="auto"/>
        <w:rPr>
          <w:rFonts w:ascii="Book Antiqua" w:hAnsi="Book Antiqua"/>
          <w:b/>
          <w:bCs/>
          <w:sz w:val="24"/>
          <w:u w:val="single"/>
        </w:rPr>
      </w:pPr>
      <w:r w:rsidRPr="000C7508">
        <w:rPr>
          <w:rFonts w:ascii="Book Antiqua" w:hAnsi="Book Antiqua"/>
          <w:b/>
          <w:bCs/>
          <w:sz w:val="24"/>
          <w:u w:val="single"/>
        </w:rPr>
        <w:t>INTRODUCTION</w:t>
      </w:r>
    </w:p>
    <w:p w14:paraId="26360DFA" w14:textId="2D4ACA56" w:rsidR="00371469" w:rsidRPr="0075543B" w:rsidRDefault="00E469D1" w:rsidP="0075543B">
      <w:pPr>
        <w:adjustRightInd w:val="0"/>
        <w:snapToGrid w:val="0"/>
        <w:spacing w:line="360" w:lineRule="auto"/>
        <w:rPr>
          <w:rFonts w:ascii="Book Antiqua" w:hAnsi="Book Antiqua"/>
          <w:sz w:val="24"/>
        </w:rPr>
      </w:pPr>
      <w:r w:rsidRPr="0075543B">
        <w:rPr>
          <w:rFonts w:ascii="Book Antiqua" w:hAnsi="Book Antiqua"/>
          <w:sz w:val="24"/>
        </w:rPr>
        <w:t xml:space="preserve">Pulmonary hypertension </w:t>
      </w:r>
      <w:r w:rsidR="0040663E">
        <w:rPr>
          <w:rFonts w:ascii="Book Antiqua" w:hAnsi="Book Antiqua" w:hint="eastAsia"/>
          <w:sz w:val="24"/>
        </w:rPr>
        <w:t xml:space="preserve">(PH) </w:t>
      </w:r>
      <w:r w:rsidRPr="0075543B">
        <w:rPr>
          <w:rFonts w:ascii="Book Antiqua" w:hAnsi="Book Antiqua"/>
          <w:sz w:val="24"/>
        </w:rPr>
        <w:t xml:space="preserve">is a progressive disease </w:t>
      </w:r>
      <w:r w:rsidR="00066C7A" w:rsidRPr="0075543B">
        <w:rPr>
          <w:rFonts w:ascii="Book Antiqua" w:hAnsi="Book Antiqua"/>
          <w:sz w:val="24"/>
        </w:rPr>
        <w:t xml:space="preserve">that causes </w:t>
      </w:r>
      <w:r w:rsidRPr="0075543B">
        <w:rPr>
          <w:rFonts w:ascii="Book Antiqua" w:hAnsi="Book Antiqua"/>
          <w:sz w:val="24"/>
        </w:rPr>
        <w:t xml:space="preserve">significant morbidity and mortality in </w:t>
      </w:r>
      <w:r w:rsidR="00066C7A" w:rsidRPr="0075543B">
        <w:rPr>
          <w:rFonts w:ascii="Book Antiqua" w:hAnsi="Book Antiqua"/>
          <w:sz w:val="24"/>
        </w:rPr>
        <w:t xml:space="preserve">various </w:t>
      </w:r>
      <w:r w:rsidRPr="0075543B">
        <w:rPr>
          <w:rFonts w:ascii="Book Antiqua" w:hAnsi="Book Antiqua"/>
          <w:sz w:val="24"/>
        </w:rPr>
        <w:t xml:space="preserve">childhood </w:t>
      </w:r>
      <w:proofErr w:type="gramStart"/>
      <w:r w:rsidRPr="0075543B">
        <w:rPr>
          <w:rFonts w:ascii="Book Antiqua" w:hAnsi="Book Antiqua"/>
          <w:sz w:val="24"/>
        </w:rPr>
        <w:t>diseases</w:t>
      </w:r>
      <w:r w:rsidR="0040663E" w:rsidRPr="0040663E">
        <w:rPr>
          <w:rFonts w:ascii="Book Antiqua" w:hAnsi="Book Antiqua" w:hint="eastAsia"/>
          <w:sz w:val="24"/>
          <w:vertAlign w:val="superscript"/>
        </w:rPr>
        <w:t>[</w:t>
      </w:r>
      <w:proofErr w:type="gramEnd"/>
      <w:r w:rsidR="0040663E">
        <w:rPr>
          <w:rFonts w:ascii="Book Antiqua" w:hAnsi="Book Antiqua" w:hint="eastAsia"/>
          <w:sz w:val="24"/>
          <w:vertAlign w:val="superscript"/>
        </w:rPr>
        <w:t>1</w:t>
      </w:r>
      <w:r w:rsidR="0040663E" w:rsidRPr="0040663E">
        <w:rPr>
          <w:rFonts w:ascii="Book Antiqua" w:hAnsi="Book Antiqua" w:hint="eastAsia"/>
          <w:sz w:val="24"/>
          <w:vertAlign w:val="superscript"/>
        </w:rPr>
        <w:t>]</w:t>
      </w:r>
      <w:r w:rsidRPr="0075543B">
        <w:rPr>
          <w:rFonts w:ascii="Book Antiqua" w:hAnsi="Book Antiqua"/>
          <w:sz w:val="24"/>
        </w:rPr>
        <w:t xml:space="preserve">. In childhood, abnormal heart structures, especially left-to-right shunt congenital heart diseases, </w:t>
      </w:r>
      <w:r w:rsidR="00066C7A" w:rsidRPr="0075543B">
        <w:rPr>
          <w:rFonts w:ascii="Book Antiqua" w:hAnsi="Book Antiqua"/>
          <w:sz w:val="24"/>
        </w:rPr>
        <w:t>are</w:t>
      </w:r>
      <w:r w:rsidRPr="0075543B">
        <w:rPr>
          <w:rFonts w:ascii="Book Antiqua" w:hAnsi="Book Antiqua"/>
          <w:sz w:val="24"/>
        </w:rPr>
        <w:t xml:space="preserve"> the </w:t>
      </w:r>
      <w:r w:rsidR="00066C7A" w:rsidRPr="0075543B">
        <w:rPr>
          <w:rFonts w:ascii="Book Antiqua" w:hAnsi="Book Antiqua"/>
          <w:sz w:val="24"/>
        </w:rPr>
        <w:t>main causes</w:t>
      </w:r>
      <w:r w:rsidRPr="0075543B">
        <w:rPr>
          <w:rFonts w:ascii="Book Antiqua" w:hAnsi="Book Antiqua"/>
          <w:sz w:val="24"/>
        </w:rPr>
        <w:t xml:space="preserve"> of </w:t>
      </w:r>
      <w:proofErr w:type="gramStart"/>
      <w:r w:rsidR="0040663E">
        <w:rPr>
          <w:rFonts w:ascii="Book Antiqua" w:hAnsi="Book Antiqua"/>
          <w:sz w:val="24"/>
        </w:rPr>
        <w:t>PH</w:t>
      </w:r>
      <w:r w:rsidR="0040663E" w:rsidRPr="0040663E">
        <w:rPr>
          <w:rFonts w:ascii="Book Antiqua" w:hAnsi="Book Antiqua" w:hint="eastAsia"/>
          <w:sz w:val="24"/>
          <w:vertAlign w:val="superscript"/>
        </w:rPr>
        <w:t>[</w:t>
      </w:r>
      <w:proofErr w:type="gramEnd"/>
      <w:r w:rsidR="0040663E">
        <w:rPr>
          <w:rFonts w:ascii="Book Antiqua" w:hAnsi="Book Antiqua" w:hint="eastAsia"/>
          <w:sz w:val="24"/>
          <w:vertAlign w:val="superscript"/>
        </w:rPr>
        <w:t>2</w:t>
      </w:r>
      <w:r w:rsidR="0040663E" w:rsidRPr="0040663E">
        <w:rPr>
          <w:rFonts w:ascii="Book Antiqua" w:hAnsi="Book Antiqua" w:hint="eastAsia"/>
          <w:sz w:val="24"/>
          <w:vertAlign w:val="superscript"/>
        </w:rPr>
        <w:t>]</w:t>
      </w:r>
      <w:r w:rsidRPr="0075543B">
        <w:rPr>
          <w:rFonts w:ascii="Book Antiqua" w:hAnsi="Book Antiqua"/>
          <w:sz w:val="24"/>
        </w:rPr>
        <w:t xml:space="preserve">. Despite the availability of new </w:t>
      </w:r>
      <w:r w:rsidR="00066C7A" w:rsidRPr="0075543B">
        <w:rPr>
          <w:rFonts w:ascii="Book Antiqua" w:hAnsi="Book Antiqua"/>
          <w:sz w:val="24"/>
        </w:rPr>
        <w:t>medications</w:t>
      </w:r>
      <w:r w:rsidRPr="0075543B">
        <w:rPr>
          <w:rFonts w:ascii="Book Antiqua" w:hAnsi="Book Antiqua"/>
          <w:sz w:val="24"/>
        </w:rPr>
        <w:t xml:space="preserve">, </w:t>
      </w:r>
      <w:r w:rsidR="00066C7A" w:rsidRPr="0075543B">
        <w:rPr>
          <w:rFonts w:ascii="Book Antiqua" w:hAnsi="Book Antiqua"/>
          <w:sz w:val="24"/>
        </w:rPr>
        <w:t xml:space="preserve">the </w:t>
      </w:r>
      <w:r w:rsidRPr="0075543B">
        <w:rPr>
          <w:rFonts w:ascii="Book Antiqua" w:hAnsi="Book Antiqua"/>
          <w:sz w:val="24"/>
        </w:rPr>
        <w:t xml:space="preserve">long-term outcomes are still </w:t>
      </w:r>
      <w:proofErr w:type="gramStart"/>
      <w:r w:rsidRPr="0075543B">
        <w:rPr>
          <w:rFonts w:ascii="Book Antiqua" w:hAnsi="Book Antiqua"/>
          <w:sz w:val="24"/>
        </w:rPr>
        <w:t>poor</w:t>
      </w:r>
      <w:r w:rsidR="0040663E" w:rsidRPr="0040663E">
        <w:rPr>
          <w:rFonts w:ascii="Book Antiqua" w:hAnsi="Book Antiqua" w:hint="eastAsia"/>
          <w:sz w:val="24"/>
          <w:vertAlign w:val="superscript"/>
        </w:rPr>
        <w:t>[</w:t>
      </w:r>
      <w:proofErr w:type="gramEnd"/>
      <w:r w:rsidR="0040663E">
        <w:rPr>
          <w:rFonts w:ascii="Book Antiqua" w:hAnsi="Book Antiqua" w:hint="eastAsia"/>
          <w:sz w:val="24"/>
          <w:vertAlign w:val="superscript"/>
        </w:rPr>
        <w:t>3</w:t>
      </w:r>
      <w:r w:rsidR="0040663E" w:rsidRPr="0040663E">
        <w:rPr>
          <w:rFonts w:ascii="Book Antiqua" w:hAnsi="Book Antiqua" w:hint="eastAsia"/>
          <w:sz w:val="24"/>
          <w:vertAlign w:val="superscript"/>
        </w:rPr>
        <w:t>]</w:t>
      </w:r>
      <w:r w:rsidRPr="0075543B">
        <w:rPr>
          <w:rFonts w:ascii="Book Antiqua" w:hAnsi="Book Antiqua"/>
          <w:sz w:val="24"/>
        </w:rPr>
        <w:t xml:space="preserve">. Recently, emerging studies have reported that genetic and metabolic assessments have been performed to demonstrate the molecular basis of unexplained </w:t>
      </w:r>
      <w:r w:rsidR="0040663E">
        <w:rPr>
          <w:rFonts w:ascii="Book Antiqua" w:hAnsi="Book Antiqua"/>
          <w:sz w:val="24"/>
        </w:rPr>
        <w:t>PH</w:t>
      </w:r>
      <w:r w:rsidRPr="0075543B">
        <w:rPr>
          <w:rFonts w:ascii="Book Antiqua" w:hAnsi="Book Antiqua"/>
          <w:sz w:val="24"/>
        </w:rPr>
        <w:t xml:space="preserve">. </w:t>
      </w:r>
      <w:r w:rsidR="00066C7A" w:rsidRPr="0075543B">
        <w:rPr>
          <w:rFonts w:ascii="Book Antiqua" w:hAnsi="Book Antiqua"/>
          <w:sz w:val="24"/>
        </w:rPr>
        <w:t>However, it is unknown which</w:t>
      </w:r>
      <w:r w:rsidRPr="0075543B">
        <w:rPr>
          <w:rFonts w:ascii="Book Antiqua" w:hAnsi="Book Antiqua"/>
          <w:sz w:val="24"/>
        </w:rPr>
        <w:t xml:space="preserve"> patients need to receive a genomic and metabolic assessment. Here, we report a rare case of severe </w:t>
      </w:r>
      <w:r w:rsidR="0040663E">
        <w:rPr>
          <w:rFonts w:ascii="Book Antiqua" w:hAnsi="Book Antiqua"/>
          <w:sz w:val="24"/>
        </w:rPr>
        <w:t>PH</w:t>
      </w:r>
      <w:r w:rsidRPr="0075543B">
        <w:rPr>
          <w:rFonts w:ascii="Book Antiqua" w:hAnsi="Book Antiqua"/>
          <w:sz w:val="24"/>
        </w:rPr>
        <w:t xml:space="preserve"> as the first manifestation </w:t>
      </w:r>
      <w:r w:rsidR="00066C7A" w:rsidRPr="0075543B">
        <w:rPr>
          <w:rFonts w:ascii="Book Antiqua" w:hAnsi="Book Antiqua"/>
          <w:sz w:val="24"/>
        </w:rPr>
        <w:t xml:space="preserve">in a patient </w:t>
      </w:r>
      <w:r w:rsidRPr="0075543B">
        <w:rPr>
          <w:rFonts w:ascii="Book Antiqua" w:hAnsi="Book Antiqua"/>
          <w:sz w:val="24"/>
        </w:rPr>
        <w:t xml:space="preserve">who underwent a delayed genomic and metabolic assessment to </w:t>
      </w:r>
      <w:r w:rsidR="00066C7A" w:rsidRPr="0075543B">
        <w:rPr>
          <w:rFonts w:ascii="Book Antiqua" w:hAnsi="Book Antiqua"/>
          <w:sz w:val="24"/>
        </w:rPr>
        <w:t xml:space="preserve">accurately understand </w:t>
      </w:r>
      <w:r w:rsidRPr="0075543B">
        <w:rPr>
          <w:rFonts w:ascii="Book Antiqua" w:hAnsi="Book Antiqua"/>
          <w:sz w:val="24"/>
        </w:rPr>
        <w:t>the disorder. In addition, we reconsider</w:t>
      </w:r>
      <w:r w:rsidR="009E5806" w:rsidRPr="0075543B">
        <w:rPr>
          <w:rFonts w:ascii="Book Antiqua" w:hAnsi="Book Antiqua"/>
          <w:sz w:val="24"/>
        </w:rPr>
        <w:t>ed</w:t>
      </w:r>
      <w:r w:rsidRPr="0075543B">
        <w:rPr>
          <w:rFonts w:ascii="Book Antiqua" w:hAnsi="Book Antiqua"/>
          <w:sz w:val="24"/>
        </w:rPr>
        <w:t xml:space="preserve"> the criteria for unexplained </w:t>
      </w:r>
      <w:r w:rsidR="0040663E">
        <w:rPr>
          <w:rFonts w:ascii="Book Antiqua" w:hAnsi="Book Antiqua"/>
          <w:sz w:val="24"/>
        </w:rPr>
        <w:t>PH</w:t>
      </w:r>
      <w:r w:rsidRPr="0075543B">
        <w:rPr>
          <w:rFonts w:ascii="Book Antiqua" w:hAnsi="Book Antiqua"/>
          <w:sz w:val="24"/>
        </w:rPr>
        <w:t xml:space="preserve"> </w:t>
      </w:r>
      <w:r w:rsidR="00066C7A" w:rsidRPr="0075543B">
        <w:rPr>
          <w:rFonts w:ascii="Book Antiqua" w:hAnsi="Book Antiqua"/>
          <w:sz w:val="24"/>
        </w:rPr>
        <w:t>that indicate the need for a</w:t>
      </w:r>
      <w:r w:rsidRPr="0075543B">
        <w:rPr>
          <w:rFonts w:ascii="Book Antiqua" w:hAnsi="Book Antiqua"/>
          <w:sz w:val="24"/>
        </w:rPr>
        <w:t xml:space="preserve"> </w:t>
      </w:r>
      <w:r w:rsidR="00066C7A" w:rsidRPr="0075543B">
        <w:rPr>
          <w:rFonts w:ascii="Book Antiqua" w:hAnsi="Book Antiqua"/>
          <w:sz w:val="24"/>
        </w:rPr>
        <w:t>combined</w:t>
      </w:r>
      <w:r w:rsidRPr="0075543B">
        <w:rPr>
          <w:rFonts w:ascii="Book Antiqua" w:hAnsi="Book Antiqua"/>
          <w:sz w:val="24"/>
        </w:rPr>
        <w:t xml:space="preserve"> </w:t>
      </w:r>
      <w:r w:rsidR="00066C7A" w:rsidRPr="0075543B">
        <w:rPr>
          <w:rFonts w:ascii="Book Antiqua" w:hAnsi="Book Antiqua"/>
          <w:sz w:val="24"/>
        </w:rPr>
        <w:t xml:space="preserve">genomic </w:t>
      </w:r>
      <w:r w:rsidRPr="0075543B">
        <w:rPr>
          <w:rFonts w:ascii="Book Antiqua" w:hAnsi="Book Antiqua"/>
          <w:sz w:val="24"/>
        </w:rPr>
        <w:t xml:space="preserve">and </w:t>
      </w:r>
      <w:r w:rsidR="00066C7A" w:rsidRPr="0075543B">
        <w:rPr>
          <w:rFonts w:ascii="Book Antiqua" w:hAnsi="Book Antiqua"/>
          <w:sz w:val="24"/>
        </w:rPr>
        <w:t>metabolic assessments</w:t>
      </w:r>
      <w:r w:rsidRPr="0075543B">
        <w:rPr>
          <w:rFonts w:ascii="Book Antiqua" w:hAnsi="Book Antiqua"/>
          <w:sz w:val="24"/>
        </w:rPr>
        <w:t>.</w:t>
      </w:r>
    </w:p>
    <w:p w14:paraId="0F36CB7E" w14:textId="77777777" w:rsidR="00371469" w:rsidRPr="0075543B" w:rsidRDefault="00371469" w:rsidP="0075543B">
      <w:pPr>
        <w:adjustRightInd w:val="0"/>
        <w:snapToGrid w:val="0"/>
        <w:spacing w:line="360" w:lineRule="auto"/>
        <w:rPr>
          <w:rFonts w:ascii="Book Antiqua" w:hAnsi="Book Antiqua"/>
          <w:sz w:val="24"/>
        </w:rPr>
      </w:pPr>
    </w:p>
    <w:p w14:paraId="697980BE" w14:textId="02C308D7" w:rsidR="00605CD3" w:rsidRPr="00B43703" w:rsidRDefault="002A722D" w:rsidP="0075543B">
      <w:pPr>
        <w:adjustRightInd w:val="0"/>
        <w:snapToGrid w:val="0"/>
        <w:spacing w:line="360" w:lineRule="auto"/>
        <w:rPr>
          <w:rFonts w:ascii="Book Antiqua" w:hAnsi="Book Antiqua"/>
          <w:sz w:val="24"/>
          <w:u w:val="single"/>
        </w:rPr>
      </w:pPr>
      <w:r w:rsidRPr="00B43703">
        <w:rPr>
          <w:rFonts w:ascii="Book Antiqua" w:hAnsi="Book Antiqua"/>
          <w:b/>
          <w:bCs/>
          <w:sz w:val="24"/>
          <w:u w:val="single"/>
        </w:rPr>
        <w:t>CASE PRESENTATION</w:t>
      </w:r>
    </w:p>
    <w:p w14:paraId="754CEC2F" w14:textId="1F618B83" w:rsidR="00605CD3" w:rsidRPr="0075543B" w:rsidRDefault="00E469D1" w:rsidP="0075543B">
      <w:pPr>
        <w:adjustRightInd w:val="0"/>
        <w:snapToGrid w:val="0"/>
        <w:spacing w:line="360" w:lineRule="auto"/>
        <w:rPr>
          <w:rFonts w:ascii="Book Antiqua" w:hAnsi="Book Antiqua"/>
          <w:b/>
          <w:i/>
          <w:sz w:val="24"/>
        </w:rPr>
      </w:pPr>
      <w:r w:rsidRPr="0075543B">
        <w:rPr>
          <w:rFonts w:ascii="Book Antiqua" w:hAnsi="Book Antiqua"/>
          <w:b/>
          <w:i/>
          <w:sz w:val="24"/>
        </w:rPr>
        <w:t>Chief complaints</w:t>
      </w:r>
    </w:p>
    <w:p w14:paraId="2FC4DB5A" w14:textId="79C97FE5" w:rsidR="00B43703" w:rsidRDefault="00E469D1" w:rsidP="0075543B">
      <w:pPr>
        <w:adjustRightInd w:val="0"/>
        <w:snapToGrid w:val="0"/>
        <w:spacing w:line="360" w:lineRule="auto"/>
        <w:rPr>
          <w:rFonts w:ascii="Book Antiqua" w:hAnsi="Book Antiqua"/>
          <w:sz w:val="24"/>
        </w:rPr>
      </w:pPr>
      <w:r w:rsidRPr="0075543B">
        <w:rPr>
          <w:rFonts w:ascii="Book Antiqua" w:hAnsi="Book Antiqua"/>
          <w:sz w:val="24"/>
        </w:rPr>
        <w:t xml:space="preserve">An 11-year-old girl complained of </w:t>
      </w:r>
      <w:r w:rsidR="00124353" w:rsidRPr="0075543B">
        <w:rPr>
          <w:rFonts w:ascii="Book Antiqua" w:hAnsi="Book Antiqua"/>
          <w:sz w:val="24"/>
        </w:rPr>
        <w:t xml:space="preserve">an </w:t>
      </w:r>
      <w:r w:rsidRPr="0075543B">
        <w:rPr>
          <w:rFonts w:ascii="Book Antiqua" w:hAnsi="Book Antiqua"/>
          <w:sz w:val="24"/>
        </w:rPr>
        <w:t xml:space="preserve">aggressive reduction </w:t>
      </w:r>
      <w:r w:rsidR="00124353" w:rsidRPr="0075543B">
        <w:rPr>
          <w:rFonts w:ascii="Book Antiqua" w:hAnsi="Book Antiqua"/>
          <w:sz w:val="24"/>
        </w:rPr>
        <w:t xml:space="preserve">in </w:t>
      </w:r>
      <w:r w:rsidRPr="0075543B">
        <w:rPr>
          <w:rFonts w:ascii="Book Antiqua" w:hAnsi="Book Antiqua"/>
          <w:sz w:val="24"/>
        </w:rPr>
        <w:t xml:space="preserve">activity capability and shortness of breath and presented </w:t>
      </w:r>
      <w:r w:rsidR="00124353" w:rsidRPr="0075543B">
        <w:rPr>
          <w:rFonts w:ascii="Book Antiqua" w:hAnsi="Book Antiqua"/>
          <w:sz w:val="24"/>
        </w:rPr>
        <w:t xml:space="preserve">to </w:t>
      </w:r>
      <w:r w:rsidRPr="0075543B">
        <w:rPr>
          <w:rFonts w:ascii="Book Antiqua" w:hAnsi="Book Antiqua"/>
          <w:sz w:val="24"/>
        </w:rPr>
        <w:t>our cardiovascular department.</w:t>
      </w:r>
    </w:p>
    <w:p w14:paraId="230DCE3F" w14:textId="423C7A17" w:rsidR="00605CD3" w:rsidRPr="0075543B" w:rsidRDefault="00605CD3" w:rsidP="0075543B">
      <w:pPr>
        <w:adjustRightInd w:val="0"/>
        <w:snapToGrid w:val="0"/>
        <w:spacing w:line="360" w:lineRule="auto"/>
        <w:rPr>
          <w:rFonts w:ascii="Book Antiqua" w:hAnsi="Book Antiqua"/>
          <w:sz w:val="24"/>
        </w:rPr>
      </w:pPr>
    </w:p>
    <w:p w14:paraId="63AE1470" w14:textId="2EE196C3" w:rsidR="00605CD3" w:rsidRPr="0075543B" w:rsidRDefault="00E469D1" w:rsidP="0075543B">
      <w:pPr>
        <w:adjustRightInd w:val="0"/>
        <w:snapToGrid w:val="0"/>
        <w:spacing w:line="360" w:lineRule="auto"/>
        <w:rPr>
          <w:rFonts w:ascii="Book Antiqua" w:hAnsi="Book Antiqua"/>
          <w:b/>
          <w:i/>
          <w:sz w:val="24"/>
        </w:rPr>
      </w:pPr>
      <w:r w:rsidRPr="0075543B">
        <w:rPr>
          <w:rFonts w:ascii="Book Antiqua" w:hAnsi="Book Antiqua"/>
          <w:b/>
          <w:i/>
          <w:sz w:val="24"/>
        </w:rPr>
        <w:t>History of illness</w:t>
      </w:r>
    </w:p>
    <w:p w14:paraId="2852E674" w14:textId="2CC95238" w:rsidR="00605CD3" w:rsidRPr="0075543B" w:rsidRDefault="002A722D" w:rsidP="0075543B">
      <w:pPr>
        <w:adjustRightInd w:val="0"/>
        <w:snapToGrid w:val="0"/>
        <w:spacing w:line="360" w:lineRule="auto"/>
        <w:rPr>
          <w:rFonts w:ascii="Book Antiqua" w:hAnsi="Book Antiqua"/>
          <w:sz w:val="24"/>
        </w:rPr>
      </w:pPr>
      <w:r w:rsidRPr="0075543B">
        <w:rPr>
          <w:rFonts w:ascii="Book Antiqua" w:hAnsi="Book Antiqua"/>
          <w:sz w:val="24"/>
        </w:rPr>
        <w:t xml:space="preserve">The </w:t>
      </w:r>
      <w:r w:rsidR="00E469D1" w:rsidRPr="0075543B">
        <w:rPr>
          <w:rFonts w:ascii="Book Antiqua" w:hAnsi="Book Antiqua"/>
          <w:sz w:val="24"/>
        </w:rPr>
        <w:t xml:space="preserve">patient started to demonstrate a reduction in activity capability 4 </w:t>
      </w:r>
      <w:proofErr w:type="spellStart"/>
      <w:r w:rsidR="00B43703">
        <w:rPr>
          <w:rFonts w:ascii="Book Antiqua" w:hAnsi="Book Antiqua" w:hint="eastAsia"/>
          <w:sz w:val="24"/>
        </w:rPr>
        <w:t>mo</w:t>
      </w:r>
      <w:proofErr w:type="spellEnd"/>
      <w:r w:rsidR="00E469D1" w:rsidRPr="0075543B">
        <w:rPr>
          <w:rFonts w:ascii="Book Antiqua" w:hAnsi="Book Antiqua"/>
          <w:sz w:val="24"/>
        </w:rPr>
        <w:t xml:space="preserve"> ago and progressed </w:t>
      </w:r>
      <w:r w:rsidR="00124353" w:rsidRPr="0075543B">
        <w:rPr>
          <w:rFonts w:ascii="Book Antiqua" w:hAnsi="Book Antiqua"/>
          <w:sz w:val="24"/>
        </w:rPr>
        <w:t xml:space="preserve">with </w:t>
      </w:r>
      <w:r w:rsidR="00E469D1" w:rsidRPr="0075543B">
        <w:rPr>
          <w:rFonts w:ascii="Book Antiqua" w:hAnsi="Book Antiqua"/>
          <w:sz w:val="24"/>
        </w:rPr>
        <w:t>accelerated worsening</w:t>
      </w:r>
      <w:r w:rsidR="00124353" w:rsidRPr="0075543B">
        <w:rPr>
          <w:rFonts w:ascii="Book Antiqua" w:hAnsi="Book Antiqua"/>
          <w:sz w:val="24"/>
        </w:rPr>
        <w:t xml:space="preserve"> of her</w:t>
      </w:r>
      <w:r w:rsidR="00E469D1" w:rsidRPr="0075543B">
        <w:rPr>
          <w:rFonts w:ascii="Book Antiqua" w:hAnsi="Book Antiqua"/>
          <w:sz w:val="24"/>
        </w:rPr>
        <w:t xml:space="preserve"> condition within the </w:t>
      </w:r>
      <w:r w:rsidR="00124353" w:rsidRPr="0075543B">
        <w:rPr>
          <w:rFonts w:ascii="Book Antiqua" w:hAnsi="Book Antiqua"/>
          <w:sz w:val="24"/>
        </w:rPr>
        <w:t xml:space="preserve">most recent </w:t>
      </w:r>
      <w:r w:rsidR="00E469D1" w:rsidRPr="0075543B">
        <w:rPr>
          <w:rFonts w:ascii="Book Antiqua" w:hAnsi="Book Antiqua"/>
          <w:sz w:val="24"/>
        </w:rPr>
        <w:t xml:space="preserve">1 </w:t>
      </w:r>
      <w:proofErr w:type="spellStart"/>
      <w:r w:rsidR="002A33DF">
        <w:rPr>
          <w:rFonts w:ascii="Book Antiqua" w:hAnsi="Book Antiqua" w:hint="eastAsia"/>
          <w:sz w:val="24"/>
        </w:rPr>
        <w:t>mo</w:t>
      </w:r>
      <w:proofErr w:type="spellEnd"/>
      <w:r w:rsidR="00E469D1" w:rsidRPr="0075543B">
        <w:rPr>
          <w:rFonts w:ascii="Book Antiqua" w:hAnsi="Book Antiqua"/>
          <w:sz w:val="24"/>
        </w:rPr>
        <w:t xml:space="preserve">, presenting severe shortness of breath. However, the patient denied any </w:t>
      </w:r>
      <w:r w:rsidR="00124353" w:rsidRPr="0075543B">
        <w:rPr>
          <w:rFonts w:ascii="Book Antiqua" w:hAnsi="Book Antiqua"/>
          <w:sz w:val="24"/>
        </w:rPr>
        <w:t xml:space="preserve">history of </w:t>
      </w:r>
      <w:r w:rsidR="00E469D1" w:rsidRPr="0075543B">
        <w:rPr>
          <w:rFonts w:ascii="Book Antiqua" w:hAnsi="Book Antiqua"/>
          <w:sz w:val="24"/>
        </w:rPr>
        <w:t>past illness.</w:t>
      </w:r>
    </w:p>
    <w:p w14:paraId="46F00653" w14:textId="77777777" w:rsidR="002A722D" w:rsidRPr="0075543B" w:rsidRDefault="002A722D" w:rsidP="0075543B">
      <w:pPr>
        <w:adjustRightInd w:val="0"/>
        <w:snapToGrid w:val="0"/>
        <w:spacing w:line="360" w:lineRule="auto"/>
        <w:rPr>
          <w:rFonts w:ascii="Book Antiqua" w:hAnsi="Book Antiqua"/>
          <w:sz w:val="24"/>
        </w:rPr>
      </w:pPr>
    </w:p>
    <w:p w14:paraId="0F5FBAD9" w14:textId="1DDD79A5" w:rsidR="00605CD3" w:rsidRPr="0075543B" w:rsidRDefault="00E469D1" w:rsidP="0075543B">
      <w:pPr>
        <w:adjustRightInd w:val="0"/>
        <w:snapToGrid w:val="0"/>
        <w:spacing w:line="360" w:lineRule="auto"/>
        <w:rPr>
          <w:rFonts w:ascii="Book Antiqua" w:hAnsi="Book Antiqua"/>
          <w:b/>
          <w:sz w:val="24"/>
        </w:rPr>
      </w:pPr>
      <w:r w:rsidRPr="0075543B">
        <w:rPr>
          <w:rFonts w:ascii="Book Antiqua" w:hAnsi="Book Antiqua"/>
          <w:b/>
          <w:i/>
          <w:sz w:val="24"/>
        </w:rPr>
        <w:t xml:space="preserve">Physical, laboratory and imaging </w:t>
      </w:r>
      <w:r w:rsidR="00124353" w:rsidRPr="0075543B">
        <w:rPr>
          <w:rFonts w:ascii="Book Antiqua" w:hAnsi="Book Antiqua"/>
          <w:b/>
          <w:i/>
          <w:sz w:val="24"/>
        </w:rPr>
        <w:t>examinations</w:t>
      </w:r>
    </w:p>
    <w:p w14:paraId="668FCDFA" w14:textId="78D65792" w:rsidR="00605CD3" w:rsidRPr="0075543B" w:rsidRDefault="00E469D1" w:rsidP="0075543B">
      <w:pPr>
        <w:adjustRightInd w:val="0"/>
        <w:snapToGrid w:val="0"/>
        <w:spacing w:line="360" w:lineRule="auto"/>
        <w:rPr>
          <w:rFonts w:ascii="Book Antiqua" w:hAnsi="Book Antiqua"/>
          <w:sz w:val="24"/>
        </w:rPr>
      </w:pPr>
      <w:r w:rsidRPr="0075543B">
        <w:rPr>
          <w:rFonts w:ascii="Book Antiqua" w:hAnsi="Book Antiqua"/>
          <w:sz w:val="24"/>
        </w:rPr>
        <w:t>An enhanced P2 sound and a systolic murmur between sternal ribs</w:t>
      </w:r>
      <w:r w:rsidR="00124353" w:rsidRPr="0075543B">
        <w:rPr>
          <w:rFonts w:ascii="Book Antiqua" w:hAnsi="Book Antiqua"/>
          <w:sz w:val="24"/>
        </w:rPr>
        <w:t xml:space="preserve"> 2 and 3</w:t>
      </w:r>
      <w:r w:rsidRPr="0075543B">
        <w:rPr>
          <w:rFonts w:ascii="Book Antiqua" w:hAnsi="Book Antiqua"/>
          <w:sz w:val="24"/>
        </w:rPr>
        <w:t xml:space="preserve"> were observed. She suffered </w:t>
      </w:r>
      <w:r w:rsidR="00124353" w:rsidRPr="0075543B">
        <w:rPr>
          <w:rFonts w:ascii="Book Antiqua" w:hAnsi="Book Antiqua"/>
          <w:sz w:val="24"/>
        </w:rPr>
        <w:t xml:space="preserve">from </w:t>
      </w:r>
      <w:r w:rsidRPr="0075543B">
        <w:rPr>
          <w:rFonts w:ascii="Book Antiqua" w:hAnsi="Book Antiqua"/>
          <w:sz w:val="24"/>
        </w:rPr>
        <w:t xml:space="preserve">NYHA class II heart function. Echocardiography revealed a large right ventricle and pulmonary artery trunk, with an estimated 60 mmHg pulmonary arterial pressure and normal left heart function. </w:t>
      </w:r>
      <w:r w:rsidRPr="0075543B">
        <w:rPr>
          <w:rFonts w:ascii="Book Antiqua" w:hAnsi="Book Antiqua"/>
          <w:bCs/>
          <w:sz w:val="24"/>
        </w:rPr>
        <w:t xml:space="preserve">Computed tomography and magnetic resonance imaging </w:t>
      </w:r>
      <w:r w:rsidRPr="0075543B">
        <w:rPr>
          <w:rFonts w:ascii="Book Antiqua" w:hAnsi="Book Antiqua"/>
          <w:sz w:val="24"/>
        </w:rPr>
        <w:t>scans excluded lung disease and cardiomyopathy</w:t>
      </w:r>
      <w:r w:rsidR="00124353" w:rsidRPr="0075543B">
        <w:rPr>
          <w:rFonts w:ascii="Book Antiqua" w:hAnsi="Book Antiqua"/>
          <w:sz w:val="24"/>
        </w:rPr>
        <w:t>, which</w:t>
      </w:r>
      <w:r w:rsidRPr="0075543B">
        <w:rPr>
          <w:rFonts w:ascii="Book Antiqua" w:hAnsi="Book Antiqua"/>
          <w:sz w:val="24"/>
        </w:rPr>
        <w:t xml:space="preserve"> could lead to </w:t>
      </w:r>
      <w:r w:rsidR="0040663E">
        <w:rPr>
          <w:rFonts w:ascii="Book Antiqua" w:hAnsi="Book Antiqua"/>
          <w:sz w:val="24"/>
        </w:rPr>
        <w:t>PH</w:t>
      </w:r>
      <w:r w:rsidRPr="0075543B">
        <w:rPr>
          <w:rFonts w:ascii="Book Antiqua" w:hAnsi="Book Antiqua"/>
          <w:sz w:val="24"/>
        </w:rPr>
        <w:t xml:space="preserve">. In addition, the results of </w:t>
      </w:r>
      <w:r w:rsidR="00124353" w:rsidRPr="0075543B">
        <w:rPr>
          <w:rFonts w:ascii="Book Antiqua" w:hAnsi="Book Antiqua"/>
          <w:sz w:val="24"/>
        </w:rPr>
        <w:t xml:space="preserve">the </w:t>
      </w:r>
      <w:r w:rsidRPr="0075543B">
        <w:rPr>
          <w:rFonts w:ascii="Book Antiqua" w:hAnsi="Book Antiqua"/>
          <w:sz w:val="24"/>
        </w:rPr>
        <w:t>autoimmune antibody analysis were negative and excluded any connective tissue or rheumatological diseases.</w:t>
      </w:r>
    </w:p>
    <w:p w14:paraId="012F79A5" w14:textId="77777777" w:rsidR="002A722D" w:rsidRPr="0075543B" w:rsidRDefault="002A722D" w:rsidP="0075543B">
      <w:pPr>
        <w:adjustRightInd w:val="0"/>
        <w:snapToGrid w:val="0"/>
        <w:spacing w:line="360" w:lineRule="auto"/>
        <w:rPr>
          <w:rFonts w:ascii="Book Antiqua" w:hAnsi="Book Antiqua"/>
          <w:sz w:val="24"/>
        </w:rPr>
      </w:pPr>
    </w:p>
    <w:p w14:paraId="35DDE409" w14:textId="2B3FED30" w:rsidR="00605CD3" w:rsidRPr="0075543B" w:rsidRDefault="00E469D1" w:rsidP="0075543B">
      <w:pPr>
        <w:adjustRightInd w:val="0"/>
        <w:snapToGrid w:val="0"/>
        <w:spacing w:line="360" w:lineRule="auto"/>
        <w:rPr>
          <w:rFonts w:ascii="Book Antiqua" w:hAnsi="Book Antiqua"/>
          <w:b/>
          <w:i/>
          <w:sz w:val="24"/>
        </w:rPr>
      </w:pPr>
      <w:r w:rsidRPr="0075543B">
        <w:rPr>
          <w:rFonts w:ascii="Book Antiqua" w:hAnsi="Book Antiqua"/>
          <w:b/>
          <w:i/>
          <w:sz w:val="24"/>
        </w:rPr>
        <w:t>Cardiac catheterization examination</w:t>
      </w:r>
    </w:p>
    <w:p w14:paraId="44B08AE2" w14:textId="761D1C5F" w:rsidR="00F679F2" w:rsidRDefault="00371469" w:rsidP="0075543B">
      <w:pPr>
        <w:adjustRightInd w:val="0"/>
        <w:snapToGrid w:val="0"/>
        <w:spacing w:line="360" w:lineRule="auto"/>
        <w:rPr>
          <w:rFonts w:ascii="Book Antiqua" w:hAnsi="Book Antiqua"/>
          <w:sz w:val="24"/>
        </w:rPr>
      </w:pPr>
      <w:r w:rsidRPr="0075543B">
        <w:rPr>
          <w:rFonts w:ascii="Book Antiqua" w:hAnsi="Book Antiqua"/>
          <w:sz w:val="24"/>
        </w:rPr>
        <w:t>T</w:t>
      </w:r>
      <w:r w:rsidR="00124353" w:rsidRPr="0075543B">
        <w:rPr>
          <w:rFonts w:ascii="Book Antiqua" w:hAnsi="Book Antiqua"/>
          <w:sz w:val="24"/>
        </w:rPr>
        <w:t xml:space="preserve">he </w:t>
      </w:r>
      <w:r w:rsidR="00E469D1" w:rsidRPr="0075543B">
        <w:rPr>
          <w:rFonts w:ascii="Book Antiqua" w:hAnsi="Book Antiqua"/>
          <w:sz w:val="24"/>
        </w:rPr>
        <w:t xml:space="preserve">right ventricular catheter examination showed </w:t>
      </w:r>
      <w:r w:rsidR="00124353" w:rsidRPr="0075543B">
        <w:rPr>
          <w:rFonts w:ascii="Book Antiqua" w:hAnsi="Book Antiqua"/>
          <w:sz w:val="24"/>
        </w:rPr>
        <w:t xml:space="preserve">an </w:t>
      </w:r>
      <w:r w:rsidR="00E469D1" w:rsidRPr="0075543B">
        <w:rPr>
          <w:rFonts w:ascii="Book Antiqua" w:hAnsi="Book Antiqua"/>
          <w:sz w:val="24"/>
        </w:rPr>
        <w:t xml:space="preserve">elevated right </w:t>
      </w:r>
      <w:r w:rsidR="00124353" w:rsidRPr="0075543B">
        <w:rPr>
          <w:rFonts w:ascii="Book Antiqua" w:hAnsi="Book Antiqua"/>
          <w:sz w:val="24"/>
        </w:rPr>
        <w:t xml:space="preserve">ventricular </w:t>
      </w:r>
      <w:r w:rsidR="00E469D1" w:rsidRPr="0075543B">
        <w:rPr>
          <w:rFonts w:ascii="Book Antiqua" w:hAnsi="Book Antiqua"/>
          <w:sz w:val="24"/>
        </w:rPr>
        <w:t xml:space="preserve">pressure of 50/2 (23) mmHg, main pulmonary artery pressure of 57/21 (55) mmHg, left pulmonary artery pressure of 50/29 (36) mmHg and right pulmonary artery pressure of 60/31 (45) mmHg with a total pulmonary resistance of 8.72 woods, </w:t>
      </w:r>
      <w:proofErr w:type="spellStart"/>
      <w:r w:rsidR="00E469D1" w:rsidRPr="0075543B">
        <w:rPr>
          <w:rFonts w:ascii="Book Antiqua" w:hAnsi="Book Antiqua"/>
          <w:sz w:val="24"/>
        </w:rPr>
        <w:t>Qp</w:t>
      </w:r>
      <w:proofErr w:type="spellEnd"/>
      <w:r w:rsidR="00E469D1" w:rsidRPr="0075543B">
        <w:rPr>
          <w:rFonts w:ascii="Book Antiqua" w:hAnsi="Book Antiqua"/>
          <w:sz w:val="24"/>
        </w:rPr>
        <w:t xml:space="preserve"> 6.3 L/min. Therefore, the catheter evaluation failed to identify a clear </w:t>
      </w:r>
      <w:r w:rsidR="00124353" w:rsidRPr="0075543B">
        <w:rPr>
          <w:rFonts w:ascii="Book Antiqua" w:hAnsi="Book Antiqua"/>
          <w:sz w:val="24"/>
        </w:rPr>
        <w:t>cause</w:t>
      </w:r>
      <w:r w:rsidR="00E469D1" w:rsidRPr="0075543B">
        <w:rPr>
          <w:rFonts w:ascii="Book Antiqua" w:hAnsi="Book Antiqua"/>
          <w:sz w:val="24"/>
        </w:rPr>
        <w:t>.</w:t>
      </w:r>
    </w:p>
    <w:p w14:paraId="1C81FC8C" w14:textId="55D662B8" w:rsidR="00605CD3" w:rsidRPr="0075543B" w:rsidRDefault="00605CD3" w:rsidP="0075543B">
      <w:pPr>
        <w:adjustRightInd w:val="0"/>
        <w:snapToGrid w:val="0"/>
        <w:spacing w:line="360" w:lineRule="auto"/>
        <w:rPr>
          <w:rFonts w:ascii="Book Antiqua" w:hAnsi="Book Antiqua"/>
          <w:sz w:val="24"/>
        </w:rPr>
      </w:pPr>
    </w:p>
    <w:p w14:paraId="41C24114" w14:textId="1C961093" w:rsidR="00605CD3" w:rsidRPr="0075543B" w:rsidRDefault="00E469D1" w:rsidP="0075543B">
      <w:pPr>
        <w:adjustRightInd w:val="0"/>
        <w:snapToGrid w:val="0"/>
        <w:spacing w:line="360" w:lineRule="auto"/>
        <w:rPr>
          <w:rFonts w:ascii="Book Antiqua" w:hAnsi="Book Antiqua"/>
          <w:b/>
          <w:i/>
          <w:sz w:val="24"/>
        </w:rPr>
      </w:pPr>
      <w:r w:rsidRPr="0075543B">
        <w:rPr>
          <w:rFonts w:ascii="Book Antiqua" w:hAnsi="Book Antiqua"/>
          <w:b/>
          <w:i/>
          <w:sz w:val="24"/>
        </w:rPr>
        <w:t>Further diagnostic work-up</w:t>
      </w:r>
    </w:p>
    <w:p w14:paraId="54477B46" w14:textId="042D5317" w:rsidR="00605CD3" w:rsidRPr="0075543B" w:rsidRDefault="00631410" w:rsidP="0075543B">
      <w:pPr>
        <w:adjustRightInd w:val="0"/>
        <w:snapToGrid w:val="0"/>
        <w:spacing w:line="360" w:lineRule="auto"/>
        <w:rPr>
          <w:rFonts w:ascii="Book Antiqua" w:hAnsi="Book Antiqua"/>
          <w:sz w:val="24"/>
        </w:rPr>
      </w:pPr>
      <w:r w:rsidRPr="0075543B">
        <w:rPr>
          <w:rFonts w:ascii="Book Antiqua" w:hAnsi="Book Antiqua"/>
          <w:sz w:val="24"/>
        </w:rPr>
        <w:t>Because of</w:t>
      </w:r>
      <w:r w:rsidR="00E469D1" w:rsidRPr="0075543B">
        <w:rPr>
          <w:rFonts w:ascii="Book Antiqua" w:hAnsi="Book Antiqua"/>
          <w:sz w:val="24"/>
        </w:rPr>
        <w:t xml:space="preserve"> the rapid progression of pulmonary artery pressure with microcytic anemia and elevated homocysteine, metabolic disorders </w:t>
      </w:r>
      <w:r w:rsidRPr="0075543B">
        <w:rPr>
          <w:rFonts w:ascii="Book Antiqua" w:hAnsi="Book Antiqua"/>
          <w:sz w:val="24"/>
        </w:rPr>
        <w:t>were</w:t>
      </w:r>
      <w:r w:rsidR="00E469D1" w:rsidRPr="0075543B">
        <w:rPr>
          <w:rFonts w:ascii="Book Antiqua" w:hAnsi="Book Antiqua"/>
          <w:sz w:val="24"/>
        </w:rPr>
        <w:t xml:space="preserve"> suspected. Therefore, metabolic screening and genome sequencing </w:t>
      </w:r>
      <w:r w:rsidRPr="0075543B">
        <w:rPr>
          <w:rFonts w:ascii="Book Antiqua" w:hAnsi="Book Antiqua"/>
          <w:sz w:val="24"/>
        </w:rPr>
        <w:t>was performed for this patient</w:t>
      </w:r>
      <w:r w:rsidR="00E469D1" w:rsidRPr="0075543B">
        <w:rPr>
          <w:rFonts w:ascii="Book Antiqua" w:hAnsi="Book Antiqua"/>
          <w:sz w:val="24"/>
        </w:rPr>
        <w:t xml:space="preserve">. Metabolic screening showed an elevation of methylmalonic acid of 51.82 µg/L, </w:t>
      </w:r>
      <w:r w:rsidR="00F06521" w:rsidRPr="0075543B">
        <w:rPr>
          <w:rFonts w:ascii="Book Antiqua" w:hAnsi="Book Antiqua"/>
          <w:sz w:val="24"/>
        </w:rPr>
        <w:t xml:space="preserve">and </w:t>
      </w:r>
      <w:r w:rsidR="00E469D1" w:rsidRPr="0075543B">
        <w:rPr>
          <w:rFonts w:ascii="Book Antiqua" w:hAnsi="Book Antiqua"/>
          <w:sz w:val="24"/>
        </w:rPr>
        <w:t xml:space="preserve">two mutations c.80A&gt;G/c and 609G&gt;A </w:t>
      </w:r>
      <w:r w:rsidR="00F06521" w:rsidRPr="0075543B">
        <w:rPr>
          <w:rFonts w:ascii="Book Antiqua" w:hAnsi="Book Antiqua"/>
          <w:sz w:val="24"/>
        </w:rPr>
        <w:t>were</w:t>
      </w:r>
      <w:r w:rsidR="00E469D1" w:rsidRPr="0075543B">
        <w:rPr>
          <w:rFonts w:ascii="Book Antiqua" w:hAnsi="Book Antiqua"/>
          <w:sz w:val="24"/>
        </w:rPr>
        <w:t xml:space="preserve"> recognized at the gene </w:t>
      </w:r>
      <w:r w:rsidR="00F06521" w:rsidRPr="0075543B">
        <w:rPr>
          <w:rFonts w:ascii="Book Antiqua" w:hAnsi="Book Antiqua"/>
          <w:sz w:val="24"/>
        </w:rPr>
        <w:t xml:space="preserve">for </w:t>
      </w:r>
      <w:r w:rsidR="00E469D1" w:rsidRPr="0075543B">
        <w:rPr>
          <w:rFonts w:ascii="Book Antiqua" w:hAnsi="Book Antiqua"/>
          <w:sz w:val="24"/>
        </w:rPr>
        <w:t>methylmalonic aciduria and homocystinuria type C protein (</w:t>
      </w:r>
      <w:r w:rsidR="00E469D1" w:rsidRPr="0075543B">
        <w:rPr>
          <w:rFonts w:ascii="Book Antiqua" w:hAnsi="Book Antiqua"/>
          <w:i/>
          <w:sz w:val="24"/>
        </w:rPr>
        <w:t>MMACHC</w:t>
      </w:r>
      <w:r w:rsidR="00E469D1" w:rsidRPr="0075543B">
        <w:rPr>
          <w:rFonts w:ascii="Book Antiqua" w:hAnsi="Book Antiqua"/>
          <w:sz w:val="24"/>
        </w:rPr>
        <w:t xml:space="preserve">), </w:t>
      </w:r>
      <w:r w:rsidR="00F06521" w:rsidRPr="0075543B">
        <w:rPr>
          <w:rFonts w:ascii="Book Antiqua" w:hAnsi="Book Antiqua"/>
          <w:sz w:val="24"/>
        </w:rPr>
        <w:t xml:space="preserve">and these mutations </w:t>
      </w:r>
      <w:r w:rsidR="00E469D1" w:rsidRPr="0075543B">
        <w:rPr>
          <w:rFonts w:ascii="Book Antiqua" w:hAnsi="Book Antiqua"/>
          <w:sz w:val="24"/>
        </w:rPr>
        <w:t>were reported to be associated with methylmalonic acidemia</w:t>
      </w:r>
      <w:r w:rsidR="00F06521" w:rsidRPr="0075543B">
        <w:rPr>
          <w:rFonts w:ascii="Book Antiqua" w:hAnsi="Book Antiqua"/>
          <w:sz w:val="24"/>
        </w:rPr>
        <w:t>,</w:t>
      </w:r>
      <w:r w:rsidR="00E469D1" w:rsidRPr="0075543B">
        <w:rPr>
          <w:rFonts w:ascii="Book Antiqua" w:hAnsi="Book Antiqua"/>
          <w:sz w:val="24"/>
        </w:rPr>
        <w:t xml:space="preserve"> cobalamin C type.</w:t>
      </w:r>
    </w:p>
    <w:p w14:paraId="155A5A1A" w14:textId="77777777" w:rsidR="002A722D" w:rsidRPr="0075543B" w:rsidRDefault="002A722D" w:rsidP="0075543B">
      <w:pPr>
        <w:adjustRightInd w:val="0"/>
        <w:snapToGrid w:val="0"/>
        <w:spacing w:line="360" w:lineRule="auto"/>
        <w:rPr>
          <w:rFonts w:ascii="Book Antiqua" w:hAnsi="Book Antiqua"/>
          <w:sz w:val="24"/>
        </w:rPr>
      </w:pPr>
    </w:p>
    <w:p w14:paraId="5551128E" w14:textId="59D952D3" w:rsidR="00605CD3" w:rsidRPr="00EE6771" w:rsidRDefault="00EE6771" w:rsidP="0075543B">
      <w:pPr>
        <w:adjustRightInd w:val="0"/>
        <w:snapToGrid w:val="0"/>
        <w:spacing w:line="360" w:lineRule="auto"/>
        <w:rPr>
          <w:rFonts w:ascii="Book Antiqua" w:hAnsi="Book Antiqua"/>
          <w:b/>
          <w:sz w:val="24"/>
          <w:u w:val="single"/>
        </w:rPr>
      </w:pPr>
      <w:r w:rsidRPr="00EE6771">
        <w:rPr>
          <w:rFonts w:ascii="Book Antiqua" w:hAnsi="Book Antiqua"/>
          <w:b/>
          <w:sz w:val="24"/>
          <w:u w:val="single"/>
        </w:rPr>
        <w:t>FINAL DIAGNOSIS</w:t>
      </w:r>
    </w:p>
    <w:p w14:paraId="2241C188" w14:textId="05B2EEC1" w:rsidR="00605CD3" w:rsidRPr="0075543B" w:rsidRDefault="00E469D1" w:rsidP="0075543B">
      <w:pPr>
        <w:adjustRightInd w:val="0"/>
        <w:snapToGrid w:val="0"/>
        <w:spacing w:line="360" w:lineRule="auto"/>
        <w:rPr>
          <w:rFonts w:ascii="Book Antiqua" w:hAnsi="Book Antiqua"/>
          <w:sz w:val="24"/>
        </w:rPr>
      </w:pPr>
      <w:r w:rsidRPr="0075543B">
        <w:rPr>
          <w:rFonts w:ascii="Book Antiqua" w:hAnsi="Book Antiqua"/>
          <w:sz w:val="24"/>
        </w:rPr>
        <w:t xml:space="preserve">This patient was finally diagnosed with methylmalonic acidemia with aggressive </w:t>
      </w:r>
      <w:r w:rsidR="0040663E">
        <w:rPr>
          <w:rFonts w:ascii="Book Antiqua" w:hAnsi="Book Antiqua"/>
          <w:sz w:val="24"/>
        </w:rPr>
        <w:t>PH</w:t>
      </w:r>
      <w:r w:rsidRPr="0075543B">
        <w:rPr>
          <w:rFonts w:ascii="Book Antiqua" w:hAnsi="Book Antiqua"/>
          <w:sz w:val="24"/>
        </w:rPr>
        <w:t xml:space="preserve"> as the first clinical manifestation.</w:t>
      </w:r>
    </w:p>
    <w:p w14:paraId="6944AEF6" w14:textId="77777777" w:rsidR="00EE6771" w:rsidRDefault="00EE6771" w:rsidP="0075543B">
      <w:pPr>
        <w:adjustRightInd w:val="0"/>
        <w:snapToGrid w:val="0"/>
        <w:spacing w:line="360" w:lineRule="auto"/>
        <w:rPr>
          <w:rFonts w:ascii="Book Antiqua" w:hAnsi="Book Antiqua"/>
          <w:i/>
          <w:sz w:val="24"/>
        </w:rPr>
      </w:pPr>
    </w:p>
    <w:p w14:paraId="4FAA401E" w14:textId="3C7E0E9F" w:rsidR="00605CD3" w:rsidRPr="00EE6771" w:rsidRDefault="00EE6771" w:rsidP="0075543B">
      <w:pPr>
        <w:adjustRightInd w:val="0"/>
        <w:snapToGrid w:val="0"/>
        <w:spacing w:line="360" w:lineRule="auto"/>
        <w:rPr>
          <w:rFonts w:ascii="Book Antiqua" w:hAnsi="Book Antiqua"/>
          <w:b/>
          <w:sz w:val="24"/>
          <w:u w:val="single"/>
        </w:rPr>
      </w:pPr>
      <w:r w:rsidRPr="00EE6771">
        <w:rPr>
          <w:rFonts w:ascii="Book Antiqua" w:hAnsi="Book Antiqua"/>
          <w:b/>
          <w:sz w:val="24"/>
          <w:u w:val="single"/>
        </w:rPr>
        <w:t xml:space="preserve">TREATMENT AND FOLLOW-UP </w:t>
      </w:r>
      <w:r w:rsidRPr="00C12654">
        <w:rPr>
          <w:rFonts w:ascii="Book Antiqua" w:hAnsi="Book Antiqua"/>
          <w:b/>
          <w:sz w:val="24"/>
          <w:u w:val="single"/>
        </w:rPr>
        <w:t>OUTCOME</w:t>
      </w:r>
    </w:p>
    <w:p w14:paraId="516AA433" w14:textId="621078EF" w:rsidR="00605CD3" w:rsidRPr="0075543B" w:rsidRDefault="00E469D1" w:rsidP="0075543B">
      <w:pPr>
        <w:adjustRightInd w:val="0"/>
        <w:snapToGrid w:val="0"/>
        <w:spacing w:line="360" w:lineRule="auto"/>
        <w:rPr>
          <w:rFonts w:ascii="Book Antiqua" w:hAnsi="Book Antiqua"/>
          <w:sz w:val="24"/>
        </w:rPr>
      </w:pPr>
      <w:r w:rsidRPr="0075543B">
        <w:rPr>
          <w:rFonts w:ascii="Book Antiqua" w:hAnsi="Book Antiqua"/>
          <w:sz w:val="24"/>
        </w:rPr>
        <w:t xml:space="preserve">As metabolic and genome screening need almost 1 </w:t>
      </w:r>
      <w:proofErr w:type="spellStart"/>
      <w:r w:rsidR="004B4E41">
        <w:rPr>
          <w:rFonts w:ascii="Book Antiqua" w:hAnsi="Book Antiqua" w:hint="eastAsia"/>
          <w:sz w:val="24"/>
        </w:rPr>
        <w:t>mo</w:t>
      </w:r>
      <w:proofErr w:type="spellEnd"/>
      <w:r w:rsidRPr="0075543B">
        <w:rPr>
          <w:rFonts w:ascii="Book Antiqua" w:hAnsi="Book Antiqua"/>
          <w:sz w:val="24"/>
        </w:rPr>
        <w:t xml:space="preserve"> to be completed, we </w:t>
      </w:r>
      <w:r w:rsidR="00745C1C" w:rsidRPr="0075543B">
        <w:rPr>
          <w:rFonts w:ascii="Book Antiqua" w:hAnsi="Book Antiqua"/>
          <w:sz w:val="24"/>
        </w:rPr>
        <w:t xml:space="preserve">provided </w:t>
      </w:r>
      <w:proofErr w:type="spellStart"/>
      <w:r w:rsidR="00745C1C" w:rsidRPr="0075543B">
        <w:rPr>
          <w:rFonts w:ascii="Book Antiqua" w:hAnsi="Book Antiqua"/>
          <w:sz w:val="24"/>
        </w:rPr>
        <w:t>bosentan</w:t>
      </w:r>
      <w:proofErr w:type="spellEnd"/>
      <w:r w:rsidR="00745C1C" w:rsidRPr="0075543B">
        <w:rPr>
          <w:rFonts w:ascii="Book Antiqua" w:hAnsi="Book Antiqua"/>
          <w:sz w:val="24"/>
        </w:rPr>
        <w:t xml:space="preserve"> </w:t>
      </w:r>
      <w:r w:rsidRPr="0075543B">
        <w:rPr>
          <w:rFonts w:ascii="Book Antiqua" w:hAnsi="Book Antiqua"/>
          <w:sz w:val="24"/>
        </w:rPr>
        <w:t xml:space="preserve">(endothelin-1 inhibitor) to this patient and </w:t>
      </w:r>
      <w:r w:rsidR="00745C1C" w:rsidRPr="0075543B">
        <w:rPr>
          <w:rFonts w:ascii="Book Antiqua" w:hAnsi="Book Antiqua"/>
          <w:sz w:val="24"/>
        </w:rPr>
        <w:t xml:space="preserve">performed </w:t>
      </w:r>
      <w:r w:rsidRPr="0075543B">
        <w:rPr>
          <w:rFonts w:ascii="Book Antiqua" w:hAnsi="Book Antiqua"/>
          <w:sz w:val="24"/>
        </w:rPr>
        <w:t xml:space="preserve">frequent follow-up </w:t>
      </w:r>
      <w:r w:rsidR="00745C1C" w:rsidRPr="0075543B">
        <w:rPr>
          <w:rFonts w:ascii="Book Antiqua" w:hAnsi="Book Antiqua"/>
          <w:sz w:val="24"/>
        </w:rPr>
        <w:t xml:space="preserve">assessments </w:t>
      </w:r>
      <w:r w:rsidRPr="0075543B">
        <w:rPr>
          <w:rFonts w:ascii="Book Antiqua" w:hAnsi="Book Antiqua"/>
          <w:sz w:val="24"/>
        </w:rPr>
        <w:t xml:space="preserve">while waiting for results. However, after 1 </w:t>
      </w:r>
      <w:proofErr w:type="spellStart"/>
      <w:r w:rsidR="004F75AD">
        <w:rPr>
          <w:rFonts w:ascii="Book Antiqua" w:hAnsi="Book Antiqua" w:hint="eastAsia"/>
          <w:sz w:val="24"/>
        </w:rPr>
        <w:t>mo</w:t>
      </w:r>
      <w:proofErr w:type="spellEnd"/>
      <w:r w:rsidRPr="0075543B">
        <w:rPr>
          <w:rFonts w:ascii="Book Antiqua" w:hAnsi="Book Antiqua"/>
          <w:sz w:val="24"/>
        </w:rPr>
        <w:t xml:space="preserve">, the patient presented </w:t>
      </w:r>
      <w:r w:rsidR="00745C1C" w:rsidRPr="0075543B">
        <w:rPr>
          <w:rFonts w:ascii="Book Antiqua" w:hAnsi="Book Antiqua"/>
          <w:sz w:val="24"/>
        </w:rPr>
        <w:t xml:space="preserve">with </w:t>
      </w:r>
      <w:r w:rsidRPr="0075543B">
        <w:rPr>
          <w:rFonts w:ascii="Book Antiqua" w:hAnsi="Book Antiqua"/>
          <w:sz w:val="24"/>
        </w:rPr>
        <w:t xml:space="preserve">aggressive worsening </w:t>
      </w:r>
      <w:r w:rsidR="00745C1C" w:rsidRPr="0075543B">
        <w:rPr>
          <w:rFonts w:ascii="Book Antiqua" w:hAnsi="Book Antiqua"/>
          <w:sz w:val="24"/>
        </w:rPr>
        <w:t xml:space="preserve">of the </w:t>
      </w:r>
      <w:r w:rsidRPr="0075543B">
        <w:rPr>
          <w:rFonts w:ascii="Book Antiqua" w:hAnsi="Book Antiqua"/>
          <w:sz w:val="24"/>
        </w:rPr>
        <w:t xml:space="preserve">clinical </w:t>
      </w:r>
      <w:r w:rsidR="00745C1C" w:rsidRPr="0075543B">
        <w:rPr>
          <w:rFonts w:ascii="Book Antiqua" w:hAnsi="Book Antiqua"/>
          <w:sz w:val="24"/>
        </w:rPr>
        <w:t>manifestations</w:t>
      </w:r>
      <w:r w:rsidRPr="0075543B">
        <w:rPr>
          <w:rFonts w:ascii="Book Antiqua" w:hAnsi="Book Antiqua"/>
          <w:sz w:val="24"/>
        </w:rPr>
        <w:t xml:space="preserve">. </w:t>
      </w:r>
      <w:r w:rsidR="00745C1C" w:rsidRPr="0075543B">
        <w:rPr>
          <w:rFonts w:ascii="Book Antiqua" w:hAnsi="Book Antiqua"/>
          <w:sz w:val="24"/>
        </w:rPr>
        <w:t xml:space="preserve">Her heart </w:t>
      </w:r>
      <w:r w:rsidRPr="0075543B">
        <w:rPr>
          <w:rFonts w:ascii="Book Antiqua" w:hAnsi="Book Antiqua"/>
          <w:sz w:val="24"/>
        </w:rPr>
        <w:t xml:space="preserve">function </w:t>
      </w:r>
      <w:r w:rsidR="00745C1C" w:rsidRPr="0075543B">
        <w:rPr>
          <w:rFonts w:ascii="Book Antiqua" w:hAnsi="Book Antiqua"/>
          <w:sz w:val="24"/>
        </w:rPr>
        <w:t>worsened</w:t>
      </w:r>
      <w:r w:rsidRPr="0075543B">
        <w:rPr>
          <w:rFonts w:ascii="Book Antiqua" w:hAnsi="Book Antiqua"/>
          <w:sz w:val="24"/>
        </w:rPr>
        <w:t xml:space="preserve"> to NYHA class IV. The laboratory test demonstrated microcytic anemia with increasing brain natriuretic peptide as </w:t>
      </w:r>
      <w:r w:rsidR="00745C1C" w:rsidRPr="0075543B">
        <w:rPr>
          <w:rFonts w:ascii="Book Antiqua" w:hAnsi="Book Antiqua"/>
          <w:sz w:val="24"/>
        </w:rPr>
        <w:t xml:space="preserve">high as </w:t>
      </w:r>
      <w:r w:rsidRPr="0075543B">
        <w:rPr>
          <w:rFonts w:ascii="Book Antiqua" w:hAnsi="Book Antiqua"/>
          <w:sz w:val="24"/>
        </w:rPr>
        <w:t xml:space="preserve">3939.23 </w:t>
      </w:r>
      <w:proofErr w:type="spellStart"/>
      <w:r w:rsidRPr="0075543B">
        <w:rPr>
          <w:rFonts w:ascii="Book Antiqua" w:hAnsi="Book Antiqua"/>
          <w:sz w:val="24"/>
        </w:rPr>
        <w:t>pg</w:t>
      </w:r>
      <w:proofErr w:type="spellEnd"/>
      <w:r w:rsidRPr="0075543B">
        <w:rPr>
          <w:rFonts w:ascii="Book Antiqua" w:hAnsi="Book Antiqua"/>
          <w:sz w:val="24"/>
        </w:rPr>
        <w:t>/mL (</w:t>
      </w:r>
      <w:proofErr w:type="spellStart"/>
      <w:r w:rsidRPr="0075543B">
        <w:rPr>
          <w:rFonts w:ascii="Book Antiqua" w:hAnsi="Book Antiqua"/>
          <w:sz w:val="24"/>
        </w:rPr>
        <w:t>nv</w:t>
      </w:r>
      <w:proofErr w:type="spellEnd"/>
      <w:r w:rsidRPr="0075543B">
        <w:rPr>
          <w:rFonts w:ascii="Book Antiqua" w:hAnsi="Book Antiqua"/>
          <w:sz w:val="24"/>
        </w:rPr>
        <w:t xml:space="preserve"> &lt; 100) and total homocysteine as </w:t>
      </w:r>
      <w:r w:rsidR="00745C1C" w:rsidRPr="0075543B">
        <w:rPr>
          <w:rFonts w:ascii="Book Antiqua" w:hAnsi="Book Antiqua"/>
          <w:sz w:val="24"/>
        </w:rPr>
        <w:t xml:space="preserve">high as </w:t>
      </w:r>
      <w:r w:rsidRPr="0075543B">
        <w:rPr>
          <w:rFonts w:ascii="Book Antiqua" w:hAnsi="Book Antiqua"/>
          <w:sz w:val="24"/>
        </w:rPr>
        <w:t>119.99 µ</w:t>
      </w:r>
      <w:proofErr w:type="spellStart"/>
      <w:r w:rsidRPr="0075543B">
        <w:rPr>
          <w:rFonts w:ascii="Book Antiqua" w:hAnsi="Book Antiqua"/>
          <w:sz w:val="24"/>
        </w:rPr>
        <w:t>mol</w:t>
      </w:r>
      <w:proofErr w:type="spellEnd"/>
      <w:r w:rsidRPr="0075543B">
        <w:rPr>
          <w:rFonts w:ascii="Book Antiqua" w:hAnsi="Book Antiqua"/>
          <w:sz w:val="24"/>
        </w:rPr>
        <w:t>/L (</w:t>
      </w:r>
      <w:proofErr w:type="spellStart"/>
      <w:r w:rsidRPr="0075543B">
        <w:rPr>
          <w:rFonts w:ascii="Book Antiqua" w:hAnsi="Book Antiqua"/>
          <w:sz w:val="24"/>
        </w:rPr>
        <w:t>nv</w:t>
      </w:r>
      <w:proofErr w:type="spellEnd"/>
      <w:r w:rsidRPr="0075543B">
        <w:rPr>
          <w:rFonts w:ascii="Book Antiqua" w:hAnsi="Book Antiqua"/>
          <w:sz w:val="24"/>
        </w:rPr>
        <w:t xml:space="preserve"> &lt; 15). Echocardiography revealed that the pulmonary artery pressure was elevated to 70 mmHg</w:t>
      </w:r>
      <w:r w:rsidR="0058127E" w:rsidRPr="0075543B">
        <w:rPr>
          <w:rFonts w:ascii="Book Antiqua" w:hAnsi="Book Antiqua"/>
          <w:sz w:val="24"/>
        </w:rPr>
        <w:t>,</w:t>
      </w:r>
      <w:r w:rsidRPr="0075543B">
        <w:rPr>
          <w:rFonts w:ascii="Book Antiqua" w:hAnsi="Book Antiqua"/>
          <w:sz w:val="24"/>
        </w:rPr>
        <w:t xml:space="preserve"> with a right ventricular </w:t>
      </w:r>
      <w:proofErr w:type="spellStart"/>
      <w:r w:rsidRPr="0075543B">
        <w:rPr>
          <w:rFonts w:ascii="Book Antiqua" w:hAnsi="Book Antiqua"/>
          <w:sz w:val="24"/>
        </w:rPr>
        <w:t>Tei</w:t>
      </w:r>
      <w:proofErr w:type="spellEnd"/>
      <w:r w:rsidRPr="0075543B">
        <w:rPr>
          <w:rFonts w:ascii="Book Antiqua" w:hAnsi="Book Antiqua"/>
          <w:sz w:val="24"/>
        </w:rPr>
        <w:t xml:space="preserve"> index of 0.8</w:t>
      </w:r>
      <w:r w:rsidR="0058127E" w:rsidRPr="0075543B">
        <w:rPr>
          <w:rFonts w:ascii="Book Antiqua" w:hAnsi="Book Antiqua"/>
          <w:sz w:val="24"/>
        </w:rPr>
        <w:t>,</w:t>
      </w:r>
      <w:r w:rsidRPr="0075543B">
        <w:rPr>
          <w:rFonts w:ascii="Book Antiqua" w:hAnsi="Book Antiqua"/>
          <w:sz w:val="24"/>
        </w:rPr>
        <w:t xml:space="preserve"> </w:t>
      </w:r>
      <w:r w:rsidR="0058127E" w:rsidRPr="0075543B">
        <w:rPr>
          <w:rFonts w:ascii="Book Antiqua" w:hAnsi="Book Antiqua"/>
          <w:sz w:val="24"/>
        </w:rPr>
        <w:t xml:space="preserve">and her </w:t>
      </w:r>
      <w:r w:rsidRPr="0075543B">
        <w:rPr>
          <w:rFonts w:ascii="Book Antiqua" w:hAnsi="Book Antiqua"/>
          <w:sz w:val="24"/>
        </w:rPr>
        <w:t xml:space="preserve">pulmonary artery size increased to 30 mm. </w:t>
      </w:r>
      <w:r w:rsidR="0058127E" w:rsidRPr="0075543B">
        <w:rPr>
          <w:rFonts w:ascii="Book Antiqua" w:hAnsi="Book Antiqua"/>
          <w:sz w:val="24"/>
        </w:rPr>
        <w:t xml:space="preserve">According to </w:t>
      </w:r>
      <w:r w:rsidRPr="0075543B">
        <w:rPr>
          <w:rFonts w:ascii="Book Antiqua" w:hAnsi="Book Antiqua"/>
          <w:sz w:val="24"/>
        </w:rPr>
        <w:t xml:space="preserve">the screening results, a diagnosis of methylmalonic acid was reached. Vitamin B12 (1 mg/d) and betaine (200 mg/kg/day) were </w:t>
      </w:r>
      <w:r w:rsidR="0058127E" w:rsidRPr="0075543B">
        <w:rPr>
          <w:rFonts w:ascii="Book Antiqua" w:hAnsi="Book Antiqua"/>
          <w:sz w:val="24"/>
        </w:rPr>
        <w:t xml:space="preserve">immediately </w:t>
      </w:r>
      <w:r w:rsidRPr="0075543B">
        <w:rPr>
          <w:rFonts w:ascii="Book Antiqua" w:hAnsi="Book Antiqua"/>
          <w:sz w:val="24"/>
        </w:rPr>
        <w:t xml:space="preserve">administered as supplemental therapy </w:t>
      </w:r>
      <w:r w:rsidR="0058127E" w:rsidRPr="0075543B">
        <w:rPr>
          <w:rFonts w:ascii="Book Antiqua" w:hAnsi="Book Antiqua"/>
          <w:sz w:val="24"/>
        </w:rPr>
        <w:t xml:space="preserve">with </w:t>
      </w:r>
      <w:proofErr w:type="spellStart"/>
      <w:r w:rsidRPr="0075543B">
        <w:rPr>
          <w:rFonts w:ascii="Book Antiqua" w:hAnsi="Book Antiqua"/>
          <w:sz w:val="24"/>
        </w:rPr>
        <w:t>bosentan</w:t>
      </w:r>
      <w:proofErr w:type="spellEnd"/>
      <w:r w:rsidRPr="0075543B">
        <w:rPr>
          <w:rFonts w:ascii="Book Antiqua" w:hAnsi="Book Antiqua"/>
          <w:sz w:val="24"/>
        </w:rPr>
        <w:t xml:space="preserve">. After 6 </w:t>
      </w:r>
      <w:proofErr w:type="spellStart"/>
      <w:r w:rsidR="002A33DF">
        <w:rPr>
          <w:rFonts w:ascii="Book Antiqua" w:hAnsi="Book Antiqua" w:hint="eastAsia"/>
          <w:sz w:val="24"/>
        </w:rPr>
        <w:t>mo</w:t>
      </w:r>
      <w:proofErr w:type="spellEnd"/>
      <w:r w:rsidRPr="0075543B">
        <w:rPr>
          <w:rFonts w:ascii="Book Antiqua" w:hAnsi="Book Antiqua"/>
          <w:sz w:val="24"/>
        </w:rPr>
        <w:t xml:space="preserve"> of treatment with vitamin B12 and betaine, </w:t>
      </w:r>
      <w:r w:rsidR="0058127E" w:rsidRPr="0075543B">
        <w:rPr>
          <w:rFonts w:ascii="Book Antiqua" w:hAnsi="Book Antiqua"/>
          <w:sz w:val="24"/>
        </w:rPr>
        <w:t xml:space="preserve">her </w:t>
      </w:r>
      <w:r w:rsidRPr="0075543B">
        <w:rPr>
          <w:rFonts w:ascii="Book Antiqua" w:hAnsi="Book Antiqua"/>
          <w:sz w:val="24"/>
        </w:rPr>
        <w:t xml:space="preserve">pulmonary artery hypertension </w:t>
      </w:r>
      <w:r w:rsidR="0058127E" w:rsidRPr="0075543B">
        <w:rPr>
          <w:rFonts w:ascii="Book Antiqua" w:hAnsi="Book Antiqua"/>
          <w:sz w:val="24"/>
        </w:rPr>
        <w:t>decreased</w:t>
      </w:r>
      <w:r w:rsidRPr="0075543B">
        <w:rPr>
          <w:rFonts w:ascii="Book Antiqua" w:hAnsi="Book Antiqua"/>
          <w:sz w:val="24"/>
        </w:rPr>
        <w:t xml:space="preserve"> to 45 mmHg, right ventricular </w:t>
      </w:r>
      <w:proofErr w:type="spellStart"/>
      <w:r w:rsidRPr="0075543B">
        <w:rPr>
          <w:rFonts w:ascii="Book Antiqua" w:hAnsi="Book Antiqua"/>
          <w:sz w:val="24"/>
        </w:rPr>
        <w:t>Tei</w:t>
      </w:r>
      <w:proofErr w:type="spellEnd"/>
      <w:r w:rsidRPr="0075543B">
        <w:rPr>
          <w:rFonts w:ascii="Book Antiqua" w:hAnsi="Book Antiqua"/>
          <w:sz w:val="24"/>
        </w:rPr>
        <w:t>-index dropped to 0.29, and pulmonary artery size decreased to 25 mm</w:t>
      </w:r>
      <w:r w:rsidR="0058127E" w:rsidRPr="0075543B">
        <w:rPr>
          <w:rFonts w:ascii="Book Antiqua" w:hAnsi="Book Antiqua"/>
          <w:sz w:val="24"/>
        </w:rPr>
        <w:t>,</w:t>
      </w:r>
      <w:r w:rsidRPr="0075543B">
        <w:rPr>
          <w:rFonts w:ascii="Book Antiqua" w:hAnsi="Book Antiqua"/>
          <w:sz w:val="24"/>
        </w:rPr>
        <w:t xml:space="preserve"> according to the latest echocardiography (Figure 1). </w:t>
      </w:r>
      <w:r w:rsidR="0058127E" w:rsidRPr="0075543B">
        <w:rPr>
          <w:rFonts w:ascii="Book Antiqua" w:hAnsi="Book Antiqua"/>
          <w:sz w:val="24"/>
        </w:rPr>
        <w:t xml:space="preserve">Her heart </w:t>
      </w:r>
      <w:r w:rsidRPr="0075543B">
        <w:rPr>
          <w:rFonts w:ascii="Book Antiqua" w:hAnsi="Book Antiqua"/>
          <w:sz w:val="24"/>
        </w:rPr>
        <w:t xml:space="preserve">function reversed to NYHA class II. </w:t>
      </w:r>
      <w:r w:rsidR="0058127E" w:rsidRPr="0075543B">
        <w:rPr>
          <w:rFonts w:ascii="Book Antiqua" w:hAnsi="Book Antiqua"/>
          <w:sz w:val="24"/>
        </w:rPr>
        <w:t xml:space="preserve">The metabolic </w:t>
      </w:r>
      <w:r w:rsidRPr="0075543B">
        <w:rPr>
          <w:rFonts w:ascii="Book Antiqua" w:hAnsi="Book Antiqua"/>
          <w:sz w:val="24"/>
        </w:rPr>
        <w:t xml:space="preserve">disorder analysis failed to identify abnormalities, </w:t>
      </w:r>
      <w:r w:rsidR="0058127E" w:rsidRPr="0075543B">
        <w:rPr>
          <w:rFonts w:ascii="Book Antiqua" w:hAnsi="Book Antiqua"/>
          <w:sz w:val="24"/>
        </w:rPr>
        <w:t xml:space="preserve">and </w:t>
      </w:r>
      <w:r w:rsidRPr="0075543B">
        <w:rPr>
          <w:rFonts w:ascii="Book Antiqua" w:hAnsi="Book Antiqua"/>
          <w:sz w:val="24"/>
        </w:rPr>
        <w:t>a methylmalonic acid level of 6.53 µg/L</w:t>
      </w:r>
      <w:r w:rsidR="0058127E" w:rsidRPr="0075543B">
        <w:rPr>
          <w:rFonts w:ascii="Book Antiqua" w:hAnsi="Book Antiqua"/>
          <w:sz w:val="24"/>
        </w:rPr>
        <w:t xml:space="preserve"> was observed</w:t>
      </w:r>
      <w:r w:rsidRPr="0075543B">
        <w:rPr>
          <w:rFonts w:ascii="Book Antiqua" w:hAnsi="Book Antiqua"/>
          <w:sz w:val="24"/>
        </w:rPr>
        <w:t>.</w:t>
      </w:r>
    </w:p>
    <w:p w14:paraId="08C1F387" w14:textId="77777777" w:rsidR="002A722D" w:rsidRPr="0075543B" w:rsidRDefault="002A722D" w:rsidP="0075543B">
      <w:pPr>
        <w:adjustRightInd w:val="0"/>
        <w:snapToGrid w:val="0"/>
        <w:spacing w:line="360" w:lineRule="auto"/>
        <w:rPr>
          <w:rFonts w:ascii="Book Antiqua" w:hAnsi="Book Antiqua"/>
          <w:b/>
          <w:bCs/>
          <w:sz w:val="24"/>
        </w:rPr>
      </w:pPr>
    </w:p>
    <w:p w14:paraId="032A288D" w14:textId="6AC6CA53" w:rsidR="00605CD3" w:rsidRPr="00D85FC4" w:rsidRDefault="002A722D" w:rsidP="0075543B">
      <w:pPr>
        <w:adjustRightInd w:val="0"/>
        <w:snapToGrid w:val="0"/>
        <w:spacing w:line="360" w:lineRule="auto"/>
        <w:rPr>
          <w:rFonts w:ascii="Book Antiqua" w:hAnsi="Book Antiqua"/>
          <w:b/>
          <w:bCs/>
          <w:sz w:val="24"/>
          <w:u w:val="single"/>
        </w:rPr>
      </w:pPr>
      <w:r w:rsidRPr="00D85FC4">
        <w:rPr>
          <w:rFonts w:ascii="Book Antiqua" w:hAnsi="Book Antiqua"/>
          <w:b/>
          <w:bCs/>
          <w:sz w:val="24"/>
          <w:u w:val="single"/>
        </w:rPr>
        <w:t>DISCUSSION</w:t>
      </w:r>
    </w:p>
    <w:p w14:paraId="5B586333" w14:textId="0B71B546" w:rsidR="00912751" w:rsidRDefault="00E469D1" w:rsidP="00912751">
      <w:pPr>
        <w:adjustRightInd w:val="0"/>
        <w:snapToGrid w:val="0"/>
        <w:spacing w:line="360" w:lineRule="auto"/>
        <w:rPr>
          <w:rFonts w:ascii="Book Antiqua" w:hAnsi="Book Antiqua"/>
          <w:sz w:val="24"/>
        </w:rPr>
      </w:pPr>
      <w:r w:rsidRPr="0075543B">
        <w:rPr>
          <w:rFonts w:ascii="Book Antiqua" w:hAnsi="Book Antiqua"/>
          <w:sz w:val="24"/>
        </w:rPr>
        <w:t xml:space="preserve">Methylmalonic acidemia is an autosomal recessive metabolic disorder that disrupts normal amino acid metabolism. However, this kind of disease rarely demonstrates severe </w:t>
      </w:r>
      <w:r w:rsidR="0040663E">
        <w:rPr>
          <w:rFonts w:ascii="Book Antiqua" w:hAnsi="Book Antiqua"/>
          <w:sz w:val="24"/>
        </w:rPr>
        <w:t>PH</w:t>
      </w:r>
      <w:r w:rsidRPr="0075543B">
        <w:rPr>
          <w:rFonts w:ascii="Book Antiqua" w:hAnsi="Book Antiqua"/>
          <w:sz w:val="24"/>
        </w:rPr>
        <w:t xml:space="preserve"> as the first clinical manifestation. Defective synthesis of the coenzymes </w:t>
      </w:r>
      <w:proofErr w:type="spellStart"/>
      <w:r w:rsidRPr="0075543B">
        <w:rPr>
          <w:rFonts w:ascii="Book Antiqua" w:hAnsi="Book Antiqua"/>
          <w:sz w:val="24"/>
        </w:rPr>
        <w:t>adenosylcobalamin</w:t>
      </w:r>
      <w:proofErr w:type="spellEnd"/>
      <w:r w:rsidRPr="0075543B">
        <w:rPr>
          <w:rFonts w:ascii="Book Antiqua" w:hAnsi="Book Antiqua"/>
          <w:sz w:val="24"/>
        </w:rPr>
        <w:t xml:space="preserve"> and </w:t>
      </w:r>
      <w:proofErr w:type="spellStart"/>
      <w:r w:rsidRPr="0075543B">
        <w:rPr>
          <w:rFonts w:ascii="Book Antiqua" w:hAnsi="Book Antiqua"/>
          <w:sz w:val="24"/>
        </w:rPr>
        <w:t>methylcobalamin</w:t>
      </w:r>
      <w:proofErr w:type="spellEnd"/>
      <w:r w:rsidRPr="0075543B">
        <w:rPr>
          <w:rFonts w:ascii="Book Antiqua" w:hAnsi="Book Antiqua"/>
          <w:sz w:val="24"/>
        </w:rPr>
        <w:t xml:space="preserve"> has been reported to be the main mediator of </w:t>
      </w:r>
      <w:r w:rsidR="0040663E">
        <w:rPr>
          <w:rFonts w:ascii="Book Antiqua" w:hAnsi="Book Antiqua"/>
          <w:sz w:val="24"/>
        </w:rPr>
        <w:t>PH</w:t>
      </w:r>
      <w:r w:rsidRPr="0075543B">
        <w:rPr>
          <w:rFonts w:ascii="Book Antiqua" w:hAnsi="Book Antiqua"/>
          <w:sz w:val="24"/>
        </w:rPr>
        <w:t xml:space="preserve"> as a result of mitochondrial </w:t>
      </w:r>
      <w:proofErr w:type="gramStart"/>
      <w:r w:rsidRPr="0075543B">
        <w:rPr>
          <w:rFonts w:ascii="Book Antiqua" w:hAnsi="Book Antiqua"/>
          <w:sz w:val="24"/>
        </w:rPr>
        <w:t>dysfunction</w:t>
      </w:r>
      <w:r w:rsidR="00D85FC4" w:rsidRPr="00D85FC4">
        <w:rPr>
          <w:rFonts w:ascii="Book Antiqua" w:hAnsi="Book Antiqua" w:hint="eastAsia"/>
          <w:sz w:val="24"/>
          <w:vertAlign w:val="superscript"/>
        </w:rPr>
        <w:t>[</w:t>
      </w:r>
      <w:proofErr w:type="gramEnd"/>
      <w:r w:rsidR="00D85FC4" w:rsidRPr="00D85FC4">
        <w:rPr>
          <w:rFonts w:ascii="Book Antiqua" w:hAnsi="Book Antiqua" w:hint="eastAsia"/>
          <w:sz w:val="24"/>
          <w:vertAlign w:val="superscript"/>
        </w:rPr>
        <w:t>4]</w:t>
      </w:r>
      <w:r w:rsidRPr="0075543B">
        <w:rPr>
          <w:rFonts w:ascii="Book Antiqua" w:hAnsi="Book Antiqua"/>
          <w:sz w:val="24"/>
        </w:rPr>
        <w:t xml:space="preserve">. These disorders might lead to capillary thrombosis in the lung, which would induce </w:t>
      </w:r>
      <w:r w:rsidR="0040663E">
        <w:rPr>
          <w:rFonts w:ascii="Book Antiqua" w:hAnsi="Book Antiqua"/>
          <w:sz w:val="24"/>
        </w:rPr>
        <w:t>PH</w:t>
      </w:r>
      <w:r w:rsidRPr="0075543B">
        <w:rPr>
          <w:rFonts w:ascii="Book Antiqua" w:hAnsi="Book Antiqua"/>
          <w:sz w:val="24"/>
        </w:rPr>
        <w:t xml:space="preserve">. In addition, a series of genome sequencing studies </w:t>
      </w:r>
      <w:r w:rsidR="0058127E" w:rsidRPr="0075543B">
        <w:rPr>
          <w:rFonts w:ascii="Book Antiqua" w:hAnsi="Book Antiqua"/>
          <w:sz w:val="24"/>
        </w:rPr>
        <w:t xml:space="preserve">that </w:t>
      </w:r>
      <w:r w:rsidRPr="0075543B">
        <w:rPr>
          <w:rFonts w:ascii="Book Antiqua" w:hAnsi="Book Antiqua"/>
          <w:sz w:val="24"/>
        </w:rPr>
        <w:t xml:space="preserve">focused on methylmalonic acidemia confirmed that the cobalamin C type was the most common </w:t>
      </w:r>
      <w:r w:rsidR="0058127E" w:rsidRPr="0075543B">
        <w:rPr>
          <w:rFonts w:ascii="Book Antiqua" w:hAnsi="Book Antiqua"/>
          <w:sz w:val="24"/>
        </w:rPr>
        <w:t xml:space="preserve">type that </w:t>
      </w:r>
      <w:r w:rsidRPr="0075543B">
        <w:rPr>
          <w:rFonts w:ascii="Book Antiqua" w:hAnsi="Book Antiqua"/>
          <w:sz w:val="24"/>
        </w:rPr>
        <w:t xml:space="preserve">would cause aggressive </w:t>
      </w:r>
      <w:proofErr w:type="gramStart"/>
      <w:r w:rsidR="0040663E">
        <w:rPr>
          <w:rFonts w:ascii="Book Antiqua" w:hAnsi="Book Antiqua"/>
          <w:sz w:val="24"/>
        </w:rPr>
        <w:t>PH</w:t>
      </w:r>
      <w:r w:rsidR="00D36813" w:rsidRPr="00D36813">
        <w:rPr>
          <w:rFonts w:ascii="Book Antiqua" w:hAnsi="Book Antiqua" w:hint="eastAsia"/>
          <w:sz w:val="24"/>
          <w:vertAlign w:val="superscript"/>
        </w:rPr>
        <w:t>[</w:t>
      </w:r>
      <w:proofErr w:type="gramEnd"/>
      <w:r w:rsidR="00D36813" w:rsidRPr="00D36813">
        <w:rPr>
          <w:rFonts w:ascii="Book Antiqua" w:hAnsi="Book Antiqua" w:hint="eastAsia"/>
          <w:sz w:val="24"/>
          <w:vertAlign w:val="superscript"/>
        </w:rPr>
        <w:t>5,6]</w:t>
      </w:r>
      <w:r w:rsidRPr="0075543B">
        <w:rPr>
          <w:rFonts w:ascii="Book Antiqua" w:hAnsi="Book Antiqua"/>
          <w:sz w:val="24"/>
        </w:rPr>
        <w:t>.</w:t>
      </w:r>
    </w:p>
    <w:p w14:paraId="7EA26753" w14:textId="0C7FC44D" w:rsidR="00FB23F5" w:rsidRDefault="00E469D1" w:rsidP="00FB23F5">
      <w:pPr>
        <w:adjustRightInd w:val="0"/>
        <w:snapToGrid w:val="0"/>
        <w:spacing w:line="360" w:lineRule="auto"/>
        <w:ind w:firstLineChars="100" w:firstLine="240"/>
        <w:rPr>
          <w:rFonts w:ascii="Book Antiqua" w:hAnsi="Book Antiqua"/>
          <w:sz w:val="24"/>
        </w:rPr>
      </w:pPr>
      <w:r w:rsidRPr="0075543B">
        <w:rPr>
          <w:rFonts w:ascii="Book Antiqua" w:hAnsi="Book Antiqua"/>
          <w:sz w:val="24"/>
        </w:rPr>
        <w:t xml:space="preserve">According to the European Society of Cardiology and American Heart Association guidelines for the diagnosis and treatment of pediatric </w:t>
      </w:r>
      <w:proofErr w:type="gramStart"/>
      <w:r w:rsidR="0040663E">
        <w:rPr>
          <w:rFonts w:ascii="Book Antiqua" w:hAnsi="Book Antiqua"/>
          <w:sz w:val="24"/>
        </w:rPr>
        <w:t>PH</w:t>
      </w:r>
      <w:r w:rsidR="003D4A98" w:rsidRPr="003D4A98">
        <w:rPr>
          <w:rFonts w:ascii="Book Antiqua" w:hAnsi="Book Antiqua" w:hint="eastAsia"/>
          <w:sz w:val="24"/>
          <w:vertAlign w:val="superscript"/>
        </w:rPr>
        <w:t>[</w:t>
      </w:r>
      <w:proofErr w:type="gramEnd"/>
      <w:r w:rsidR="003D4A98" w:rsidRPr="003D4A98">
        <w:rPr>
          <w:rFonts w:ascii="Book Antiqua" w:hAnsi="Book Antiqua" w:hint="eastAsia"/>
          <w:sz w:val="24"/>
          <w:vertAlign w:val="superscript"/>
        </w:rPr>
        <w:t>1,7]</w:t>
      </w:r>
      <w:r w:rsidRPr="0075543B">
        <w:rPr>
          <w:rFonts w:ascii="Book Antiqua" w:hAnsi="Book Antiqua"/>
          <w:sz w:val="24"/>
        </w:rPr>
        <w:t>, metabolic disorders have been listed in the 5</w:t>
      </w:r>
      <w:r w:rsidRPr="0075543B">
        <w:rPr>
          <w:rFonts w:ascii="Book Antiqua" w:hAnsi="Book Antiqua"/>
          <w:sz w:val="24"/>
          <w:vertAlign w:val="superscript"/>
        </w:rPr>
        <w:t>th</w:t>
      </w:r>
      <w:r w:rsidRPr="0075543B">
        <w:rPr>
          <w:rFonts w:ascii="Book Antiqua" w:hAnsi="Book Antiqua"/>
          <w:sz w:val="24"/>
        </w:rPr>
        <w:t xml:space="preserve"> division. However, both of the guidelines only report glycogen storage disease</w:t>
      </w:r>
      <w:r w:rsidR="0058127E" w:rsidRPr="0075543B">
        <w:rPr>
          <w:rFonts w:ascii="Book Antiqua" w:hAnsi="Book Antiqua"/>
          <w:sz w:val="24"/>
        </w:rPr>
        <w:t>,</w:t>
      </w:r>
      <w:r w:rsidRPr="0075543B">
        <w:rPr>
          <w:rFonts w:ascii="Book Antiqua" w:hAnsi="Book Antiqua"/>
          <w:sz w:val="24"/>
        </w:rPr>
        <w:t xml:space="preserve"> Gaucher disease and thyroid disorders. Although methylmalonic acidemia was failed to be mentioned, several studies also reported limited cases </w:t>
      </w:r>
      <w:r w:rsidR="0058127E" w:rsidRPr="0075543B">
        <w:rPr>
          <w:rFonts w:ascii="Book Antiqua" w:hAnsi="Book Antiqua"/>
          <w:sz w:val="24"/>
        </w:rPr>
        <w:t xml:space="preserve">of </w:t>
      </w:r>
      <w:r w:rsidRPr="0075543B">
        <w:rPr>
          <w:rFonts w:ascii="Book Antiqua" w:hAnsi="Book Antiqua"/>
          <w:sz w:val="24"/>
        </w:rPr>
        <w:t xml:space="preserve">methylmalonic acidemia inducing </w:t>
      </w:r>
      <w:r w:rsidR="0040663E">
        <w:rPr>
          <w:rFonts w:ascii="Book Antiqua" w:hAnsi="Book Antiqua"/>
          <w:sz w:val="24"/>
        </w:rPr>
        <w:t>PH</w:t>
      </w:r>
      <w:r w:rsidRPr="0075543B">
        <w:rPr>
          <w:rFonts w:ascii="Book Antiqua" w:hAnsi="Book Antiqua"/>
          <w:sz w:val="24"/>
        </w:rPr>
        <w:t xml:space="preserve">, which was first described by </w:t>
      </w:r>
      <w:proofErr w:type="spellStart"/>
      <w:r w:rsidRPr="0075543B">
        <w:rPr>
          <w:rFonts w:ascii="Book Antiqua" w:hAnsi="Book Antiqua"/>
          <w:sz w:val="24"/>
        </w:rPr>
        <w:t>Iodice</w:t>
      </w:r>
      <w:proofErr w:type="spellEnd"/>
      <w:r w:rsidRPr="0075543B">
        <w:rPr>
          <w:rFonts w:ascii="Book Antiqua" w:hAnsi="Book Antiqua"/>
          <w:sz w:val="24"/>
        </w:rPr>
        <w:t xml:space="preserve"> </w:t>
      </w:r>
      <w:r w:rsidRPr="007E31AC">
        <w:rPr>
          <w:rFonts w:ascii="Book Antiqua" w:hAnsi="Book Antiqua"/>
          <w:i/>
          <w:sz w:val="24"/>
        </w:rPr>
        <w:t xml:space="preserve">et </w:t>
      </w:r>
      <w:proofErr w:type="gramStart"/>
      <w:r w:rsidRPr="007E31AC">
        <w:rPr>
          <w:rFonts w:ascii="Book Antiqua" w:hAnsi="Book Antiqua"/>
          <w:i/>
          <w:sz w:val="24"/>
        </w:rPr>
        <w:t>al</w:t>
      </w:r>
      <w:r w:rsidR="00EC3D8A" w:rsidRPr="00EC3D8A">
        <w:rPr>
          <w:rFonts w:ascii="Book Antiqua" w:hAnsi="Book Antiqua" w:hint="eastAsia"/>
          <w:sz w:val="24"/>
          <w:vertAlign w:val="superscript"/>
        </w:rPr>
        <w:t>[</w:t>
      </w:r>
      <w:proofErr w:type="gramEnd"/>
      <w:r w:rsidR="00EC3D8A" w:rsidRPr="00EC3D8A">
        <w:rPr>
          <w:rFonts w:ascii="Book Antiqua" w:hAnsi="Book Antiqua" w:hint="eastAsia"/>
          <w:sz w:val="24"/>
          <w:vertAlign w:val="superscript"/>
        </w:rPr>
        <w:t>8]</w:t>
      </w:r>
      <w:r w:rsidRPr="0075543B">
        <w:rPr>
          <w:rFonts w:ascii="Book Antiqua" w:hAnsi="Book Antiqua"/>
          <w:sz w:val="24"/>
        </w:rPr>
        <w:t xml:space="preserve">. Beck </w:t>
      </w:r>
      <w:r w:rsidRPr="007E31AC">
        <w:rPr>
          <w:rFonts w:ascii="Book Antiqua" w:hAnsi="Book Antiqua"/>
          <w:i/>
          <w:sz w:val="24"/>
        </w:rPr>
        <w:t xml:space="preserve">et </w:t>
      </w:r>
      <w:proofErr w:type="gramStart"/>
      <w:r w:rsidRPr="007E31AC">
        <w:rPr>
          <w:rFonts w:ascii="Book Antiqua" w:hAnsi="Book Antiqua"/>
          <w:i/>
          <w:sz w:val="24"/>
        </w:rPr>
        <w:t>al</w:t>
      </w:r>
      <w:r w:rsidR="00EC3D8A" w:rsidRPr="00EC3D8A">
        <w:rPr>
          <w:rFonts w:ascii="Book Antiqua" w:hAnsi="Book Antiqua" w:hint="eastAsia"/>
          <w:sz w:val="24"/>
          <w:vertAlign w:val="superscript"/>
        </w:rPr>
        <w:t>[</w:t>
      </w:r>
      <w:proofErr w:type="gramEnd"/>
      <w:r w:rsidR="00EC3D8A" w:rsidRPr="00EC3D8A">
        <w:rPr>
          <w:rFonts w:ascii="Book Antiqua" w:hAnsi="Book Antiqua" w:hint="eastAsia"/>
          <w:sz w:val="24"/>
          <w:vertAlign w:val="superscript"/>
        </w:rPr>
        <w:t>9]</w:t>
      </w:r>
      <w:r w:rsidRPr="00EC3D8A">
        <w:rPr>
          <w:rFonts w:ascii="Book Antiqua" w:hAnsi="Book Antiqua"/>
          <w:sz w:val="24"/>
          <w:vertAlign w:val="superscript"/>
        </w:rPr>
        <w:t xml:space="preserve"> </w:t>
      </w:r>
      <w:r w:rsidRPr="0075543B">
        <w:rPr>
          <w:rFonts w:ascii="Book Antiqua" w:hAnsi="Book Antiqua"/>
          <w:sz w:val="24"/>
        </w:rPr>
        <w:t xml:space="preserve">reviewed a cohort of 36 methylmalonic acidemia </w:t>
      </w:r>
      <w:r w:rsidR="0058127E" w:rsidRPr="0075543B">
        <w:rPr>
          <w:rFonts w:ascii="Book Antiqua" w:hAnsi="Book Antiqua"/>
          <w:sz w:val="24"/>
        </w:rPr>
        <w:t xml:space="preserve">patients </w:t>
      </w:r>
      <w:r w:rsidRPr="0075543B">
        <w:rPr>
          <w:rFonts w:ascii="Book Antiqua" w:hAnsi="Book Antiqua"/>
          <w:sz w:val="24"/>
        </w:rPr>
        <w:t xml:space="preserve">with cobalamin C defects and found that 7 of them presented </w:t>
      </w:r>
      <w:r w:rsidR="0040663E">
        <w:rPr>
          <w:rFonts w:ascii="Book Antiqua" w:hAnsi="Book Antiqua"/>
          <w:sz w:val="24"/>
        </w:rPr>
        <w:t>PH</w:t>
      </w:r>
      <w:r w:rsidRPr="0075543B">
        <w:rPr>
          <w:rFonts w:ascii="Book Antiqua" w:hAnsi="Book Antiqua"/>
          <w:sz w:val="24"/>
        </w:rPr>
        <w:t>.</w:t>
      </w:r>
    </w:p>
    <w:p w14:paraId="200FDA73" w14:textId="561A615D" w:rsidR="00605CD3" w:rsidRPr="0075543B" w:rsidRDefault="00E469D1" w:rsidP="00FB23F5">
      <w:pPr>
        <w:adjustRightInd w:val="0"/>
        <w:snapToGrid w:val="0"/>
        <w:spacing w:line="360" w:lineRule="auto"/>
        <w:ind w:firstLineChars="100" w:firstLine="240"/>
        <w:rPr>
          <w:rFonts w:ascii="Book Antiqua" w:hAnsi="Book Antiqua"/>
          <w:sz w:val="24"/>
        </w:rPr>
      </w:pPr>
      <w:r w:rsidRPr="0075543B">
        <w:rPr>
          <w:rFonts w:ascii="Book Antiqua" w:hAnsi="Book Antiqua"/>
          <w:sz w:val="24"/>
        </w:rPr>
        <w:t xml:space="preserve">Electrocardiogram, X-ray, echocardiography, </w:t>
      </w:r>
      <w:r w:rsidR="00F679F2" w:rsidRPr="0075543B">
        <w:rPr>
          <w:rFonts w:ascii="Book Antiqua" w:hAnsi="Book Antiqua"/>
          <w:bCs/>
          <w:sz w:val="24"/>
        </w:rPr>
        <w:t>computed tomography</w:t>
      </w:r>
      <w:r w:rsidRPr="0075543B">
        <w:rPr>
          <w:rFonts w:ascii="Book Antiqua" w:hAnsi="Book Antiqua"/>
          <w:sz w:val="24"/>
        </w:rPr>
        <w:t xml:space="preserve">, </w:t>
      </w:r>
      <w:r w:rsidR="00F679F2" w:rsidRPr="0075543B">
        <w:rPr>
          <w:rFonts w:ascii="Book Antiqua" w:hAnsi="Book Antiqua"/>
          <w:bCs/>
          <w:sz w:val="24"/>
        </w:rPr>
        <w:t>magnetic resonance imaging</w:t>
      </w:r>
      <w:r w:rsidRPr="0075543B">
        <w:rPr>
          <w:rFonts w:ascii="Book Antiqua" w:hAnsi="Book Antiqua"/>
          <w:sz w:val="24"/>
        </w:rPr>
        <w:t xml:space="preserve">, pulmonary function test, and catheterization should always be performed as routinely recommended by guidelines. </w:t>
      </w:r>
      <w:r w:rsidR="0058127E" w:rsidRPr="0075543B">
        <w:rPr>
          <w:rFonts w:ascii="Book Antiqua" w:hAnsi="Book Antiqua"/>
          <w:sz w:val="24"/>
        </w:rPr>
        <w:t>In this case</w:t>
      </w:r>
      <w:r w:rsidRPr="0075543B">
        <w:rPr>
          <w:rFonts w:ascii="Book Antiqua" w:hAnsi="Book Antiqua"/>
          <w:sz w:val="24"/>
        </w:rPr>
        <w:t xml:space="preserve">, during </w:t>
      </w:r>
      <w:r w:rsidR="0058127E" w:rsidRPr="0075543B">
        <w:rPr>
          <w:rFonts w:ascii="Book Antiqua" w:hAnsi="Book Antiqua"/>
          <w:sz w:val="24"/>
        </w:rPr>
        <w:t xml:space="preserve">the patient’s </w:t>
      </w:r>
      <w:r w:rsidRPr="0075543B">
        <w:rPr>
          <w:rFonts w:ascii="Book Antiqua" w:hAnsi="Book Antiqua"/>
          <w:sz w:val="24"/>
        </w:rPr>
        <w:t xml:space="preserve">first stay in the hospital, we followed the </w:t>
      </w:r>
      <w:r w:rsidR="0058127E" w:rsidRPr="0075543B">
        <w:rPr>
          <w:rFonts w:ascii="Book Antiqua" w:hAnsi="Book Antiqua"/>
          <w:sz w:val="24"/>
        </w:rPr>
        <w:t>recommended process</w:t>
      </w:r>
      <w:r w:rsidRPr="0075543B">
        <w:rPr>
          <w:rFonts w:ascii="Book Antiqua" w:hAnsi="Book Antiqua"/>
          <w:sz w:val="24"/>
        </w:rPr>
        <w:t xml:space="preserve"> for </w:t>
      </w:r>
      <w:r w:rsidR="0058127E" w:rsidRPr="0075543B">
        <w:rPr>
          <w:rFonts w:ascii="Book Antiqua" w:hAnsi="Book Antiqua"/>
          <w:sz w:val="24"/>
        </w:rPr>
        <w:t xml:space="preserve">obtaining </w:t>
      </w:r>
      <w:r w:rsidR="0040663E">
        <w:rPr>
          <w:rFonts w:ascii="Book Antiqua" w:hAnsi="Book Antiqua"/>
          <w:sz w:val="24"/>
        </w:rPr>
        <w:t>PH</w:t>
      </w:r>
      <w:r w:rsidRPr="0075543B">
        <w:rPr>
          <w:rFonts w:ascii="Book Antiqua" w:hAnsi="Book Antiqua"/>
          <w:sz w:val="24"/>
        </w:rPr>
        <w:t xml:space="preserve"> diagnosis. However, we failed to </w:t>
      </w:r>
      <w:r w:rsidR="0058127E" w:rsidRPr="0075543B">
        <w:rPr>
          <w:rFonts w:ascii="Book Antiqua" w:hAnsi="Book Antiqua"/>
          <w:sz w:val="24"/>
        </w:rPr>
        <w:t>confirm the diagnosis quickly</w:t>
      </w:r>
      <w:r w:rsidRPr="0075543B">
        <w:rPr>
          <w:rFonts w:ascii="Book Antiqua" w:hAnsi="Book Antiqua"/>
          <w:sz w:val="24"/>
        </w:rPr>
        <w:t xml:space="preserve">, which </w:t>
      </w:r>
      <w:r w:rsidR="0058127E" w:rsidRPr="0075543B">
        <w:rPr>
          <w:rFonts w:ascii="Book Antiqua" w:hAnsi="Book Antiqua"/>
          <w:sz w:val="24"/>
        </w:rPr>
        <w:t>aggravated the patient’s condition</w:t>
      </w:r>
      <w:r w:rsidRPr="0075543B">
        <w:rPr>
          <w:rFonts w:ascii="Book Antiqua" w:hAnsi="Book Antiqua"/>
          <w:sz w:val="24"/>
        </w:rPr>
        <w:t xml:space="preserve">. Then, </w:t>
      </w:r>
      <w:r w:rsidR="0058127E" w:rsidRPr="0075543B">
        <w:rPr>
          <w:rFonts w:ascii="Book Antiqua" w:hAnsi="Book Antiqua"/>
          <w:sz w:val="24"/>
        </w:rPr>
        <w:t xml:space="preserve">during </w:t>
      </w:r>
      <w:r w:rsidRPr="0075543B">
        <w:rPr>
          <w:rFonts w:ascii="Book Antiqua" w:hAnsi="Book Antiqua"/>
          <w:sz w:val="24"/>
        </w:rPr>
        <w:t xml:space="preserve">the second hospital stay, </w:t>
      </w:r>
      <w:r w:rsidR="0058127E" w:rsidRPr="0075543B">
        <w:rPr>
          <w:rFonts w:ascii="Book Antiqua" w:hAnsi="Book Antiqua"/>
          <w:sz w:val="24"/>
        </w:rPr>
        <w:t>the combination of</w:t>
      </w:r>
      <w:r w:rsidRPr="0075543B">
        <w:rPr>
          <w:rFonts w:ascii="Book Antiqua" w:hAnsi="Book Antiqua"/>
          <w:sz w:val="24"/>
        </w:rPr>
        <w:t xml:space="preserve"> genome </w:t>
      </w:r>
      <w:r w:rsidR="0058127E" w:rsidRPr="0075543B">
        <w:rPr>
          <w:rFonts w:ascii="Book Antiqua" w:hAnsi="Book Antiqua"/>
          <w:sz w:val="24"/>
        </w:rPr>
        <w:t xml:space="preserve">sequencing </w:t>
      </w:r>
      <w:r w:rsidRPr="0075543B">
        <w:rPr>
          <w:rFonts w:ascii="Book Antiqua" w:hAnsi="Book Antiqua"/>
          <w:sz w:val="24"/>
        </w:rPr>
        <w:t>and metabolic disorder screening</w:t>
      </w:r>
      <w:r w:rsidR="0058127E" w:rsidRPr="0075543B">
        <w:rPr>
          <w:rFonts w:ascii="Book Antiqua" w:hAnsi="Book Antiqua"/>
          <w:sz w:val="24"/>
        </w:rPr>
        <w:t xml:space="preserve"> identified </w:t>
      </w:r>
      <w:r w:rsidRPr="0075543B">
        <w:rPr>
          <w:rFonts w:ascii="Book Antiqua" w:hAnsi="Book Antiqua"/>
          <w:sz w:val="24"/>
        </w:rPr>
        <w:t>methylmalonic acidemia</w:t>
      </w:r>
      <w:r w:rsidR="0058127E" w:rsidRPr="0075543B">
        <w:rPr>
          <w:rFonts w:ascii="Book Antiqua" w:hAnsi="Book Antiqua"/>
          <w:sz w:val="24"/>
        </w:rPr>
        <w:t>,</w:t>
      </w:r>
      <w:r w:rsidRPr="0075543B">
        <w:rPr>
          <w:rFonts w:ascii="Book Antiqua" w:hAnsi="Book Antiqua"/>
          <w:sz w:val="24"/>
        </w:rPr>
        <w:t xml:space="preserve"> cobalamin C </w:t>
      </w:r>
      <w:r w:rsidR="0058127E" w:rsidRPr="0075543B">
        <w:rPr>
          <w:rFonts w:ascii="Book Antiqua" w:hAnsi="Book Antiqua"/>
          <w:sz w:val="24"/>
        </w:rPr>
        <w:t>type</w:t>
      </w:r>
      <w:r w:rsidRPr="0075543B">
        <w:rPr>
          <w:rFonts w:ascii="Book Antiqua" w:hAnsi="Book Antiqua"/>
          <w:sz w:val="24"/>
        </w:rPr>
        <w:t xml:space="preserve">. After </w:t>
      </w:r>
      <w:r w:rsidR="0058127E" w:rsidRPr="0075543B">
        <w:rPr>
          <w:rFonts w:ascii="Book Antiqua" w:hAnsi="Book Antiqua"/>
          <w:sz w:val="24"/>
        </w:rPr>
        <w:t xml:space="preserve">receiving </w:t>
      </w:r>
      <w:r w:rsidRPr="0075543B">
        <w:rPr>
          <w:rFonts w:ascii="Book Antiqua" w:hAnsi="Book Antiqua"/>
          <w:sz w:val="24"/>
        </w:rPr>
        <w:t xml:space="preserve">targeted therapies, this patient’s </w:t>
      </w:r>
      <w:r w:rsidR="0058127E" w:rsidRPr="0075543B">
        <w:rPr>
          <w:rFonts w:ascii="Book Antiqua" w:hAnsi="Book Antiqua"/>
          <w:sz w:val="24"/>
        </w:rPr>
        <w:t xml:space="preserve">impaired </w:t>
      </w:r>
      <w:r w:rsidRPr="0075543B">
        <w:rPr>
          <w:rFonts w:ascii="Book Antiqua" w:hAnsi="Book Antiqua"/>
          <w:sz w:val="24"/>
        </w:rPr>
        <w:t>pulmonary artery pressure and heart function were reversed.</w:t>
      </w:r>
    </w:p>
    <w:p w14:paraId="674CB521" w14:textId="77777777" w:rsidR="002A722D" w:rsidRPr="0075543B" w:rsidRDefault="002A722D" w:rsidP="0075543B">
      <w:pPr>
        <w:adjustRightInd w:val="0"/>
        <w:snapToGrid w:val="0"/>
        <w:spacing w:line="360" w:lineRule="auto"/>
        <w:ind w:firstLine="480"/>
        <w:rPr>
          <w:rFonts w:ascii="Book Antiqua" w:hAnsi="Book Antiqua"/>
          <w:sz w:val="24"/>
        </w:rPr>
      </w:pPr>
    </w:p>
    <w:p w14:paraId="1B3C4106" w14:textId="6536BA9F" w:rsidR="00605CD3" w:rsidRPr="00502527" w:rsidRDefault="002A722D" w:rsidP="0075543B">
      <w:pPr>
        <w:adjustRightInd w:val="0"/>
        <w:snapToGrid w:val="0"/>
        <w:spacing w:line="360" w:lineRule="auto"/>
        <w:rPr>
          <w:rFonts w:ascii="Book Antiqua" w:hAnsi="Book Antiqua"/>
          <w:b/>
          <w:bCs/>
          <w:sz w:val="24"/>
          <w:u w:val="single"/>
        </w:rPr>
      </w:pPr>
      <w:r w:rsidRPr="00502527">
        <w:rPr>
          <w:rFonts w:ascii="Book Antiqua" w:hAnsi="Book Antiqua"/>
          <w:b/>
          <w:bCs/>
          <w:sz w:val="24"/>
          <w:u w:val="single"/>
        </w:rPr>
        <w:t>CONCLUSION</w:t>
      </w:r>
    </w:p>
    <w:p w14:paraId="71975573" w14:textId="6E6D245B" w:rsidR="0007549C" w:rsidRPr="0075543B" w:rsidRDefault="00E469D1" w:rsidP="0075543B">
      <w:pPr>
        <w:adjustRightInd w:val="0"/>
        <w:snapToGrid w:val="0"/>
        <w:spacing w:line="360" w:lineRule="auto"/>
        <w:rPr>
          <w:rFonts w:ascii="Book Antiqua" w:hAnsi="Book Antiqua"/>
          <w:sz w:val="24"/>
        </w:rPr>
      </w:pPr>
      <w:r w:rsidRPr="0075543B">
        <w:rPr>
          <w:rFonts w:ascii="Book Antiqua" w:hAnsi="Book Antiqua"/>
          <w:sz w:val="24"/>
        </w:rPr>
        <w:t xml:space="preserve">In summary, as metabolic </w:t>
      </w:r>
      <w:r w:rsidR="00E5098B" w:rsidRPr="0075543B">
        <w:rPr>
          <w:rFonts w:ascii="Book Antiqua" w:hAnsi="Book Antiqua"/>
          <w:sz w:val="24"/>
        </w:rPr>
        <w:t xml:space="preserve">disorders have </w:t>
      </w:r>
      <w:r w:rsidRPr="0075543B">
        <w:rPr>
          <w:rFonts w:ascii="Book Antiqua" w:hAnsi="Book Antiqua"/>
          <w:sz w:val="24"/>
        </w:rPr>
        <w:t xml:space="preserve">already been mentioned in the guidelines, emerging types of metabolic dysfunction have been proven to have a </w:t>
      </w:r>
      <w:r w:rsidR="00E5098B" w:rsidRPr="0075543B">
        <w:rPr>
          <w:rFonts w:ascii="Book Antiqua" w:hAnsi="Book Antiqua"/>
          <w:sz w:val="24"/>
        </w:rPr>
        <w:t xml:space="preserve">manifestation of </w:t>
      </w:r>
      <w:r w:rsidR="0040663E">
        <w:rPr>
          <w:rFonts w:ascii="Book Antiqua" w:hAnsi="Book Antiqua"/>
          <w:sz w:val="24"/>
        </w:rPr>
        <w:t>PH</w:t>
      </w:r>
      <w:r w:rsidRPr="0075543B">
        <w:rPr>
          <w:rFonts w:ascii="Book Antiqua" w:hAnsi="Book Antiqua"/>
          <w:sz w:val="24"/>
        </w:rPr>
        <w:t xml:space="preserve">. It is recommended </w:t>
      </w:r>
      <w:r w:rsidR="00E5098B" w:rsidRPr="0075543B">
        <w:rPr>
          <w:rFonts w:ascii="Book Antiqua" w:hAnsi="Book Antiqua"/>
          <w:sz w:val="24"/>
        </w:rPr>
        <w:t xml:space="preserve">that </w:t>
      </w:r>
      <w:r w:rsidRPr="0075543B">
        <w:rPr>
          <w:rFonts w:ascii="Book Antiqua" w:hAnsi="Book Antiqua"/>
          <w:sz w:val="24"/>
        </w:rPr>
        <w:t xml:space="preserve">genome </w:t>
      </w:r>
      <w:r w:rsidR="00E5098B" w:rsidRPr="0075543B">
        <w:rPr>
          <w:rFonts w:ascii="Book Antiqua" w:hAnsi="Book Antiqua"/>
          <w:sz w:val="24"/>
        </w:rPr>
        <w:t xml:space="preserve">sequencing </w:t>
      </w:r>
      <w:r w:rsidRPr="0075543B">
        <w:rPr>
          <w:rFonts w:ascii="Book Antiqua" w:hAnsi="Book Antiqua"/>
          <w:sz w:val="24"/>
        </w:rPr>
        <w:t>and metabolic disorder screening</w:t>
      </w:r>
      <w:r w:rsidR="00E5098B" w:rsidRPr="0075543B">
        <w:rPr>
          <w:rFonts w:ascii="Book Antiqua" w:hAnsi="Book Antiqua"/>
          <w:sz w:val="24"/>
        </w:rPr>
        <w:t xml:space="preserve"> are initially performed</w:t>
      </w:r>
      <w:r w:rsidRPr="0075543B">
        <w:rPr>
          <w:rFonts w:ascii="Book Antiqua" w:hAnsi="Book Antiqua"/>
          <w:sz w:val="24"/>
        </w:rPr>
        <w:t xml:space="preserve"> to </w:t>
      </w:r>
      <w:r w:rsidR="00E5098B" w:rsidRPr="0075543B">
        <w:rPr>
          <w:rFonts w:ascii="Book Antiqua" w:hAnsi="Book Antiqua"/>
          <w:sz w:val="24"/>
        </w:rPr>
        <w:t>obtain a</w:t>
      </w:r>
      <w:r w:rsidRPr="0075543B">
        <w:rPr>
          <w:rFonts w:ascii="Book Antiqua" w:hAnsi="Book Antiqua"/>
          <w:sz w:val="24"/>
        </w:rPr>
        <w:t xml:space="preserve"> diagnosis </w:t>
      </w:r>
      <w:r w:rsidR="00E5098B" w:rsidRPr="0075543B">
        <w:rPr>
          <w:rFonts w:ascii="Book Antiqua" w:hAnsi="Book Antiqua"/>
          <w:sz w:val="24"/>
        </w:rPr>
        <w:t xml:space="preserve">for </w:t>
      </w:r>
      <w:r w:rsidRPr="0075543B">
        <w:rPr>
          <w:rFonts w:ascii="Book Antiqua" w:hAnsi="Book Antiqua"/>
          <w:sz w:val="24"/>
        </w:rPr>
        <w:t xml:space="preserve">unexplained or aggressive </w:t>
      </w:r>
      <w:r w:rsidR="0040663E">
        <w:rPr>
          <w:rFonts w:ascii="Book Antiqua" w:hAnsi="Book Antiqua"/>
          <w:sz w:val="24"/>
        </w:rPr>
        <w:t>PH</w:t>
      </w:r>
      <w:r w:rsidRPr="0075543B">
        <w:rPr>
          <w:rFonts w:ascii="Book Antiqua" w:hAnsi="Book Antiqua"/>
          <w:sz w:val="24"/>
        </w:rPr>
        <w:t xml:space="preserve">. Based on the literature review and our experience, once the patients presented with the </w:t>
      </w:r>
      <w:r w:rsidR="00E5098B" w:rsidRPr="0075543B">
        <w:rPr>
          <w:rFonts w:ascii="Book Antiqua" w:hAnsi="Book Antiqua"/>
          <w:sz w:val="24"/>
        </w:rPr>
        <w:t xml:space="preserve">abovementioned </w:t>
      </w:r>
      <w:r w:rsidRPr="0075543B">
        <w:rPr>
          <w:rFonts w:ascii="Book Antiqua" w:hAnsi="Book Antiqua"/>
          <w:sz w:val="24"/>
        </w:rPr>
        <w:t xml:space="preserve">symptoms, genome </w:t>
      </w:r>
      <w:r w:rsidR="00E5098B" w:rsidRPr="0075543B">
        <w:rPr>
          <w:rFonts w:ascii="Book Antiqua" w:hAnsi="Book Antiqua"/>
          <w:sz w:val="24"/>
        </w:rPr>
        <w:t xml:space="preserve">sequencing </w:t>
      </w:r>
      <w:r w:rsidRPr="0075543B">
        <w:rPr>
          <w:rFonts w:ascii="Book Antiqua" w:hAnsi="Book Antiqua"/>
          <w:sz w:val="24"/>
        </w:rPr>
        <w:t xml:space="preserve">and metabolic disorder screening should be </w:t>
      </w:r>
      <w:r w:rsidR="00E5098B" w:rsidRPr="0075543B">
        <w:rPr>
          <w:rFonts w:ascii="Book Antiqua" w:hAnsi="Book Antiqua"/>
          <w:sz w:val="24"/>
        </w:rPr>
        <w:t>prioritized</w:t>
      </w:r>
      <w:r w:rsidRPr="0075543B">
        <w:rPr>
          <w:rFonts w:ascii="Book Antiqua" w:hAnsi="Book Antiqua"/>
          <w:sz w:val="24"/>
        </w:rPr>
        <w:t xml:space="preserve"> rather than </w:t>
      </w:r>
      <w:r w:rsidR="00E5098B" w:rsidRPr="0075543B">
        <w:rPr>
          <w:rFonts w:ascii="Book Antiqua" w:hAnsi="Book Antiqua"/>
          <w:sz w:val="24"/>
        </w:rPr>
        <w:t>performed last</w:t>
      </w:r>
      <w:r w:rsidRPr="0075543B">
        <w:rPr>
          <w:rFonts w:ascii="Book Antiqua" w:hAnsi="Book Antiqua"/>
          <w:sz w:val="24"/>
        </w:rPr>
        <w:t xml:space="preserve"> to explore </w:t>
      </w:r>
      <w:r w:rsidR="00E5098B" w:rsidRPr="0075543B">
        <w:rPr>
          <w:rFonts w:ascii="Book Antiqua" w:hAnsi="Book Antiqua"/>
          <w:sz w:val="24"/>
        </w:rPr>
        <w:t>possible</w:t>
      </w:r>
      <w:r w:rsidRPr="0075543B">
        <w:rPr>
          <w:rFonts w:ascii="Book Antiqua" w:hAnsi="Book Antiqua"/>
          <w:sz w:val="24"/>
        </w:rPr>
        <w:t xml:space="preserve"> reasons. We summarized the criteria </w:t>
      </w:r>
      <w:r w:rsidR="00E5098B" w:rsidRPr="0075543B">
        <w:rPr>
          <w:rFonts w:ascii="Book Antiqua" w:hAnsi="Book Antiqua"/>
          <w:sz w:val="24"/>
        </w:rPr>
        <w:t xml:space="preserve">that indicate a need for these tests, </w:t>
      </w:r>
      <w:r w:rsidRPr="0075543B">
        <w:rPr>
          <w:rFonts w:ascii="Book Antiqua" w:hAnsi="Book Antiqua"/>
          <w:sz w:val="24"/>
        </w:rPr>
        <w:t xml:space="preserve">as follows: </w:t>
      </w:r>
      <w:r w:rsidR="004E71CE">
        <w:rPr>
          <w:rFonts w:ascii="Book Antiqua" w:hAnsi="Book Antiqua" w:hint="eastAsia"/>
          <w:sz w:val="24"/>
        </w:rPr>
        <w:t>(</w:t>
      </w:r>
      <w:r w:rsidRPr="0075543B">
        <w:rPr>
          <w:rFonts w:ascii="Book Antiqua" w:hAnsi="Book Antiqua"/>
          <w:sz w:val="24"/>
        </w:rPr>
        <w:t xml:space="preserve">1) failed to detect </w:t>
      </w:r>
      <w:r w:rsidR="00E5098B" w:rsidRPr="0075543B">
        <w:rPr>
          <w:rFonts w:ascii="Book Antiqua" w:hAnsi="Book Antiqua"/>
          <w:sz w:val="24"/>
        </w:rPr>
        <w:t xml:space="preserve">a </w:t>
      </w:r>
      <w:r w:rsidRPr="0075543B">
        <w:rPr>
          <w:rFonts w:ascii="Book Antiqua" w:hAnsi="Book Antiqua"/>
          <w:sz w:val="24"/>
        </w:rPr>
        <w:t xml:space="preserve">structural malformation of the cardiovascular and pulmonary system; </w:t>
      </w:r>
      <w:r w:rsidR="004E71CE">
        <w:rPr>
          <w:rFonts w:ascii="Book Antiqua" w:hAnsi="Book Antiqua" w:hint="eastAsia"/>
          <w:sz w:val="24"/>
        </w:rPr>
        <w:t>(</w:t>
      </w:r>
      <w:r w:rsidRPr="0075543B">
        <w:rPr>
          <w:rFonts w:ascii="Book Antiqua" w:hAnsi="Book Antiqua"/>
          <w:sz w:val="24"/>
        </w:rPr>
        <w:t xml:space="preserve">2) negative results </w:t>
      </w:r>
      <w:r w:rsidR="00E5098B" w:rsidRPr="0075543B">
        <w:rPr>
          <w:rFonts w:ascii="Book Antiqua" w:hAnsi="Book Antiqua"/>
          <w:sz w:val="24"/>
        </w:rPr>
        <w:t xml:space="preserve">for </w:t>
      </w:r>
      <w:r w:rsidRPr="0075543B">
        <w:rPr>
          <w:rFonts w:ascii="Book Antiqua" w:hAnsi="Book Antiqua"/>
          <w:sz w:val="24"/>
        </w:rPr>
        <w:t xml:space="preserve">autoimmune disease; and </w:t>
      </w:r>
      <w:r w:rsidR="004E71CE">
        <w:rPr>
          <w:rFonts w:ascii="Book Antiqua" w:hAnsi="Book Antiqua" w:hint="eastAsia"/>
          <w:sz w:val="24"/>
        </w:rPr>
        <w:t>(</w:t>
      </w:r>
      <w:r w:rsidRPr="0075543B">
        <w:rPr>
          <w:rFonts w:ascii="Book Antiqua" w:hAnsi="Book Antiqua"/>
          <w:sz w:val="24"/>
        </w:rPr>
        <w:t xml:space="preserve">3) aggressive pulmonary artery pressure elevation </w:t>
      </w:r>
      <w:r w:rsidR="00E5098B" w:rsidRPr="0075543B">
        <w:rPr>
          <w:rFonts w:ascii="Book Antiqua" w:hAnsi="Book Antiqua"/>
          <w:sz w:val="24"/>
        </w:rPr>
        <w:t xml:space="preserve">for </w:t>
      </w:r>
      <w:r w:rsidRPr="0075543B">
        <w:rPr>
          <w:rFonts w:ascii="Book Antiqua" w:hAnsi="Book Antiqua"/>
          <w:sz w:val="24"/>
        </w:rPr>
        <w:t xml:space="preserve">a limited time or very </w:t>
      </w:r>
      <w:r w:rsidR="00F63C3E" w:rsidRPr="0075543B">
        <w:rPr>
          <w:rFonts w:ascii="Book Antiqua" w:hAnsi="Book Antiqua"/>
          <w:sz w:val="24"/>
        </w:rPr>
        <w:t>early-</w:t>
      </w:r>
      <w:r w:rsidRPr="0075543B">
        <w:rPr>
          <w:rFonts w:ascii="Book Antiqua" w:hAnsi="Book Antiqua"/>
          <w:sz w:val="24"/>
        </w:rPr>
        <w:t xml:space="preserve">onset </w:t>
      </w:r>
      <w:r w:rsidR="0040663E">
        <w:rPr>
          <w:rFonts w:ascii="Book Antiqua" w:hAnsi="Book Antiqua"/>
          <w:sz w:val="24"/>
        </w:rPr>
        <w:t>PH</w:t>
      </w:r>
      <w:r w:rsidRPr="0075543B">
        <w:rPr>
          <w:rFonts w:ascii="Book Antiqua" w:hAnsi="Book Antiqua"/>
          <w:sz w:val="24"/>
        </w:rPr>
        <w:t xml:space="preserve"> without other disorders</w:t>
      </w:r>
      <w:r w:rsidR="00E5098B" w:rsidRPr="0075543B">
        <w:rPr>
          <w:rFonts w:ascii="Book Antiqua" w:hAnsi="Book Antiqua"/>
          <w:sz w:val="24"/>
        </w:rPr>
        <w:t xml:space="preserve"> affecting other systems</w:t>
      </w:r>
      <w:r w:rsidRPr="0075543B">
        <w:rPr>
          <w:rFonts w:ascii="Book Antiqua" w:hAnsi="Book Antiqua"/>
          <w:sz w:val="24"/>
        </w:rPr>
        <w:t>.</w:t>
      </w:r>
    </w:p>
    <w:p w14:paraId="3C32956E" w14:textId="77777777" w:rsidR="0007765E" w:rsidRDefault="0007765E" w:rsidP="0075543B">
      <w:pPr>
        <w:adjustRightInd w:val="0"/>
        <w:snapToGrid w:val="0"/>
        <w:spacing w:line="360" w:lineRule="auto"/>
        <w:rPr>
          <w:rFonts w:ascii="Book Antiqua" w:hAnsi="Book Antiqua"/>
          <w:sz w:val="24"/>
        </w:rPr>
      </w:pPr>
    </w:p>
    <w:p w14:paraId="6E739CE2" w14:textId="77777777" w:rsidR="007E6B42" w:rsidRPr="0075543B" w:rsidRDefault="007E6B42" w:rsidP="0075543B">
      <w:pPr>
        <w:adjustRightInd w:val="0"/>
        <w:snapToGrid w:val="0"/>
        <w:spacing w:line="360" w:lineRule="auto"/>
        <w:rPr>
          <w:rFonts w:ascii="Book Antiqua" w:hAnsi="Book Antiqua"/>
          <w:b/>
          <w:sz w:val="24"/>
        </w:rPr>
      </w:pPr>
      <w:r w:rsidRPr="0075543B">
        <w:rPr>
          <w:rFonts w:ascii="Book Antiqua" w:hAnsi="Book Antiqua"/>
          <w:b/>
          <w:sz w:val="24"/>
        </w:rPr>
        <w:t>REFERENCES</w:t>
      </w:r>
    </w:p>
    <w:p w14:paraId="64568030"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1 </w:t>
      </w:r>
      <w:proofErr w:type="spellStart"/>
      <w:r w:rsidRPr="0075543B">
        <w:rPr>
          <w:rFonts w:ascii="Book Antiqua" w:hAnsi="Book Antiqua"/>
          <w:b/>
          <w:sz w:val="24"/>
        </w:rPr>
        <w:t>Abman</w:t>
      </w:r>
      <w:proofErr w:type="spellEnd"/>
      <w:r w:rsidRPr="0075543B">
        <w:rPr>
          <w:rFonts w:ascii="Book Antiqua" w:hAnsi="Book Antiqua"/>
          <w:b/>
          <w:sz w:val="24"/>
        </w:rPr>
        <w:t xml:space="preserve"> SH</w:t>
      </w:r>
      <w:r w:rsidRPr="0075543B">
        <w:rPr>
          <w:rFonts w:ascii="Book Antiqua" w:hAnsi="Book Antiqua"/>
          <w:sz w:val="24"/>
        </w:rPr>
        <w:t xml:space="preserve">, </w:t>
      </w:r>
      <w:proofErr w:type="spellStart"/>
      <w:r w:rsidRPr="0075543B">
        <w:rPr>
          <w:rFonts w:ascii="Book Antiqua" w:hAnsi="Book Antiqua"/>
          <w:sz w:val="24"/>
        </w:rPr>
        <w:t>Hansmann</w:t>
      </w:r>
      <w:proofErr w:type="spellEnd"/>
      <w:r w:rsidRPr="0075543B">
        <w:rPr>
          <w:rFonts w:ascii="Book Antiqua" w:hAnsi="Book Antiqua"/>
          <w:sz w:val="24"/>
        </w:rPr>
        <w:t xml:space="preserve"> G, Archer SL, Ivy DD, </w:t>
      </w:r>
      <w:proofErr w:type="spellStart"/>
      <w:r w:rsidRPr="0075543B">
        <w:rPr>
          <w:rFonts w:ascii="Book Antiqua" w:hAnsi="Book Antiqua"/>
          <w:sz w:val="24"/>
        </w:rPr>
        <w:t>Adatia</w:t>
      </w:r>
      <w:proofErr w:type="spellEnd"/>
      <w:r w:rsidRPr="0075543B">
        <w:rPr>
          <w:rFonts w:ascii="Book Antiqua" w:hAnsi="Book Antiqua"/>
          <w:sz w:val="24"/>
        </w:rPr>
        <w:t xml:space="preserve"> I, Chung WK, Hanna BD, Rosenzweig EB, Raj JU, Cornfield D, </w:t>
      </w:r>
      <w:proofErr w:type="spellStart"/>
      <w:r w:rsidRPr="0075543B">
        <w:rPr>
          <w:rFonts w:ascii="Book Antiqua" w:hAnsi="Book Antiqua"/>
          <w:sz w:val="24"/>
        </w:rPr>
        <w:t>Stenmark</w:t>
      </w:r>
      <w:proofErr w:type="spellEnd"/>
      <w:r w:rsidRPr="0075543B">
        <w:rPr>
          <w:rFonts w:ascii="Book Antiqua" w:hAnsi="Book Antiqua"/>
          <w:sz w:val="24"/>
        </w:rPr>
        <w:t xml:space="preserve"> KR, </w:t>
      </w:r>
      <w:proofErr w:type="spellStart"/>
      <w:r w:rsidRPr="0075543B">
        <w:rPr>
          <w:rFonts w:ascii="Book Antiqua" w:hAnsi="Book Antiqua"/>
          <w:sz w:val="24"/>
        </w:rPr>
        <w:t>Steinhorn</w:t>
      </w:r>
      <w:proofErr w:type="spellEnd"/>
      <w:r w:rsidRPr="0075543B">
        <w:rPr>
          <w:rFonts w:ascii="Book Antiqua" w:hAnsi="Book Antiqua"/>
          <w:sz w:val="24"/>
        </w:rPr>
        <w:t xml:space="preserve"> R, </w:t>
      </w:r>
      <w:proofErr w:type="spellStart"/>
      <w:r w:rsidRPr="0075543B">
        <w:rPr>
          <w:rFonts w:ascii="Book Antiqua" w:hAnsi="Book Antiqua"/>
          <w:sz w:val="24"/>
        </w:rPr>
        <w:t>Thébaud</w:t>
      </w:r>
      <w:proofErr w:type="spellEnd"/>
      <w:r w:rsidRPr="0075543B">
        <w:rPr>
          <w:rFonts w:ascii="Book Antiqua" w:hAnsi="Book Antiqua"/>
          <w:sz w:val="24"/>
        </w:rPr>
        <w:t xml:space="preserve"> B, </w:t>
      </w:r>
      <w:proofErr w:type="spellStart"/>
      <w:r w:rsidRPr="0075543B">
        <w:rPr>
          <w:rFonts w:ascii="Book Antiqua" w:hAnsi="Book Antiqua"/>
          <w:sz w:val="24"/>
        </w:rPr>
        <w:t>Fineman</w:t>
      </w:r>
      <w:proofErr w:type="spellEnd"/>
      <w:r w:rsidRPr="0075543B">
        <w:rPr>
          <w:rFonts w:ascii="Book Antiqua" w:hAnsi="Book Antiqua"/>
          <w:sz w:val="24"/>
        </w:rPr>
        <w:t xml:space="preserve"> JR, Kuehne T, Feinstein JA, Friedberg MK, Earing M, </w:t>
      </w:r>
      <w:proofErr w:type="spellStart"/>
      <w:r w:rsidRPr="0075543B">
        <w:rPr>
          <w:rFonts w:ascii="Book Antiqua" w:hAnsi="Book Antiqua"/>
          <w:sz w:val="24"/>
        </w:rPr>
        <w:t>Barst</w:t>
      </w:r>
      <w:proofErr w:type="spellEnd"/>
      <w:r w:rsidRPr="0075543B">
        <w:rPr>
          <w:rFonts w:ascii="Book Antiqua" w:hAnsi="Book Antiqua"/>
          <w:sz w:val="24"/>
        </w:rPr>
        <w:t xml:space="preserve"> RJ, Keller RL, Kinsella JP, Mullen M, </w:t>
      </w:r>
      <w:proofErr w:type="spellStart"/>
      <w:r w:rsidRPr="0075543B">
        <w:rPr>
          <w:rFonts w:ascii="Book Antiqua" w:hAnsi="Book Antiqua"/>
          <w:sz w:val="24"/>
        </w:rPr>
        <w:t>Deterding</w:t>
      </w:r>
      <w:proofErr w:type="spellEnd"/>
      <w:r w:rsidRPr="0075543B">
        <w:rPr>
          <w:rFonts w:ascii="Book Antiqua" w:hAnsi="Book Antiqua"/>
          <w:sz w:val="24"/>
        </w:rPr>
        <w:t xml:space="preserve"> R, </w:t>
      </w:r>
      <w:proofErr w:type="spellStart"/>
      <w:r w:rsidRPr="0075543B">
        <w:rPr>
          <w:rFonts w:ascii="Book Antiqua" w:hAnsi="Book Antiqua"/>
          <w:sz w:val="24"/>
        </w:rPr>
        <w:t>Kulik</w:t>
      </w:r>
      <w:proofErr w:type="spellEnd"/>
      <w:r w:rsidRPr="0075543B">
        <w:rPr>
          <w:rFonts w:ascii="Book Antiqua" w:hAnsi="Book Antiqua"/>
          <w:sz w:val="24"/>
        </w:rPr>
        <w:t xml:space="preserve"> T, Mallory G, </w:t>
      </w:r>
      <w:proofErr w:type="spellStart"/>
      <w:r w:rsidRPr="0075543B">
        <w:rPr>
          <w:rFonts w:ascii="Book Antiqua" w:hAnsi="Book Antiqua"/>
          <w:sz w:val="24"/>
        </w:rPr>
        <w:t>Humpl</w:t>
      </w:r>
      <w:proofErr w:type="spellEnd"/>
      <w:r w:rsidRPr="0075543B">
        <w:rPr>
          <w:rFonts w:ascii="Book Antiqua" w:hAnsi="Book Antiqua"/>
          <w:sz w:val="24"/>
        </w:rPr>
        <w:t xml:space="preserve"> T, Wessel DL; American Heart Association Council on Cardiopulmonary, Critical Care, Perioperative and Resuscitation; Council on Clinical Cardiology; Council on Cardiovascular Disease in the Young; Council on Cardiovascular Radiology and Intervention; Council on Cardiovascular Surgery and Anesthesia; and the American Thoracic Society. Pediatric Pulmonary Hypertension: Guidelines </w:t>
      </w:r>
      <w:proofErr w:type="gramStart"/>
      <w:r w:rsidRPr="0075543B">
        <w:rPr>
          <w:rFonts w:ascii="Book Antiqua" w:hAnsi="Book Antiqua"/>
          <w:sz w:val="24"/>
        </w:rPr>
        <w:t>From</w:t>
      </w:r>
      <w:proofErr w:type="gramEnd"/>
      <w:r w:rsidRPr="0075543B">
        <w:rPr>
          <w:rFonts w:ascii="Book Antiqua" w:hAnsi="Book Antiqua"/>
          <w:sz w:val="24"/>
        </w:rPr>
        <w:t xml:space="preserve"> the American Heart Association and American Thoracic Society. </w:t>
      </w:r>
      <w:r w:rsidRPr="0075543B">
        <w:rPr>
          <w:rFonts w:ascii="Book Antiqua" w:hAnsi="Book Antiqua"/>
          <w:i/>
          <w:sz w:val="24"/>
        </w:rPr>
        <w:t>Circulation</w:t>
      </w:r>
      <w:r w:rsidRPr="0075543B">
        <w:rPr>
          <w:rFonts w:ascii="Book Antiqua" w:hAnsi="Book Antiqua"/>
          <w:sz w:val="24"/>
        </w:rPr>
        <w:t xml:space="preserve"> 2015; </w:t>
      </w:r>
      <w:r w:rsidRPr="0075543B">
        <w:rPr>
          <w:rFonts w:ascii="Book Antiqua" w:hAnsi="Book Antiqua"/>
          <w:b/>
          <w:sz w:val="24"/>
        </w:rPr>
        <w:t>132</w:t>
      </w:r>
      <w:r w:rsidRPr="0075543B">
        <w:rPr>
          <w:rFonts w:ascii="Book Antiqua" w:hAnsi="Book Antiqua"/>
          <w:sz w:val="24"/>
        </w:rPr>
        <w:t>: 2037-2099 [PMID: 26534956 DOI: 10.1161/CIR.0000000000000329]</w:t>
      </w:r>
    </w:p>
    <w:p w14:paraId="65809577"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2 </w:t>
      </w:r>
      <w:r w:rsidRPr="0075543B">
        <w:rPr>
          <w:rFonts w:ascii="Book Antiqua" w:hAnsi="Book Antiqua"/>
          <w:b/>
          <w:sz w:val="24"/>
        </w:rPr>
        <w:t>Tonelli AR</w:t>
      </w:r>
      <w:r w:rsidRPr="0075543B">
        <w:rPr>
          <w:rFonts w:ascii="Book Antiqua" w:hAnsi="Book Antiqua"/>
          <w:sz w:val="24"/>
        </w:rPr>
        <w:t xml:space="preserve">, </w:t>
      </w:r>
      <w:proofErr w:type="spellStart"/>
      <w:r w:rsidRPr="0075543B">
        <w:rPr>
          <w:rFonts w:ascii="Book Antiqua" w:hAnsi="Book Antiqua"/>
          <w:sz w:val="24"/>
        </w:rPr>
        <w:t>Arelli</w:t>
      </w:r>
      <w:proofErr w:type="spellEnd"/>
      <w:r w:rsidRPr="0075543B">
        <w:rPr>
          <w:rFonts w:ascii="Book Antiqua" w:hAnsi="Book Antiqua"/>
          <w:sz w:val="24"/>
        </w:rPr>
        <w:t xml:space="preserve"> V, </w:t>
      </w:r>
      <w:proofErr w:type="spellStart"/>
      <w:r w:rsidRPr="0075543B">
        <w:rPr>
          <w:rFonts w:ascii="Book Antiqua" w:hAnsi="Book Antiqua"/>
          <w:sz w:val="24"/>
        </w:rPr>
        <w:t>Minai</w:t>
      </w:r>
      <w:proofErr w:type="spellEnd"/>
      <w:r w:rsidRPr="0075543B">
        <w:rPr>
          <w:rFonts w:ascii="Book Antiqua" w:hAnsi="Book Antiqua"/>
          <w:sz w:val="24"/>
        </w:rPr>
        <w:t xml:space="preserve"> OA, Newman J, Bair N, </w:t>
      </w:r>
      <w:proofErr w:type="spellStart"/>
      <w:r w:rsidRPr="0075543B">
        <w:rPr>
          <w:rFonts w:ascii="Book Antiqua" w:hAnsi="Book Antiqua"/>
          <w:sz w:val="24"/>
        </w:rPr>
        <w:t>Heresi</w:t>
      </w:r>
      <w:proofErr w:type="spellEnd"/>
      <w:r w:rsidRPr="0075543B">
        <w:rPr>
          <w:rFonts w:ascii="Book Antiqua" w:hAnsi="Book Antiqua"/>
          <w:sz w:val="24"/>
        </w:rPr>
        <w:t xml:space="preserve"> GA, </w:t>
      </w:r>
      <w:proofErr w:type="spellStart"/>
      <w:r w:rsidRPr="0075543B">
        <w:rPr>
          <w:rFonts w:ascii="Book Antiqua" w:hAnsi="Book Antiqua"/>
          <w:sz w:val="24"/>
        </w:rPr>
        <w:t>Dweik</w:t>
      </w:r>
      <w:proofErr w:type="spellEnd"/>
      <w:r w:rsidRPr="0075543B">
        <w:rPr>
          <w:rFonts w:ascii="Book Antiqua" w:hAnsi="Book Antiqua"/>
          <w:sz w:val="24"/>
        </w:rPr>
        <w:t xml:space="preserve"> RA. Causes and circumstances of death in pulmonary arterial hypertension. </w:t>
      </w:r>
      <w:r w:rsidRPr="0075543B">
        <w:rPr>
          <w:rFonts w:ascii="Book Antiqua" w:hAnsi="Book Antiqua"/>
          <w:i/>
          <w:sz w:val="24"/>
        </w:rPr>
        <w:t xml:space="preserve">Am J </w:t>
      </w:r>
      <w:proofErr w:type="spellStart"/>
      <w:r w:rsidRPr="0075543B">
        <w:rPr>
          <w:rFonts w:ascii="Book Antiqua" w:hAnsi="Book Antiqua"/>
          <w:i/>
          <w:sz w:val="24"/>
        </w:rPr>
        <w:t>Respir</w:t>
      </w:r>
      <w:proofErr w:type="spellEnd"/>
      <w:r w:rsidRPr="0075543B">
        <w:rPr>
          <w:rFonts w:ascii="Book Antiqua" w:hAnsi="Book Antiqua"/>
          <w:i/>
          <w:sz w:val="24"/>
        </w:rPr>
        <w:t xml:space="preserve"> </w:t>
      </w:r>
      <w:proofErr w:type="spellStart"/>
      <w:r w:rsidRPr="0075543B">
        <w:rPr>
          <w:rFonts w:ascii="Book Antiqua" w:hAnsi="Book Antiqua"/>
          <w:i/>
          <w:sz w:val="24"/>
        </w:rPr>
        <w:t>Crit</w:t>
      </w:r>
      <w:proofErr w:type="spellEnd"/>
      <w:r w:rsidRPr="0075543B">
        <w:rPr>
          <w:rFonts w:ascii="Book Antiqua" w:hAnsi="Book Antiqua"/>
          <w:i/>
          <w:sz w:val="24"/>
        </w:rPr>
        <w:t xml:space="preserve"> Care Med</w:t>
      </w:r>
      <w:r w:rsidRPr="0075543B">
        <w:rPr>
          <w:rFonts w:ascii="Book Antiqua" w:hAnsi="Book Antiqua"/>
          <w:sz w:val="24"/>
        </w:rPr>
        <w:t xml:space="preserve"> 2013; </w:t>
      </w:r>
      <w:r w:rsidRPr="0075543B">
        <w:rPr>
          <w:rFonts w:ascii="Book Antiqua" w:hAnsi="Book Antiqua"/>
          <w:b/>
          <w:sz w:val="24"/>
        </w:rPr>
        <w:t>188</w:t>
      </w:r>
      <w:r w:rsidRPr="0075543B">
        <w:rPr>
          <w:rFonts w:ascii="Book Antiqua" w:hAnsi="Book Antiqua"/>
          <w:sz w:val="24"/>
        </w:rPr>
        <w:t>: 365-369 [PMID: 23600433 DOI: 10.1164/rccm.201209-1640OC]</w:t>
      </w:r>
    </w:p>
    <w:p w14:paraId="10F2E2E1"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3 </w:t>
      </w:r>
      <w:proofErr w:type="spellStart"/>
      <w:r w:rsidRPr="0075543B">
        <w:rPr>
          <w:rFonts w:ascii="Book Antiqua" w:hAnsi="Book Antiqua"/>
          <w:b/>
          <w:sz w:val="24"/>
        </w:rPr>
        <w:t>Barst</w:t>
      </w:r>
      <w:proofErr w:type="spellEnd"/>
      <w:r w:rsidRPr="0075543B">
        <w:rPr>
          <w:rFonts w:ascii="Book Antiqua" w:hAnsi="Book Antiqua"/>
          <w:b/>
          <w:sz w:val="24"/>
        </w:rPr>
        <w:t xml:space="preserve"> RJ</w:t>
      </w:r>
      <w:r w:rsidRPr="0075543B">
        <w:rPr>
          <w:rFonts w:ascii="Book Antiqua" w:hAnsi="Book Antiqua"/>
          <w:sz w:val="24"/>
        </w:rPr>
        <w:t xml:space="preserve">, </w:t>
      </w:r>
      <w:proofErr w:type="spellStart"/>
      <w:r w:rsidRPr="0075543B">
        <w:rPr>
          <w:rFonts w:ascii="Book Antiqua" w:hAnsi="Book Antiqua"/>
          <w:sz w:val="24"/>
        </w:rPr>
        <w:t>McGoon</w:t>
      </w:r>
      <w:proofErr w:type="spellEnd"/>
      <w:r w:rsidRPr="0075543B">
        <w:rPr>
          <w:rFonts w:ascii="Book Antiqua" w:hAnsi="Book Antiqua"/>
          <w:sz w:val="24"/>
        </w:rPr>
        <w:t xml:space="preserve"> MD, Elliott CG, Foreman AJ, Miller DP, Ivy DD. Survival in childhood pulmonary arterial hypertension: insights from the registry to evaluate early and long-term pulmonary arterial hypertension disease management. </w:t>
      </w:r>
      <w:r w:rsidRPr="0075543B">
        <w:rPr>
          <w:rFonts w:ascii="Book Antiqua" w:hAnsi="Book Antiqua"/>
          <w:i/>
          <w:sz w:val="24"/>
        </w:rPr>
        <w:t>Circulation</w:t>
      </w:r>
      <w:r w:rsidRPr="0075543B">
        <w:rPr>
          <w:rFonts w:ascii="Book Antiqua" w:hAnsi="Book Antiqua"/>
          <w:sz w:val="24"/>
        </w:rPr>
        <w:t xml:space="preserve"> 2012; </w:t>
      </w:r>
      <w:r w:rsidRPr="0075543B">
        <w:rPr>
          <w:rFonts w:ascii="Book Antiqua" w:hAnsi="Book Antiqua"/>
          <w:b/>
          <w:sz w:val="24"/>
        </w:rPr>
        <w:t>125</w:t>
      </w:r>
      <w:r w:rsidRPr="0075543B">
        <w:rPr>
          <w:rFonts w:ascii="Book Antiqua" w:hAnsi="Book Antiqua"/>
          <w:sz w:val="24"/>
        </w:rPr>
        <w:t>: 113-122 [PMID: 22086881 DOI: 10.1161/CIRCULATIONAHA.111.026591]</w:t>
      </w:r>
    </w:p>
    <w:p w14:paraId="50F693C0"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4 </w:t>
      </w:r>
      <w:proofErr w:type="spellStart"/>
      <w:r w:rsidRPr="0075543B">
        <w:rPr>
          <w:rFonts w:ascii="Book Antiqua" w:hAnsi="Book Antiqua"/>
          <w:b/>
          <w:sz w:val="24"/>
        </w:rPr>
        <w:t>Gündüz</w:t>
      </w:r>
      <w:proofErr w:type="spellEnd"/>
      <w:r w:rsidRPr="0075543B">
        <w:rPr>
          <w:rFonts w:ascii="Book Antiqua" w:hAnsi="Book Antiqua"/>
          <w:b/>
          <w:sz w:val="24"/>
        </w:rPr>
        <w:t xml:space="preserve"> M</w:t>
      </w:r>
      <w:r w:rsidRPr="0075543B">
        <w:rPr>
          <w:rFonts w:ascii="Book Antiqua" w:hAnsi="Book Antiqua"/>
          <w:sz w:val="24"/>
        </w:rPr>
        <w:t xml:space="preserve">, </w:t>
      </w:r>
      <w:proofErr w:type="spellStart"/>
      <w:r w:rsidRPr="0075543B">
        <w:rPr>
          <w:rFonts w:ascii="Book Antiqua" w:hAnsi="Book Antiqua"/>
          <w:sz w:val="24"/>
        </w:rPr>
        <w:t>Ekici</w:t>
      </w:r>
      <w:proofErr w:type="spellEnd"/>
      <w:r w:rsidRPr="0075543B">
        <w:rPr>
          <w:rFonts w:ascii="Book Antiqua" w:hAnsi="Book Antiqua"/>
          <w:sz w:val="24"/>
        </w:rPr>
        <w:t xml:space="preserve"> F, </w:t>
      </w:r>
      <w:proofErr w:type="spellStart"/>
      <w:r w:rsidRPr="0075543B">
        <w:rPr>
          <w:rFonts w:ascii="Book Antiqua" w:hAnsi="Book Antiqua"/>
          <w:sz w:val="24"/>
        </w:rPr>
        <w:t>Özayd</w:t>
      </w:r>
      <w:r w:rsidRPr="0075543B">
        <w:rPr>
          <w:rFonts w:ascii="Book Antiqua" w:hAnsi="Book Antiqua" w:cs="Cambria"/>
          <w:sz w:val="24"/>
        </w:rPr>
        <w:t>ı</w:t>
      </w:r>
      <w:r w:rsidRPr="0075543B">
        <w:rPr>
          <w:rFonts w:ascii="Book Antiqua" w:hAnsi="Book Antiqua"/>
          <w:sz w:val="24"/>
        </w:rPr>
        <w:t>n</w:t>
      </w:r>
      <w:proofErr w:type="spellEnd"/>
      <w:r w:rsidRPr="0075543B">
        <w:rPr>
          <w:rFonts w:ascii="Book Antiqua" w:hAnsi="Book Antiqua"/>
          <w:sz w:val="24"/>
        </w:rPr>
        <w:t xml:space="preserve"> E, </w:t>
      </w:r>
      <w:proofErr w:type="spellStart"/>
      <w:r w:rsidRPr="0075543B">
        <w:rPr>
          <w:rFonts w:ascii="Book Antiqua" w:hAnsi="Book Antiqua"/>
          <w:sz w:val="24"/>
        </w:rPr>
        <w:t>Ceylaner</w:t>
      </w:r>
      <w:proofErr w:type="spellEnd"/>
      <w:r w:rsidRPr="0075543B">
        <w:rPr>
          <w:rFonts w:ascii="Book Antiqua" w:hAnsi="Book Antiqua"/>
          <w:sz w:val="24"/>
        </w:rPr>
        <w:t xml:space="preserve"> S, Perez B. Reversible pulmonary arterial hypertension in cobalamin-dependent cobalamin C disease due to a novel mutation in the MMACHC gene. </w:t>
      </w:r>
      <w:proofErr w:type="spellStart"/>
      <w:r w:rsidRPr="0075543B">
        <w:rPr>
          <w:rFonts w:ascii="Book Antiqua" w:hAnsi="Book Antiqua"/>
          <w:i/>
          <w:sz w:val="24"/>
        </w:rPr>
        <w:t>Eur</w:t>
      </w:r>
      <w:proofErr w:type="spellEnd"/>
      <w:r w:rsidRPr="0075543B">
        <w:rPr>
          <w:rFonts w:ascii="Book Antiqua" w:hAnsi="Book Antiqua"/>
          <w:i/>
          <w:sz w:val="24"/>
        </w:rPr>
        <w:t xml:space="preserve"> J </w:t>
      </w:r>
      <w:proofErr w:type="spellStart"/>
      <w:r w:rsidRPr="0075543B">
        <w:rPr>
          <w:rFonts w:ascii="Book Antiqua" w:hAnsi="Book Antiqua"/>
          <w:i/>
          <w:sz w:val="24"/>
        </w:rPr>
        <w:t>Pediatr</w:t>
      </w:r>
      <w:proofErr w:type="spellEnd"/>
      <w:r w:rsidRPr="0075543B">
        <w:rPr>
          <w:rFonts w:ascii="Book Antiqua" w:hAnsi="Book Antiqua"/>
          <w:sz w:val="24"/>
        </w:rPr>
        <w:t xml:space="preserve"> 2014; </w:t>
      </w:r>
      <w:r w:rsidRPr="0075543B">
        <w:rPr>
          <w:rFonts w:ascii="Book Antiqua" w:hAnsi="Book Antiqua"/>
          <w:b/>
          <w:sz w:val="24"/>
        </w:rPr>
        <w:t>173</w:t>
      </w:r>
      <w:r w:rsidRPr="0075543B">
        <w:rPr>
          <w:rFonts w:ascii="Book Antiqua" w:hAnsi="Book Antiqua"/>
          <w:sz w:val="24"/>
        </w:rPr>
        <w:t>: 1707-1710 [PMID: 24853097 DOI: 10.1007/s00431-014-2330-6]</w:t>
      </w:r>
    </w:p>
    <w:p w14:paraId="1E8F0791"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5 </w:t>
      </w:r>
      <w:r w:rsidRPr="0075543B">
        <w:rPr>
          <w:rFonts w:ascii="Book Antiqua" w:hAnsi="Book Antiqua"/>
          <w:b/>
          <w:sz w:val="24"/>
        </w:rPr>
        <w:t>De Simone L</w:t>
      </w:r>
      <w:r w:rsidRPr="0075543B">
        <w:rPr>
          <w:rFonts w:ascii="Book Antiqua" w:hAnsi="Book Antiqua"/>
          <w:sz w:val="24"/>
        </w:rPr>
        <w:t xml:space="preserve">, </w:t>
      </w:r>
      <w:proofErr w:type="spellStart"/>
      <w:r w:rsidRPr="0075543B">
        <w:rPr>
          <w:rFonts w:ascii="Book Antiqua" w:hAnsi="Book Antiqua"/>
          <w:sz w:val="24"/>
        </w:rPr>
        <w:t>Capirchio</w:t>
      </w:r>
      <w:proofErr w:type="spellEnd"/>
      <w:r w:rsidRPr="0075543B">
        <w:rPr>
          <w:rFonts w:ascii="Book Antiqua" w:hAnsi="Book Antiqua"/>
          <w:sz w:val="24"/>
        </w:rPr>
        <w:t xml:space="preserve"> L, </w:t>
      </w:r>
      <w:proofErr w:type="spellStart"/>
      <w:r w:rsidRPr="0075543B">
        <w:rPr>
          <w:rFonts w:ascii="Book Antiqua" w:hAnsi="Book Antiqua"/>
          <w:sz w:val="24"/>
        </w:rPr>
        <w:t>Roperto</w:t>
      </w:r>
      <w:proofErr w:type="spellEnd"/>
      <w:r w:rsidRPr="0075543B">
        <w:rPr>
          <w:rFonts w:ascii="Book Antiqua" w:hAnsi="Book Antiqua"/>
          <w:sz w:val="24"/>
        </w:rPr>
        <w:t xml:space="preserve"> RM, </w:t>
      </w:r>
      <w:proofErr w:type="spellStart"/>
      <w:r w:rsidRPr="0075543B">
        <w:rPr>
          <w:rFonts w:ascii="Book Antiqua" w:hAnsi="Book Antiqua"/>
          <w:sz w:val="24"/>
        </w:rPr>
        <w:t>Romagnani</w:t>
      </w:r>
      <w:proofErr w:type="spellEnd"/>
      <w:r w:rsidRPr="0075543B">
        <w:rPr>
          <w:rFonts w:ascii="Book Antiqua" w:hAnsi="Book Antiqua"/>
          <w:sz w:val="24"/>
        </w:rPr>
        <w:t xml:space="preserve"> P, </w:t>
      </w:r>
      <w:proofErr w:type="spellStart"/>
      <w:r w:rsidRPr="0075543B">
        <w:rPr>
          <w:rFonts w:ascii="Book Antiqua" w:hAnsi="Book Antiqua"/>
          <w:sz w:val="24"/>
        </w:rPr>
        <w:t>Sacchini</w:t>
      </w:r>
      <w:proofErr w:type="spellEnd"/>
      <w:r w:rsidRPr="0075543B">
        <w:rPr>
          <w:rFonts w:ascii="Book Antiqua" w:hAnsi="Book Antiqua"/>
          <w:sz w:val="24"/>
        </w:rPr>
        <w:t xml:space="preserve"> M, </w:t>
      </w:r>
      <w:proofErr w:type="spellStart"/>
      <w:r w:rsidRPr="0075543B">
        <w:rPr>
          <w:rFonts w:ascii="Book Antiqua" w:hAnsi="Book Antiqua"/>
          <w:sz w:val="24"/>
        </w:rPr>
        <w:t>Donati</w:t>
      </w:r>
      <w:proofErr w:type="spellEnd"/>
      <w:r w:rsidRPr="0075543B">
        <w:rPr>
          <w:rFonts w:ascii="Book Antiqua" w:hAnsi="Book Antiqua"/>
          <w:sz w:val="24"/>
        </w:rPr>
        <w:t xml:space="preserve"> MA, de Martino M. Favorable course of previously undiagnosed Methylmalonic Aciduria with </w:t>
      </w:r>
      <w:proofErr w:type="spellStart"/>
      <w:r w:rsidRPr="0075543B">
        <w:rPr>
          <w:rFonts w:ascii="Book Antiqua" w:hAnsi="Book Antiqua"/>
          <w:sz w:val="24"/>
        </w:rPr>
        <w:t>Homocystinuria</w:t>
      </w:r>
      <w:proofErr w:type="spellEnd"/>
      <w:r w:rsidRPr="0075543B">
        <w:rPr>
          <w:rFonts w:ascii="Book Antiqua" w:hAnsi="Book Antiqua"/>
          <w:sz w:val="24"/>
        </w:rPr>
        <w:t xml:space="preserve"> (</w:t>
      </w:r>
      <w:proofErr w:type="spellStart"/>
      <w:r w:rsidRPr="0075543B">
        <w:rPr>
          <w:rFonts w:ascii="Book Antiqua" w:hAnsi="Book Antiqua"/>
          <w:sz w:val="24"/>
        </w:rPr>
        <w:t>cblC</w:t>
      </w:r>
      <w:proofErr w:type="spellEnd"/>
      <w:r w:rsidRPr="0075543B">
        <w:rPr>
          <w:rFonts w:ascii="Book Antiqua" w:hAnsi="Book Antiqua"/>
          <w:sz w:val="24"/>
        </w:rPr>
        <w:t xml:space="preserve"> type) presenting with pulmonary hypertension and </w:t>
      </w:r>
      <w:proofErr w:type="spellStart"/>
      <w:r w:rsidRPr="0075543B">
        <w:rPr>
          <w:rFonts w:ascii="Book Antiqua" w:hAnsi="Book Antiqua"/>
          <w:sz w:val="24"/>
        </w:rPr>
        <w:t>aHUS</w:t>
      </w:r>
      <w:proofErr w:type="spellEnd"/>
      <w:r w:rsidRPr="0075543B">
        <w:rPr>
          <w:rFonts w:ascii="Book Antiqua" w:hAnsi="Book Antiqua"/>
          <w:sz w:val="24"/>
        </w:rPr>
        <w:t xml:space="preserve"> in a young child: a case report. </w:t>
      </w:r>
      <w:r w:rsidRPr="0075543B">
        <w:rPr>
          <w:rFonts w:ascii="Book Antiqua" w:hAnsi="Book Antiqua"/>
          <w:i/>
          <w:sz w:val="24"/>
        </w:rPr>
        <w:t xml:space="preserve">Ital J </w:t>
      </w:r>
      <w:proofErr w:type="spellStart"/>
      <w:r w:rsidRPr="0075543B">
        <w:rPr>
          <w:rFonts w:ascii="Book Antiqua" w:hAnsi="Book Antiqua"/>
          <w:i/>
          <w:sz w:val="24"/>
        </w:rPr>
        <w:t>Pediatr</w:t>
      </w:r>
      <w:proofErr w:type="spellEnd"/>
      <w:r w:rsidRPr="0075543B">
        <w:rPr>
          <w:rFonts w:ascii="Book Antiqua" w:hAnsi="Book Antiqua"/>
          <w:sz w:val="24"/>
        </w:rPr>
        <w:t xml:space="preserve"> 2018; </w:t>
      </w:r>
      <w:r w:rsidRPr="0075543B">
        <w:rPr>
          <w:rFonts w:ascii="Book Antiqua" w:hAnsi="Book Antiqua"/>
          <w:b/>
          <w:sz w:val="24"/>
        </w:rPr>
        <w:t>44</w:t>
      </w:r>
      <w:r w:rsidRPr="0075543B">
        <w:rPr>
          <w:rFonts w:ascii="Book Antiqua" w:hAnsi="Book Antiqua"/>
          <w:sz w:val="24"/>
        </w:rPr>
        <w:t>: 90 [PMID: 30103768 DOI: 10.1186/s13052-018-0530-9]</w:t>
      </w:r>
    </w:p>
    <w:p w14:paraId="7021FED8"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6 </w:t>
      </w:r>
      <w:r w:rsidRPr="0075543B">
        <w:rPr>
          <w:rFonts w:ascii="Book Antiqua" w:hAnsi="Book Antiqua"/>
          <w:b/>
          <w:sz w:val="24"/>
        </w:rPr>
        <w:t>Kido J</w:t>
      </w:r>
      <w:r w:rsidRPr="0075543B">
        <w:rPr>
          <w:rFonts w:ascii="Book Antiqua" w:hAnsi="Book Antiqua"/>
          <w:sz w:val="24"/>
        </w:rPr>
        <w:t xml:space="preserve">, </w:t>
      </w:r>
      <w:proofErr w:type="spellStart"/>
      <w:r w:rsidRPr="0075543B">
        <w:rPr>
          <w:rFonts w:ascii="Book Antiqua" w:hAnsi="Book Antiqua"/>
          <w:sz w:val="24"/>
        </w:rPr>
        <w:t>Mitsubuchi</w:t>
      </w:r>
      <w:proofErr w:type="spellEnd"/>
      <w:r w:rsidRPr="0075543B">
        <w:rPr>
          <w:rFonts w:ascii="Book Antiqua" w:hAnsi="Book Antiqua"/>
          <w:sz w:val="24"/>
        </w:rPr>
        <w:t xml:space="preserve"> H, </w:t>
      </w:r>
      <w:proofErr w:type="spellStart"/>
      <w:r w:rsidRPr="0075543B">
        <w:rPr>
          <w:rFonts w:ascii="Book Antiqua" w:hAnsi="Book Antiqua"/>
          <w:sz w:val="24"/>
        </w:rPr>
        <w:t>Sakanashi</w:t>
      </w:r>
      <w:proofErr w:type="spellEnd"/>
      <w:r w:rsidRPr="0075543B">
        <w:rPr>
          <w:rFonts w:ascii="Book Antiqua" w:hAnsi="Book Antiqua"/>
          <w:sz w:val="24"/>
        </w:rPr>
        <w:t xml:space="preserve"> M, Matsubara J, Matsumoto S, Sakamoto R, Endo F, Nakamura K. Pulmonary artery hypertension in methylmalonic acidemia. </w:t>
      </w:r>
      <w:proofErr w:type="spellStart"/>
      <w:r w:rsidRPr="0075543B">
        <w:rPr>
          <w:rFonts w:ascii="Book Antiqua" w:hAnsi="Book Antiqua"/>
          <w:i/>
          <w:sz w:val="24"/>
        </w:rPr>
        <w:t>Hemodial</w:t>
      </w:r>
      <w:proofErr w:type="spellEnd"/>
      <w:r w:rsidRPr="0075543B">
        <w:rPr>
          <w:rFonts w:ascii="Book Antiqua" w:hAnsi="Book Antiqua"/>
          <w:i/>
          <w:sz w:val="24"/>
        </w:rPr>
        <w:t xml:space="preserve"> </w:t>
      </w:r>
      <w:proofErr w:type="spellStart"/>
      <w:r w:rsidRPr="0075543B">
        <w:rPr>
          <w:rFonts w:ascii="Book Antiqua" w:hAnsi="Book Antiqua"/>
          <w:i/>
          <w:sz w:val="24"/>
        </w:rPr>
        <w:t>Int</w:t>
      </w:r>
      <w:proofErr w:type="spellEnd"/>
      <w:r w:rsidRPr="0075543B">
        <w:rPr>
          <w:rFonts w:ascii="Book Antiqua" w:hAnsi="Book Antiqua"/>
          <w:sz w:val="24"/>
        </w:rPr>
        <w:t xml:space="preserve"> 2017; </w:t>
      </w:r>
      <w:r w:rsidRPr="0075543B">
        <w:rPr>
          <w:rFonts w:ascii="Book Antiqua" w:hAnsi="Book Antiqua"/>
          <w:b/>
          <w:sz w:val="24"/>
        </w:rPr>
        <w:t>21</w:t>
      </w:r>
      <w:r w:rsidRPr="0075543B">
        <w:rPr>
          <w:rFonts w:ascii="Book Antiqua" w:hAnsi="Book Antiqua"/>
          <w:sz w:val="24"/>
        </w:rPr>
        <w:t>: E25-E29 [PMID: 27804229 DOI: 10.1111/hdi.12506]</w:t>
      </w:r>
    </w:p>
    <w:p w14:paraId="633A9502"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7 </w:t>
      </w:r>
      <w:proofErr w:type="spellStart"/>
      <w:r w:rsidRPr="0075543B">
        <w:rPr>
          <w:rFonts w:ascii="Book Antiqua" w:hAnsi="Book Antiqua"/>
          <w:b/>
          <w:sz w:val="24"/>
        </w:rPr>
        <w:t>Galiè</w:t>
      </w:r>
      <w:proofErr w:type="spellEnd"/>
      <w:r w:rsidRPr="0075543B">
        <w:rPr>
          <w:rFonts w:ascii="Book Antiqua" w:hAnsi="Book Antiqua"/>
          <w:b/>
          <w:sz w:val="24"/>
        </w:rPr>
        <w:t xml:space="preserve"> N</w:t>
      </w:r>
      <w:r w:rsidRPr="0075543B">
        <w:rPr>
          <w:rFonts w:ascii="Book Antiqua" w:hAnsi="Book Antiqua"/>
          <w:sz w:val="24"/>
        </w:rPr>
        <w:t xml:space="preserve">, Humbert M, </w:t>
      </w:r>
      <w:proofErr w:type="spellStart"/>
      <w:r w:rsidRPr="0075543B">
        <w:rPr>
          <w:rFonts w:ascii="Book Antiqua" w:hAnsi="Book Antiqua"/>
          <w:sz w:val="24"/>
        </w:rPr>
        <w:t>Vachiery</w:t>
      </w:r>
      <w:proofErr w:type="spellEnd"/>
      <w:r w:rsidRPr="0075543B">
        <w:rPr>
          <w:rFonts w:ascii="Book Antiqua" w:hAnsi="Book Antiqua"/>
          <w:sz w:val="24"/>
        </w:rPr>
        <w:t xml:space="preserve"> JL, Gibbs S, Lang I, </w:t>
      </w:r>
      <w:proofErr w:type="spellStart"/>
      <w:r w:rsidRPr="0075543B">
        <w:rPr>
          <w:rFonts w:ascii="Book Antiqua" w:hAnsi="Book Antiqua"/>
          <w:sz w:val="24"/>
        </w:rPr>
        <w:t>Torbicki</w:t>
      </w:r>
      <w:proofErr w:type="spellEnd"/>
      <w:r w:rsidRPr="0075543B">
        <w:rPr>
          <w:rFonts w:ascii="Book Antiqua" w:hAnsi="Book Antiqua"/>
          <w:sz w:val="24"/>
        </w:rPr>
        <w:t xml:space="preserve"> A, </w:t>
      </w:r>
      <w:proofErr w:type="spellStart"/>
      <w:r w:rsidRPr="0075543B">
        <w:rPr>
          <w:rFonts w:ascii="Book Antiqua" w:hAnsi="Book Antiqua"/>
          <w:sz w:val="24"/>
        </w:rPr>
        <w:t>Simonneau</w:t>
      </w:r>
      <w:proofErr w:type="spellEnd"/>
      <w:r w:rsidRPr="0075543B">
        <w:rPr>
          <w:rFonts w:ascii="Book Antiqua" w:hAnsi="Book Antiqua"/>
          <w:sz w:val="24"/>
        </w:rPr>
        <w:t xml:space="preserve"> G, Peacock A, </w:t>
      </w:r>
      <w:proofErr w:type="spellStart"/>
      <w:r w:rsidRPr="0075543B">
        <w:rPr>
          <w:rFonts w:ascii="Book Antiqua" w:hAnsi="Book Antiqua"/>
          <w:sz w:val="24"/>
        </w:rPr>
        <w:t>Vonk</w:t>
      </w:r>
      <w:proofErr w:type="spellEnd"/>
      <w:r w:rsidRPr="0075543B">
        <w:rPr>
          <w:rFonts w:ascii="Book Antiqua" w:hAnsi="Book Antiqua"/>
          <w:sz w:val="24"/>
        </w:rPr>
        <w:t xml:space="preserve"> </w:t>
      </w:r>
      <w:proofErr w:type="spellStart"/>
      <w:r w:rsidRPr="0075543B">
        <w:rPr>
          <w:rFonts w:ascii="Book Antiqua" w:hAnsi="Book Antiqua"/>
          <w:sz w:val="24"/>
        </w:rPr>
        <w:t>Noordegraaf</w:t>
      </w:r>
      <w:proofErr w:type="spellEnd"/>
      <w:r w:rsidRPr="0075543B">
        <w:rPr>
          <w:rFonts w:ascii="Book Antiqua" w:hAnsi="Book Antiqua"/>
          <w:sz w:val="24"/>
        </w:rPr>
        <w:t xml:space="preserve"> A, </w:t>
      </w:r>
      <w:proofErr w:type="spellStart"/>
      <w:r w:rsidRPr="0075543B">
        <w:rPr>
          <w:rFonts w:ascii="Book Antiqua" w:hAnsi="Book Antiqua"/>
          <w:sz w:val="24"/>
        </w:rPr>
        <w:t>Beghetti</w:t>
      </w:r>
      <w:proofErr w:type="spellEnd"/>
      <w:r w:rsidRPr="0075543B">
        <w:rPr>
          <w:rFonts w:ascii="Book Antiqua" w:hAnsi="Book Antiqua"/>
          <w:sz w:val="24"/>
        </w:rPr>
        <w:t xml:space="preserve"> M, </w:t>
      </w:r>
      <w:proofErr w:type="spellStart"/>
      <w:r w:rsidRPr="0075543B">
        <w:rPr>
          <w:rFonts w:ascii="Book Antiqua" w:hAnsi="Book Antiqua"/>
          <w:sz w:val="24"/>
        </w:rPr>
        <w:t>Ghofrani</w:t>
      </w:r>
      <w:proofErr w:type="spellEnd"/>
      <w:r w:rsidRPr="0075543B">
        <w:rPr>
          <w:rFonts w:ascii="Book Antiqua" w:hAnsi="Book Antiqua"/>
          <w:sz w:val="24"/>
        </w:rPr>
        <w:t xml:space="preserve"> A, Gomez Sanchez MA, </w:t>
      </w:r>
      <w:proofErr w:type="spellStart"/>
      <w:r w:rsidRPr="0075543B">
        <w:rPr>
          <w:rFonts w:ascii="Book Antiqua" w:hAnsi="Book Antiqua"/>
          <w:sz w:val="24"/>
        </w:rPr>
        <w:t>Hansmann</w:t>
      </w:r>
      <w:proofErr w:type="spellEnd"/>
      <w:r w:rsidRPr="0075543B">
        <w:rPr>
          <w:rFonts w:ascii="Book Antiqua" w:hAnsi="Book Antiqua"/>
          <w:sz w:val="24"/>
        </w:rPr>
        <w:t xml:space="preserve"> G, </w:t>
      </w:r>
      <w:proofErr w:type="spellStart"/>
      <w:r w:rsidRPr="0075543B">
        <w:rPr>
          <w:rFonts w:ascii="Book Antiqua" w:hAnsi="Book Antiqua"/>
          <w:sz w:val="24"/>
        </w:rPr>
        <w:t>Klepetko</w:t>
      </w:r>
      <w:proofErr w:type="spellEnd"/>
      <w:r w:rsidRPr="0075543B">
        <w:rPr>
          <w:rFonts w:ascii="Book Antiqua" w:hAnsi="Book Antiqua"/>
          <w:sz w:val="24"/>
        </w:rPr>
        <w:t xml:space="preserve"> W, </w:t>
      </w:r>
      <w:proofErr w:type="spellStart"/>
      <w:r w:rsidRPr="0075543B">
        <w:rPr>
          <w:rFonts w:ascii="Book Antiqua" w:hAnsi="Book Antiqua"/>
          <w:sz w:val="24"/>
        </w:rPr>
        <w:t>Lancellotti</w:t>
      </w:r>
      <w:proofErr w:type="spellEnd"/>
      <w:r w:rsidRPr="0075543B">
        <w:rPr>
          <w:rFonts w:ascii="Book Antiqua" w:hAnsi="Book Antiqua"/>
          <w:sz w:val="24"/>
        </w:rPr>
        <w:t xml:space="preserve"> P, </w:t>
      </w:r>
      <w:proofErr w:type="spellStart"/>
      <w:r w:rsidRPr="0075543B">
        <w:rPr>
          <w:rFonts w:ascii="Book Antiqua" w:hAnsi="Book Antiqua"/>
          <w:sz w:val="24"/>
        </w:rPr>
        <w:t>Matucci</w:t>
      </w:r>
      <w:proofErr w:type="spellEnd"/>
      <w:r w:rsidRPr="0075543B">
        <w:rPr>
          <w:rFonts w:ascii="Book Antiqua" w:hAnsi="Book Antiqua"/>
          <w:sz w:val="24"/>
        </w:rPr>
        <w:t xml:space="preserve"> M, </w:t>
      </w:r>
      <w:proofErr w:type="spellStart"/>
      <w:r w:rsidRPr="0075543B">
        <w:rPr>
          <w:rFonts w:ascii="Book Antiqua" w:hAnsi="Book Antiqua"/>
          <w:sz w:val="24"/>
        </w:rPr>
        <w:t>McDonagh</w:t>
      </w:r>
      <w:proofErr w:type="spellEnd"/>
      <w:r w:rsidRPr="0075543B">
        <w:rPr>
          <w:rFonts w:ascii="Book Antiqua" w:hAnsi="Book Antiqua"/>
          <w:sz w:val="24"/>
        </w:rPr>
        <w:t xml:space="preserve"> T, </w:t>
      </w:r>
      <w:proofErr w:type="spellStart"/>
      <w:r w:rsidRPr="0075543B">
        <w:rPr>
          <w:rFonts w:ascii="Book Antiqua" w:hAnsi="Book Antiqua"/>
          <w:sz w:val="24"/>
        </w:rPr>
        <w:t>Pierard</w:t>
      </w:r>
      <w:proofErr w:type="spellEnd"/>
      <w:r w:rsidRPr="0075543B">
        <w:rPr>
          <w:rFonts w:ascii="Book Antiqua" w:hAnsi="Book Antiqua"/>
          <w:sz w:val="24"/>
        </w:rPr>
        <w:t xml:space="preserve"> LA, </w:t>
      </w:r>
      <w:proofErr w:type="spellStart"/>
      <w:r w:rsidRPr="0075543B">
        <w:rPr>
          <w:rFonts w:ascii="Book Antiqua" w:hAnsi="Book Antiqua"/>
          <w:sz w:val="24"/>
        </w:rPr>
        <w:t>Trindade</w:t>
      </w:r>
      <w:proofErr w:type="spellEnd"/>
      <w:r w:rsidRPr="0075543B">
        <w:rPr>
          <w:rFonts w:ascii="Book Antiqua" w:hAnsi="Book Antiqua"/>
          <w:sz w:val="24"/>
        </w:rPr>
        <w:t xml:space="preserve"> PT, </w:t>
      </w:r>
      <w:proofErr w:type="spellStart"/>
      <w:r w:rsidRPr="0075543B">
        <w:rPr>
          <w:rFonts w:ascii="Book Antiqua" w:hAnsi="Book Antiqua"/>
          <w:sz w:val="24"/>
        </w:rPr>
        <w:t>Zompatori</w:t>
      </w:r>
      <w:proofErr w:type="spellEnd"/>
      <w:r w:rsidRPr="0075543B">
        <w:rPr>
          <w:rFonts w:ascii="Book Antiqua" w:hAnsi="Book Antiqua"/>
          <w:sz w:val="24"/>
        </w:rPr>
        <w:t xml:space="preserve"> M, </w:t>
      </w:r>
      <w:proofErr w:type="spellStart"/>
      <w:r w:rsidRPr="0075543B">
        <w:rPr>
          <w:rFonts w:ascii="Book Antiqua" w:hAnsi="Book Antiqua"/>
          <w:sz w:val="24"/>
        </w:rPr>
        <w:t>Hoeper</w:t>
      </w:r>
      <w:proofErr w:type="spellEnd"/>
      <w:r w:rsidRPr="0075543B">
        <w:rPr>
          <w:rFonts w:ascii="Book Antiqua" w:hAnsi="Book Antiqua"/>
          <w:sz w:val="24"/>
        </w:rPr>
        <w:t xml:space="preserve"> M.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w:t>
      </w:r>
      <w:proofErr w:type="spellStart"/>
      <w:r w:rsidRPr="0075543B">
        <w:rPr>
          <w:rFonts w:ascii="Book Antiqua" w:hAnsi="Book Antiqua"/>
          <w:sz w:val="24"/>
        </w:rPr>
        <w:t>Paediatric</w:t>
      </w:r>
      <w:proofErr w:type="spellEnd"/>
      <w:r w:rsidRPr="0075543B">
        <w:rPr>
          <w:rFonts w:ascii="Book Antiqua" w:hAnsi="Book Antiqua"/>
          <w:sz w:val="24"/>
        </w:rPr>
        <w:t xml:space="preserve"> and Congenital Cardiology (AEPC), International Society for Heart and Lung Transplantation (ISHLT). </w:t>
      </w:r>
      <w:r w:rsidRPr="0075543B">
        <w:rPr>
          <w:rFonts w:ascii="Book Antiqua" w:hAnsi="Book Antiqua"/>
          <w:i/>
          <w:sz w:val="24"/>
        </w:rPr>
        <w:t>Eur Respir J</w:t>
      </w:r>
      <w:r w:rsidRPr="0075543B">
        <w:rPr>
          <w:rFonts w:ascii="Book Antiqua" w:hAnsi="Book Antiqua"/>
          <w:sz w:val="24"/>
        </w:rPr>
        <w:t xml:space="preserve"> 2015; </w:t>
      </w:r>
      <w:r w:rsidRPr="0075543B">
        <w:rPr>
          <w:rFonts w:ascii="Book Antiqua" w:hAnsi="Book Antiqua"/>
          <w:b/>
          <w:sz w:val="24"/>
        </w:rPr>
        <w:t>46</w:t>
      </w:r>
      <w:r w:rsidRPr="0075543B">
        <w:rPr>
          <w:rFonts w:ascii="Book Antiqua" w:hAnsi="Book Antiqua"/>
          <w:sz w:val="24"/>
        </w:rPr>
        <w:t>: 903-975 [PMID: 26318161 DOI: 10.1183/13993003.01032-2015]</w:t>
      </w:r>
    </w:p>
    <w:p w14:paraId="5973672F"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8 </w:t>
      </w:r>
      <w:proofErr w:type="spellStart"/>
      <w:r w:rsidRPr="0075543B">
        <w:rPr>
          <w:rFonts w:ascii="Book Antiqua" w:hAnsi="Book Antiqua"/>
          <w:b/>
          <w:sz w:val="24"/>
        </w:rPr>
        <w:t>Iodice</w:t>
      </w:r>
      <w:proofErr w:type="spellEnd"/>
      <w:r w:rsidRPr="0075543B">
        <w:rPr>
          <w:rFonts w:ascii="Book Antiqua" w:hAnsi="Book Antiqua"/>
          <w:b/>
          <w:sz w:val="24"/>
        </w:rPr>
        <w:t xml:space="preserve"> FG</w:t>
      </w:r>
      <w:r w:rsidRPr="0075543B">
        <w:rPr>
          <w:rFonts w:ascii="Book Antiqua" w:hAnsi="Book Antiqua"/>
          <w:sz w:val="24"/>
        </w:rPr>
        <w:t xml:space="preserve">, Di Chiara L, </w:t>
      </w:r>
      <w:proofErr w:type="spellStart"/>
      <w:r w:rsidRPr="0075543B">
        <w:rPr>
          <w:rFonts w:ascii="Book Antiqua" w:hAnsi="Book Antiqua"/>
          <w:sz w:val="24"/>
        </w:rPr>
        <w:t>Boenzi</w:t>
      </w:r>
      <w:proofErr w:type="spellEnd"/>
      <w:r w:rsidRPr="0075543B">
        <w:rPr>
          <w:rFonts w:ascii="Book Antiqua" w:hAnsi="Book Antiqua"/>
          <w:sz w:val="24"/>
        </w:rPr>
        <w:t xml:space="preserve"> S, Aiello C, Monti L, </w:t>
      </w:r>
      <w:proofErr w:type="spellStart"/>
      <w:r w:rsidRPr="0075543B">
        <w:rPr>
          <w:rFonts w:ascii="Book Antiqua" w:hAnsi="Book Antiqua"/>
          <w:sz w:val="24"/>
        </w:rPr>
        <w:t>Cogo</w:t>
      </w:r>
      <w:proofErr w:type="spellEnd"/>
      <w:r w:rsidRPr="0075543B">
        <w:rPr>
          <w:rFonts w:ascii="Book Antiqua" w:hAnsi="Book Antiqua"/>
          <w:sz w:val="24"/>
        </w:rPr>
        <w:t xml:space="preserve"> P, </w:t>
      </w:r>
      <w:proofErr w:type="spellStart"/>
      <w:r w:rsidRPr="0075543B">
        <w:rPr>
          <w:rFonts w:ascii="Book Antiqua" w:hAnsi="Book Antiqua"/>
          <w:sz w:val="24"/>
        </w:rPr>
        <w:t>Dionisi</w:t>
      </w:r>
      <w:proofErr w:type="spellEnd"/>
      <w:r w:rsidRPr="0075543B">
        <w:rPr>
          <w:rFonts w:ascii="Book Antiqua" w:hAnsi="Book Antiqua"/>
          <w:sz w:val="24"/>
        </w:rPr>
        <w:t xml:space="preserve">-Vici C. Cobalamin C defect presenting with isolated pulmonary hypertension. </w:t>
      </w:r>
      <w:r w:rsidRPr="0075543B">
        <w:rPr>
          <w:rFonts w:ascii="Book Antiqua" w:hAnsi="Book Antiqua"/>
          <w:i/>
          <w:sz w:val="24"/>
        </w:rPr>
        <w:t>Pediatrics</w:t>
      </w:r>
      <w:r w:rsidRPr="0075543B">
        <w:rPr>
          <w:rFonts w:ascii="Book Antiqua" w:hAnsi="Book Antiqua"/>
          <w:sz w:val="24"/>
        </w:rPr>
        <w:t xml:space="preserve"> 2013; </w:t>
      </w:r>
      <w:r w:rsidRPr="0075543B">
        <w:rPr>
          <w:rFonts w:ascii="Book Antiqua" w:hAnsi="Book Antiqua"/>
          <w:b/>
          <w:sz w:val="24"/>
        </w:rPr>
        <w:t>132</w:t>
      </w:r>
      <w:r w:rsidRPr="0075543B">
        <w:rPr>
          <w:rFonts w:ascii="Book Antiqua" w:hAnsi="Book Antiqua"/>
          <w:sz w:val="24"/>
        </w:rPr>
        <w:t>: e248-e251 [PMID: 23753090 DOI: 10.1542/peds.2012-1945]</w:t>
      </w:r>
    </w:p>
    <w:p w14:paraId="3B4A60C6"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sz w:val="24"/>
        </w:rPr>
        <w:t xml:space="preserve">9 </w:t>
      </w:r>
      <w:r w:rsidRPr="0075543B">
        <w:rPr>
          <w:rFonts w:ascii="Book Antiqua" w:hAnsi="Book Antiqua"/>
          <w:b/>
          <w:sz w:val="24"/>
        </w:rPr>
        <w:t>Beck BB</w:t>
      </w:r>
      <w:r w:rsidRPr="0075543B">
        <w:rPr>
          <w:rFonts w:ascii="Book Antiqua" w:hAnsi="Book Antiqua"/>
          <w:sz w:val="24"/>
        </w:rPr>
        <w:t xml:space="preserve">, van </w:t>
      </w:r>
      <w:proofErr w:type="spellStart"/>
      <w:r w:rsidRPr="0075543B">
        <w:rPr>
          <w:rFonts w:ascii="Book Antiqua" w:hAnsi="Book Antiqua"/>
          <w:sz w:val="24"/>
        </w:rPr>
        <w:t>Spronsen</w:t>
      </w:r>
      <w:proofErr w:type="spellEnd"/>
      <w:r w:rsidRPr="0075543B">
        <w:rPr>
          <w:rFonts w:ascii="Book Antiqua" w:hAnsi="Book Antiqua"/>
          <w:sz w:val="24"/>
        </w:rPr>
        <w:t xml:space="preserve"> F, </w:t>
      </w:r>
      <w:proofErr w:type="spellStart"/>
      <w:r w:rsidRPr="0075543B">
        <w:rPr>
          <w:rFonts w:ascii="Book Antiqua" w:hAnsi="Book Antiqua"/>
          <w:sz w:val="24"/>
        </w:rPr>
        <w:t>Diepstra</w:t>
      </w:r>
      <w:proofErr w:type="spellEnd"/>
      <w:r w:rsidRPr="0075543B">
        <w:rPr>
          <w:rFonts w:ascii="Book Antiqua" w:hAnsi="Book Antiqua"/>
          <w:sz w:val="24"/>
        </w:rPr>
        <w:t xml:space="preserve"> A, Berger RM, </w:t>
      </w:r>
      <w:proofErr w:type="spellStart"/>
      <w:r w:rsidRPr="0075543B">
        <w:rPr>
          <w:rFonts w:ascii="Book Antiqua" w:hAnsi="Book Antiqua"/>
          <w:sz w:val="24"/>
        </w:rPr>
        <w:t>Kömhoff</w:t>
      </w:r>
      <w:proofErr w:type="spellEnd"/>
      <w:r w:rsidRPr="0075543B">
        <w:rPr>
          <w:rFonts w:ascii="Book Antiqua" w:hAnsi="Book Antiqua"/>
          <w:sz w:val="24"/>
        </w:rPr>
        <w:t xml:space="preserve"> M. Renal thrombotic microangiopathy in patients with </w:t>
      </w:r>
      <w:proofErr w:type="spellStart"/>
      <w:r w:rsidRPr="0075543B">
        <w:rPr>
          <w:rFonts w:ascii="Book Antiqua" w:hAnsi="Book Antiqua"/>
          <w:sz w:val="24"/>
        </w:rPr>
        <w:t>cblC</w:t>
      </w:r>
      <w:proofErr w:type="spellEnd"/>
      <w:r w:rsidRPr="0075543B">
        <w:rPr>
          <w:rFonts w:ascii="Book Antiqua" w:hAnsi="Book Antiqua"/>
          <w:sz w:val="24"/>
        </w:rPr>
        <w:t xml:space="preserve"> defect: review of an under-recognized entity. </w:t>
      </w:r>
      <w:proofErr w:type="spellStart"/>
      <w:r w:rsidRPr="0075543B">
        <w:rPr>
          <w:rFonts w:ascii="Book Antiqua" w:hAnsi="Book Antiqua"/>
          <w:i/>
          <w:sz w:val="24"/>
        </w:rPr>
        <w:t>Pediatr</w:t>
      </w:r>
      <w:proofErr w:type="spellEnd"/>
      <w:r w:rsidRPr="0075543B">
        <w:rPr>
          <w:rFonts w:ascii="Book Antiqua" w:hAnsi="Book Antiqua"/>
          <w:i/>
          <w:sz w:val="24"/>
        </w:rPr>
        <w:t xml:space="preserve"> </w:t>
      </w:r>
      <w:proofErr w:type="spellStart"/>
      <w:r w:rsidRPr="0075543B">
        <w:rPr>
          <w:rFonts w:ascii="Book Antiqua" w:hAnsi="Book Antiqua"/>
          <w:i/>
          <w:sz w:val="24"/>
        </w:rPr>
        <w:t>Nephrol</w:t>
      </w:r>
      <w:proofErr w:type="spellEnd"/>
      <w:r w:rsidRPr="0075543B">
        <w:rPr>
          <w:rFonts w:ascii="Book Antiqua" w:hAnsi="Book Antiqua"/>
          <w:sz w:val="24"/>
        </w:rPr>
        <w:t xml:space="preserve"> 2017; </w:t>
      </w:r>
      <w:r w:rsidRPr="0075543B">
        <w:rPr>
          <w:rFonts w:ascii="Book Antiqua" w:hAnsi="Book Antiqua"/>
          <w:b/>
          <w:sz w:val="24"/>
        </w:rPr>
        <w:t>32</w:t>
      </w:r>
      <w:r w:rsidRPr="0075543B">
        <w:rPr>
          <w:rFonts w:ascii="Book Antiqua" w:hAnsi="Book Antiqua"/>
          <w:sz w:val="24"/>
        </w:rPr>
        <w:t>: 733-741 [PMID: 27289364 DOI: 10.1007/s00467-016-3399-0]</w:t>
      </w:r>
    </w:p>
    <w:p w14:paraId="2F6F5895" w14:textId="77777777" w:rsidR="007E6B42" w:rsidRPr="0075543B" w:rsidRDefault="007E6B42" w:rsidP="0075543B">
      <w:pPr>
        <w:widowControl/>
        <w:adjustRightInd w:val="0"/>
        <w:snapToGrid w:val="0"/>
        <w:spacing w:line="360" w:lineRule="auto"/>
        <w:rPr>
          <w:rFonts w:ascii="Book Antiqua" w:hAnsi="Book Antiqua"/>
          <w:b/>
          <w:sz w:val="24"/>
        </w:rPr>
      </w:pPr>
      <w:r w:rsidRPr="0075543B">
        <w:rPr>
          <w:rFonts w:ascii="Book Antiqua" w:hAnsi="Book Antiqua"/>
          <w:b/>
          <w:sz w:val="24"/>
        </w:rPr>
        <w:br w:type="page"/>
      </w:r>
    </w:p>
    <w:p w14:paraId="5DA61F00" w14:textId="77777777" w:rsidR="007E6B42" w:rsidRPr="0075543B" w:rsidRDefault="007E6B42" w:rsidP="0075543B">
      <w:pPr>
        <w:adjustRightInd w:val="0"/>
        <w:snapToGrid w:val="0"/>
        <w:spacing w:line="360" w:lineRule="auto"/>
        <w:rPr>
          <w:rFonts w:ascii="Book Antiqua" w:hAnsi="Book Antiqua"/>
          <w:b/>
          <w:kern w:val="0"/>
          <w:sz w:val="24"/>
        </w:rPr>
      </w:pPr>
      <w:r w:rsidRPr="0075543B">
        <w:rPr>
          <w:rFonts w:ascii="Book Antiqua" w:hAnsi="Book Antiqua"/>
          <w:b/>
          <w:sz w:val="24"/>
        </w:rPr>
        <w:t>Footnotes</w:t>
      </w:r>
    </w:p>
    <w:p w14:paraId="490018CB"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cs="Tahoma"/>
          <w:b/>
          <w:sz w:val="24"/>
          <w:lang w:val="en-GB"/>
        </w:rPr>
        <w:t>Informed consent statement:</w:t>
      </w:r>
      <w:r w:rsidRPr="0075543B">
        <w:rPr>
          <w:rFonts w:ascii="Book Antiqua" w:hAnsi="Book Antiqua" w:cs="Tahoma"/>
          <w:sz w:val="24"/>
          <w:lang w:val="en-GB"/>
        </w:rPr>
        <w:t xml:space="preserve"> </w:t>
      </w:r>
      <w:r w:rsidRPr="0075543B">
        <w:rPr>
          <w:rFonts w:ascii="Book Antiqua" w:hAnsi="Book Antiqua"/>
          <w:sz w:val="24"/>
        </w:rPr>
        <w:t>Informed written consents were obtained from the patients for publication of this report and any accompanying images.</w:t>
      </w:r>
    </w:p>
    <w:p w14:paraId="23C3FCC3" w14:textId="77777777" w:rsidR="007E6B42" w:rsidRPr="0075543B" w:rsidRDefault="007E6B42" w:rsidP="0075543B">
      <w:pPr>
        <w:adjustRightInd w:val="0"/>
        <w:snapToGrid w:val="0"/>
        <w:spacing w:line="360" w:lineRule="auto"/>
        <w:rPr>
          <w:rFonts w:ascii="Book Antiqua" w:hAnsi="Book Antiqua"/>
          <w:sz w:val="24"/>
        </w:rPr>
      </w:pPr>
    </w:p>
    <w:p w14:paraId="30C49696"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cs="Tahoma"/>
          <w:b/>
          <w:sz w:val="24"/>
          <w:lang w:val="en-GB"/>
        </w:rPr>
        <w:t>Conflict-of-interest statement:</w:t>
      </w:r>
      <w:r w:rsidRPr="0075543B">
        <w:rPr>
          <w:rFonts w:ascii="Book Antiqua" w:hAnsi="Book Antiqua"/>
          <w:sz w:val="24"/>
        </w:rPr>
        <w:t xml:space="preserve"> The authors declare that they have no conflict of interest.</w:t>
      </w:r>
    </w:p>
    <w:p w14:paraId="00D1D8DB" w14:textId="77777777" w:rsidR="007E6B42" w:rsidRPr="0075543B" w:rsidRDefault="007E6B42" w:rsidP="0075543B">
      <w:pPr>
        <w:adjustRightInd w:val="0"/>
        <w:snapToGrid w:val="0"/>
        <w:spacing w:line="360" w:lineRule="auto"/>
        <w:rPr>
          <w:rFonts w:ascii="Book Antiqua" w:hAnsi="Book Antiqua"/>
          <w:sz w:val="24"/>
        </w:rPr>
      </w:pPr>
    </w:p>
    <w:p w14:paraId="0D78ED4E" w14:textId="77777777"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cs="Tahoma"/>
          <w:b/>
          <w:sz w:val="24"/>
          <w:lang w:val="en-GB"/>
        </w:rPr>
        <w:t>CARE Checklist (2016) statement:</w:t>
      </w:r>
      <w:r w:rsidRPr="0075543B">
        <w:rPr>
          <w:rFonts w:ascii="Book Antiqua" w:hAnsi="Book Antiqua"/>
          <w:sz w:val="24"/>
        </w:rPr>
        <w:t xml:space="preserve"> The authors have read the CARE Checklist (2013), and the manuscript was prepared and revised according to the CARE Checklist (2016).</w:t>
      </w:r>
    </w:p>
    <w:p w14:paraId="73346F19" w14:textId="77777777" w:rsidR="007E6B42" w:rsidRPr="0075543B" w:rsidRDefault="007E6B42" w:rsidP="0075543B">
      <w:pPr>
        <w:adjustRightInd w:val="0"/>
        <w:snapToGrid w:val="0"/>
        <w:spacing w:line="360" w:lineRule="auto"/>
        <w:rPr>
          <w:rFonts w:ascii="Book Antiqua" w:hAnsi="Book Antiqua"/>
          <w:sz w:val="24"/>
        </w:rPr>
      </w:pPr>
    </w:p>
    <w:p w14:paraId="3D970C67" w14:textId="77777777" w:rsidR="007E6B42" w:rsidRPr="0075543B" w:rsidRDefault="007E6B42" w:rsidP="0075543B">
      <w:pPr>
        <w:adjustRightInd w:val="0"/>
        <w:snapToGrid w:val="0"/>
        <w:spacing w:line="360" w:lineRule="auto"/>
        <w:rPr>
          <w:rFonts w:ascii="Book Antiqua" w:hAnsi="Book Antiqua"/>
          <w:kern w:val="0"/>
          <w:sz w:val="24"/>
          <w:lang w:val="en-GB"/>
        </w:rPr>
      </w:pPr>
      <w:r w:rsidRPr="0075543B">
        <w:rPr>
          <w:rFonts w:ascii="Book Antiqua" w:hAnsi="Book Antiqua"/>
          <w:b/>
          <w:color w:val="000000"/>
          <w:sz w:val="24"/>
        </w:rPr>
        <w:t>Open-Access:</w:t>
      </w:r>
      <w:r w:rsidRPr="0075543B">
        <w:rPr>
          <w:rFonts w:ascii="Book Antiqua" w:hAnsi="Book Antiqua"/>
          <w:color w:val="000000"/>
          <w:sz w:val="24"/>
        </w:rPr>
        <w:t xml:space="preserve"> This article is an open-access </w:t>
      </w:r>
      <w:r w:rsidRPr="0075543B">
        <w:rPr>
          <w:rFonts w:ascii="Book Antiqua" w:hAnsi="Book Antiqua"/>
          <w:sz w:val="24"/>
        </w:rPr>
        <w:t xml:space="preserve">article that was selected </w:t>
      </w:r>
      <w:r w:rsidRPr="0075543B">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5543B">
        <w:rPr>
          <w:rFonts w:ascii="Book Antiqua" w:hAnsi="Book Antiqua"/>
          <w:color w:val="000000"/>
          <w:sz w:val="24"/>
        </w:rPr>
        <w:t>NonCommercial</w:t>
      </w:r>
      <w:proofErr w:type="spellEnd"/>
      <w:r w:rsidRPr="0075543B">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3A64E" w14:textId="77777777" w:rsidR="007E6B42" w:rsidRPr="0075543B" w:rsidRDefault="007E6B42" w:rsidP="0075543B">
      <w:pPr>
        <w:adjustRightInd w:val="0"/>
        <w:snapToGrid w:val="0"/>
        <w:spacing w:line="360" w:lineRule="auto"/>
        <w:rPr>
          <w:rFonts w:ascii="Book Antiqua" w:hAnsi="Book Antiqua" w:cs="Calibri"/>
          <w:b/>
          <w:bCs/>
          <w:sz w:val="24"/>
          <w:lang w:val="en-GB"/>
        </w:rPr>
      </w:pPr>
    </w:p>
    <w:p w14:paraId="7ACFE4D6" w14:textId="664AEA0B" w:rsidR="007E6B42" w:rsidRPr="0075543B" w:rsidRDefault="007E6B42" w:rsidP="0075543B">
      <w:pPr>
        <w:adjustRightInd w:val="0"/>
        <w:snapToGrid w:val="0"/>
        <w:spacing w:line="360" w:lineRule="auto"/>
        <w:rPr>
          <w:rFonts w:ascii="Book Antiqua" w:hAnsi="Book Antiqua" w:cs="宋体"/>
          <w:sz w:val="24"/>
          <w:lang w:val="en-GB"/>
        </w:rPr>
      </w:pPr>
      <w:r w:rsidRPr="0075543B">
        <w:rPr>
          <w:rFonts w:ascii="Book Antiqua" w:hAnsi="Book Antiqua" w:cs="宋体"/>
          <w:b/>
          <w:sz w:val="24"/>
          <w:lang w:val="en-GB"/>
        </w:rPr>
        <w:t>Manuscript source:</w:t>
      </w:r>
      <w:r w:rsidRPr="0075543B">
        <w:rPr>
          <w:rFonts w:ascii="Book Antiqua" w:hAnsi="Book Antiqua" w:cs="宋体"/>
          <w:sz w:val="24"/>
          <w:lang w:val="en-GB"/>
        </w:rPr>
        <w:t> </w:t>
      </w:r>
      <w:r w:rsidR="00DF0C3E" w:rsidRPr="00DF0C3E">
        <w:rPr>
          <w:rFonts w:ascii="Book Antiqua" w:hAnsi="Book Antiqua" w:cs="宋体"/>
          <w:sz w:val="24"/>
          <w:lang w:val="en-GB"/>
        </w:rPr>
        <w:t xml:space="preserve">Unsolicited </w:t>
      </w:r>
      <w:r w:rsidRPr="0075543B">
        <w:rPr>
          <w:rFonts w:ascii="Book Antiqua" w:hAnsi="Book Antiqua" w:cs="宋体"/>
          <w:sz w:val="24"/>
          <w:lang w:val="en-GB"/>
        </w:rPr>
        <w:t>manuscript</w:t>
      </w:r>
    </w:p>
    <w:p w14:paraId="148AD22B" w14:textId="77777777" w:rsidR="007E6B42" w:rsidRPr="0075543B" w:rsidRDefault="007E6B42" w:rsidP="0075543B">
      <w:pPr>
        <w:adjustRightInd w:val="0"/>
        <w:snapToGrid w:val="0"/>
        <w:spacing w:line="360" w:lineRule="auto"/>
        <w:rPr>
          <w:rFonts w:ascii="Book Antiqua" w:hAnsi="Book Antiqua" w:cs="宋体"/>
          <w:sz w:val="24"/>
          <w:lang w:val="en-GB"/>
        </w:rPr>
      </w:pPr>
    </w:p>
    <w:p w14:paraId="2CAD68CE" w14:textId="77777777" w:rsidR="007E6B42" w:rsidRPr="0075543B" w:rsidRDefault="007E6B42" w:rsidP="0075543B">
      <w:pPr>
        <w:adjustRightInd w:val="0"/>
        <w:snapToGrid w:val="0"/>
        <w:spacing w:line="360" w:lineRule="auto"/>
        <w:rPr>
          <w:rFonts w:ascii="Book Antiqua" w:eastAsia="等线" w:hAnsi="Book Antiqua"/>
          <w:b/>
          <w:sz w:val="24"/>
          <w:lang w:val="en-GB" w:eastAsia="en-US"/>
        </w:rPr>
      </w:pPr>
      <w:r w:rsidRPr="0075543B">
        <w:rPr>
          <w:rFonts w:ascii="Book Antiqua" w:hAnsi="Book Antiqua"/>
          <w:b/>
          <w:sz w:val="24"/>
          <w:lang w:val="en-GB"/>
        </w:rPr>
        <w:t>Peer-review started:</w:t>
      </w:r>
      <w:r w:rsidRPr="0075543B">
        <w:rPr>
          <w:rFonts w:ascii="Book Antiqua" w:hAnsi="Book Antiqua"/>
          <w:sz w:val="24"/>
          <w:lang w:val="en-GB"/>
        </w:rPr>
        <w:t xml:space="preserve"> November 14, 2019</w:t>
      </w:r>
    </w:p>
    <w:p w14:paraId="139A6E9F" w14:textId="77777777" w:rsidR="007E6B42" w:rsidRPr="0075543B" w:rsidRDefault="007E6B42" w:rsidP="0075543B">
      <w:pPr>
        <w:adjustRightInd w:val="0"/>
        <w:snapToGrid w:val="0"/>
        <w:spacing w:line="360" w:lineRule="auto"/>
        <w:rPr>
          <w:rFonts w:ascii="Book Antiqua" w:hAnsi="Book Antiqua"/>
          <w:b/>
          <w:sz w:val="24"/>
          <w:lang w:val="en-GB"/>
        </w:rPr>
      </w:pPr>
      <w:r w:rsidRPr="0075543B">
        <w:rPr>
          <w:rFonts w:ascii="Book Antiqua" w:hAnsi="Book Antiqua"/>
          <w:b/>
          <w:sz w:val="24"/>
          <w:lang w:val="en-GB"/>
        </w:rPr>
        <w:t>First decision:</w:t>
      </w:r>
      <w:r w:rsidRPr="0075543B">
        <w:rPr>
          <w:rFonts w:ascii="Book Antiqua" w:hAnsi="Book Antiqua"/>
          <w:sz w:val="24"/>
          <w:lang w:val="en-GB"/>
        </w:rPr>
        <w:t xml:space="preserve"> December 23, 2019</w:t>
      </w:r>
    </w:p>
    <w:p w14:paraId="26927DB0" w14:textId="5F1744B4" w:rsidR="007E6B42" w:rsidRPr="0075543B" w:rsidRDefault="007E6B42" w:rsidP="0075543B">
      <w:pPr>
        <w:adjustRightInd w:val="0"/>
        <w:snapToGrid w:val="0"/>
        <w:spacing w:line="360" w:lineRule="auto"/>
        <w:rPr>
          <w:rFonts w:ascii="Book Antiqua" w:hAnsi="Book Antiqua"/>
          <w:sz w:val="24"/>
          <w:lang w:val="en-GB"/>
        </w:rPr>
      </w:pPr>
      <w:r w:rsidRPr="0075543B">
        <w:rPr>
          <w:rFonts w:ascii="Book Antiqua" w:hAnsi="Book Antiqua"/>
          <w:b/>
          <w:sz w:val="24"/>
          <w:lang w:val="en-GB"/>
        </w:rPr>
        <w:t>Article in press:</w:t>
      </w:r>
      <w:r w:rsidRPr="0075543B">
        <w:rPr>
          <w:rFonts w:ascii="Book Antiqua" w:hAnsi="Book Antiqua"/>
          <w:sz w:val="24"/>
          <w:lang w:val="en-GB"/>
        </w:rPr>
        <w:t xml:space="preserve"> </w:t>
      </w:r>
      <w:r w:rsidR="00191EAE" w:rsidRPr="0075543B">
        <w:rPr>
          <w:rFonts w:ascii="Book Antiqua" w:hAnsi="Book Antiqua"/>
          <w:sz w:val="24"/>
          <w:lang w:val="en-GB"/>
        </w:rPr>
        <w:t>January 19, 2020</w:t>
      </w:r>
      <w:bookmarkStart w:id="11" w:name="_GoBack"/>
      <w:bookmarkEnd w:id="11"/>
    </w:p>
    <w:p w14:paraId="5CEC9E0E" w14:textId="77777777" w:rsidR="007E6B42" w:rsidRPr="0075543B" w:rsidRDefault="007E6B42" w:rsidP="0075543B">
      <w:pPr>
        <w:adjustRightInd w:val="0"/>
        <w:snapToGrid w:val="0"/>
        <w:spacing w:line="360" w:lineRule="auto"/>
        <w:rPr>
          <w:rFonts w:ascii="Book Antiqua" w:hAnsi="Book Antiqua"/>
          <w:sz w:val="24"/>
          <w:lang w:val="en-GB"/>
        </w:rPr>
      </w:pPr>
    </w:p>
    <w:p w14:paraId="7C78661C" w14:textId="77777777" w:rsidR="007E6B42" w:rsidRPr="0075543B" w:rsidRDefault="007E6B42" w:rsidP="0075543B">
      <w:pPr>
        <w:adjustRightInd w:val="0"/>
        <w:snapToGrid w:val="0"/>
        <w:spacing w:line="360" w:lineRule="auto"/>
        <w:rPr>
          <w:rFonts w:ascii="Book Antiqua" w:hAnsi="Book Antiqua" w:cs="Helvetica"/>
          <w:b/>
          <w:sz w:val="24"/>
          <w:lang w:val="el-GR" w:eastAsia="en-US"/>
        </w:rPr>
      </w:pPr>
      <w:r w:rsidRPr="0075543B">
        <w:rPr>
          <w:rFonts w:ascii="Book Antiqua" w:hAnsi="Book Antiqua" w:cs="Helvetica"/>
          <w:b/>
          <w:sz w:val="24"/>
        </w:rPr>
        <w:t xml:space="preserve">Specialty type: </w:t>
      </w:r>
      <w:r w:rsidRPr="0075543B">
        <w:rPr>
          <w:rFonts w:ascii="Book Antiqua" w:eastAsia="微软雅黑" w:hAnsi="Book Antiqua" w:cs="宋体"/>
          <w:sz w:val="24"/>
        </w:rPr>
        <w:t>Medicine, research and experimental</w:t>
      </w:r>
    </w:p>
    <w:p w14:paraId="31F23702" w14:textId="77777777" w:rsidR="007E6B42" w:rsidRPr="0075543B" w:rsidRDefault="007E6B42" w:rsidP="0075543B">
      <w:pPr>
        <w:adjustRightInd w:val="0"/>
        <w:snapToGrid w:val="0"/>
        <w:spacing w:line="360" w:lineRule="auto"/>
        <w:rPr>
          <w:rFonts w:ascii="Book Antiqua" w:hAnsi="Book Antiqua" w:cs="Helvetica"/>
          <w:b/>
          <w:sz w:val="24"/>
        </w:rPr>
      </w:pPr>
      <w:r w:rsidRPr="0075543B">
        <w:rPr>
          <w:rFonts w:ascii="Book Antiqua" w:hAnsi="Book Antiqua" w:cs="Helvetica"/>
          <w:b/>
          <w:sz w:val="24"/>
        </w:rPr>
        <w:t xml:space="preserve">Country of origin: </w:t>
      </w:r>
      <w:r w:rsidRPr="0075543B">
        <w:rPr>
          <w:rFonts w:ascii="Book Antiqua" w:hAnsi="Book Antiqua"/>
          <w:sz w:val="24"/>
        </w:rPr>
        <w:t>China</w:t>
      </w:r>
    </w:p>
    <w:p w14:paraId="343524B7" w14:textId="77777777" w:rsidR="007E6B42" w:rsidRPr="0075543B" w:rsidRDefault="007E6B42" w:rsidP="0075543B">
      <w:pPr>
        <w:adjustRightInd w:val="0"/>
        <w:snapToGrid w:val="0"/>
        <w:spacing w:line="360" w:lineRule="auto"/>
        <w:rPr>
          <w:rFonts w:ascii="Book Antiqua" w:hAnsi="Book Antiqua" w:cs="Helvetica"/>
          <w:b/>
          <w:sz w:val="24"/>
        </w:rPr>
      </w:pPr>
      <w:r w:rsidRPr="0075543B">
        <w:rPr>
          <w:rFonts w:ascii="Book Antiqua" w:hAnsi="Book Antiqua" w:cs="Helvetica"/>
          <w:b/>
          <w:sz w:val="24"/>
        </w:rPr>
        <w:t>Peer-review report classification</w:t>
      </w:r>
    </w:p>
    <w:p w14:paraId="75CE43EA" w14:textId="77777777" w:rsidR="007E6B42" w:rsidRPr="0075543B" w:rsidRDefault="007E6B42" w:rsidP="0075543B">
      <w:pPr>
        <w:adjustRightInd w:val="0"/>
        <w:snapToGrid w:val="0"/>
        <w:spacing w:line="360" w:lineRule="auto"/>
        <w:rPr>
          <w:rFonts w:ascii="Book Antiqua" w:hAnsi="Book Antiqua" w:cs="Helvetica"/>
          <w:sz w:val="24"/>
        </w:rPr>
      </w:pPr>
      <w:r w:rsidRPr="0075543B">
        <w:rPr>
          <w:rFonts w:ascii="Book Antiqua" w:hAnsi="Book Antiqua" w:cs="Helvetica"/>
          <w:sz w:val="24"/>
        </w:rPr>
        <w:t>Grade A (Excellent): 0</w:t>
      </w:r>
    </w:p>
    <w:p w14:paraId="05105422" w14:textId="77777777" w:rsidR="007E6B42" w:rsidRPr="0075543B" w:rsidRDefault="007E6B42" w:rsidP="0075543B">
      <w:pPr>
        <w:adjustRightInd w:val="0"/>
        <w:snapToGrid w:val="0"/>
        <w:spacing w:line="360" w:lineRule="auto"/>
        <w:rPr>
          <w:rFonts w:ascii="Book Antiqua" w:hAnsi="Book Antiqua" w:cs="Helvetica"/>
          <w:sz w:val="24"/>
          <w:lang w:eastAsia="en-US"/>
        </w:rPr>
      </w:pPr>
      <w:r w:rsidRPr="0075543B">
        <w:rPr>
          <w:rFonts w:ascii="Book Antiqua" w:hAnsi="Book Antiqua" w:cs="Helvetica"/>
          <w:sz w:val="24"/>
        </w:rPr>
        <w:t>Grade B (Very good): B</w:t>
      </w:r>
    </w:p>
    <w:p w14:paraId="5E785406" w14:textId="77777777" w:rsidR="007E6B42" w:rsidRPr="0075543B" w:rsidRDefault="007E6B42" w:rsidP="0075543B">
      <w:pPr>
        <w:adjustRightInd w:val="0"/>
        <w:snapToGrid w:val="0"/>
        <w:spacing w:line="360" w:lineRule="auto"/>
        <w:rPr>
          <w:rFonts w:ascii="Book Antiqua" w:hAnsi="Book Antiqua" w:cs="Helvetica"/>
          <w:sz w:val="24"/>
        </w:rPr>
      </w:pPr>
      <w:r w:rsidRPr="0075543B">
        <w:rPr>
          <w:rFonts w:ascii="Book Antiqua" w:hAnsi="Book Antiqua" w:cs="Helvetica"/>
          <w:sz w:val="24"/>
        </w:rPr>
        <w:t>Grade C (Good): C</w:t>
      </w:r>
    </w:p>
    <w:p w14:paraId="493C4272" w14:textId="77777777" w:rsidR="007E6B42" w:rsidRPr="0075543B" w:rsidRDefault="007E6B42" w:rsidP="0075543B">
      <w:pPr>
        <w:adjustRightInd w:val="0"/>
        <w:snapToGrid w:val="0"/>
        <w:spacing w:line="360" w:lineRule="auto"/>
        <w:rPr>
          <w:rFonts w:ascii="Book Antiqua" w:hAnsi="Book Antiqua" w:cs="Helvetica"/>
          <w:sz w:val="24"/>
        </w:rPr>
      </w:pPr>
      <w:r w:rsidRPr="0075543B">
        <w:rPr>
          <w:rFonts w:ascii="Book Antiqua" w:hAnsi="Book Antiqua" w:cs="Helvetica"/>
          <w:sz w:val="24"/>
        </w:rPr>
        <w:t xml:space="preserve">Grade D (Fair): 0 </w:t>
      </w:r>
    </w:p>
    <w:p w14:paraId="27CDE835" w14:textId="77777777" w:rsidR="007E6B42" w:rsidRPr="0075543B" w:rsidRDefault="007E6B42" w:rsidP="0075543B">
      <w:pPr>
        <w:adjustRightInd w:val="0"/>
        <w:snapToGrid w:val="0"/>
        <w:spacing w:line="360" w:lineRule="auto"/>
        <w:rPr>
          <w:rFonts w:ascii="Book Antiqua" w:eastAsia="等线" w:hAnsi="Book Antiqua" w:cs="Calibri"/>
          <w:noProof/>
          <w:sz w:val="24"/>
        </w:rPr>
      </w:pPr>
      <w:r w:rsidRPr="0075543B">
        <w:rPr>
          <w:rFonts w:ascii="Book Antiqua" w:hAnsi="Book Antiqua" w:cs="Helvetica"/>
          <w:sz w:val="24"/>
        </w:rPr>
        <w:t>Grade E (Poor): 0</w:t>
      </w:r>
    </w:p>
    <w:p w14:paraId="2151F619" w14:textId="77777777" w:rsidR="007E6B42" w:rsidRPr="0075543B" w:rsidRDefault="007E6B42" w:rsidP="0075543B">
      <w:pPr>
        <w:widowControl/>
        <w:adjustRightInd w:val="0"/>
        <w:snapToGrid w:val="0"/>
        <w:spacing w:line="360" w:lineRule="auto"/>
        <w:rPr>
          <w:rFonts w:ascii="Book Antiqua" w:eastAsia="等线" w:hAnsi="Book Antiqua" w:cs="Calibri"/>
          <w:noProof/>
          <w:kern w:val="0"/>
          <w:sz w:val="24"/>
          <w:lang w:val="en-GB"/>
        </w:rPr>
      </w:pPr>
    </w:p>
    <w:p w14:paraId="605AE370" w14:textId="2AAE9977" w:rsidR="007E6B42" w:rsidRPr="0075543B" w:rsidRDefault="007E6B42" w:rsidP="0075543B">
      <w:pPr>
        <w:adjustRightInd w:val="0"/>
        <w:snapToGrid w:val="0"/>
        <w:spacing w:line="360" w:lineRule="auto"/>
        <w:ind w:right="120"/>
        <w:rPr>
          <w:rFonts w:ascii="Book Antiqua" w:hAnsi="Book Antiqua" w:cs="Courier New"/>
          <w:b/>
          <w:sz w:val="24"/>
        </w:rPr>
      </w:pPr>
      <w:r w:rsidRPr="0075543B">
        <w:rPr>
          <w:rFonts w:ascii="Book Antiqua" w:hAnsi="Book Antiqua" w:cs="Courier New"/>
          <w:b/>
          <w:sz w:val="24"/>
        </w:rPr>
        <w:t xml:space="preserve">P-Reviewer: </w:t>
      </w:r>
      <w:r w:rsidRPr="0075543B">
        <w:rPr>
          <w:rFonts w:ascii="Book Antiqua" w:hAnsi="Book Antiqua" w:cs="Courier New"/>
          <w:sz w:val="24"/>
        </w:rPr>
        <w:t>Cheng TH, Yamaguchi K</w:t>
      </w:r>
      <w:r w:rsidRPr="0075543B">
        <w:rPr>
          <w:rFonts w:ascii="Book Antiqua" w:hAnsi="Book Antiqua" w:cs="Courier New"/>
          <w:color w:val="000000"/>
          <w:sz w:val="24"/>
        </w:rPr>
        <w:t xml:space="preserve"> </w:t>
      </w:r>
      <w:r w:rsidRPr="0075543B">
        <w:rPr>
          <w:rFonts w:ascii="Book Antiqua" w:hAnsi="Book Antiqua" w:cs="Courier New"/>
          <w:b/>
          <w:sz w:val="24"/>
        </w:rPr>
        <w:t xml:space="preserve">S-Editor: </w:t>
      </w:r>
      <w:r w:rsidRPr="0075543B">
        <w:rPr>
          <w:rFonts w:ascii="Book Antiqua" w:hAnsi="Book Antiqua" w:cs="Courier New"/>
          <w:sz w:val="24"/>
        </w:rPr>
        <w:t>Dou Y</w:t>
      </w:r>
      <w:r w:rsidRPr="0075543B">
        <w:rPr>
          <w:rFonts w:ascii="Book Antiqua" w:hAnsi="Book Antiqua" w:cs="Courier New"/>
          <w:b/>
          <w:sz w:val="24"/>
        </w:rPr>
        <w:t xml:space="preserve"> L-Editor: </w:t>
      </w:r>
      <w:proofErr w:type="spellStart"/>
      <w:r w:rsidR="00394B0D" w:rsidRPr="0075543B">
        <w:rPr>
          <w:rFonts w:ascii="Book Antiqua" w:hAnsi="Book Antiqua" w:cs="Courier New"/>
          <w:sz w:val="24"/>
        </w:rPr>
        <w:t>MedE</w:t>
      </w:r>
      <w:proofErr w:type="spellEnd"/>
      <w:r w:rsidR="00394B0D" w:rsidRPr="0075543B">
        <w:rPr>
          <w:rFonts w:ascii="Book Antiqua" w:hAnsi="Book Antiqua" w:cs="Courier New"/>
          <w:sz w:val="24"/>
        </w:rPr>
        <w:t>-Ma JY</w:t>
      </w:r>
      <w:r w:rsidR="00394B0D" w:rsidRPr="0075543B">
        <w:rPr>
          <w:rFonts w:ascii="Book Antiqua" w:hAnsi="Book Antiqua" w:cs="Courier New"/>
          <w:b/>
          <w:sz w:val="24"/>
        </w:rPr>
        <w:t xml:space="preserve"> </w:t>
      </w:r>
      <w:r w:rsidRPr="0075543B">
        <w:rPr>
          <w:rFonts w:ascii="Book Antiqua" w:hAnsi="Book Antiqua" w:cs="Courier New"/>
          <w:b/>
          <w:sz w:val="24"/>
        </w:rPr>
        <w:t xml:space="preserve">E-Editor: </w:t>
      </w:r>
      <w:r w:rsidR="00EA3D87" w:rsidRPr="00E60F36">
        <w:rPr>
          <w:rFonts w:ascii="Book Antiqua" w:hAnsi="Book Antiqua"/>
          <w:bCs/>
        </w:rPr>
        <w:t>Zhang YL</w:t>
      </w:r>
    </w:p>
    <w:p w14:paraId="19D42F09" w14:textId="05C1196C" w:rsidR="007E6B42" w:rsidRPr="0075543B" w:rsidRDefault="007E6B42" w:rsidP="0075543B">
      <w:pPr>
        <w:widowControl/>
        <w:adjustRightInd w:val="0"/>
        <w:snapToGrid w:val="0"/>
        <w:spacing w:line="360" w:lineRule="auto"/>
        <w:rPr>
          <w:rFonts w:ascii="Book Antiqua" w:hAnsi="Book Antiqua"/>
          <w:b/>
          <w:sz w:val="24"/>
        </w:rPr>
      </w:pPr>
      <w:r w:rsidRPr="0075543B">
        <w:rPr>
          <w:rFonts w:ascii="Book Antiqua" w:hAnsi="Book Antiqua"/>
          <w:b/>
          <w:sz w:val="24"/>
        </w:rPr>
        <w:t xml:space="preserve"> </w:t>
      </w:r>
      <w:r w:rsidRPr="0075543B">
        <w:rPr>
          <w:rFonts w:ascii="Book Antiqua" w:hAnsi="Book Antiqua"/>
          <w:b/>
          <w:sz w:val="24"/>
        </w:rPr>
        <w:br w:type="page"/>
      </w:r>
    </w:p>
    <w:p w14:paraId="7C1D1C98" w14:textId="77777777" w:rsidR="007E6B42" w:rsidRPr="0075543B" w:rsidRDefault="007E6B42" w:rsidP="0075543B">
      <w:pPr>
        <w:adjustRightInd w:val="0"/>
        <w:snapToGrid w:val="0"/>
        <w:spacing w:line="360" w:lineRule="auto"/>
        <w:rPr>
          <w:rFonts w:ascii="Book Antiqua" w:hAnsi="Book Antiqua"/>
          <w:b/>
          <w:kern w:val="0"/>
          <w:sz w:val="24"/>
        </w:rPr>
      </w:pPr>
      <w:r w:rsidRPr="0075543B">
        <w:rPr>
          <w:rFonts w:ascii="Book Antiqua" w:hAnsi="Book Antiqua"/>
          <w:b/>
          <w:sz w:val="24"/>
        </w:rPr>
        <w:t>Figure Legends</w:t>
      </w:r>
    </w:p>
    <w:p w14:paraId="03DEF97F" w14:textId="77777777" w:rsidR="007E6B42" w:rsidRPr="0075543B" w:rsidRDefault="007E6B42" w:rsidP="0075543B">
      <w:pPr>
        <w:adjustRightInd w:val="0"/>
        <w:snapToGrid w:val="0"/>
        <w:spacing w:line="360" w:lineRule="auto"/>
        <w:rPr>
          <w:rFonts w:ascii="Book Antiqua" w:hAnsi="Book Antiqua"/>
          <w:b/>
          <w:sz w:val="24"/>
        </w:rPr>
      </w:pPr>
      <w:r w:rsidRPr="0075543B">
        <w:rPr>
          <w:rFonts w:ascii="Book Antiqua" w:hAnsi="Book Antiqua"/>
          <w:b/>
          <w:noProof/>
          <w:sz w:val="24"/>
        </w:rPr>
        <w:drawing>
          <wp:inline distT="0" distB="0" distL="0" distR="0" wp14:anchorId="1773E9D1" wp14:editId="54DDBD22">
            <wp:extent cx="5728335" cy="238950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728335" cy="2389505"/>
                    </a:xfrm>
                    <a:prstGeom prst="rect">
                      <a:avLst/>
                    </a:prstGeom>
                  </pic:spPr>
                </pic:pic>
              </a:graphicData>
            </a:graphic>
          </wp:inline>
        </w:drawing>
      </w:r>
    </w:p>
    <w:p w14:paraId="1C161D6F" w14:textId="0952AD13" w:rsidR="007E6B42" w:rsidRPr="0075543B" w:rsidRDefault="007E6B42" w:rsidP="0075543B">
      <w:pPr>
        <w:adjustRightInd w:val="0"/>
        <w:snapToGrid w:val="0"/>
        <w:spacing w:line="360" w:lineRule="auto"/>
        <w:rPr>
          <w:rFonts w:ascii="Book Antiqua" w:hAnsi="Book Antiqua"/>
          <w:sz w:val="24"/>
        </w:rPr>
      </w:pPr>
      <w:r w:rsidRPr="0075543B">
        <w:rPr>
          <w:rFonts w:ascii="Book Antiqua" w:hAnsi="Book Antiqua"/>
          <w:b/>
          <w:sz w:val="24"/>
        </w:rPr>
        <w:t>Figure 1 Echocardiography showed the change</w:t>
      </w:r>
      <w:r w:rsidR="002A722D" w:rsidRPr="0075543B">
        <w:rPr>
          <w:rFonts w:ascii="Book Antiqua" w:hAnsi="Book Antiqua"/>
          <w:b/>
          <w:sz w:val="24"/>
        </w:rPr>
        <w:t>s</w:t>
      </w:r>
      <w:r w:rsidRPr="0075543B">
        <w:rPr>
          <w:rFonts w:ascii="Book Antiqua" w:hAnsi="Book Antiqua"/>
          <w:b/>
          <w:sz w:val="24"/>
        </w:rPr>
        <w:t xml:space="preserve"> in pulmonary artery diameter size</w:t>
      </w:r>
      <w:r w:rsidR="00592E2C" w:rsidRPr="0075543B">
        <w:rPr>
          <w:rFonts w:ascii="Book Antiqua" w:hAnsi="Book Antiqua"/>
          <w:b/>
          <w:sz w:val="24"/>
        </w:rPr>
        <w:t xml:space="preserve"> before and after treatment</w:t>
      </w:r>
      <w:r w:rsidRPr="0075543B">
        <w:rPr>
          <w:rFonts w:ascii="Book Antiqua" w:hAnsi="Book Antiqua"/>
          <w:b/>
          <w:sz w:val="24"/>
        </w:rPr>
        <w:t xml:space="preserve">. </w:t>
      </w:r>
      <w:r w:rsidRPr="0075543B">
        <w:rPr>
          <w:rFonts w:ascii="Book Antiqua" w:hAnsi="Book Antiqua"/>
          <w:sz w:val="24"/>
        </w:rPr>
        <w:t xml:space="preserve">A: Before treatment, the size was 30 mm due to pulmonary hypertension; B: </w:t>
      </w:r>
      <w:r w:rsidR="00B27AB1" w:rsidRPr="0075543B">
        <w:rPr>
          <w:rFonts w:ascii="Book Antiqua" w:hAnsi="Book Antiqua"/>
          <w:sz w:val="24"/>
        </w:rPr>
        <w:t xml:space="preserve">The </w:t>
      </w:r>
      <w:r w:rsidRPr="0075543B">
        <w:rPr>
          <w:rFonts w:ascii="Book Antiqua" w:hAnsi="Book Antiqua"/>
          <w:sz w:val="24"/>
        </w:rPr>
        <w:t>size reduced to 25 with the decrease of pulmonary artery pressure.</w:t>
      </w:r>
    </w:p>
    <w:p w14:paraId="2976593C" w14:textId="77777777" w:rsidR="007E6B42" w:rsidRPr="0075543B" w:rsidRDefault="007E6B42" w:rsidP="0075543B">
      <w:pPr>
        <w:adjustRightInd w:val="0"/>
        <w:snapToGrid w:val="0"/>
        <w:spacing w:line="360" w:lineRule="auto"/>
        <w:ind w:firstLine="480"/>
        <w:rPr>
          <w:rFonts w:ascii="Book Antiqua" w:hAnsi="Book Antiqua"/>
          <w:sz w:val="24"/>
        </w:rPr>
      </w:pPr>
    </w:p>
    <w:sectPr w:rsidR="007E6B42" w:rsidRPr="0075543B" w:rsidSect="00B77D7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FAE13" w16cex:dateUtc="2020-02-25T22:30:00Z"/>
  <w16cex:commentExtensible w16cex:durableId="21FFB87D" w16cex:dateUtc="2020-02-25T23:15:00Z"/>
  <w16cex:commentExtensible w16cex:durableId="21FFAF32" w16cex:dateUtc="2020-02-25T22:35:00Z"/>
  <w16cex:commentExtensible w16cex:durableId="21FFB8F7" w16cex:dateUtc="2020-02-25T23:17:00Z"/>
  <w16cex:commentExtensible w16cex:durableId="21FFB3E0" w16cex:dateUtc="2020-02-25T22:55:00Z"/>
  <w16cex:commentExtensible w16cex:durableId="21FFB943" w16cex:dateUtc="2020-02-25T23:18:00Z"/>
  <w16cex:commentExtensible w16cex:durableId="21FFB661" w16cex:dateUtc="2020-02-25T23:06:00Z"/>
  <w16cex:commentExtensible w16cex:durableId="21FFB68B" w16cex:dateUtc="2020-02-25T23:06:00Z"/>
  <w16cex:commentExtensible w16cex:durableId="21FFB737" w16cex:dateUtc="2020-02-25T23:09:00Z"/>
  <w16cex:commentExtensible w16cex:durableId="21FFB756" w16cex:dateUtc="2020-02-25T23:10:00Z"/>
  <w16cex:commentExtensible w16cex:durableId="21FFB7CD" w16cex:dateUtc="2020-02-25T23: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3DCF" w14:textId="77777777" w:rsidR="00C10D6A" w:rsidRDefault="00C10D6A" w:rsidP="008356C0">
      <w:r>
        <w:separator/>
      </w:r>
    </w:p>
  </w:endnote>
  <w:endnote w:type="continuationSeparator" w:id="0">
    <w:p w14:paraId="4B96D5F2" w14:textId="77777777" w:rsidR="00C10D6A" w:rsidRDefault="00C10D6A" w:rsidP="008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F19A5" w14:textId="77777777" w:rsidR="00C10D6A" w:rsidRDefault="00C10D6A" w:rsidP="008356C0">
      <w:r>
        <w:separator/>
      </w:r>
    </w:p>
  </w:footnote>
  <w:footnote w:type="continuationSeparator" w:id="0">
    <w:p w14:paraId="5C6F041A" w14:textId="77777777" w:rsidR="00C10D6A" w:rsidRDefault="00C10D6A" w:rsidP="00835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AE76"/>
    <w:multiLevelType w:val="singleLevel"/>
    <w:tmpl w:val="5A2CAE7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5|197|204|207|197|201|204|"/>
    <w:docVar w:name="Username" w:val="Editor"/>
  </w:docVars>
  <w:rsids>
    <w:rsidRoot w:val="00605CD3"/>
    <w:rsid w:val="000051F1"/>
    <w:rsid w:val="00007972"/>
    <w:rsid w:val="00013372"/>
    <w:rsid w:val="00026F31"/>
    <w:rsid w:val="00066292"/>
    <w:rsid w:val="00066C7A"/>
    <w:rsid w:val="0007549C"/>
    <w:rsid w:val="0007765E"/>
    <w:rsid w:val="000A0274"/>
    <w:rsid w:val="000A3F80"/>
    <w:rsid w:val="000A4442"/>
    <w:rsid w:val="000B12BF"/>
    <w:rsid w:val="000B1A6D"/>
    <w:rsid w:val="000B1F18"/>
    <w:rsid w:val="000B62C3"/>
    <w:rsid w:val="000C148E"/>
    <w:rsid w:val="000C3628"/>
    <w:rsid w:val="000C6A67"/>
    <w:rsid w:val="000C7173"/>
    <w:rsid w:val="000C7508"/>
    <w:rsid w:val="000E1A16"/>
    <w:rsid w:val="000E3411"/>
    <w:rsid w:val="0010009E"/>
    <w:rsid w:val="00117D1B"/>
    <w:rsid w:val="00124353"/>
    <w:rsid w:val="00152A25"/>
    <w:rsid w:val="0015473A"/>
    <w:rsid w:val="00171954"/>
    <w:rsid w:val="0019109E"/>
    <w:rsid w:val="00191EAE"/>
    <w:rsid w:val="001A25E4"/>
    <w:rsid w:val="001C0BE2"/>
    <w:rsid w:val="001C5C02"/>
    <w:rsid w:val="001C7E8B"/>
    <w:rsid w:val="001D4B7B"/>
    <w:rsid w:val="001D70C2"/>
    <w:rsid w:val="001E05A0"/>
    <w:rsid w:val="002031AA"/>
    <w:rsid w:val="00207D27"/>
    <w:rsid w:val="00212237"/>
    <w:rsid w:val="00212866"/>
    <w:rsid w:val="00222A7F"/>
    <w:rsid w:val="002259C6"/>
    <w:rsid w:val="00284321"/>
    <w:rsid w:val="00291D61"/>
    <w:rsid w:val="002A33DF"/>
    <w:rsid w:val="002A722D"/>
    <w:rsid w:val="002B67FE"/>
    <w:rsid w:val="002B7BE8"/>
    <w:rsid w:val="002C0158"/>
    <w:rsid w:val="002D1BB5"/>
    <w:rsid w:val="002D386B"/>
    <w:rsid w:val="00353A4C"/>
    <w:rsid w:val="00353DB6"/>
    <w:rsid w:val="00371469"/>
    <w:rsid w:val="003823D8"/>
    <w:rsid w:val="00387C9D"/>
    <w:rsid w:val="00387E81"/>
    <w:rsid w:val="00390DBD"/>
    <w:rsid w:val="00391856"/>
    <w:rsid w:val="00394B0D"/>
    <w:rsid w:val="003A3A32"/>
    <w:rsid w:val="003A69F7"/>
    <w:rsid w:val="003C73A5"/>
    <w:rsid w:val="003D4A98"/>
    <w:rsid w:val="0040663E"/>
    <w:rsid w:val="0040700C"/>
    <w:rsid w:val="00411D93"/>
    <w:rsid w:val="00420BF9"/>
    <w:rsid w:val="00426E90"/>
    <w:rsid w:val="00454AB0"/>
    <w:rsid w:val="00480584"/>
    <w:rsid w:val="00487117"/>
    <w:rsid w:val="004915BB"/>
    <w:rsid w:val="004A73CA"/>
    <w:rsid w:val="004B4E41"/>
    <w:rsid w:val="004B7397"/>
    <w:rsid w:val="004D0D8F"/>
    <w:rsid w:val="004D165F"/>
    <w:rsid w:val="004D7125"/>
    <w:rsid w:val="004E71CE"/>
    <w:rsid w:val="004F2405"/>
    <w:rsid w:val="004F440F"/>
    <w:rsid w:val="004F75AD"/>
    <w:rsid w:val="00502527"/>
    <w:rsid w:val="00503E6F"/>
    <w:rsid w:val="005072BC"/>
    <w:rsid w:val="005218CD"/>
    <w:rsid w:val="00533C59"/>
    <w:rsid w:val="00540260"/>
    <w:rsid w:val="00545205"/>
    <w:rsid w:val="00564DC6"/>
    <w:rsid w:val="0058127E"/>
    <w:rsid w:val="00582FDF"/>
    <w:rsid w:val="00587D5F"/>
    <w:rsid w:val="00587EFF"/>
    <w:rsid w:val="00592E2C"/>
    <w:rsid w:val="005975D2"/>
    <w:rsid w:val="005A4299"/>
    <w:rsid w:val="005C7909"/>
    <w:rsid w:val="005E27C6"/>
    <w:rsid w:val="005F43C7"/>
    <w:rsid w:val="005F7386"/>
    <w:rsid w:val="00602F26"/>
    <w:rsid w:val="00605CD3"/>
    <w:rsid w:val="00631410"/>
    <w:rsid w:val="00632171"/>
    <w:rsid w:val="006522FF"/>
    <w:rsid w:val="00661C16"/>
    <w:rsid w:val="00663C86"/>
    <w:rsid w:val="0066499D"/>
    <w:rsid w:val="006652AC"/>
    <w:rsid w:val="00680972"/>
    <w:rsid w:val="00696402"/>
    <w:rsid w:val="006C063B"/>
    <w:rsid w:val="006C32AE"/>
    <w:rsid w:val="006C34BE"/>
    <w:rsid w:val="006C5650"/>
    <w:rsid w:val="006D256E"/>
    <w:rsid w:val="006E1DD9"/>
    <w:rsid w:val="006F0BEC"/>
    <w:rsid w:val="0071162E"/>
    <w:rsid w:val="00717725"/>
    <w:rsid w:val="00717ECD"/>
    <w:rsid w:val="00720747"/>
    <w:rsid w:val="00722BC4"/>
    <w:rsid w:val="007319C5"/>
    <w:rsid w:val="0074115A"/>
    <w:rsid w:val="00745A84"/>
    <w:rsid w:val="00745C1C"/>
    <w:rsid w:val="00751419"/>
    <w:rsid w:val="0075543B"/>
    <w:rsid w:val="00772798"/>
    <w:rsid w:val="007806C3"/>
    <w:rsid w:val="00792D1C"/>
    <w:rsid w:val="007A02D4"/>
    <w:rsid w:val="007A058C"/>
    <w:rsid w:val="007A119B"/>
    <w:rsid w:val="007C74CC"/>
    <w:rsid w:val="007E31AC"/>
    <w:rsid w:val="007E6B42"/>
    <w:rsid w:val="0080078E"/>
    <w:rsid w:val="00800A57"/>
    <w:rsid w:val="00802666"/>
    <w:rsid w:val="0082004E"/>
    <w:rsid w:val="008356C0"/>
    <w:rsid w:val="008418E1"/>
    <w:rsid w:val="00864FB9"/>
    <w:rsid w:val="0088313E"/>
    <w:rsid w:val="008C2C56"/>
    <w:rsid w:val="008E0D78"/>
    <w:rsid w:val="008E58B0"/>
    <w:rsid w:val="00902AE8"/>
    <w:rsid w:val="00912751"/>
    <w:rsid w:val="009156B9"/>
    <w:rsid w:val="00931C3F"/>
    <w:rsid w:val="00953670"/>
    <w:rsid w:val="009579C4"/>
    <w:rsid w:val="00963816"/>
    <w:rsid w:val="00964417"/>
    <w:rsid w:val="00966B51"/>
    <w:rsid w:val="00972D0C"/>
    <w:rsid w:val="00986925"/>
    <w:rsid w:val="009A03C8"/>
    <w:rsid w:val="009A1923"/>
    <w:rsid w:val="009A6B63"/>
    <w:rsid w:val="009C6A53"/>
    <w:rsid w:val="009E5806"/>
    <w:rsid w:val="00A013D5"/>
    <w:rsid w:val="00A14CB1"/>
    <w:rsid w:val="00A310A5"/>
    <w:rsid w:val="00A31ABD"/>
    <w:rsid w:val="00A4335E"/>
    <w:rsid w:val="00A62AD5"/>
    <w:rsid w:val="00A670A3"/>
    <w:rsid w:val="00A67CA5"/>
    <w:rsid w:val="00A92E37"/>
    <w:rsid w:val="00A9314D"/>
    <w:rsid w:val="00A95EE7"/>
    <w:rsid w:val="00AD7BA6"/>
    <w:rsid w:val="00AE07EC"/>
    <w:rsid w:val="00B03767"/>
    <w:rsid w:val="00B126F5"/>
    <w:rsid w:val="00B14498"/>
    <w:rsid w:val="00B14727"/>
    <w:rsid w:val="00B23409"/>
    <w:rsid w:val="00B27AB1"/>
    <w:rsid w:val="00B37981"/>
    <w:rsid w:val="00B43703"/>
    <w:rsid w:val="00B55B02"/>
    <w:rsid w:val="00B61294"/>
    <w:rsid w:val="00B77D7F"/>
    <w:rsid w:val="00B81D20"/>
    <w:rsid w:val="00B900BF"/>
    <w:rsid w:val="00B932D4"/>
    <w:rsid w:val="00BB39BD"/>
    <w:rsid w:val="00BC0072"/>
    <w:rsid w:val="00BC56CF"/>
    <w:rsid w:val="00BD3406"/>
    <w:rsid w:val="00BE2CB0"/>
    <w:rsid w:val="00BE6031"/>
    <w:rsid w:val="00BF74A8"/>
    <w:rsid w:val="00C013B0"/>
    <w:rsid w:val="00C10D6A"/>
    <w:rsid w:val="00C12654"/>
    <w:rsid w:val="00C41520"/>
    <w:rsid w:val="00C55865"/>
    <w:rsid w:val="00C609F4"/>
    <w:rsid w:val="00C63ED0"/>
    <w:rsid w:val="00C80B4A"/>
    <w:rsid w:val="00C81174"/>
    <w:rsid w:val="00C924A4"/>
    <w:rsid w:val="00CB36B7"/>
    <w:rsid w:val="00CB3D92"/>
    <w:rsid w:val="00CC36D2"/>
    <w:rsid w:val="00CC57EA"/>
    <w:rsid w:val="00CD3C2A"/>
    <w:rsid w:val="00D17A7B"/>
    <w:rsid w:val="00D17B32"/>
    <w:rsid w:val="00D22129"/>
    <w:rsid w:val="00D36813"/>
    <w:rsid w:val="00D5713B"/>
    <w:rsid w:val="00D85FC4"/>
    <w:rsid w:val="00D96854"/>
    <w:rsid w:val="00DC7EEB"/>
    <w:rsid w:val="00DF0C3E"/>
    <w:rsid w:val="00E00ED0"/>
    <w:rsid w:val="00E121D1"/>
    <w:rsid w:val="00E153EB"/>
    <w:rsid w:val="00E40384"/>
    <w:rsid w:val="00E42D60"/>
    <w:rsid w:val="00E469D1"/>
    <w:rsid w:val="00E5098B"/>
    <w:rsid w:val="00E6344C"/>
    <w:rsid w:val="00E762D0"/>
    <w:rsid w:val="00E82285"/>
    <w:rsid w:val="00E93E64"/>
    <w:rsid w:val="00E96CB3"/>
    <w:rsid w:val="00E97984"/>
    <w:rsid w:val="00EA3D87"/>
    <w:rsid w:val="00EA6936"/>
    <w:rsid w:val="00EA792C"/>
    <w:rsid w:val="00EC3D8A"/>
    <w:rsid w:val="00EE6771"/>
    <w:rsid w:val="00EE748A"/>
    <w:rsid w:val="00F06521"/>
    <w:rsid w:val="00F1456B"/>
    <w:rsid w:val="00F17446"/>
    <w:rsid w:val="00F20470"/>
    <w:rsid w:val="00F26ABB"/>
    <w:rsid w:val="00F416F1"/>
    <w:rsid w:val="00F421F5"/>
    <w:rsid w:val="00F63C3E"/>
    <w:rsid w:val="00F65609"/>
    <w:rsid w:val="00F656A2"/>
    <w:rsid w:val="00F679F2"/>
    <w:rsid w:val="00F7253D"/>
    <w:rsid w:val="00F744EE"/>
    <w:rsid w:val="00F9373C"/>
    <w:rsid w:val="00FA6D98"/>
    <w:rsid w:val="00FA749F"/>
    <w:rsid w:val="00FB23F5"/>
    <w:rsid w:val="00FB7333"/>
    <w:rsid w:val="00FC62F2"/>
    <w:rsid w:val="00FE23B1"/>
    <w:rsid w:val="00FE40D3"/>
    <w:rsid w:val="00FF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54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D3"/>
    <w:pPr>
      <w:widowControl w:val="0"/>
      <w:jc w:val="both"/>
    </w:pPr>
    <w:rPr>
      <w:rFonts w:ascii="Calibri" w:hAnsi="Calibri"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CD3"/>
    <w:rPr>
      <w:color w:val="0563C1" w:themeColor="hyperlink"/>
      <w:u w:val="single"/>
    </w:rPr>
  </w:style>
  <w:style w:type="paragraph" w:styleId="a4">
    <w:name w:val="annotation text"/>
    <w:basedOn w:val="a"/>
    <w:link w:val="Char"/>
    <w:uiPriority w:val="99"/>
    <w:semiHidden/>
    <w:unhideWhenUsed/>
    <w:rsid w:val="00F63C3E"/>
    <w:rPr>
      <w:rFonts w:ascii="Tahoma" w:hAnsi="Tahoma" w:cs="Tahoma"/>
      <w:sz w:val="16"/>
      <w:szCs w:val="20"/>
    </w:rPr>
  </w:style>
  <w:style w:type="character" w:customStyle="1" w:styleId="Char">
    <w:name w:val="批注文字 Char"/>
    <w:basedOn w:val="a0"/>
    <w:link w:val="a4"/>
    <w:uiPriority w:val="99"/>
    <w:semiHidden/>
    <w:rsid w:val="00F63C3E"/>
    <w:rPr>
      <w:rFonts w:ascii="Tahoma" w:hAnsi="Tahoma" w:cs="Tahoma"/>
      <w:kern w:val="2"/>
      <w:sz w:val="16"/>
      <w:szCs w:val="20"/>
      <w:lang w:eastAsia="zh-CN"/>
    </w:rPr>
  </w:style>
  <w:style w:type="character" w:styleId="a5">
    <w:name w:val="annotation reference"/>
    <w:basedOn w:val="a0"/>
    <w:uiPriority w:val="99"/>
    <w:semiHidden/>
    <w:unhideWhenUsed/>
    <w:rsid w:val="00F63C3E"/>
    <w:rPr>
      <w:rFonts w:ascii="Tahoma" w:hAnsi="Tahoma" w:cs="Tahoma"/>
      <w:b w:val="0"/>
      <w:i w:val="0"/>
      <w:caps w:val="0"/>
      <w:strike w:val="0"/>
      <w:sz w:val="16"/>
      <w:szCs w:val="16"/>
      <w:u w:val="none"/>
    </w:rPr>
  </w:style>
  <w:style w:type="paragraph" w:styleId="a6">
    <w:name w:val="annotation subject"/>
    <w:basedOn w:val="a4"/>
    <w:next w:val="a4"/>
    <w:link w:val="Char0"/>
    <w:uiPriority w:val="99"/>
    <w:semiHidden/>
    <w:unhideWhenUsed/>
    <w:rsid w:val="00F63C3E"/>
    <w:rPr>
      <w:rFonts w:ascii="Calibri" w:hAnsi="Calibri" w:cs="Times New Roman"/>
      <w:b/>
      <w:bCs/>
      <w:sz w:val="20"/>
    </w:rPr>
  </w:style>
  <w:style w:type="character" w:customStyle="1" w:styleId="Char0">
    <w:name w:val="批注主题 Char"/>
    <w:basedOn w:val="Char"/>
    <w:link w:val="a6"/>
    <w:uiPriority w:val="99"/>
    <w:semiHidden/>
    <w:rsid w:val="00F63C3E"/>
    <w:rPr>
      <w:rFonts w:ascii="Calibri" w:hAnsi="Calibri" w:cs="Times New Roman"/>
      <w:b/>
      <w:bCs/>
      <w:kern w:val="2"/>
      <w:sz w:val="20"/>
      <w:szCs w:val="20"/>
      <w:lang w:eastAsia="zh-CN"/>
    </w:rPr>
  </w:style>
  <w:style w:type="paragraph" w:styleId="a7">
    <w:name w:val="Balloon Text"/>
    <w:basedOn w:val="a"/>
    <w:link w:val="Char1"/>
    <w:uiPriority w:val="99"/>
    <w:semiHidden/>
    <w:unhideWhenUsed/>
    <w:rsid w:val="00F63C3E"/>
    <w:rPr>
      <w:rFonts w:ascii="Segoe UI" w:hAnsi="Segoe UI" w:cs="Segoe UI"/>
      <w:sz w:val="18"/>
      <w:szCs w:val="18"/>
    </w:rPr>
  </w:style>
  <w:style w:type="character" w:customStyle="1" w:styleId="Char1">
    <w:name w:val="批注框文本 Char"/>
    <w:basedOn w:val="a0"/>
    <w:link w:val="a7"/>
    <w:uiPriority w:val="99"/>
    <w:semiHidden/>
    <w:rsid w:val="00F63C3E"/>
    <w:rPr>
      <w:rFonts w:ascii="Segoe UI" w:hAnsi="Segoe UI" w:cs="Segoe UI"/>
      <w:kern w:val="2"/>
      <w:sz w:val="18"/>
      <w:szCs w:val="18"/>
      <w:lang w:eastAsia="zh-CN"/>
    </w:rPr>
  </w:style>
  <w:style w:type="paragraph" w:styleId="a8">
    <w:name w:val="header"/>
    <w:basedOn w:val="a"/>
    <w:link w:val="Char2"/>
    <w:uiPriority w:val="99"/>
    <w:unhideWhenUsed/>
    <w:rsid w:val="008356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356C0"/>
    <w:rPr>
      <w:rFonts w:ascii="Calibri" w:hAnsi="Calibri" w:cs="Times New Roman"/>
      <w:kern w:val="2"/>
      <w:sz w:val="18"/>
      <w:szCs w:val="18"/>
      <w:lang w:eastAsia="zh-CN"/>
    </w:rPr>
  </w:style>
  <w:style w:type="paragraph" w:styleId="a9">
    <w:name w:val="footer"/>
    <w:basedOn w:val="a"/>
    <w:link w:val="Char3"/>
    <w:uiPriority w:val="99"/>
    <w:unhideWhenUsed/>
    <w:rsid w:val="008356C0"/>
    <w:pPr>
      <w:tabs>
        <w:tab w:val="center" w:pos="4153"/>
        <w:tab w:val="right" w:pos="8306"/>
      </w:tabs>
      <w:snapToGrid w:val="0"/>
      <w:jc w:val="left"/>
    </w:pPr>
    <w:rPr>
      <w:sz w:val="18"/>
      <w:szCs w:val="18"/>
    </w:rPr>
  </w:style>
  <w:style w:type="character" w:customStyle="1" w:styleId="Char3">
    <w:name w:val="页脚 Char"/>
    <w:basedOn w:val="a0"/>
    <w:link w:val="a9"/>
    <w:uiPriority w:val="99"/>
    <w:rsid w:val="008356C0"/>
    <w:rPr>
      <w:rFonts w:ascii="Calibri" w:hAnsi="Calibri" w:cs="Times New Roman"/>
      <w:kern w:val="2"/>
      <w:sz w:val="18"/>
      <w:szCs w:val="18"/>
      <w:lang w:eastAsia="zh-CN"/>
    </w:rPr>
  </w:style>
  <w:style w:type="paragraph" w:styleId="aa">
    <w:name w:val="Revision"/>
    <w:hidden/>
    <w:uiPriority w:val="99"/>
    <w:semiHidden/>
    <w:rsid w:val="00CC36D2"/>
    <w:rPr>
      <w:rFonts w:ascii="Calibri"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D3"/>
    <w:pPr>
      <w:widowControl w:val="0"/>
      <w:jc w:val="both"/>
    </w:pPr>
    <w:rPr>
      <w:rFonts w:ascii="Calibri" w:hAnsi="Calibri"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CD3"/>
    <w:rPr>
      <w:color w:val="0563C1" w:themeColor="hyperlink"/>
      <w:u w:val="single"/>
    </w:rPr>
  </w:style>
  <w:style w:type="paragraph" w:styleId="a4">
    <w:name w:val="annotation text"/>
    <w:basedOn w:val="a"/>
    <w:link w:val="Char"/>
    <w:uiPriority w:val="99"/>
    <w:semiHidden/>
    <w:unhideWhenUsed/>
    <w:rsid w:val="00F63C3E"/>
    <w:rPr>
      <w:rFonts w:ascii="Tahoma" w:hAnsi="Tahoma" w:cs="Tahoma"/>
      <w:sz w:val="16"/>
      <w:szCs w:val="20"/>
    </w:rPr>
  </w:style>
  <w:style w:type="character" w:customStyle="1" w:styleId="Char">
    <w:name w:val="批注文字 Char"/>
    <w:basedOn w:val="a0"/>
    <w:link w:val="a4"/>
    <w:uiPriority w:val="99"/>
    <w:semiHidden/>
    <w:rsid w:val="00F63C3E"/>
    <w:rPr>
      <w:rFonts w:ascii="Tahoma" w:hAnsi="Tahoma" w:cs="Tahoma"/>
      <w:kern w:val="2"/>
      <w:sz w:val="16"/>
      <w:szCs w:val="20"/>
      <w:lang w:eastAsia="zh-CN"/>
    </w:rPr>
  </w:style>
  <w:style w:type="character" w:styleId="a5">
    <w:name w:val="annotation reference"/>
    <w:basedOn w:val="a0"/>
    <w:uiPriority w:val="99"/>
    <w:semiHidden/>
    <w:unhideWhenUsed/>
    <w:rsid w:val="00F63C3E"/>
    <w:rPr>
      <w:rFonts w:ascii="Tahoma" w:hAnsi="Tahoma" w:cs="Tahoma"/>
      <w:b w:val="0"/>
      <w:i w:val="0"/>
      <w:caps w:val="0"/>
      <w:strike w:val="0"/>
      <w:sz w:val="16"/>
      <w:szCs w:val="16"/>
      <w:u w:val="none"/>
    </w:rPr>
  </w:style>
  <w:style w:type="paragraph" w:styleId="a6">
    <w:name w:val="annotation subject"/>
    <w:basedOn w:val="a4"/>
    <w:next w:val="a4"/>
    <w:link w:val="Char0"/>
    <w:uiPriority w:val="99"/>
    <w:semiHidden/>
    <w:unhideWhenUsed/>
    <w:rsid w:val="00F63C3E"/>
    <w:rPr>
      <w:rFonts w:ascii="Calibri" w:hAnsi="Calibri" w:cs="Times New Roman"/>
      <w:b/>
      <w:bCs/>
      <w:sz w:val="20"/>
    </w:rPr>
  </w:style>
  <w:style w:type="character" w:customStyle="1" w:styleId="Char0">
    <w:name w:val="批注主题 Char"/>
    <w:basedOn w:val="Char"/>
    <w:link w:val="a6"/>
    <w:uiPriority w:val="99"/>
    <w:semiHidden/>
    <w:rsid w:val="00F63C3E"/>
    <w:rPr>
      <w:rFonts w:ascii="Calibri" w:hAnsi="Calibri" w:cs="Times New Roman"/>
      <w:b/>
      <w:bCs/>
      <w:kern w:val="2"/>
      <w:sz w:val="20"/>
      <w:szCs w:val="20"/>
      <w:lang w:eastAsia="zh-CN"/>
    </w:rPr>
  </w:style>
  <w:style w:type="paragraph" w:styleId="a7">
    <w:name w:val="Balloon Text"/>
    <w:basedOn w:val="a"/>
    <w:link w:val="Char1"/>
    <w:uiPriority w:val="99"/>
    <w:semiHidden/>
    <w:unhideWhenUsed/>
    <w:rsid w:val="00F63C3E"/>
    <w:rPr>
      <w:rFonts w:ascii="Segoe UI" w:hAnsi="Segoe UI" w:cs="Segoe UI"/>
      <w:sz w:val="18"/>
      <w:szCs w:val="18"/>
    </w:rPr>
  </w:style>
  <w:style w:type="character" w:customStyle="1" w:styleId="Char1">
    <w:name w:val="批注框文本 Char"/>
    <w:basedOn w:val="a0"/>
    <w:link w:val="a7"/>
    <w:uiPriority w:val="99"/>
    <w:semiHidden/>
    <w:rsid w:val="00F63C3E"/>
    <w:rPr>
      <w:rFonts w:ascii="Segoe UI" w:hAnsi="Segoe UI" w:cs="Segoe UI"/>
      <w:kern w:val="2"/>
      <w:sz w:val="18"/>
      <w:szCs w:val="18"/>
      <w:lang w:eastAsia="zh-CN"/>
    </w:rPr>
  </w:style>
  <w:style w:type="paragraph" w:styleId="a8">
    <w:name w:val="header"/>
    <w:basedOn w:val="a"/>
    <w:link w:val="Char2"/>
    <w:uiPriority w:val="99"/>
    <w:unhideWhenUsed/>
    <w:rsid w:val="008356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356C0"/>
    <w:rPr>
      <w:rFonts w:ascii="Calibri" w:hAnsi="Calibri" w:cs="Times New Roman"/>
      <w:kern w:val="2"/>
      <w:sz w:val="18"/>
      <w:szCs w:val="18"/>
      <w:lang w:eastAsia="zh-CN"/>
    </w:rPr>
  </w:style>
  <w:style w:type="paragraph" w:styleId="a9">
    <w:name w:val="footer"/>
    <w:basedOn w:val="a"/>
    <w:link w:val="Char3"/>
    <w:uiPriority w:val="99"/>
    <w:unhideWhenUsed/>
    <w:rsid w:val="008356C0"/>
    <w:pPr>
      <w:tabs>
        <w:tab w:val="center" w:pos="4153"/>
        <w:tab w:val="right" w:pos="8306"/>
      </w:tabs>
      <w:snapToGrid w:val="0"/>
      <w:jc w:val="left"/>
    </w:pPr>
    <w:rPr>
      <w:sz w:val="18"/>
      <w:szCs w:val="18"/>
    </w:rPr>
  </w:style>
  <w:style w:type="character" w:customStyle="1" w:styleId="Char3">
    <w:name w:val="页脚 Char"/>
    <w:basedOn w:val="a0"/>
    <w:link w:val="a9"/>
    <w:uiPriority w:val="99"/>
    <w:rsid w:val="008356C0"/>
    <w:rPr>
      <w:rFonts w:ascii="Calibri" w:hAnsi="Calibri" w:cs="Times New Roman"/>
      <w:kern w:val="2"/>
      <w:sz w:val="18"/>
      <w:szCs w:val="18"/>
      <w:lang w:eastAsia="zh-CN"/>
    </w:rPr>
  </w:style>
  <w:style w:type="paragraph" w:styleId="aa">
    <w:name w:val="Revision"/>
    <w:hidden/>
    <w:uiPriority w:val="99"/>
    <w:semiHidden/>
    <w:rsid w:val="00CC36D2"/>
    <w:rPr>
      <w:rFonts w:ascii="Calibri"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yfwcsh@sc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liujihong2008@qq.con</cp:lastModifiedBy>
  <cp:revision>38</cp:revision>
  <dcterms:created xsi:type="dcterms:W3CDTF">2020-03-04T02:24:00Z</dcterms:created>
  <dcterms:modified xsi:type="dcterms:W3CDTF">2020-03-24T01:45:00Z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43886.6378703704</vt:r8>
  </property>
  <property fmtid="{D5CDD505-2E9C-101B-9397-08002B2CF9AE}" pid="4" name="EditTimer">
    <vt:i4>1880</vt:i4>
  </property>
</Properties>
</file>