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A10" w:rsidRDefault="00FC5E1B">
      <w:pPr>
        <w:adjustRightInd w:val="0"/>
        <w:snapToGrid w:val="0"/>
        <w:spacing w:line="360" w:lineRule="auto"/>
        <w:rPr>
          <w:rFonts w:ascii="Book Antiqua" w:eastAsia="Times New Roman" w:hAnsi="Book Antiqua" w:cs="宋体"/>
          <w:b/>
          <w:i/>
          <w:color w:val="000000" w:themeColor="text1"/>
          <w:sz w:val="20"/>
          <w:szCs w:val="20"/>
          <w:lang w:val="en-US"/>
        </w:rPr>
      </w:pPr>
      <w:bookmarkStart w:id="0" w:name="OLE_LINK50"/>
      <w:bookmarkStart w:id="1" w:name="OLE_LINK49"/>
      <w:bookmarkStart w:id="2" w:name="OLE_LINK37"/>
      <w:bookmarkStart w:id="3" w:name="OLE_LINK38"/>
      <w:r>
        <w:rPr>
          <w:rFonts w:ascii="Book Antiqua" w:eastAsia="Times New Roman" w:hAnsi="Book Antiqua" w:cs="宋体"/>
          <w:b/>
          <w:color w:val="000000" w:themeColor="text1"/>
          <w:sz w:val="20"/>
          <w:szCs w:val="20"/>
          <w:lang w:val="en-US"/>
        </w:rPr>
        <w:t xml:space="preserve">Name of Journal: </w:t>
      </w:r>
      <w:bookmarkStart w:id="4" w:name="OLE_LINK719"/>
      <w:bookmarkStart w:id="5" w:name="OLE_LINK661"/>
      <w:bookmarkStart w:id="6" w:name="OLE_LINK335"/>
      <w:bookmarkStart w:id="7" w:name="OLE_LINK1068"/>
      <w:bookmarkStart w:id="8" w:name="OLE_LINK696"/>
      <w:bookmarkStart w:id="9" w:name="OLE_LINK645"/>
      <w:bookmarkStart w:id="10" w:name="OLE_LINK718"/>
      <w:r>
        <w:rPr>
          <w:rFonts w:ascii="Book Antiqua" w:eastAsia="Times New Roman" w:hAnsi="Book Antiqua" w:cs="宋体"/>
          <w:i/>
          <w:color w:val="000000" w:themeColor="text1"/>
          <w:sz w:val="20"/>
          <w:szCs w:val="20"/>
          <w:lang w:val="en-US"/>
        </w:rPr>
        <w:t xml:space="preserve">World Journal of </w:t>
      </w:r>
      <w:bookmarkEnd w:id="4"/>
      <w:bookmarkEnd w:id="5"/>
      <w:bookmarkEnd w:id="6"/>
      <w:bookmarkEnd w:id="7"/>
      <w:bookmarkEnd w:id="8"/>
      <w:bookmarkEnd w:id="9"/>
      <w:bookmarkEnd w:id="10"/>
      <w:r>
        <w:rPr>
          <w:rFonts w:ascii="Book Antiqua" w:eastAsia="Times New Roman" w:hAnsi="Book Antiqua" w:cs="宋体"/>
          <w:i/>
          <w:color w:val="000000" w:themeColor="text1"/>
          <w:sz w:val="20"/>
          <w:szCs w:val="20"/>
          <w:lang w:val="en-US"/>
        </w:rPr>
        <w:t>Clinical Cases</w:t>
      </w:r>
    </w:p>
    <w:p w:rsidR="00925A10" w:rsidRDefault="00FC5E1B">
      <w:pPr>
        <w:adjustRightInd w:val="0"/>
        <w:snapToGrid w:val="0"/>
        <w:spacing w:line="360" w:lineRule="auto"/>
        <w:rPr>
          <w:rFonts w:ascii="Book Antiqua" w:eastAsia="宋体" w:hAnsi="Book Antiqua" w:cs="Arial"/>
          <w:b/>
          <w:color w:val="000000" w:themeColor="text1"/>
          <w:sz w:val="20"/>
          <w:szCs w:val="20"/>
          <w:lang w:val="en-US"/>
        </w:rPr>
      </w:pPr>
      <w:r>
        <w:rPr>
          <w:rFonts w:ascii="Book Antiqua" w:eastAsia="Times New Roman" w:hAnsi="Book Antiqua" w:cs="Times New Roman"/>
          <w:b/>
          <w:bCs/>
          <w:color w:val="000000" w:themeColor="text1"/>
          <w:sz w:val="20"/>
          <w:szCs w:val="20"/>
          <w:lang w:val="en-US"/>
        </w:rPr>
        <w:t>Manuscript NO</w:t>
      </w:r>
      <w:r>
        <w:rPr>
          <w:rFonts w:ascii="Book Antiqua" w:eastAsia="宋体" w:hAnsi="Book Antiqua" w:cs="Arial"/>
          <w:b/>
          <w:color w:val="000000" w:themeColor="text1"/>
          <w:sz w:val="20"/>
          <w:szCs w:val="20"/>
          <w:lang w:val="en-US"/>
        </w:rPr>
        <w:t xml:space="preserve">: </w:t>
      </w:r>
      <w:r>
        <w:rPr>
          <w:rFonts w:ascii="Book Antiqua" w:eastAsia="宋体" w:hAnsi="Book Antiqua" w:cs="Arial"/>
          <w:color w:val="000000" w:themeColor="text1"/>
          <w:sz w:val="20"/>
          <w:szCs w:val="20"/>
          <w:lang w:val="en-US"/>
        </w:rPr>
        <w:t>52890</w:t>
      </w:r>
    </w:p>
    <w:p w:rsidR="00925A10" w:rsidRDefault="00FC5E1B">
      <w:pPr>
        <w:adjustRightInd w:val="0"/>
        <w:snapToGrid w:val="0"/>
        <w:spacing w:line="360" w:lineRule="auto"/>
        <w:rPr>
          <w:rFonts w:ascii="Book Antiqua" w:eastAsia="宋体" w:hAnsi="Book Antiqua" w:cs="Times New Roman"/>
          <w:b/>
          <w:color w:val="000000" w:themeColor="text1"/>
          <w:sz w:val="20"/>
          <w:szCs w:val="20"/>
          <w:lang w:val="en-US"/>
        </w:rPr>
      </w:pPr>
      <w:r>
        <w:rPr>
          <w:rFonts w:ascii="Book Antiqua" w:eastAsia="宋体" w:hAnsi="Book Antiqua" w:cs="Times New Roman"/>
          <w:b/>
          <w:color w:val="000000" w:themeColor="text1"/>
          <w:sz w:val="20"/>
          <w:szCs w:val="20"/>
          <w:lang w:val="en-US"/>
        </w:rPr>
        <w:t xml:space="preserve">Manuscript Type: </w:t>
      </w:r>
      <w:r>
        <w:rPr>
          <w:rFonts w:ascii="Book Antiqua" w:eastAsia="宋体" w:hAnsi="Book Antiqua" w:cs="Times New Roman"/>
          <w:color w:val="000000" w:themeColor="text1"/>
          <w:sz w:val="20"/>
          <w:szCs w:val="20"/>
          <w:lang w:val="en-US"/>
        </w:rPr>
        <w:t>CASE REPORT</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p w:rsidR="00925A10" w:rsidRDefault="00FC5E1B">
      <w:pPr>
        <w:widowControl/>
        <w:snapToGrid w:val="0"/>
        <w:spacing w:line="360" w:lineRule="auto"/>
        <w:rPr>
          <w:rStyle w:val="fontstyle01"/>
          <w:rFonts w:ascii="Book Antiqua" w:eastAsia="宋体" w:hAnsi="Book Antiqua" w:cs="Times New Roman"/>
          <w:b/>
          <w:bCs/>
          <w:color w:val="000000" w:themeColor="text1"/>
          <w:lang w:val="en-US"/>
        </w:rPr>
      </w:pPr>
      <w:r>
        <w:rPr>
          <w:rStyle w:val="fontstyle01"/>
          <w:rFonts w:ascii="Book Antiqua" w:eastAsia="宋体" w:hAnsi="Book Antiqua" w:cs="Times New Roman"/>
          <w:b/>
          <w:bCs/>
          <w:color w:val="000000" w:themeColor="text1"/>
          <w:lang w:val="en-US"/>
        </w:rPr>
        <w:t xml:space="preserve">Microscopic removal of type </w:t>
      </w:r>
      <w:r>
        <w:rPr>
          <w:rFonts w:ascii="宋体" w:eastAsia="宋体" w:hAnsi="宋体" w:cs="宋体"/>
          <w:b/>
          <w:bCs/>
          <w:color w:val="000000" w:themeColor="text1"/>
          <w:kern w:val="0"/>
          <w:sz w:val="20"/>
          <w:szCs w:val="20"/>
          <w:shd w:val="clear" w:color="auto" w:fill="FFFFFF"/>
          <w:lang w:val="en-US"/>
        </w:rPr>
        <w:t>Ⅲ</w:t>
      </w:r>
      <w:r>
        <w:rPr>
          <w:rStyle w:val="fontstyle01"/>
          <w:rFonts w:ascii="Book Antiqua" w:eastAsia="宋体" w:hAnsi="Book Antiqua" w:cs="Times New Roman"/>
          <w:b/>
          <w:bCs/>
          <w:color w:val="000000" w:themeColor="text1"/>
          <w:lang w:val="en-US"/>
        </w:rPr>
        <w:t xml:space="preserve"> dens invaginatus and preparation of apical barrier with mineral trioxide aggregate in a maxillary lateral incisor: A case report and review of literature</w:t>
      </w:r>
    </w:p>
    <w:p w:rsidR="00925A10" w:rsidRDefault="00925A10">
      <w:pPr>
        <w:widowControl/>
        <w:snapToGrid w:val="0"/>
        <w:spacing w:line="360" w:lineRule="auto"/>
        <w:rPr>
          <w:rStyle w:val="fontstyle01"/>
          <w:rFonts w:ascii="Book Antiqua" w:eastAsia="宋体" w:hAnsi="Book Antiqua" w:cs="Times New Roman"/>
          <w:b/>
          <w:bCs/>
          <w:color w:val="000000" w:themeColor="text1"/>
          <w:lang w:val="en-US"/>
        </w:rPr>
      </w:pPr>
    </w:p>
    <w:p w:rsidR="00925A10" w:rsidRDefault="00FC5E1B">
      <w:pPr>
        <w:widowControl/>
        <w:snapToGrid w:val="0"/>
        <w:spacing w:line="360" w:lineRule="auto"/>
        <w:rPr>
          <w:rStyle w:val="fontstyle01"/>
          <w:rFonts w:ascii="Book Antiqua" w:eastAsia="宋体" w:hAnsi="Book Antiqua" w:cs="宋体"/>
          <w:color w:val="000000" w:themeColor="text1"/>
          <w:kern w:val="0"/>
          <w:lang w:val="en-US"/>
        </w:rPr>
      </w:pPr>
      <w:r>
        <w:rPr>
          <w:rStyle w:val="fontstyle01"/>
          <w:rFonts w:ascii="Book Antiqua" w:eastAsia="宋体" w:hAnsi="Book Antiqua" w:cs="Times New Roman"/>
          <w:color w:val="000000" w:themeColor="text1"/>
          <w:lang w:val="en-US"/>
        </w:rPr>
        <w:t xml:space="preserve">Liu J </w:t>
      </w:r>
      <w:r>
        <w:rPr>
          <w:rStyle w:val="fontstyle01"/>
          <w:rFonts w:ascii="Book Antiqua" w:eastAsia="宋体" w:hAnsi="Book Antiqua" w:cs="Times New Roman"/>
          <w:i/>
          <w:iCs/>
          <w:color w:val="000000" w:themeColor="text1"/>
          <w:lang w:val="en-US"/>
        </w:rPr>
        <w:t>et al.</w:t>
      </w:r>
      <w:r>
        <w:rPr>
          <w:rStyle w:val="fontstyle01"/>
          <w:rFonts w:ascii="Book Antiqua" w:eastAsia="宋体" w:hAnsi="Book Antiqua" w:cs="Times New Roman"/>
          <w:color w:val="000000" w:themeColor="text1"/>
          <w:lang w:val="en-US"/>
        </w:rPr>
        <w:t xml:space="preserve"> Microscopic removal of type </w:t>
      </w:r>
      <w:r>
        <w:rPr>
          <w:rFonts w:ascii="宋体" w:eastAsia="宋体" w:hAnsi="宋体" w:cs="宋体"/>
          <w:color w:val="000000" w:themeColor="text1"/>
          <w:kern w:val="0"/>
          <w:sz w:val="20"/>
          <w:szCs w:val="20"/>
          <w:shd w:val="clear" w:color="auto" w:fill="FFFFFF"/>
          <w:lang w:val="en-US"/>
        </w:rPr>
        <w:t>Ⅲ</w:t>
      </w:r>
      <w:r>
        <w:rPr>
          <w:rFonts w:ascii="Book Antiqua" w:eastAsia="宋体" w:hAnsi="Book Antiqua" w:cs="宋体"/>
          <w:color w:val="000000" w:themeColor="text1"/>
          <w:kern w:val="0"/>
          <w:sz w:val="20"/>
          <w:szCs w:val="20"/>
          <w:shd w:val="clear" w:color="auto" w:fill="FFFFFF"/>
          <w:lang w:val="en-US"/>
        </w:rPr>
        <w:t xml:space="preserve"> DI and</w:t>
      </w:r>
      <w:r>
        <w:rPr>
          <w:rStyle w:val="fontstyle01"/>
          <w:rFonts w:ascii="Book Antiqua" w:eastAsia="宋体" w:hAnsi="Book Antiqua" w:cs="Times New Roman"/>
          <w:color w:val="000000" w:themeColor="text1"/>
          <w:lang w:val="en-US"/>
        </w:rPr>
        <w:t xml:space="preserve"> preparation of apical barrier with MTA</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p w:rsidR="00925A10" w:rsidRDefault="00FC5E1B">
      <w:pPr>
        <w:snapToGrid w:val="0"/>
        <w:spacing w:line="360" w:lineRule="auto"/>
        <w:rPr>
          <w:rFonts w:ascii="Book Antiqua" w:eastAsia="等线" w:hAnsi="Book Antiqua"/>
          <w:color w:val="000000" w:themeColor="text1"/>
          <w:kern w:val="0"/>
          <w:sz w:val="20"/>
          <w:szCs w:val="20"/>
          <w:lang w:val="en-US"/>
        </w:rPr>
      </w:pPr>
      <w:r>
        <w:rPr>
          <w:rStyle w:val="fontstyle01"/>
          <w:rFonts w:ascii="Book Antiqua" w:eastAsia="宋体" w:hAnsi="Book Antiqua" w:cs="Times New Roman"/>
          <w:color w:val="000000" w:themeColor="text1"/>
          <w:lang w:val="en-US"/>
        </w:rPr>
        <w:t xml:space="preserve">Jie Liu, Yue-Rong Zhang, Fu-Yu Zhang, Guang-Dong Zhang, </w:t>
      </w:r>
      <w:r>
        <w:rPr>
          <w:rFonts w:ascii="Book Antiqua" w:eastAsia="等线" w:hAnsi="Book Antiqua"/>
          <w:color w:val="000000" w:themeColor="text1"/>
          <w:kern w:val="0"/>
          <w:sz w:val="20"/>
          <w:szCs w:val="20"/>
          <w:lang w:val="en-US"/>
        </w:rPr>
        <w:t>Hai Xu</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bookmarkEnd w:id="0"/>
    <w:bookmarkEnd w:id="1"/>
    <w:p w:rsidR="00925A10" w:rsidRDefault="00FC5E1B">
      <w:pPr>
        <w:snapToGrid w:val="0"/>
        <w:spacing w:line="360" w:lineRule="auto"/>
        <w:rPr>
          <w:rFonts w:ascii="Book Antiqua" w:eastAsia="等线" w:hAnsi="Book Antiqua"/>
          <w:color w:val="000000" w:themeColor="text1"/>
          <w:kern w:val="0"/>
          <w:sz w:val="20"/>
          <w:szCs w:val="20"/>
          <w:lang w:val="en-US"/>
        </w:rPr>
      </w:pPr>
      <w:r>
        <w:rPr>
          <w:rStyle w:val="fontstyle01"/>
          <w:rFonts w:ascii="Book Antiqua" w:eastAsia="宋体" w:hAnsi="Book Antiqua" w:cs="Times New Roman"/>
          <w:b/>
          <w:bCs/>
          <w:color w:val="000000" w:themeColor="text1"/>
          <w:lang w:val="en-US"/>
        </w:rPr>
        <w:t xml:space="preserve">Jie Liu, Yue-Rong Zhang, Fu-Yu Zhang, </w:t>
      </w:r>
      <w:bookmarkStart w:id="11" w:name="OLE_LINK9"/>
      <w:r>
        <w:rPr>
          <w:rStyle w:val="fontstyle01"/>
          <w:rFonts w:ascii="Book Antiqua" w:eastAsia="宋体" w:hAnsi="Book Antiqua" w:cs="Times New Roman"/>
          <w:b/>
          <w:bCs/>
          <w:color w:val="000000" w:themeColor="text1"/>
          <w:lang w:val="en-US"/>
        </w:rPr>
        <w:t>Guang-Dong Zhang,</w:t>
      </w:r>
      <w:bookmarkEnd w:id="11"/>
      <w:r>
        <w:rPr>
          <w:rStyle w:val="fontstyle01"/>
          <w:rFonts w:ascii="Book Antiqua" w:eastAsia="宋体" w:hAnsi="Book Antiqua" w:cs="Times New Roman"/>
          <w:b/>
          <w:bCs/>
          <w:color w:val="000000" w:themeColor="text1"/>
          <w:lang w:val="en-US"/>
        </w:rPr>
        <w:t xml:space="preserve"> </w:t>
      </w:r>
      <w:r>
        <w:rPr>
          <w:rFonts w:ascii="Book Antiqua" w:eastAsia="等线" w:hAnsi="Book Antiqua"/>
          <w:color w:val="000000" w:themeColor="text1"/>
          <w:kern w:val="0"/>
          <w:sz w:val="20"/>
          <w:szCs w:val="20"/>
          <w:lang w:val="en-US"/>
        </w:rPr>
        <w:t xml:space="preserve">Department of General Dentistry, Affiliated Hospital of Stomatology, Nanjing Medical University, </w:t>
      </w:r>
      <w:r>
        <w:rPr>
          <w:rFonts w:ascii="Book Antiqua" w:eastAsia="等线" w:hAnsi="Book Antiqua" w:cs="Times New Roman"/>
          <w:color w:val="000000" w:themeColor="text1"/>
          <w:sz w:val="20"/>
          <w:szCs w:val="20"/>
          <w:lang w:val="en-US"/>
        </w:rPr>
        <w:t xml:space="preserve">Nanjing 210029, Jiangsu </w:t>
      </w:r>
      <w:r>
        <w:rPr>
          <w:rFonts w:ascii="Book Antiqua" w:eastAsia="等线" w:hAnsi="Book Antiqua"/>
          <w:color w:val="000000" w:themeColor="text1"/>
          <w:kern w:val="0"/>
          <w:sz w:val="20"/>
          <w:szCs w:val="20"/>
          <w:lang w:val="en-US"/>
        </w:rPr>
        <w:t>Province</w:t>
      </w:r>
      <w:r>
        <w:rPr>
          <w:rFonts w:ascii="Book Antiqua" w:eastAsia="等线" w:hAnsi="Book Antiqua" w:cs="Times New Roman"/>
          <w:color w:val="000000" w:themeColor="text1"/>
          <w:sz w:val="20"/>
          <w:szCs w:val="20"/>
          <w:lang w:val="en-US"/>
        </w:rPr>
        <w:t>, China</w:t>
      </w:r>
    </w:p>
    <w:p w:rsidR="00925A10" w:rsidRDefault="00925A10">
      <w:pPr>
        <w:snapToGrid w:val="0"/>
        <w:spacing w:line="360" w:lineRule="auto"/>
        <w:rPr>
          <w:rFonts w:ascii="Book Antiqua" w:eastAsia="等线" w:hAnsi="Book Antiqua"/>
          <w:color w:val="000000" w:themeColor="text1"/>
          <w:kern w:val="0"/>
          <w:sz w:val="20"/>
          <w:szCs w:val="20"/>
          <w:lang w:val="en-US"/>
        </w:rPr>
      </w:pPr>
    </w:p>
    <w:p w:rsidR="00925A10" w:rsidRDefault="00FC5E1B">
      <w:pPr>
        <w:snapToGrid w:val="0"/>
        <w:spacing w:line="360" w:lineRule="auto"/>
        <w:rPr>
          <w:rFonts w:ascii="Book Antiqua" w:eastAsia="等线" w:hAnsi="Book Antiqua"/>
          <w:color w:val="000000" w:themeColor="text1"/>
          <w:kern w:val="0"/>
          <w:sz w:val="20"/>
          <w:szCs w:val="20"/>
          <w:lang w:val="en-US"/>
        </w:rPr>
      </w:pPr>
      <w:r>
        <w:rPr>
          <w:rStyle w:val="fontstyle01"/>
          <w:rFonts w:ascii="Book Antiqua" w:eastAsia="宋体" w:hAnsi="Book Antiqua" w:cs="Times New Roman"/>
          <w:b/>
          <w:bCs/>
          <w:color w:val="000000" w:themeColor="text1"/>
          <w:lang w:val="en-US"/>
        </w:rPr>
        <w:t xml:space="preserve">Jie Liu, Yue-Rong Zhang, Fu-Yu Zhang, Guang-Dong Zhang, </w:t>
      </w:r>
      <w:r>
        <w:rPr>
          <w:rFonts w:ascii="Book Antiqua" w:eastAsia="等线" w:hAnsi="Book Antiqua"/>
          <w:b/>
          <w:bCs/>
          <w:color w:val="000000" w:themeColor="text1"/>
          <w:kern w:val="0"/>
          <w:sz w:val="20"/>
          <w:szCs w:val="20"/>
          <w:lang w:val="en-US"/>
        </w:rPr>
        <w:t xml:space="preserve">Hai Xu, </w:t>
      </w:r>
      <w:r>
        <w:rPr>
          <w:rFonts w:ascii="Book Antiqua" w:eastAsia="等线" w:hAnsi="Book Antiqua"/>
          <w:color w:val="000000" w:themeColor="text1"/>
          <w:kern w:val="0"/>
          <w:sz w:val="20"/>
          <w:szCs w:val="20"/>
          <w:lang w:val="en-US"/>
        </w:rPr>
        <w:t xml:space="preserve">Jiangsu Key Laboratory of Oral Diseases, Nanjing Medical University, </w:t>
      </w:r>
      <w:r>
        <w:rPr>
          <w:rFonts w:ascii="Book Antiqua" w:eastAsia="等线" w:hAnsi="Book Antiqua" w:cs="Times New Roman"/>
          <w:color w:val="000000" w:themeColor="text1"/>
          <w:sz w:val="20"/>
          <w:szCs w:val="20"/>
          <w:lang w:val="en-US"/>
        </w:rPr>
        <w:t xml:space="preserve">Nanjing 210029, Jiangsu </w:t>
      </w:r>
      <w:r>
        <w:rPr>
          <w:rFonts w:ascii="Book Antiqua" w:eastAsia="等线" w:hAnsi="Book Antiqua"/>
          <w:color w:val="000000" w:themeColor="text1"/>
          <w:kern w:val="0"/>
          <w:sz w:val="20"/>
          <w:szCs w:val="20"/>
          <w:lang w:val="en-US"/>
        </w:rPr>
        <w:t>Province</w:t>
      </w:r>
      <w:r>
        <w:rPr>
          <w:rFonts w:ascii="Book Antiqua" w:eastAsia="等线" w:hAnsi="Book Antiqua" w:cs="Times New Roman"/>
          <w:color w:val="000000" w:themeColor="text1"/>
          <w:sz w:val="20"/>
          <w:szCs w:val="20"/>
          <w:lang w:val="en-US"/>
        </w:rPr>
        <w:t>, China</w:t>
      </w:r>
    </w:p>
    <w:p w:rsidR="00925A10" w:rsidRDefault="00925A10">
      <w:pPr>
        <w:snapToGrid w:val="0"/>
        <w:spacing w:line="360" w:lineRule="auto"/>
        <w:rPr>
          <w:rFonts w:ascii="Book Antiqua" w:eastAsia="等线" w:hAnsi="Book Antiqua"/>
          <w:color w:val="000000" w:themeColor="text1"/>
          <w:kern w:val="0"/>
          <w:sz w:val="20"/>
          <w:szCs w:val="20"/>
          <w:lang w:val="en-US"/>
        </w:rPr>
      </w:pPr>
    </w:p>
    <w:p w:rsidR="00925A10" w:rsidRDefault="00FC5E1B">
      <w:pPr>
        <w:snapToGrid w:val="0"/>
        <w:spacing w:line="360" w:lineRule="auto"/>
        <w:rPr>
          <w:rFonts w:ascii="Book Antiqua" w:eastAsia="等线" w:hAnsi="Book Antiqua"/>
          <w:color w:val="000000" w:themeColor="text1"/>
          <w:kern w:val="0"/>
          <w:sz w:val="20"/>
          <w:szCs w:val="20"/>
          <w:lang w:val="en-US"/>
        </w:rPr>
      </w:pPr>
      <w:r>
        <w:rPr>
          <w:rFonts w:ascii="Book Antiqua" w:eastAsia="等线" w:hAnsi="Book Antiqua"/>
          <w:b/>
          <w:bCs/>
          <w:color w:val="000000" w:themeColor="text1"/>
          <w:kern w:val="0"/>
          <w:sz w:val="20"/>
          <w:szCs w:val="20"/>
          <w:lang w:val="en-US"/>
        </w:rPr>
        <w:t xml:space="preserve">Hai Xu, </w:t>
      </w:r>
      <w:r>
        <w:rPr>
          <w:rFonts w:ascii="Book Antiqua" w:eastAsia="等线" w:hAnsi="Book Antiqua"/>
          <w:color w:val="000000" w:themeColor="text1"/>
          <w:kern w:val="0"/>
          <w:sz w:val="20"/>
          <w:szCs w:val="20"/>
          <w:lang w:val="en-US"/>
        </w:rPr>
        <w:t xml:space="preserve">Department of Conservative Dentistry and Endodontics, Affiliated Hospital of Stomatology, Nanjing Medical University, </w:t>
      </w:r>
      <w:r>
        <w:rPr>
          <w:rFonts w:ascii="Book Antiqua" w:eastAsia="等线" w:hAnsi="Book Antiqua" w:cs="Times New Roman"/>
          <w:color w:val="000000" w:themeColor="text1"/>
          <w:sz w:val="20"/>
          <w:szCs w:val="20"/>
          <w:lang w:val="en-US"/>
        </w:rPr>
        <w:t xml:space="preserve">Nanjing 210029, Jiangsu </w:t>
      </w:r>
      <w:r>
        <w:rPr>
          <w:rFonts w:ascii="Book Antiqua" w:eastAsia="等线" w:hAnsi="Book Antiqua"/>
          <w:color w:val="000000" w:themeColor="text1"/>
          <w:kern w:val="0"/>
          <w:sz w:val="20"/>
          <w:szCs w:val="20"/>
          <w:lang w:val="en-US"/>
        </w:rPr>
        <w:t>Province</w:t>
      </w:r>
      <w:r>
        <w:rPr>
          <w:rFonts w:ascii="Book Antiqua" w:eastAsia="等线" w:hAnsi="Book Antiqua" w:cs="Times New Roman"/>
          <w:color w:val="000000" w:themeColor="text1"/>
          <w:sz w:val="20"/>
          <w:szCs w:val="20"/>
          <w:lang w:val="en-US"/>
        </w:rPr>
        <w:t>, China</w:t>
      </w:r>
    </w:p>
    <w:p w:rsidR="00925A10" w:rsidRDefault="00925A10">
      <w:pPr>
        <w:snapToGrid w:val="0"/>
        <w:spacing w:line="360" w:lineRule="auto"/>
        <w:rPr>
          <w:rFonts w:ascii="Book Antiqua" w:eastAsia="等线" w:hAnsi="Book Antiqua"/>
          <w:color w:val="000000" w:themeColor="text1"/>
          <w:kern w:val="0"/>
          <w:sz w:val="20"/>
          <w:szCs w:val="20"/>
          <w:lang w:val="en-US"/>
        </w:rPr>
      </w:pPr>
    </w:p>
    <w:p w:rsidR="00925A10" w:rsidRDefault="00FC5E1B">
      <w:pPr>
        <w:snapToGrid w:val="0"/>
        <w:spacing w:line="360" w:lineRule="auto"/>
        <w:rPr>
          <w:rFonts w:ascii="Book Antiqua" w:eastAsia="等线" w:hAnsi="Book Antiqua"/>
          <w:color w:val="000000" w:themeColor="text1"/>
          <w:kern w:val="0"/>
          <w:sz w:val="20"/>
          <w:szCs w:val="20"/>
          <w:lang w:val="en-US"/>
        </w:rPr>
      </w:pPr>
      <w:r>
        <w:rPr>
          <w:rFonts w:ascii="Book Antiqua" w:hAnsi="Book Antiqua"/>
          <w:b/>
          <w:color w:val="000000" w:themeColor="text1"/>
          <w:sz w:val="20"/>
          <w:szCs w:val="20"/>
          <w:lang w:val="en-US"/>
        </w:rPr>
        <w:t xml:space="preserve">Author contributions: </w:t>
      </w:r>
      <w:r>
        <w:rPr>
          <w:rFonts w:ascii="Book Antiqua" w:eastAsia="等线" w:hAnsi="Book Antiqua"/>
          <w:color w:val="000000" w:themeColor="text1"/>
          <w:kern w:val="0"/>
          <w:sz w:val="20"/>
          <w:szCs w:val="20"/>
          <w:lang w:val="en-US"/>
        </w:rPr>
        <w:t>Xu H designed the treatment plan and treated the patient; Liu J, Zhang YR, Zhang FY, and Zhang GD reviewed the literature and drafted the manuscript.</w:t>
      </w:r>
    </w:p>
    <w:p w:rsidR="00925A10" w:rsidRDefault="00925A10">
      <w:pPr>
        <w:snapToGrid w:val="0"/>
        <w:spacing w:line="360" w:lineRule="auto"/>
        <w:rPr>
          <w:rFonts w:ascii="Book Antiqua" w:eastAsia="等线" w:hAnsi="Book Antiqua"/>
          <w:color w:val="000000" w:themeColor="text1"/>
          <w:kern w:val="0"/>
          <w:sz w:val="20"/>
          <w:szCs w:val="20"/>
          <w:lang w:val="en-US"/>
        </w:rPr>
      </w:pPr>
    </w:p>
    <w:p w:rsidR="00925A10" w:rsidRDefault="00FC5E1B">
      <w:pPr>
        <w:adjustRightInd w:val="0"/>
        <w:snapToGrid w:val="0"/>
        <w:spacing w:line="360" w:lineRule="auto"/>
        <w:rPr>
          <w:rFonts w:ascii="Book Antiqua" w:hAnsi="Book Antiqua" w:cstheme="minorHAnsi"/>
          <w:color w:val="000000" w:themeColor="text1"/>
          <w:sz w:val="20"/>
          <w:szCs w:val="20"/>
          <w:lang w:val="en-US"/>
        </w:rPr>
      </w:pPr>
      <w:r>
        <w:rPr>
          <w:rFonts w:ascii="Book Antiqua" w:hAnsi="Book Antiqua" w:cstheme="minorHAnsi"/>
          <w:b/>
          <w:color w:val="000000" w:themeColor="text1"/>
          <w:sz w:val="20"/>
          <w:szCs w:val="20"/>
          <w:lang w:val="en-US"/>
        </w:rPr>
        <w:t>Supported by</w:t>
      </w:r>
      <w:r>
        <w:rPr>
          <w:rFonts w:ascii="Book Antiqua" w:hAnsi="Book Antiqua" w:cstheme="minorHAnsi"/>
          <w:color w:val="000000" w:themeColor="text1"/>
          <w:sz w:val="20"/>
          <w:szCs w:val="20"/>
          <w:lang w:val="en-US"/>
        </w:rPr>
        <w:t xml:space="preserve"> </w:t>
      </w:r>
      <w:r>
        <w:rPr>
          <w:rFonts w:ascii="Book Antiqua" w:hAnsi="Book Antiqua"/>
          <w:bCs/>
          <w:color w:val="000000" w:themeColor="text1"/>
          <w:sz w:val="20"/>
          <w:szCs w:val="20"/>
          <w:lang w:val="en-US"/>
        </w:rPr>
        <w:t>the Priority Academic Program Development of Jiangsu Higher Education Institutions, No. PAPD2018-87</w:t>
      </w:r>
    </w:p>
    <w:p w:rsidR="00925A10" w:rsidRDefault="00925A10">
      <w:pPr>
        <w:snapToGrid w:val="0"/>
        <w:spacing w:line="360" w:lineRule="auto"/>
        <w:rPr>
          <w:rFonts w:ascii="Book Antiqua" w:eastAsia="等线" w:hAnsi="Book Antiqua"/>
          <w:color w:val="000000" w:themeColor="text1"/>
          <w:kern w:val="0"/>
          <w:sz w:val="20"/>
          <w:szCs w:val="20"/>
          <w:lang w:val="en-US"/>
        </w:rPr>
      </w:pPr>
    </w:p>
    <w:p w:rsidR="00925A10" w:rsidRDefault="00FC5E1B">
      <w:pPr>
        <w:snapToGrid w:val="0"/>
        <w:spacing w:line="360" w:lineRule="auto"/>
        <w:rPr>
          <w:rFonts w:ascii="Book Antiqua" w:eastAsia="等线" w:hAnsi="Book Antiqua" w:cs="Times New Roman"/>
          <w:color w:val="000000" w:themeColor="text1"/>
          <w:sz w:val="20"/>
          <w:szCs w:val="20"/>
          <w:lang w:val="en-US"/>
        </w:rPr>
      </w:pPr>
      <w:r>
        <w:rPr>
          <w:rFonts w:ascii="Book Antiqua" w:hAnsi="Book Antiqua" w:cstheme="minorHAnsi"/>
          <w:b/>
          <w:color w:val="000000" w:themeColor="text1"/>
          <w:sz w:val="20"/>
          <w:szCs w:val="20"/>
          <w:lang w:val="en-US"/>
        </w:rPr>
        <w:t xml:space="preserve">Corresponding author: </w:t>
      </w:r>
      <w:r>
        <w:rPr>
          <w:rFonts w:ascii="Book Antiqua" w:eastAsia="等线" w:hAnsi="Book Antiqua" w:cs="Times New Roman"/>
          <w:b/>
          <w:bCs/>
          <w:color w:val="000000" w:themeColor="text1"/>
          <w:kern w:val="0"/>
          <w:sz w:val="20"/>
          <w:szCs w:val="20"/>
          <w:lang w:val="en-US"/>
        </w:rPr>
        <w:t xml:space="preserve">Hai Xu, </w:t>
      </w:r>
      <w:r>
        <w:rPr>
          <w:rFonts w:ascii="Book Antiqua" w:eastAsia="等线" w:hAnsi="Book Antiqua" w:cs="Times New Roman"/>
          <w:b/>
          <w:bCs/>
          <w:color w:val="000000" w:themeColor="text1"/>
          <w:sz w:val="20"/>
          <w:szCs w:val="20"/>
          <w:lang w:val="en-US"/>
        </w:rPr>
        <w:t xml:space="preserve"> PhD, </w:t>
      </w:r>
      <w:r>
        <w:rPr>
          <w:rFonts w:ascii="Book Antiqua" w:eastAsia="等线" w:hAnsi="Book Antiqua" w:cs="Times New Roman" w:hint="eastAsia"/>
          <w:b/>
          <w:bCs/>
          <w:color w:val="000000" w:themeColor="text1"/>
          <w:sz w:val="20"/>
          <w:szCs w:val="20"/>
          <w:lang w:val="en-US"/>
        </w:rPr>
        <w:t xml:space="preserve">Associate Chief Physician </w:t>
      </w:r>
      <w:r>
        <w:rPr>
          <w:rFonts w:ascii="Book Antiqua" w:eastAsia="等线" w:hAnsi="Book Antiqua" w:cs="Times New Roman"/>
          <w:b/>
          <w:bCs/>
          <w:color w:val="000000" w:themeColor="text1"/>
          <w:sz w:val="20"/>
          <w:szCs w:val="20"/>
          <w:lang w:val="en-US"/>
        </w:rPr>
        <w:t>,</w:t>
      </w:r>
      <w:r>
        <w:rPr>
          <w:rFonts w:ascii="Book Antiqua" w:eastAsia="等线" w:hAnsi="Book Antiqua" w:cs="Times New Roman"/>
          <w:color w:val="000000" w:themeColor="text1"/>
          <w:sz w:val="20"/>
          <w:szCs w:val="20"/>
          <w:lang w:val="en-US"/>
        </w:rPr>
        <w:t xml:space="preserve"> </w:t>
      </w:r>
      <w:r>
        <w:rPr>
          <w:rFonts w:ascii="Book Antiqua" w:eastAsia="等线" w:hAnsi="Book Antiqua"/>
          <w:color w:val="000000" w:themeColor="text1"/>
          <w:kern w:val="0"/>
          <w:sz w:val="20"/>
          <w:szCs w:val="20"/>
          <w:lang w:val="en-US"/>
        </w:rPr>
        <w:t xml:space="preserve">Department of Conservative Dentistry and Endodontics, Affiliated Hospital of Stomatology, Nanjing Medical University, </w:t>
      </w:r>
      <w:r>
        <w:rPr>
          <w:rFonts w:ascii="Book Antiqua" w:eastAsia="等线" w:hAnsi="Book Antiqua" w:cs="Times New Roman"/>
          <w:color w:val="000000" w:themeColor="text1"/>
          <w:sz w:val="20"/>
          <w:szCs w:val="20"/>
          <w:lang w:val="en-US"/>
        </w:rPr>
        <w:t>Han-Zhong Road 136</w:t>
      </w:r>
      <w:r>
        <w:rPr>
          <w:rFonts w:ascii="Book Antiqua" w:eastAsia="等线" w:hAnsi="Book Antiqua" w:cs="Times New Roman"/>
          <w:color w:val="000000" w:themeColor="text1"/>
          <w:sz w:val="20"/>
          <w:szCs w:val="20"/>
          <w:vertAlign w:val="superscript"/>
          <w:lang w:val="en-US"/>
        </w:rPr>
        <w:t>th</w:t>
      </w:r>
      <w:r>
        <w:rPr>
          <w:rFonts w:ascii="Book Antiqua" w:eastAsia="等线" w:hAnsi="Book Antiqua" w:cs="Times New Roman"/>
          <w:color w:val="000000" w:themeColor="text1"/>
          <w:sz w:val="20"/>
          <w:szCs w:val="20"/>
          <w:lang w:val="en-US"/>
        </w:rPr>
        <w:t xml:space="preserve">, Nanjing 210029, Jiangsu </w:t>
      </w:r>
      <w:r>
        <w:rPr>
          <w:rFonts w:ascii="Book Antiqua" w:eastAsia="等线" w:hAnsi="Book Antiqua"/>
          <w:color w:val="000000" w:themeColor="text1"/>
          <w:kern w:val="0"/>
          <w:sz w:val="20"/>
          <w:szCs w:val="20"/>
          <w:lang w:val="en-US"/>
        </w:rPr>
        <w:t>Province</w:t>
      </w:r>
      <w:r>
        <w:rPr>
          <w:rFonts w:ascii="Book Antiqua" w:eastAsia="等线" w:hAnsi="Book Antiqua" w:cs="Times New Roman"/>
          <w:color w:val="000000" w:themeColor="text1"/>
          <w:sz w:val="20"/>
          <w:szCs w:val="20"/>
          <w:lang w:val="en-US"/>
        </w:rPr>
        <w:t xml:space="preserve">, China. </w:t>
      </w:r>
      <w:hyperlink r:id="rId9" w:history="1">
        <w:r>
          <w:rPr>
            <w:rFonts w:ascii="Book Antiqua" w:hAnsi="Book Antiqua" w:cs="Times New Roman"/>
            <w:color w:val="000000" w:themeColor="text1"/>
            <w:sz w:val="20"/>
            <w:szCs w:val="20"/>
            <w:lang w:val="en-US"/>
          </w:rPr>
          <w:t>xh1982@njmu.edu.cn</w:t>
        </w:r>
      </w:hyperlink>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 xml:space="preserve">Received: </w:t>
      </w:r>
      <w:r>
        <w:rPr>
          <w:rFonts w:ascii="Book Antiqua" w:hAnsi="Book Antiqua"/>
          <w:color w:val="000000" w:themeColor="text1"/>
          <w:sz w:val="20"/>
          <w:szCs w:val="20"/>
          <w:lang w:val="en-US"/>
        </w:rPr>
        <w:t>November 26, 2019</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 xml:space="preserve">Revised: </w:t>
      </w:r>
      <w:r>
        <w:rPr>
          <w:rFonts w:ascii="Book Antiqua" w:hAnsi="Book Antiqua"/>
          <w:color w:val="000000" w:themeColor="text1"/>
          <w:sz w:val="20"/>
          <w:szCs w:val="20"/>
          <w:lang w:val="en-US"/>
        </w:rPr>
        <w:t>February 1, 2020</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Accepted:</w:t>
      </w:r>
      <w:r>
        <w:rPr>
          <w:sz w:val="20"/>
          <w:szCs w:val="20"/>
          <w:lang w:val="en-US"/>
        </w:rPr>
        <w:t xml:space="preserve"> </w:t>
      </w:r>
      <w:r>
        <w:rPr>
          <w:rFonts w:ascii="Book Antiqua" w:hAnsi="Book Antiqua"/>
          <w:bCs/>
          <w:color w:val="000000" w:themeColor="text1"/>
          <w:sz w:val="20"/>
          <w:szCs w:val="20"/>
          <w:lang w:val="en-US"/>
        </w:rPr>
        <w:t>February 28, 2020</w:t>
      </w:r>
      <w:r>
        <w:rPr>
          <w:rFonts w:ascii="Book Antiqua" w:hAnsi="Book Antiqua"/>
          <w:color w:val="000000" w:themeColor="text1"/>
          <w:sz w:val="20"/>
          <w:szCs w:val="20"/>
          <w:lang w:val="en-US"/>
        </w:rPr>
        <w:t xml:space="preserve"> </w:t>
      </w:r>
    </w:p>
    <w:p w:rsidR="00FF1F12" w:rsidRDefault="00FC5E1B" w:rsidP="00FF1F12">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lastRenderedPageBreak/>
        <w:t xml:space="preserve">Published online: </w:t>
      </w:r>
      <w:r w:rsidR="00FF1F12">
        <w:rPr>
          <w:rFonts w:ascii="Book Antiqua" w:eastAsia="宋体" w:hAnsi="Book Antiqua" w:hint="eastAsia"/>
          <w:bCs/>
          <w:color w:val="000000"/>
        </w:rPr>
        <w:t>March</w:t>
      </w:r>
      <w:r w:rsidR="00FF1F12" w:rsidRPr="00A914E2">
        <w:rPr>
          <w:rFonts w:ascii="Book Antiqua" w:eastAsia="宋体" w:hAnsi="Book Antiqua" w:hint="eastAsia"/>
          <w:bCs/>
          <w:color w:val="000000"/>
        </w:rPr>
        <w:t xml:space="preserve"> </w:t>
      </w:r>
      <w:r w:rsidR="00FF1F12">
        <w:rPr>
          <w:rFonts w:ascii="Book Antiqua" w:hAnsi="Book Antiqua" w:hint="eastAsia"/>
          <w:bCs/>
          <w:color w:val="000000"/>
        </w:rPr>
        <w:t>26</w:t>
      </w:r>
      <w:r w:rsidR="00FF1F12" w:rsidRPr="00A914E2">
        <w:rPr>
          <w:rFonts w:ascii="Book Antiqua" w:eastAsia="宋体" w:hAnsi="Book Antiqua" w:hint="eastAsia"/>
          <w:bCs/>
          <w:color w:val="000000"/>
        </w:rPr>
        <w:t>, 2020</w:t>
      </w:r>
    </w:p>
    <w:p w:rsidR="00925A10" w:rsidRDefault="00925A10">
      <w:pPr>
        <w:snapToGrid w:val="0"/>
        <w:spacing w:line="360" w:lineRule="auto"/>
        <w:rPr>
          <w:rFonts w:ascii="Book Antiqua" w:hAnsi="Book Antiqua"/>
          <w:b/>
          <w:color w:val="000000" w:themeColor="text1"/>
          <w:sz w:val="20"/>
          <w:szCs w:val="20"/>
          <w:lang w:val="en-US"/>
        </w:rPr>
      </w:pPr>
    </w:p>
    <w:p w:rsidR="00925A10" w:rsidRDefault="00FC5E1B">
      <w:pPr>
        <w:widowControl/>
        <w:snapToGrid w:val="0"/>
        <w:spacing w:line="360" w:lineRule="auto"/>
        <w:rPr>
          <w:rFonts w:ascii="Book Antiqua" w:eastAsia="宋体" w:hAnsi="Book Antiqua" w:cs="Times New Roman"/>
          <w:b/>
          <w:bCs/>
          <w:color w:val="000000" w:themeColor="text1"/>
          <w:sz w:val="20"/>
          <w:szCs w:val="20"/>
          <w:lang w:val="en-US"/>
        </w:rPr>
      </w:pPr>
      <w:r>
        <w:rPr>
          <w:rFonts w:ascii="Book Antiqua" w:eastAsia="宋体" w:hAnsi="Book Antiqua" w:cs="Times New Roman"/>
          <w:b/>
          <w:bCs/>
          <w:color w:val="000000" w:themeColor="text1"/>
          <w:sz w:val="20"/>
          <w:szCs w:val="20"/>
          <w:lang w:val="en-US"/>
        </w:rPr>
        <w:br w:type="page"/>
      </w:r>
    </w:p>
    <w:p w:rsidR="00925A10" w:rsidRDefault="00FC5E1B">
      <w:pPr>
        <w:snapToGrid w:val="0"/>
        <w:spacing w:line="360" w:lineRule="auto"/>
        <w:rPr>
          <w:rFonts w:ascii="Book Antiqua" w:eastAsia="宋体" w:hAnsi="Book Antiqua" w:cs="Times New Roman"/>
          <w:b/>
          <w:bCs/>
          <w:color w:val="000000" w:themeColor="text1"/>
          <w:sz w:val="20"/>
          <w:szCs w:val="20"/>
          <w:lang w:val="en-US"/>
        </w:rPr>
      </w:pPr>
      <w:r>
        <w:rPr>
          <w:rFonts w:ascii="Book Antiqua" w:eastAsia="宋体" w:hAnsi="Book Antiqua" w:cs="Times New Roman"/>
          <w:b/>
          <w:bCs/>
          <w:color w:val="000000" w:themeColor="text1"/>
          <w:sz w:val="20"/>
          <w:szCs w:val="20"/>
          <w:lang w:val="en-US"/>
        </w:rPr>
        <w:t>Abstract</w:t>
      </w:r>
    </w:p>
    <w:p w:rsidR="00925A10" w:rsidRDefault="00FC5E1B">
      <w:pPr>
        <w:snapToGrid w:val="0"/>
        <w:spacing w:line="360" w:lineRule="auto"/>
        <w:rPr>
          <w:rFonts w:ascii="Book Antiqua" w:eastAsia="宋体" w:hAnsi="Book Antiqua" w:cs="Times New Roman"/>
          <w:color w:val="000000" w:themeColor="text1"/>
          <w:sz w:val="20"/>
          <w:szCs w:val="20"/>
          <w:lang w:val="en-US"/>
        </w:rPr>
      </w:pPr>
      <w:bookmarkStart w:id="12" w:name="OLE_LINK47"/>
      <w:r>
        <w:rPr>
          <w:rFonts w:ascii="Book Antiqua" w:eastAsia="宋体" w:hAnsi="Book Antiqua" w:cs="Times New Roman"/>
          <w:color w:val="000000" w:themeColor="text1"/>
          <w:sz w:val="20"/>
          <w:szCs w:val="20"/>
          <w:lang w:val="en-US"/>
        </w:rPr>
        <w:t>BACKGROUND</w:t>
      </w: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 xml:space="preserve">Invaginated teeth pose greater challenges in clinical management because of their complex configuration. With advancements in equipment and materials, such as the dental operation microscope, cone-beam computed tomography and </w:t>
      </w:r>
      <w:bookmarkStart w:id="13" w:name="OLE_LINK41"/>
      <w:r>
        <w:rPr>
          <w:rFonts w:ascii="Book Antiqua" w:eastAsia="宋体" w:hAnsi="Book Antiqua" w:cs="Times New Roman"/>
          <w:color w:val="000000" w:themeColor="text1"/>
          <w:sz w:val="20"/>
          <w:szCs w:val="20"/>
          <w:lang w:val="en-US"/>
        </w:rPr>
        <w:t>mineral trioxide aggregate</w:t>
      </w:r>
      <w:bookmarkEnd w:id="13"/>
      <w:r>
        <w:rPr>
          <w:rFonts w:ascii="Book Antiqua" w:eastAsia="宋体" w:hAnsi="Book Antiqua" w:cs="Times New Roman"/>
          <w:color w:val="000000" w:themeColor="text1"/>
          <w:sz w:val="20"/>
          <w:szCs w:val="20"/>
          <w:lang w:val="en-US"/>
        </w:rPr>
        <w:t>, the preservation rate of type III dens invaginatus could be greatly increased.</w:t>
      </w:r>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CASE SUMMARY</w:t>
      </w:r>
    </w:p>
    <w:p w:rsidR="00925A10" w:rsidRDefault="00FC5E1B">
      <w:pPr>
        <w:widowControl/>
        <w:snapToGrid w:val="0"/>
        <w:spacing w:line="360" w:lineRule="auto"/>
        <w:rPr>
          <w:rFonts w:ascii="Book Antiqua" w:eastAsia="宋体" w:hAnsi="Book Antiqua" w:cs="宋体"/>
          <w:color w:val="000000" w:themeColor="text1"/>
          <w:kern w:val="0"/>
          <w:sz w:val="20"/>
          <w:szCs w:val="20"/>
          <w:lang w:val="en-US"/>
        </w:rPr>
      </w:pPr>
      <w:r>
        <w:rPr>
          <w:rFonts w:ascii="Book Antiqua" w:eastAsia="宋体" w:hAnsi="Book Antiqua" w:cs="Times New Roman"/>
          <w:color w:val="000000" w:themeColor="text1"/>
          <w:sz w:val="20"/>
          <w:szCs w:val="20"/>
          <w:lang w:val="en-US"/>
        </w:rPr>
        <w:t xml:space="preserve">This case report presented a 31-year-old woman </w:t>
      </w:r>
      <w:r>
        <w:rPr>
          <w:rFonts w:ascii="Book Antiqua" w:hAnsi="Book Antiqua" w:cs="Times New Roman"/>
          <w:color w:val="000000" w:themeColor="text1"/>
          <w:sz w:val="20"/>
          <w:szCs w:val="20"/>
          <w:lang w:val="en-US"/>
        </w:rPr>
        <w:t>with complaints of spontaneous swelling and pain</w:t>
      </w:r>
      <w:r>
        <w:rPr>
          <w:rFonts w:ascii="Book Antiqua" w:eastAsia="宋体" w:hAnsi="Book Antiqua" w:cs="Times New Roman"/>
          <w:color w:val="000000" w:themeColor="text1"/>
          <w:sz w:val="20"/>
          <w:szCs w:val="20"/>
          <w:lang w:val="en-US"/>
        </w:rPr>
        <w:t xml:space="preserve"> in the right maxillary lateral tooth. With the aid of cone-beam computed tomography, type III dens invaginatus with apical periodontitis was diagnosed and confirmed. Three-visit endodontic treatment was performed. In the first visit, the invagination was carefully removed under the dental operation microscope, and chemomechanical preparation was done.</w:t>
      </w:r>
      <w:r>
        <w:rPr>
          <w:rFonts w:ascii="Book Antiqua"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In the second visit, mineral trioxide aggregate apical barrier surgery was performed in this tooth. In the third visit, the canal was finally obturated with thermoplastic gutta-percha</w:t>
      </w:r>
      <w:r>
        <w:rPr>
          <w:rFonts w:ascii="Book Antiqua" w:hAnsi="Book Antiqua" w:cs="Times New Roman"/>
          <w:color w:val="000000" w:themeColor="text1"/>
          <w:sz w:val="20"/>
          <w:szCs w:val="20"/>
          <w:lang w:val="en-US"/>
        </w:rPr>
        <w:t xml:space="preserve"> to recover the crown morphology. A </w:t>
      </w:r>
      <w:r>
        <w:rPr>
          <w:rFonts w:ascii="Book Antiqua" w:eastAsia="宋体" w:hAnsi="Book Antiqua" w:cs="Times New Roman"/>
          <w:color w:val="000000" w:themeColor="text1"/>
          <w:sz w:val="20"/>
          <w:szCs w:val="20"/>
          <w:lang w:val="en-US"/>
        </w:rPr>
        <w:t>26-mo follow-up revealed a satisfied outcome both in the radiographic and oral examinations.</w:t>
      </w:r>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CONCLUSION</w:t>
      </w: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In this case, removal of the entire abnormal structure provided great convenience for the follow-up treatment. When confronted with the same clinical case in the future, we can take a similar approach to address it.</w:t>
      </w:r>
      <w:bookmarkEnd w:id="2"/>
      <w:bookmarkEnd w:id="3"/>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hAnsi="Book Antiqua" w:cs="Times New Roman"/>
          <w:b/>
          <w:bCs/>
          <w:color w:val="000000" w:themeColor="text1"/>
          <w:sz w:val="20"/>
          <w:szCs w:val="20"/>
          <w:lang w:val="en-US"/>
        </w:rPr>
        <w:t>Key words:</w:t>
      </w:r>
      <w:r>
        <w:rPr>
          <w:rFonts w:ascii="Book Antiqua" w:eastAsia="宋体" w:hAnsi="Book Antiqua" w:cs="Times New Roman"/>
          <w:color w:val="000000" w:themeColor="text1"/>
          <w:sz w:val="20"/>
          <w:szCs w:val="20"/>
          <w:lang w:val="en-US"/>
        </w:rPr>
        <w:t xml:space="preserve"> Type III dens invaginatus; Mineral trioxide aggregate; Apical barrier; Cone-beam computed tomography; Dental operation microscope; Case report</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bookmarkStart w:id="14" w:name="OLE_LINK46"/>
      <w:bookmarkStart w:id="15" w:name="OLE_LINK45"/>
      <w:bookmarkEnd w:id="12"/>
    </w:p>
    <w:p w:rsidR="00E33754" w:rsidRDefault="00E33754">
      <w:pPr>
        <w:adjustRightInd w:val="0"/>
        <w:snapToGrid w:val="0"/>
        <w:spacing w:line="360" w:lineRule="auto"/>
        <w:rPr>
          <w:rFonts w:ascii="Book Antiqua" w:hAnsi="Book Antiqua" w:hint="eastAsia"/>
          <w:iCs/>
          <w:color w:val="000000" w:themeColor="text1"/>
          <w:sz w:val="20"/>
          <w:szCs w:val="20"/>
          <w:lang w:val="en-US"/>
        </w:rPr>
      </w:pPr>
      <w:r w:rsidRPr="00E33754">
        <w:rPr>
          <w:rStyle w:val="fontstyle01"/>
          <w:rFonts w:ascii="Book Antiqua" w:eastAsia="宋体" w:hAnsi="Book Antiqua" w:cs="Times New Roman" w:hint="eastAsia"/>
          <w:b/>
          <w:color w:val="000000" w:themeColor="text1"/>
          <w:lang w:val="en-US"/>
        </w:rPr>
        <w:t xml:space="preserve">Citation: </w:t>
      </w:r>
      <w:r w:rsidR="00FC5E1B">
        <w:rPr>
          <w:rStyle w:val="fontstyle01"/>
          <w:rFonts w:ascii="Book Antiqua" w:eastAsia="宋体" w:hAnsi="Book Antiqua" w:cs="Times New Roman"/>
          <w:color w:val="000000" w:themeColor="text1"/>
          <w:lang w:val="en-US"/>
        </w:rPr>
        <w:t xml:space="preserve">Liu J, Zhang YR, Zhang FY, Zhang GD, </w:t>
      </w:r>
      <w:r w:rsidR="00FC5E1B">
        <w:rPr>
          <w:rFonts w:ascii="Book Antiqua" w:eastAsia="等线" w:hAnsi="Book Antiqua"/>
          <w:color w:val="000000" w:themeColor="text1"/>
          <w:kern w:val="0"/>
          <w:sz w:val="20"/>
          <w:szCs w:val="20"/>
          <w:lang w:val="en-US"/>
        </w:rPr>
        <w:t xml:space="preserve">Xu H. </w:t>
      </w:r>
      <w:r w:rsidR="00FC5E1B">
        <w:rPr>
          <w:rStyle w:val="fontstyle01"/>
          <w:rFonts w:ascii="Book Antiqua" w:eastAsia="宋体" w:hAnsi="Book Antiqua" w:cs="Times New Roman"/>
          <w:color w:val="000000" w:themeColor="text1"/>
          <w:lang w:val="en-US"/>
        </w:rPr>
        <w:t xml:space="preserve">Microscopic removal of type </w:t>
      </w:r>
      <w:r w:rsidR="00FC5E1B">
        <w:rPr>
          <w:rFonts w:ascii="宋体" w:eastAsia="宋体" w:hAnsi="宋体" w:cs="宋体"/>
          <w:color w:val="000000" w:themeColor="text1"/>
          <w:kern w:val="0"/>
          <w:sz w:val="20"/>
          <w:szCs w:val="20"/>
          <w:shd w:val="clear" w:color="auto" w:fill="FFFFFF"/>
          <w:lang w:val="en-US"/>
        </w:rPr>
        <w:t>Ⅲ</w:t>
      </w:r>
      <w:r w:rsidR="00FC5E1B">
        <w:rPr>
          <w:rStyle w:val="fontstyle01"/>
          <w:rFonts w:ascii="Book Antiqua" w:eastAsia="宋体" w:hAnsi="Book Antiqua" w:cs="Times New Roman"/>
          <w:color w:val="000000" w:themeColor="text1"/>
          <w:lang w:val="en-US"/>
        </w:rPr>
        <w:t xml:space="preserve"> dens invaginatus and preparation of apical barrier with mineral trioxide aggregate in a maxillary lateral incisor: A case report and review of literature.</w:t>
      </w:r>
      <w:r w:rsidR="00FC5E1B">
        <w:rPr>
          <w:rStyle w:val="fontstyle01"/>
          <w:rFonts w:ascii="Book Antiqua" w:eastAsia="宋体" w:hAnsi="Book Antiqua" w:cs="Times New Roman"/>
          <w:b/>
          <w:bCs/>
          <w:color w:val="000000" w:themeColor="text1"/>
          <w:lang w:val="en-US"/>
        </w:rPr>
        <w:t xml:space="preserve"> </w:t>
      </w:r>
      <w:r w:rsidR="00FC5E1B">
        <w:rPr>
          <w:rFonts w:ascii="Book Antiqua" w:hAnsi="Book Antiqua"/>
          <w:i/>
          <w:iCs/>
          <w:color w:val="000000" w:themeColor="text1"/>
          <w:sz w:val="20"/>
          <w:szCs w:val="20"/>
          <w:lang w:val="en-US"/>
        </w:rPr>
        <w:t xml:space="preserve">World J Clin Cases </w:t>
      </w:r>
      <w:r w:rsidRPr="00E33754">
        <w:rPr>
          <w:rFonts w:ascii="Book Antiqua" w:hAnsi="Book Antiqua"/>
          <w:iCs/>
          <w:color w:val="000000" w:themeColor="text1"/>
          <w:sz w:val="20"/>
          <w:szCs w:val="20"/>
          <w:lang w:val="en-US"/>
        </w:rPr>
        <w:t xml:space="preserve">2020; 8(6): 1150-1157 </w:t>
      </w:r>
    </w:p>
    <w:p w:rsidR="00E33754" w:rsidRDefault="00E33754">
      <w:pPr>
        <w:adjustRightInd w:val="0"/>
        <w:snapToGrid w:val="0"/>
        <w:spacing w:line="360" w:lineRule="auto"/>
        <w:rPr>
          <w:rFonts w:ascii="Book Antiqua" w:hAnsi="Book Antiqua" w:hint="eastAsia"/>
          <w:iCs/>
          <w:color w:val="000000" w:themeColor="text1"/>
          <w:sz w:val="20"/>
          <w:szCs w:val="20"/>
          <w:lang w:val="en-US"/>
        </w:rPr>
      </w:pPr>
      <w:r w:rsidRPr="00E33754">
        <w:rPr>
          <w:rFonts w:ascii="Book Antiqua" w:hAnsi="Book Antiqua"/>
          <w:b/>
          <w:iCs/>
          <w:color w:val="000000" w:themeColor="text1"/>
          <w:sz w:val="20"/>
          <w:szCs w:val="20"/>
          <w:lang w:val="en-US"/>
        </w:rPr>
        <w:t xml:space="preserve">URL: </w:t>
      </w:r>
      <w:r w:rsidRPr="00E33754">
        <w:rPr>
          <w:rFonts w:ascii="Book Antiqua" w:hAnsi="Book Antiqua"/>
          <w:iCs/>
          <w:color w:val="000000" w:themeColor="text1"/>
          <w:sz w:val="20"/>
          <w:szCs w:val="20"/>
          <w:lang w:val="en-US"/>
        </w:rPr>
        <w:t xml:space="preserve">https://www.wjgnet.com/2307-8960/full/v8/i6/1150.htm </w:t>
      </w:r>
    </w:p>
    <w:p w:rsidR="00925A10" w:rsidRDefault="00E33754">
      <w:pPr>
        <w:adjustRightInd w:val="0"/>
        <w:snapToGrid w:val="0"/>
        <w:spacing w:line="360" w:lineRule="auto"/>
        <w:rPr>
          <w:rFonts w:ascii="Book Antiqua" w:hAnsi="Book Antiqua"/>
          <w:bCs/>
          <w:color w:val="000000" w:themeColor="text1"/>
          <w:sz w:val="20"/>
          <w:szCs w:val="20"/>
          <w:lang w:val="en-US"/>
        </w:rPr>
      </w:pPr>
      <w:r w:rsidRPr="00E33754">
        <w:rPr>
          <w:rFonts w:ascii="Book Antiqua" w:hAnsi="Book Antiqua"/>
          <w:b/>
          <w:iCs/>
          <w:color w:val="000000" w:themeColor="text1"/>
          <w:sz w:val="20"/>
          <w:szCs w:val="20"/>
          <w:lang w:val="en-US"/>
        </w:rPr>
        <w:t>DOI:</w:t>
      </w:r>
      <w:r w:rsidRPr="00E33754">
        <w:rPr>
          <w:rFonts w:ascii="Book Antiqua" w:hAnsi="Book Antiqua"/>
          <w:iCs/>
          <w:color w:val="000000" w:themeColor="text1"/>
          <w:sz w:val="20"/>
          <w:szCs w:val="20"/>
          <w:lang w:val="en-US"/>
        </w:rPr>
        <w:t xml:space="preserve"> https://dx.doi.org/10.12998/wjcc.v8.i6.1150</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p w:rsidR="00925A10" w:rsidRDefault="00FC5E1B">
      <w:pPr>
        <w:snapToGrid w:val="0"/>
        <w:spacing w:line="360" w:lineRule="auto"/>
        <w:rPr>
          <w:rFonts w:ascii="Book Antiqua" w:eastAsia="宋体" w:hAnsi="Book Antiqua" w:cs="Times New Roman"/>
          <w:b/>
          <w:bCs/>
          <w:color w:val="000000" w:themeColor="text1"/>
          <w:sz w:val="20"/>
          <w:szCs w:val="20"/>
          <w:lang w:val="en-US"/>
        </w:rPr>
      </w:pPr>
      <w:r>
        <w:rPr>
          <w:rFonts w:ascii="Book Antiqua" w:eastAsia="宋体" w:hAnsi="Book Antiqua" w:cs="Times New Roman"/>
          <w:b/>
          <w:bCs/>
          <w:color w:val="000000" w:themeColor="text1"/>
          <w:sz w:val="20"/>
          <w:szCs w:val="20"/>
          <w:lang w:val="en-US"/>
        </w:rPr>
        <w:t xml:space="preserve">Core tip: </w:t>
      </w:r>
      <w:r>
        <w:rPr>
          <w:rFonts w:ascii="Book Antiqua" w:eastAsia="宋体" w:hAnsi="Book Antiqua" w:cs="Times New Roman"/>
          <w:color w:val="000000" w:themeColor="text1"/>
          <w:sz w:val="20"/>
          <w:szCs w:val="20"/>
          <w:lang w:val="en-US"/>
        </w:rPr>
        <w:t>Type III dens invaginatus poses great challenges when conducting clinical operations. This article reported an upper right lateral incisor with type III dens invaginatus using the method that removed the invagination under the dental operation microscope, and then mineral trioxide aggregate apical barrier was made for the convenience of next treatment. The 26-mo follow-up revealed a satisfactory therapeutic effect.</w:t>
      </w:r>
    </w:p>
    <w:bookmarkEnd w:id="14"/>
    <w:bookmarkEnd w:id="15"/>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widowControl/>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br w:type="page"/>
      </w: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t>INTRODUCTION</w:t>
      </w:r>
    </w:p>
    <w:p w:rsidR="00925A10" w:rsidRDefault="00FC5E1B">
      <w:pPr>
        <w:pStyle w:val="a8"/>
        <w:widowControl/>
        <w:snapToGrid w:val="0"/>
        <w:spacing w:line="360" w:lineRule="auto"/>
        <w:rPr>
          <w:rFonts w:ascii="Book Antiqua" w:hAnsi="Book Antiqua" w:cs="Times New Roman"/>
          <w:color w:val="000000" w:themeColor="text1"/>
          <w:sz w:val="20"/>
          <w:szCs w:val="20"/>
          <w:lang w:val="en-US"/>
        </w:rPr>
      </w:pPr>
      <w:bookmarkStart w:id="16" w:name="OLE_LINK6"/>
      <w:r>
        <w:rPr>
          <w:rStyle w:val="fontstyle01"/>
          <w:rFonts w:ascii="Book Antiqua" w:hAnsi="Book Antiqua" w:cs="Times New Roman"/>
          <w:color w:val="000000" w:themeColor="text1"/>
          <w:lang w:val="en-US"/>
        </w:rPr>
        <w:t>Dens invaginatus (DI) is a developmental variation resulting from an infolding of the outer enamel surface of a tooth into the interior</w:t>
      </w:r>
      <w:bookmarkEnd w:id="16"/>
      <w:r>
        <w:rPr>
          <w:rStyle w:val="fontstyle01"/>
          <w:rFonts w:ascii="Book Antiqua" w:hAnsi="Book Antiqua" w:cs="Times New Roman"/>
          <w:color w:val="000000" w:themeColor="text1"/>
          <w:vertAlign w:val="superscript"/>
          <w:lang w:val="en-US"/>
        </w:rPr>
        <w:t>[1]</w:t>
      </w:r>
      <w:r>
        <w:rPr>
          <w:rStyle w:val="fontstyle01"/>
          <w:rFonts w:ascii="Book Antiqua" w:eastAsia="宋体" w:hAnsi="Book Antiqua" w:cs="Times New Roman"/>
          <w:color w:val="000000" w:themeColor="text1"/>
          <w:lang w:val="en-US"/>
        </w:rPr>
        <w:t xml:space="preserve">. </w:t>
      </w:r>
      <w:bookmarkStart w:id="17" w:name="OLE_LINK28"/>
      <w:bookmarkStart w:id="18" w:name="OLE_LINK29"/>
      <w:r>
        <w:rPr>
          <w:rFonts w:ascii="Book Antiqua" w:hAnsi="Book Antiqua" w:cs="Times New Roman"/>
          <w:color w:val="000000" w:themeColor="text1"/>
          <w:sz w:val="20"/>
          <w:szCs w:val="20"/>
          <w:lang w:val="en-US"/>
        </w:rPr>
        <w:t>It is caused by deepening or invagination of the enamel organ into the dental papilla before biological mineralization takes place</w:t>
      </w:r>
      <w:bookmarkEnd w:id="17"/>
      <w:bookmarkEnd w:id="18"/>
      <w:r>
        <w:rPr>
          <w:rFonts w:ascii="Book Antiqua" w:hAnsi="Book Antiqua" w:cs="Times New Roman"/>
          <w:color w:val="000000" w:themeColor="text1"/>
          <w:sz w:val="20"/>
          <w:szCs w:val="20"/>
          <w:vertAlign w:val="superscript"/>
          <w:lang w:val="en-US"/>
        </w:rPr>
        <w:t>[2]</w:t>
      </w:r>
      <w:r>
        <w:rPr>
          <w:rFonts w:ascii="Book Antiqua" w:hAnsi="Book Antiqua" w:cs="Times New Roman"/>
          <w:color w:val="000000" w:themeColor="text1"/>
          <w:sz w:val="20"/>
          <w:szCs w:val="20"/>
          <w:lang w:val="en-US"/>
        </w:rPr>
        <w:t xml:space="preserve">. </w:t>
      </w:r>
      <w:r>
        <w:rPr>
          <w:rStyle w:val="fontstyle01"/>
          <w:rFonts w:ascii="Book Antiqua" w:hAnsi="Book Antiqua" w:cs="Times New Roman"/>
          <w:color w:val="000000" w:themeColor="text1"/>
          <w:lang w:val="en-US"/>
        </w:rPr>
        <w:t xml:space="preserve">After the tooth erupts, a cystic deep cavity can appear on the tooth surface. </w:t>
      </w:r>
      <w:r>
        <w:rPr>
          <w:rFonts w:ascii="Book Antiqua" w:hAnsi="Book Antiqua" w:cs="Times New Roman"/>
          <w:color w:val="000000" w:themeColor="text1"/>
          <w:sz w:val="20"/>
          <w:szCs w:val="20"/>
          <w:shd w:val="clear" w:color="auto" w:fill="FFFFFF"/>
          <w:lang w:val="en-US"/>
        </w:rPr>
        <w:t>It usually occurs in maxillary lateral incisors and occasionally in maxillary central incisors or canines</w:t>
      </w:r>
      <w:r>
        <w:rPr>
          <w:rFonts w:ascii="Book Antiqua" w:hAnsi="Book Antiqua" w:cs="Times New Roman"/>
          <w:color w:val="000000" w:themeColor="text1"/>
          <w:sz w:val="20"/>
          <w:szCs w:val="20"/>
          <w:shd w:val="clear" w:color="auto" w:fill="FFFFFF"/>
          <w:vertAlign w:val="superscript"/>
          <w:lang w:val="en-US"/>
        </w:rPr>
        <w:t>[1,3]</w:t>
      </w:r>
      <w:r>
        <w:rPr>
          <w:rFonts w:ascii="Book Antiqua" w:hAnsi="Book Antiqua" w:cs="Times New Roman"/>
          <w:color w:val="000000" w:themeColor="text1"/>
          <w:sz w:val="20"/>
          <w:szCs w:val="20"/>
          <w:shd w:val="clear" w:color="auto" w:fill="FFFFFF"/>
          <w:lang w:val="en-US"/>
        </w:rPr>
        <w:t xml:space="preserve">. </w:t>
      </w:r>
      <w:r>
        <w:rPr>
          <w:rStyle w:val="fontstyle01"/>
          <w:rFonts w:ascii="Book Antiqua" w:hAnsi="Book Antiqua" w:cs="Times New Roman"/>
          <w:color w:val="000000" w:themeColor="text1"/>
          <w:lang w:val="en-US"/>
        </w:rPr>
        <w:t>According to the depth of the invagination and anatomic variation, it can be divided into the deformed lingual sulcus, deformed root sulcus, malformed lingual tip, and dens in dente. Dens in dente is rare but the most severe condition in clinical practice</w:t>
      </w:r>
      <w:r>
        <w:rPr>
          <w:rStyle w:val="fontstyle01"/>
          <w:rFonts w:ascii="Book Antiqua" w:hAnsi="Book Antiqua" w:cs="Times New Roman"/>
          <w:color w:val="000000" w:themeColor="text1"/>
          <w:vertAlign w:val="superscript"/>
          <w:lang w:val="en-US"/>
        </w:rPr>
        <w:t>[1]</w:t>
      </w:r>
      <w:r>
        <w:rPr>
          <w:rStyle w:val="fontstyle01"/>
          <w:rFonts w:ascii="Book Antiqua" w:hAnsi="Book Antiqua" w:cs="Times New Roman"/>
          <w:color w:val="000000" w:themeColor="text1"/>
          <w:lang w:val="en-US"/>
        </w:rPr>
        <w:t>. T</w:t>
      </w:r>
      <w:r>
        <w:rPr>
          <w:rFonts w:ascii="Book Antiqua" w:hAnsi="Book Antiqua" w:cs="Times New Roman"/>
          <w:color w:val="000000" w:themeColor="text1"/>
          <w:sz w:val="20"/>
          <w:szCs w:val="20"/>
          <w:lang w:val="en-US"/>
        </w:rPr>
        <w:t>he classification advised by Oehlers is the most commonly used, which classifies DI into three types on the basis of penetration depth and communication with periapical tissue</w:t>
      </w:r>
      <w:r>
        <w:rPr>
          <w:rStyle w:val="fontstyle01"/>
          <w:rFonts w:ascii="Book Antiqua" w:hAnsi="Book Antiqua" w:cs="Times New Roman"/>
          <w:color w:val="000000" w:themeColor="text1"/>
          <w:vertAlign w:val="superscript"/>
          <w:lang w:val="en-US"/>
        </w:rPr>
        <w:t>[4]</w:t>
      </w:r>
      <w:r>
        <w:rPr>
          <w:rFonts w:ascii="Book Antiqua" w:hAnsi="Book Antiqua" w:cs="Times New Roman"/>
          <w:color w:val="000000" w:themeColor="text1"/>
          <w:sz w:val="20"/>
          <w:szCs w:val="20"/>
          <w:lang w:val="en-US"/>
        </w:rPr>
        <w:t xml:space="preserve">. Type I: invagination confined inside the crown and not extending beyond the cementoenamel junction. Type II: invagination extending beyond the cementoenamel junction but does not reach periapical tissue and remains as a blind sac. It may or may not communicate with the pulp. Type III: invagination penetrates through the entire root, perforating the apical area and having a second foramen in the apical or periodontal area; there is no immediate connection with the pulp. A study on the proportion of various </w:t>
      </w:r>
      <w:bookmarkStart w:id="19" w:name="OLE_LINK16"/>
      <w:r>
        <w:rPr>
          <w:rFonts w:ascii="Book Antiqua" w:hAnsi="Book Antiqua" w:cs="Times New Roman"/>
          <w:color w:val="000000" w:themeColor="text1"/>
          <w:sz w:val="20"/>
          <w:szCs w:val="20"/>
          <w:lang w:val="en-US"/>
        </w:rPr>
        <w:t>Oehlers</w:t>
      </w:r>
      <w:bookmarkEnd w:id="19"/>
      <w:r>
        <w:rPr>
          <w:rFonts w:ascii="Book Antiqua" w:hAnsi="Book Antiqua" w:cs="Times New Roman"/>
          <w:color w:val="000000" w:themeColor="text1"/>
          <w:sz w:val="20"/>
          <w:szCs w:val="20"/>
          <w:lang w:val="en-US"/>
        </w:rPr>
        <w:t xml:space="preserve"> types found that type I accounted for 81.25%, type II accounted for 6.25% and type III accounted for 12.5%</w:t>
      </w:r>
      <w:r>
        <w:rPr>
          <w:rStyle w:val="fontstyle01"/>
          <w:rFonts w:ascii="Book Antiqua" w:hAnsi="Book Antiqua" w:cs="Times New Roman"/>
          <w:color w:val="000000" w:themeColor="text1"/>
          <w:vertAlign w:val="superscript"/>
          <w:lang w:val="en-US"/>
        </w:rPr>
        <w:t>[5]</w:t>
      </w:r>
      <w:r>
        <w:rPr>
          <w:rFonts w:ascii="Book Antiqua" w:hAnsi="Book Antiqua" w:cs="Times New Roman"/>
          <w:color w:val="000000" w:themeColor="text1"/>
          <w:sz w:val="20"/>
          <w:szCs w:val="20"/>
          <w:lang w:val="en-US"/>
        </w:rPr>
        <w:t>.</w:t>
      </w:r>
      <w:bookmarkStart w:id="20" w:name="OLE_LINK31"/>
      <w:bookmarkStart w:id="21" w:name="OLE_LINK30"/>
      <w:r>
        <w:rPr>
          <w:rFonts w:ascii="Book Antiqua" w:hAnsi="Book Antiqua" w:cs="Times New Roman"/>
          <w:color w:val="000000" w:themeColor="text1"/>
          <w:sz w:val="20"/>
          <w:szCs w:val="20"/>
          <w:lang w:val="en-US"/>
        </w:rPr>
        <w:t xml:space="preserve"> This article reports and discusses</w:t>
      </w:r>
      <w:bookmarkStart w:id="22" w:name="_Hlk13689317"/>
      <w:r>
        <w:rPr>
          <w:rFonts w:ascii="Book Antiqua" w:hAnsi="Book Antiqua" w:cs="Times New Roman"/>
          <w:color w:val="000000" w:themeColor="text1"/>
          <w:sz w:val="20"/>
          <w:szCs w:val="20"/>
          <w:lang w:val="en-US"/>
        </w:rPr>
        <w:t xml:space="preserve"> a case of non-surgical treatment of a maxillary lateral incisor diagnosed as type III DI with apical periodontitis.</w:t>
      </w:r>
      <w:bookmarkEnd w:id="20"/>
      <w:bookmarkEnd w:id="21"/>
      <w:bookmarkEnd w:id="22"/>
      <w:r>
        <w:rPr>
          <w:rFonts w:ascii="Book Antiqua" w:hAnsi="Book Antiqua" w:cs="Times New Roman"/>
          <w:color w:val="000000" w:themeColor="text1"/>
          <w:sz w:val="20"/>
          <w:szCs w:val="20"/>
          <w:lang w:val="en-US"/>
        </w:rPr>
        <w:t xml:space="preserve"> Treatment was performed with the guidance of cone-beam computed tomography (CBCT) imaging by removing the invagination with ultrasonic equipment and preparing an apical barrier with mineral trioxide aggregate (MTA) under a dental operation microscope (DOM).</w:t>
      </w:r>
    </w:p>
    <w:p w:rsidR="00925A10" w:rsidRDefault="00925A10">
      <w:pPr>
        <w:snapToGrid w:val="0"/>
        <w:spacing w:line="360" w:lineRule="auto"/>
        <w:rPr>
          <w:rFonts w:ascii="Book Antiqua" w:hAnsi="Book Antiqua" w:cs="Times New Roman"/>
          <w:b/>
          <w:bCs/>
          <w:color w:val="000000" w:themeColor="text1"/>
          <w:sz w:val="20"/>
          <w:szCs w:val="20"/>
          <w:lang w:val="en-US"/>
        </w:rPr>
      </w:pPr>
    </w:p>
    <w:p w:rsidR="00925A10" w:rsidRDefault="00FC5E1B">
      <w:pPr>
        <w:snapToGrid w:val="0"/>
        <w:spacing w:line="360" w:lineRule="auto"/>
        <w:rPr>
          <w:rFonts w:ascii="Book Antiqua" w:hAnsi="Book Antiqua" w:cstheme="minorHAnsi"/>
          <w:b/>
          <w:color w:val="000000" w:themeColor="text1"/>
          <w:sz w:val="20"/>
          <w:szCs w:val="20"/>
          <w:u w:val="single"/>
          <w:lang w:val="en-US"/>
        </w:rPr>
      </w:pPr>
      <w:bookmarkStart w:id="23" w:name="OLE_LINK20"/>
      <w:r>
        <w:rPr>
          <w:rFonts w:ascii="Book Antiqua" w:hAnsi="Book Antiqua" w:cstheme="minorHAnsi"/>
          <w:b/>
          <w:color w:val="000000" w:themeColor="text1"/>
          <w:sz w:val="20"/>
          <w:szCs w:val="20"/>
          <w:u w:val="single"/>
          <w:lang w:val="en-US"/>
        </w:rPr>
        <w:t>CASE PRESENTATION</w:t>
      </w: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Chief complaint</w:t>
      </w:r>
    </w:p>
    <w:p w:rsidR="00925A10" w:rsidRDefault="00FC5E1B">
      <w:pPr>
        <w:snapToGrid w:val="0"/>
        <w:spacing w:line="360" w:lineRule="auto"/>
        <w:rPr>
          <w:rFonts w:ascii="Book Antiqua" w:hAnsi="Book Antiqua" w:cs="Times New Roman"/>
          <w:color w:val="000000" w:themeColor="text1"/>
          <w:sz w:val="20"/>
          <w:szCs w:val="20"/>
          <w:lang w:val="en-US"/>
        </w:rPr>
      </w:pPr>
      <w:bookmarkStart w:id="24" w:name="_Hlk13472036"/>
      <w:r>
        <w:rPr>
          <w:rFonts w:ascii="Book Antiqua" w:hAnsi="Book Antiqua" w:cs="Times New Roman"/>
          <w:color w:val="000000" w:themeColor="text1"/>
          <w:sz w:val="20"/>
          <w:szCs w:val="20"/>
          <w:lang w:val="en-US"/>
        </w:rPr>
        <w:t>A 31-year-old woman presented to the Department of Conservative Dentistry and Endodontics with complaints of spontaneous swelling and pain</w:t>
      </w:r>
      <w:bookmarkEnd w:id="24"/>
      <w:r>
        <w:rPr>
          <w:rFonts w:ascii="Book Antiqua" w:hAnsi="Book Antiqua" w:cs="Times New Roman"/>
          <w:color w:val="000000" w:themeColor="text1"/>
          <w:sz w:val="20"/>
          <w:szCs w:val="20"/>
          <w:lang w:val="en-US"/>
        </w:rPr>
        <w:t xml:space="preserve"> in an upper right anterior tooth for several days.</w:t>
      </w:r>
    </w:p>
    <w:p w:rsidR="00925A10" w:rsidRDefault="00925A10">
      <w:pPr>
        <w:snapToGrid w:val="0"/>
        <w:spacing w:line="360" w:lineRule="auto"/>
        <w:rPr>
          <w:rFonts w:ascii="Book Antiqua" w:hAnsi="Book Antiqua" w:cs="Times New Roman"/>
          <w:color w:val="000000" w:themeColor="text1"/>
          <w:sz w:val="20"/>
          <w:szCs w:val="20"/>
          <w:lang w:val="en-US"/>
        </w:rPr>
      </w:pPr>
    </w:p>
    <w:bookmarkEnd w:id="23"/>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History of present illness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The patient felt spontaneous swelling and pain in an upper right anterior tooth for several days. The tooth was insensitive to cold and heat, but the patient felt uncomfortable when chewing. The tooth and its periodontal tissue had swollen before.</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History of past illness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The patient recalled that the tooth had swelled before, and it was relieved after oral anti-inflammatory drugs.</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Physical examination upon admission</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Intra-oral examination disclosed the upper right lateral incisor with unusual morphological features, in which a deep sulcus of the palatal aspect was presented (Figure 1A). The crown also had a little change in color when compared to the adjacent tooth (Figure 1B). </w:t>
      </w:r>
      <w:bookmarkStart w:id="25" w:name="OLE_LINK24"/>
      <w:r>
        <w:rPr>
          <w:rFonts w:ascii="Book Antiqua" w:hAnsi="Book Antiqua" w:cs="Times New Roman"/>
          <w:color w:val="000000" w:themeColor="text1"/>
          <w:sz w:val="20"/>
          <w:szCs w:val="20"/>
          <w:lang w:val="en-US"/>
        </w:rPr>
        <w:t>The tooth did not respond to thermal and cold tests, but it was sensitive to percussion</w:t>
      </w:r>
      <w:bookmarkEnd w:id="25"/>
      <w:r>
        <w:rPr>
          <w:rFonts w:ascii="Book Antiqua" w:hAnsi="Book Antiqua" w:cs="Times New Roman"/>
          <w:color w:val="000000" w:themeColor="text1"/>
          <w:sz w:val="20"/>
          <w:szCs w:val="20"/>
          <w:lang w:val="en-US"/>
        </w:rPr>
        <w:t xml:space="preserve">. There was a swelling in the apical mucosa area, and </w:t>
      </w:r>
      <w:r>
        <w:rPr>
          <w:rFonts w:ascii="Book Antiqua" w:hAnsi="Book Antiqua" w:cs="Times New Roman"/>
          <w:color w:val="000000" w:themeColor="text1"/>
          <w:sz w:val="20"/>
          <w:szCs w:val="20"/>
          <w:shd w:val="clear" w:color="auto" w:fill="FFFFFF"/>
          <w:lang w:val="en-US"/>
        </w:rPr>
        <w:t xml:space="preserve">no obvious fluctuation was detected. </w:t>
      </w:r>
      <w:r>
        <w:rPr>
          <w:rFonts w:ascii="Book Antiqua" w:hAnsi="Book Antiqua" w:cs="Times New Roman"/>
          <w:color w:val="000000" w:themeColor="text1"/>
          <w:sz w:val="20"/>
          <w:szCs w:val="20"/>
          <w:lang w:val="en-US"/>
        </w:rPr>
        <w:t>The electric pulp vitality test indicated pulp necrosis.</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Imaging examinations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A preoperative radiographic examination (Figure 1C) showed the presence of dens invagination in the upper right lateral incisor and a large periapical radiolucency appearing around the apex. Because there was an aberrant anatomic structure and a periapical radiolucency of the tooth, a CBCT scan was taken as a complementary examination (Figure 2). The CBCT showed that the distal, mesial and palatal portions of the upper-middle section of the invagination was connected to the external teeth, and the lower section was separated from the external teeth.</w:t>
      </w:r>
    </w:p>
    <w:p w:rsidR="00925A10" w:rsidRDefault="00925A10">
      <w:pPr>
        <w:snapToGrid w:val="0"/>
        <w:spacing w:line="360" w:lineRule="auto"/>
        <w:rPr>
          <w:rFonts w:ascii="Book Antiqua" w:hAnsi="Book Antiqua" w:cs="Times New Roman"/>
          <w:b/>
          <w:bCs/>
          <w:color w:val="000000" w:themeColor="text1"/>
          <w:sz w:val="20"/>
          <w:szCs w:val="20"/>
          <w:lang w:val="en-US"/>
        </w:rPr>
      </w:pPr>
    </w:p>
    <w:p w:rsidR="00925A10" w:rsidRDefault="00FC5E1B">
      <w:pPr>
        <w:snapToGrid w:val="0"/>
        <w:spacing w:line="360" w:lineRule="auto"/>
        <w:rPr>
          <w:rFonts w:ascii="Book Antiqua" w:hAnsi="Book Antiqua" w:cs="Times New Roman"/>
          <w:color w:val="000000" w:themeColor="text1"/>
          <w:sz w:val="20"/>
          <w:szCs w:val="20"/>
          <w:u w:val="single"/>
          <w:lang w:val="en-US"/>
        </w:rPr>
      </w:pPr>
      <w:r>
        <w:rPr>
          <w:rFonts w:ascii="Book Antiqua" w:hAnsi="Book Antiqua" w:cs="Times New Roman"/>
          <w:b/>
          <w:bCs/>
          <w:color w:val="000000" w:themeColor="text1"/>
          <w:sz w:val="20"/>
          <w:szCs w:val="20"/>
          <w:u w:val="single"/>
          <w:lang w:val="en-US"/>
        </w:rPr>
        <w:t>FINAL DIAGNOSIS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Based on the subjective, objective and radiographic finding, a diagnosis of DI with apical periodontitis was made in the right maxillary lateral incisor. </w:t>
      </w:r>
    </w:p>
    <w:p w:rsidR="00925A10" w:rsidRDefault="00925A10">
      <w:pPr>
        <w:snapToGrid w:val="0"/>
        <w:spacing w:line="360" w:lineRule="auto"/>
        <w:ind w:firstLineChars="300" w:firstLine="600"/>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t>TREATMENT</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The proposed treatment</w:t>
      </w:r>
      <w:bookmarkStart w:id="26" w:name="OLE_LINK23"/>
      <w:r>
        <w:rPr>
          <w:rFonts w:ascii="Book Antiqua" w:hAnsi="Book Antiqua" w:cs="Times New Roman"/>
          <w:color w:val="000000" w:themeColor="text1"/>
          <w:sz w:val="20"/>
          <w:szCs w:val="20"/>
          <w:lang w:val="en-US"/>
        </w:rPr>
        <w:t xml:space="preserve"> protocol</w:t>
      </w:r>
      <w:bookmarkEnd w:id="26"/>
      <w:r>
        <w:rPr>
          <w:rFonts w:ascii="Book Antiqua" w:hAnsi="Book Antiqua" w:cs="Times New Roman"/>
          <w:color w:val="000000" w:themeColor="text1"/>
          <w:sz w:val="20"/>
          <w:szCs w:val="20"/>
          <w:lang w:val="en-US"/>
        </w:rPr>
        <w:t xml:space="preserve"> was as follows: the first protocol was extracting the tooth and planting; the second protocol was doing apical surgery after inflammatory control; and the third protocol was trying to remove the invaginated tooth and making an apical barrier under the DOM and deciding whether to perform apical surgery, depending on the apical healing situation.</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After consideration of the advantages, disadvantages, prognosis, and cost of every treatment protocol, the patient chose the third protocol, which tried to remove the invaginated tooth and prepare an MTA apical barrier under the DOM. The difficulty of the operation was evaluated preoperatively and the possibility of extracting the invagination was assessed by CBCT images. The informed consent of treatment was provided for the patient.</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At the first appointment, local anesthesia consisting of articaine with 1:100000 epinephrine was administered, and access to the cavity was gained under rubber dam isolation. Using the DOM (OPMI PROergo, Carl Zeiss Meditec AG, Jena, Germany), the root canal of the invagination was visualized, just as shown by CBCT, and the labial side was separated from the external tooth. The abnormally invaginated tissue was carefully removed from the root trunk using ET20 and ET40 ultrasonic tips until completely separated (Figure 3A) and removed by medical forceps (Figure 3B). Afterwards, an intraoperative film was taken to confirm that the invagination had been completely removed (Figure 3C and 3D). Then, an ultrasonic tip was used to activate the canal soaked with sodium hypochlorite (Figure 3E). After drying with a sterile absorbent paper point, the canal was filled with calcium hydroxide paste and sealed temporarily. The patient was given a prescription for</w:t>
      </w:r>
      <w:r>
        <w:rPr>
          <w:rFonts w:ascii="Book Antiqua" w:hAnsi="Book Antiqua" w:cs="Times New Roman"/>
          <w:color w:val="000000" w:themeColor="text1"/>
          <w:sz w:val="20"/>
          <w:szCs w:val="20"/>
          <w:shd w:val="clear" w:color="auto" w:fill="FFFFFF"/>
          <w:lang w:val="en-US"/>
        </w:rPr>
        <w:t xml:space="preserve"> anti-inflammatory drugs </w:t>
      </w:r>
      <w:r>
        <w:rPr>
          <w:rFonts w:ascii="Book Antiqua" w:hAnsi="Book Antiqua" w:cs="Times New Roman"/>
          <w:color w:val="000000" w:themeColor="text1"/>
          <w:sz w:val="20"/>
          <w:szCs w:val="20"/>
          <w:lang w:val="en-US"/>
        </w:rPr>
        <w:t xml:space="preserve">with instructions to take for pain only if needed </w:t>
      </w:r>
      <w:r>
        <w:rPr>
          <w:rFonts w:ascii="Book Antiqua" w:hAnsi="Book Antiqua" w:cs="Times New Roman"/>
          <w:color w:val="000000" w:themeColor="text1"/>
          <w:sz w:val="20"/>
          <w:szCs w:val="20"/>
          <w:shd w:val="clear" w:color="auto" w:fill="FFFFFF"/>
          <w:lang w:val="en-US"/>
        </w:rPr>
        <w:t xml:space="preserve">and to inform the doctor immediately if there was any discomfort. </w:t>
      </w:r>
      <w:r>
        <w:rPr>
          <w:rFonts w:ascii="Book Antiqua" w:hAnsi="Book Antiqua" w:cs="Times New Roman"/>
          <w:color w:val="000000" w:themeColor="text1"/>
          <w:sz w:val="20"/>
          <w:szCs w:val="20"/>
          <w:lang w:val="en-US"/>
        </w:rPr>
        <w:t>The patient was scheduled for MTA apical barrier surgery 1 wk later.</w:t>
      </w:r>
    </w:p>
    <w:p w:rsidR="00925A10" w:rsidRDefault="00FC5E1B">
      <w:pPr>
        <w:snapToGrid w:val="0"/>
        <w:spacing w:line="360" w:lineRule="auto"/>
        <w:ind w:firstLineChars="100" w:firstLine="200"/>
        <w:rPr>
          <w:rFonts w:ascii="Book Antiqua" w:hAnsi="Book Antiqua" w:cs="Times New Roman"/>
          <w:color w:val="000000" w:themeColor="text1"/>
          <w:sz w:val="20"/>
          <w:szCs w:val="20"/>
          <w:shd w:val="clear" w:color="auto" w:fill="FFFFFF"/>
          <w:lang w:val="en-US"/>
        </w:rPr>
      </w:pPr>
      <w:r>
        <w:rPr>
          <w:rFonts w:ascii="Book Antiqua" w:hAnsi="Book Antiqua" w:cs="Times New Roman"/>
          <w:color w:val="000000" w:themeColor="text1"/>
          <w:sz w:val="20"/>
          <w:szCs w:val="20"/>
          <w:lang w:val="en-US"/>
        </w:rPr>
        <w:t xml:space="preserve">At the second appointment, </w:t>
      </w:r>
      <w:r>
        <w:rPr>
          <w:rFonts w:ascii="Book Antiqua" w:hAnsi="Book Antiqua" w:cs="Times New Roman"/>
          <w:color w:val="000000" w:themeColor="text1"/>
          <w:sz w:val="20"/>
          <w:szCs w:val="20"/>
          <w:shd w:val="clear" w:color="auto" w:fill="FFFFFF"/>
          <w:lang w:val="en-US"/>
        </w:rPr>
        <w:t>the pain of the upper right lateral tooth had been significantly relieved. The examination found that the tooth was not sensitive to percussion, and no tenderness but slight bulging was present in the labial apical mucosa. Under rubber dam isolation, the calcium hydroxide in the root canal was removed by ultrasound. Then, 1% sodium hypochlorite was flushed into the canal and activated with ultrasonic tips, saline was used in the final irrigation (</w:t>
      </w:r>
      <w:r>
        <w:rPr>
          <w:rFonts w:ascii="Book Antiqua" w:hAnsi="Book Antiqua" w:cs="Times New Roman"/>
          <w:color w:val="000000" w:themeColor="text1"/>
          <w:sz w:val="20"/>
          <w:szCs w:val="20"/>
          <w:lang w:val="en-US"/>
        </w:rPr>
        <w:t>Figure 3F</w:t>
      </w:r>
      <w:r>
        <w:rPr>
          <w:rFonts w:ascii="Book Antiqua" w:hAnsi="Book Antiqua" w:cs="Times New Roman"/>
          <w:color w:val="000000" w:themeColor="text1"/>
          <w:sz w:val="20"/>
          <w:szCs w:val="20"/>
          <w:shd w:val="clear" w:color="auto" w:fill="FFFFFF"/>
          <w:lang w:val="en-US"/>
        </w:rPr>
        <w:t>), and the canal was dried with absorbent paper points (</w:t>
      </w:r>
      <w:r>
        <w:rPr>
          <w:rFonts w:ascii="Book Antiqua" w:hAnsi="Book Antiqua" w:cs="Times New Roman"/>
          <w:color w:val="000000" w:themeColor="text1"/>
          <w:sz w:val="20"/>
          <w:szCs w:val="20"/>
          <w:lang w:val="en-US"/>
        </w:rPr>
        <w:t>Figure 3G</w:t>
      </w:r>
      <w:r>
        <w:rPr>
          <w:rFonts w:ascii="Book Antiqua" w:hAnsi="Book Antiqua" w:cs="Times New Roman"/>
          <w:color w:val="000000" w:themeColor="text1"/>
          <w:sz w:val="20"/>
          <w:szCs w:val="20"/>
          <w:shd w:val="clear" w:color="auto" w:fill="FFFFFF"/>
          <w:lang w:val="en-US"/>
        </w:rPr>
        <w:t>). The working length was determined by an electronic apex locator and confirmed radiographically</w:t>
      </w:r>
      <w:r>
        <w:rPr>
          <w:rFonts w:ascii="Book Antiqua" w:hAnsi="Book Antiqua" w:cs="Times New Roman"/>
          <w:color w:val="000000" w:themeColor="text1"/>
          <w:sz w:val="20"/>
          <w:szCs w:val="20"/>
          <w:lang w:val="en-US"/>
        </w:rPr>
        <w:t xml:space="preserve"> (Figure 3H)</w:t>
      </w:r>
      <w:r>
        <w:rPr>
          <w:rFonts w:ascii="Book Antiqua" w:hAnsi="Book Antiqua" w:cs="Times New Roman"/>
          <w:color w:val="000000" w:themeColor="text1"/>
          <w:sz w:val="20"/>
          <w:szCs w:val="20"/>
          <w:shd w:val="clear" w:color="auto" w:fill="FFFFFF"/>
          <w:lang w:val="en-US"/>
        </w:rPr>
        <w:t xml:space="preserve">. </w:t>
      </w:r>
      <w:r>
        <w:rPr>
          <w:rFonts w:ascii="Book Antiqua" w:hAnsi="Book Antiqua" w:cs="Times New Roman"/>
          <w:color w:val="000000" w:themeColor="text1"/>
          <w:sz w:val="20"/>
          <w:szCs w:val="20"/>
          <w:lang w:val="en-US"/>
        </w:rPr>
        <w:t xml:space="preserve">An apical barrier of 4 mm in thickness was created with MTA (Figure 3I and 3J), where a wet cotton pellet was placed above. Then the tooth </w:t>
      </w:r>
      <w:r>
        <w:rPr>
          <w:rFonts w:ascii="Book Antiqua" w:hAnsi="Book Antiqua" w:cs="Times New Roman"/>
          <w:color w:val="000000" w:themeColor="text1"/>
          <w:sz w:val="20"/>
          <w:szCs w:val="20"/>
          <w:shd w:val="clear" w:color="auto" w:fill="FFFFFF"/>
          <w:lang w:val="en-US"/>
        </w:rPr>
        <w:t xml:space="preserve">was sealed with </w:t>
      </w:r>
      <w:r>
        <w:rPr>
          <w:rFonts w:ascii="Book Antiqua" w:eastAsia="宋体" w:hAnsi="Book Antiqua" w:cs="Times New Roman"/>
          <w:color w:val="000000" w:themeColor="text1"/>
          <w:sz w:val="20"/>
          <w:szCs w:val="20"/>
          <w:shd w:val="clear" w:color="auto" w:fill="FFFFFF"/>
          <w:lang w:val="en-US"/>
        </w:rPr>
        <w:t>Ceivitron (</w:t>
      </w:r>
      <w:r>
        <w:rPr>
          <w:rFonts w:ascii="Book Antiqua" w:hAnsi="Book Antiqua" w:cs="Times New Roman"/>
          <w:color w:val="000000" w:themeColor="text1"/>
          <w:sz w:val="20"/>
          <w:szCs w:val="20"/>
          <w:lang w:val="en-US"/>
        </w:rPr>
        <w:t>GC Corporation, Tokyo, Japan</w:t>
      </w:r>
      <w:r>
        <w:rPr>
          <w:rFonts w:ascii="Book Antiqua" w:eastAsia="宋体" w:hAnsi="Book Antiqua" w:cs="Times New Roman"/>
          <w:color w:val="000000" w:themeColor="text1"/>
          <w:sz w:val="20"/>
          <w:szCs w:val="20"/>
          <w:shd w:val="clear" w:color="auto" w:fill="FFFFFF"/>
          <w:lang w:val="en-US"/>
        </w:rPr>
        <w:t>)</w:t>
      </w:r>
      <w:r>
        <w:rPr>
          <w:rFonts w:ascii="Book Antiqua" w:hAnsi="Book Antiqua" w:cs="Times New Roman"/>
          <w:color w:val="000000" w:themeColor="text1"/>
          <w:sz w:val="20"/>
          <w:szCs w:val="20"/>
          <w:shd w:val="clear" w:color="auto" w:fill="FFFFFF"/>
          <w:lang w:val="en-US"/>
        </w:rPr>
        <w:t>.</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At the third appointment, which was set for 1 wk after the second appointment, the patient felt better. There was no obvious discomfort in the upper right lateral tooth, and the apical bulging in the labial mucosa was reduced. </w:t>
      </w:r>
      <w:r>
        <w:rPr>
          <w:rFonts w:ascii="Book Antiqua" w:hAnsi="Book Antiqua" w:cs="Times New Roman"/>
          <w:color w:val="000000" w:themeColor="text1"/>
          <w:sz w:val="20"/>
          <w:szCs w:val="20"/>
          <w:shd w:val="clear" w:color="auto" w:fill="FFFFFF"/>
          <w:lang w:val="en-US"/>
        </w:rPr>
        <w:t xml:space="preserve">Rubber dam isolation was carried out to remove the temporary materials and cotton pellet of the root canal. Under the DOM, </w:t>
      </w:r>
      <w:r>
        <w:rPr>
          <w:rFonts w:ascii="Book Antiqua" w:hAnsi="Book Antiqua" w:cs="Times New Roman"/>
          <w:color w:val="000000" w:themeColor="text1"/>
          <w:sz w:val="20"/>
          <w:szCs w:val="20"/>
          <w:lang w:val="en-US"/>
        </w:rPr>
        <w:t>the barrier was probed firmly with a DG-16 probe (Hu-Friedy, Chicago, IL, United States) to confirm that the MTA was completely coagulated. The remaining space was then obturated with thermoplastic gutta-percha</w:t>
      </w:r>
      <w:r>
        <w:rPr>
          <w:rStyle w:val="fontstyle01"/>
          <w:rFonts w:ascii="Book Antiqua" w:hAnsi="Book Antiqua" w:cs="Times New Roman"/>
          <w:color w:val="000000" w:themeColor="text1"/>
          <w:lang w:val="en-US"/>
        </w:rPr>
        <w:t xml:space="preserve"> (SybronEndo, Orange, CA, United States)</w:t>
      </w:r>
      <w:r>
        <w:rPr>
          <w:rFonts w:ascii="Book Antiqua" w:hAnsi="Book Antiqua" w:cs="Times New Roman"/>
          <w:color w:val="000000" w:themeColor="text1"/>
          <w:sz w:val="20"/>
          <w:szCs w:val="20"/>
          <w:lang w:val="en-US"/>
        </w:rPr>
        <w:t xml:space="preserve"> and AH-Plus (Dentsply Sirona, York, PA, United States) sealer, using a vertical condensation technique (Figure 3K). Thereafter, the access cavity was sealed with composite resin (ESPE Z350; 3M Science, Maplewood, MN, United States) (Figure 3L).</w:t>
      </w:r>
    </w:p>
    <w:p w:rsidR="00925A10" w:rsidRDefault="00925A10">
      <w:pPr>
        <w:snapToGrid w:val="0"/>
        <w:spacing w:line="360" w:lineRule="auto"/>
        <w:ind w:firstLineChars="300" w:firstLine="600"/>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t>OUTCOME AND FOLLOW-UP</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At the 9-, 15- and 26-mo follow-up appointments, the tooth remained asymptomatic. Chewing function could be exercised normally. However, the color of the crown did not significantly change until 26 mo (Figure 4A–C). There was no tenderness or obvious bulging in the labial apical mucosa. Radiographic examination at 9-, 15- and 26-mo postoperatively (Figure 4D–F) showed ongoing periapical repair, in which the </w:t>
      </w:r>
      <w:bookmarkStart w:id="27" w:name="OLE_LINK8"/>
      <w:r>
        <w:rPr>
          <w:rFonts w:ascii="Book Antiqua" w:hAnsi="Book Antiqua" w:cs="Times New Roman"/>
          <w:color w:val="000000" w:themeColor="text1"/>
          <w:sz w:val="20"/>
          <w:szCs w:val="20"/>
          <w:lang w:val="en-US"/>
        </w:rPr>
        <w:t>apical radiolucency</w:t>
      </w:r>
      <w:bookmarkEnd w:id="27"/>
      <w:r>
        <w:rPr>
          <w:rFonts w:ascii="Book Antiqua" w:hAnsi="Book Antiqua" w:cs="Times New Roman"/>
          <w:color w:val="000000" w:themeColor="text1"/>
          <w:sz w:val="20"/>
          <w:szCs w:val="20"/>
          <w:lang w:val="en-US"/>
        </w:rPr>
        <w:t xml:space="preserve"> had been reduced and the bone trabecular structure was visible. </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t>DISCUSSION</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Dens in dente is the most serious type of dens invagination</w:t>
      </w:r>
      <w:r>
        <w:rPr>
          <w:rStyle w:val="fontstyle01"/>
          <w:rFonts w:ascii="Book Antiqua" w:hAnsi="Book Antiqua" w:cs="Times New Roman"/>
          <w:color w:val="000000" w:themeColor="text1"/>
          <w:vertAlign w:val="superscript"/>
          <w:lang w:val="en-US"/>
        </w:rPr>
        <w:t>[1]</w:t>
      </w:r>
      <w:r>
        <w:rPr>
          <w:rFonts w:ascii="Book Antiqua" w:hAnsi="Book Antiqua" w:cs="Times New Roman"/>
          <w:color w:val="000000" w:themeColor="text1"/>
          <w:sz w:val="20"/>
          <w:szCs w:val="20"/>
          <w:lang w:val="en-US"/>
        </w:rPr>
        <w:t xml:space="preserve">. It </w:t>
      </w:r>
      <w:r>
        <w:rPr>
          <w:rFonts w:ascii="Book Antiqua" w:hAnsi="Book Antiqua" w:cs="Times New Roman"/>
          <w:color w:val="000000" w:themeColor="text1"/>
          <w:sz w:val="20"/>
          <w:szCs w:val="20"/>
          <w:shd w:val="clear" w:color="auto" w:fill="FFFFFF"/>
          <w:lang w:val="en-US"/>
        </w:rPr>
        <w:t xml:space="preserve">has been reported that the incidence of DI ranges from 0.04% to 10%, with the maxillary lateral incisors most </w:t>
      </w:r>
      <w:r>
        <w:rPr>
          <w:rFonts w:ascii="Book Antiqua" w:hAnsi="Book Antiqua" w:cs="Times New Roman"/>
          <w:color w:val="000000" w:themeColor="text1"/>
          <w:sz w:val="20"/>
          <w:szCs w:val="20"/>
          <w:lang w:val="en-US"/>
        </w:rPr>
        <w:t xml:space="preserve">susceptible to </w:t>
      </w:r>
      <w:r>
        <w:rPr>
          <w:rFonts w:ascii="Book Antiqua" w:hAnsi="Book Antiqua" w:cs="Times New Roman"/>
          <w:color w:val="000000" w:themeColor="text1"/>
          <w:sz w:val="20"/>
          <w:szCs w:val="20"/>
          <w:shd w:val="clear" w:color="auto" w:fill="FFFFFF"/>
          <w:lang w:val="en-US"/>
        </w:rPr>
        <w:t>involvement</w:t>
      </w:r>
      <w:r>
        <w:rPr>
          <w:rStyle w:val="fontstyle01"/>
          <w:rFonts w:ascii="Book Antiqua" w:hAnsi="Book Antiqua" w:cs="Times New Roman"/>
          <w:color w:val="000000" w:themeColor="text1"/>
          <w:vertAlign w:val="superscript"/>
          <w:lang w:val="en-US"/>
        </w:rPr>
        <w:t>[6-8]</w:t>
      </w:r>
      <w:r>
        <w:rPr>
          <w:rFonts w:ascii="Book Antiqua" w:hAnsi="Book Antiqua" w:cs="Times New Roman"/>
          <w:color w:val="000000" w:themeColor="text1"/>
          <w:sz w:val="20"/>
          <w:szCs w:val="20"/>
          <w:shd w:val="clear" w:color="auto" w:fill="FFFFFF"/>
          <w:lang w:val="en-US"/>
        </w:rPr>
        <w:t>. D</w:t>
      </w:r>
      <w:r>
        <w:rPr>
          <w:rStyle w:val="fontstyle01"/>
          <w:rFonts w:ascii="Book Antiqua" w:hAnsi="Book Antiqua" w:cs="Times New Roman"/>
          <w:color w:val="000000" w:themeColor="text1"/>
          <w:lang w:val="en-US"/>
        </w:rPr>
        <w:t xml:space="preserve">epending on the severity of the infection and the complexity of its anatomy, several treatment methods for the invagination have been described. They included </w:t>
      </w:r>
      <w:r>
        <w:rPr>
          <w:rFonts w:ascii="Book Antiqua" w:hAnsi="Book Antiqua" w:cs="Times New Roman"/>
          <w:color w:val="000000" w:themeColor="text1"/>
          <w:sz w:val="20"/>
          <w:szCs w:val="20"/>
          <w:shd w:val="clear" w:color="auto" w:fill="FFFFFF"/>
          <w:lang w:val="en-US"/>
        </w:rPr>
        <w:t>filling treatment, endodontic treatment</w:t>
      </w:r>
      <w:r>
        <w:rPr>
          <w:rStyle w:val="fontstyle01"/>
          <w:rFonts w:ascii="Book Antiqua" w:hAnsi="Book Antiqua" w:cs="Times New Roman"/>
          <w:color w:val="000000" w:themeColor="text1"/>
          <w:vertAlign w:val="superscript"/>
          <w:lang w:val="en-US"/>
        </w:rPr>
        <w:t>[9]</w:t>
      </w:r>
      <w:r>
        <w:rPr>
          <w:rFonts w:ascii="Book Antiqua" w:hAnsi="Book Antiqua" w:cs="Times New Roman"/>
          <w:color w:val="000000" w:themeColor="text1"/>
          <w:sz w:val="20"/>
          <w:szCs w:val="20"/>
          <w:shd w:val="clear" w:color="auto" w:fill="FFFFFF"/>
          <w:lang w:val="en-US"/>
        </w:rPr>
        <w:t>, apical surgery</w:t>
      </w:r>
      <w:r>
        <w:rPr>
          <w:rStyle w:val="fontstyle01"/>
          <w:rFonts w:ascii="Book Antiqua" w:hAnsi="Book Antiqua" w:cs="Times New Roman"/>
          <w:color w:val="000000" w:themeColor="text1"/>
          <w:vertAlign w:val="superscript"/>
          <w:lang w:val="en-US"/>
        </w:rPr>
        <w:t>[10,11]</w:t>
      </w:r>
      <w:r>
        <w:rPr>
          <w:rFonts w:ascii="Book Antiqua" w:hAnsi="Book Antiqua" w:cs="Times New Roman"/>
          <w:color w:val="000000" w:themeColor="text1"/>
          <w:sz w:val="20"/>
          <w:szCs w:val="20"/>
          <w:shd w:val="clear" w:color="auto" w:fill="FFFFFF"/>
          <w:lang w:val="en-US"/>
        </w:rPr>
        <w:t xml:space="preserve">, </w:t>
      </w:r>
      <w:r>
        <w:rPr>
          <w:rStyle w:val="fontstyle01"/>
          <w:rFonts w:ascii="Book Antiqua" w:hAnsi="Book Antiqua" w:cs="Times New Roman"/>
          <w:color w:val="000000" w:themeColor="text1"/>
          <w:lang w:val="en-US"/>
        </w:rPr>
        <w:t>intentional reimplantation</w:t>
      </w:r>
      <w:r>
        <w:rPr>
          <w:rStyle w:val="fontstyle01"/>
          <w:rFonts w:ascii="Book Antiqua" w:hAnsi="Book Antiqua" w:cs="Times New Roman"/>
          <w:color w:val="000000" w:themeColor="text1"/>
          <w:vertAlign w:val="superscript"/>
          <w:lang w:val="en-US"/>
        </w:rPr>
        <w:t>[12]</w:t>
      </w:r>
      <w:r>
        <w:rPr>
          <w:rStyle w:val="fontstyle01"/>
          <w:rFonts w:ascii="Book Antiqua" w:hAnsi="Book Antiqua" w:cs="Times New Roman"/>
          <w:color w:val="000000" w:themeColor="text1"/>
          <w:lang w:val="en-US"/>
        </w:rPr>
        <w:t>, and finally extraction.</w:t>
      </w:r>
      <w:r>
        <w:rPr>
          <w:rFonts w:ascii="Book Antiqua" w:hAnsi="Book Antiqua" w:cs="Times New Roman"/>
          <w:color w:val="000000" w:themeColor="text1"/>
          <w:sz w:val="20"/>
          <w:szCs w:val="20"/>
          <w:lang w:val="en-US"/>
        </w:rPr>
        <w:t xml:space="preserve"> A case of invagination removal had also been reported in other literature</w:t>
      </w:r>
      <w:r>
        <w:rPr>
          <w:rStyle w:val="fontstyle01"/>
          <w:rFonts w:ascii="Book Antiqua" w:hAnsi="Book Antiqua" w:cs="Times New Roman"/>
          <w:color w:val="000000" w:themeColor="text1"/>
          <w:vertAlign w:val="superscript"/>
          <w:lang w:val="en-US"/>
        </w:rPr>
        <w:t>[13]</w:t>
      </w:r>
      <w:r>
        <w:rPr>
          <w:rFonts w:ascii="Book Antiqua" w:hAnsi="Book Antiqua" w:cs="Times New Roman"/>
          <w:color w:val="000000" w:themeColor="text1"/>
          <w:sz w:val="20"/>
          <w:szCs w:val="20"/>
          <w:lang w:val="en-US"/>
        </w:rPr>
        <w:t xml:space="preserve">. </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In this case, after careful preoperative CBCT analysis, it was decided to use the method of removing the invagination and preparing the MTA apical barrier under a DOM to preserve the tooth. According to American Association of Endodontists commendations, CBCT should be considered the preferred treatment of teeth with the potential of suspected complex canal morphology or dental anomalies</w:t>
      </w:r>
      <w:r>
        <w:rPr>
          <w:rStyle w:val="fontstyle01"/>
          <w:rFonts w:ascii="Book Antiqua" w:hAnsi="Book Antiqua" w:cs="Times New Roman"/>
          <w:color w:val="000000" w:themeColor="text1"/>
          <w:vertAlign w:val="superscript"/>
          <w:lang w:val="en-US"/>
        </w:rPr>
        <w:t>[14]</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shd w:val="clear" w:color="auto" w:fill="FFFFFF"/>
          <w:lang w:val="en-US"/>
        </w:rPr>
        <w:t xml:space="preserve">As a non-invasive diagnostic tool, CBCT has the advantages of </w:t>
      </w:r>
      <w:r>
        <w:rPr>
          <w:rFonts w:ascii="Book Antiqua" w:hAnsi="Book Antiqua" w:cs="Times New Roman"/>
          <w:color w:val="000000" w:themeColor="text1"/>
          <w:sz w:val="20"/>
          <w:szCs w:val="20"/>
          <w:lang w:val="en-US"/>
        </w:rPr>
        <w:t>increased accuracy and higher resolution. Moreover, CBCT offers significant scan-time reduction, radiation dose reduction, and reduced cost for the patient</w:t>
      </w:r>
      <w:r>
        <w:rPr>
          <w:rStyle w:val="fontstyle01"/>
          <w:rFonts w:ascii="Book Antiqua" w:hAnsi="Book Antiqua" w:cs="Times New Roman"/>
          <w:color w:val="000000" w:themeColor="text1"/>
          <w:vertAlign w:val="superscript"/>
          <w:lang w:val="en-US"/>
        </w:rPr>
        <w:t>[15-17]</w:t>
      </w:r>
      <w:r>
        <w:rPr>
          <w:rFonts w:ascii="Book Antiqua" w:hAnsi="Book Antiqua" w:cs="Times New Roman"/>
          <w:color w:val="000000" w:themeColor="text1"/>
          <w:sz w:val="20"/>
          <w:szCs w:val="20"/>
          <w:lang w:val="en-US"/>
        </w:rPr>
        <w:t>. Compared with traditional 2-dimensional radiographs, CBCT produces undistorted three-dimensional information, which clearly displays images of the facial skeleton and the teeth and their surrounding tissues</w:t>
      </w:r>
      <w:r>
        <w:rPr>
          <w:rStyle w:val="fontstyle01"/>
          <w:rFonts w:ascii="Book Antiqua" w:hAnsi="Book Antiqua" w:cs="Times New Roman"/>
          <w:color w:val="000000" w:themeColor="text1"/>
          <w:vertAlign w:val="superscript"/>
          <w:lang w:val="en-US"/>
        </w:rPr>
        <w:t>[18]</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shd w:val="clear" w:color="auto" w:fill="FFFFFF"/>
          <w:lang w:val="en-US"/>
        </w:rPr>
        <w:t xml:space="preserve">The induction and widespread adoption of the DOM is the most revolutionary in non-surgical and surgical endodontic treatment, which offers various high- and low-power magnifications. </w:t>
      </w:r>
      <w:r>
        <w:rPr>
          <w:rFonts w:ascii="Book Antiqua" w:hAnsi="Book Antiqua" w:cs="Times New Roman"/>
          <w:color w:val="000000" w:themeColor="text1"/>
          <w:sz w:val="20"/>
          <w:szCs w:val="20"/>
          <w:lang w:val="en-US"/>
        </w:rPr>
        <w:t>DOM offers homogeneous illumination without shadows and a 3-dimensional view, which combine to make the examination site clearer</w:t>
      </w:r>
      <w:r>
        <w:rPr>
          <w:rStyle w:val="fontstyle01"/>
          <w:rFonts w:ascii="Book Antiqua" w:hAnsi="Book Antiqua" w:cs="Times New Roman"/>
          <w:color w:val="000000" w:themeColor="text1"/>
          <w:vertAlign w:val="superscript"/>
          <w:lang w:val="en-US"/>
        </w:rPr>
        <w:t>[19,20]</w:t>
      </w:r>
      <w:r>
        <w:rPr>
          <w:rFonts w:ascii="Book Antiqua" w:hAnsi="Book Antiqua" w:cs="Times New Roman"/>
          <w:color w:val="000000" w:themeColor="text1"/>
          <w:sz w:val="20"/>
          <w:szCs w:val="20"/>
          <w:lang w:val="en-US"/>
        </w:rPr>
        <w:t xml:space="preserve">. </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bookmarkStart w:id="28" w:name="OLE_LINK7"/>
      <w:r>
        <w:rPr>
          <w:rFonts w:ascii="Book Antiqua" w:hAnsi="Book Antiqua" w:cs="Times New Roman"/>
          <w:color w:val="000000" w:themeColor="text1"/>
          <w:sz w:val="20"/>
          <w:szCs w:val="20"/>
          <w:lang w:val="en-US"/>
        </w:rPr>
        <w:t xml:space="preserve">Despite the help of CBCT and the DOM, there were still some challenges in this case. </w:t>
      </w:r>
      <w:bookmarkEnd w:id="28"/>
      <w:r>
        <w:rPr>
          <w:rFonts w:ascii="Book Antiqua" w:hAnsi="Book Antiqua" w:cs="Times New Roman"/>
          <w:color w:val="000000" w:themeColor="text1"/>
          <w:sz w:val="20"/>
          <w:szCs w:val="20"/>
          <w:lang w:val="en-US"/>
        </w:rPr>
        <w:t>One of the difficulties was how to successfully remove the invagination and reduce the damage to the main root canal wall. We were inspired by orthognathic surgery to place the ultrasound tip in the root canal of the invaginated tooth. It was expected that the force of ultrasonic vibration would be conducted to the joint between the invagination and external tooth so that the invagination could be removed. Finally, the invagination was taken out in two steps, which basically conformed to the preoperative plan.</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Another difficulty was the preparation of the MTA apical barrier. The tooth was characterized by absorption of the apex and </w:t>
      </w:r>
      <w:bookmarkStart w:id="29" w:name="OLE_LINK2"/>
      <w:r>
        <w:rPr>
          <w:rFonts w:ascii="Book Antiqua" w:hAnsi="Book Antiqua" w:cs="Times New Roman"/>
          <w:color w:val="000000" w:themeColor="text1"/>
          <w:sz w:val="20"/>
          <w:szCs w:val="20"/>
          <w:lang w:val="en-US"/>
        </w:rPr>
        <w:t>destruction of the apical foramen</w:t>
      </w:r>
      <w:bookmarkEnd w:id="29"/>
      <w:r>
        <w:rPr>
          <w:rFonts w:ascii="Book Antiqua" w:hAnsi="Book Antiqua" w:cs="Times New Roman"/>
          <w:color w:val="000000" w:themeColor="text1"/>
          <w:sz w:val="20"/>
          <w:szCs w:val="20"/>
          <w:lang w:val="en-US"/>
        </w:rPr>
        <w:t>. An apical barrier is used in teeth with necrotic pulps, open apices, periapical radiolucencies and root resorption</w:t>
      </w:r>
      <w:r>
        <w:rPr>
          <w:rStyle w:val="fontstyle01"/>
          <w:rFonts w:ascii="Book Antiqua" w:hAnsi="Book Antiqua" w:cs="Times New Roman"/>
          <w:color w:val="000000" w:themeColor="text1"/>
          <w:vertAlign w:val="superscript"/>
          <w:lang w:val="en-US"/>
        </w:rPr>
        <w:t>[21]</w:t>
      </w:r>
      <w:r>
        <w:rPr>
          <w:rFonts w:ascii="Book Antiqua" w:hAnsi="Book Antiqua" w:cs="Times New Roman"/>
          <w:color w:val="000000" w:themeColor="text1"/>
          <w:sz w:val="20"/>
          <w:szCs w:val="20"/>
          <w:lang w:val="en-US"/>
        </w:rPr>
        <w:t>. Materials including collagen, calcium-enriched mixture cement, Biodentine and Portland cement have been reportedly used to make apical barriers</w:t>
      </w:r>
      <w:r>
        <w:rPr>
          <w:rStyle w:val="fontstyle01"/>
          <w:rFonts w:ascii="Book Antiqua" w:hAnsi="Book Antiqua" w:cs="Times New Roman"/>
          <w:color w:val="000000" w:themeColor="text1"/>
          <w:vertAlign w:val="superscript"/>
          <w:lang w:val="en-US"/>
        </w:rPr>
        <w:t>[21]</w:t>
      </w:r>
      <w:r>
        <w:rPr>
          <w:rFonts w:ascii="Book Antiqua" w:hAnsi="Book Antiqua" w:cs="Times New Roman"/>
          <w:color w:val="000000" w:themeColor="text1"/>
          <w:sz w:val="20"/>
          <w:szCs w:val="20"/>
          <w:lang w:val="en-US"/>
        </w:rPr>
        <w:t>.</w:t>
      </w:r>
      <w:bookmarkStart w:id="30" w:name="OLE_LINK17"/>
      <w:r>
        <w:rPr>
          <w:rFonts w:ascii="Book Antiqua" w:hAnsi="Book Antiqua" w:cs="Times New Roman"/>
          <w:color w:val="000000" w:themeColor="text1"/>
          <w:sz w:val="20"/>
          <w:szCs w:val="20"/>
          <w:lang w:val="en-US"/>
        </w:rPr>
        <w:t xml:space="preserve"> </w:t>
      </w:r>
      <w:bookmarkEnd w:id="30"/>
      <w:r>
        <w:rPr>
          <w:rFonts w:ascii="Book Antiqua" w:hAnsi="Book Antiqua" w:cs="Times New Roman"/>
          <w:color w:val="000000" w:themeColor="text1"/>
          <w:sz w:val="20"/>
          <w:szCs w:val="20"/>
          <w:lang w:val="en-US"/>
        </w:rPr>
        <w:t>However, several studies with varying follow-up periods revealed that MTA as an apical barrier has a high success rate in teeth with necrotic pulps, open apices, and apical lesions</w:t>
      </w:r>
      <w:r>
        <w:rPr>
          <w:rStyle w:val="fontstyle01"/>
          <w:rFonts w:ascii="Book Antiqua" w:hAnsi="Book Antiqua" w:cs="Times New Roman"/>
          <w:color w:val="000000" w:themeColor="text1"/>
          <w:vertAlign w:val="superscript"/>
          <w:lang w:val="en-US"/>
        </w:rPr>
        <w:t>[22-26]</w:t>
      </w:r>
      <w:r>
        <w:rPr>
          <w:rFonts w:ascii="Book Antiqua" w:hAnsi="Book Antiqua" w:cs="Times New Roman"/>
          <w:color w:val="000000" w:themeColor="text1"/>
          <w:sz w:val="20"/>
          <w:szCs w:val="20"/>
          <w:lang w:val="en-US"/>
        </w:rPr>
        <w:t>. MTA is characterized by hard tissue conductivity</w:t>
      </w:r>
      <w:r>
        <w:rPr>
          <w:rStyle w:val="fontstyle01"/>
          <w:rFonts w:ascii="Book Antiqua" w:hAnsi="Book Antiqua" w:cs="Times New Roman"/>
          <w:color w:val="000000" w:themeColor="text1"/>
          <w:vertAlign w:val="superscript"/>
          <w:lang w:val="en-US"/>
        </w:rPr>
        <w:t>[27]</w:t>
      </w:r>
      <w:r>
        <w:rPr>
          <w:rFonts w:ascii="Book Antiqua" w:hAnsi="Book Antiqua" w:cs="Times New Roman"/>
          <w:color w:val="000000" w:themeColor="text1"/>
          <w:sz w:val="20"/>
          <w:szCs w:val="20"/>
          <w:lang w:val="en-US"/>
        </w:rPr>
        <w:t xml:space="preserve"> and biocompatibility</w:t>
      </w:r>
      <w:r>
        <w:rPr>
          <w:rStyle w:val="fontstyle01"/>
          <w:rFonts w:ascii="Book Antiqua" w:hAnsi="Book Antiqua" w:cs="Times New Roman"/>
          <w:color w:val="000000" w:themeColor="text1"/>
          <w:vertAlign w:val="superscript"/>
          <w:lang w:val="en-US"/>
        </w:rPr>
        <w:t>[28]</w:t>
      </w:r>
      <w:r>
        <w:rPr>
          <w:rFonts w:ascii="Book Antiqua" w:hAnsi="Book Antiqua" w:cs="Times New Roman"/>
          <w:color w:val="000000" w:themeColor="text1"/>
          <w:sz w:val="20"/>
          <w:szCs w:val="20"/>
          <w:lang w:val="en-US"/>
        </w:rPr>
        <w:t xml:space="preserve"> and has been recognized as a bioactive material. The main components of MTA are tricalcium silicate, tricalcium aluminate, calcium silicate, and tetracalcium aluminoferrite</w:t>
      </w:r>
      <w:r>
        <w:rPr>
          <w:rStyle w:val="fontstyle01"/>
          <w:rFonts w:ascii="Book Antiqua" w:hAnsi="Book Antiqua" w:cs="Times New Roman"/>
          <w:color w:val="000000" w:themeColor="text1"/>
          <w:vertAlign w:val="superscript"/>
          <w:lang w:val="en-US"/>
        </w:rPr>
        <w:t>[29]</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shd w:val="clear" w:color="auto" w:fill="FFFFFF"/>
          <w:lang w:val="en-US"/>
        </w:rPr>
        <w:t>MTA is a type of hydraulic cement. Its powder contains small hydrophilic particles, which can</w:t>
      </w:r>
      <w:r>
        <w:rPr>
          <w:rFonts w:ascii="Book Antiqua" w:hAnsi="Book Antiqua" w:cs="Times New Roman"/>
          <w:color w:val="000000" w:themeColor="text1"/>
          <w:sz w:val="20"/>
          <w:szCs w:val="20"/>
          <w:lang w:val="en-US"/>
        </w:rPr>
        <w:t xml:space="preserve"> interact with the natural fluids present in tissues</w:t>
      </w:r>
      <w:r>
        <w:rPr>
          <w:rStyle w:val="fontstyle01"/>
          <w:rFonts w:ascii="Book Antiqua" w:hAnsi="Book Antiqua" w:cs="Times New Roman"/>
          <w:color w:val="000000" w:themeColor="text1"/>
          <w:vertAlign w:val="superscript"/>
          <w:lang w:val="en-US"/>
        </w:rPr>
        <w:t>[30]</w:t>
      </w:r>
      <w:r>
        <w:rPr>
          <w:rFonts w:ascii="Book Antiqua" w:hAnsi="Book Antiqua" w:cs="Times New Roman"/>
          <w:color w:val="000000" w:themeColor="text1"/>
          <w:sz w:val="20"/>
          <w:szCs w:val="20"/>
          <w:lang w:val="en-US"/>
        </w:rPr>
        <w:t xml:space="preserve">. </w:t>
      </w:r>
      <w:bookmarkStart w:id="31" w:name="OLE_LINK34"/>
      <w:bookmarkStart w:id="32" w:name="OLE_LINK33"/>
      <w:r>
        <w:rPr>
          <w:rFonts w:ascii="Book Antiqua" w:hAnsi="Book Antiqua" w:cs="Times New Roman"/>
          <w:color w:val="000000" w:themeColor="text1"/>
          <w:sz w:val="20"/>
          <w:szCs w:val="20"/>
          <w:shd w:val="clear" w:color="auto" w:fill="FFFFFF"/>
          <w:lang w:val="en-US"/>
        </w:rPr>
        <w:t>The MTA barrier also has the advantages of reducing clinical time cost and early safe tooth restoration</w:t>
      </w:r>
      <w:bookmarkEnd w:id="31"/>
      <w:bookmarkEnd w:id="32"/>
      <w:r>
        <w:rPr>
          <w:rStyle w:val="fontstyle01"/>
          <w:rFonts w:ascii="Book Antiqua" w:hAnsi="Book Antiqua" w:cs="Times New Roman"/>
          <w:color w:val="000000" w:themeColor="text1"/>
          <w:vertAlign w:val="superscript"/>
          <w:lang w:val="en-US"/>
        </w:rPr>
        <w:t>[21]</w:t>
      </w:r>
      <w:r>
        <w:rPr>
          <w:rFonts w:ascii="Book Antiqua" w:hAnsi="Book Antiqua" w:cs="Times New Roman"/>
          <w:color w:val="000000" w:themeColor="text1"/>
          <w:sz w:val="20"/>
          <w:szCs w:val="20"/>
          <w:shd w:val="clear" w:color="auto" w:fill="FFFFFF"/>
          <w:lang w:val="en-US"/>
        </w:rPr>
        <w:t xml:space="preserve">. In this case, we chose MTA as the apical barrier material. </w:t>
      </w:r>
      <w:r>
        <w:rPr>
          <w:rFonts w:ascii="Book Antiqua" w:hAnsi="Book Antiqua" w:cs="Times New Roman"/>
          <w:color w:val="000000" w:themeColor="text1"/>
          <w:sz w:val="20"/>
          <w:szCs w:val="20"/>
          <w:lang w:val="en-US"/>
        </w:rPr>
        <w:t xml:space="preserve">The pulsatile exudation of the apex could be seen under the DOM, which made placement of the MTA apical barrier difficult. During the apical barrier operation, the exudation liquid was aspirated with a syringe while filling the MTA. Finally, the material was compacted by ultrasonic vibration to improve the sealing performance. </w:t>
      </w:r>
      <w:r>
        <w:rPr>
          <w:rFonts w:ascii="Book Antiqua" w:hAnsi="Book Antiqua" w:cs="Times New Roman"/>
          <w:color w:val="000000" w:themeColor="text1"/>
          <w:sz w:val="20"/>
          <w:szCs w:val="20"/>
          <w:shd w:val="clear" w:color="auto" w:fill="FFFFFF"/>
          <w:lang w:val="en-US"/>
        </w:rPr>
        <w:t xml:space="preserve">At the same time, the depth of the </w:t>
      </w:r>
      <w:r>
        <w:rPr>
          <w:rFonts w:ascii="Book Antiqua" w:hAnsi="Book Antiqua" w:cs="Times New Roman"/>
          <w:color w:val="000000" w:themeColor="text1"/>
          <w:sz w:val="20"/>
          <w:szCs w:val="20"/>
          <w:lang w:val="en-US"/>
        </w:rPr>
        <w:t>thermoplastic gutta-percha</w:t>
      </w:r>
      <w:r>
        <w:rPr>
          <w:rFonts w:ascii="Book Antiqua" w:hAnsi="Book Antiqua" w:cs="Times New Roman"/>
          <w:color w:val="000000" w:themeColor="text1"/>
          <w:sz w:val="20"/>
          <w:szCs w:val="20"/>
          <w:shd w:val="clear" w:color="auto" w:fill="FFFFFF"/>
          <w:lang w:val="en-US"/>
        </w:rPr>
        <w:t xml:space="preserve"> was controlled at the level of the alveolar ridge, to leave enough depth and space for the resin to make up for the loss of dentin. Therefore, the resistance of the tooth could be improved. </w:t>
      </w:r>
      <w:r>
        <w:rPr>
          <w:rFonts w:ascii="Book Antiqua" w:hAnsi="Book Antiqua" w:cs="Times New Roman"/>
          <w:color w:val="000000" w:themeColor="text1"/>
          <w:sz w:val="20"/>
          <w:szCs w:val="20"/>
          <w:lang w:val="en-US"/>
        </w:rPr>
        <w:t>The follow-up examinations demonstrated that the treatment of the invagination was successful because radiographs showed that the apical radiolucency had been reduced and the</w:t>
      </w:r>
      <w:bookmarkStart w:id="33" w:name="OLE_LINK3"/>
      <w:r>
        <w:rPr>
          <w:rFonts w:ascii="Book Antiqua" w:hAnsi="Book Antiqua" w:cs="Times New Roman"/>
          <w:color w:val="000000" w:themeColor="text1"/>
          <w:sz w:val="20"/>
          <w:szCs w:val="20"/>
          <w:lang w:val="en-US"/>
        </w:rPr>
        <w:t xml:space="preserve"> bone trabecular</w:t>
      </w:r>
      <w:bookmarkEnd w:id="33"/>
      <w:r>
        <w:rPr>
          <w:rFonts w:ascii="Book Antiqua" w:hAnsi="Book Antiqua" w:cs="Times New Roman"/>
          <w:color w:val="000000" w:themeColor="text1"/>
          <w:sz w:val="20"/>
          <w:szCs w:val="20"/>
          <w:lang w:val="en-US"/>
        </w:rPr>
        <w:t xml:space="preserve"> structure was visible.</w:t>
      </w:r>
    </w:p>
    <w:p w:rsidR="00925A10" w:rsidRDefault="00925A10">
      <w:pPr>
        <w:snapToGrid w:val="0"/>
        <w:spacing w:line="360" w:lineRule="auto"/>
        <w:ind w:firstLineChars="300" w:firstLine="600"/>
        <w:rPr>
          <w:rFonts w:ascii="Book Antiqua" w:hAnsi="Book Antiqua" w:cs="Times New Roman"/>
          <w:color w:val="000000" w:themeColor="text1"/>
          <w:sz w:val="20"/>
          <w:szCs w:val="20"/>
          <w:lang w:val="en-US"/>
        </w:rPr>
      </w:pPr>
    </w:p>
    <w:p w:rsidR="00925A10" w:rsidRDefault="00FC5E1B">
      <w:pPr>
        <w:autoSpaceDE w:val="0"/>
        <w:autoSpaceDN w:val="0"/>
        <w:adjustRightInd w:val="0"/>
        <w:snapToGrid w:val="0"/>
        <w:spacing w:line="360" w:lineRule="auto"/>
        <w:rPr>
          <w:rFonts w:ascii="Book Antiqua" w:hAnsi="Book Antiqua" w:cs="Times New Roman"/>
          <w:b/>
          <w:color w:val="000000" w:themeColor="text1"/>
          <w:sz w:val="20"/>
          <w:szCs w:val="20"/>
          <w:u w:val="single"/>
          <w:lang w:val="en-US"/>
        </w:rPr>
      </w:pPr>
      <w:r>
        <w:rPr>
          <w:rFonts w:ascii="Book Antiqua" w:hAnsi="Book Antiqua" w:cs="Times New Roman"/>
          <w:b/>
          <w:color w:val="000000" w:themeColor="text1"/>
          <w:sz w:val="20"/>
          <w:szCs w:val="20"/>
          <w:u w:val="single"/>
          <w:lang w:val="en-US"/>
        </w:rPr>
        <w:t>CONCLUSION</w:t>
      </w:r>
    </w:p>
    <w:p w:rsidR="00925A10" w:rsidRDefault="00FC5E1B">
      <w:pPr>
        <w:autoSpaceDE w:val="0"/>
        <w:autoSpaceDN w:val="0"/>
        <w:adjustRightInd w:val="0"/>
        <w:snapToGrid w:val="0"/>
        <w:spacing w:line="360" w:lineRule="auto"/>
        <w:rPr>
          <w:rFonts w:ascii="Book Antiqua" w:hAnsi="Book Antiqua" w:cs="Times New Roman"/>
          <w:bCs/>
          <w:color w:val="000000" w:themeColor="text1"/>
          <w:sz w:val="20"/>
          <w:szCs w:val="20"/>
          <w:lang w:val="en-US"/>
        </w:rPr>
      </w:pPr>
      <w:bookmarkStart w:id="34" w:name="OLE_LINK25"/>
      <w:r>
        <w:rPr>
          <w:rFonts w:ascii="Book Antiqua" w:hAnsi="Book Antiqua" w:cs="Times New Roman"/>
          <w:bCs/>
          <w:color w:val="000000" w:themeColor="text1"/>
          <w:sz w:val="20"/>
          <w:szCs w:val="20"/>
          <w:lang w:val="en-US"/>
        </w:rPr>
        <w:t>The article reported a type III DI treated by removing the invagination combined with an MTA apical barrier</w:t>
      </w:r>
      <w:bookmarkEnd w:id="34"/>
      <w:r>
        <w:rPr>
          <w:rFonts w:ascii="Book Antiqua" w:hAnsi="Book Antiqua" w:cs="Times New Roman"/>
          <w:bCs/>
          <w:color w:val="000000" w:themeColor="text1"/>
          <w:sz w:val="20"/>
          <w:szCs w:val="20"/>
          <w:lang w:val="en-US"/>
        </w:rPr>
        <w:t>. A follow-up of 26 mo revealed satisfactory healing of the soft tissue and bone of the periapical lesion, but the long-term efficacy still should be observed.</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Pr="00840D4F" w:rsidRDefault="00FC5E1B">
      <w:pPr>
        <w:snapToGrid w:val="0"/>
        <w:spacing w:line="360" w:lineRule="auto"/>
        <w:rPr>
          <w:rFonts w:ascii="Book Antiqua" w:hAnsi="Book Antiqua" w:cs="Times New Roman"/>
          <w:color w:val="000000" w:themeColor="text1"/>
          <w:sz w:val="20"/>
          <w:szCs w:val="20"/>
          <w:lang w:val="en-US"/>
        </w:rPr>
      </w:pPr>
      <w:r w:rsidRPr="00840D4F">
        <w:rPr>
          <w:rFonts w:ascii="Book Antiqua" w:hAnsi="Book Antiqua" w:cs="Times New Roman"/>
          <w:b/>
          <w:bCs/>
          <w:color w:val="000000" w:themeColor="text1"/>
          <w:sz w:val="20"/>
          <w:szCs w:val="20"/>
          <w:lang w:val="en-US"/>
        </w:rPr>
        <w:t>REFERENCES</w:t>
      </w:r>
    </w:p>
    <w:p w:rsidR="00925A10" w:rsidRPr="00840D4F" w:rsidRDefault="00FC5E1B">
      <w:pPr>
        <w:snapToGrid w:val="0"/>
        <w:spacing w:line="360" w:lineRule="auto"/>
        <w:rPr>
          <w:rFonts w:ascii="Book Antiqua" w:hAnsi="Book Antiqua"/>
          <w:color w:val="000000" w:themeColor="text1"/>
          <w:sz w:val="20"/>
          <w:szCs w:val="20"/>
          <w:lang w:val="en-US"/>
        </w:rPr>
      </w:pPr>
      <w:r w:rsidRPr="00840D4F">
        <w:rPr>
          <w:rFonts w:ascii="Book Antiqua" w:hAnsi="Book Antiqua"/>
          <w:color w:val="000000" w:themeColor="text1"/>
          <w:sz w:val="20"/>
          <w:szCs w:val="20"/>
          <w:lang w:val="en-US"/>
        </w:rPr>
        <w:t xml:space="preserve">1 </w:t>
      </w:r>
      <w:r w:rsidRPr="00840D4F">
        <w:rPr>
          <w:rFonts w:ascii="Book Antiqua" w:hAnsi="Book Antiqua"/>
          <w:b/>
          <w:color w:val="000000" w:themeColor="text1"/>
          <w:sz w:val="20"/>
          <w:szCs w:val="20"/>
          <w:lang w:val="en-US"/>
        </w:rPr>
        <w:t>Shafer WG,</w:t>
      </w:r>
      <w:r w:rsidRPr="00840D4F">
        <w:rPr>
          <w:rFonts w:ascii="Book Antiqua" w:hAnsi="Book Antiqua"/>
          <w:color w:val="000000" w:themeColor="text1"/>
          <w:sz w:val="20"/>
          <w:szCs w:val="20"/>
          <w:lang w:val="en-US"/>
        </w:rPr>
        <w:t xml:space="preserve"> Hine MK, Levy BM. A Text-Book of Oral Pathology. 4th ed. Philadelphia: W.B. Saunders Company, 1983: 2</w:t>
      </w:r>
    </w:p>
    <w:p w:rsidR="00925A10" w:rsidRPr="00840D4F" w:rsidRDefault="00FC5E1B">
      <w:pPr>
        <w:snapToGrid w:val="0"/>
        <w:spacing w:line="360" w:lineRule="auto"/>
        <w:rPr>
          <w:rFonts w:ascii="Book Antiqua" w:hAnsi="Book Antiqua"/>
          <w:color w:val="000000" w:themeColor="text1"/>
          <w:sz w:val="20"/>
          <w:szCs w:val="20"/>
          <w:lang w:val="en-US"/>
        </w:rPr>
      </w:pPr>
      <w:r w:rsidRPr="00840D4F">
        <w:rPr>
          <w:rFonts w:ascii="Book Antiqua" w:hAnsi="Book Antiqua"/>
          <w:color w:val="000000" w:themeColor="text1"/>
          <w:sz w:val="20"/>
          <w:szCs w:val="20"/>
          <w:lang w:val="en-US"/>
        </w:rPr>
        <w:t xml:space="preserve">2 </w:t>
      </w:r>
      <w:r w:rsidRPr="00840D4F">
        <w:rPr>
          <w:rFonts w:ascii="Book Antiqua" w:hAnsi="Book Antiqua"/>
          <w:b/>
          <w:color w:val="000000" w:themeColor="text1"/>
          <w:sz w:val="20"/>
          <w:szCs w:val="20"/>
          <w:lang w:val="en-US"/>
        </w:rPr>
        <w:t>Hülsmann M</w:t>
      </w:r>
      <w:r w:rsidRPr="00840D4F">
        <w:rPr>
          <w:rFonts w:ascii="Book Antiqua" w:hAnsi="Book Antiqua"/>
          <w:color w:val="000000" w:themeColor="text1"/>
          <w:sz w:val="20"/>
          <w:szCs w:val="20"/>
          <w:lang w:val="en-US"/>
        </w:rPr>
        <w:t xml:space="preserve">. Dens invaginatus: aetiology, classification, prevalence, diagnosis, and treatment considerations. </w:t>
      </w:r>
      <w:r w:rsidRPr="00840D4F">
        <w:rPr>
          <w:rFonts w:ascii="Book Antiqua" w:hAnsi="Book Antiqua"/>
          <w:i/>
          <w:color w:val="000000" w:themeColor="text1"/>
          <w:sz w:val="20"/>
          <w:szCs w:val="20"/>
          <w:lang w:val="en-US"/>
        </w:rPr>
        <w:t>Int Endod J</w:t>
      </w:r>
      <w:r w:rsidRPr="00840D4F">
        <w:rPr>
          <w:rFonts w:ascii="Book Antiqua" w:hAnsi="Book Antiqua"/>
          <w:color w:val="000000" w:themeColor="text1"/>
          <w:sz w:val="20"/>
          <w:szCs w:val="20"/>
          <w:lang w:val="en-US"/>
        </w:rPr>
        <w:t xml:space="preserve"> 1997; </w:t>
      </w:r>
      <w:r w:rsidRPr="00840D4F">
        <w:rPr>
          <w:rFonts w:ascii="Book Antiqua" w:hAnsi="Book Antiqua"/>
          <w:b/>
          <w:color w:val="000000" w:themeColor="text1"/>
          <w:sz w:val="20"/>
          <w:szCs w:val="20"/>
          <w:lang w:val="en-US"/>
        </w:rPr>
        <w:t>30</w:t>
      </w:r>
      <w:r w:rsidRPr="00840D4F">
        <w:rPr>
          <w:rFonts w:ascii="Book Antiqua" w:hAnsi="Book Antiqua"/>
          <w:color w:val="000000" w:themeColor="text1"/>
          <w:sz w:val="20"/>
          <w:szCs w:val="20"/>
          <w:lang w:val="en-US"/>
        </w:rPr>
        <w:t>: 79-90 [PMID: 10332241 DOI: 10.1046/j.1365-2591.1997.00065.x]</w:t>
      </w:r>
    </w:p>
    <w:p w:rsidR="00925A10" w:rsidRDefault="00FC5E1B">
      <w:pPr>
        <w:snapToGrid w:val="0"/>
        <w:spacing w:line="360" w:lineRule="auto"/>
        <w:rPr>
          <w:rFonts w:ascii="Book Antiqua" w:hAnsi="Book Antiqua"/>
          <w:color w:val="000000" w:themeColor="text1"/>
          <w:sz w:val="20"/>
          <w:szCs w:val="20"/>
          <w:lang w:val="en-US"/>
        </w:rPr>
      </w:pPr>
      <w:r w:rsidRPr="00840D4F">
        <w:rPr>
          <w:rFonts w:ascii="Book Antiqua" w:hAnsi="Book Antiqua"/>
          <w:color w:val="000000" w:themeColor="text1"/>
          <w:sz w:val="20"/>
          <w:szCs w:val="20"/>
          <w:lang w:val="en-US"/>
        </w:rPr>
        <w:t xml:space="preserve">3 </w:t>
      </w:r>
      <w:r w:rsidRPr="00840D4F">
        <w:rPr>
          <w:rFonts w:ascii="Book Antiqua" w:hAnsi="Book Antiqua"/>
          <w:b/>
          <w:color w:val="000000" w:themeColor="text1"/>
          <w:sz w:val="20"/>
          <w:szCs w:val="20"/>
          <w:lang w:val="en-US"/>
        </w:rPr>
        <w:t>Alani A</w:t>
      </w:r>
      <w:r w:rsidRPr="00840D4F">
        <w:rPr>
          <w:rFonts w:ascii="Book Antiqua" w:hAnsi="Book Antiqua"/>
          <w:color w:val="000000" w:themeColor="text1"/>
          <w:sz w:val="20"/>
          <w:szCs w:val="20"/>
          <w:lang w:val="en-US"/>
        </w:rPr>
        <w:t>, Bishop K. Dens in</w:t>
      </w:r>
      <w:r>
        <w:rPr>
          <w:rFonts w:ascii="Book Antiqua" w:hAnsi="Book Antiqua"/>
          <w:color w:val="000000" w:themeColor="text1"/>
          <w:sz w:val="20"/>
          <w:szCs w:val="20"/>
          <w:lang w:val="en-US"/>
        </w:rPr>
        <w:t xml:space="preserve">vaginatus. Part 1: classification, prevalence and aetiology.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2008; </w:t>
      </w:r>
      <w:r>
        <w:rPr>
          <w:rFonts w:ascii="Book Antiqua" w:hAnsi="Book Antiqua"/>
          <w:b/>
          <w:color w:val="000000" w:themeColor="text1"/>
          <w:sz w:val="20"/>
          <w:szCs w:val="20"/>
          <w:lang w:val="en-US"/>
        </w:rPr>
        <w:t>41</w:t>
      </w:r>
      <w:r>
        <w:rPr>
          <w:rFonts w:ascii="Book Antiqua" w:hAnsi="Book Antiqua"/>
          <w:color w:val="000000" w:themeColor="text1"/>
          <w:sz w:val="20"/>
          <w:szCs w:val="20"/>
          <w:lang w:val="en-US"/>
        </w:rPr>
        <w:t>: 1123-1136 [PMID: 19133103 DOI: 10.1111/j.1365-2591.2008.01468.x]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4 </w:t>
      </w:r>
      <w:r>
        <w:rPr>
          <w:rFonts w:ascii="Book Antiqua" w:hAnsi="Book Antiqua"/>
          <w:b/>
          <w:color w:val="000000" w:themeColor="text1"/>
          <w:sz w:val="20"/>
          <w:szCs w:val="20"/>
          <w:lang w:val="en-US"/>
        </w:rPr>
        <w:t>OEHLERS FA</w:t>
      </w:r>
      <w:r>
        <w:rPr>
          <w:rFonts w:ascii="Book Antiqua" w:hAnsi="Book Antiqua"/>
          <w:color w:val="000000" w:themeColor="text1"/>
          <w:sz w:val="20"/>
          <w:szCs w:val="20"/>
          <w:lang w:val="en-US"/>
        </w:rPr>
        <w:t xml:space="preserve">. Dens invaginatus (dilated composite odontome). I. Variations of the invagination process and associated anterior crown forms. </w:t>
      </w:r>
      <w:r>
        <w:rPr>
          <w:rFonts w:ascii="Book Antiqua" w:hAnsi="Book Antiqua"/>
          <w:i/>
          <w:color w:val="000000" w:themeColor="text1"/>
          <w:sz w:val="20"/>
          <w:szCs w:val="20"/>
          <w:lang w:val="en-US"/>
        </w:rPr>
        <w:t>Oral Surg Oral Med Oral Pathol</w:t>
      </w:r>
      <w:r>
        <w:rPr>
          <w:rFonts w:ascii="Book Antiqua" w:hAnsi="Book Antiqua"/>
          <w:color w:val="000000" w:themeColor="text1"/>
          <w:sz w:val="20"/>
          <w:szCs w:val="20"/>
          <w:lang w:val="en-US"/>
        </w:rPr>
        <w:t xml:space="preserve"> 1957; </w:t>
      </w:r>
      <w:r>
        <w:rPr>
          <w:rFonts w:ascii="Book Antiqua" w:hAnsi="Book Antiqua"/>
          <w:b/>
          <w:color w:val="000000" w:themeColor="text1"/>
          <w:sz w:val="20"/>
          <w:szCs w:val="20"/>
          <w:lang w:val="en-US"/>
        </w:rPr>
        <w:t>10</w:t>
      </w:r>
      <w:r>
        <w:rPr>
          <w:rFonts w:ascii="Book Antiqua" w:hAnsi="Book Antiqua"/>
          <w:color w:val="000000" w:themeColor="text1"/>
          <w:sz w:val="20"/>
          <w:szCs w:val="20"/>
          <w:lang w:val="en-US"/>
        </w:rPr>
        <w:t>: 1204-18 contd [PMID: 13477660 DOI: 10.1016/0030-4220(57)90077-4]</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5 </w:t>
      </w:r>
      <w:r>
        <w:rPr>
          <w:rFonts w:ascii="Book Antiqua" w:hAnsi="Book Antiqua"/>
          <w:b/>
          <w:color w:val="000000" w:themeColor="text1"/>
          <w:sz w:val="20"/>
          <w:szCs w:val="20"/>
          <w:lang w:val="en-US"/>
        </w:rPr>
        <w:t>Cakici F</w:t>
      </w:r>
      <w:r>
        <w:rPr>
          <w:rFonts w:ascii="Book Antiqua" w:hAnsi="Book Antiqua"/>
          <w:color w:val="000000" w:themeColor="text1"/>
          <w:sz w:val="20"/>
          <w:szCs w:val="20"/>
          <w:lang w:val="en-US"/>
        </w:rPr>
        <w:t xml:space="preserve">, Celikoglu M, Arslan H, Topcuoglu HS, Erdogan AS. Assessment of the prevalence and characteristics of dens invaginatus in a sample of Turkish Anatolian population. </w:t>
      </w:r>
      <w:r>
        <w:rPr>
          <w:rFonts w:ascii="Book Antiqua" w:hAnsi="Book Antiqua"/>
          <w:i/>
          <w:color w:val="000000" w:themeColor="text1"/>
          <w:sz w:val="20"/>
          <w:szCs w:val="20"/>
          <w:lang w:val="en-US"/>
        </w:rPr>
        <w:t>Med Oral Patol Oral Cir Bucal</w:t>
      </w:r>
      <w:r>
        <w:rPr>
          <w:rFonts w:ascii="Book Antiqua" w:hAnsi="Book Antiqua"/>
          <w:color w:val="000000" w:themeColor="text1"/>
          <w:sz w:val="20"/>
          <w:szCs w:val="20"/>
          <w:lang w:val="en-US"/>
        </w:rPr>
        <w:t xml:space="preserve"> 2010; </w:t>
      </w:r>
      <w:r>
        <w:rPr>
          <w:rFonts w:ascii="Book Antiqua" w:hAnsi="Book Antiqua"/>
          <w:b/>
          <w:color w:val="000000" w:themeColor="text1"/>
          <w:sz w:val="20"/>
          <w:szCs w:val="20"/>
          <w:lang w:val="en-US"/>
        </w:rPr>
        <w:t>15</w:t>
      </w:r>
      <w:r>
        <w:rPr>
          <w:rFonts w:ascii="Book Antiqua" w:hAnsi="Book Antiqua"/>
          <w:color w:val="000000" w:themeColor="text1"/>
          <w:sz w:val="20"/>
          <w:szCs w:val="20"/>
          <w:lang w:val="en-US"/>
        </w:rPr>
        <w:t>: e855-e858 [PMID: 20526277 DOI: 10.4317/medoral.15.e855]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6 </w:t>
      </w:r>
      <w:r>
        <w:rPr>
          <w:rFonts w:ascii="Book Antiqua" w:hAnsi="Book Antiqua"/>
          <w:b/>
          <w:color w:val="000000" w:themeColor="text1"/>
          <w:sz w:val="20"/>
          <w:szCs w:val="20"/>
          <w:lang w:val="en-US"/>
        </w:rPr>
        <w:t>Rotstein I</w:t>
      </w:r>
      <w:r>
        <w:rPr>
          <w:rFonts w:ascii="Book Antiqua" w:hAnsi="Book Antiqua"/>
          <w:color w:val="000000" w:themeColor="text1"/>
          <w:sz w:val="20"/>
          <w:szCs w:val="20"/>
          <w:lang w:val="en-US"/>
        </w:rPr>
        <w:t xml:space="preserve">, Stabholz A, Heling I, Friedman S. Clinical considerations in the treatment of dens invaginatus. </w:t>
      </w:r>
      <w:r>
        <w:rPr>
          <w:rFonts w:ascii="Book Antiqua" w:hAnsi="Book Antiqua"/>
          <w:i/>
          <w:color w:val="000000" w:themeColor="text1"/>
          <w:sz w:val="20"/>
          <w:szCs w:val="20"/>
          <w:lang w:val="en-US"/>
        </w:rPr>
        <w:t>Endod Dent Traumatol</w:t>
      </w:r>
      <w:r>
        <w:rPr>
          <w:rFonts w:ascii="Book Antiqua" w:hAnsi="Book Antiqua"/>
          <w:color w:val="000000" w:themeColor="text1"/>
          <w:sz w:val="20"/>
          <w:szCs w:val="20"/>
          <w:lang w:val="en-US"/>
        </w:rPr>
        <w:t xml:space="preserve"> 1987; </w:t>
      </w:r>
      <w:r>
        <w:rPr>
          <w:rFonts w:ascii="Book Antiqua" w:hAnsi="Book Antiqua"/>
          <w:b/>
          <w:color w:val="000000" w:themeColor="text1"/>
          <w:sz w:val="20"/>
          <w:szCs w:val="20"/>
          <w:lang w:val="en-US"/>
        </w:rPr>
        <w:t>3</w:t>
      </w:r>
      <w:r>
        <w:rPr>
          <w:rFonts w:ascii="Book Antiqua" w:hAnsi="Book Antiqua"/>
          <w:color w:val="000000" w:themeColor="text1"/>
          <w:sz w:val="20"/>
          <w:szCs w:val="20"/>
          <w:lang w:val="en-US"/>
        </w:rPr>
        <w:t>: 249-254 [PMID: 3479324 DOI: 10.1111/j.1600-9657.1987.tb00632.x]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7 </w:t>
      </w:r>
      <w:r>
        <w:rPr>
          <w:rFonts w:ascii="Book Antiqua" w:hAnsi="Book Antiqua"/>
          <w:b/>
          <w:color w:val="000000" w:themeColor="text1"/>
          <w:sz w:val="20"/>
          <w:szCs w:val="20"/>
          <w:lang w:val="en-US"/>
        </w:rPr>
        <w:t>Jaramillo A</w:t>
      </w:r>
      <w:r>
        <w:rPr>
          <w:rFonts w:ascii="Book Antiqua" w:hAnsi="Book Antiqua"/>
          <w:color w:val="000000" w:themeColor="text1"/>
          <w:sz w:val="20"/>
          <w:szCs w:val="20"/>
          <w:lang w:val="en-US"/>
        </w:rPr>
        <w:t xml:space="preserve">, Fernández R, Villa P. Endodontic treatment of dens invaginatus: a 5-year follow-up. </w:t>
      </w:r>
      <w:r>
        <w:rPr>
          <w:rFonts w:ascii="Book Antiqua" w:hAnsi="Book Antiqua"/>
          <w:i/>
          <w:color w:val="000000" w:themeColor="text1"/>
          <w:sz w:val="20"/>
          <w:szCs w:val="20"/>
          <w:lang w:val="en-US"/>
        </w:rPr>
        <w:t>Oral Surg Oral Med Oral Pathol Oral Radiol Endod</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101</w:t>
      </w:r>
      <w:r>
        <w:rPr>
          <w:rFonts w:ascii="Book Antiqua" w:hAnsi="Book Antiqua"/>
          <w:color w:val="000000" w:themeColor="text1"/>
          <w:sz w:val="20"/>
          <w:szCs w:val="20"/>
          <w:lang w:val="en-US"/>
        </w:rPr>
        <w:t>: e15-e21 [PMID: 16360600 DOI: 10.1016/j.tripleo.2005.08.008]</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8 </w:t>
      </w:r>
      <w:r>
        <w:rPr>
          <w:rFonts w:ascii="Book Antiqua" w:hAnsi="Book Antiqua"/>
          <w:b/>
          <w:color w:val="000000" w:themeColor="text1"/>
          <w:sz w:val="20"/>
          <w:szCs w:val="20"/>
          <w:lang w:val="en-US"/>
        </w:rPr>
        <w:t>Hovland EJ</w:t>
      </w:r>
      <w:r>
        <w:rPr>
          <w:rFonts w:ascii="Book Antiqua" w:hAnsi="Book Antiqua"/>
          <w:color w:val="000000" w:themeColor="text1"/>
          <w:sz w:val="20"/>
          <w:szCs w:val="20"/>
          <w:lang w:val="en-US"/>
        </w:rPr>
        <w:t xml:space="preserve">, Block RM. Nonrecognition and subsequent endodontic treatment of dens invaginatus.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1977; </w:t>
      </w:r>
      <w:r>
        <w:rPr>
          <w:rFonts w:ascii="Book Antiqua" w:hAnsi="Book Antiqua"/>
          <w:b/>
          <w:color w:val="000000" w:themeColor="text1"/>
          <w:sz w:val="20"/>
          <w:szCs w:val="20"/>
          <w:lang w:val="en-US"/>
        </w:rPr>
        <w:t>3</w:t>
      </w:r>
      <w:r>
        <w:rPr>
          <w:rFonts w:ascii="Book Antiqua" w:hAnsi="Book Antiqua"/>
          <w:color w:val="000000" w:themeColor="text1"/>
          <w:sz w:val="20"/>
          <w:szCs w:val="20"/>
          <w:lang w:val="en-US"/>
        </w:rPr>
        <w:t>: 360-362 [PMID: 269901 DOI: 10.1016/S0099-2399(77)80067-8]</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9 </w:t>
      </w:r>
      <w:r>
        <w:rPr>
          <w:rFonts w:ascii="Book Antiqua" w:hAnsi="Book Antiqua"/>
          <w:b/>
          <w:color w:val="000000" w:themeColor="text1"/>
          <w:sz w:val="20"/>
          <w:szCs w:val="20"/>
          <w:lang w:val="en-US"/>
        </w:rPr>
        <w:t>Tsurumachi T</w:t>
      </w:r>
      <w:r>
        <w:rPr>
          <w:rFonts w:ascii="Book Antiqua" w:hAnsi="Book Antiqua"/>
          <w:color w:val="000000" w:themeColor="text1"/>
          <w:sz w:val="20"/>
          <w:szCs w:val="20"/>
          <w:lang w:val="en-US"/>
        </w:rPr>
        <w:t xml:space="preserve">, Hayashi M, Takeichi O. Non-surgical root canal treatment of dens invaginatus type 2 in a maxillary lateral incisor.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2002; </w:t>
      </w:r>
      <w:r>
        <w:rPr>
          <w:rFonts w:ascii="Book Antiqua" w:hAnsi="Book Antiqua"/>
          <w:b/>
          <w:color w:val="000000" w:themeColor="text1"/>
          <w:sz w:val="20"/>
          <w:szCs w:val="20"/>
          <w:lang w:val="en-US"/>
        </w:rPr>
        <w:t>35</w:t>
      </w:r>
      <w:r>
        <w:rPr>
          <w:rFonts w:ascii="Book Antiqua" w:hAnsi="Book Antiqua"/>
          <w:color w:val="000000" w:themeColor="text1"/>
          <w:sz w:val="20"/>
          <w:szCs w:val="20"/>
          <w:lang w:val="en-US"/>
        </w:rPr>
        <w:t>: 310-314 [PMID: 11993441 DOI: 10.1046/j.1365-2591.2002.00450.x]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10 </w:t>
      </w:r>
      <w:r>
        <w:rPr>
          <w:rFonts w:ascii="Book Antiqua" w:hAnsi="Book Antiqua"/>
          <w:b/>
          <w:color w:val="000000" w:themeColor="text1"/>
          <w:sz w:val="20"/>
          <w:szCs w:val="20"/>
          <w:lang w:val="en-US"/>
        </w:rPr>
        <w:t>Nallapati S</w:t>
      </w:r>
      <w:r>
        <w:rPr>
          <w:rFonts w:ascii="Book Antiqua" w:hAnsi="Book Antiqua"/>
          <w:color w:val="000000" w:themeColor="text1"/>
          <w:sz w:val="20"/>
          <w:szCs w:val="20"/>
          <w:lang w:val="en-US"/>
        </w:rPr>
        <w:t xml:space="preserve">. Clinical management of a maxillary lateral incisor with vital pulp and type 3 dens invaginatus: a case report.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2004; </w:t>
      </w:r>
      <w:r>
        <w:rPr>
          <w:rFonts w:ascii="Book Antiqua" w:hAnsi="Book Antiqua"/>
          <w:b/>
          <w:color w:val="000000" w:themeColor="text1"/>
          <w:sz w:val="20"/>
          <w:szCs w:val="20"/>
          <w:lang w:val="en-US"/>
        </w:rPr>
        <w:t>30</w:t>
      </w:r>
      <w:r>
        <w:rPr>
          <w:rFonts w:ascii="Book Antiqua" w:hAnsi="Book Antiqua"/>
          <w:color w:val="000000" w:themeColor="text1"/>
          <w:sz w:val="20"/>
          <w:szCs w:val="20"/>
          <w:lang w:val="en-US"/>
        </w:rPr>
        <w:t>: 726-731 [PMID: 15448469 DOI: 10.1097/01.don.0000125879.11248.12]</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11 </w:t>
      </w:r>
      <w:r>
        <w:rPr>
          <w:rFonts w:ascii="Book Antiqua" w:hAnsi="Book Antiqua"/>
          <w:b/>
          <w:color w:val="000000" w:themeColor="text1"/>
          <w:sz w:val="20"/>
          <w:szCs w:val="20"/>
          <w:lang w:val="en-US"/>
        </w:rPr>
        <w:t>Ortiz P</w:t>
      </w:r>
      <w:r>
        <w:rPr>
          <w:rFonts w:ascii="Book Antiqua" w:hAnsi="Book Antiqua"/>
          <w:color w:val="000000" w:themeColor="text1"/>
          <w:sz w:val="20"/>
          <w:szCs w:val="20"/>
          <w:lang w:val="en-US"/>
        </w:rPr>
        <w:t xml:space="preserve">, Weisleder R, Villareal de Justus Y. Combined therapy in the treatment of dens invaginatus: case report.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2004; </w:t>
      </w:r>
      <w:r>
        <w:rPr>
          <w:rFonts w:ascii="Book Antiqua" w:hAnsi="Book Antiqua"/>
          <w:b/>
          <w:color w:val="000000" w:themeColor="text1"/>
          <w:sz w:val="20"/>
          <w:szCs w:val="20"/>
          <w:lang w:val="en-US"/>
        </w:rPr>
        <w:t>30</w:t>
      </w:r>
      <w:r>
        <w:rPr>
          <w:rFonts w:ascii="Book Antiqua" w:hAnsi="Book Antiqua"/>
          <w:color w:val="000000" w:themeColor="text1"/>
          <w:sz w:val="20"/>
          <w:szCs w:val="20"/>
          <w:lang w:val="en-US"/>
        </w:rPr>
        <w:t>: 672-674 [PMID: 15329576 DOI: 10.1097/01.don.0000121611.19808.ad]</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12 </w:t>
      </w:r>
      <w:r>
        <w:rPr>
          <w:rFonts w:ascii="Book Antiqua" w:hAnsi="Book Antiqua"/>
          <w:b/>
          <w:color w:val="000000" w:themeColor="text1"/>
          <w:sz w:val="20"/>
          <w:szCs w:val="20"/>
          <w:lang w:val="en-US"/>
        </w:rPr>
        <w:t>Nedley MP</w:t>
      </w:r>
      <w:r>
        <w:rPr>
          <w:rFonts w:ascii="Book Antiqua" w:hAnsi="Book Antiqua"/>
          <w:color w:val="000000" w:themeColor="text1"/>
          <w:sz w:val="20"/>
          <w:szCs w:val="20"/>
          <w:lang w:val="en-US"/>
        </w:rPr>
        <w:t xml:space="preserve">, Powers GK. Intentional extraction and reimplantation of an immature invaginated central incisor. </w:t>
      </w:r>
      <w:r>
        <w:rPr>
          <w:rFonts w:ascii="Book Antiqua" w:hAnsi="Book Antiqua"/>
          <w:i/>
          <w:color w:val="000000" w:themeColor="text1"/>
          <w:sz w:val="20"/>
          <w:szCs w:val="20"/>
          <w:lang w:val="en-US"/>
        </w:rPr>
        <w:t>ASDC J Dent Child</w:t>
      </w:r>
      <w:r>
        <w:rPr>
          <w:rFonts w:ascii="Book Antiqua" w:hAnsi="Book Antiqua"/>
          <w:color w:val="000000" w:themeColor="text1"/>
          <w:sz w:val="20"/>
          <w:szCs w:val="20"/>
          <w:lang w:val="en-US"/>
        </w:rPr>
        <w:t xml:space="preserve"> 1997; </w:t>
      </w:r>
      <w:r>
        <w:rPr>
          <w:rFonts w:ascii="Book Antiqua" w:hAnsi="Book Antiqua"/>
          <w:b/>
          <w:color w:val="000000" w:themeColor="text1"/>
          <w:sz w:val="20"/>
          <w:szCs w:val="20"/>
          <w:lang w:val="en-US"/>
        </w:rPr>
        <w:t>64</w:t>
      </w:r>
      <w:r>
        <w:rPr>
          <w:rFonts w:ascii="Book Antiqua" w:hAnsi="Book Antiqua"/>
          <w:color w:val="000000" w:themeColor="text1"/>
          <w:sz w:val="20"/>
          <w:szCs w:val="20"/>
          <w:lang w:val="en-US"/>
        </w:rPr>
        <w:t>: 417-420 [PMID: 9466013]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13 </w:t>
      </w:r>
      <w:r>
        <w:rPr>
          <w:rFonts w:ascii="Book Antiqua" w:hAnsi="Book Antiqua"/>
          <w:b/>
          <w:color w:val="000000" w:themeColor="text1"/>
          <w:sz w:val="20"/>
          <w:szCs w:val="20"/>
          <w:lang w:val="en-US"/>
        </w:rPr>
        <w:t>Girsch WJ</w:t>
      </w:r>
      <w:r>
        <w:rPr>
          <w:rFonts w:ascii="Book Antiqua" w:hAnsi="Book Antiqua"/>
          <w:color w:val="000000" w:themeColor="text1"/>
          <w:sz w:val="20"/>
          <w:szCs w:val="20"/>
          <w:lang w:val="en-US"/>
        </w:rPr>
        <w:t xml:space="preserve">, McClammy TV. Microscopic removal of dens invaginatus.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2002; </w:t>
      </w:r>
      <w:r>
        <w:rPr>
          <w:rFonts w:ascii="Book Antiqua" w:hAnsi="Book Antiqua"/>
          <w:b/>
          <w:color w:val="000000" w:themeColor="text1"/>
          <w:sz w:val="20"/>
          <w:szCs w:val="20"/>
          <w:lang w:val="en-US"/>
        </w:rPr>
        <w:t>28</w:t>
      </w:r>
      <w:r>
        <w:rPr>
          <w:rFonts w:ascii="Book Antiqua" w:hAnsi="Book Antiqua"/>
          <w:color w:val="000000" w:themeColor="text1"/>
          <w:sz w:val="20"/>
          <w:szCs w:val="20"/>
          <w:lang w:val="en-US"/>
        </w:rPr>
        <w:t>: 336-339 [PMID: 12043878 DOI: 10.1097/00004770-200204000-00020]</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14 </w:t>
      </w:r>
      <w:r>
        <w:rPr>
          <w:rFonts w:ascii="Book Antiqua" w:hAnsi="Book Antiqua"/>
          <w:b/>
          <w:color w:val="000000" w:themeColor="text1"/>
          <w:sz w:val="20"/>
          <w:szCs w:val="20"/>
          <w:lang w:val="en-US"/>
        </w:rPr>
        <w:t>Special Committee to Revise the Joint AAE/AAOMR Position Statement on use of CBCT in Endodontics.</w:t>
      </w:r>
      <w:r>
        <w:rPr>
          <w:rFonts w:ascii="Book Antiqua" w:hAnsi="Book Antiqua"/>
          <w:color w:val="000000" w:themeColor="text1"/>
          <w:sz w:val="20"/>
          <w:szCs w:val="20"/>
          <w:lang w:val="en-US"/>
        </w:rPr>
        <w:t xml:space="preserve">. AAE and AAOMR Joint Position Statement: Use of Cone Beam Computed Tomography in Endodontics 2015 Update. </w:t>
      </w:r>
      <w:r>
        <w:rPr>
          <w:rFonts w:ascii="Book Antiqua" w:hAnsi="Book Antiqua"/>
          <w:i/>
          <w:color w:val="000000" w:themeColor="text1"/>
          <w:sz w:val="20"/>
          <w:szCs w:val="20"/>
          <w:lang w:val="en-US"/>
        </w:rPr>
        <w:t>Oral Surg Oral Med Oral Pathol Oral Radiol</w:t>
      </w:r>
      <w:r>
        <w:rPr>
          <w:rFonts w:ascii="Book Antiqua" w:hAnsi="Book Antiqua"/>
          <w:color w:val="000000" w:themeColor="text1"/>
          <w:sz w:val="20"/>
          <w:szCs w:val="20"/>
          <w:lang w:val="en-US"/>
        </w:rPr>
        <w:t xml:space="preserve"> 2015; </w:t>
      </w:r>
      <w:r>
        <w:rPr>
          <w:rFonts w:ascii="Book Antiqua" w:hAnsi="Book Antiqua"/>
          <w:b/>
          <w:color w:val="000000" w:themeColor="text1"/>
          <w:sz w:val="20"/>
          <w:szCs w:val="20"/>
          <w:lang w:val="en-US"/>
        </w:rPr>
        <w:t>120</w:t>
      </w:r>
      <w:r>
        <w:rPr>
          <w:rFonts w:ascii="Book Antiqua" w:hAnsi="Book Antiqua"/>
          <w:color w:val="000000" w:themeColor="text1"/>
          <w:sz w:val="20"/>
          <w:szCs w:val="20"/>
          <w:lang w:val="en-US"/>
        </w:rPr>
        <w:t>: 508-512 [PMID: 26346911 DOI: 10.1016/j.oooo.2015.07.033]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15 </w:t>
      </w:r>
      <w:r>
        <w:rPr>
          <w:rFonts w:ascii="Book Antiqua" w:hAnsi="Book Antiqua"/>
          <w:b/>
          <w:color w:val="000000" w:themeColor="text1"/>
          <w:sz w:val="20"/>
          <w:szCs w:val="20"/>
          <w:lang w:val="en-US"/>
        </w:rPr>
        <w:t>Scarfe WC</w:t>
      </w:r>
      <w:r>
        <w:rPr>
          <w:rFonts w:ascii="Book Antiqua" w:hAnsi="Book Antiqua"/>
          <w:color w:val="000000" w:themeColor="text1"/>
          <w:sz w:val="20"/>
          <w:szCs w:val="20"/>
          <w:lang w:val="en-US"/>
        </w:rPr>
        <w:t xml:space="preserve">, Farman AG, Sukovic P. Clinical applications of cone-beam computed tomography in dental practice. </w:t>
      </w:r>
      <w:r>
        <w:rPr>
          <w:rFonts w:ascii="Book Antiqua" w:hAnsi="Book Antiqua"/>
          <w:i/>
          <w:color w:val="000000" w:themeColor="text1"/>
          <w:sz w:val="20"/>
          <w:szCs w:val="20"/>
          <w:lang w:val="en-US"/>
        </w:rPr>
        <w:t>J Can Dent Assoc</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72</w:t>
      </w:r>
      <w:r>
        <w:rPr>
          <w:rFonts w:ascii="Book Antiqua" w:hAnsi="Book Antiqua"/>
          <w:color w:val="000000" w:themeColor="text1"/>
          <w:sz w:val="20"/>
          <w:szCs w:val="20"/>
          <w:lang w:val="en-US"/>
        </w:rPr>
        <w:t>: 75-80 [PMID: 16480609]</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16 </w:t>
      </w:r>
      <w:r>
        <w:rPr>
          <w:rFonts w:ascii="Book Antiqua" w:hAnsi="Book Antiqua"/>
          <w:b/>
          <w:color w:val="000000" w:themeColor="text1"/>
          <w:sz w:val="20"/>
          <w:szCs w:val="20"/>
          <w:lang w:val="en-US"/>
        </w:rPr>
        <w:t>Yajima A</w:t>
      </w:r>
      <w:r>
        <w:rPr>
          <w:rFonts w:ascii="Book Antiqua" w:hAnsi="Book Antiqua"/>
          <w:color w:val="000000" w:themeColor="text1"/>
          <w:sz w:val="20"/>
          <w:szCs w:val="20"/>
          <w:lang w:val="en-US"/>
        </w:rPr>
        <w:t xml:space="preserve">, Otonari-Yamamoto M, Sano T, Hayakawa Y, Otonari T, Tanabe K, Wakoh M, Mizuta S, Yonezu H, Nakagawa K, Yajima Y. Cone-beam CT (CB Throne) applied to dentomaxillofacial region. </w:t>
      </w:r>
      <w:r>
        <w:rPr>
          <w:rFonts w:ascii="Book Antiqua" w:hAnsi="Book Antiqua"/>
          <w:i/>
          <w:color w:val="000000" w:themeColor="text1"/>
          <w:sz w:val="20"/>
          <w:szCs w:val="20"/>
          <w:lang w:val="en-US"/>
        </w:rPr>
        <w:t>Bull Tokyo Dent Coll</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47</w:t>
      </w:r>
      <w:r>
        <w:rPr>
          <w:rFonts w:ascii="Book Antiqua" w:hAnsi="Book Antiqua"/>
          <w:color w:val="000000" w:themeColor="text1"/>
          <w:sz w:val="20"/>
          <w:szCs w:val="20"/>
          <w:lang w:val="en-US"/>
        </w:rPr>
        <w:t>: 133-141 [PMID: 17344621 DOI: 10.2209/tdcpublication.47.133]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17 </w:t>
      </w:r>
      <w:r>
        <w:rPr>
          <w:rFonts w:ascii="Book Antiqua" w:hAnsi="Book Antiqua"/>
          <w:b/>
          <w:color w:val="000000" w:themeColor="text1"/>
          <w:sz w:val="20"/>
          <w:szCs w:val="20"/>
          <w:lang w:val="en-US"/>
        </w:rPr>
        <w:t>Ziegler CM</w:t>
      </w:r>
      <w:r>
        <w:rPr>
          <w:rFonts w:ascii="Book Antiqua" w:hAnsi="Book Antiqua"/>
          <w:color w:val="000000" w:themeColor="text1"/>
          <w:sz w:val="20"/>
          <w:szCs w:val="20"/>
          <w:lang w:val="en-US"/>
        </w:rPr>
        <w:t xml:space="preserve">, Woertche R, Brief J, Hassfeld S. Clinical indications for digital volume tomography in oral and maxillofacial surgery. </w:t>
      </w:r>
      <w:r>
        <w:rPr>
          <w:rFonts w:ascii="Book Antiqua" w:hAnsi="Book Antiqua"/>
          <w:i/>
          <w:color w:val="000000" w:themeColor="text1"/>
          <w:sz w:val="20"/>
          <w:szCs w:val="20"/>
          <w:lang w:val="en-US"/>
        </w:rPr>
        <w:t>Dentomaxillofac Radiol</w:t>
      </w:r>
      <w:r>
        <w:rPr>
          <w:rFonts w:ascii="Book Antiqua" w:hAnsi="Book Antiqua"/>
          <w:color w:val="000000" w:themeColor="text1"/>
          <w:sz w:val="20"/>
          <w:szCs w:val="20"/>
          <w:lang w:val="en-US"/>
        </w:rPr>
        <w:t xml:space="preserve"> 2002; </w:t>
      </w:r>
      <w:r>
        <w:rPr>
          <w:rFonts w:ascii="Book Antiqua" w:hAnsi="Book Antiqua"/>
          <w:b/>
          <w:color w:val="000000" w:themeColor="text1"/>
          <w:sz w:val="20"/>
          <w:szCs w:val="20"/>
          <w:lang w:val="en-US"/>
        </w:rPr>
        <w:t>31</w:t>
      </w:r>
      <w:r>
        <w:rPr>
          <w:rFonts w:ascii="Book Antiqua" w:hAnsi="Book Antiqua"/>
          <w:color w:val="000000" w:themeColor="text1"/>
          <w:sz w:val="20"/>
          <w:szCs w:val="20"/>
          <w:lang w:val="en-US"/>
        </w:rPr>
        <w:t>: 126-130 [PMID: 12076053 DOI: 10.1038/sj/dmfr/4600680]</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18 </w:t>
      </w:r>
      <w:r>
        <w:rPr>
          <w:rFonts w:ascii="Book Antiqua" w:hAnsi="Book Antiqua"/>
          <w:b/>
          <w:color w:val="000000" w:themeColor="text1"/>
          <w:sz w:val="20"/>
          <w:szCs w:val="20"/>
          <w:lang w:val="en-US"/>
        </w:rPr>
        <w:t>Baratto Filho F</w:t>
      </w:r>
      <w:r>
        <w:rPr>
          <w:rFonts w:ascii="Book Antiqua" w:hAnsi="Book Antiqua"/>
          <w:color w:val="000000" w:themeColor="text1"/>
          <w:sz w:val="20"/>
          <w:szCs w:val="20"/>
          <w:lang w:val="en-US"/>
        </w:rPr>
        <w:t xml:space="preserve">, Zaitter S, Haragushiku GA, de Campos EA, Abuabara A, Correr GM. Analysis of the internal anatomy of maxillary first molars by using different methods.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2009; </w:t>
      </w:r>
      <w:r>
        <w:rPr>
          <w:rFonts w:ascii="Book Antiqua" w:hAnsi="Book Antiqua"/>
          <w:b/>
          <w:color w:val="000000" w:themeColor="text1"/>
          <w:sz w:val="20"/>
          <w:szCs w:val="20"/>
          <w:lang w:val="en-US"/>
        </w:rPr>
        <w:t>35</w:t>
      </w:r>
      <w:r>
        <w:rPr>
          <w:rFonts w:ascii="Book Antiqua" w:hAnsi="Book Antiqua"/>
          <w:color w:val="000000" w:themeColor="text1"/>
          <w:sz w:val="20"/>
          <w:szCs w:val="20"/>
          <w:lang w:val="en-US"/>
        </w:rPr>
        <w:t>: 337-342 [PMID: 19249591 DOI: 10.1016/j.joen.2008.11.022]</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19 </w:t>
      </w:r>
      <w:r>
        <w:rPr>
          <w:rFonts w:ascii="Book Antiqua" w:hAnsi="Book Antiqua"/>
          <w:b/>
          <w:color w:val="000000" w:themeColor="text1"/>
          <w:sz w:val="20"/>
          <w:szCs w:val="20"/>
          <w:lang w:val="en-US"/>
        </w:rPr>
        <w:t>Zafersoy-Akarslan Z</w:t>
      </w:r>
      <w:r>
        <w:rPr>
          <w:rFonts w:ascii="Book Antiqua" w:hAnsi="Book Antiqua"/>
          <w:color w:val="000000" w:themeColor="text1"/>
          <w:sz w:val="20"/>
          <w:szCs w:val="20"/>
          <w:lang w:val="en-US"/>
        </w:rPr>
        <w:t xml:space="preserve">, Erten H, Uzun O, Semiz M. Reproducibility and agreement of clinical diagnosis of occlusal caries using unaided visual examination and operating microscope. </w:t>
      </w:r>
      <w:r>
        <w:rPr>
          <w:rFonts w:ascii="Book Antiqua" w:hAnsi="Book Antiqua"/>
          <w:i/>
          <w:color w:val="000000" w:themeColor="text1"/>
          <w:sz w:val="20"/>
          <w:szCs w:val="20"/>
          <w:lang w:val="en-US"/>
        </w:rPr>
        <w:t>J Can Dent Assoc</w:t>
      </w:r>
      <w:r>
        <w:rPr>
          <w:rFonts w:ascii="Book Antiqua" w:hAnsi="Book Antiqua"/>
          <w:color w:val="000000" w:themeColor="text1"/>
          <w:sz w:val="20"/>
          <w:szCs w:val="20"/>
          <w:lang w:val="en-US"/>
        </w:rPr>
        <w:t xml:space="preserve"> 2009; </w:t>
      </w:r>
      <w:r>
        <w:rPr>
          <w:rFonts w:ascii="Book Antiqua" w:hAnsi="Book Antiqua"/>
          <w:b/>
          <w:color w:val="000000" w:themeColor="text1"/>
          <w:sz w:val="20"/>
          <w:szCs w:val="20"/>
          <w:lang w:val="en-US"/>
        </w:rPr>
        <w:t>75</w:t>
      </w:r>
      <w:r>
        <w:rPr>
          <w:rFonts w:ascii="Book Antiqua" w:hAnsi="Book Antiqua"/>
          <w:color w:val="000000" w:themeColor="text1"/>
          <w:sz w:val="20"/>
          <w:szCs w:val="20"/>
          <w:lang w:val="en-US"/>
        </w:rPr>
        <w:t>: 455 [PMID: 19627655]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20 </w:t>
      </w:r>
      <w:r>
        <w:rPr>
          <w:rFonts w:ascii="Book Antiqua" w:hAnsi="Book Antiqua"/>
          <w:b/>
          <w:color w:val="000000" w:themeColor="text1"/>
          <w:sz w:val="20"/>
          <w:szCs w:val="20"/>
          <w:lang w:val="en-US"/>
        </w:rPr>
        <w:t>Carr GB</w:t>
      </w:r>
      <w:r>
        <w:rPr>
          <w:rFonts w:ascii="Book Antiqua" w:hAnsi="Book Antiqua"/>
          <w:color w:val="000000" w:themeColor="text1"/>
          <w:sz w:val="20"/>
          <w:szCs w:val="20"/>
          <w:lang w:val="en-US"/>
        </w:rPr>
        <w:t xml:space="preserve">, Murgel CA. The use of the operating microscope in endodontics. </w:t>
      </w:r>
      <w:r>
        <w:rPr>
          <w:rFonts w:ascii="Book Antiqua" w:hAnsi="Book Antiqua"/>
          <w:i/>
          <w:color w:val="000000" w:themeColor="text1"/>
          <w:sz w:val="20"/>
          <w:szCs w:val="20"/>
          <w:lang w:val="en-US"/>
        </w:rPr>
        <w:t>Dent Clin North Am</w:t>
      </w:r>
      <w:r>
        <w:rPr>
          <w:rFonts w:ascii="Book Antiqua" w:hAnsi="Book Antiqua"/>
          <w:color w:val="000000" w:themeColor="text1"/>
          <w:sz w:val="20"/>
          <w:szCs w:val="20"/>
          <w:lang w:val="en-US"/>
        </w:rPr>
        <w:t xml:space="preserve"> 2010; </w:t>
      </w:r>
      <w:r>
        <w:rPr>
          <w:rFonts w:ascii="Book Antiqua" w:hAnsi="Book Antiqua"/>
          <w:b/>
          <w:color w:val="000000" w:themeColor="text1"/>
          <w:sz w:val="20"/>
          <w:szCs w:val="20"/>
          <w:lang w:val="en-US"/>
        </w:rPr>
        <w:t>54</w:t>
      </w:r>
      <w:r>
        <w:rPr>
          <w:rFonts w:ascii="Book Antiqua" w:hAnsi="Book Antiqua"/>
          <w:color w:val="000000" w:themeColor="text1"/>
          <w:sz w:val="20"/>
          <w:szCs w:val="20"/>
          <w:lang w:val="en-US"/>
        </w:rPr>
        <w:t>: 191-214 [PMID: 20433974 DOI: 10.1016/j.cden.2010.01.002]</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21 </w:t>
      </w:r>
      <w:r>
        <w:rPr>
          <w:rFonts w:ascii="Book Antiqua" w:hAnsi="Book Antiqua"/>
          <w:b/>
          <w:color w:val="000000" w:themeColor="text1"/>
          <w:sz w:val="20"/>
          <w:szCs w:val="20"/>
          <w:lang w:val="en-US"/>
        </w:rPr>
        <w:t>Torabinejad M</w:t>
      </w:r>
      <w:r>
        <w:rPr>
          <w:rFonts w:ascii="Book Antiqua" w:hAnsi="Book Antiqua"/>
          <w:color w:val="000000" w:themeColor="text1"/>
          <w:sz w:val="20"/>
          <w:szCs w:val="20"/>
          <w:lang w:val="en-US"/>
        </w:rPr>
        <w:t xml:space="preserve">, Parirokh M, Dummer PMH. Mineral trioxide aggregate and other bioactive endodontic cements: an updated overview - part II: other clinical applications and complications.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2018; </w:t>
      </w:r>
      <w:r>
        <w:rPr>
          <w:rFonts w:ascii="Book Antiqua" w:hAnsi="Book Antiqua"/>
          <w:b/>
          <w:color w:val="000000" w:themeColor="text1"/>
          <w:sz w:val="20"/>
          <w:szCs w:val="20"/>
          <w:lang w:val="en-US"/>
        </w:rPr>
        <w:t>51</w:t>
      </w:r>
      <w:r>
        <w:rPr>
          <w:rFonts w:ascii="Book Antiqua" w:hAnsi="Book Antiqua"/>
          <w:color w:val="000000" w:themeColor="text1"/>
          <w:sz w:val="20"/>
          <w:szCs w:val="20"/>
          <w:lang w:val="en-US"/>
        </w:rPr>
        <w:t>: 284-317 [PMID: 28846134 DOI: 10.1111/iej.12843]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22 </w:t>
      </w:r>
      <w:r>
        <w:rPr>
          <w:rFonts w:ascii="Book Antiqua" w:hAnsi="Book Antiqua"/>
          <w:b/>
          <w:color w:val="000000" w:themeColor="text1"/>
          <w:sz w:val="20"/>
          <w:szCs w:val="20"/>
          <w:lang w:val="en-US"/>
        </w:rPr>
        <w:t>Mente J</w:t>
      </w:r>
      <w:r>
        <w:rPr>
          <w:rFonts w:ascii="Book Antiqua" w:hAnsi="Book Antiqua"/>
          <w:color w:val="000000" w:themeColor="text1"/>
          <w:sz w:val="20"/>
          <w:szCs w:val="20"/>
          <w:lang w:val="en-US"/>
        </w:rPr>
        <w:t xml:space="preserve">, Leo M, Panagidis D, Ohle M, Schneider S, Lorenzo Bermejo J, Pfefferle T. Treatment outcome of mineral trioxide aggregate in open apex teeth.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2013; </w:t>
      </w:r>
      <w:r>
        <w:rPr>
          <w:rFonts w:ascii="Book Antiqua" w:hAnsi="Book Antiqua"/>
          <w:b/>
          <w:color w:val="000000" w:themeColor="text1"/>
          <w:sz w:val="20"/>
          <w:szCs w:val="20"/>
          <w:lang w:val="en-US"/>
        </w:rPr>
        <w:t>39</w:t>
      </w:r>
      <w:r>
        <w:rPr>
          <w:rFonts w:ascii="Book Antiqua" w:hAnsi="Book Antiqua"/>
          <w:color w:val="000000" w:themeColor="text1"/>
          <w:sz w:val="20"/>
          <w:szCs w:val="20"/>
          <w:lang w:val="en-US"/>
        </w:rPr>
        <w:t>: 20-26 [PMID: 23228252 DOI: 10.1016/j.joen.2012.10.007]</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23 </w:t>
      </w:r>
      <w:r>
        <w:rPr>
          <w:rFonts w:ascii="Book Antiqua" w:hAnsi="Book Antiqua"/>
          <w:b/>
          <w:color w:val="000000" w:themeColor="text1"/>
          <w:sz w:val="20"/>
          <w:szCs w:val="20"/>
          <w:lang w:val="en-US"/>
        </w:rPr>
        <w:t>Pace R</w:t>
      </w:r>
      <w:r>
        <w:rPr>
          <w:rFonts w:ascii="Book Antiqua" w:hAnsi="Book Antiqua"/>
          <w:color w:val="000000" w:themeColor="text1"/>
          <w:sz w:val="20"/>
          <w:szCs w:val="20"/>
          <w:lang w:val="en-US"/>
        </w:rPr>
        <w:t xml:space="preserve">, Giuliani V, Nieri M, Di Nasso L, Pagavino G. Mineral trioxide aggregate as apical plug in teeth with necrotic pulp and immature apices: a 10-year case series.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2014; </w:t>
      </w:r>
      <w:r>
        <w:rPr>
          <w:rFonts w:ascii="Book Antiqua" w:hAnsi="Book Antiqua"/>
          <w:b/>
          <w:color w:val="000000" w:themeColor="text1"/>
          <w:sz w:val="20"/>
          <w:szCs w:val="20"/>
          <w:lang w:val="en-US"/>
        </w:rPr>
        <w:t>40</w:t>
      </w:r>
      <w:r>
        <w:rPr>
          <w:rFonts w:ascii="Book Antiqua" w:hAnsi="Book Antiqua"/>
          <w:color w:val="000000" w:themeColor="text1"/>
          <w:sz w:val="20"/>
          <w:szCs w:val="20"/>
          <w:lang w:val="en-US"/>
        </w:rPr>
        <w:t>: 1250-1254 [PMID: 25069943 DOI: 10.1016/j.joen.2013.12.007]</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24 </w:t>
      </w:r>
      <w:r>
        <w:rPr>
          <w:rFonts w:ascii="Book Antiqua" w:hAnsi="Book Antiqua"/>
          <w:b/>
          <w:color w:val="000000" w:themeColor="text1"/>
          <w:sz w:val="20"/>
          <w:szCs w:val="20"/>
          <w:lang w:val="en-US"/>
        </w:rPr>
        <w:t>Bonte E</w:t>
      </w:r>
      <w:r>
        <w:rPr>
          <w:rFonts w:ascii="Book Antiqua" w:hAnsi="Book Antiqua"/>
          <w:color w:val="000000" w:themeColor="text1"/>
          <w:sz w:val="20"/>
          <w:szCs w:val="20"/>
          <w:lang w:val="en-US"/>
        </w:rPr>
        <w:t xml:space="preserve">, Beslot A, Boukpessi T, Lasfargues JJ. MTA versus Ca(OH)2 in apexification of non-vital immature permanent teeth: a randomized clinical trial comparison. </w:t>
      </w:r>
      <w:r>
        <w:rPr>
          <w:rFonts w:ascii="Book Antiqua" w:hAnsi="Book Antiqua"/>
          <w:i/>
          <w:color w:val="000000" w:themeColor="text1"/>
          <w:sz w:val="20"/>
          <w:szCs w:val="20"/>
          <w:lang w:val="en-US"/>
        </w:rPr>
        <w:t>Clin Oral Investig</w:t>
      </w:r>
      <w:r>
        <w:rPr>
          <w:rFonts w:ascii="Book Antiqua" w:hAnsi="Book Antiqua"/>
          <w:color w:val="000000" w:themeColor="text1"/>
          <w:sz w:val="20"/>
          <w:szCs w:val="20"/>
          <w:lang w:val="en-US"/>
        </w:rPr>
        <w:t xml:space="preserve"> 2015; </w:t>
      </w:r>
      <w:r>
        <w:rPr>
          <w:rFonts w:ascii="Book Antiqua" w:hAnsi="Book Antiqua"/>
          <w:b/>
          <w:color w:val="000000" w:themeColor="text1"/>
          <w:sz w:val="20"/>
          <w:szCs w:val="20"/>
          <w:lang w:val="en-US"/>
        </w:rPr>
        <w:t>19</w:t>
      </w:r>
      <w:r>
        <w:rPr>
          <w:rFonts w:ascii="Book Antiqua" w:hAnsi="Book Antiqua"/>
          <w:color w:val="000000" w:themeColor="text1"/>
          <w:sz w:val="20"/>
          <w:szCs w:val="20"/>
          <w:lang w:val="en-US"/>
        </w:rPr>
        <w:t>: 1381-1388 [PMID: 25467231 DOI: 10.1007/s00784-014-1348-5]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25 </w:t>
      </w:r>
      <w:r>
        <w:rPr>
          <w:rFonts w:ascii="Book Antiqua" w:hAnsi="Book Antiqua"/>
          <w:b/>
          <w:color w:val="000000" w:themeColor="text1"/>
          <w:sz w:val="20"/>
          <w:szCs w:val="20"/>
          <w:lang w:val="en-US"/>
        </w:rPr>
        <w:t>Moore A</w:t>
      </w:r>
      <w:r>
        <w:rPr>
          <w:rFonts w:ascii="Book Antiqua" w:hAnsi="Book Antiqua"/>
          <w:color w:val="000000" w:themeColor="text1"/>
          <w:sz w:val="20"/>
          <w:szCs w:val="20"/>
          <w:lang w:val="en-US"/>
        </w:rPr>
        <w:t xml:space="preserve">, Howley MF, O'Connell AC. Treatment of open apex teeth using two types of white mineral trioxide aggregate after initial dressing with calcium hydroxide in children. </w:t>
      </w:r>
      <w:r>
        <w:rPr>
          <w:rFonts w:ascii="Book Antiqua" w:hAnsi="Book Antiqua"/>
          <w:i/>
          <w:color w:val="000000" w:themeColor="text1"/>
          <w:sz w:val="20"/>
          <w:szCs w:val="20"/>
          <w:lang w:val="en-US"/>
        </w:rPr>
        <w:t>Dent Traumatol</w:t>
      </w:r>
      <w:r>
        <w:rPr>
          <w:rFonts w:ascii="Book Antiqua" w:hAnsi="Book Antiqua"/>
          <w:color w:val="000000" w:themeColor="text1"/>
          <w:sz w:val="20"/>
          <w:szCs w:val="20"/>
          <w:lang w:val="en-US"/>
        </w:rPr>
        <w:t xml:space="preserve"> 2011; </w:t>
      </w:r>
      <w:r>
        <w:rPr>
          <w:rFonts w:ascii="Book Antiqua" w:hAnsi="Book Antiqua"/>
          <w:b/>
          <w:color w:val="000000" w:themeColor="text1"/>
          <w:sz w:val="20"/>
          <w:szCs w:val="20"/>
          <w:lang w:val="en-US"/>
        </w:rPr>
        <w:t>27</w:t>
      </w:r>
      <w:r>
        <w:rPr>
          <w:rFonts w:ascii="Book Antiqua" w:hAnsi="Book Antiqua"/>
          <w:color w:val="000000" w:themeColor="text1"/>
          <w:sz w:val="20"/>
          <w:szCs w:val="20"/>
          <w:lang w:val="en-US"/>
        </w:rPr>
        <w:t>: 166-173 [PMID: 21564517 DOI: 10.1111/j.1600-9657.2011.00984.x]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26 </w:t>
      </w:r>
      <w:r>
        <w:rPr>
          <w:rFonts w:ascii="Book Antiqua" w:hAnsi="Book Antiqua"/>
          <w:b/>
          <w:color w:val="000000" w:themeColor="text1"/>
          <w:sz w:val="20"/>
          <w:szCs w:val="20"/>
          <w:lang w:val="en-US"/>
        </w:rPr>
        <w:t>Annamalai S</w:t>
      </w:r>
      <w:r>
        <w:rPr>
          <w:rFonts w:ascii="Book Antiqua" w:hAnsi="Book Antiqua"/>
          <w:color w:val="000000" w:themeColor="text1"/>
          <w:sz w:val="20"/>
          <w:szCs w:val="20"/>
          <w:lang w:val="en-US"/>
        </w:rPr>
        <w:t xml:space="preserve">, Mungara J. Efficacy of mineral trioxide aggregate as an apical plug in non-vital young permanent teeth: preliminary results. </w:t>
      </w:r>
      <w:r>
        <w:rPr>
          <w:rFonts w:ascii="Book Antiqua" w:hAnsi="Book Antiqua"/>
          <w:i/>
          <w:color w:val="000000" w:themeColor="text1"/>
          <w:sz w:val="20"/>
          <w:szCs w:val="20"/>
          <w:lang w:val="en-US"/>
        </w:rPr>
        <w:t>J Clin Pediatr Dent</w:t>
      </w:r>
      <w:r>
        <w:rPr>
          <w:rFonts w:ascii="Book Antiqua" w:hAnsi="Book Antiqua"/>
          <w:color w:val="000000" w:themeColor="text1"/>
          <w:sz w:val="20"/>
          <w:szCs w:val="20"/>
          <w:lang w:val="en-US"/>
        </w:rPr>
        <w:t xml:space="preserve"> 2010; </w:t>
      </w:r>
      <w:r>
        <w:rPr>
          <w:rFonts w:ascii="Book Antiqua" w:hAnsi="Book Antiqua"/>
          <w:b/>
          <w:color w:val="000000" w:themeColor="text1"/>
          <w:sz w:val="20"/>
          <w:szCs w:val="20"/>
          <w:lang w:val="en-US"/>
        </w:rPr>
        <w:t>35</w:t>
      </w:r>
      <w:r>
        <w:rPr>
          <w:rFonts w:ascii="Book Antiqua" w:hAnsi="Book Antiqua"/>
          <w:color w:val="000000" w:themeColor="text1"/>
          <w:sz w:val="20"/>
          <w:szCs w:val="20"/>
          <w:lang w:val="en-US"/>
        </w:rPr>
        <w:t>: 149-155 [PMID: 21417116 DOI: 10.17796/jcpd.35.2.9061h7g718834017]</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27 </w:t>
      </w:r>
      <w:r>
        <w:rPr>
          <w:rFonts w:ascii="Book Antiqua" w:hAnsi="Book Antiqua"/>
          <w:b/>
          <w:color w:val="000000" w:themeColor="text1"/>
          <w:sz w:val="20"/>
          <w:szCs w:val="20"/>
          <w:lang w:val="en-US"/>
        </w:rPr>
        <w:t>Moretton TR</w:t>
      </w:r>
      <w:r>
        <w:rPr>
          <w:rFonts w:ascii="Book Antiqua" w:hAnsi="Book Antiqua"/>
          <w:color w:val="000000" w:themeColor="text1"/>
          <w:sz w:val="20"/>
          <w:szCs w:val="20"/>
          <w:lang w:val="en-US"/>
        </w:rPr>
        <w:t xml:space="preserve">, Brown CE Jr, Legan JJ, Kafrawy AH. Tissue reactions after subcutaneous and intraosseous implantation of mineral trioxide aggregate and ethoxybenzoic acid cement. </w:t>
      </w:r>
      <w:r>
        <w:rPr>
          <w:rFonts w:ascii="Book Antiqua" w:hAnsi="Book Antiqua"/>
          <w:i/>
          <w:color w:val="000000" w:themeColor="text1"/>
          <w:sz w:val="20"/>
          <w:szCs w:val="20"/>
          <w:lang w:val="en-US"/>
        </w:rPr>
        <w:t>J Biomed Mater Res</w:t>
      </w:r>
      <w:r>
        <w:rPr>
          <w:rFonts w:ascii="Book Antiqua" w:hAnsi="Book Antiqua"/>
          <w:color w:val="000000" w:themeColor="text1"/>
          <w:sz w:val="20"/>
          <w:szCs w:val="20"/>
          <w:lang w:val="en-US"/>
        </w:rPr>
        <w:t xml:space="preserve"> 2000; </w:t>
      </w:r>
      <w:r>
        <w:rPr>
          <w:rFonts w:ascii="Book Antiqua" w:hAnsi="Book Antiqua"/>
          <w:b/>
          <w:color w:val="000000" w:themeColor="text1"/>
          <w:sz w:val="20"/>
          <w:szCs w:val="20"/>
          <w:lang w:val="en-US"/>
        </w:rPr>
        <w:t>52</w:t>
      </w:r>
      <w:r>
        <w:rPr>
          <w:rFonts w:ascii="Book Antiqua" w:hAnsi="Book Antiqua"/>
          <w:color w:val="000000" w:themeColor="text1"/>
          <w:sz w:val="20"/>
          <w:szCs w:val="20"/>
          <w:lang w:val="en-US"/>
        </w:rPr>
        <w:t>: 528-533 [PMID: 11007621 DOI: 10.1002/1097-4636(20001205)52:3&lt;528::aid-jbm11&gt;3.0.co;2-9]</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28 </w:t>
      </w:r>
      <w:r>
        <w:rPr>
          <w:rFonts w:ascii="Book Antiqua" w:hAnsi="Book Antiqua"/>
          <w:b/>
          <w:color w:val="000000" w:themeColor="text1"/>
          <w:sz w:val="20"/>
          <w:szCs w:val="20"/>
          <w:lang w:val="en-US"/>
        </w:rPr>
        <w:t>Enkel B</w:t>
      </w:r>
      <w:r>
        <w:rPr>
          <w:rFonts w:ascii="Book Antiqua" w:hAnsi="Book Antiqua"/>
          <w:color w:val="000000" w:themeColor="text1"/>
          <w:sz w:val="20"/>
          <w:szCs w:val="20"/>
          <w:lang w:val="en-US"/>
        </w:rPr>
        <w:t xml:space="preserve">, Dupas C, Armengol V, Akpe Adou J, Bosco J, Daculsi G, Jean A, Laboux O, LeGeros RZ, Weiss P. Bioactive materials in endodontics. </w:t>
      </w:r>
      <w:r>
        <w:rPr>
          <w:rFonts w:ascii="Book Antiqua" w:hAnsi="Book Antiqua"/>
          <w:i/>
          <w:color w:val="000000" w:themeColor="text1"/>
          <w:sz w:val="20"/>
          <w:szCs w:val="20"/>
          <w:lang w:val="en-US"/>
        </w:rPr>
        <w:t>Expert Rev Med Devices</w:t>
      </w:r>
      <w:r>
        <w:rPr>
          <w:rFonts w:ascii="Book Antiqua" w:hAnsi="Book Antiqua"/>
          <w:color w:val="000000" w:themeColor="text1"/>
          <w:sz w:val="20"/>
          <w:szCs w:val="20"/>
          <w:lang w:val="en-US"/>
        </w:rPr>
        <w:t xml:space="preserve"> 2008; </w:t>
      </w:r>
      <w:r>
        <w:rPr>
          <w:rFonts w:ascii="Book Antiqua" w:hAnsi="Book Antiqua"/>
          <w:b/>
          <w:color w:val="000000" w:themeColor="text1"/>
          <w:sz w:val="20"/>
          <w:szCs w:val="20"/>
          <w:lang w:val="en-US"/>
        </w:rPr>
        <w:t>5</w:t>
      </w:r>
      <w:r>
        <w:rPr>
          <w:rFonts w:ascii="Book Antiqua" w:hAnsi="Book Antiqua"/>
          <w:color w:val="000000" w:themeColor="text1"/>
          <w:sz w:val="20"/>
          <w:szCs w:val="20"/>
          <w:lang w:val="en-US"/>
        </w:rPr>
        <w:t>: 475-494 [PMID: 18573047 DOI: 10.1586/17434440.5.4.475]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29 </w:t>
      </w:r>
      <w:r>
        <w:rPr>
          <w:rFonts w:ascii="Book Antiqua" w:hAnsi="Book Antiqua"/>
          <w:b/>
          <w:color w:val="000000" w:themeColor="text1"/>
          <w:sz w:val="20"/>
          <w:szCs w:val="20"/>
          <w:lang w:val="en-US"/>
        </w:rPr>
        <w:t>Islam I</w:t>
      </w:r>
      <w:r>
        <w:rPr>
          <w:rFonts w:ascii="Book Antiqua" w:hAnsi="Book Antiqua"/>
          <w:color w:val="000000" w:themeColor="text1"/>
          <w:sz w:val="20"/>
          <w:szCs w:val="20"/>
          <w:lang w:val="en-US"/>
        </w:rPr>
        <w:t xml:space="preserve">, Chng HK, Yap AU. X-ray diffraction analysis of mineral trioxide aggregate and Portland cement.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39</w:t>
      </w:r>
      <w:r>
        <w:rPr>
          <w:rFonts w:ascii="Book Antiqua" w:hAnsi="Book Antiqua"/>
          <w:color w:val="000000" w:themeColor="text1"/>
          <w:sz w:val="20"/>
          <w:szCs w:val="20"/>
          <w:lang w:val="en-US"/>
        </w:rPr>
        <w:t>: 220-225 [PMID: 16507076 DOI: 10.1111/j.1365-2591.2006.01077.x]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30 </w:t>
      </w:r>
      <w:r>
        <w:rPr>
          <w:rFonts w:ascii="Book Antiqua" w:hAnsi="Book Antiqua"/>
          <w:b/>
          <w:color w:val="000000" w:themeColor="text1"/>
          <w:sz w:val="20"/>
          <w:szCs w:val="20"/>
          <w:lang w:val="en-US"/>
        </w:rPr>
        <w:t>Gancedo-Caravia L</w:t>
      </w:r>
      <w:r>
        <w:rPr>
          <w:rFonts w:ascii="Book Antiqua" w:hAnsi="Book Antiqua"/>
          <w:color w:val="000000" w:themeColor="text1"/>
          <w:sz w:val="20"/>
          <w:szCs w:val="20"/>
          <w:lang w:val="en-US"/>
        </w:rPr>
        <w:t xml:space="preserve">, Garcia-Barbero E. Influence of humidity and setting time on the push-out strength of mineral trioxide aggregate obturations.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32</w:t>
      </w:r>
      <w:r>
        <w:rPr>
          <w:rFonts w:ascii="Book Antiqua" w:hAnsi="Book Antiqua"/>
          <w:color w:val="000000" w:themeColor="text1"/>
          <w:sz w:val="20"/>
          <w:szCs w:val="20"/>
          <w:lang w:val="en-US"/>
        </w:rPr>
        <w:t>: 894-896 [PMID: 16934637 DOI: 10.1016/j.joen.2006.03.004]</w:t>
      </w:r>
    </w:p>
    <w:p w:rsidR="00925A10" w:rsidRDefault="00FC5E1B">
      <w:pPr>
        <w:widowControl/>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br w:type="page"/>
      </w:r>
    </w:p>
    <w:p w:rsidR="00925A10" w:rsidRDefault="00FC5E1B">
      <w:pPr>
        <w:adjustRightInd w:val="0"/>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Footnotes</w:t>
      </w:r>
    </w:p>
    <w:p w:rsidR="00925A10" w:rsidRDefault="00FC5E1B">
      <w:pPr>
        <w:snapToGrid w:val="0"/>
        <w:spacing w:line="360" w:lineRule="auto"/>
        <w:rPr>
          <w:rFonts w:ascii="Book Antiqua" w:eastAsia="等线" w:hAnsi="Book Antiqua"/>
          <w:color w:val="000000" w:themeColor="text1"/>
          <w:kern w:val="0"/>
          <w:sz w:val="20"/>
          <w:szCs w:val="20"/>
          <w:lang w:val="en-US"/>
        </w:rPr>
      </w:pPr>
      <w:r>
        <w:rPr>
          <w:rFonts w:ascii="Book Antiqua" w:hAnsi="Book Antiqua" w:cs="Tahoma"/>
          <w:b/>
          <w:color w:val="000000" w:themeColor="text1"/>
          <w:sz w:val="20"/>
          <w:szCs w:val="20"/>
          <w:lang w:val="en-US"/>
        </w:rPr>
        <w:t xml:space="preserve">Informed consent statement: </w:t>
      </w:r>
      <w:r>
        <w:rPr>
          <w:rFonts w:ascii="Book Antiqua" w:eastAsia="等线" w:hAnsi="Book Antiqua"/>
          <w:color w:val="000000" w:themeColor="text1"/>
          <w:kern w:val="0"/>
          <w:sz w:val="20"/>
          <w:szCs w:val="20"/>
          <w:lang w:val="en-US"/>
        </w:rPr>
        <w:t>Informed written consent was obtained from the patient for publication of this report and any accompanying images.</w:t>
      </w:r>
    </w:p>
    <w:p w:rsidR="00925A10" w:rsidRDefault="00925A10">
      <w:pPr>
        <w:snapToGrid w:val="0"/>
        <w:spacing w:line="360" w:lineRule="auto"/>
        <w:rPr>
          <w:rFonts w:ascii="Book Antiqua" w:eastAsia="等线" w:hAnsi="Book Antiqua"/>
          <w:color w:val="000000" w:themeColor="text1"/>
          <w:kern w:val="0"/>
          <w:sz w:val="20"/>
          <w:szCs w:val="20"/>
          <w:lang w:val="en-US"/>
        </w:rPr>
      </w:pPr>
    </w:p>
    <w:p w:rsidR="00925A10" w:rsidRDefault="00FC5E1B">
      <w:pPr>
        <w:pStyle w:val="1"/>
        <w:snapToGrid w:val="0"/>
        <w:spacing w:line="360" w:lineRule="auto"/>
        <w:rPr>
          <w:rFonts w:ascii="Book Antiqua" w:hAnsi="Book Antiqua"/>
          <w:color w:val="000000" w:themeColor="text1"/>
          <w:sz w:val="20"/>
          <w:szCs w:val="20"/>
        </w:rPr>
      </w:pPr>
      <w:r>
        <w:rPr>
          <w:rFonts w:ascii="Book Antiqua" w:hAnsi="Book Antiqua" w:cs="Tahoma"/>
          <w:b/>
          <w:color w:val="000000" w:themeColor="text1"/>
          <w:sz w:val="20"/>
          <w:szCs w:val="20"/>
        </w:rPr>
        <w:t>Conflict-of-interest statement:</w:t>
      </w:r>
      <w:r>
        <w:rPr>
          <w:rFonts w:ascii="Book Antiqua" w:hAnsi="Book Antiqua" w:cs="Tahoma"/>
          <w:color w:val="000000" w:themeColor="text1"/>
          <w:sz w:val="20"/>
          <w:szCs w:val="20"/>
        </w:rPr>
        <w:t xml:space="preserve"> </w:t>
      </w:r>
      <w:r>
        <w:rPr>
          <w:rFonts w:ascii="Book Antiqua" w:hAnsi="Book Antiqua"/>
          <w:color w:val="000000" w:themeColor="text1"/>
          <w:sz w:val="20"/>
          <w:szCs w:val="20"/>
        </w:rPr>
        <w:t>The author denies any conflict of interest related to this article.</w:t>
      </w:r>
    </w:p>
    <w:p w:rsidR="00925A10" w:rsidRDefault="00925A10">
      <w:pPr>
        <w:pStyle w:val="1"/>
        <w:snapToGrid w:val="0"/>
        <w:spacing w:line="360" w:lineRule="auto"/>
        <w:rPr>
          <w:rFonts w:ascii="Book Antiqua" w:hAnsi="Book Antiqua"/>
          <w:color w:val="000000" w:themeColor="text1"/>
          <w:sz w:val="20"/>
          <w:szCs w:val="20"/>
        </w:rPr>
      </w:pPr>
    </w:p>
    <w:p w:rsidR="00925A10" w:rsidRDefault="00FC5E1B">
      <w:pPr>
        <w:autoSpaceDE w:val="0"/>
        <w:autoSpaceDN w:val="0"/>
        <w:adjustRightInd w:val="0"/>
        <w:snapToGrid w:val="0"/>
        <w:spacing w:line="360" w:lineRule="auto"/>
        <w:rPr>
          <w:rFonts w:ascii="Book Antiqua" w:eastAsia="宋体" w:hAnsi="Book Antiqua" w:cs="Times New Roman"/>
          <w:color w:val="000000" w:themeColor="text1"/>
          <w:sz w:val="20"/>
          <w:szCs w:val="20"/>
          <w:lang w:val="en-US"/>
        </w:rPr>
      </w:pPr>
      <w:r>
        <w:rPr>
          <w:rFonts w:ascii="Book Antiqua" w:hAnsi="Book Antiqua" w:cs="Tahoma"/>
          <w:b/>
          <w:color w:val="000000" w:themeColor="text1"/>
          <w:sz w:val="20"/>
          <w:szCs w:val="20"/>
          <w:lang w:val="en-US"/>
        </w:rPr>
        <w:t>CARE Checklist (2016) statement:</w:t>
      </w:r>
      <w:r>
        <w:rPr>
          <w:rFonts w:ascii="Book Antiqua" w:hAnsi="Book Antiqua" w:cs="Tahoma"/>
          <w:color w:val="000000" w:themeColor="text1"/>
          <w:sz w:val="20"/>
          <w:szCs w:val="20"/>
          <w:lang w:val="en-US"/>
        </w:rPr>
        <w:t xml:space="preserve"> </w:t>
      </w:r>
      <w:r>
        <w:rPr>
          <w:rFonts w:ascii="Book Antiqua" w:hAnsi="Book Antiqua" w:cs="TimesNewRomanPSMT"/>
          <w:color w:val="000000" w:themeColor="text1"/>
          <w:sz w:val="20"/>
          <w:szCs w:val="20"/>
          <w:lang w:val="en-US"/>
        </w:rPr>
        <w:t>The authors have read the CARE Checklist (2016), and the manuscript was prepared and revised according to the CARE Checklist (2016).</w:t>
      </w:r>
    </w:p>
    <w:p w:rsidR="00925A10" w:rsidRDefault="00925A10">
      <w:pPr>
        <w:adjustRightInd w:val="0"/>
        <w:snapToGrid w:val="0"/>
        <w:spacing w:line="360" w:lineRule="auto"/>
        <w:rPr>
          <w:rFonts w:ascii="Book Antiqua" w:hAnsi="Book Antiqua" w:cstheme="minorHAnsi"/>
          <w:b/>
          <w:bCs/>
          <w:color w:val="000000" w:themeColor="text1"/>
          <w:sz w:val="20"/>
          <w:szCs w:val="20"/>
          <w:lang w:val="en-US"/>
        </w:rPr>
      </w:pPr>
    </w:p>
    <w:p w:rsidR="00925A10" w:rsidRDefault="00FC5E1B">
      <w:pPr>
        <w:adjustRightInd w:val="0"/>
        <w:snapToGrid w:val="0"/>
        <w:spacing w:line="360" w:lineRule="auto"/>
        <w:rPr>
          <w:rFonts w:ascii="Book Antiqua" w:hAnsi="Book Antiqua"/>
          <w:color w:val="000000" w:themeColor="text1"/>
          <w:sz w:val="20"/>
          <w:szCs w:val="20"/>
          <w:lang w:val="en-US"/>
        </w:rPr>
      </w:pPr>
      <w:r>
        <w:rPr>
          <w:rFonts w:ascii="Book Antiqua" w:hAnsi="Book Antiqua"/>
          <w:b/>
          <w:color w:val="000000" w:themeColor="text1"/>
          <w:sz w:val="20"/>
          <w:szCs w:val="20"/>
          <w:lang w:val="en-US"/>
        </w:rPr>
        <w:t>Open-Access:</w:t>
      </w:r>
      <w:r>
        <w:rPr>
          <w:rFonts w:ascii="Book Antiqua" w:hAnsi="Book Antiqua"/>
          <w:color w:val="000000" w:themeColor="text1"/>
          <w:sz w:val="20"/>
          <w:szCs w:val="20"/>
          <w:lang w:val="en-US"/>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25A10" w:rsidRDefault="00925A10">
      <w:pPr>
        <w:adjustRightInd w:val="0"/>
        <w:snapToGrid w:val="0"/>
        <w:spacing w:line="360" w:lineRule="auto"/>
        <w:rPr>
          <w:rFonts w:ascii="Book Antiqua" w:hAnsi="Book Antiqua" w:cstheme="minorHAnsi"/>
          <w:b/>
          <w:bCs/>
          <w:color w:val="000000" w:themeColor="text1"/>
          <w:sz w:val="20"/>
          <w:szCs w:val="20"/>
          <w:lang w:val="en-US"/>
        </w:rPr>
      </w:pPr>
    </w:p>
    <w:p w:rsidR="00925A10" w:rsidRDefault="00FC5E1B">
      <w:pPr>
        <w:adjustRightInd w:val="0"/>
        <w:snapToGrid w:val="0"/>
        <w:spacing w:line="360" w:lineRule="auto"/>
        <w:rPr>
          <w:rFonts w:ascii="Book Antiqua" w:eastAsia="宋体" w:hAnsi="Book Antiqua" w:cs="宋体"/>
          <w:color w:val="000000" w:themeColor="text1"/>
          <w:sz w:val="20"/>
          <w:szCs w:val="20"/>
          <w:lang w:val="en-US"/>
        </w:rPr>
      </w:pPr>
      <w:r>
        <w:rPr>
          <w:rFonts w:ascii="Book Antiqua" w:eastAsia="宋体" w:hAnsi="Book Antiqua" w:cs="宋体"/>
          <w:b/>
          <w:color w:val="000000" w:themeColor="text1"/>
          <w:sz w:val="20"/>
          <w:szCs w:val="20"/>
          <w:lang w:val="en-US"/>
        </w:rPr>
        <w:t>Manuscript source:</w:t>
      </w:r>
      <w:r>
        <w:rPr>
          <w:rFonts w:ascii="Book Antiqua" w:eastAsia="宋体" w:hAnsi="Book Antiqua" w:cs="宋体"/>
          <w:color w:val="000000" w:themeColor="text1"/>
          <w:sz w:val="20"/>
          <w:szCs w:val="20"/>
          <w:lang w:val="en-US"/>
        </w:rPr>
        <w:t> Unsolicited manuscript</w:t>
      </w:r>
    </w:p>
    <w:p w:rsidR="00925A10" w:rsidRDefault="00925A10">
      <w:pPr>
        <w:adjustRightInd w:val="0"/>
        <w:snapToGrid w:val="0"/>
        <w:spacing w:line="360" w:lineRule="auto"/>
        <w:rPr>
          <w:rFonts w:ascii="Book Antiqua" w:eastAsia="宋体" w:hAnsi="Book Antiqua" w:cs="宋体"/>
          <w:color w:val="000000" w:themeColor="text1"/>
          <w:sz w:val="20"/>
          <w:szCs w:val="20"/>
          <w:lang w:val="en-US"/>
        </w:rPr>
      </w:pP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Peer-review started:</w:t>
      </w:r>
      <w:r>
        <w:rPr>
          <w:rFonts w:ascii="Book Antiqua" w:hAnsi="Book Antiqua"/>
          <w:color w:val="000000" w:themeColor="text1"/>
          <w:sz w:val="20"/>
          <w:szCs w:val="20"/>
          <w:lang w:val="en-US"/>
        </w:rPr>
        <w:t xml:space="preserve"> November 26, 2019</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First decision:</w:t>
      </w:r>
      <w:r>
        <w:rPr>
          <w:rFonts w:ascii="Book Antiqua" w:hAnsi="Book Antiqua"/>
          <w:color w:val="000000" w:themeColor="text1"/>
          <w:sz w:val="20"/>
          <w:szCs w:val="20"/>
          <w:lang w:val="en-US"/>
        </w:rPr>
        <w:t xml:space="preserve"> January 19, 2020</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b/>
          <w:color w:val="000000" w:themeColor="text1"/>
          <w:sz w:val="20"/>
          <w:szCs w:val="20"/>
          <w:lang w:val="en-US"/>
        </w:rPr>
        <w:t>Article in press:</w:t>
      </w:r>
      <w:r>
        <w:rPr>
          <w:rFonts w:ascii="Book Antiqua" w:hAnsi="Book Antiqua"/>
          <w:color w:val="000000" w:themeColor="text1"/>
          <w:sz w:val="20"/>
          <w:szCs w:val="20"/>
          <w:lang w:val="en-US"/>
        </w:rPr>
        <w:t xml:space="preserve"> </w:t>
      </w:r>
      <w:r w:rsidR="00840D4F">
        <w:rPr>
          <w:rFonts w:ascii="Book Antiqua" w:hAnsi="Book Antiqua"/>
          <w:bCs/>
          <w:color w:val="000000" w:themeColor="text1"/>
          <w:sz w:val="20"/>
          <w:szCs w:val="20"/>
          <w:lang w:val="en-US"/>
        </w:rPr>
        <w:t>February 28, 2020</w:t>
      </w:r>
    </w:p>
    <w:p w:rsidR="00925A10" w:rsidRDefault="00925A10">
      <w:pPr>
        <w:snapToGrid w:val="0"/>
        <w:spacing w:line="360" w:lineRule="auto"/>
        <w:rPr>
          <w:rFonts w:ascii="Book Antiqua" w:hAnsi="Book Antiqua"/>
          <w:color w:val="000000" w:themeColor="text1"/>
          <w:sz w:val="20"/>
          <w:szCs w:val="20"/>
          <w:lang w:val="en-US"/>
        </w:rPr>
      </w:pPr>
    </w:p>
    <w:p w:rsidR="00925A10" w:rsidRDefault="00FC5E1B">
      <w:pPr>
        <w:snapToGrid w:val="0"/>
        <w:spacing w:line="360" w:lineRule="auto"/>
        <w:rPr>
          <w:rFonts w:ascii="Book Antiqua" w:eastAsia="宋体" w:hAnsi="Book Antiqua" w:cs="Helvetica"/>
          <w:b/>
          <w:color w:val="000000" w:themeColor="text1"/>
          <w:sz w:val="20"/>
          <w:szCs w:val="20"/>
          <w:lang w:val="en-US"/>
        </w:rPr>
      </w:pPr>
      <w:r>
        <w:rPr>
          <w:rFonts w:ascii="Book Antiqua" w:eastAsia="宋体" w:hAnsi="Book Antiqua" w:cs="Helvetica"/>
          <w:b/>
          <w:color w:val="000000" w:themeColor="text1"/>
          <w:sz w:val="20"/>
          <w:szCs w:val="20"/>
          <w:lang w:val="en-US"/>
        </w:rPr>
        <w:t xml:space="preserve">Specialty type: </w:t>
      </w:r>
      <w:r>
        <w:rPr>
          <w:rFonts w:ascii="Book Antiqua" w:eastAsia="微软雅黑" w:hAnsi="Book Antiqua" w:cs="宋体"/>
          <w:color w:val="000000" w:themeColor="text1"/>
          <w:sz w:val="20"/>
          <w:szCs w:val="20"/>
          <w:lang w:val="en-US"/>
        </w:rPr>
        <w:t>Medicine, research and experimental</w:t>
      </w:r>
    </w:p>
    <w:p w:rsidR="00925A10" w:rsidRDefault="00FC5E1B">
      <w:pPr>
        <w:snapToGrid w:val="0"/>
        <w:spacing w:line="360" w:lineRule="auto"/>
        <w:rPr>
          <w:rFonts w:ascii="Book Antiqua" w:eastAsia="宋体" w:hAnsi="Book Antiqua" w:cs="Helvetica"/>
          <w:b/>
          <w:color w:val="000000" w:themeColor="text1"/>
          <w:sz w:val="20"/>
          <w:szCs w:val="20"/>
          <w:lang w:val="en-US"/>
        </w:rPr>
      </w:pPr>
      <w:r>
        <w:rPr>
          <w:rFonts w:ascii="Book Antiqua" w:eastAsia="宋体" w:hAnsi="Book Antiqua" w:cs="Helvetica"/>
          <w:b/>
          <w:color w:val="000000" w:themeColor="text1"/>
          <w:sz w:val="20"/>
          <w:szCs w:val="20"/>
          <w:lang w:val="en-US"/>
        </w:rPr>
        <w:t xml:space="preserve">Country of origin: </w:t>
      </w:r>
      <w:r>
        <w:rPr>
          <w:rFonts w:ascii="Book Antiqua" w:eastAsia="宋体" w:hAnsi="Book Antiqua" w:cs="Helvetica"/>
          <w:bCs/>
          <w:color w:val="000000" w:themeColor="text1"/>
          <w:sz w:val="20"/>
          <w:szCs w:val="20"/>
          <w:lang w:val="en-US"/>
        </w:rPr>
        <w:t>China</w:t>
      </w:r>
    </w:p>
    <w:p w:rsidR="00925A10" w:rsidRDefault="00FC5E1B">
      <w:pPr>
        <w:snapToGrid w:val="0"/>
        <w:spacing w:line="360" w:lineRule="auto"/>
        <w:rPr>
          <w:rFonts w:ascii="Book Antiqua" w:eastAsia="宋体" w:hAnsi="Book Antiqua" w:cs="Helvetica"/>
          <w:b/>
          <w:color w:val="000000" w:themeColor="text1"/>
          <w:sz w:val="20"/>
          <w:szCs w:val="20"/>
          <w:lang w:val="en-US"/>
        </w:rPr>
      </w:pPr>
      <w:r>
        <w:rPr>
          <w:rFonts w:ascii="Book Antiqua" w:eastAsia="宋体" w:hAnsi="Book Antiqua" w:cs="Helvetica"/>
          <w:b/>
          <w:color w:val="000000" w:themeColor="text1"/>
          <w:sz w:val="20"/>
          <w:szCs w:val="20"/>
          <w:lang w:val="en-US"/>
        </w:rPr>
        <w:t>Peer-review report classification</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Grade A (Excellent): 0</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Grade B (Very good): B</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Grade C (Good): C</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 xml:space="preserve">Grade D (Fair): 0 </w:t>
      </w:r>
    </w:p>
    <w:p w:rsidR="00925A10" w:rsidRDefault="00FC5E1B">
      <w:pPr>
        <w:snapToGrid w:val="0"/>
        <w:spacing w:line="360" w:lineRule="auto"/>
        <w:rPr>
          <w:rFonts w:ascii="Book Antiqua" w:hAnsi="Book Antiqua" w:cs="Calibri"/>
          <w:color w:val="000000" w:themeColor="text1"/>
          <w:sz w:val="20"/>
          <w:szCs w:val="20"/>
          <w:lang w:val="en-US"/>
        </w:rPr>
      </w:pPr>
      <w:r>
        <w:rPr>
          <w:rFonts w:ascii="Book Antiqua" w:eastAsia="宋体" w:hAnsi="Book Antiqua" w:cs="Helvetica"/>
          <w:color w:val="000000" w:themeColor="text1"/>
          <w:sz w:val="20"/>
          <w:szCs w:val="20"/>
          <w:lang w:val="en-US"/>
        </w:rPr>
        <w:t>Grade E (Poor): 0</w:t>
      </w:r>
    </w:p>
    <w:p w:rsidR="00925A10" w:rsidRDefault="00925A10">
      <w:pPr>
        <w:pStyle w:val="ac"/>
        <w:snapToGrid w:val="0"/>
        <w:spacing w:after="0" w:line="360" w:lineRule="auto"/>
        <w:ind w:left="0"/>
        <w:contextualSpacing w:val="0"/>
        <w:jc w:val="both"/>
        <w:rPr>
          <w:rFonts w:ascii="Book Antiqua" w:hAnsi="Book Antiqua" w:cs="Calibri"/>
          <w:color w:val="000000" w:themeColor="text1"/>
          <w:sz w:val="20"/>
          <w:szCs w:val="20"/>
          <w:lang w:val="en-US" w:eastAsia="zh-CN"/>
        </w:rPr>
      </w:pPr>
    </w:p>
    <w:p w:rsidR="00925A10" w:rsidRDefault="00FC5E1B">
      <w:pPr>
        <w:widowControl/>
        <w:snapToGrid w:val="0"/>
        <w:spacing w:line="360" w:lineRule="auto"/>
        <w:rPr>
          <w:rFonts w:ascii="Book Antiqua" w:eastAsia="宋体" w:hAnsi="Book Antiqua" w:cs="宋体"/>
          <w:color w:val="000000" w:themeColor="text1"/>
          <w:kern w:val="0"/>
          <w:sz w:val="20"/>
          <w:szCs w:val="20"/>
          <w:lang w:val="en-US"/>
        </w:rPr>
      </w:pPr>
      <w:r>
        <w:rPr>
          <w:rFonts w:ascii="Book Antiqua" w:hAnsi="Book Antiqua"/>
          <w:b/>
          <w:color w:val="000000" w:themeColor="text1"/>
          <w:sz w:val="20"/>
          <w:szCs w:val="20"/>
          <w:lang w:val="en-US"/>
        </w:rPr>
        <w:t xml:space="preserve">P-Reviewer: </w:t>
      </w:r>
      <w:r>
        <w:rPr>
          <w:rFonts w:ascii="Book Antiqua" w:eastAsia="宋体" w:hAnsi="Book Antiqua" w:cs="宋体"/>
          <w:color w:val="000000" w:themeColor="text1"/>
          <w:kern w:val="0"/>
          <w:sz w:val="20"/>
          <w:szCs w:val="20"/>
          <w:shd w:val="clear" w:color="auto" w:fill="FFFFFF"/>
          <w:lang w:val="en-US"/>
        </w:rPr>
        <w:t>Dereci O, Muhvić-Urek</w:t>
      </w:r>
      <w:r>
        <w:rPr>
          <w:rFonts w:ascii="Book Antiqua" w:eastAsia="宋体" w:hAnsi="Book Antiqua" w:cs="宋体"/>
          <w:color w:val="000000" w:themeColor="text1"/>
          <w:kern w:val="0"/>
          <w:sz w:val="20"/>
          <w:szCs w:val="20"/>
          <w:lang w:val="en-US"/>
        </w:rPr>
        <w:t xml:space="preserve"> M</w:t>
      </w:r>
      <w:r>
        <w:rPr>
          <w:rFonts w:ascii="Book Antiqua" w:hAnsi="Book Antiqua"/>
          <w:color w:val="000000" w:themeColor="text1"/>
          <w:sz w:val="20"/>
          <w:szCs w:val="20"/>
          <w:lang w:val="en-US"/>
        </w:rPr>
        <w:t xml:space="preserve"> </w:t>
      </w:r>
      <w:r>
        <w:rPr>
          <w:rFonts w:ascii="Book Antiqua" w:hAnsi="Book Antiqua"/>
          <w:b/>
          <w:color w:val="000000" w:themeColor="text1"/>
          <w:sz w:val="20"/>
          <w:szCs w:val="20"/>
          <w:lang w:val="en-US"/>
        </w:rPr>
        <w:t xml:space="preserve">S-Editor: </w:t>
      </w:r>
      <w:r>
        <w:rPr>
          <w:rFonts w:ascii="Book Antiqua" w:hAnsi="Book Antiqua"/>
          <w:color w:val="000000" w:themeColor="text1"/>
          <w:sz w:val="20"/>
          <w:szCs w:val="20"/>
          <w:lang w:val="en-US"/>
        </w:rPr>
        <w:t xml:space="preserve">Dou Y </w:t>
      </w:r>
      <w:r>
        <w:rPr>
          <w:rFonts w:ascii="Book Antiqua" w:hAnsi="Book Antiqua"/>
          <w:b/>
          <w:color w:val="000000" w:themeColor="text1"/>
          <w:sz w:val="20"/>
          <w:szCs w:val="20"/>
          <w:lang w:val="en-US"/>
        </w:rPr>
        <w:t xml:space="preserve">L-Editor: </w:t>
      </w:r>
      <w:r>
        <w:rPr>
          <w:rFonts w:ascii="Book Antiqua" w:hAnsi="Book Antiqua"/>
          <w:color w:val="000000" w:themeColor="text1"/>
          <w:sz w:val="20"/>
          <w:szCs w:val="20"/>
          <w:lang w:val="en-US"/>
        </w:rPr>
        <w:t xml:space="preserve">Filipodia </w:t>
      </w:r>
      <w:r>
        <w:rPr>
          <w:rFonts w:ascii="Book Antiqua" w:hAnsi="Book Antiqua"/>
          <w:b/>
          <w:color w:val="000000" w:themeColor="text1"/>
          <w:sz w:val="20"/>
          <w:szCs w:val="20"/>
          <w:lang w:val="en-US"/>
        </w:rPr>
        <w:t xml:space="preserve">E-Editor: </w:t>
      </w:r>
      <w:r w:rsidR="002013F0" w:rsidRPr="00E60F36">
        <w:rPr>
          <w:rFonts w:ascii="Book Antiqua" w:hAnsi="Book Antiqua"/>
          <w:bCs/>
        </w:rPr>
        <w:t>Zhang YL</w:t>
      </w:r>
      <w:bookmarkStart w:id="35" w:name="_GoBack"/>
      <w:bookmarkEnd w:id="35"/>
    </w:p>
    <w:p w:rsidR="00925A10" w:rsidRDefault="00FC5E1B">
      <w:pPr>
        <w:snapToGrid w:val="0"/>
        <w:spacing w:line="360" w:lineRule="auto"/>
        <w:rPr>
          <w:rFonts w:ascii="Book Antiqua" w:eastAsia="宋体" w:hAnsi="Book Antiqua" w:cs="Courier New"/>
          <w:b/>
          <w:color w:val="000000" w:themeColor="text1"/>
          <w:sz w:val="20"/>
          <w:szCs w:val="20"/>
          <w:lang w:val="en-US"/>
        </w:rPr>
      </w:pPr>
      <w:r>
        <w:rPr>
          <w:rFonts w:ascii="Book Antiqua" w:hAnsi="Book Antiqua"/>
          <w:b/>
          <w:color w:val="000000" w:themeColor="text1"/>
          <w:sz w:val="20"/>
          <w:szCs w:val="20"/>
          <w:lang w:val="en-US"/>
        </w:rPr>
        <w:br w:type="page"/>
      </w:r>
    </w:p>
    <w:p w:rsidR="00925A10" w:rsidRDefault="00FC5E1B">
      <w:pPr>
        <w:adjustRightInd w:val="0"/>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Figure Legends</w:t>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noProof/>
          <w:color w:val="000000" w:themeColor="text1"/>
          <w:sz w:val="20"/>
          <w:szCs w:val="20"/>
          <w:lang w:val="en-US"/>
        </w:rPr>
        <w:drawing>
          <wp:inline distT="0" distB="0" distL="114300" distR="114300">
            <wp:extent cx="3893185" cy="2842260"/>
            <wp:effectExtent l="0" t="0" r="8255" b="7620"/>
            <wp:docPr id="5" name="图片 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1"/>
                    <pic:cNvPicPr>
                      <a:picLocks noChangeAspect="1"/>
                    </pic:cNvPicPr>
                  </pic:nvPicPr>
                  <pic:blipFill>
                    <a:blip r:embed="rId10"/>
                    <a:stretch>
                      <a:fillRect/>
                    </a:stretch>
                  </pic:blipFill>
                  <pic:spPr>
                    <a:xfrm>
                      <a:off x="0" y="0"/>
                      <a:ext cx="3893185" cy="2842260"/>
                    </a:xfrm>
                    <a:prstGeom prst="rect">
                      <a:avLst/>
                    </a:prstGeom>
                  </pic:spPr>
                </pic:pic>
              </a:graphicData>
            </a:graphic>
          </wp:inline>
        </w:drawing>
      </w:r>
    </w:p>
    <w:p w:rsidR="00925A10" w:rsidRDefault="00FC5E1B">
      <w:pPr>
        <w:widowControl/>
        <w:snapToGrid w:val="0"/>
        <w:spacing w:line="360" w:lineRule="auto"/>
        <w:rPr>
          <w:rFonts w:ascii="Book Antiqua" w:eastAsia="宋体" w:hAnsi="Book Antiqua" w:cs="宋体"/>
          <w:color w:val="000000" w:themeColor="text1"/>
          <w:kern w:val="0"/>
          <w:sz w:val="20"/>
          <w:szCs w:val="20"/>
          <w:lang w:val="en-US"/>
        </w:rPr>
      </w:pPr>
      <w:r>
        <w:rPr>
          <w:rFonts w:ascii="Book Antiqua" w:hAnsi="Book Antiqua" w:cs="Times New Roman"/>
          <w:b/>
          <w:bCs/>
          <w:color w:val="000000" w:themeColor="text1"/>
          <w:sz w:val="20"/>
          <w:szCs w:val="20"/>
          <w:lang w:val="en-US"/>
        </w:rPr>
        <w:t xml:space="preserve">Figure 1 The intraoral examination before treatment. </w:t>
      </w:r>
      <w:r>
        <w:rPr>
          <w:rFonts w:ascii="Book Antiqua" w:hAnsi="Book Antiqua" w:cs="Times New Roman"/>
          <w:color w:val="000000" w:themeColor="text1"/>
          <w:sz w:val="20"/>
          <w:szCs w:val="20"/>
          <w:lang w:val="en-US"/>
        </w:rPr>
        <w:t xml:space="preserve">A: The lingual view: the tooth has unusual morphologic features; B: The labial view: the upper right lateral tooth is slightly discolored; C: A preoperative radiograph of the tooth showed a type III </w:t>
      </w:r>
      <w:r>
        <w:rPr>
          <w:rStyle w:val="fontstyle01"/>
          <w:rFonts w:ascii="Book Antiqua" w:hAnsi="Book Antiqua" w:cs="Times New Roman"/>
          <w:color w:val="000000" w:themeColor="text1"/>
          <w:lang w:val="en-US"/>
        </w:rPr>
        <w:t>dens invaginatus</w:t>
      </w:r>
      <w:r>
        <w:rPr>
          <w:rFonts w:ascii="Book Antiqua" w:hAnsi="Book Antiqua" w:cs="Times New Roman"/>
          <w:color w:val="000000" w:themeColor="text1"/>
          <w:sz w:val="20"/>
          <w:szCs w:val="20"/>
          <w:lang w:val="en-US"/>
        </w:rPr>
        <w:t xml:space="preserve"> and an associated large apical radiolucency.</w:t>
      </w:r>
    </w:p>
    <w:p w:rsidR="00925A10" w:rsidRDefault="00FC5E1B">
      <w:pPr>
        <w:widowControl/>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br w:type="page"/>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noProof/>
          <w:color w:val="000000" w:themeColor="text1"/>
          <w:sz w:val="20"/>
          <w:szCs w:val="20"/>
          <w:lang w:val="en-US"/>
        </w:rPr>
        <w:drawing>
          <wp:inline distT="0" distB="0" distL="0" distR="0">
            <wp:extent cx="5120640" cy="19659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640" cy="1965960"/>
                    </a:xfrm>
                    <a:prstGeom prst="rect">
                      <a:avLst/>
                    </a:prstGeom>
                  </pic:spPr>
                </pic:pic>
              </a:graphicData>
            </a:graphic>
          </wp:inline>
        </w:drawing>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t xml:space="preserve">Figure 2 Cone-beam computed tomography images of </w:t>
      </w:r>
      <w:r>
        <w:rPr>
          <w:rStyle w:val="fontstyle01"/>
          <w:rFonts w:ascii="Book Antiqua" w:hAnsi="Book Antiqua" w:cs="Times New Roman"/>
          <w:b/>
          <w:bCs/>
          <w:color w:val="000000" w:themeColor="text1"/>
          <w:lang w:val="en-US"/>
        </w:rPr>
        <w:t>dens invaginatus</w:t>
      </w:r>
      <w:r w:rsidRPr="00116C8D">
        <w:rPr>
          <w:rFonts w:ascii="Book Antiqua" w:hAnsi="Book Antiqua" w:cs="Times New Roman"/>
          <w:b/>
          <w:bCs/>
          <w:color w:val="000000" w:themeColor="text1"/>
          <w:sz w:val="20"/>
          <w:szCs w:val="20"/>
          <w:lang w:val="en-US"/>
        </w:rPr>
        <w:t xml:space="preserve">. </w:t>
      </w:r>
      <w:r>
        <w:rPr>
          <w:rFonts w:ascii="Book Antiqua" w:hAnsi="Book Antiqua" w:cs="Times New Roman"/>
          <w:color w:val="000000" w:themeColor="text1"/>
          <w:sz w:val="20"/>
          <w:szCs w:val="20"/>
          <w:lang w:val="en-US"/>
        </w:rPr>
        <w:t xml:space="preserve">A: The axial image; B: The sagittal image; C: The coronal sections image. A type III dens invaginatus tooth with apical </w:t>
      </w:r>
      <w:r>
        <w:rPr>
          <w:rFonts w:ascii="Book Antiqua" w:hAnsi="Book Antiqua" w:cs="Times New Roman"/>
          <w:color w:val="000000" w:themeColor="text1"/>
          <w:sz w:val="20"/>
          <w:szCs w:val="20"/>
          <w:shd w:val="clear" w:color="auto" w:fill="FFFFFF"/>
          <w:lang w:val="en-US"/>
        </w:rPr>
        <w:t>periodontitis</w:t>
      </w:r>
      <w:r>
        <w:rPr>
          <w:rFonts w:ascii="Book Antiqua" w:hAnsi="Book Antiqua" w:cs="Times New Roman"/>
          <w:color w:val="000000" w:themeColor="text1"/>
          <w:sz w:val="20"/>
          <w:szCs w:val="20"/>
          <w:lang w:val="en-US"/>
        </w:rPr>
        <w:t xml:space="preserve"> based on Oehlers classification can easily be seen in the images.</w:t>
      </w:r>
    </w:p>
    <w:p w:rsidR="00925A10" w:rsidRDefault="00FC5E1B">
      <w:pPr>
        <w:widowControl/>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br w:type="page"/>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b/>
          <w:bCs/>
          <w:noProof/>
          <w:color w:val="000000" w:themeColor="text1"/>
          <w:sz w:val="20"/>
          <w:szCs w:val="20"/>
          <w:lang w:val="en-US"/>
        </w:rPr>
        <w:drawing>
          <wp:inline distT="0" distB="0" distL="114300" distR="114300">
            <wp:extent cx="4046855" cy="4561205"/>
            <wp:effectExtent l="0" t="0" r="6985" b="10795"/>
            <wp:docPr id="6" name="图片 6" descr="Fig 3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3 H"/>
                    <pic:cNvPicPr>
                      <a:picLocks noChangeAspect="1"/>
                    </pic:cNvPicPr>
                  </pic:nvPicPr>
                  <pic:blipFill>
                    <a:blip r:embed="rId12"/>
                    <a:stretch>
                      <a:fillRect/>
                    </a:stretch>
                  </pic:blipFill>
                  <pic:spPr>
                    <a:xfrm>
                      <a:off x="0" y="0"/>
                      <a:ext cx="4046855" cy="4561205"/>
                    </a:xfrm>
                    <a:prstGeom prst="rect">
                      <a:avLst/>
                    </a:prstGeom>
                  </pic:spPr>
                </pic:pic>
              </a:graphicData>
            </a:graphic>
          </wp:inline>
        </w:drawing>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t xml:space="preserve">Figure 3 Non-surgical treatment process. </w:t>
      </w:r>
      <w:r>
        <w:rPr>
          <w:rFonts w:ascii="Book Antiqua" w:hAnsi="Book Antiqua" w:cs="Times New Roman"/>
          <w:color w:val="000000" w:themeColor="text1"/>
          <w:sz w:val="20"/>
          <w:szCs w:val="20"/>
          <w:lang w:val="en-US"/>
        </w:rPr>
        <w:t xml:space="preserve">A: Invaginated tooth seen under the dental operation microscope; B: Partially invaginated tooth taken out for the first step; C: </w:t>
      </w:r>
      <w:bookmarkStart w:id="36" w:name="OLE_LINK26"/>
      <w:r>
        <w:rPr>
          <w:rFonts w:ascii="Book Antiqua" w:hAnsi="Book Antiqua" w:cs="Times New Roman"/>
          <w:color w:val="000000" w:themeColor="text1"/>
          <w:sz w:val="20"/>
          <w:szCs w:val="20"/>
          <w:lang w:val="en-US"/>
        </w:rPr>
        <w:t xml:space="preserve">Intraoperative film </w:t>
      </w:r>
      <w:bookmarkEnd w:id="36"/>
      <w:r>
        <w:rPr>
          <w:rFonts w:ascii="Book Antiqua" w:hAnsi="Book Antiqua" w:cs="Times New Roman"/>
          <w:color w:val="000000" w:themeColor="text1"/>
          <w:sz w:val="20"/>
          <w:szCs w:val="20"/>
          <w:lang w:val="en-US"/>
        </w:rPr>
        <w:t xml:space="preserve">confirmed that the invaginated tooth was completely removed; D: </w:t>
      </w:r>
      <w:r>
        <w:rPr>
          <w:rFonts w:ascii="Book Antiqua" w:hAnsi="Book Antiqua" w:cs="Times New Roman"/>
          <w:i/>
          <w:iCs/>
          <w:color w:val="000000" w:themeColor="text1"/>
          <w:sz w:val="20"/>
          <w:szCs w:val="20"/>
          <w:lang w:val="en-US"/>
        </w:rPr>
        <w:t>In vitro</w:t>
      </w:r>
      <w:r>
        <w:rPr>
          <w:rFonts w:ascii="Book Antiqua" w:hAnsi="Book Antiqua" w:cs="Times New Roman"/>
          <w:color w:val="000000" w:themeColor="text1"/>
          <w:sz w:val="20"/>
          <w:szCs w:val="20"/>
          <w:lang w:val="en-US"/>
        </w:rPr>
        <w:t xml:space="preserve"> photo of a complete invaginated tooth; E: The canal was prepared with ultrasonic tip; F: The canal was irrigated with 1% sodium hypochlorite and saline; G: The canal was dried with absorbent paper points; H: Working length was confirmed with the X-ray dental pictures; I: Mineral trioxide aggregate was seen under the dental operation microscope; J: A radiographic image showed the apical third root was obturated with 4 mm mineral trioxide aggregate; K: The remaining pulp space was obturated with </w:t>
      </w:r>
      <w:bookmarkStart w:id="37" w:name="OLE_LINK5"/>
      <w:r>
        <w:rPr>
          <w:rFonts w:ascii="Book Antiqua" w:hAnsi="Book Antiqua" w:cs="Times New Roman"/>
          <w:color w:val="000000" w:themeColor="text1"/>
          <w:sz w:val="20"/>
          <w:szCs w:val="20"/>
          <w:lang w:val="en-US"/>
        </w:rPr>
        <w:t>thermoplastic gutta-percha,</w:t>
      </w:r>
      <w:bookmarkEnd w:id="37"/>
      <w:r>
        <w:rPr>
          <w:rFonts w:ascii="Book Antiqua" w:hAnsi="Book Antiqua" w:cs="Times New Roman"/>
          <w:color w:val="000000" w:themeColor="text1"/>
          <w:sz w:val="20"/>
          <w:szCs w:val="20"/>
          <w:lang w:val="en-US"/>
        </w:rPr>
        <w:t xml:space="preserve"> and the access cavity was sealed with a composite resin; L: Radiograph taken immediately after the treatment.</w:t>
      </w:r>
      <w:bookmarkStart w:id="38" w:name="OLE_LINK13"/>
    </w:p>
    <w:p w:rsidR="00925A10" w:rsidRDefault="00FC5E1B">
      <w:pPr>
        <w:widowControl/>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br w:type="page"/>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noProof/>
          <w:color w:val="000000" w:themeColor="text1"/>
          <w:sz w:val="20"/>
          <w:szCs w:val="20"/>
          <w:lang w:val="en-US"/>
        </w:rPr>
        <w:drawing>
          <wp:inline distT="0" distB="0" distL="0" distR="0">
            <wp:extent cx="5274310" cy="31584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158490"/>
                    </a:xfrm>
                    <a:prstGeom prst="rect">
                      <a:avLst/>
                    </a:prstGeom>
                  </pic:spPr>
                </pic:pic>
              </a:graphicData>
            </a:graphic>
          </wp:inline>
        </w:drawing>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t xml:space="preserve">Figure 4 Follow-up images at different periods. </w:t>
      </w:r>
      <w:r>
        <w:rPr>
          <w:rFonts w:ascii="Book Antiqua" w:hAnsi="Book Antiqua" w:cs="Times New Roman"/>
          <w:color w:val="000000" w:themeColor="text1"/>
          <w:sz w:val="20"/>
          <w:szCs w:val="20"/>
          <w:lang w:val="en-US"/>
        </w:rPr>
        <w:t>A</w:t>
      </w:r>
      <w:r>
        <w:rPr>
          <w:rFonts w:ascii="Book Antiqua" w:hAnsi="Book Antiqua" w:cs="Times New Roman"/>
          <w:b/>
          <w:bCs/>
          <w:color w:val="000000" w:themeColor="text1"/>
          <w:sz w:val="20"/>
          <w:szCs w:val="20"/>
          <w:lang w:val="en-US"/>
        </w:rPr>
        <w:t>-</w:t>
      </w:r>
      <w:r>
        <w:rPr>
          <w:rFonts w:ascii="Book Antiqua" w:hAnsi="Book Antiqua" w:cs="Times New Roman"/>
          <w:color w:val="000000" w:themeColor="text1"/>
          <w:sz w:val="20"/>
          <w:szCs w:val="20"/>
          <w:lang w:val="en-US"/>
        </w:rPr>
        <w:t xml:space="preserve">C: The labial view of the invaginated tooth during 9-, 15- and 26-mo follow-up examinations; D, F: </w:t>
      </w:r>
      <w:bookmarkStart w:id="39" w:name="OLE_LINK27"/>
      <w:r>
        <w:rPr>
          <w:rFonts w:ascii="Book Antiqua" w:hAnsi="Book Antiqua" w:cs="Times New Roman"/>
          <w:color w:val="000000" w:themeColor="text1"/>
          <w:sz w:val="20"/>
          <w:szCs w:val="20"/>
          <w:lang w:val="en-US"/>
        </w:rPr>
        <w:t>Periapical radiograph</w:t>
      </w:r>
      <w:bookmarkEnd w:id="39"/>
      <w:r>
        <w:rPr>
          <w:rFonts w:ascii="Book Antiqua" w:hAnsi="Book Antiqua" w:cs="Times New Roman"/>
          <w:color w:val="000000" w:themeColor="text1"/>
          <w:sz w:val="20"/>
          <w:szCs w:val="20"/>
          <w:lang w:val="en-US"/>
        </w:rPr>
        <w:t>s taken at the</w:t>
      </w:r>
      <w:bookmarkStart w:id="40" w:name="OLE_LINK4"/>
      <w:r>
        <w:rPr>
          <w:rFonts w:ascii="Book Antiqua" w:hAnsi="Book Antiqua" w:cs="Times New Roman"/>
          <w:color w:val="000000" w:themeColor="text1"/>
          <w:sz w:val="20"/>
          <w:szCs w:val="20"/>
          <w:lang w:val="en-US"/>
        </w:rPr>
        <w:t xml:space="preserve"> 9-, 15- and 26-mo follow-up examinations.</w:t>
      </w:r>
      <w:bookmarkEnd w:id="40"/>
      <w:r>
        <w:rPr>
          <w:rFonts w:ascii="Book Antiqua" w:hAnsi="Book Antiqua" w:cs="Times New Roman"/>
          <w:color w:val="000000" w:themeColor="text1"/>
          <w:sz w:val="20"/>
          <w:szCs w:val="20"/>
          <w:lang w:val="en-US"/>
        </w:rPr>
        <w:t xml:space="preserve"> The apical radiolucency was significantly reduced.</w:t>
      </w:r>
      <w:bookmarkEnd w:id="38"/>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fldChar w:fldCharType="begin"/>
      </w:r>
      <w:r>
        <w:rPr>
          <w:rFonts w:ascii="Book Antiqua" w:hAnsi="Book Antiqua" w:cs="Times New Roman"/>
          <w:color w:val="000000" w:themeColor="text1"/>
          <w:sz w:val="20"/>
          <w:szCs w:val="20"/>
          <w:lang w:val="en-US"/>
        </w:rPr>
        <w:instrText xml:space="preserve"> ADDIN  EN.REFLIST </w:instrText>
      </w:r>
      <w:r>
        <w:rPr>
          <w:rFonts w:ascii="Book Antiqua" w:hAnsi="Book Antiqua" w:cs="Times New Roman"/>
          <w:color w:val="000000" w:themeColor="text1"/>
          <w:sz w:val="20"/>
          <w:szCs w:val="20"/>
          <w:lang w:val="en-US"/>
        </w:rPr>
        <w:fldChar w:fldCharType="end"/>
      </w:r>
    </w:p>
    <w:sectPr w:rsidR="00925A10">
      <w:footerReference w:type="even"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D1D" w:rsidRDefault="00291D1D">
      <w:r>
        <w:separator/>
      </w:r>
    </w:p>
  </w:endnote>
  <w:endnote w:type="continuationSeparator" w:id="0">
    <w:p w:rsidR="00291D1D" w:rsidRDefault="0029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dvPS7C10">
    <w:altName w:val="Times New Roman"/>
    <w:charset w:val="00"/>
    <w:family w:val="auto"/>
    <w:pitch w:val="default"/>
  </w:font>
  <w:font w:name="AdvOT8608a8d1+20">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10" w:rsidRDefault="00FC5E1B">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25A10" w:rsidRDefault="00925A1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A10" w:rsidRPr="00116C8D" w:rsidRDefault="00FC5E1B">
    <w:pPr>
      <w:pStyle w:val="a6"/>
      <w:framePr w:wrap="around" w:vAnchor="text" w:hAnchor="margin" w:xAlign="center" w:y="1"/>
      <w:rPr>
        <w:rStyle w:val="a9"/>
        <w:rFonts w:ascii="Book Antiqua" w:hAnsi="Book Antiqua"/>
        <w:sz w:val="20"/>
        <w:szCs w:val="20"/>
      </w:rPr>
    </w:pPr>
    <w:r w:rsidRPr="00116C8D">
      <w:rPr>
        <w:rStyle w:val="a9"/>
        <w:rFonts w:ascii="Book Antiqua" w:hAnsi="Book Antiqua"/>
        <w:sz w:val="20"/>
        <w:szCs w:val="20"/>
      </w:rPr>
      <w:fldChar w:fldCharType="begin"/>
    </w:r>
    <w:r w:rsidRPr="00116C8D">
      <w:rPr>
        <w:rStyle w:val="a9"/>
        <w:rFonts w:ascii="Book Antiqua" w:hAnsi="Book Antiqua"/>
        <w:sz w:val="20"/>
        <w:szCs w:val="20"/>
      </w:rPr>
      <w:instrText xml:space="preserve">PAGE  </w:instrText>
    </w:r>
    <w:r w:rsidRPr="00116C8D">
      <w:rPr>
        <w:rStyle w:val="a9"/>
        <w:rFonts w:ascii="Book Antiqua" w:hAnsi="Book Antiqua"/>
        <w:sz w:val="20"/>
        <w:szCs w:val="20"/>
      </w:rPr>
      <w:fldChar w:fldCharType="separate"/>
    </w:r>
    <w:r w:rsidR="00291D1D">
      <w:rPr>
        <w:rStyle w:val="a9"/>
        <w:rFonts w:ascii="Book Antiqua" w:hAnsi="Book Antiqua"/>
        <w:noProof/>
        <w:sz w:val="20"/>
        <w:szCs w:val="20"/>
      </w:rPr>
      <w:t>1</w:t>
    </w:r>
    <w:r w:rsidRPr="00116C8D">
      <w:rPr>
        <w:rStyle w:val="a9"/>
        <w:rFonts w:ascii="Book Antiqua" w:hAnsi="Book Antiqua"/>
        <w:sz w:val="20"/>
        <w:szCs w:val="20"/>
      </w:rPr>
      <w:fldChar w:fldCharType="end"/>
    </w:r>
  </w:p>
  <w:p w:rsidR="00925A10" w:rsidRDefault="00925A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D1D" w:rsidRDefault="00291D1D">
      <w:r>
        <w:separator/>
      </w:r>
    </w:p>
  </w:footnote>
  <w:footnote w:type="continuationSeparator" w:id="0">
    <w:p w:rsidR="00291D1D" w:rsidRDefault="00291D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bordersDoNotSurroundHeader/>
  <w:bordersDoNotSurroundFooter/>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d0aaxzrsdpp0eeeav5zzfoa2ppepr2s0ex&quot;&gt;My EndNote Library&lt;record-ids&gt;&lt;item&gt;1&lt;/item&gt;&lt;item&gt;2&lt;/item&gt;&lt;item&gt;3&lt;/item&gt;&lt;item&gt;4&lt;/item&gt;&lt;item&gt;5&lt;/item&gt;&lt;item&gt;7&lt;/item&gt;&lt;item&gt;8&lt;/item&gt;&lt;item&gt;9&lt;/item&gt;&lt;item&gt;12&lt;/item&gt;&lt;item&gt;14&lt;/item&gt;&lt;item&gt;15&lt;/item&gt;&lt;item&gt;16&lt;/item&gt;&lt;item&gt;21&lt;/item&gt;&lt;item&gt;25&lt;/item&gt;&lt;item&gt;26&lt;/item&gt;&lt;item&gt;27&lt;/item&gt;&lt;item&gt;28&lt;/item&gt;&lt;item&gt;29&lt;/item&gt;&lt;item&gt;30&lt;/item&gt;&lt;item&gt;31&lt;/item&gt;&lt;item&gt;34&lt;/item&gt;&lt;item&gt;35&lt;/item&gt;&lt;item&gt;43&lt;/item&gt;&lt;item&gt;44&lt;/item&gt;&lt;item&gt;45&lt;/item&gt;&lt;item&gt;46&lt;/item&gt;&lt;item&gt;47&lt;/item&gt;&lt;/record-ids&gt;&lt;/item&gt;&lt;/Libraries&gt;"/>
  </w:docVars>
  <w:rsids>
    <w:rsidRoot w:val="00172A27"/>
    <w:rsid w:val="000678E4"/>
    <w:rsid w:val="00102CFE"/>
    <w:rsid w:val="00104023"/>
    <w:rsid w:val="00116C8D"/>
    <w:rsid w:val="001672F4"/>
    <w:rsid w:val="00170300"/>
    <w:rsid w:val="00172A27"/>
    <w:rsid w:val="00173756"/>
    <w:rsid w:val="00184991"/>
    <w:rsid w:val="00184E3C"/>
    <w:rsid w:val="00184FB1"/>
    <w:rsid w:val="001B15C7"/>
    <w:rsid w:val="001E58B0"/>
    <w:rsid w:val="002013F0"/>
    <w:rsid w:val="00210D8F"/>
    <w:rsid w:val="00212E41"/>
    <w:rsid w:val="0021723A"/>
    <w:rsid w:val="002247BA"/>
    <w:rsid w:val="0025407D"/>
    <w:rsid w:val="002717AA"/>
    <w:rsid w:val="00275A34"/>
    <w:rsid w:val="00291D1D"/>
    <w:rsid w:val="002A7900"/>
    <w:rsid w:val="002B0F10"/>
    <w:rsid w:val="002C129D"/>
    <w:rsid w:val="002E08CC"/>
    <w:rsid w:val="002F0BA7"/>
    <w:rsid w:val="003160E4"/>
    <w:rsid w:val="0032352E"/>
    <w:rsid w:val="00332635"/>
    <w:rsid w:val="00335EC9"/>
    <w:rsid w:val="00346CDE"/>
    <w:rsid w:val="003A2365"/>
    <w:rsid w:val="003B3C74"/>
    <w:rsid w:val="003C41B0"/>
    <w:rsid w:val="003D1634"/>
    <w:rsid w:val="003D1D91"/>
    <w:rsid w:val="003D7F2E"/>
    <w:rsid w:val="003F6397"/>
    <w:rsid w:val="004011FE"/>
    <w:rsid w:val="004120FA"/>
    <w:rsid w:val="00414565"/>
    <w:rsid w:val="0042020D"/>
    <w:rsid w:val="00425A29"/>
    <w:rsid w:val="004523D1"/>
    <w:rsid w:val="00453BF1"/>
    <w:rsid w:val="0045446B"/>
    <w:rsid w:val="00455C23"/>
    <w:rsid w:val="00487415"/>
    <w:rsid w:val="004B5302"/>
    <w:rsid w:val="004F7E4F"/>
    <w:rsid w:val="0051679C"/>
    <w:rsid w:val="00516870"/>
    <w:rsid w:val="0052056D"/>
    <w:rsid w:val="0052240A"/>
    <w:rsid w:val="005244E8"/>
    <w:rsid w:val="00563BFE"/>
    <w:rsid w:val="00575586"/>
    <w:rsid w:val="00585EEF"/>
    <w:rsid w:val="005C3A48"/>
    <w:rsid w:val="005C5540"/>
    <w:rsid w:val="005D7449"/>
    <w:rsid w:val="005E1D6F"/>
    <w:rsid w:val="00613DFC"/>
    <w:rsid w:val="00661CD2"/>
    <w:rsid w:val="00683BC3"/>
    <w:rsid w:val="006958F5"/>
    <w:rsid w:val="006B2BEC"/>
    <w:rsid w:val="006C0CA2"/>
    <w:rsid w:val="006C6CF0"/>
    <w:rsid w:val="006D262D"/>
    <w:rsid w:val="006E338B"/>
    <w:rsid w:val="006F4FB8"/>
    <w:rsid w:val="006F526B"/>
    <w:rsid w:val="007059D0"/>
    <w:rsid w:val="007128AB"/>
    <w:rsid w:val="007579DB"/>
    <w:rsid w:val="00761947"/>
    <w:rsid w:val="00783341"/>
    <w:rsid w:val="00797207"/>
    <w:rsid w:val="0079735E"/>
    <w:rsid w:val="008013EE"/>
    <w:rsid w:val="00814EA3"/>
    <w:rsid w:val="008214B9"/>
    <w:rsid w:val="00840D4F"/>
    <w:rsid w:val="00840DA1"/>
    <w:rsid w:val="00853F15"/>
    <w:rsid w:val="0089736B"/>
    <w:rsid w:val="008B6A5A"/>
    <w:rsid w:val="008C06B5"/>
    <w:rsid w:val="008D0DB3"/>
    <w:rsid w:val="008D354B"/>
    <w:rsid w:val="008D73EA"/>
    <w:rsid w:val="008E1082"/>
    <w:rsid w:val="008F6AF7"/>
    <w:rsid w:val="00905ACA"/>
    <w:rsid w:val="00911E55"/>
    <w:rsid w:val="00925A10"/>
    <w:rsid w:val="00950266"/>
    <w:rsid w:val="00950999"/>
    <w:rsid w:val="0096150F"/>
    <w:rsid w:val="00997A4F"/>
    <w:rsid w:val="009A7E93"/>
    <w:rsid w:val="009B1644"/>
    <w:rsid w:val="009E3338"/>
    <w:rsid w:val="009E3A4B"/>
    <w:rsid w:val="00A07253"/>
    <w:rsid w:val="00A25214"/>
    <w:rsid w:val="00A341CA"/>
    <w:rsid w:val="00A65F25"/>
    <w:rsid w:val="00A75038"/>
    <w:rsid w:val="00A75437"/>
    <w:rsid w:val="00A80EBF"/>
    <w:rsid w:val="00A97D96"/>
    <w:rsid w:val="00AB1D09"/>
    <w:rsid w:val="00AC2954"/>
    <w:rsid w:val="00AC2C8F"/>
    <w:rsid w:val="00AC662C"/>
    <w:rsid w:val="00AD6332"/>
    <w:rsid w:val="00AD73C0"/>
    <w:rsid w:val="00AF3F1B"/>
    <w:rsid w:val="00B04009"/>
    <w:rsid w:val="00B04354"/>
    <w:rsid w:val="00B24182"/>
    <w:rsid w:val="00B27871"/>
    <w:rsid w:val="00B35151"/>
    <w:rsid w:val="00B5720C"/>
    <w:rsid w:val="00B57811"/>
    <w:rsid w:val="00B70640"/>
    <w:rsid w:val="00B70D0E"/>
    <w:rsid w:val="00B76174"/>
    <w:rsid w:val="00B77E6E"/>
    <w:rsid w:val="00B855D0"/>
    <w:rsid w:val="00BA3D41"/>
    <w:rsid w:val="00BB4A81"/>
    <w:rsid w:val="00BD03E6"/>
    <w:rsid w:val="00BE5EE9"/>
    <w:rsid w:val="00BF27CF"/>
    <w:rsid w:val="00C378AC"/>
    <w:rsid w:val="00C45352"/>
    <w:rsid w:val="00C54CEF"/>
    <w:rsid w:val="00C800D5"/>
    <w:rsid w:val="00CB2C09"/>
    <w:rsid w:val="00CC0ABD"/>
    <w:rsid w:val="00CD2223"/>
    <w:rsid w:val="00CD4978"/>
    <w:rsid w:val="00CE0D71"/>
    <w:rsid w:val="00CF42A7"/>
    <w:rsid w:val="00CF797B"/>
    <w:rsid w:val="00D046EB"/>
    <w:rsid w:val="00D05F6F"/>
    <w:rsid w:val="00D31334"/>
    <w:rsid w:val="00D32AAA"/>
    <w:rsid w:val="00D33CFE"/>
    <w:rsid w:val="00D451E9"/>
    <w:rsid w:val="00D93A80"/>
    <w:rsid w:val="00D9799A"/>
    <w:rsid w:val="00DA1D07"/>
    <w:rsid w:val="00DB2928"/>
    <w:rsid w:val="00DB65FC"/>
    <w:rsid w:val="00DE6219"/>
    <w:rsid w:val="00DF7FFC"/>
    <w:rsid w:val="00E017D8"/>
    <w:rsid w:val="00E33754"/>
    <w:rsid w:val="00E41543"/>
    <w:rsid w:val="00E67F95"/>
    <w:rsid w:val="00E70F9A"/>
    <w:rsid w:val="00E73442"/>
    <w:rsid w:val="00ED4155"/>
    <w:rsid w:val="00EE0DBF"/>
    <w:rsid w:val="00EE5E71"/>
    <w:rsid w:val="00EF56F2"/>
    <w:rsid w:val="00F06239"/>
    <w:rsid w:val="00F220F0"/>
    <w:rsid w:val="00F43154"/>
    <w:rsid w:val="00F54F34"/>
    <w:rsid w:val="00F836BA"/>
    <w:rsid w:val="00F95348"/>
    <w:rsid w:val="00FA37E1"/>
    <w:rsid w:val="00FC0565"/>
    <w:rsid w:val="00FC5E1B"/>
    <w:rsid w:val="00FF1F12"/>
    <w:rsid w:val="01BA7EE1"/>
    <w:rsid w:val="09407804"/>
    <w:rsid w:val="0AE868D2"/>
    <w:rsid w:val="0BF90245"/>
    <w:rsid w:val="0FD67475"/>
    <w:rsid w:val="17AC540A"/>
    <w:rsid w:val="1DD66946"/>
    <w:rsid w:val="23A33198"/>
    <w:rsid w:val="25B17F3C"/>
    <w:rsid w:val="2AA11120"/>
    <w:rsid w:val="34E34F32"/>
    <w:rsid w:val="36E67F9A"/>
    <w:rsid w:val="38160751"/>
    <w:rsid w:val="3B512281"/>
    <w:rsid w:val="3B612D12"/>
    <w:rsid w:val="41706CD6"/>
    <w:rsid w:val="457D267D"/>
    <w:rsid w:val="45AD589F"/>
    <w:rsid w:val="48192A73"/>
    <w:rsid w:val="4C3E608C"/>
    <w:rsid w:val="4CAB559F"/>
    <w:rsid w:val="503442B0"/>
    <w:rsid w:val="50823719"/>
    <w:rsid w:val="5245016E"/>
    <w:rsid w:val="538421DB"/>
    <w:rsid w:val="5837159F"/>
    <w:rsid w:val="587A7181"/>
    <w:rsid w:val="5BA064CB"/>
    <w:rsid w:val="5C1C1EF3"/>
    <w:rsid w:val="5CC65C69"/>
    <w:rsid w:val="5D5C0BAB"/>
    <w:rsid w:val="5D7E2AA4"/>
    <w:rsid w:val="5E3577BF"/>
    <w:rsid w:val="5E462203"/>
    <w:rsid w:val="5F7438B4"/>
    <w:rsid w:val="5FBD795F"/>
    <w:rsid w:val="60230170"/>
    <w:rsid w:val="63A73F6D"/>
    <w:rsid w:val="6A24231A"/>
    <w:rsid w:val="6B11265D"/>
    <w:rsid w:val="6F5D5B8E"/>
    <w:rsid w:val="7E534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unhideWhenUsed="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rPr>
      <w:rFonts w:ascii="Tahoma" w:hAnsi="Tahoma" w:cs="Tahoma"/>
      <w:sz w:val="16"/>
      <w:lang w:val="en-US"/>
    </w:rPr>
  </w:style>
  <w:style w:type="paragraph" w:styleId="a4">
    <w:name w:val="Plain Text"/>
    <w:basedOn w:val="a"/>
    <w:link w:val="Char0"/>
    <w:rPr>
      <w:rFonts w:ascii="宋体" w:eastAsia="宋体" w:hAnsi="Courier New" w:cs="Courier New"/>
      <w:szCs w:val="21"/>
      <w:lang w:val="en-US"/>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lang w:val="en-US"/>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lang w:val="en-US"/>
    </w:rPr>
  </w:style>
  <w:style w:type="paragraph" w:styleId="a8">
    <w:name w:val="Normal (Web)"/>
    <w:basedOn w:val="a"/>
    <w:link w:val="Char4"/>
    <w:qFormat/>
    <w:rPr>
      <w:sz w:val="24"/>
    </w:rPr>
  </w:style>
  <w:style w:type="character" w:styleId="a9">
    <w:name w:val="page number"/>
    <w:basedOn w:val="a0"/>
    <w:uiPriority w:val="99"/>
    <w:semiHidden/>
    <w:unhideWhenUsed/>
  </w:style>
  <w:style w:type="character" w:styleId="aa">
    <w:name w:val="Hyperlink"/>
    <w:basedOn w:val="a0"/>
    <w:uiPriority w:val="99"/>
    <w:semiHidden/>
    <w:unhideWhenUsed/>
    <w:qFormat/>
    <w:rPr>
      <w:color w:val="0000FF"/>
      <w:u w:val="single"/>
    </w:rPr>
  </w:style>
  <w:style w:type="character" w:styleId="ab">
    <w:name w:val="annotation reference"/>
    <w:basedOn w:val="a0"/>
    <w:qFormat/>
    <w:rPr>
      <w:rFonts w:ascii="Tahoma" w:hAnsi="Tahoma" w:cs="Tahoma"/>
      <w:sz w:val="16"/>
      <w:szCs w:val="21"/>
      <w:u w:val="none"/>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批注文字 Char"/>
    <w:basedOn w:val="a0"/>
    <w:link w:val="a3"/>
    <w:qFormat/>
    <w:rPr>
      <w:rFonts w:ascii="Tahoma" w:hAnsi="Tahoma" w:cs="Tahoma"/>
      <w:sz w:val="16"/>
      <w:szCs w:val="24"/>
    </w:rPr>
  </w:style>
  <w:style w:type="character" w:customStyle="1" w:styleId="fontstyle01">
    <w:name w:val="fontstyle01"/>
    <w:basedOn w:val="a0"/>
    <w:qFormat/>
    <w:rPr>
      <w:rFonts w:ascii="AdvPS7C10" w:eastAsia="AdvPS7C10" w:hAnsi="AdvPS7C10" w:cs="AdvPS7C10"/>
      <w:color w:val="000000"/>
      <w:sz w:val="20"/>
      <w:szCs w:val="20"/>
    </w:rPr>
  </w:style>
  <w:style w:type="paragraph" w:customStyle="1" w:styleId="1">
    <w:name w:val="无间隔1"/>
    <w:uiPriority w:val="99"/>
    <w:qFormat/>
    <w:pPr>
      <w:widowControl w:val="0"/>
      <w:jc w:val="both"/>
    </w:pPr>
    <w:rPr>
      <w:kern w:val="2"/>
      <w:sz w:val="28"/>
      <w:szCs w:val="28"/>
    </w:rPr>
  </w:style>
  <w:style w:type="paragraph" w:customStyle="1" w:styleId="EndNoteBibliography">
    <w:name w:val="EndNote Bibliography"/>
    <w:basedOn w:val="a"/>
    <w:link w:val="EndNoteBibliographyChar"/>
    <w:qFormat/>
    <w:rPr>
      <w:rFonts w:ascii="等线" w:eastAsia="等线" w:hAnsi="等线" w:cs="等线" w:hint="eastAsia"/>
      <w:kern w:val="0"/>
      <w:sz w:val="20"/>
      <w:szCs w:val="20"/>
    </w:rPr>
  </w:style>
  <w:style w:type="character" w:customStyle="1" w:styleId="EndNoteBibliographyChar">
    <w:name w:val="EndNote Bibliography Char"/>
    <w:link w:val="EndNoteBibliography"/>
    <w:qFormat/>
    <w:rPr>
      <w:rFonts w:ascii="等线" w:eastAsia="等线" w:hAnsi="等线" w:cs="等线"/>
      <w:lang w:val="en-GB"/>
    </w:rPr>
  </w:style>
  <w:style w:type="character" w:customStyle="1" w:styleId="Char1">
    <w:name w:val="批注框文本 Char"/>
    <w:basedOn w:val="a0"/>
    <w:link w:val="a5"/>
    <w:uiPriority w:val="99"/>
    <w:semiHidden/>
    <w:qFormat/>
    <w:rPr>
      <w:sz w:val="18"/>
      <w:szCs w:val="18"/>
      <w:lang w:val="en-GB"/>
    </w:rPr>
  </w:style>
  <w:style w:type="character" w:customStyle="1" w:styleId="fontstyle21">
    <w:name w:val="fontstyle21"/>
    <w:basedOn w:val="a0"/>
    <w:qFormat/>
    <w:rPr>
      <w:rFonts w:ascii="AdvOT8608a8d1+20" w:hAnsi="AdvOT8608a8d1+20" w:hint="default"/>
      <w:color w:val="000000"/>
      <w:sz w:val="16"/>
      <w:szCs w:val="16"/>
    </w:rPr>
  </w:style>
  <w:style w:type="paragraph" w:customStyle="1" w:styleId="EndNoteBibliographyTitle">
    <w:name w:val="EndNote Bibliography Title"/>
    <w:basedOn w:val="a"/>
    <w:link w:val="EndNoteBibliographyTitle0"/>
    <w:qFormat/>
    <w:pPr>
      <w:jc w:val="center"/>
    </w:pPr>
    <w:rPr>
      <w:rFonts w:ascii="等线" w:eastAsia="等线" w:hAnsi="等线" w:cs="等线" w:hint="eastAsia"/>
      <w:sz w:val="20"/>
    </w:rPr>
  </w:style>
  <w:style w:type="character" w:customStyle="1" w:styleId="Char4">
    <w:name w:val="普通(网站) Char"/>
    <w:basedOn w:val="a0"/>
    <w:link w:val="a8"/>
    <w:qFormat/>
    <w:rPr>
      <w:sz w:val="24"/>
      <w:szCs w:val="24"/>
      <w:lang w:val="en-GB"/>
    </w:rPr>
  </w:style>
  <w:style w:type="character" w:customStyle="1" w:styleId="EndNoteBibliographyTitle0">
    <w:name w:val="EndNote Bibliography Title 字符"/>
    <w:basedOn w:val="Char4"/>
    <w:link w:val="EndNoteBibliographyTitle"/>
    <w:qFormat/>
    <w:rPr>
      <w:rFonts w:ascii="等线" w:eastAsia="等线" w:hAnsi="等线" w:cs="等线"/>
      <w:kern w:val="2"/>
      <w:sz w:val="24"/>
      <w:szCs w:val="24"/>
      <w:lang w:val="en-GB"/>
    </w:rPr>
  </w:style>
  <w:style w:type="paragraph" w:customStyle="1" w:styleId="10">
    <w:name w:val="正文1"/>
    <w:qFormat/>
    <w:pPr>
      <w:jc w:val="both"/>
    </w:pPr>
    <w:rPr>
      <w:rFonts w:ascii="等线" w:hAnsi="等线" w:cs="宋体"/>
      <w:kern w:val="2"/>
      <w:sz w:val="21"/>
      <w:szCs w:val="21"/>
    </w:rPr>
  </w:style>
  <w:style w:type="paragraph" w:styleId="ac">
    <w:name w:val="List Paragraph"/>
    <w:basedOn w:val="a"/>
    <w:uiPriority w:val="34"/>
    <w:qFormat/>
    <w:pPr>
      <w:widowControl/>
      <w:spacing w:after="160" w:line="259" w:lineRule="auto"/>
      <w:ind w:left="720"/>
      <w:contextualSpacing/>
      <w:jc w:val="left"/>
    </w:pPr>
    <w:rPr>
      <w:kern w:val="0"/>
      <w:sz w:val="22"/>
      <w:szCs w:val="22"/>
      <w:lang w:val="el-GR" w:eastAsia="en-US"/>
    </w:rPr>
  </w:style>
  <w:style w:type="character" w:customStyle="1" w:styleId="Char0">
    <w:name w:val="纯文本 Char"/>
    <w:basedOn w:val="a0"/>
    <w:link w:val="a4"/>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unhideWhenUsed="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rPr>
      <w:rFonts w:ascii="Tahoma" w:hAnsi="Tahoma" w:cs="Tahoma"/>
      <w:sz w:val="16"/>
      <w:lang w:val="en-US"/>
    </w:rPr>
  </w:style>
  <w:style w:type="paragraph" w:styleId="a4">
    <w:name w:val="Plain Text"/>
    <w:basedOn w:val="a"/>
    <w:link w:val="Char0"/>
    <w:rPr>
      <w:rFonts w:ascii="宋体" w:eastAsia="宋体" w:hAnsi="Courier New" w:cs="Courier New"/>
      <w:szCs w:val="21"/>
      <w:lang w:val="en-US"/>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lang w:val="en-US"/>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lang w:val="en-US"/>
    </w:rPr>
  </w:style>
  <w:style w:type="paragraph" w:styleId="a8">
    <w:name w:val="Normal (Web)"/>
    <w:basedOn w:val="a"/>
    <w:link w:val="Char4"/>
    <w:qFormat/>
    <w:rPr>
      <w:sz w:val="24"/>
    </w:rPr>
  </w:style>
  <w:style w:type="character" w:styleId="a9">
    <w:name w:val="page number"/>
    <w:basedOn w:val="a0"/>
    <w:uiPriority w:val="99"/>
    <w:semiHidden/>
    <w:unhideWhenUsed/>
  </w:style>
  <w:style w:type="character" w:styleId="aa">
    <w:name w:val="Hyperlink"/>
    <w:basedOn w:val="a0"/>
    <w:uiPriority w:val="99"/>
    <w:semiHidden/>
    <w:unhideWhenUsed/>
    <w:qFormat/>
    <w:rPr>
      <w:color w:val="0000FF"/>
      <w:u w:val="single"/>
    </w:rPr>
  </w:style>
  <w:style w:type="character" w:styleId="ab">
    <w:name w:val="annotation reference"/>
    <w:basedOn w:val="a0"/>
    <w:qFormat/>
    <w:rPr>
      <w:rFonts w:ascii="Tahoma" w:hAnsi="Tahoma" w:cs="Tahoma"/>
      <w:sz w:val="16"/>
      <w:szCs w:val="21"/>
      <w:u w:val="none"/>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批注文字 Char"/>
    <w:basedOn w:val="a0"/>
    <w:link w:val="a3"/>
    <w:qFormat/>
    <w:rPr>
      <w:rFonts w:ascii="Tahoma" w:hAnsi="Tahoma" w:cs="Tahoma"/>
      <w:sz w:val="16"/>
      <w:szCs w:val="24"/>
    </w:rPr>
  </w:style>
  <w:style w:type="character" w:customStyle="1" w:styleId="fontstyle01">
    <w:name w:val="fontstyle01"/>
    <w:basedOn w:val="a0"/>
    <w:qFormat/>
    <w:rPr>
      <w:rFonts w:ascii="AdvPS7C10" w:eastAsia="AdvPS7C10" w:hAnsi="AdvPS7C10" w:cs="AdvPS7C10"/>
      <w:color w:val="000000"/>
      <w:sz w:val="20"/>
      <w:szCs w:val="20"/>
    </w:rPr>
  </w:style>
  <w:style w:type="paragraph" w:customStyle="1" w:styleId="1">
    <w:name w:val="无间隔1"/>
    <w:uiPriority w:val="99"/>
    <w:qFormat/>
    <w:pPr>
      <w:widowControl w:val="0"/>
      <w:jc w:val="both"/>
    </w:pPr>
    <w:rPr>
      <w:kern w:val="2"/>
      <w:sz w:val="28"/>
      <w:szCs w:val="28"/>
    </w:rPr>
  </w:style>
  <w:style w:type="paragraph" w:customStyle="1" w:styleId="EndNoteBibliography">
    <w:name w:val="EndNote Bibliography"/>
    <w:basedOn w:val="a"/>
    <w:link w:val="EndNoteBibliographyChar"/>
    <w:qFormat/>
    <w:rPr>
      <w:rFonts w:ascii="等线" w:eastAsia="等线" w:hAnsi="等线" w:cs="等线" w:hint="eastAsia"/>
      <w:kern w:val="0"/>
      <w:sz w:val="20"/>
      <w:szCs w:val="20"/>
    </w:rPr>
  </w:style>
  <w:style w:type="character" w:customStyle="1" w:styleId="EndNoteBibliographyChar">
    <w:name w:val="EndNote Bibliography Char"/>
    <w:link w:val="EndNoteBibliography"/>
    <w:qFormat/>
    <w:rPr>
      <w:rFonts w:ascii="等线" w:eastAsia="等线" w:hAnsi="等线" w:cs="等线"/>
      <w:lang w:val="en-GB"/>
    </w:rPr>
  </w:style>
  <w:style w:type="character" w:customStyle="1" w:styleId="Char1">
    <w:name w:val="批注框文本 Char"/>
    <w:basedOn w:val="a0"/>
    <w:link w:val="a5"/>
    <w:uiPriority w:val="99"/>
    <w:semiHidden/>
    <w:qFormat/>
    <w:rPr>
      <w:sz w:val="18"/>
      <w:szCs w:val="18"/>
      <w:lang w:val="en-GB"/>
    </w:rPr>
  </w:style>
  <w:style w:type="character" w:customStyle="1" w:styleId="fontstyle21">
    <w:name w:val="fontstyle21"/>
    <w:basedOn w:val="a0"/>
    <w:qFormat/>
    <w:rPr>
      <w:rFonts w:ascii="AdvOT8608a8d1+20" w:hAnsi="AdvOT8608a8d1+20" w:hint="default"/>
      <w:color w:val="000000"/>
      <w:sz w:val="16"/>
      <w:szCs w:val="16"/>
    </w:rPr>
  </w:style>
  <w:style w:type="paragraph" w:customStyle="1" w:styleId="EndNoteBibliographyTitle">
    <w:name w:val="EndNote Bibliography Title"/>
    <w:basedOn w:val="a"/>
    <w:link w:val="EndNoteBibliographyTitle0"/>
    <w:qFormat/>
    <w:pPr>
      <w:jc w:val="center"/>
    </w:pPr>
    <w:rPr>
      <w:rFonts w:ascii="等线" w:eastAsia="等线" w:hAnsi="等线" w:cs="等线" w:hint="eastAsia"/>
      <w:sz w:val="20"/>
    </w:rPr>
  </w:style>
  <w:style w:type="character" w:customStyle="1" w:styleId="Char4">
    <w:name w:val="普通(网站) Char"/>
    <w:basedOn w:val="a0"/>
    <w:link w:val="a8"/>
    <w:qFormat/>
    <w:rPr>
      <w:sz w:val="24"/>
      <w:szCs w:val="24"/>
      <w:lang w:val="en-GB"/>
    </w:rPr>
  </w:style>
  <w:style w:type="character" w:customStyle="1" w:styleId="EndNoteBibliographyTitle0">
    <w:name w:val="EndNote Bibliography Title 字符"/>
    <w:basedOn w:val="Char4"/>
    <w:link w:val="EndNoteBibliographyTitle"/>
    <w:qFormat/>
    <w:rPr>
      <w:rFonts w:ascii="等线" w:eastAsia="等线" w:hAnsi="等线" w:cs="等线"/>
      <w:kern w:val="2"/>
      <w:sz w:val="24"/>
      <w:szCs w:val="24"/>
      <w:lang w:val="en-GB"/>
    </w:rPr>
  </w:style>
  <w:style w:type="paragraph" w:customStyle="1" w:styleId="10">
    <w:name w:val="正文1"/>
    <w:qFormat/>
    <w:pPr>
      <w:jc w:val="both"/>
    </w:pPr>
    <w:rPr>
      <w:rFonts w:ascii="等线" w:hAnsi="等线" w:cs="宋体"/>
      <w:kern w:val="2"/>
      <w:sz w:val="21"/>
      <w:szCs w:val="21"/>
    </w:rPr>
  </w:style>
  <w:style w:type="paragraph" w:styleId="ac">
    <w:name w:val="List Paragraph"/>
    <w:basedOn w:val="a"/>
    <w:uiPriority w:val="34"/>
    <w:qFormat/>
    <w:pPr>
      <w:widowControl/>
      <w:spacing w:after="160" w:line="259" w:lineRule="auto"/>
      <w:ind w:left="720"/>
      <w:contextualSpacing/>
      <w:jc w:val="left"/>
    </w:pPr>
    <w:rPr>
      <w:kern w:val="0"/>
      <w:sz w:val="22"/>
      <w:szCs w:val="22"/>
      <w:lang w:val="el-GR" w:eastAsia="en-US"/>
    </w:rPr>
  </w:style>
  <w:style w:type="character" w:customStyle="1" w:styleId="Char0">
    <w:name w:val="纯文本 Char"/>
    <w:basedOn w:val="a0"/>
    <w:link w:val="a4"/>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xh1982@njmu.edu.cn"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497942-607C-4CF9-B36E-73CE213C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3960</Words>
  <Characters>22573</Characters>
  <Application>Microsoft Office Word</Application>
  <DocSecurity>0</DocSecurity>
  <Lines>188</Lines>
  <Paragraphs>52</Paragraphs>
  <ScaleCrop>false</ScaleCrop>
  <Company/>
  <LinksUpToDate>false</LinksUpToDate>
  <CharactersWithSpaces>26481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洁</dc:creator>
  <cp:lastModifiedBy>liujihong2008@qq.con</cp:lastModifiedBy>
  <cp:revision>20</cp:revision>
  <dcterms:created xsi:type="dcterms:W3CDTF">2020-03-04T07:08:00Z</dcterms:created>
  <dcterms:modified xsi:type="dcterms:W3CDTF">2020-03-24T01:53:00Z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