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1FE61"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14E8B538"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59492</w:t>
      </w:r>
    </w:p>
    <w:p w14:paraId="3E7CE0FD"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57D013DD" w14:textId="77777777" w:rsidR="00A77B3E" w:rsidRDefault="00A77B3E" w:rsidP="00F0668A">
      <w:pPr>
        <w:adjustRightInd w:val="0"/>
        <w:snapToGrid w:val="0"/>
        <w:spacing w:line="360" w:lineRule="auto"/>
        <w:jc w:val="both"/>
      </w:pPr>
    </w:p>
    <w:p w14:paraId="6496E9D6"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t>Neoadjuvant chemoradiotherapy followed by laparoscopic distal gastrectomy in advanced gastric cancer: A case report and review of literature</w:t>
      </w:r>
    </w:p>
    <w:p w14:paraId="0C95ADCF" w14:textId="77777777" w:rsidR="00A77B3E" w:rsidRDefault="00A77B3E" w:rsidP="00F0668A">
      <w:pPr>
        <w:adjustRightInd w:val="0"/>
        <w:snapToGrid w:val="0"/>
        <w:spacing w:line="360" w:lineRule="auto"/>
        <w:jc w:val="both"/>
      </w:pPr>
    </w:p>
    <w:p w14:paraId="6539835D"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Liu ZN </w:t>
      </w:r>
      <w:r>
        <w:rPr>
          <w:rFonts w:ascii="Book Antiqua" w:eastAsia="Book Antiqua" w:hAnsi="Book Antiqua" w:cs="Book Antiqua"/>
          <w:i/>
          <w:iCs/>
          <w:color w:val="000000"/>
        </w:rPr>
        <w:t>et al</w:t>
      </w:r>
      <w:r>
        <w:rPr>
          <w:rFonts w:ascii="Book Antiqua" w:eastAsia="Book Antiqua" w:hAnsi="Book Antiqua" w:cs="Book Antiqua"/>
          <w:color w:val="000000"/>
        </w:rPr>
        <w:t>. A case of LDG after NACRT</w:t>
      </w:r>
    </w:p>
    <w:p w14:paraId="6A716438" w14:textId="77777777" w:rsidR="00A77B3E" w:rsidRDefault="00A77B3E" w:rsidP="00F0668A">
      <w:pPr>
        <w:adjustRightInd w:val="0"/>
        <w:snapToGrid w:val="0"/>
        <w:spacing w:line="360" w:lineRule="auto"/>
        <w:jc w:val="both"/>
      </w:pPr>
    </w:p>
    <w:p w14:paraId="1B1EA597"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Zi-Ning Liu, Yin-Kui Wang, Zi-Yu Li</w:t>
      </w:r>
    </w:p>
    <w:p w14:paraId="01C36541" w14:textId="77777777" w:rsidR="00A77B3E" w:rsidRDefault="00A77B3E" w:rsidP="00F0668A">
      <w:pPr>
        <w:adjustRightInd w:val="0"/>
        <w:snapToGrid w:val="0"/>
        <w:spacing w:line="360" w:lineRule="auto"/>
        <w:jc w:val="both"/>
      </w:pPr>
    </w:p>
    <w:p w14:paraId="40102875" w14:textId="52DAC6A5"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Zi-Ning Liu, Yin-Kui Wang, Zi-Yu Li, </w:t>
      </w:r>
      <w:r w:rsidR="00B103C8" w:rsidRPr="008223B2">
        <w:rPr>
          <w:rFonts w:ascii="Book Antiqua" w:eastAsia="Book Antiqua" w:hAnsi="Book Antiqua" w:cs="Book Antiqua"/>
          <w:bCs/>
          <w:color w:val="000000"/>
        </w:rPr>
        <w:t>Key Laboratory of Carcinogenesis and Translational Research (Ministry of Education/Beijing), Gastrointestinal Cancer Center, Peking University Cancer Hospital &amp; Institute, Beijing 100142, China</w:t>
      </w:r>
    </w:p>
    <w:p w14:paraId="46ECF309" w14:textId="77777777" w:rsidR="00A77B3E" w:rsidRDefault="00A77B3E" w:rsidP="00F0668A">
      <w:pPr>
        <w:adjustRightInd w:val="0"/>
        <w:snapToGrid w:val="0"/>
        <w:spacing w:line="360" w:lineRule="auto"/>
        <w:jc w:val="both"/>
      </w:pPr>
    </w:p>
    <w:p w14:paraId="0B348BA5" w14:textId="11E06228"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Li ZY, Wang YK</w:t>
      </w:r>
      <w:r w:rsidR="00D524FA">
        <w:rPr>
          <w:rFonts w:ascii="Book Antiqua" w:eastAsia="Book Antiqua" w:hAnsi="Book Antiqua" w:cs="Book Antiqua"/>
          <w:color w:val="000000"/>
        </w:rPr>
        <w:t>,</w:t>
      </w:r>
      <w:r>
        <w:rPr>
          <w:rFonts w:ascii="Book Antiqua" w:eastAsia="Book Antiqua" w:hAnsi="Book Antiqua" w:cs="Book Antiqua"/>
          <w:color w:val="000000"/>
        </w:rPr>
        <w:t xml:space="preserve"> and Liu ZN determined the preoperative regimen and performed the operation; </w:t>
      </w:r>
      <w:r w:rsidR="00950B19">
        <w:rPr>
          <w:rFonts w:ascii="Book Antiqua" w:eastAsia="Book Antiqua" w:hAnsi="Book Antiqua" w:cs="Book Antiqua"/>
          <w:color w:val="000000"/>
        </w:rPr>
        <w:t>t</w:t>
      </w:r>
      <w:r>
        <w:rPr>
          <w:rFonts w:ascii="Book Antiqua" w:eastAsia="Book Antiqua" w:hAnsi="Book Antiqua" w:cs="Book Antiqua"/>
          <w:color w:val="000000"/>
        </w:rPr>
        <w:t>he postoperative follow-up was done by Wang YK; Liu ZN and Wang YK collected patient data, performed image processing</w:t>
      </w:r>
      <w:r w:rsidR="00884583">
        <w:rPr>
          <w:rFonts w:ascii="Book Antiqua" w:eastAsia="Book Antiqua" w:hAnsi="Book Antiqua" w:cs="Book Antiqua"/>
          <w:color w:val="000000"/>
        </w:rPr>
        <w:t>,</w:t>
      </w:r>
      <w:r>
        <w:rPr>
          <w:rFonts w:ascii="Book Antiqua" w:eastAsia="Book Antiqua" w:hAnsi="Book Antiqua" w:cs="Book Antiqua"/>
          <w:color w:val="000000"/>
        </w:rPr>
        <w:t xml:space="preserve"> and composed </w:t>
      </w:r>
      <w:r w:rsidR="00950B19">
        <w:rPr>
          <w:rFonts w:ascii="Book Antiqua" w:eastAsia="Book Antiqua" w:hAnsi="Book Antiqua" w:cs="Book Antiqua"/>
          <w:color w:val="000000"/>
        </w:rPr>
        <w:t xml:space="preserve">the </w:t>
      </w:r>
      <w:r>
        <w:rPr>
          <w:rFonts w:ascii="Book Antiqua" w:eastAsia="Book Antiqua" w:hAnsi="Book Antiqua" w:cs="Book Antiqua"/>
          <w:color w:val="000000"/>
        </w:rPr>
        <w:t>manuscript; and Liu ZN revised and provided recommendation</w:t>
      </w:r>
      <w:r w:rsidR="00950B19">
        <w:rPr>
          <w:rFonts w:ascii="Book Antiqua" w:eastAsia="Book Antiqua" w:hAnsi="Book Antiqua" w:cs="Book Antiqua"/>
          <w:color w:val="000000"/>
        </w:rPr>
        <w:t>s</w:t>
      </w:r>
      <w:r>
        <w:rPr>
          <w:rFonts w:ascii="Book Antiqua" w:eastAsia="Book Antiqua" w:hAnsi="Book Antiqua" w:cs="Book Antiqua"/>
          <w:color w:val="000000"/>
        </w:rPr>
        <w:t xml:space="preserve"> for the manuscript</w:t>
      </w:r>
      <w:r w:rsidR="0043147A">
        <w:rPr>
          <w:rFonts w:ascii="Book Antiqua" w:eastAsia="Book Antiqua" w:hAnsi="Book Antiqua" w:cs="Book Antiqua"/>
          <w:color w:val="000000"/>
        </w:rPr>
        <w:t xml:space="preserve">; </w:t>
      </w:r>
      <w:r w:rsidR="008E340D">
        <w:rPr>
          <w:rFonts w:ascii="Book Antiqua" w:eastAsia="Book Antiqua" w:hAnsi="Book Antiqua" w:cs="Book Antiqua"/>
          <w:color w:val="000000"/>
        </w:rPr>
        <w:t>A</w:t>
      </w:r>
      <w:r>
        <w:rPr>
          <w:rFonts w:ascii="Book Antiqua" w:eastAsia="Book Antiqua" w:hAnsi="Book Antiqua" w:cs="Book Antiqua"/>
          <w:color w:val="000000"/>
        </w:rPr>
        <w:t>ll authors read and approved the final manuscript.</w:t>
      </w:r>
      <w:r w:rsidR="00B61592" w:rsidRPr="00B61592">
        <w:rPr>
          <w:rFonts w:ascii="Book Antiqua" w:eastAsia="Book Antiqua" w:hAnsi="Book Antiqua" w:cs="Book Antiqua"/>
          <w:color w:val="000000"/>
        </w:rPr>
        <w:t xml:space="preserve"> </w:t>
      </w:r>
      <w:r w:rsidR="00B61592">
        <w:rPr>
          <w:rFonts w:ascii="Book Antiqua" w:eastAsia="Book Antiqua" w:hAnsi="Book Antiqua" w:cs="Book Antiqua"/>
          <w:color w:val="000000"/>
        </w:rPr>
        <w:t>Liu Z</w:t>
      </w:r>
      <w:r w:rsidR="00652098">
        <w:rPr>
          <w:rFonts w:ascii="Book Antiqua" w:eastAsia="Book Antiqua" w:hAnsi="Book Antiqua" w:cs="Book Antiqua"/>
          <w:color w:val="000000"/>
        </w:rPr>
        <w:t>N</w:t>
      </w:r>
      <w:r w:rsidR="00B61592">
        <w:rPr>
          <w:rFonts w:ascii="Book Antiqua" w:eastAsia="Book Antiqua" w:hAnsi="Book Antiqua" w:cs="Book Antiqua"/>
          <w:color w:val="000000"/>
        </w:rPr>
        <w:t xml:space="preserve"> and Wang YK contributed equally to this work.</w:t>
      </w:r>
    </w:p>
    <w:p w14:paraId="79DDF794" w14:textId="77777777" w:rsidR="00A77B3E" w:rsidRDefault="00A77B3E" w:rsidP="00F0668A">
      <w:pPr>
        <w:adjustRightInd w:val="0"/>
        <w:snapToGrid w:val="0"/>
        <w:spacing w:line="360" w:lineRule="auto"/>
        <w:jc w:val="both"/>
      </w:pPr>
    </w:p>
    <w:p w14:paraId="536FE346" w14:textId="1D196C27"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 xml:space="preserve">Beijing Municipal Health Commission, No. DFL20181103 and </w:t>
      </w:r>
      <w:r w:rsidR="0043147A">
        <w:rPr>
          <w:rFonts w:ascii="Book Antiqua" w:eastAsia="Book Antiqua" w:hAnsi="Book Antiqua" w:cs="Book Antiqua"/>
          <w:color w:val="000000"/>
        </w:rPr>
        <w:t xml:space="preserve">No. </w:t>
      </w:r>
      <w:r>
        <w:rPr>
          <w:rFonts w:ascii="Book Antiqua" w:eastAsia="Book Antiqua" w:hAnsi="Book Antiqua" w:cs="Book Antiqua"/>
          <w:color w:val="000000"/>
        </w:rPr>
        <w:t>ZYLX201701.</w:t>
      </w:r>
    </w:p>
    <w:p w14:paraId="066ECDAC" w14:textId="77777777" w:rsidR="00A77B3E" w:rsidRDefault="00A77B3E" w:rsidP="00F0668A">
      <w:pPr>
        <w:adjustRightInd w:val="0"/>
        <w:snapToGrid w:val="0"/>
        <w:spacing w:line="360" w:lineRule="auto"/>
        <w:jc w:val="both"/>
      </w:pPr>
    </w:p>
    <w:p w14:paraId="63D4FFC5"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Corresponding author: Zi-Yu Li, MD, Professor, </w:t>
      </w:r>
      <w:r>
        <w:rPr>
          <w:rFonts w:ascii="Book Antiqua" w:eastAsia="Book Antiqua" w:hAnsi="Book Antiqua" w:cs="Book Antiqua"/>
          <w:color w:val="000000"/>
        </w:rPr>
        <w:t>Department of Gastrointestinal Surgery, Peking University Cancer Hospital and Institute, No. 52 Fucheng Road, Haidian District, Beijing 100142, China. ziyu_li@hsc.pku.edu.cn</w:t>
      </w:r>
    </w:p>
    <w:p w14:paraId="7D6522EC" w14:textId="77777777" w:rsidR="00A77B3E" w:rsidRDefault="00A77B3E" w:rsidP="00F0668A">
      <w:pPr>
        <w:adjustRightInd w:val="0"/>
        <w:snapToGrid w:val="0"/>
        <w:spacing w:line="360" w:lineRule="auto"/>
        <w:jc w:val="both"/>
      </w:pPr>
    </w:p>
    <w:p w14:paraId="2BF9A954"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lastRenderedPageBreak/>
        <w:t xml:space="preserve">Received: </w:t>
      </w:r>
      <w:r>
        <w:rPr>
          <w:rFonts w:ascii="Book Antiqua" w:eastAsia="Book Antiqua" w:hAnsi="Book Antiqua" w:cs="Book Antiqua"/>
          <w:color w:val="000000"/>
        </w:rPr>
        <w:t>September 14, 2020</w:t>
      </w:r>
    </w:p>
    <w:p w14:paraId="23E1BD14"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December 3, 2020</w:t>
      </w:r>
    </w:p>
    <w:p w14:paraId="261F7FA2" w14:textId="5098CD7D"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Accepted: </w:t>
      </w:r>
      <w:r w:rsidR="00EB7D30" w:rsidRPr="00EB7D30">
        <w:rPr>
          <w:rFonts w:ascii="Book Antiqua" w:eastAsia="Book Antiqua" w:hAnsi="Book Antiqua" w:cs="Book Antiqua"/>
          <w:color w:val="000000"/>
        </w:rPr>
        <w:t>February 11, 2021</w:t>
      </w:r>
    </w:p>
    <w:p w14:paraId="21703BC0" w14:textId="6F4113DA"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Published online: </w:t>
      </w:r>
      <w:r w:rsidR="007D57AF" w:rsidRPr="007D57AF">
        <w:rPr>
          <w:rFonts w:ascii="Book Antiqua" w:eastAsia="Book Antiqua" w:hAnsi="Book Antiqua" w:cs="Book Antiqua"/>
          <w:color w:val="000000"/>
        </w:rPr>
        <w:t xml:space="preserve">April </w:t>
      </w:r>
      <w:r w:rsidR="00D4540F">
        <w:rPr>
          <w:rFonts w:ascii="Book Antiqua" w:eastAsia="Book Antiqua" w:hAnsi="Book Antiqua" w:cs="Book Antiqua"/>
          <w:color w:val="000000"/>
        </w:rPr>
        <w:t>1</w:t>
      </w:r>
      <w:r w:rsidR="007D57AF" w:rsidRPr="007D57AF">
        <w:rPr>
          <w:rFonts w:ascii="Book Antiqua" w:eastAsia="Book Antiqua" w:hAnsi="Book Antiqua" w:cs="Book Antiqua"/>
          <w:color w:val="000000"/>
        </w:rPr>
        <w:t>6, 2021</w:t>
      </w:r>
    </w:p>
    <w:p w14:paraId="69B0FCAE" w14:textId="77777777" w:rsidR="00A77B3E" w:rsidRDefault="00A77B3E" w:rsidP="00F0668A">
      <w:pPr>
        <w:adjustRightInd w:val="0"/>
        <w:snapToGrid w:val="0"/>
        <w:spacing w:line="360" w:lineRule="auto"/>
        <w:jc w:val="both"/>
        <w:sectPr w:rsidR="00A77B3E">
          <w:footerReference w:type="default" r:id="rId6"/>
          <w:pgSz w:w="12240" w:h="15840"/>
          <w:pgMar w:top="1440" w:right="1440" w:bottom="1440" w:left="1440" w:header="720" w:footer="720" w:gutter="0"/>
          <w:cols w:space="720"/>
          <w:docGrid w:linePitch="360"/>
        </w:sectPr>
      </w:pPr>
    </w:p>
    <w:p w14:paraId="45DA8770"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lastRenderedPageBreak/>
        <w:t>Abstract</w:t>
      </w:r>
    </w:p>
    <w:p w14:paraId="6B8AA090"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BACKGROUND</w:t>
      </w:r>
    </w:p>
    <w:p w14:paraId="403E9C17" w14:textId="4B09FBC1"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The laparoscopic technique has been widely applied for early gastric cancer, with the advantages of minimal invasion and quick recovery. However, there is no report about the safety and oncological outcome of laparoscopic gastrectomy with D2 </w:t>
      </w:r>
      <w:r w:rsidR="00950B19">
        <w:rPr>
          <w:rFonts w:ascii="Book Antiqua" w:eastAsia="Book Antiqua" w:hAnsi="Book Antiqua" w:cs="Book Antiqua"/>
          <w:color w:val="000000"/>
        </w:rPr>
        <w:t>l</w:t>
      </w:r>
      <w:r>
        <w:rPr>
          <w:rFonts w:ascii="Book Antiqua" w:eastAsia="Book Antiqua" w:hAnsi="Book Antiqua" w:cs="Book Antiqua"/>
          <w:color w:val="000000"/>
        </w:rPr>
        <w:t xml:space="preserve">ymph node dissection for patients after neoadjuvant chemoradiotherapy. </w:t>
      </w:r>
    </w:p>
    <w:p w14:paraId="3CF6E7DC" w14:textId="77777777" w:rsidR="00A77B3E" w:rsidRDefault="00A77B3E" w:rsidP="00F0668A">
      <w:pPr>
        <w:adjustRightInd w:val="0"/>
        <w:snapToGrid w:val="0"/>
        <w:spacing w:line="360" w:lineRule="auto"/>
        <w:jc w:val="both"/>
      </w:pPr>
    </w:p>
    <w:p w14:paraId="6729C407"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CASE SUMMARY</w:t>
      </w:r>
    </w:p>
    <w:p w14:paraId="485229F8" w14:textId="3A84A907"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A 60-year-old man was</w:t>
      </w:r>
      <w:r>
        <w:rPr>
          <w:rFonts w:ascii="Book Antiqua" w:eastAsia="Book Antiqua" w:hAnsi="Book Antiqua" w:cs="Book Antiqua"/>
          <w:color w:val="000000"/>
        </w:rPr>
        <w:t xml:space="preserve"> diagnosed with advanced distal gastric cancer, cT4aN1M0 stage III. The neoadjuvant chemoradiotherapy was performed based on the regimen of gross tumor volume 50G</w:t>
      </w:r>
      <w:r w:rsidR="00950B19">
        <w:rPr>
          <w:rFonts w:ascii="Book Antiqua" w:eastAsia="Book Antiqua" w:hAnsi="Book Antiqua" w:cs="Book Antiqua"/>
          <w:color w:val="000000"/>
        </w:rPr>
        <w:t xml:space="preserve"> </w:t>
      </w:r>
      <w:r>
        <w:rPr>
          <w:rFonts w:ascii="Book Antiqua" w:eastAsia="Book Antiqua" w:hAnsi="Book Antiqua" w:cs="Book Antiqua"/>
          <w:color w:val="000000"/>
        </w:rPr>
        <w:t>y/25</w:t>
      </w:r>
      <w:r w:rsidR="00950B19">
        <w:rPr>
          <w:rFonts w:ascii="Book Antiqua" w:eastAsia="Book Antiqua" w:hAnsi="Book Antiqua" w:cs="Book Antiqua"/>
          <w:color w:val="000000"/>
        </w:rPr>
        <w:t xml:space="preserve"> </w:t>
      </w:r>
      <w:r>
        <w:rPr>
          <w:rFonts w:ascii="Book Antiqua" w:eastAsia="Book Antiqua" w:hAnsi="Book Antiqua" w:cs="Book Antiqua"/>
          <w:color w:val="000000"/>
        </w:rPr>
        <w:t>f and clinical target volume 45</w:t>
      </w:r>
      <w:r w:rsidR="00950B19">
        <w:rPr>
          <w:rFonts w:ascii="Book Antiqua" w:eastAsia="Book Antiqua" w:hAnsi="Book Antiqua" w:cs="Book Antiqua"/>
          <w:color w:val="000000"/>
        </w:rPr>
        <w:t xml:space="preserve"> </w:t>
      </w:r>
      <w:r>
        <w:rPr>
          <w:rFonts w:ascii="Book Antiqua" w:eastAsia="Book Antiqua" w:hAnsi="Book Antiqua" w:cs="Book Antiqua"/>
          <w:color w:val="000000"/>
        </w:rPr>
        <w:t>Gy/25</w:t>
      </w:r>
      <w:r w:rsidR="00950B19">
        <w:rPr>
          <w:rFonts w:ascii="Book Antiqua" w:eastAsia="Book Antiqua" w:hAnsi="Book Antiqua" w:cs="Book Antiqua"/>
          <w:color w:val="000000"/>
        </w:rPr>
        <w:t xml:space="preserve"> </w:t>
      </w:r>
      <w:r>
        <w:rPr>
          <w:rFonts w:ascii="Book Antiqua" w:eastAsia="Book Antiqua" w:hAnsi="Book Antiqua" w:cs="Book Antiqua"/>
          <w:color w:val="000000"/>
        </w:rPr>
        <w:t>f, as well as concurrent S-1 60</w:t>
      </w:r>
      <w:r w:rsidR="00950B19">
        <w:rPr>
          <w:rFonts w:ascii="Book Antiqua" w:eastAsia="Book Antiqua" w:hAnsi="Book Antiqua" w:cs="Book Antiqua"/>
          <w:color w:val="000000"/>
        </w:rPr>
        <w:t xml:space="preserve"> </w:t>
      </w:r>
      <w:r>
        <w:rPr>
          <w:rFonts w:ascii="Book Antiqua" w:eastAsia="Book Antiqua" w:hAnsi="Book Antiqua" w:cs="Book Antiqua"/>
          <w:color w:val="000000"/>
        </w:rPr>
        <w:t xml:space="preserve">mg Bid. Then laparoscopic distal gastrectomy with D2 </w:t>
      </w:r>
      <w:r w:rsidR="00950B19">
        <w:rPr>
          <w:rFonts w:ascii="Book Antiqua" w:eastAsia="Book Antiqua" w:hAnsi="Book Antiqua" w:cs="Book Antiqua"/>
          <w:color w:val="000000"/>
        </w:rPr>
        <w:t>l</w:t>
      </w:r>
      <w:r>
        <w:rPr>
          <w:rFonts w:ascii="Book Antiqua" w:eastAsia="Book Antiqua" w:hAnsi="Book Antiqua" w:cs="Book Antiqua"/>
          <w:color w:val="000000"/>
        </w:rPr>
        <w:t xml:space="preserve">ymph node dissection was undertaken successfully for him after achieving partial response evaluated by radiological examination. The patient recovered smoothly without moderate or severe postoperative complications. The postoperative pathological stage was ypT3N0M0 with American Joint Committee on Cancer tumor regression grade 1. He was still in good condition after </w:t>
      </w:r>
      <w:r w:rsidR="00950B19">
        <w:rPr>
          <w:rFonts w:ascii="Book Antiqua" w:eastAsia="Book Antiqua" w:hAnsi="Book Antiqua" w:cs="Book Antiqua"/>
          <w:color w:val="000000"/>
        </w:rPr>
        <w:t>5</w:t>
      </w:r>
      <w:r>
        <w:rPr>
          <w:rFonts w:ascii="Book Antiqua" w:eastAsia="Book Antiqua" w:hAnsi="Book Antiqua" w:cs="Book Antiqua"/>
          <w:color w:val="000000"/>
        </w:rPr>
        <w:t xml:space="preserve"> years of follow-up.</w:t>
      </w:r>
    </w:p>
    <w:p w14:paraId="1320D860" w14:textId="77777777" w:rsidR="00A77B3E" w:rsidRDefault="00A77B3E" w:rsidP="00F0668A">
      <w:pPr>
        <w:adjustRightInd w:val="0"/>
        <w:snapToGrid w:val="0"/>
        <w:spacing w:line="360" w:lineRule="auto"/>
        <w:jc w:val="both"/>
      </w:pPr>
    </w:p>
    <w:p w14:paraId="6E19A713"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CONCLUSION</w:t>
      </w:r>
    </w:p>
    <w:p w14:paraId="692B79B0"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Neoadjuvant chemoradiotherapy followed by laparoscopic technique could be applicable and may achieve satisfactory oncological outcomes. Our finding requires further validation by cohort studies.</w:t>
      </w:r>
    </w:p>
    <w:p w14:paraId="43E84375" w14:textId="77777777" w:rsidR="00A77B3E" w:rsidRDefault="00A77B3E" w:rsidP="00F0668A">
      <w:pPr>
        <w:adjustRightInd w:val="0"/>
        <w:snapToGrid w:val="0"/>
        <w:spacing w:line="360" w:lineRule="auto"/>
        <w:jc w:val="both"/>
      </w:pPr>
    </w:p>
    <w:p w14:paraId="4070B645" w14:textId="17A6F0AB"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Gastric cancer; Neoadjuvant chemoradiotherapy; Laparoscopic; Distal gastrectomy; S-1</w:t>
      </w:r>
      <w:r w:rsidR="002955B9">
        <w:rPr>
          <w:rFonts w:ascii="Book Antiqua" w:eastAsia="Book Antiqua" w:hAnsi="Book Antiqua" w:cs="Book Antiqua"/>
          <w:color w:val="000000"/>
        </w:rPr>
        <w:t>; Case report</w:t>
      </w:r>
    </w:p>
    <w:p w14:paraId="765E6E0C" w14:textId="77777777" w:rsidR="00C0326D" w:rsidRDefault="00C0326D" w:rsidP="00C0326D">
      <w:pPr>
        <w:spacing w:line="360" w:lineRule="auto"/>
        <w:jc w:val="both"/>
        <w:rPr>
          <w:lang w:eastAsia="zh-CN"/>
        </w:rPr>
      </w:pPr>
    </w:p>
    <w:p w14:paraId="1FB0B2D4" w14:textId="77777777" w:rsidR="00C0326D" w:rsidRPr="00026CB8" w:rsidRDefault="00C0326D" w:rsidP="00C0326D">
      <w:pPr>
        <w:spacing w:line="360" w:lineRule="auto"/>
        <w:jc w:val="both"/>
        <w:rPr>
          <w:rFonts w:ascii="Book Antiqua" w:eastAsia="Book Antiqua" w:hAnsi="Book Antiqua" w:cs="Book Antiqua"/>
          <w:color w:val="000000"/>
        </w:rPr>
      </w:pPr>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 xml:space="preserve">Author(s) 2021. </w:t>
      </w:r>
      <w:r w:rsidRPr="00026CB8">
        <w:rPr>
          <w:rFonts w:ascii="Book Antiqua" w:eastAsia="Book Antiqua" w:hAnsi="Book Antiqua" w:cs="Book Antiqua"/>
          <w:color w:val="000000"/>
        </w:rPr>
        <w:t xml:space="preserve">Published by Baishideng Publishing Group Inc. All rights reserved. </w:t>
      </w:r>
    </w:p>
    <w:p w14:paraId="58C93B37" w14:textId="77777777" w:rsidR="00C0326D" w:rsidRPr="009C101B" w:rsidRDefault="00C0326D" w:rsidP="00C0326D">
      <w:pPr>
        <w:spacing w:line="360" w:lineRule="auto"/>
        <w:jc w:val="both"/>
        <w:rPr>
          <w:lang w:eastAsia="zh-CN"/>
        </w:rPr>
      </w:pPr>
    </w:p>
    <w:p w14:paraId="3175D708" w14:textId="7A307EF6" w:rsidR="00E64FDC" w:rsidRDefault="00C0326D" w:rsidP="00C0326D">
      <w:pPr>
        <w:adjustRightInd w:val="0"/>
        <w:snapToGrid w:val="0"/>
        <w:spacing w:line="360" w:lineRule="auto"/>
        <w:jc w:val="both"/>
        <w:rPr>
          <w:rFonts w:ascii="Book Antiqua" w:eastAsia="Book Antiqua" w:hAnsi="Book Antiqua" w:cs="Book Antiqua"/>
          <w:color w:val="000000"/>
        </w:rPr>
      </w:pPr>
      <w:r w:rsidRPr="00AE1DD1">
        <w:rPr>
          <w:rFonts w:ascii="Book Antiqua" w:hAnsi="Book Antiqua" w:cs="Book Antiqua" w:hint="eastAsia"/>
          <w:b/>
          <w:color w:val="000000"/>
          <w:lang w:eastAsia="zh-CN"/>
        </w:rPr>
        <w:lastRenderedPageBreak/>
        <w:t>Citation:</w:t>
      </w:r>
      <w:r>
        <w:rPr>
          <w:rFonts w:ascii="Book Antiqua" w:hAnsi="Book Antiqua" w:cs="Book Antiqua" w:hint="eastAsia"/>
          <w:color w:val="000000"/>
          <w:lang w:eastAsia="zh-CN"/>
        </w:rPr>
        <w:t xml:space="preserve"> </w:t>
      </w:r>
      <w:r w:rsidR="00F0668A">
        <w:rPr>
          <w:rFonts w:ascii="Book Antiqua" w:eastAsia="Book Antiqua" w:hAnsi="Book Antiqua" w:cs="Book Antiqua"/>
          <w:color w:val="000000"/>
        </w:rPr>
        <w:t xml:space="preserve">Liu ZN, Wang YK, Li ZY. Neoadjuvant chemoradiotherapy followed by laparoscopic distal gastrectomy in advanced gastric cancer: A case report and review of literature. </w:t>
      </w:r>
      <w:r w:rsidR="00F0668A">
        <w:rPr>
          <w:rFonts w:ascii="Book Antiqua" w:eastAsia="Book Antiqua" w:hAnsi="Book Antiqua" w:cs="Book Antiqua"/>
          <w:i/>
          <w:iCs/>
          <w:color w:val="000000"/>
        </w:rPr>
        <w:t>World J Clin Cases</w:t>
      </w:r>
      <w:r w:rsidR="00F0668A">
        <w:rPr>
          <w:rFonts w:ascii="Book Antiqua" w:eastAsia="Book Antiqua" w:hAnsi="Book Antiqua" w:cs="Book Antiqua"/>
          <w:color w:val="000000"/>
        </w:rPr>
        <w:t xml:space="preserve"> </w:t>
      </w:r>
      <w:r w:rsidR="00352A59" w:rsidRPr="00352A59">
        <w:rPr>
          <w:rFonts w:ascii="Book Antiqua" w:eastAsia="Book Antiqua" w:hAnsi="Book Antiqua" w:cs="Book Antiqua"/>
          <w:color w:val="000000"/>
        </w:rPr>
        <w:t>2021; 9(1</w:t>
      </w:r>
      <w:r w:rsidR="00D4540F">
        <w:rPr>
          <w:rFonts w:ascii="Book Antiqua" w:eastAsia="Book Antiqua" w:hAnsi="Book Antiqua" w:cs="Book Antiqua"/>
          <w:color w:val="000000"/>
        </w:rPr>
        <w:t>1</w:t>
      </w:r>
      <w:r w:rsidR="00352A59" w:rsidRPr="00352A59">
        <w:rPr>
          <w:rFonts w:ascii="Book Antiqua" w:eastAsia="Book Antiqua" w:hAnsi="Book Antiqua" w:cs="Book Antiqua"/>
          <w:color w:val="000000"/>
        </w:rPr>
        <w:t xml:space="preserve">): </w:t>
      </w:r>
      <w:r w:rsidR="00E64FDC" w:rsidRPr="00E64FDC">
        <w:rPr>
          <w:rFonts w:ascii="Book Antiqua" w:eastAsia="Book Antiqua" w:hAnsi="Book Antiqua" w:cs="Book Antiqua"/>
          <w:color w:val="000000"/>
        </w:rPr>
        <w:t>2542-2554</w:t>
      </w:r>
      <w:r w:rsidR="00352A59" w:rsidRPr="00352A59">
        <w:rPr>
          <w:rFonts w:ascii="Book Antiqua" w:eastAsia="Book Antiqua" w:hAnsi="Book Antiqua" w:cs="Book Antiqua"/>
          <w:color w:val="000000"/>
        </w:rPr>
        <w:t xml:space="preserve"> </w:t>
      </w:r>
    </w:p>
    <w:p w14:paraId="4374DA40" w14:textId="15968FA2" w:rsidR="00E64FDC" w:rsidRDefault="00352A59" w:rsidP="00C0326D">
      <w:pPr>
        <w:adjustRightInd w:val="0"/>
        <w:snapToGrid w:val="0"/>
        <w:spacing w:line="360" w:lineRule="auto"/>
        <w:jc w:val="both"/>
        <w:rPr>
          <w:rFonts w:ascii="Book Antiqua" w:eastAsia="Book Antiqua" w:hAnsi="Book Antiqua" w:cs="Book Antiqua"/>
          <w:color w:val="000000"/>
        </w:rPr>
      </w:pPr>
      <w:r w:rsidRPr="00352A59">
        <w:rPr>
          <w:rFonts w:ascii="Book Antiqua" w:eastAsia="Book Antiqua" w:hAnsi="Book Antiqua" w:cs="Book Antiqua"/>
          <w:color w:val="000000"/>
        </w:rPr>
        <w:t>URL: https://www.wjgnet.com/2307-8960/full/v9/i1</w:t>
      </w:r>
      <w:r w:rsidR="00D4540F">
        <w:rPr>
          <w:rFonts w:ascii="Book Antiqua" w:eastAsia="Book Antiqua" w:hAnsi="Book Antiqua" w:cs="Book Antiqua"/>
          <w:color w:val="000000"/>
        </w:rPr>
        <w:t>1</w:t>
      </w:r>
      <w:r w:rsidRPr="00352A59">
        <w:rPr>
          <w:rFonts w:ascii="Book Antiqua" w:eastAsia="Book Antiqua" w:hAnsi="Book Antiqua" w:cs="Book Antiqua"/>
          <w:color w:val="000000"/>
        </w:rPr>
        <w:t>/</w:t>
      </w:r>
      <w:r w:rsidR="00E64FDC" w:rsidRPr="00E64FDC">
        <w:rPr>
          <w:rFonts w:ascii="Book Antiqua" w:eastAsia="Book Antiqua" w:hAnsi="Book Antiqua" w:cs="Book Antiqua"/>
          <w:color w:val="000000"/>
        </w:rPr>
        <w:t>2542</w:t>
      </w:r>
      <w:r w:rsidRPr="00352A59">
        <w:rPr>
          <w:rFonts w:ascii="Book Antiqua" w:eastAsia="Book Antiqua" w:hAnsi="Book Antiqua" w:cs="Book Antiqua"/>
          <w:color w:val="000000"/>
        </w:rPr>
        <w:t xml:space="preserve">.htm  </w:t>
      </w:r>
    </w:p>
    <w:p w14:paraId="7E8D1572" w14:textId="7BB91C3A" w:rsidR="00A77B3E" w:rsidRDefault="00352A59" w:rsidP="00C0326D">
      <w:pPr>
        <w:adjustRightInd w:val="0"/>
        <w:snapToGrid w:val="0"/>
        <w:spacing w:line="360" w:lineRule="auto"/>
        <w:jc w:val="both"/>
      </w:pPr>
      <w:r w:rsidRPr="00352A59">
        <w:rPr>
          <w:rFonts w:ascii="Book Antiqua" w:eastAsia="Book Antiqua" w:hAnsi="Book Antiqua" w:cs="Book Antiqua"/>
          <w:color w:val="000000"/>
        </w:rPr>
        <w:t>DOI: https://dx.doi.org/10.12998/wjcc.v9.i1</w:t>
      </w:r>
      <w:r w:rsidR="00D4540F">
        <w:rPr>
          <w:rFonts w:ascii="Book Antiqua" w:eastAsia="Book Antiqua" w:hAnsi="Book Antiqua" w:cs="Book Antiqua"/>
          <w:color w:val="000000"/>
        </w:rPr>
        <w:t>1</w:t>
      </w:r>
      <w:r w:rsidRPr="00352A59">
        <w:rPr>
          <w:rFonts w:ascii="Book Antiqua" w:eastAsia="Book Antiqua" w:hAnsi="Book Antiqua" w:cs="Book Antiqua"/>
          <w:color w:val="000000"/>
        </w:rPr>
        <w:t>.</w:t>
      </w:r>
      <w:r w:rsidR="00E64FDC" w:rsidRPr="00E64FDC">
        <w:rPr>
          <w:rFonts w:ascii="Book Antiqua" w:eastAsia="Book Antiqua" w:hAnsi="Book Antiqua" w:cs="Book Antiqua"/>
          <w:color w:val="000000"/>
        </w:rPr>
        <w:t>2542</w:t>
      </w:r>
    </w:p>
    <w:p w14:paraId="057CC202" w14:textId="77777777" w:rsidR="00A77B3E" w:rsidRDefault="00A77B3E" w:rsidP="00F0668A">
      <w:pPr>
        <w:adjustRightInd w:val="0"/>
        <w:snapToGrid w:val="0"/>
        <w:spacing w:line="360" w:lineRule="auto"/>
        <w:jc w:val="both"/>
      </w:pPr>
    </w:p>
    <w:p w14:paraId="1E2B897D" w14:textId="16C56E03"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The radicalness for locally advanced gastric cancer depends on the completed R0 resection. Although perioperative treatment strategies have been widely used for patients to reinforce the treatment effect, the use of neoadjuvant chemoradiation is controversial, let alone whether the patients can benefit from minimally invasive surgery. We presented the first case treated by laparoscopic distal gastrectomy following </w:t>
      </w:r>
      <w:r w:rsidR="00D524FA">
        <w:rPr>
          <w:rFonts w:ascii="Book Antiqua" w:eastAsia="Book Antiqua" w:hAnsi="Book Antiqua" w:cs="Book Antiqua"/>
          <w:color w:val="000000"/>
        </w:rPr>
        <w:t>neoadjuvant chemoradiation</w:t>
      </w:r>
      <w:r>
        <w:rPr>
          <w:rFonts w:ascii="Book Antiqua" w:eastAsia="Book Antiqua" w:hAnsi="Book Antiqua" w:cs="Book Antiqua"/>
          <w:color w:val="000000"/>
        </w:rPr>
        <w:t>. The perioperative safety</w:t>
      </w:r>
      <w:r w:rsidR="00D524FA">
        <w:rPr>
          <w:rFonts w:ascii="Book Antiqua" w:eastAsia="Book Antiqua" w:hAnsi="Book Antiqua" w:cs="Book Antiqua"/>
          <w:color w:val="000000"/>
        </w:rPr>
        <w:t xml:space="preserve"> and</w:t>
      </w:r>
      <w:r>
        <w:rPr>
          <w:rFonts w:ascii="Book Antiqua" w:eastAsia="Book Antiqua" w:hAnsi="Book Antiqua" w:cs="Book Antiqua"/>
          <w:color w:val="000000"/>
        </w:rPr>
        <w:t xml:space="preserve"> short-term and long-term oncological outcomes in this patient </w:t>
      </w:r>
      <w:r w:rsidR="00D524FA">
        <w:rPr>
          <w:rFonts w:ascii="Book Antiqua" w:eastAsia="Book Antiqua" w:hAnsi="Book Antiqua" w:cs="Book Antiqua"/>
          <w:color w:val="000000"/>
        </w:rPr>
        <w:t xml:space="preserve">are </w:t>
      </w:r>
      <w:r>
        <w:rPr>
          <w:rFonts w:ascii="Book Antiqua" w:eastAsia="Book Antiqua" w:hAnsi="Book Antiqua" w:cs="Book Antiqua"/>
          <w:color w:val="000000"/>
        </w:rPr>
        <w:t>described in detail.</w:t>
      </w:r>
    </w:p>
    <w:p w14:paraId="5A6AB28F" w14:textId="77777777" w:rsidR="00D524FA" w:rsidRDefault="00D524FA" w:rsidP="00F0668A">
      <w:pPr>
        <w:adjustRightInd w:val="0"/>
        <w:snapToGrid w:val="0"/>
        <w:spacing w:line="360" w:lineRule="auto"/>
        <w:jc w:val="both"/>
        <w:rPr>
          <w:rFonts w:ascii="Book Antiqua" w:eastAsia="Book Antiqua" w:hAnsi="Book Antiqua" w:cs="Book Antiqua"/>
          <w:b/>
          <w:caps/>
          <w:color w:val="000000"/>
          <w:u w:val="single"/>
        </w:rPr>
      </w:pPr>
    </w:p>
    <w:p w14:paraId="1EF99CD1" w14:textId="161E2DC4" w:rsidR="008E340D" w:rsidRDefault="008E340D">
      <w:pPr>
        <w:rPr>
          <w:rFonts w:ascii="Book Antiqua" w:eastAsia="Book Antiqua" w:hAnsi="Book Antiqua" w:cs="Book Antiqua"/>
          <w:b/>
          <w:caps/>
          <w:color w:val="000000"/>
          <w:u w:val="single"/>
        </w:rPr>
      </w:pPr>
      <w:r>
        <w:rPr>
          <w:rFonts w:ascii="Book Antiqua" w:eastAsia="Book Antiqua" w:hAnsi="Book Antiqua" w:cs="Book Antiqua"/>
          <w:b/>
          <w:caps/>
          <w:color w:val="000000"/>
          <w:u w:val="single"/>
        </w:rPr>
        <w:br w:type="page"/>
      </w:r>
    </w:p>
    <w:p w14:paraId="30184566" w14:textId="4A50F5FC"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lastRenderedPageBreak/>
        <w:t>INTRODUCTION</w:t>
      </w:r>
    </w:p>
    <w:p w14:paraId="2E2B27FB" w14:textId="2F1A3093" w:rsidR="00A77B3E" w:rsidRPr="003806D5" w:rsidRDefault="00F0668A" w:rsidP="00F0668A">
      <w:pPr>
        <w:adjustRightInd w:val="0"/>
        <w:snapToGrid w:val="0"/>
        <w:spacing w:line="360" w:lineRule="auto"/>
        <w:jc w:val="both"/>
      </w:pPr>
      <w:r w:rsidRPr="003806D5">
        <w:rPr>
          <w:rFonts w:ascii="Book Antiqua" w:eastAsia="Book Antiqua" w:hAnsi="Book Antiqua" w:cs="Book Antiqua"/>
          <w:color w:val="000000"/>
        </w:rPr>
        <w:t>Since the first case of laparoscopic distal gastrectomy was reported by Kitano in 1994</w:t>
      </w:r>
      <w:r w:rsidRPr="003806D5">
        <w:rPr>
          <w:rFonts w:ascii="Book Antiqua" w:eastAsia="Book Antiqua" w:hAnsi="Book Antiqua" w:cs="Book Antiqua"/>
          <w:color w:val="000000"/>
          <w:szCs w:val="30"/>
          <w:vertAlign w:val="superscript"/>
        </w:rPr>
        <w:t>[</w:t>
      </w:r>
      <w:hyperlink w:anchor="_ENREF_1" w:tooltip="Kitano, 1994 #1657" w:history="1">
        <w:r w:rsidRPr="003806D5">
          <w:rPr>
            <w:rFonts w:ascii="Book Antiqua" w:eastAsia="Book Antiqua" w:hAnsi="Book Antiqua" w:cs="Book Antiqua"/>
            <w:color w:val="000000"/>
            <w:szCs w:val="20"/>
            <w:vertAlign w:val="superscript"/>
          </w:rPr>
          <w:t>1</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the laparoscopic technique has been widely applied in early gastric cancer, with the advantages of minimal invasion and quick recovery</w:t>
      </w:r>
      <w:r w:rsidRPr="003806D5">
        <w:rPr>
          <w:rFonts w:ascii="Book Antiqua" w:eastAsia="Book Antiqua" w:hAnsi="Book Antiqua" w:cs="Book Antiqua"/>
          <w:color w:val="000000"/>
          <w:szCs w:val="30"/>
          <w:vertAlign w:val="superscript"/>
        </w:rPr>
        <w:t>[</w:t>
      </w:r>
      <w:hyperlink w:anchor="_ENREF_2" w:tooltip="Kitano, 2006 #1491" w:history="1">
        <w:r w:rsidRPr="003806D5">
          <w:rPr>
            <w:rFonts w:ascii="Book Antiqua" w:eastAsia="Book Antiqua" w:hAnsi="Book Antiqua" w:cs="Book Antiqua"/>
            <w:color w:val="000000"/>
            <w:szCs w:val="20"/>
            <w:vertAlign w:val="superscript"/>
          </w:rPr>
          <w:t>2-4</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w:t>
      </w:r>
      <w:r w:rsidRPr="003806D5">
        <w:rPr>
          <w:rFonts w:ascii="Book Antiqua" w:eastAsia="Book Antiqua" w:hAnsi="Book Antiqua" w:cs="Book Antiqua"/>
          <w:color w:val="000000"/>
          <w:szCs w:val="30"/>
          <w:vertAlign w:val="superscript"/>
        </w:rPr>
        <w:t xml:space="preserve"> </w:t>
      </w:r>
      <w:r w:rsidRPr="003806D5">
        <w:rPr>
          <w:rFonts w:ascii="Book Antiqua" w:eastAsia="Book Antiqua" w:hAnsi="Book Antiqua" w:cs="Book Antiqua"/>
          <w:color w:val="000000"/>
        </w:rPr>
        <w:t>Laparoscopic gastric surgery is the preferred option for early gastric cancer. The promising outcome from such surgery has promoted the application of laparoscopy in advanced gastric cancer. Although it is not known whether laparoscopic gastrectomy was suitable for locally advanced gastric cancer, the safety and feasibility of laparoscopic gastrectomy have been explored in several clinical trials</w:t>
      </w:r>
      <w:r w:rsidRPr="003806D5">
        <w:rPr>
          <w:rFonts w:ascii="Book Antiqua" w:eastAsia="Book Antiqua" w:hAnsi="Book Antiqua" w:cs="Book Antiqua"/>
          <w:color w:val="000000"/>
          <w:szCs w:val="30"/>
          <w:vertAlign w:val="superscript"/>
        </w:rPr>
        <w:t>[</w:t>
      </w:r>
      <w:hyperlink w:anchor="_ENREF_5" w:tooltip="Azagra, 2006 #1495" w:history="1">
        <w:r w:rsidRPr="003806D5">
          <w:rPr>
            <w:rFonts w:ascii="Book Antiqua" w:eastAsia="Book Antiqua" w:hAnsi="Book Antiqua" w:cs="Book Antiqua"/>
            <w:color w:val="000000"/>
            <w:szCs w:val="20"/>
            <w:vertAlign w:val="superscript"/>
          </w:rPr>
          <w:t>5-9</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Inspiring results have been achieved by these studies, proving that laparoscopic gastrectomy for locally advanced gastric cancer is not inferior to that of open surgery. </w:t>
      </w:r>
    </w:p>
    <w:p w14:paraId="48A99E6D" w14:textId="1AC635D2" w:rsidR="00A77B3E" w:rsidRPr="003806D5" w:rsidRDefault="00F0668A" w:rsidP="00F0668A">
      <w:pPr>
        <w:adjustRightInd w:val="0"/>
        <w:snapToGrid w:val="0"/>
        <w:spacing w:line="360" w:lineRule="auto"/>
        <w:ind w:firstLine="240"/>
        <w:jc w:val="both"/>
      </w:pPr>
      <w:r w:rsidRPr="003806D5">
        <w:rPr>
          <w:rFonts w:ascii="Book Antiqua" w:eastAsia="Book Antiqua" w:hAnsi="Book Antiqua" w:cs="Book Antiqua"/>
          <w:color w:val="000000"/>
        </w:rPr>
        <w:t>Although surgery is the only curative option for gastric cancer, the mortality of patients after radical surgery remains high because of a significant number of local regional or systemic recurrences</w:t>
      </w:r>
      <w:r w:rsidRPr="003806D5">
        <w:rPr>
          <w:rFonts w:ascii="Book Antiqua" w:eastAsia="Book Antiqua" w:hAnsi="Book Antiqua" w:cs="Book Antiqua"/>
          <w:color w:val="000000"/>
          <w:szCs w:val="30"/>
          <w:vertAlign w:val="superscript"/>
        </w:rPr>
        <w:t>[</w:t>
      </w:r>
      <w:hyperlink w:anchor="_ENREF_10" w:tooltip="Gunderson, 2002 #1660" w:history="1">
        <w:r w:rsidRPr="003806D5">
          <w:rPr>
            <w:rFonts w:ascii="Book Antiqua" w:eastAsia="Book Antiqua" w:hAnsi="Book Antiqua" w:cs="Book Antiqua"/>
            <w:color w:val="000000"/>
            <w:szCs w:val="20"/>
            <w:vertAlign w:val="superscript"/>
          </w:rPr>
          <w:t>10</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Chemoradiotherapy has been recommended as a supplement to radical surgery by the National Comprehensive Cancer Network</w:t>
      </w:r>
      <w:r w:rsidRPr="003806D5">
        <w:rPr>
          <w:rFonts w:ascii="Book Antiqua" w:eastAsia="Book Antiqua" w:hAnsi="Book Antiqua" w:cs="Book Antiqua"/>
          <w:color w:val="000000"/>
          <w:szCs w:val="30"/>
          <w:vertAlign w:val="superscript"/>
        </w:rPr>
        <w:t>[</w:t>
      </w:r>
      <w:hyperlink w:anchor="_ENREF_11" w:tooltip=", 2015 #1435" w:history="1">
        <w:r w:rsidRPr="003806D5">
          <w:rPr>
            <w:rFonts w:ascii="Book Antiqua" w:eastAsia="Book Antiqua" w:hAnsi="Book Antiqua" w:cs="Book Antiqua"/>
            <w:color w:val="000000"/>
            <w:szCs w:val="20"/>
            <w:vertAlign w:val="superscript"/>
          </w:rPr>
          <w:t>11</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Postoperative therapy administration is restricted in some patients due to surgical complications because the recovery time may exceed the prescribed time period for treatment</w:t>
      </w:r>
      <w:r w:rsidRPr="003806D5">
        <w:rPr>
          <w:rFonts w:ascii="Book Antiqua" w:eastAsia="Book Antiqua" w:hAnsi="Book Antiqua" w:cs="Book Antiqua"/>
          <w:color w:val="000000"/>
          <w:szCs w:val="30"/>
          <w:vertAlign w:val="superscript"/>
        </w:rPr>
        <w:t>[</w:t>
      </w:r>
      <w:hyperlink w:anchor="_ENREF_12" w:tooltip="Tsujimoto, 2020 #139" w:history="1">
        <w:r w:rsidRPr="003806D5">
          <w:rPr>
            <w:rFonts w:ascii="Book Antiqua" w:eastAsia="Book Antiqua" w:hAnsi="Book Antiqua" w:cs="Book Antiqua"/>
            <w:color w:val="000000"/>
            <w:szCs w:val="20"/>
            <w:vertAlign w:val="superscript"/>
          </w:rPr>
          <w:t>12</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However, perioperative treatment modality can avoid the shortcomings. Neoadjuvant chemoradiotherapy (NACRT) has the advantages of avoiding unnecessary surgery by shrinking the tumor size and facilitating a high rate of R0 resection, with acceptable rates of acute and late toxicities</w:t>
      </w:r>
      <w:r w:rsidRPr="003806D5">
        <w:rPr>
          <w:rFonts w:ascii="Book Antiqua" w:eastAsia="Book Antiqua" w:hAnsi="Book Antiqua" w:cs="Book Antiqua"/>
          <w:color w:val="000000"/>
          <w:szCs w:val="30"/>
          <w:vertAlign w:val="superscript"/>
        </w:rPr>
        <w:t>[</w:t>
      </w:r>
      <w:hyperlink w:anchor="_ENREF_13" w:tooltip="Ajani, 2006 #1500" w:history="1">
        <w:r w:rsidRPr="003806D5">
          <w:rPr>
            <w:rFonts w:ascii="Book Antiqua" w:eastAsia="Book Antiqua" w:hAnsi="Book Antiqua" w:cs="Book Antiqua"/>
            <w:color w:val="000000"/>
            <w:szCs w:val="20"/>
            <w:vertAlign w:val="superscript"/>
          </w:rPr>
          <w:t>13-15</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w:t>
      </w:r>
    </w:p>
    <w:p w14:paraId="2E2F9810" w14:textId="77777777" w:rsidR="00A77B3E" w:rsidRPr="003806D5" w:rsidRDefault="00F0668A" w:rsidP="00F0668A">
      <w:pPr>
        <w:adjustRightInd w:val="0"/>
        <w:snapToGrid w:val="0"/>
        <w:spacing w:line="360" w:lineRule="auto"/>
        <w:ind w:firstLine="240"/>
        <w:jc w:val="both"/>
      </w:pPr>
      <w:r w:rsidRPr="003806D5">
        <w:rPr>
          <w:rFonts w:ascii="Book Antiqua" w:eastAsia="Book Antiqua" w:hAnsi="Book Antiqua" w:cs="Book Antiqua"/>
          <w:color w:val="000000"/>
        </w:rPr>
        <w:t>To the best of our knowledge, this is the first report to date regarding the safety and short-term oncological outcome of NACRT followed by laparoscopic D2 gastrectomy.</w:t>
      </w:r>
    </w:p>
    <w:p w14:paraId="72E956D5" w14:textId="77777777" w:rsidR="00A77B3E" w:rsidRDefault="00A77B3E" w:rsidP="00F0668A">
      <w:pPr>
        <w:adjustRightInd w:val="0"/>
        <w:snapToGrid w:val="0"/>
        <w:spacing w:line="360" w:lineRule="auto"/>
        <w:ind w:firstLine="240"/>
        <w:jc w:val="both"/>
      </w:pPr>
    </w:p>
    <w:p w14:paraId="7CB50BFB"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CASE PRESENTATION</w:t>
      </w:r>
    </w:p>
    <w:p w14:paraId="48999DE2"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Chief complaints</w:t>
      </w:r>
    </w:p>
    <w:p w14:paraId="484AD120" w14:textId="410B7887"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A 60-year-old man presented with abdominal distension and</w:t>
      </w:r>
      <w:r>
        <w:rPr>
          <w:rStyle w:val="apple-converted-space"/>
          <w:rFonts w:ascii="Book Antiqua" w:eastAsia="Book Antiqua" w:hAnsi="Book Antiqua" w:cs="Book Antiqua"/>
          <w:color w:val="000000"/>
          <w:shd w:val="clear" w:color="auto" w:fill="FFFFFF"/>
        </w:rPr>
        <w:t xml:space="preserve"> weight </w:t>
      </w:r>
      <w:r>
        <w:rPr>
          <w:rFonts w:ascii="Book Antiqua" w:eastAsia="Book Antiqua" w:hAnsi="Book Antiqua" w:cs="Book Antiqua"/>
          <w:color w:val="000000"/>
          <w:shd w:val="clear" w:color="auto" w:fill="FFFFFF"/>
        </w:rPr>
        <w:t>loss of over 10 kg</w:t>
      </w:r>
      <w:r>
        <w:rPr>
          <w:rStyle w:val="apple-converted-space"/>
          <w:rFonts w:ascii="Book Antiqua" w:eastAsia="Book Antiqua" w:hAnsi="Book Antiqua" w:cs="Book Antiqua"/>
          <w:color w:val="000000"/>
          <w:shd w:val="clear" w:color="auto" w:fill="FFFFFF"/>
        </w:rPr>
        <w:t xml:space="preserve"> for approximately 6-</w:t>
      </w:r>
      <w:r>
        <w:rPr>
          <w:rFonts w:ascii="Book Antiqua" w:eastAsia="Book Antiqua" w:hAnsi="Book Antiqua" w:cs="Book Antiqua"/>
          <w:color w:val="000000"/>
          <w:shd w:val="clear" w:color="auto" w:fill="FFFFFF"/>
        </w:rPr>
        <w:t xml:space="preserve">mo duration. </w:t>
      </w:r>
    </w:p>
    <w:p w14:paraId="79459349" w14:textId="77777777" w:rsidR="00A77B3E" w:rsidRDefault="00A77B3E" w:rsidP="00F0668A">
      <w:pPr>
        <w:adjustRightInd w:val="0"/>
        <w:snapToGrid w:val="0"/>
        <w:spacing w:line="360" w:lineRule="auto"/>
        <w:jc w:val="both"/>
      </w:pPr>
    </w:p>
    <w:p w14:paraId="7D304F7A"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lastRenderedPageBreak/>
        <w:t>History of present illness</w:t>
      </w:r>
    </w:p>
    <w:p w14:paraId="4165F42E" w14:textId="77777777"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 xml:space="preserve">He was an otherwise healthy man with no remarkable medical history. </w:t>
      </w:r>
    </w:p>
    <w:p w14:paraId="7F556219" w14:textId="77777777" w:rsidR="00A77B3E" w:rsidRDefault="00A77B3E" w:rsidP="00F0668A">
      <w:pPr>
        <w:adjustRightInd w:val="0"/>
        <w:snapToGrid w:val="0"/>
        <w:spacing w:line="360" w:lineRule="auto"/>
        <w:jc w:val="both"/>
      </w:pPr>
    </w:p>
    <w:p w14:paraId="09A14DAD"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History of past illness</w:t>
      </w:r>
    </w:p>
    <w:p w14:paraId="0C2D8B3E" w14:textId="77777777"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There was no obvious abnormality in any past illness.</w:t>
      </w:r>
    </w:p>
    <w:p w14:paraId="4A436F23" w14:textId="77777777" w:rsidR="00A77B3E" w:rsidRDefault="00A77B3E" w:rsidP="00F0668A">
      <w:pPr>
        <w:adjustRightInd w:val="0"/>
        <w:snapToGrid w:val="0"/>
        <w:spacing w:line="360" w:lineRule="auto"/>
        <w:jc w:val="both"/>
      </w:pPr>
    </w:p>
    <w:p w14:paraId="180B729A"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Personal and family history</w:t>
      </w:r>
    </w:p>
    <w:p w14:paraId="0A382C1B" w14:textId="701BB891"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 xml:space="preserve">There </w:t>
      </w:r>
      <w:r w:rsidR="00D524FA">
        <w:rPr>
          <w:rFonts w:ascii="Book Antiqua" w:eastAsia="Book Antiqua" w:hAnsi="Book Antiqua" w:cs="Book Antiqua"/>
          <w:color w:val="000000"/>
          <w:shd w:val="clear" w:color="auto" w:fill="FFFFFF"/>
        </w:rPr>
        <w:t>wa</w:t>
      </w:r>
      <w:r>
        <w:rPr>
          <w:rFonts w:ascii="Book Antiqua" w:eastAsia="Book Antiqua" w:hAnsi="Book Antiqua" w:cs="Book Antiqua"/>
          <w:color w:val="000000"/>
          <w:shd w:val="clear" w:color="auto" w:fill="FFFFFF"/>
        </w:rPr>
        <w:t>s no special history and personal history. The patient had no known family history of cancer.</w:t>
      </w:r>
    </w:p>
    <w:p w14:paraId="2800B717" w14:textId="77777777" w:rsidR="00A77B3E" w:rsidRDefault="00A77B3E" w:rsidP="00F0668A">
      <w:pPr>
        <w:adjustRightInd w:val="0"/>
        <w:snapToGrid w:val="0"/>
        <w:spacing w:line="360" w:lineRule="auto"/>
        <w:jc w:val="both"/>
      </w:pPr>
    </w:p>
    <w:p w14:paraId="3E7CB86F"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Physical examination</w:t>
      </w:r>
    </w:p>
    <w:p w14:paraId="51BC5450" w14:textId="72849799"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Physical examinations revealed a thin, emaciated male with normal vital signs. The abdomen was tender</w:t>
      </w:r>
      <w:r w:rsidR="00D524FA">
        <w:rPr>
          <w:rFonts w:ascii="Book Antiqua" w:eastAsia="Book Antiqua" w:hAnsi="Book Antiqua" w:cs="Book Antiqua"/>
          <w:color w:val="000000"/>
          <w:shd w:val="clear" w:color="auto" w:fill="FFFFFF"/>
        </w:rPr>
        <w:t>,</w:t>
      </w:r>
      <w:r>
        <w:rPr>
          <w:rFonts w:ascii="Book Antiqua" w:eastAsia="Book Antiqua" w:hAnsi="Book Antiqua" w:cs="Book Antiqua"/>
          <w:color w:val="000000"/>
          <w:shd w:val="clear" w:color="auto" w:fill="FFFFFF"/>
        </w:rPr>
        <w:t xml:space="preserve"> and there was no palpable mass. Superficial lymphadenopathy was not </w:t>
      </w:r>
      <w:r w:rsidR="00D524FA">
        <w:rPr>
          <w:rFonts w:ascii="Book Antiqua" w:eastAsia="Book Antiqua" w:hAnsi="Book Antiqua" w:cs="Book Antiqua"/>
          <w:color w:val="000000"/>
          <w:shd w:val="clear" w:color="auto" w:fill="FFFFFF"/>
        </w:rPr>
        <w:t>detected</w:t>
      </w:r>
      <w:r>
        <w:rPr>
          <w:rFonts w:ascii="Book Antiqua" w:eastAsia="Book Antiqua" w:hAnsi="Book Antiqua" w:cs="Book Antiqua"/>
          <w:color w:val="000000"/>
          <w:shd w:val="clear" w:color="auto" w:fill="FFFFFF"/>
        </w:rPr>
        <w:t>.</w:t>
      </w:r>
    </w:p>
    <w:p w14:paraId="40FB60AC" w14:textId="77777777" w:rsidR="00A77B3E" w:rsidRDefault="00A77B3E" w:rsidP="00F0668A">
      <w:pPr>
        <w:adjustRightInd w:val="0"/>
        <w:snapToGrid w:val="0"/>
        <w:spacing w:line="360" w:lineRule="auto"/>
        <w:jc w:val="both"/>
      </w:pPr>
    </w:p>
    <w:p w14:paraId="06B877A3"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Laboratory examinations</w:t>
      </w:r>
    </w:p>
    <w:p w14:paraId="6DD250D3" w14:textId="6D4E526B"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 xml:space="preserve">Routine blood test revealed small cell hypochromic anemia: </w:t>
      </w:r>
      <w:r w:rsidR="00D524FA">
        <w:rPr>
          <w:rFonts w:ascii="Book Antiqua" w:eastAsia="Book Antiqua" w:hAnsi="Book Antiqua" w:cs="Book Antiqua"/>
          <w:color w:val="000000"/>
          <w:shd w:val="clear" w:color="auto" w:fill="FFFFFF"/>
        </w:rPr>
        <w:t>T</w:t>
      </w:r>
      <w:r>
        <w:rPr>
          <w:rFonts w:ascii="Book Antiqua" w:eastAsia="Book Antiqua" w:hAnsi="Book Antiqua" w:cs="Book Antiqua"/>
          <w:color w:val="000000"/>
          <w:shd w:val="clear" w:color="auto" w:fill="FFFFFF"/>
        </w:rPr>
        <w:t xml:space="preserve">he hemoglobin was 85 g/L; the mean corpuscular volume was 65 fL; the mean </w:t>
      </w:r>
      <w:r w:rsidR="00D524FA">
        <w:rPr>
          <w:rFonts w:ascii="Book Antiqua" w:eastAsia="Book Antiqua" w:hAnsi="Book Antiqua" w:cs="Book Antiqua"/>
          <w:color w:val="000000"/>
          <w:shd w:val="clear" w:color="auto" w:fill="FFFFFF"/>
        </w:rPr>
        <w:t>c</w:t>
      </w:r>
      <w:r>
        <w:rPr>
          <w:rFonts w:ascii="Book Antiqua" w:eastAsia="Book Antiqua" w:hAnsi="Book Antiqua" w:cs="Book Antiqua"/>
          <w:color w:val="000000"/>
          <w:shd w:val="clear" w:color="auto" w:fill="FFFFFF"/>
        </w:rPr>
        <w:t>orpuscular hemoglobin was 18.60 pg; the mean corpuscular hemoglobin concentration was 286 g/L. His white blood cell (6.24 × 10</w:t>
      </w:r>
      <w:r>
        <w:rPr>
          <w:rFonts w:ascii="Book Antiqua" w:eastAsia="Book Antiqua" w:hAnsi="Book Antiqua" w:cs="Book Antiqua"/>
          <w:color w:val="000000"/>
          <w:szCs w:val="30"/>
          <w:shd w:val="clear" w:color="auto" w:fill="FFFFFF"/>
          <w:vertAlign w:val="superscript"/>
        </w:rPr>
        <w:t>9</w:t>
      </w:r>
      <w:r>
        <w:rPr>
          <w:rFonts w:ascii="Book Antiqua" w:eastAsia="Book Antiqua" w:hAnsi="Book Antiqua" w:cs="Book Antiqua"/>
          <w:color w:val="000000"/>
          <w:shd w:val="clear" w:color="auto" w:fill="FFFFFF"/>
        </w:rPr>
        <w:t>/L) and platelet (333 × 10</w:t>
      </w:r>
      <w:r>
        <w:rPr>
          <w:rFonts w:ascii="Book Antiqua" w:eastAsia="Book Antiqua" w:hAnsi="Book Antiqua" w:cs="Book Antiqua"/>
          <w:color w:val="000000"/>
          <w:szCs w:val="30"/>
          <w:shd w:val="clear" w:color="auto" w:fill="FFFFFF"/>
          <w:vertAlign w:val="superscript"/>
        </w:rPr>
        <w:t>9</w:t>
      </w:r>
      <w:r>
        <w:rPr>
          <w:rFonts w:ascii="Book Antiqua" w:eastAsia="Book Antiqua" w:hAnsi="Book Antiqua" w:cs="Book Antiqua"/>
          <w:color w:val="000000"/>
          <w:shd w:val="clear" w:color="auto" w:fill="FFFFFF"/>
        </w:rPr>
        <w:t>/L) were within the normal range. Neutrophil-to-lymphocyte ratio was 2.25. The blood biochemistry was normal except for albumin</w:t>
      </w:r>
      <w:r w:rsidR="00D524FA">
        <w:rPr>
          <w:rFonts w:ascii="Book Antiqua" w:eastAsia="Book Antiqua" w:hAnsi="Book Antiqua" w:cs="Book Antiqua"/>
          <w:color w:val="000000"/>
          <w:shd w:val="clear" w:color="auto" w:fill="FFFFFF"/>
        </w:rPr>
        <w:t>,</w:t>
      </w:r>
      <w:r>
        <w:rPr>
          <w:rFonts w:ascii="Book Antiqua" w:eastAsia="Book Antiqua" w:hAnsi="Book Antiqua" w:cs="Book Antiqua"/>
          <w:color w:val="000000"/>
          <w:shd w:val="clear" w:color="auto" w:fill="FFFFFF"/>
        </w:rPr>
        <w:t xml:space="preserve"> which was 30.0g/L. All tumor markers in gastrointestinal cancer were within the normal range: Carcinoma embryonic antigen was 3.44 ng/mL, cancer antigen 19-9 was 12.69 U/mL, cancer antigen 72-4 was 3.78 U/mL, and cancer antigen 242 was 10.76 U/mL.</w:t>
      </w:r>
    </w:p>
    <w:p w14:paraId="387399BA" w14:textId="77777777" w:rsidR="00A77B3E" w:rsidRDefault="00A77B3E" w:rsidP="00F0668A">
      <w:pPr>
        <w:adjustRightInd w:val="0"/>
        <w:snapToGrid w:val="0"/>
        <w:spacing w:line="360" w:lineRule="auto"/>
        <w:jc w:val="both"/>
      </w:pPr>
    </w:p>
    <w:p w14:paraId="45DD3DC6" w14:textId="77777777" w:rsidR="00A77B3E" w:rsidRDefault="00F0668A" w:rsidP="00F0668A">
      <w:pPr>
        <w:adjustRightInd w:val="0"/>
        <w:snapToGrid w:val="0"/>
        <w:spacing w:line="360" w:lineRule="auto"/>
        <w:jc w:val="both"/>
      </w:pPr>
      <w:r>
        <w:rPr>
          <w:rFonts w:ascii="Book Antiqua" w:eastAsia="Book Antiqua" w:hAnsi="Book Antiqua" w:cs="Book Antiqua"/>
          <w:b/>
          <w:i/>
          <w:color w:val="000000"/>
        </w:rPr>
        <w:t>Imaging examinations</w:t>
      </w:r>
    </w:p>
    <w:p w14:paraId="5397C087" w14:textId="159BA16E"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 xml:space="preserve">An endoscopy was undertaken and revealed an ulcerative lesion adjacent to the gastric antrum, with a dike-like bulge around the edge. Pylorus was invaded by the lesion, resulting in an incomplete obstruction (Figure 1). </w:t>
      </w:r>
      <w:r>
        <w:rPr>
          <w:rFonts w:ascii="Book Antiqua" w:eastAsia="Book Antiqua" w:hAnsi="Book Antiqua" w:cs="Book Antiqua"/>
          <w:color w:val="000000"/>
        </w:rPr>
        <w:t>E</w:t>
      </w:r>
      <w:r>
        <w:rPr>
          <w:rStyle w:val="apple-converted-space"/>
          <w:rFonts w:ascii="Book Antiqua" w:eastAsia="Book Antiqua" w:hAnsi="Book Antiqua" w:cs="Book Antiqua"/>
          <w:color w:val="000000"/>
        </w:rPr>
        <w:t xml:space="preserve">nhanced </w:t>
      </w:r>
      <w:r>
        <w:rPr>
          <w:rFonts w:ascii="Book Antiqua" w:eastAsia="Book Antiqua" w:hAnsi="Book Antiqua" w:cs="Book Antiqua"/>
          <w:color w:val="000000"/>
        </w:rPr>
        <w:t xml:space="preserve">abdominal computed </w:t>
      </w:r>
      <w:r>
        <w:rPr>
          <w:rFonts w:ascii="Book Antiqua" w:eastAsia="Book Antiqua" w:hAnsi="Book Antiqua" w:cs="Book Antiqua"/>
          <w:color w:val="000000"/>
        </w:rPr>
        <w:lastRenderedPageBreak/>
        <w:t xml:space="preserve">tomography (CT) indicated </w:t>
      </w:r>
      <w:r>
        <w:rPr>
          <w:rStyle w:val="apple-converted-space"/>
          <w:rFonts w:ascii="Book Antiqua" w:eastAsia="Book Antiqua" w:hAnsi="Book Antiqua" w:cs="Book Antiqua"/>
          <w:color w:val="000000"/>
        </w:rPr>
        <w:t xml:space="preserve">that the </w:t>
      </w:r>
      <w:r>
        <w:rPr>
          <w:rFonts w:ascii="Book Antiqua" w:eastAsia="Book Antiqua" w:hAnsi="Book Antiqua" w:cs="Book Antiqua"/>
          <w:color w:val="000000"/>
        </w:rPr>
        <w:t>wall of</w:t>
      </w:r>
      <w:r>
        <w:rPr>
          <w:rStyle w:val="apple-converted-space"/>
          <w:rFonts w:ascii="Book Antiqua" w:eastAsia="Book Antiqua" w:hAnsi="Book Antiqua" w:cs="Book Antiqua"/>
          <w:color w:val="000000"/>
        </w:rPr>
        <w:t xml:space="preserve"> the antrum was </w:t>
      </w:r>
      <w:r>
        <w:rPr>
          <w:rFonts w:ascii="Book Antiqua" w:eastAsia="Book Antiqua" w:hAnsi="Book Antiqua" w:cs="Book Antiqua"/>
          <w:color w:val="000000"/>
        </w:rPr>
        <w:t xml:space="preserve">thickened with significant enhancement, with a maximum thickness </w:t>
      </w:r>
      <w:r>
        <w:rPr>
          <w:rStyle w:val="apple-converted-space"/>
          <w:rFonts w:ascii="Book Antiqua" w:eastAsia="Book Antiqua" w:hAnsi="Book Antiqua" w:cs="Book Antiqua"/>
          <w:color w:val="000000"/>
        </w:rPr>
        <w:t>of</w:t>
      </w:r>
      <w:r>
        <w:rPr>
          <w:rFonts w:ascii="Book Antiqua" w:eastAsia="Book Antiqua" w:hAnsi="Book Antiqua" w:cs="Book Antiqua"/>
          <w:color w:val="000000"/>
        </w:rPr>
        <w:t xml:space="preserve"> 21 mm</w:t>
      </w:r>
      <w:r>
        <w:rPr>
          <w:rStyle w:val="apple-converted-space"/>
          <w:rFonts w:ascii="Book Antiqua" w:eastAsia="Book Antiqua" w:hAnsi="Book Antiqua" w:cs="Book Antiqua"/>
          <w:color w:val="000000"/>
        </w:rPr>
        <w:t>. T</w:t>
      </w:r>
      <w:r>
        <w:rPr>
          <w:rFonts w:ascii="Book Antiqua" w:eastAsia="Book Antiqua" w:hAnsi="Book Antiqua" w:cs="Book Antiqua"/>
          <w:color w:val="000000"/>
        </w:rPr>
        <w:t xml:space="preserve">he surface of the serosa </w:t>
      </w:r>
      <w:r>
        <w:rPr>
          <w:rStyle w:val="apple-converted-space"/>
          <w:rFonts w:ascii="Book Antiqua" w:eastAsia="Book Antiqua" w:hAnsi="Book Antiqua" w:cs="Book Antiqua"/>
          <w:color w:val="000000"/>
        </w:rPr>
        <w:t xml:space="preserve">was </w:t>
      </w:r>
      <w:r>
        <w:rPr>
          <w:rFonts w:ascii="Book Antiqua" w:eastAsia="Book Antiqua" w:hAnsi="Book Antiqua" w:cs="Book Antiqua"/>
          <w:color w:val="000000"/>
        </w:rPr>
        <w:t>fuzzy;</w:t>
      </w:r>
      <w:r>
        <w:rPr>
          <w:rStyle w:val="apple-converted-space"/>
          <w:rFonts w:ascii="Book Antiqua" w:eastAsia="Book Antiqua" w:hAnsi="Book Antiqua" w:cs="Book Antiqua"/>
          <w:color w:val="000000"/>
        </w:rPr>
        <w:t xml:space="preserve"> however, the border near the </w:t>
      </w:r>
      <w:r>
        <w:rPr>
          <w:rFonts w:ascii="Book Antiqua" w:eastAsia="Book Antiqua" w:hAnsi="Book Antiqua" w:cs="Book Antiqua"/>
          <w:color w:val="000000"/>
        </w:rPr>
        <w:t xml:space="preserve">pancreas remained clear (Figure 2). </w:t>
      </w:r>
      <w:r>
        <w:rPr>
          <w:rStyle w:val="apple-converted-space"/>
          <w:rFonts w:ascii="Book Antiqua" w:eastAsia="Book Antiqua" w:hAnsi="Book Antiqua" w:cs="Book Antiqua"/>
          <w:color w:val="000000"/>
        </w:rPr>
        <w:t>M</w:t>
      </w:r>
      <w:r>
        <w:rPr>
          <w:rFonts w:ascii="Book Antiqua" w:eastAsia="Book Antiqua" w:hAnsi="Book Antiqua" w:cs="Book Antiqua"/>
          <w:color w:val="000000"/>
        </w:rPr>
        <w:t>ultiple enlarged lymph nodes were found in the lesser gastric curvature</w:t>
      </w:r>
      <w:r w:rsidR="00884583">
        <w:rPr>
          <w:rFonts w:ascii="Book Antiqua" w:eastAsia="Book Antiqua" w:hAnsi="Book Antiqua" w:cs="Book Antiqua"/>
          <w:color w:val="000000"/>
        </w:rPr>
        <w:t>;</w:t>
      </w:r>
      <w:r>
        <w:rPr>
          <w:rStyle w:val="apple-converted-space"/>
          <w:rFonts w:ascii="Book Antiqua" w:eastAsia="Book Antiqua" w:hAnsi="Book Antiqua" w:cs="Book Antiqua"/>
          <w:color w:val="000000"/>
        </w:rPr>
        <w:t xml:space="preserve"> the </w:t>
      </w:r>
      <w:r>
        <w:rPr>
          <w:rFonts w:ascii="Book Antiqua" w:eastAsia="Book Antiqua" w:hAnsi="Book Antiqua" w:cs="Book Antiqua"/>
          <w:color w:val="000000"/>
        </w:rPr>
        <w:t xml:space="preserve">diameter of the largest one </w:t>
      </w:r>
      <w:r>
        <w:rPr>
          <w:rStyle w:val="apple-converted-space"/>
          <w:rFonts w:ascii="Book Antiqua" w:eastAsia="Book Antiqua" w:hAnsi="Book Antiqua" w:cs="Book Antiqua"/>
          <w:color w:val="000000"/>
        </w:rPr>
        <w:t>wa</w:t>
      </w:r>
      <w:r>
        <w:rPr>
          <w:rFonts w:ascii="Book Antiqua" w:eastAsia="Book Antiqua" w:hAnsi="Book Antiqua" w:cs="Book Antiqua"/>
          <w:color w:val="000000"/>
        </w:rPr>
        <w:t xml:space="preserve">s 7mm. No distant metastasis was detected from the pelvis or chest CT. </w:t>
      </w:r>
    </w:p>
    <w:p w14:paraId="7FC1CE96" w14:textId="77777777" w:rsidR="00A77B3E" w:rsidRDefault="00A77B3E" w:rsidP="00F0668A">
      <w:pPr>
        <w:adjustRightInd w:val="0"/>
        <w:snapToGrid w:val="0"/>
        <w:spacing w:line="360" w:lineRule="auto"/>
        <w:jc w:val="both"/>
      </w:pPr>
    </w:p>
    <w:p w14:paraId="491F3EA3" w14:textId="77777777" w:rsidR="00A77B3E" w:rsidRPr="003806D5" w:rsidRDefault="00F0668A" w:rsidP="00F0668A">
      <w:pPr>
        <w:adjustRightInd w:val="0"/>
        <w:snapToGrid w:val="0"/>
        <w:spacing w:line="360" w:lineRule="auto"/>
        <w:jc w:val="both"/>
      </w:pPr>
      <w:r w:rsidRPr="003806D5">
        <w:rPr>
          <w:rFonts w:ascii="Book Antiqua" w:eastAsia="Book Antiqua" w:hAnsi="Book Antiqua" w:cs="Book Antiqua"/>
          <w:b/>
          <w:bCs/>
          <w:iCs/>
          <w:caps/>
          <w:color w:val="000000"/>
          <w:u w:val="single"/>
          <w:shd w:val="clear" w:color="auto" w:fill="FFFFFF"/>
        </w:rPr>
        <w:t>Histopathological examinations</w:t>
      </w:r>
    </w:p>
    <w:p w14:paraId="4EB2CDA7" w14:textId="77777777" w:rsidR="00A77B3E" w:rsidRDefault="00F0668A" w:rsidP="00F0668A">
      <w:pPr>
        <w:adjustRightInd w:val="0"/>
        <w:snapToGrid w:val="0"/>
        <w:spacing w:line="360" w:lineRule="auto"/>
        <w:jc w:val="both"/>
      </w:pPr>
      <w:r>
        <w:rPr>
          <w:rFonts w:ascii="Book Antiqua" w:eastAsia="Book Antiqua" w:hAnsi="Book Antiqua" w:cs="Book Antiqua"/>
          <w:color w:val="000000"/>
          <w:shd w:val="clear" w:color="auto" w:fill="FFFFFF"/>
        </w:rPr>
        <w:t>The pathology obtained from the endoscopic biopsy confirmed</w:t>
      </w:r>
      <w:r>
        <w:rPr>
          <w:rFonts w:ascii="Book Antiqua" w:eastAsia="Book Antiqua" w:hAnsi="Book Antiqua" w:cs="Book Antiqua"/>
          <w:color w:val="000000"/>
        </w:rPr>
        <w:t xml:space="preserve"> a moderate to poor differentiated adenocarcinoma, with a Lauren type of intestine.</w:t>
      </w:r>
    </w:p>
    <w:p w14:paraId="3C8862B9" w14:textId="77777777" w:rsidR="00A77B3E" w:rsidRDefault="00A77B3E" w:rsidP="00F0668A">
      <w:pPr>
        <w:adjustRightInd w:val="0"/>
        <w:snapToGrid w:val="0"/>
        <w:spacing w:line="360" w:lineRule="auto"/>
        <w:jc w:val="both"/>
      </w:pPr>
    </w:p>
    <w:p w14:paraId="574031FD"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FINAL DIAGNOSIS</w:t>
      </w:r>
    </w:p>
    <w:p w14:paraId="54CAAE7F"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The patient was diagnosed as having a gastric antrum carcinoma, Borrmann type </w:t>
      </w:r>
      <w:r>
        <w:rPr>
          <w:rStyle w:val="apple-converted-space"/>
          <w:rFonts w:ascii="Book Antiqua" w:eastAsia="Book Antiqua" w:hAnsi="Book Antiqua" w:cs="Book Antiqua"/>
          <w:color w:val="000000"/>
        </w:rPr>
        <w:t xml:space="preserve">III, </w:t>
      </w:r>
      <w:r>
        <w:rPr>
          <w:rFonts w:ascii="Book Antiqua" w:eastAsia="Book Antiqua" w:hAnsi="Book Antiqua" w:cs="Book Antiqua"/>
          <w:color w:val="000000"/>
        </w:rPr>
        <w:t>with lymph nodes metastases. The clinical stage was confirmed as being cT4aN1M0 stage III.</w:t>
      </w:r>
    </w:p>
    <w:p w14:paraId="7E951413" w14:textId="77777777" w:rsidR="00A77B3E" w:rsidRDefault="00A77B3E" w:rsidP="00F0668A">
      <w:pPr>
        <w:adjustRightInd w:val="0"/>
        <w:snapToGrid w:val="0"/>
        <w:spacing w:line="360" w:lineRule="auto"/>
        <w:jc w:val="both"/>
      </w:pPr>
    </w:p>
    <w:p w14:paraId="38302A38"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TREATMENT</w:t>
      </w:r>
    </w:p>
    <w:p w14:paraId="2AD07000" w14:textId="77777777" w:rsidR="00A77B3E" w:rsidRDefault="00F0668A" w:rsidP="00F0668A">
      <w:pPr>
        <w:adjustRightInd w:val="0"/>
        <w:snapToGrid w:val="0"/>
        <w:spacing w:line="360" w:lineRule="auto"/>
        <w:jc w:val="both"/>
      </w:pPr>
      <w:r>
        <w:rPr>
          <w:rFonts w:ascii="Book Antiqua" w:eastAsia="Book Antiqua" w:hAnsi="Book Antiqua" w:cs="Book Antiqua"/>
          <w:b/>
          <w:bCs/>
          <w:i/>
          <w:iCs/>
          <w:color w:val="000000"/>
          <w:shd w:val="clear" w:color="auto" w:fill="FFFFFF"/>
        </w:rPr>
        <w:t>NACRT and evaluation</w:t>
      </w:r>
    </w:p>
    <w:p w14:paraId="196578AF" w14:textId="3F62CDC0" w:rsidR="00A77B3E" w:rsidRDefault="00F0668A" w:rsidP="00F0668A">
      <w:pPr>
        <w:adjustRightInd w:val="0"/>
        <w:snapToGrid w:val="0"/>
        <w:spacing w:line="360" w:lineRule="auto"/>
        <w:jc w:val="both"/>
      </w:pPr>
      <w:r>
        <w:rPr>
          <w:rFonts w:ascii="Book Antiqua" w:eastAsia="Book Antiqua" w:hAnsi="Book Antiqua" w:cs="Book Antiqua"/>
          <w:color w:val="000000"/>
        </w:rPr>
        <w:t>The patient and his family had a very strong desire for radicalness of surgery. However, because of the wide infiltration of the primary foci with suspicion of lymph nodes metastasis</w:t>
      </w:r>
      <w:r w:rsidR="001F4E9E">
        <w:rPr>
          <w:rFonts w:ascii="Book Antiqua" w:eastAsia="Book Antiqua" w:hAnsi="Book Antiqua" w:cs="Book Antiqua"/>
          <w:color w:val="000000"/>
        </w:rPr>
        <w:t>,</w:t>
      </w:r>
      <w:r>
        <w:rPr>
          <w:rFonts w:ascii="Book Antiqua" w:eastAsia="Book Antiqua" w:hAnsi="Book Antiqua" w:cs="Book Antiqua"/>
          <w:color w:val="000000"/>
        </w:rPr>
        <w:t xml:space="preserve"> which were majorly localized on the lesser curvature, a direct surgery may not be capable of radical cure. A tumor downstaging by chemoradiation </w:t>
      </w:r>
      <w:r w:rsidR="001F4E9E">
        <w:rPr>
          <w:rFonts w:ascii="Book Antiqua" w:eastAsia="Book Antiqua" w:hAnsi="Book Antiqua" w:cs="Book Antiqua"/>
          <w:color w:val="000000"/>
        </w:rPr>
        <w:t>wa</w:t>
      </w:r>
      <w:r>
        <w:rPr>
          <w:rFonts w:ascii="Book Antiqua" w:eastAsia="Book Antiqua" w:hAnsi="Book Antiqua" w:cs="Book Antiqua"/>
          <w:color w:val="000000"/>
        </w:rPr>
        <w:t>s strongly recommended for the preparation of surgical radicalness. Moreover, the patient was 60-year</w:t>
      </w:r>
      <w:r w:rsidR="001F4E9E">
        <w:rPr>
          <w:rFonts w:ascii="Book Antiqua" w:eastAsia="Book Antiqua" w:hAnsi="Book Antiqua" w:cs="Book Antiqua"/>
          <w:color w:val="000000"/>
        </w:rPr>
        <w:t>s</w:t>
      </w:r>
      <w:r>
        <w:rPr>
          <w:rFonts w:ascii="Book Antiqua" w:eastAsia="Book Antiqua" w:hAnsi="Book Antiqua" w:cs="Book Antiqua"/>
          <w:color w:val="000000"/>
        </w:rPr>
        <w:t>-old. Despite his stable physical status before cancer diagnosis, with 172 cm height and 45 kg weight, his body mass index was only 15.2 kg/m</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with nutritional deficiency anemia at the moment. Even if the patient received a completed D2 </w:t>
      </w:r>
      <w:r w:rsidR="001F4E9E">
        <w:rPr>
          <w:rFonts w:ascii="Book Antiqua" w:eastAsia="Book Antiqua" w:hAnsi="Book Antiqua" w:cs="Book Antiqua"/>
          <w:color w:val="000000"/>
        </w:rPr>
        <w:t>l</w:t>
      </w:r>
      <w:r>
        <w:rPr>
          <w:rFonts w:ascii="Book Antiqua" w:eastAsia="Book Antiqua" w:hAnsi="Book Antiqua" w:cs="Book Antiqua"/>
          <w:color w:val="000000"/>
        </w:rPr>
        <w:t xml:space="preserve">ymphadenectomy with R0 resection, his nutritional status required a long period of recovery. The chance that he could benefit from, or be able to receive, the adjuvant treatment </w:t>
      </w:r>
      <w:r w:rsidR="001F4E9E">
        <w:rPr>
          <w:rFonts w:ascii="Book Antiqua" w:eastAsia="Book Antiqua" w:hAnsi="Book Antiqua" w:cs="Book Antiqua"/>
          <w:color w:val="000000"/>
        </w:rPr>
        <w:t>wa</w:t>
      </w:r>
      <w:r>
        <w:rPr>
          <w:rFonts w:ascii="Book Antiqua" w:eastAsia="Book Antiqua" w:hAnsi="Book Antiqua" w:cs="Book Antiqua"/>
          <w:color w:val="000000"/>
        </w:rPr>
        <w:t>s bleak, as adjuvant chemotherapy is often assumed to have little benefit for delayed initiation. With the concerns above, a preoperative concurrent radio-chemo therapy was designed by the multidisciplinary team.</w:t>
      </w:r>
    </w:p>
    <w:p w14:paraId="64D38C64" w14:textId="4306095E" w:rsidR="00A77B3E" w:rsidRDefault="00F0668A" w:rsidP="00F0668A">
      <w:pPr>
        <w:adjustRightInd w:val="0"/>
        <w:snapToGrid w:val="0"/>
        <w:spacing w:line="360" w:lineRule="auto"/>
        <w:ind w:firstLine="240"/>
        <w:jc w:val="both"/>
      </w:pPr>
      <w:r>
        <w:rPr>
          <w:rFonts w:ascii="Book Antiqua" w:eastAsia="Book Antiqua" w:hAnsi="Book Antiqua" w:cs="Book Antiqua"/>
          <w:color w:val="000000"/>
        </w:rPr>
        <w:lastRenderedPageBreak/>
        <w:t xml:space="preserve">The NACRT was given at a total dose of gross tumor volume 50 Gy and clinical target volume 45 Gy, in 25 fractions, </w:t>
      </w:r>
      <w:r w:rsidR="001163A6">
        <w:rPr>
          <w:rFonts w:ascii="Book Antiqua" w:eastAsia="Book Antiqua" w:hAnsi="Book Antiqua" w:cs="Book Antiqua"/>
          <w:color w:val="000000"/>
        </w:rPr>
        <w:t>five</w:t>
      </w:r>
      <w:r>
        <w:rPr>
          <w:rFonts w:ascii="Book Antiqua" w:eastAsia="Book Antiqua" w:hAnsi="Book Antiqua" w:cs="Book Antiqua"/>
          <w:color w:val="000000"/>
        </w:rPr>
        <w:t xml:space="preserve"> times a week, with concurrent S-1 60 mg twice daily. The NACRT was well tolerated with no severe adverse events according to the Common Terminology Criteria for Adverse Events v5.0</w:t>
      </w:r>
      <w:r>
        <w:rPr>
          <w:rFonts w:ascii="Book Antiqua" w:eastAsia="Book Antiqua" w:hAnsi="Book Antiqua" w:cs="Book Antiqua"/>
          <w:color w:val="000000"/>
          <w:szCs w:val="30"/>
          <w:vertAlign w:val="superscript"/>
        </w:rPr>
        <w:t>[</w:t>
      </w:r>
      <w:hyperlink w:anchor="_ENREF_16" w:tooltip="Health, 2018 #141" w:history="1">
        <w:r>
          <w:rPr>
            <w:rFonts w:ascii="Book Antiqua" w:eastAsia="Book Antiqua" w:hAnsi="Book Antiqua" w:cs="Book Antiqua"/>
            <w:color w:val="000000"/>
            <w:szCs w:val="20"/>
            <w:u w:val="single" w:color="0000EE"/>
            <w:vertAlign w:val="superscript"/>
          </w:rPr>
          <w:t>16</w:t>
        </w:r>
      </w:hyperlink>
      <w:r>
        <w:rPr>
          <w:rFonts w:ascii="Book Antiqua" w:eastAsia="Book Antiqua" w:hAnsi="Book Antiqua" w:cs="Book Antiqua"/>
          <w:color w:val="000000"/>
          <w:szCs w:val="20"/>
          <w:vertAlign w:val="superscript"/>
        </w:rPr>
        <w:t>]</w:t>
      </w:r>
      <w:r>
        <w:rPr>
          <w:rFonts w:ascii="Book Antiqua" w:eastAsia="Book Antiqua" w:hAnsi="Book Antiqua" w:cs="Book Antiqua"/>
          <w:color w:val="000000"/>
        </w:rPr>
        <w:t>. The most serious problems among the mild-to-moderate adverse events was the grade 2 white blood cell decrease (white blood cells count 2.92 × 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/L) </w:t>
      </w:r>
      <w:r w:rsidR="001163A6">
        <w:rPr>
          <w:rFonts w:ascii="Book Antiqua" w:eastAsia="Book Antiqua" w:hAnsi="Book Antiqua" w:cs="Book Antiqua"/>
          <w:color w:val="000000"/>
        </w:rPr>
        <w:t>3 wk</w:t>
      </w:r>
      <w:r>
        <w:rPr>
          <w:rFonts w:ascii="Book Antiqua" w:eastAsia="Book Antiqua" w:hAnsi="Book Antiqua" w:cs="Book Antiqua"/>
          <w:color w:val="000000"/>
        </w:rPr>
        <w:t xml:space="preserve"> after radiotherapy (RT) completion. The white blood cell count went back to normal (8.69 × 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/L) after oral leucocyte increasing drugs treatment (Diyu Shengbai </w:t>
      </w:r>
      <w:r w:rsidR="00390F34">
        <w:rPr>
          <w:rFonts w:ascii="Book Antiqua" w:eastAsia="Book Antiqua" w:hAnsi="Book Antiqua" w:cs="Book Antiqua"/>
          <w:color w:val="000000"/>
        </w:rPr>
        <w:t>t</w:t>
      </w:r>
      <w:r>
        <w:rPr>
          <w:rFonts w:ascii="Book Antiqua" w:eastAsia="Book Antiqua" w:hAnsi="Book Antiqua" w:cs="Book Antiqua"/>
          <w:color w:val="000000"/>
        </w:rPr>
        <w:t xml:space="preserve">ablets) for 3 wk. For the incomplete obstruction, enteral nutrition was recommended for the patient. The nutrition status of the patient gradually improved during the NACRT and waiting period. With </w:t>
      </w:r>
      <w:r w:rsidR="001163A6">
        <w:rPr>
          <w:rFonts w:ascii="Book Antiqua" w:eastAsia="Book Antiqua" w:hAnsi="Book Antiqua" w:cs="Book Antiqua"/>
          <w:color w:val="000000"/>
        </w:rPr>
        <w:t xml:space="preserve">a </w:t>
      </w:r>
      <w:r>
        <w:rPr>
          <w:rFonts w:ascii="Book Antiqua" w:eastAsia="Book Antiqua" w:hAnsi="Book Antiqua" w:cs="Book Antiqua"/>
          <w:color w:val="000000"/>
        </w:rPr>
        <w:t>15 kg increase in weight, his albumin rose to 41.4 g/L</w:t>
      </w:r>
      <w:r w:rsidR="001163A6">
        <w:rPr>
          <w:rFonts w:ascii="Book Antiqua" w:eastAsia="Book Antiqua" w:hAnsi="Book Antiqua" w:cs="Book Antiqua"/>
          <w:color w:val="000000"/>
        </w:rPr>
        <w:t>,</w:t>
      </w:r>
      <w:r>
        <w:rPr>
          <w:rFonts w:ascii="Book Antiqua" w:eastAsia="Book Antiqua" w:hAnsi="Book Antiqua" w:cs="Book Antiqua"/>
          <w:color w:val="000000"/>
        </w:rPr>
        <w:t xml:space="preserve"> and the hemoglobin </w:t>
      </w:r>
      <w:r w:rsidR="001163A6">
        <w:rPr>
          <w:rFonts w:ascii="Book Antiqua" w:eastAsia="Book Antiqua" w:hAnsi="Book Antiqua" w:cs="Book Antiqua"/>
          <w:color w:val="000000"/>
        </w:rPr>
        <w:t>returned</w:t>
      </w:r>
      <w:r>
        <w:rPr>
          <w:rFonts w:ascii="Book Antiqua" w:eastAsia="Book Antiqua" w:hAnsi="Book Antiqua" w:cs="Book Antiqua"/>
          <w:color w:val="000000"/>
        </w:rPr>
        <w:t xml:space="preserve"> to 101 g/L. His </w:t>
      </w:r>
      <w:r w:rsidR="00D524FA">
        <w:rPr>
          <w:rFonts w:ascii="Book Antiqua" w:eastAsia="Book Antiqua" w:hAnsi="Book Antiqua" w:cs="Book Antiqua"/>
          <w:color w:val="000000"/>
          <w:shd w:val="clear" w:color="auto" w:fill="FFFFFF"/>
        </w:rPr>
        <w:t>neutrophil-to-lymphocyte ratio</w:t>
      </w:r>
      <w:r>
        <w:rPr>
          <w:rFonts w:ascii="Book Antiqua" w:eastAsia="Book Antiqua" w:hAnsi="Book Antiqua" w:cs="Book Antiqua"/>
          <w:color w:val="000000"/>
        </w:rPr>
        <w:t>, on the other hand, dropped to 1.87 before surgery.</w:t>
      </w:r>
    </w:p>
    <w:p w14:paraId="22BDC8B9" w14:textId="78C4C084" w:rsidR="00A77B3E" w:rsidRDefault="00F0668A" w:rsidP="00F0668A">
      <w:pPr>
        <w:adjustRightInd w:val="0"/>
        <w:snapToGrid w:val="0"/>
        <w:spacing w:line="360" w:lineRule="auto"/>
        <w:ind w:firstLine="240"/>
        <w:jc w:val="both"/>
      </w:pPr>
      <w:r>
        <w:rPr>
          <w:rFonts w:ascii="Book Antiqua" w:eastAsia="Book Antiqua" w:hAnsi="Book Antiqua" w:cs="Book Antiqua"/>
          <w:color w:val="000000"/>
        </w:rPr>
        <w:t>An e</w:t>
      </w:r>
      <w:r>
        <w:rPr>
          <w:rStyle w:val="apple-converted-space"/>
          <w:rFonts w:ascii="Book Antiqua" w:eastAsia="Book Antiqua" w:hAnsi="Book Antiqua" w:cs="Book Antiqua"/>
          <w:color w:val="000000"/>
          <w:shd w:val="clear" w:color="auto" w:fill="FFFFFF"/>
        </w:rPr>
        <w:t xml:space="preserve">nhanced </w:t>
      </w:r>
      <w:r>
        <w:rPr>
          <w:rFonts w:ascii="Book Antiqua" w:eastAsia="Book Antiqua" w:hAnsi="Book Antiqua" w:cs="Book Antiqua"/>
          <w:color w:val="000000"/>
          <w:shd w:val="clear" w:color="auto" w:fill="FFFFFF"/>
        </w:rPr>
        <w:t>abdominal CT</w:t>
      </w:r>
      <w:r>
        <w:rPr>
          <w:rStyle w:val="apple-converted-space"/>
          <w:rFonts w:ascii="Book Antiqua" w:eastAsia="Book Antiqua" w:hAnsi="Book Antiqua" w:cs="Book Antiqua"/>
          <w:color w:val="000000"/>
          <w:shd w:val="clear" w:color="auto" w:fill="FFFFFF"/>
        </w:rPr>
        <w:t xml:space="preserve"> was performed to evaluate the response of NACRT at the time of completion and </w:t>
      </w:r>
      <w:r w:rsidR="001163A6">
        <w:rPr>
          <w:rStyle w:val="apple-converted-space"/>
          <w:rFonts w:ascii="Book Antiqua" w:eastAsia="Book Antiqua" w:hAnsi="Book Antiqua" w:cs="Book Antiqua"/>
          <w:color w:val="000000"/>
          <w:shd w:val="clear" w:color="auto" w:fill="FFFFFF"/>
        </w:rPr>
        <w:t>6 wk</w:t>
      </w:r>
      <w:r>
        <w:rPr>
          <w:rStyle w:val="apple-converted-space"/>
          <w:rFonts w:ascii="Book Antiqua" w:eastAsia="Book Antiqua" w:hAnsi="Book Antiqua" w:cs="Book Antiqua"/>
          <w:color w:val="000000"/>
          <w:shd w:val="clear" w:color="auto" w:fill="FFFFFF"/>
        </w:rPr>
        <w:t xml:space="preserve"> after NACRT</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(Figure 3)</w:t>
      </w:r>
      <w:r>
        <w:rPr>
          <w:rStyle w:val="apple-converted-space"/>
          <w:rFonts w:ascii="Book Antiqua" w:eastAsia="Book Antiqua" w:hAnsi="Book Antiqua" w:cs="Book Antiqua"/>
          <w:color w:val="000000"/>
          <w:shd w:val="clear" w:color="auto" w:fill="FFFFFF"/>
        </w:rPr>
        <w:t>.</w:t>
      </w:r>
      <w:r>
        <w:rPr>
          <w:rFonts w:ascii="Book Antiqua" w:eastAsia="Book Antiqua" w:hAnsi="Book Antiqua" w:cs="Book Antiqua"/>
          <w:color w:val="000000"/>
        </w:rPr>
        <w:t xml:space="preserve"> The tumor thickness showed sustained shrinkage from 21-12 mm to 12-10 mm during the NACRT period. With shrinkage rate by 52%, a partial response was considered by the </w:t>
      </w:r>
      <w:r w:rsidR="001F4E9E">
        <w:rPr>
          <w:rFonts w:ascii="Book Antiqua" w:eastAsia="Book Antiqua" w:hAnsi="Book Antiqua" w:cs="Book Antiqua"/>
          <w:color w:val="000000"/>
        </w:rPr>
        <w:t>multidisciplinary team</w:t>
      </w:r>
      <w:r w:rsidRPr="003806D5">
        <w:rPr>
          <w:rFonts w:ascii="Book Antiqua" w:eastAsia="Book Antiqua" w:hAnsi="Book Antiqua" w:cs="Book Antiqua"/>
          <w:color w:val="000000"/>
          <w:szCs w:val="30"/>
          <w:vertAlign w:val="superscript"/>
        </w:rPr>
        <w:t>[</w:t>
      </w:r>
      <w:hyperlink w:anchor="_ENREF_17" w:tooltip="Eisenhauer, 2009 #142" w:history="1">
        <w:r w:rsidRPr="003806D5">
          <w:rPr>
            <w:rFonts w:ascii="Book Antiqua" w:eastAsia="Book Antiqua" w:hAnsi="Book Antiqua" w:cs="Book Antiqua"/>
            <w:color w:val="000000"/>
            <w:szCs w:val="20"/>
            <w:vertAlign w:val="superscript"/>
          </w:rPr>
          <w:t>17</w:t>
        </w:r>
      </w:hyperlink>
      <w:r w:rsidRPr="003806D5">
        <w:rPr>
          <w:rFonts w:ascii="Book Antiqua" w:eastAsia="Book Antiqua" w:hAnsi="Book Antiqua" w:cs="Book Antiqua"/>
          <w:color w:val="000000"/>
          <w:szCs w:val="20"/>
          <w:vertAlign w:val="superscript"/>
        </w:rPr>
        <w:t>]</w:t>
      </w:r>
      <w:r w:rsidRPr="003806D5">
        <w:rPr>
          <w:rStyle w:val="apple-converted-space"/>
          <w:rFonts w:ascii="Book Antiqua" w:eastAsia="Book Antiqua" w:hAnsi="Book Antiqua" w:cs="Book Antiqua"/>
          <w:color w:val="000000"/>
          <w:shd w:val="clear" w:color="auto" w:fill="FFFFFF"/>
        </w:rPr>
        <w:t xml:space="preserve">. </w:t>
      </w:r>
      <w:r>
        <w:rPr>
          <w:rStyle w:val="apple-converted-space"/>
          <w:rFonts w:ascii="Book Antiqua" w:eastAsia="Book Antiqua" w:hAnsi="Book Antiqua" w:cs="Book Antiqua"/>
          <w:color w:val="000000"/>
          <w:shd w:val="clear" w:color="auto" w:fill="FFFFFF"/>
        </w:rPr>
        <w:t xml:space="preserve">Endoscopic ultrasound was performed using a radial scanning ultrasound endoscope to evaluate the response of NACRT at the same time </w:t>
      </w:r>
      <w:r>
        <w:rPr>
          <w:rFonts w:ascii="Book Antiqua" w:eastAsia="Book Antiqua" w:hAnsi="Book Antiqua" w:cs="Book Antiqua"/>
          <w:color w:val="000000"/>
          <w:shd w:val="clear" w:color="auto" w:fill="FFFFFF"/>
        </w:rPr>
        <w:t xml:space="preserve">(Figure 4), which indicated an ulcerative lesion adjacent to the gastric antrum with pyloric stenosis. The lesion was reflected as a hypoechoic signal under the </w:t>
      </w:r>
      <w:r w:rsidR="001163A6">
        <w:rPr>
          <w:rStyle w:val="apple-converted-space"/>
          <w:rFonts w:ascii="Book Antiqua" w:eastAsia="Book Antiqua" w:hAnsi="Book Antiqua" w:cs="Book Antiqua"/>
          <w:color w:val="000000"/>
          <w:shd w:val="clear" w:color="auto" w:fill="FFFFFF"/>
        </w:rPr>
        <w:t>endoscopic ultrasound</w:t>
      </w:r>
      <w:r>
        <w:rPr>
          <w:rFonts w:ascii="Book Antiqua" w:eastAsia="Book Antiqua" w:hAnsi="Book Antiqua" w:cs="Book Antiqua"/>
          <w:color w:val="000000"/>
          <w:shd w:val="clear" w:color="auto" w:fill="FFFFFF"/>
        </w:rPr>
        <w:t xml:space="preserve">, invading the entire layer, </w:t>
      </w:r>
      <w:r>
        <w:rPr>
          <w:rStyle w:val="apple-converted-space"/>
          <w:rFonts w:ascii="Book Antiqua" w:eastAsia="Book Antiqua" w:hAnsi="Book Antiqua" w:cs="Book Antiqua"/>
          <w:color w:val="000000"/>
          <w:shd w:val="clear" w:color="auto" w:fill="FFFFFF"/>
        </w:rPr>
        <w:t xml:space="preserve">partly to the </w:t>
      </w:r>
      <w:r>
        <w:rPr>
          <w:rFonts w:ascii="Book Antiqua" w:eastAsia="Book Antiqua" w:hAnsi="Book Antiqua" w:cs="Book Antiqua"/>
          <w:color w:val="000000"/>
          <w:shd w:val="clear" w:color="auto" w:fill="FFFFFF"/>
        </w:rPr>
        <w:t>serosa with the</w:t>
      </w:r>
      <w:r>
        <w:rPr>
          <w:rFonts w:ascii="Book Antiqua" w:eastAsia="Book Antiqua" w:hAnsi="Book Antiqua" w:cs="Book Antiqua"/>
          <w:color w:val="000000"/>
        </w:rPr>
        <w:t xml:space="preserve"> maximum thickness </w:t>
      </w:r>
      <w:r>
        <w:rPr>
          <w:rFonts w:ascii="Book Antiqua" w:eastAsia="Book Antiqua" w:hAnsi="Book Antiqua" w:cs="Book Antiqua"/>
          <w:color w:val="000000"/>
          <w:shd w:val="clear" w:color="auto" w:fill="FFFFFF"/>
        </w:rPr>
        <w:t xml:space="preserve">1.09 cm. A hypoechoic nodule beside the antrum, measuring approximately 2.05 cm × 1.3 cm in size, was also detected. Therefore, an </w:t>
      </w:r>
      <w:r>
        <w:rPr>
          <w:rFonts w:ascii="Book Antiqua" w:eastAsia="Book Antiqua" w:hAnsi="Book Antiqua" w:cs="Book Antiqua"/>
          <w:color w:val="000000"/>
        </w:rPr>
        <w:t xml:space="preserve">uT4aN1M0 tumor after NACRT was considered and restaged. </w:t>
      </w:r>
    </w:p>
    <w:p w14:paraId="65CA265D" w14:textId="77777777" w:rsidR="00A77B3E" w:rsidRDefault="00A77B3E" w:rsidP="00F0668A">
      <w:pPr>
        <w:adjustRightInd w:val="0"/>
        <w:snapToGrid w:val="0"/>
        <w:spacing w:line="360" w:lineRule="auto"/>
        <w:ind w:firstLine="240"/>
        <w:jc w:val="both"/>
      </w:pPr>
    </w:p>
    <w:p w14:paraId="172EB0BA" w14:textId="77777777" w:rsidR="00A77B3E" w:rsidRDefault="00F0668A" w:rsidP="00F0668A">
      <w:pPr>
        <w:adjustRightInd w:val="0"/>
        <w:snapToGrid w:val="0"/>
        <w:spacing w:line="360" w:lineRule="auto"/>
        <w:jc w:val="both"/>
      </w:pPr>
      <w:r>
        <w:rPr>
          <w:rFonts w:ascii="Book Antiqua" w:eastAsia="Book Antiqua" w:hAnsi="Book Antiqua" w:cs="Book Antiqua"/>
          <w:b/>
          <w:bCs/>
          <w:i/>
          <w:iCs/>
          <w:color w:val="000000"/>
        </w:rPr>
        <w:t>Surgery and postoperative recovery</w:t>
      </w:r>
    </w:p>
    <w:p w14:paraId="753E9B78" w14:textId="0A4E8DED"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Open distal gastrectomy with D2 </w:t>
      </w:r>
      <w:r w:rsidR="001163A6">
        <w:rPr>
          <w:rFonts w:ascii="Book Antiqua" w:eastAsia="Book Antiqua" w:hAnsi="Book Antiqua" w:cs="Book Antiqua"/>
          <w:color w:val="000000"/>
        </w:rPr>
        <w:t>l</w:t>
      </w:r>
      <w:r>
        <w:rPr>
          <w:rFonts w:ascii="Book Antiqua" w:eastAsia="Book Antiqua" w:hAnsi="Book Antiqua" w:cs="Book Antiqua"/>
          <w:color w:val="000000"/>
        </w:rPr>
        <w:t xml:space="preserve">ymph node dissection was planned for the patient. However, the patient was </w:t>
      </w:r>
      <w:r w:rsidR="001163A6">
        <w:rPr>
          <w:rFonts w:ascii="Book Antiqua" w:eastAsia="Book Antiqua" w:hAnsi="Book Antiqua" w:cs="Book Antiqua"/>
          <w:color w:val="000000"/>
        </w:rPr>
        <w:t>very</w:t>
      </w:r>
      <w:r>
        <w:rPr>
          <w:rFonts w:ascii="Book Antiqua" w:eastAsia="Book Antiqua" w:hAnsi="Book Antiqua" w:cs="Book Antiqua"/>
          <w:color w:val="000000"/>
        </w:rPr>
        <w:t xml:space="preserve"> eager to receive only minimally invasive surgery, and thus refused open surgery. The patient received laparoscopy-assisted distal gastrectomy with D2 </w:t>
      </w:r>
      <w:r w:rsidR="001163A6">
        <w:rPr>
          <w:rFonts w:ascii="Book Antiqua" w:eastAsia="Book Antiqua" w:hAnsi="Book Antiqua" w:cs="Book Antiqua"/>
          <w:color w:val="000000"/>
        </w:rPr>
        <w:t>l</w:t>
      </w:r>
      <w:r>
        <w:rPr>
          <w:rFonts w:ascii="Book Antiqua" w:eastAsia="Book Antiqua" w:hAnsi="Book Antiqua" w:cs="Book Antiqua"/>
          <w:color w:val="000000"/>
        </w:rPr>
        <w:t xml:space="preserve">ymph node dissection and Billroth II anastomosis successfully 4 wk after the </w:t>
      </w:r>
      <w:r>
        <w:rPr>
          <w:rFonts w:ascii="Book Antiqua" w:eastAsia="Book Antiqua" w:hAnsi="Book Antiqua" w:cs="Book Antiqua"/>
          <w:color w:val="000000"/>
        </w:rPr>
        <w:lastRenderedPageBreak/>
        <w:t xml:space="preserve">last evaluation. The entire surgical procedure was recorded on video. The operation lasted for 240 min. The blood loss was 100 mL. The first flatus time was </w:t>
      </w:r>
      <w:r w:rsidR="001163A6">
        <w:rPr>
          <w:rFonts w:ascii="Book Antiqua" w:eastAsia="Book Antiqua" w:hAnsi="Book Antiqua" w:cs="Book Antiqua"/>
          <w:color w:val="000000"/>
        </w:rPr>
        <w:t>3 d</w:t>
      </w:r>
      <w:r>
        <w:rPr>
          <w:rFonts w:ascii="Book Antiqua" w:eastAsia="Book Antiqua" w:hAnsi="Book Antiqua" w:cs="Book Antiqua"/>
          <w:color w:val="000000"/>
        </w:rPr>
        <w:t xml:space="preserve"> after the operation. Upper gastro</w:t>
      </w:r>
      <w:r>
        <w:rPr>
          <w:rFonts w:ascii="Book Antiqua" w:eastAsia="Book Antiqua" w:hAnsi="Book Antiqua" w:cs="Book Antiqua"/>
          <w:color w:val="000000"/>
          <w:shd w:val="clear" w:color="auto" w:fill="FFFFFF"/>
        </w:rPr>
        <w:t>intestinal radiography</w:t>
      </w:r>
      <w:r>
        <w:rPr>
          <w:rFonts w:ascii="Book Antiqua" w:eastAsia="Book Antiqua" w:hAnsi="Book Antiqua" w:cs="Book Antiqua"/>
          <w:color w:val="000000"/>
        </w:rPr>
        <w:t xml:space="preserve"> was performed </w:t>
      </w:r>
      <w:r w:rsidR="001163A6">
        <w:rPr>
          <w:rFonts w:ascii="Book Antiqua" w:eastAsia="Book Antiqua" w:hAnsi="Book Antiqua" w:cs="Book Antiqua"/>
          <w:color w:val="000000"/>
        </w:rPr>
        <w:t>7 d</w:t>
      </w:r>
      <w:r>
        <w:rPr>
          <w:rFonts w:ascii="Book Antiqua" w:eastAsia="Book Antiqua" w:hAnsi="Book Antiqua" w:cs="Book Antiqua"/>
          <w:color w:val="000000"/>
        </w:rPr>
        <w:t xml:space="preserve"> after the operation, indicating that gastric peristalsis</w:t>
      </w:r>
      <w:r>
        <w:rPr>
          <w:rFonts w:ascii="Book Antiqua" w:eastAsia="Book Antiqua" w:hAnsi="Book Antiqua" w:cs="Book Antiqua"/>
          <w:color w:val="000000"/>
          <w:shd w:val="clear" w:color="auto" w:fill="FFFFFF"/>
        </w:rPr>
        <w:t xml:space="preserve"> was good with no anastomosis leakage. The patient was allowed to intake</w:t>
      </w:r>
      <w:r>
        <w:rPr>
          <w:rFonts w:ascii="Book Antiqua" w:eastAsia="Book Antiqua" w:hAnsi="Book Antiqua" w:cs="Book Antiqua"/>
          <w:color w:val="000000"/>
        </w:rPr>
        <w:t xml:space="preserve"> a liquid diet and was then discharged on</w:t>
      </w:r>
      <w:r w:rsidR="001163A6">
        <w:rPr>
          <w:rFonts w:ascii="Book Antiqua" w:eastAsia="Book Antiqua" w:hAnsi="Book Antiqua" w:cs="Book Antiqua"/>
          <w:color w:val="000000"/>
        </w:rPr>
        <w:t xml:space="preserve"> day</w:t>
      </w:r>
      <w:r>
        <w:rPr>
          <w:rFonts w:ascii="Book Antiqua" w:eastAsia="Book Antiqua" w:hAnsi="Book Antiqua" w:cs="Book Antiqua"/>
          <w:color w:val="000000"/>
        </w:rPr>
        <w:t xml:space="preserve"> 12 without grade II or more Clavien-Dindo complications</w:t>
      </w:r>
      <w:r>
        <w:rPr>
          <w:rFonts w:ascii="Book Antiqua" w:eastAsia="Book Antiqua" w:hAnsi="Book Antiqua" w:cs="Book Antiqua"/>
          <w:color w:val="000000"/>
          <w:szCs w:val="30"/>
          <w:vertAlign w:val="superscript"/>
        </w:rPr>
        <w:t>[</w:t>
      </w:r>
      <w:hyperlink w:anchor="_ENREF_18" w:tooltip="Clavien, 2009 #143" w:history="1">
        <w:r>
          <w:rPr>
            <w:rFonts w:ascii="Book Antiqua" w:eastAsia="Book Antiqua" w:hAnsi="Book Antiqua" w:cs="Book Antiqua"/>
            <w:color w:val="000000"/>
            <w:szCs w:val="20"/>
            <w:u w:val="single" w:color="0000EE"/>
            <w:vertAlign w:val="superscript"/>
          </w:rPr>
          <w:t>18</w:t>
        </w:r>
      </w:hyperlink>
      <w:r>
        <w:rPr>
          <w:rFonts w:ascii="Book Antiqua" w:eastAsia="Book Antiqua" w:hAnsi="Book Antiqua" w:cs="Book Antiqua"/>
          <w:color w:val="000000"/>
          <w:szCs w:val="20"/>
          <w:vertAlign w:val="superscript"/>
        </w:rPr>
        <w:t>]</w:t>
      </w:r>
      <w:r>
        <w:rPr>
          <w:rFonts w:ascii="Book Antiqua" w:eastAsia="Book Antiqua" w:hAnsi="Book Antiqua" w:cs="Book Antiqua"/>
          <w:color w:val="000000"/>
        </w:rPr>
        <w:t>.</w:t>
      </w:r>
    </w:p>
    <w:p w14:paraId="7DDF4ADE" w14:textId="77777777" w:rsidR="00A77B3E" w:rsidRDefault="00A77B3E" w:rsidP="00F0668A">
      <w:pPr>
        <w:adjustRightInd w:val="0"/>
        <w:snapToGrid w:val="0"/>
        <w:spacing w:line="360" w:lineRule="auto"/>
        <w:jc w:val="both"/>
      </w:pPr>
    </w:p>
    <w:p w14:paraId="7A4825A6"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OUTCOME AND FOLLOW-UP</w:t>
      </w:r>
    </w:p>
    <w:p w14:paraId="3CD94D03" w14:textId="4C994398"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Postoperative pathological evaluation was completed </w:t>
      </w:r>
      <w:r w:rsidR="00DE1221">
        <w:rPr>
          <w:rFonts w:ascii="Book Antiqua" w:eastAsia="Book Antiqua" w:hAnsi="Book Antiqua" w:cs="Book Antiqua"/>
          <w:color w:val="000000"/>
        </w:rPr>
        <w:t>7 d</w:t>
      </w:r>
      <w:r>
        <w:rPr>
          <w:rFonts w:ascii="Book Antiqua" w:eastAsia="Book Antiqua" w:hAnsi="Book Antiqua" w:cs="Book Antiqua"/>
          <w:color w:val="000000"/>
        </w:rPr>
        <w:t xml:space="preserve"> after surgery. Small groups of cancer cells were detected outside of the muscularis propria, accompanied by the formation of extracellular mucus pools, which were surrounded by fibrosis and chronic inflammatory cells (Figure 5). The necrosis rate was &gt; 90% (residual tumor/tumor bed &lt; 10%). Thus, the patient was evaluated as tumor regression grade 1 based on American Joint Committee on Cancer/College of Pathology criteria and as </w:t>
      </w:r>
      <w:r w:rsidR="00DE1221">
        <w:rPr>
          <w:rFonts w:ascii="Book Antiqua" w:eastAsia="Book Antiqua" w:hAnsi="Book Antiqua" w:cs="Book Antiqua"/>
          <w:color w:val="000000"/>
        </w:rPr>
        <w:t xml:space="preserve">tumor regression grade </w:t>
      </w:r>
      <w:r>
        <w:rPr>
          <w:rFonts w:ascii="Book Antiqua" w:eastAsia="Book Antiqua" w:hAnsi="Book Antiqua" w:cs="Book Antiqua"/>
          <w:color w:val="000000"/>
        </w:rPr>
        <w:t>2 for Japanese Gastric Cancer Association system, both belonging to a subtotal regression. No vascular embolus or perineuronal invasion was detected. No metastases were found in lymph nodes (0/31). Fibrosis was detected in some lymph nodes, which was considered as change post NACRT. No cancer cell was detected in the gastric stump or duodenal stump. Therefore, the pathological stage was ypT3N0M0.</w:t>
      </w:r>
    </w:p>
    <w:p w14:paraId="776C41BB" w14:textId="2EC2FD61" w:rsidR="00A77B3E" w:rsidRDefault="00F0668A" w:rsidP="00F0668A">
      <w:pPr>
        <w:adjustRightInd w:val="0"/>
        <w:snapToGrid w:val="0"/>
        <w:spacing w:line="360" w:lineRule="auto"/>
        <w:ind w:firstLine="480"/>
        <w:jc w:val="both"/>
      </w:pPr>
      <w:r>
        <w:rPr>
          <w:rFonts w:ascii="Book Antiqua" w:eastAsia="Book Antiqua" w:hAnsi="Book Antiqua" w:cs="Book Antiqua"/>
          <w:color w:val="000000"/>
        </w:rPr>
        <w:t xml:space="preserve">One month after the operation, the patient returned to the clinic for a follow-up. The enhanced abdominal CT and all the laboratory tests showed that the patient was generally in good condition. Adjuvant chemotherapy was conducted with </w:t>
      </w:r>
      <w:r w:rsidR="00DE1221">
        <w:rPr>
          <w:rFonts w:ascii="Book Antiqua" w:eastAsia="Book Antiqua" w:hAnsi="Book Antiqua" w:cs="Book Antiqua"/>
          <w:color w:val="000000"/>
        </w:rPr>
        <w:t>three</w:t>
      </w:r>
      <w:r>
        <w:rPr>
          <w:rFonts w:ascii="Book Antiqua" w:eastAsia="Book Antiqua" w:hAnsi="Book Antiqua" w:cs="Book Antiqua"/>
          <w:color w:val="000000"/>
        </w:rPr>
        <w:t xml:space="preserve"> cycles of S-1 plus oxaliplatin. Five years after the surgery, the patient was still in good condition, with no recurrence or metastasis.</w:t>
      </w:r>
    </w:p>
    <w:p w14:paraId="0F229461" w14:textId="77777777" w:rsidR="00A77B3E" w:rsidRDefault="00A77B3E" w:rsidP="00F0668A">
      <w:pPr>
        <w:adjustRightInd w:val="0"/>
        <w:snapToGrid w:val="0"/>
        <w:spacing w:line="360" w:lineRule="auto"/>
        <w:ind w:firstLine="480"/>
        <w:jc w:val="both"/>
      </w:pPr>
    </w:p>
    <w:p w14:paraId="3CA30104"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DISCUSSION</w:t>
      </w:r>
    </w:p>
    <w:p w14:paraId="587606A1" w14:textId="2E9100E0" w:rsidR="00B7162D" w:rsidRDefault="00F0668A" w:rsidP="00F0668A">
      <w:pPr>
        <w:adjustRightInd w:val="0"/>
        <w:snapToGrid w:val="0"/>
        <w:spacing w:line="360" w:lineRule="auto"/>
        <w:jc w:val="both"/>
        <w:rPr>
          <w:rFonts w:ascii="Book Antiqua" w:eastAsia="Book Antiqua" w:hAnsi="Book Antiqua" w:cs="Book Antiqua"/>
          <w:color w:val="000000"/>
        </w:rPr>
      </w:pPr>
      <w:r w:rsidRPr="003806D5">
        <w:rPr>
          <w:rFonts w:ascii="Book Antiqua" w:eastAsia="Book Antiqua" w:hAnsi="Book Antiqua" w:cs="Book Antiqua"/>
          <w:color w:val="000000"/>
        </w:rPr>
        <w:t xml:space="preserve">The results of ARTIST and ARTIST-2 have put chemoradiotherapy (CRT) into an </w:t>
      </w:r>
      <w:r w:rsidR="00276D72">
        <w:rPr>
          <w:rFonts w:ascii="Book Antiqua" w:eastAsia="Book Antiqua" w:hAnsi="Book Antiqua" w:cs="Book Antiqua"/>
          <w:color w:val="000000"/>
        </w:rPr>
        <w:t>uncertain</w:t>
      </w:r>
      <w:r w:rsidR="00276D72" w:rsidRPr="003806D5">
        <w:rPr>
          <w:rFonts w:ascii="Book Antiqua" w:eastAsia="Book Antiqua" w:hAnsi="Book Antiqua" w:cs="Book Antiqua"/>
          <w:color w:val="000000"/>
        </w:rPr>
        <w:t xml:space="preserve"> </w:t>
      </w:r>
      <w:r w:rsidRPr="003806D5">
        <w:rPr>
          <w:rFonts w:ascii="Book Antiqua" w:eastAsia="Book Antiqua" w:hAnsi="Book Antiqua" w:cs="Book Antiqua"/>
          <w:color w:val="000000"/>
        </w:rPr>
        <w:t xml:space="preserve">situation in patients undergoing D2 </w:t>
      </w:r>
      <w:r w:rsidR="00276D72">
        <w:rPr>
          <w:rFonts w:ascii="Book Antiqua" w:eastAsia="Book Antiqua" w:hAnsi="Book Antiqua" w:cs="Book Antiqua"/>
          <w:color w:val="000000"/>
        </w:rPr>
        <w:t>l</w:t>
      </w:r>
      <w:r w:rsidRPr="003806D5">
        <w:rPr>
          <w:rFonts w:ascii="Book Antiqua" w:eastAsia="Book Antiqua" w:hAnsi="Book Antiqua" w:cs="Book Antiqua"/>
          <w:color w:val="000000"/>
        </w:rPr>
        <w:t>ymphadenectomy</w:t>
      </w:r>
      <w:r w:rsidRPr="003806D5">
        <w:rPr>
          <w:rFonts w:ascii="Book Antiqua" w:eastAsia="Book Antiqua" w:hAnsi="Book Antiqua" w:cs="Book Antiqua"/>
          <w:color w:val="000000"/>
          <w:szCs w:val="30"/>
          <w:vertAlign w:val="superscript"/>
        </w:rPr>
        <w:t>[</w:t>
      </w:r>
      <w:hyperlink w:anchor="_ENREF_19" w:tooltip="Park, 2019 #135" w:history="1">
        <w:r w:rsidRPr="003806D5">
          <w:rPr>
            <w:rFonts w:ascii="Book Antiqua" w:eastAsia="Book Antiqua" w:hAnsi="Book Antiqua" w:cs="Book Antiqua"/>
            <w:color w:val="000000"/>
            <w:szCs w:val="20"/>
            <w:vertAlign w:val="superscript"/>
          </w:rPr>
          <w:t>19</w:t>
        </w:r>
      </w:hyperlink>
      <w:r w:rsidRPr="003806D5">
        <w:rPr>
          <w:rFonts w:ascii="Book Antiqua" w:eastAsia="Book Antiqua" w:hAnsi="Book Antiqua" w:cs="Book Antiqua"/>
          <w:color w:val="000000"/>
          <w:szCs w:val="20"/>
          <w:vertAlign w:val="superscript"/>
        </w:rPr>
        <w:t>,</w:t>
      </w:r>
      <w:hyperlink w:anchor="_ENREF_20" w:tooltip="Lee, 2012 #136" w:history="1">
        <w:r w:rsidRPr="003806D5">
          <w:rPr>
            <w:rFonts w:ascii="Book Antiqua" w:eastAsia="Book Antiqua" w:hAnsi="Book Antiqua" w:cs="Book Antiqua"/>
            <w:color w:val="000000"/>
            <w:szCs w:val="20"/>
            <w:vertAlign w:val="superscript"/>
          </w:rPr>
          <w:t>20</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In ARTIST, although the postoperative chemotherapy plus CRT revealed a superior benefit in </w:t>
      </w:r>
      <w:r w:rsidRPr="003806D5">
        <w:rPr>
          <w:rFonts w:ascii="Book Antiqua" w:eastAsia="Book Antiqua" w:hAnsi="Book Antiqua" w:cs="Book Antiqua"/>
          <w:color w:val="000000"/>
        </w:rPr>
        <w:lastRenderedPageBreak/>
        <w:t xml:space="preserve">disease-free survival (DFS) compared to chemotherapy alone in patients with positive lymph node metastasis, the survival benefit </w:t>
      </w:r>
      <w:r w:rsidR="00276D72">
        <w:rPr>
          <w:rFonts w:ascii="Book Antiqua" w:eastAsia="Book Antiqua" w:hAnsi="Book Antiqua" w:cs="Book Antiqua"/>
          <w:color w:val="000000"/>
        </w:rPr>
        <w:t>was</w:t>
      </w:r>
      <w:r w:rsidR="00276D72" w:rsidRPr="003806D5">
        <w:rPr>
          <w:rFonts w:ascii="Book Antiqua" w:eastAsia="Book Antiqua" w:hAnsi="Book Antiqua" w:cs="Book Antiqua"/>
          <w:color w:val="000000"/>
        </w:rPr>
        <w:t xml:space="preserve"> </w:t>
      </w:r>
      <w:r w:rsidRPr="003806D5">
        <w:rPr>
          <w:rFonts w:ascii="Book Antiqua" w:eastAsia="Book Antiqua" w:hAnsi="Book Antiqua" w:cs="Book Antiqua"/>
          <w:color w:val="000000"/>
        </w:rPr>
        <w:t>not retain</w:t>
      </w:r>
      <w:r w:rsidR="00276D72">
        <w:rPr>
          <w:rFonts w:ascii="Book Antiqua" w:eastAsia="Book Antiqua" w:hAnsi="Book Antiqua" w:cs="Book Antiqua"/>
          <w:color w:val="000000"/>
        </w:rPr>
        <w:t>ed</w:t>
      </w:r>
      <w:r w:rsidRPr="003806D5">
        <w:rPr>
          <w:rFonts w:ascii="Book Antiqua" w:eastAsia="Book Antiqua" w:hAnsi="Book Antiqua" w:cs="Book Antiqua"/>
          <w:color w:val="000000"/>
        </w:rPr>
        <w:t xml:space="preserve"> in </w:t>
      </w:r>
      <w:r w:rsidR="00276D72">
        <w:rPr>
          <w:rFonts w:ascii="Book Antiqua" w:eastAsia="Book Antiqua" w:hAnsi="Book Antiqua" w:cs="Book Antiqua"/>
          <w:color w:val="000000"/>
        </w:rPr>
        <w:t>all</w:t>
      </w:r>
      <w:r w:rsidRPr="003806D5">
        <w:rPr>
          <w:rFonts w:ascii="Book Antiqua" w:eastAsia="Book Antiqua" w:hAnsi="Book Antiqua" w:cs="Book Antiqua"/>
          <w:color w:val="000000"/>
        </w:rPr>
        <w:t xml:space="preserve"> patients</w:t>
      </w:r>
      <w:r w:rsidRPr="003806D5">
        <w:rPr>
          <w:rFonts w:ascii="Book Antiqua" w:eastAsia="Book Antiqua" w:hAnsi="Book Antiqua" w:cs="Book Antiqua"/>
          <w:color w:val="000000"/>
          <w:szCs w:val="30"/>
          <w:vertAlign w:val="superscript"/>
        </w:rPr>
        <w:t>[</w:t>
      </w:r>
      <w:hyperlink w:anchor="_ENREF_20" w:tooltip="Lee, 2012 #136" w:history="1">
        <w:r w:rsidRPr="003806D5">
          <w:rPr>
            <w:rFonts w:ascii="Book Antiqua" w:eastAsia="Book Antiqua" w:hAnsi="Book Antiqua" w:cs="Book Antiqua"/>
            <w:color w:val="000000"/>
            <w:szCs w:val="20"/>
            <w:vertAlign w:val="superscript"/>
          </w:rPr>
          <w:t>20</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In the subsequent ARTIST-II trial interim result, no difference in DFS between S-1 and oxaliplatin (SOX) and SOX plus CRT was found (</w:t>
      </w:r>
      <w:r w:rsidRPr="003806D5">
        <w:rPr>
          <w:rFonts w:ascii="Book Antiqua" w:eastAsia="Book Antiqua" w:hAnsi="Book Antiqua" w:cs="Book Antiqua"/>
          <w:i/>
          <w:iCs/>
          <w:color w:val="000000"/>
        </w:rPr>
        <w:t>P</w:t>
      </w:r>
      <w:r w:rsidRPr="003806D5">
        <w:rPr>
          <w:rFonts w:ascii="Book Antiqua" w:eastAsia="Book Antiqua" w:hAnsi="Book Antiqua" w:cs="Book Antiqua"/>
          <w:color w:val="000000"/>
        </w:rPr>
        <w:t xml:space="preserve"> = 0.667)</w:t>
      </w:r>
      <w:r w:rsidRPr="003806D5">
        <w:rPr>
          <w:rFonts w:ascii="Book Antiqua" w:eastAsia="Book Antiqua" w:hAnsi="Book Antiqua" w:cs="Book Antiqua"/>
          <w:color w:val="000000"/>
          <w:szCs w:val="30"/>
          <w:vertAlign w:val="superscript"/>
        </w:rPr>
        <w:t>[</w:t>
      </w:r>
      <w:hyperlink w:anchor="_ENREF_19" w:tooltip="Park, 2019 #135" w:history="1">
        <w:r w:rsidRPr="003806D5">
          <w:rPr>
            <w:rFonts w:ascii="Book Antiqua" w:eastAsia="Book Antiqua" w:hAnsi="Book Antiqua" w:cs="Book Antiqua"/>
            <w:color w:val="000000"/>
            <w:szCs w:val="20"/>
            <w:vertAlign w:val="superscript"/>
          </w:rPr>
          <w:t>19</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However, as gastric adenocarcinoma is theoretically radio-sensitive, the futility of CRT may be credited to more ways than one: </w:t>
      </w:r>
      <w:r w:rsidR="00276D72">
        <w:rPr>
          <w:rFonts w:ascii="Book Antiqua" w:eastAsia="Book Antiqua" w:hAnsi="Book Antiqua" w:cs="Book Antiqua"/>
          <w:color w:val="000000"/>
        </w:rPr>
        <w:t>D</w:t>
      </w:r>
      <w:r w:rsidRPr="003806D5">
        <w:rPr>
          <w:rFonts w:ascii="Book Antiqua" w:eastAsia="Book Antiqua" w:hAnsi="Book Antiqua" w:cs="Book Antiqua"/>
          <w:color w:val="000000"/>
        </w:rPr>
        <w:t>oes the minimal peritoneal metastasis already exist before treatment; is the delineation of gastric lymph node stations under the same treating protocol? On the other hand, rather than being a role of supplementary or salvage after surgery, NACRT brings more than</w:t>
      </w:r>
      <w:r w:rsidR="00B7162D">
        <w:rPr>
          <w:rFonts w:ascii="Book Antiqua" w:eastAsia="Book Antiqua" w:hAnsi="Book Antiqua" w:cs="Book Antiqua"/>
          <w:color w:val="000000"/>
        </w:rPr>
        <w:t xml:space="preserve"> what</w:t>
      </w:r>
      <w:r w:rsidRPr="003806D5">
        <w:rPr>
          <w:rFonts w:ascii="Book Antiqua" w:eastAsia="Book Antiqua" w:hAnsi="Book Antiqua" w:cs="Book Antiqua"/>
          <w:color w:val="000000"/>
        </w:rPr>
        <w:t xml:space="preserve"> postoperative RT/CRT can offer. Not only</w:t>
      </w:r>
      <w:r w:rsidR="00B7162D">
        <w:rPr>
          <w:rFonts w:ascii="Book Antiqua" w:eastAsia="Book Antiqua" w:hAnsi="Book Antiqua" w:cs="Book Antiqua"/>
          <w:color w:val="000000"/>
        </w:rPr>
        <w:t xml:space="preserve"> do</w:t>
      </w:r>
      <w:r w:rsidRPr="003806D5">
        <w:rPr>
          <w:rFonts w:ascii="Book Antiqua" w:eastAsia="Book Antiqua" w:hAnsi="Book Antiqua" w:cs="Book Antiqua"/>
          <w:color w:val="000000"/>
        </w:rPr>
        <w:t xml:space="preserve"> patients have better performance status and are often more tolerant to radiation predated to surgery, but it could minimize the primary site, enhance the R0 resection rate (especially for those with borderline resectable tumor), reduce the extent of surgery (conserving stomach), benefit form minimal invasion, </w:t>
      </w:r>
      <w:r w:rsidRPr="003806D5">
        <w:rPr>
          <w:rFonts w:ascii="Book Antiqua" w:eastAsia="Book Antiqua" w:hAnsi="Book Antiqua" w:cs="Book Antiqua"/>
          <w:i/>
          <w:iCs/>
          <w:color w:val="000000"/>
        </w:rPr>
        <w:t>etc.</w:t>
      </w:r>
      <w:r w:rsidRPr="003806D5">
        <w:rPr>
          <w:rFonts w:ascii="Book Antiqua" w:eastAsia="Book Antiqua" w:hAnsi="Book Antiqua" w:cs="Book Antiqua"/>
          <w:color w:val="000000"/>
        </w:rPr>
        <w:t xml:space="preserve"> </w:t>
      </w:r>
    </w:p>
    <w:p w14:paraId="546ABDA2" w14:textId="0ED3FEA5" w:rsidR="00A77B3E" w:rsidRPr="003806D5" w:rsidRDefault="00F0668A" w:rsidP="00886A90">
      <w:pPr>
        <w:adjustRightInd w:val="0"/>
        <w:snapToGrid w:val="0"/>
        <w:spacing w:line="360" w:lineRule="auto"/>
        <w:ind w:firstLine="240"/>
        <w:jc w:val="both"/>
      </w:pPr>
      <w:r w:rsidRPr="003806D5">
        <w:rPr>
          <w:rFonts w:ascii="Book Antiqua" w:eastAsia="Book Antiqua" w:hAnsi="Book Antiqua" w:cs="Book Antiqua"/>
          <w:color w:val="000000"/>
        </w:rPr>
        <w:t>The depiction of NACRT is restricted by the scant number of clinical trials with high levels of evidence. As we reviewed the phase II/III studies of NACRT (not for esophagogastric junction or esophagus) on gastric cancer following curative gastrectomy from the past 20 years through a search of the PubMed, MEDLINE and EMBASE (language was limited to English, Table 1 and 2)</w:t>
      </w:r>
      <w:r w:rsidRPr="003806D5">
        <w:rPr>
          <w:rFonts w:ascii="Book Antiqua" w:eastAsia="Book Antiqua" w:hAnsi="Book Antiqua" w:cs="Book Antiqua"/>
          <w:color w:val="000000"/>
          <w:szCs w:val="30"/>
          <w:vertAlign w:val="superscript"/>
        </w:rPr>
        <w:t>[</w:t>
      </w:r>
      <w:hyperlink w:anchor="_ENREF_21" w:tooltip="Roth, 2003 #125" w:history="1">
        <w:r w:rsidRPr="003806D5">
          <w:rPr>
            <w:rFonts w:ascii="Book Antiqua" w:eastAsia="Book Antiqua" w:hAnsi="Book Antiqua" w:cs="Book Antiqua"/>
            <w:color w:val="000000"/>
            <w:szCs w:val="20"/>
            <w:vertAlign w:val="superscript"/>
          </w:rPr>
          <w:t>21-34</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to date only Skoropad </w:t>
      </w:r>
      <w:r w:rsidRPr="003806D5">
        <w:rPr>
          <w:rFonts w:ascii="Book Antiqua" w:eastAsia="Book Antiqua" w:hAnsi="Book Antiqua" w:cs="Book Antiqua"/>
          <w:i/>
          <w:iCs/>
          <w:color w:val="000000"/>
        </w:rPr>
        <w:t>et al</w:t>
      </w:r>
      <w:r w:rsidRPr="003806D5">
        <w:rPr>
          <w:rFonts w:ascii="Book Antiqua" w:eastAsia="Book Antiqua" w:hAnsi="Book Antiqua" w:cs="Book Antiqua"/>
          <w:color w:val="000000"/>
          <w:szCs w:val="30"/>
          <w:vertAlign w:val="superscript"/>
        </w:rPr>
        <w:t>[</w:t>
      </w:r>
      <w:hyperlink w:anchor="_ENREF_32" w:tooltip="Skoropad, 2002 #127" w:history="1">
        <w:r w:rsidRPr="003806D5">
          <w:rPr>
            <w:rFonts w:ascii="Book Antiqua" w:eastAsia="Book Antiqua" w:hAnsi="Book Antiqua" w:cs="Book Antiqua"/>
            <w:color w:val="000000"/>
            <w:szCs w:val="20"/>
            <w:vertAlign w:val="superscript"/>
          </w:rPr>
          <w:t>32</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reported a complete phase III trial result with no significant findings in 10-year overall survival (NACRT + Surgery </w:t>
      </w:r>
      <w:r w:rsidRPr="003806D5">
        <w:rPr>
          <w:rFonts w:ascii="Book Antiqua" w:eastAsia="Book Antiqua" w:hAnsi="Book Antiqua" w:cs="Book Antiqua"/>
          <w:i/>
          <w:iCs/>
          <w:color w:val="000000"/>
        </w:rPr>
        <w:t>vs</w:t>
      </w:r>
      <w:r w:rsidRPr="003806D5">
        <w:rPr>
          <w:rFonts w:ascii="Book Antiqua" w:eastAsia="Book Antiqua" w:hAnsi="Book Antiqua" w:cs="Book Antiqua"/>
          <w:color w:val="000000"/>
        </w:rPr>
        <w:t xml:space="preserve"> Surgery, 32% </w:t>
      </w:r>
      <w:r w:rsidRPr="003806D5">
        <w:rPr>
          <w:rFonts w:ascii="Book Antiqua" w:eastAsia="Book Antiqua" w:hAnsi="Book Antiqua" w:cs="Book Antiqua"/>
          <w:i/>
          <w:iCs/>
          <w:color w:val="000000"/>
        </w:rPr>
        <w:t>vs</w:t>
      </w:r>
      <w:r w:rsidRPr="003806D5">
        <w:rPr>
          <w:rFonts w:ascii="Book Antiqua" w:eastAsia="Book Antiqua" w:hAnsi="Book Antiqua" w:cs="Book Antiqua"/>
          <w:color w:val="000000"/>
        </w:rPr>
        <w:t xml:space="preserve"> 18%). However, neither the dose nor the technique in target delineation met the current standard. Patients in their study received RT rather than CRT modalities </w:t>
      </w:r>
      <w:r w:rsidR="00B7162D">
        <w:rPr>
          <w:rFonts w:ascii="Book Antiqua" w:eastAsia="Book Antiqua" w:hAnsi="Book Antiqua" w:cs="Book Antiqua"/>
          <w:color w:val="000000"/>
        </w:rPr>
        <w:t>that</w:t>
      </w:r>
      <w:r w:rsidR="00B7162D" w:rsidRPr="003806D5">
        <w:rPr>
          <w:rFonts w:ascii="Book Antiqua" w:eastAsia="Book Antiqua" w:hAnsi="Book Antiqua" w:cs="Book Antiqua"/>
          <w:color w:val="000000"/>
        </w:rPr>
        <w:t xml:space="preserve"> </w:t>
      </w:r>
      <w:r w:rsidRPr="003806D5">
        <w:rPr>
          <w:rFonts w:ascii="Book Antiqua" w:eastAsia="Book Antiqua" w:hAnsi="Book Antiqua" w:cs="Book Antiqua"/>
          <w:color w:val="000000"/>
        </w:rPr>
        <w:t xml:space="preserve">are commonly accepted today. While the rest of the phase III trials are worth </w:t>
      </w:r>
      <w:r w:rsidR="003D321B">
        <w:rPr>
          <w:rFonts w:ascii="Book Antiqua" w:eastAsia="Book Antiqua" w:hAnsi="Book Antiqua" w:cs="Book Antiqua"/>
          <w:color w:val="000000"/>
        </w:rPr>
        <w:t>watching</w:t>
      </w:r>
      <w:r w:rsidRPr="003806D5">
        <w:rPr>
          <w:rFonts w:ascii="Book Antiqua" w:eastAsia="Book Antiqua" w:hAnsi="Book Antiqua" w:cs="Book Antiqua"/>
          <w:color w:val="000000"/>
        </w:rPr>
        <w:t xml:space="preserve"> (Table 2), many phase II trials can shed light on the patterns of NACRT. The higher rate of pCR (mean pCR rate 16.4% in initially resected cases) can be found in most of them (Table 1), </w:t>
      </w:r>
      <w:r w:rsidR="003D321B">
        <w:rPr>
          <w:rFonts w:ascii="Book Antiqua" w:eastAsia="Book Antiqua" w:hAnsi="Book Antiqua" w:cs="Book Antiqua"/>
          <w:color w:val="000000"/>
        </w:rPr>
        <w:t xml:space="preserve">when compared </w:t>
      </w:r>
      <w:r w:rsidRPr="003806D5">
        <w:rPr>
          <w:rFonts w:ascii="Book Antiqua" w:eastAsia="Book Antiqua" w:hAnsi="Book Antiqua" w:cs="Book Antiqua"/>
          <w:color w:val="000000"/>
        </w:rPr>
        <w:t>with neoadjuvant chemotherapy, usually no more than 10%</w:t>
      </w:r>
      <w:r w:rsidRPr="003806D5">
        <w:rPr>
          <w:rFonts w:ascii="Book Antiqua" w:eastAsia="Book Antiqua" w:hAnsi="Book Antiqua" w:cs="Book Antiqua"/>
          <w:color w:val="000000"/>
          <w:szCs w:val="30"/>
          <w:vertAlign w:val="superscript"/>
        </w:rPr>
        <w:t>[</w:t>
      </w:r>
      <w:hyperlink w:anchor="_ENREF_35" w:tooltip="Yoshikawa, 2014 #137" w:history="1">
        <w:r w:rsidRPr="003806D5">
          <w:rPr>
            <w:rFonts w:ascii="Book Antiqua" w:eastAsia="Book Antiqua" w:hAnsi="Book Antiqua" w:cs="Book Antiqua"/>
            <w:color w:val="000000"/>
            <w:szCs w:val="20"/>
            <w:vertAlign w:val="superscript"/>
          </w:rPr>
          <w:t>35</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w:t>
      </w:r>
    </w:p>
    <w:p w14:paraId="1DF9DF1F" w14:textId="75DCBD88" w:rsidR="00A77B3E" w:rsidRPr="003806D5" w:rsidRDefault="00F0668A" w:rsidP="00F0668A">
      <w:pPr>
        <w:adjustRightInd w:val="0"/>
        <w:snapToGrid w:val="0"/>
        <w:spacing w:line="360" w:lineRule="auto"/>
        <w:ind w:firstLine="240"/>
        <w:jc w:val="both"/>
      </w:pPr>
      <w:r w:rsidRPr="003806D5">
        <w:rPr>
          <w:rFonts w:ascii="Book Antiqua" w:eastAsia="Book Antiqua" w:hAnsi="Book Antiqua" w:cs="Book Antiqua"/>
          <w:color w:val="000000"/>
        </w:rPr>
        <w:t>It is now been recognized that mature laparoscopic technique did not greatly influence patients survival as well as postoperative complications</w:t>
      </w:r>
      <w:r w:rsidRPr="003806D5">
        <w:rPr>
          <w:rFonts w:ascii="Book Antiqua" w:eastAsia="Book Antiqua" w:hAnsi="Book Antiqua" w:cs="Book Antiqua"/>
          <w:color w:val="000000"/>
          <w:szCs w:val="30"/>
          <w:vertAlign w:val="superscript"/>
        </w:rPr>
        <w:t>[</w:t>
      </w:r>
      <w:hyperlink w:anchor="_ENREF_36" w:tooltip="Yu, 2019 #132" w:history="1">
        <w:r w:rsidRPr="003806D5">
          <w:rPr>
            <w:rFonts w:ascii="Book Antiqua" w:eastAsia="Book Antiqua" w:hAnsi="Book Antiqua" w:cs="Book Antiqua"/>
            <w:color w:val="000000"/>
            <w:szCs w:val="20"/>
            <w:vertAlign w:val="superscript"/>
          </w:rPr>
          <w:t>36</w:t>
        </w:r>
      </w:hyperlink>
      <w:r w:rsidRPr="003806D5">
        <w:rPr>
          <w:rFonts w:ascii="Book Antiqua" w:eastAsia="Book Antiqua" w:hAnsi="Book Antiqua" w:cs="Book Antiqua"/>
          <w:color w:val="000000"/>
          <w:szCs w:val="20"/>
          <w:vertAlign w:val="superscript"/>
        </w:rPr>
        <w:t>,</w:t>
      </w:r>
      <w:hyperlink w:anchor="_ENREF_37" w:tooltip="Kim, 2010 #134" w:history="1">
        <w:r w:rsidRPr="003806D5">
          <w:rPr>
            <w:rFonts w:ascii="Book Antiqua" w:eastAsia="Book Antiqua" w:hAnsi="Book Antiqua" w:cs="Book Antiqua"/>
            <w:color w:val="000000"/>
            <w:szCs w:val="20"/>
            <w:vertAlign w:val="superscript"/>
          </w:rPr>
          <w:t>37</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Also, the number of retrieved lymph nodes in </w:t>
      </w:r>
      <w:r w:rsidR="003D321B">
        <w:rPr>
          <w:rFonts w:ascii="Book Antiqua" w:eastAsia="Book Antiqua" w:hAnsi="Book Antiqua" w:cs="Book Antiqua"/>
          <w:color w:val="000000"/>
        </w:rPr>
        <w:t xml:space="preserve">the </w:t>
      </w:r>
      <w:r w:rsidRPr="003806D5">
        <w:rPr>
          <w:rFonts w:ascii="Book Antiqua" w:eastAsia="Book Antiqua" w:hAnsi="Book Antiqua" w:cs="Book Antiqua"/>
          <w:color w:val="000000"/>
        </w:rPr>
        <w:t xml:space="preserve">laparoscopic procedure was not inferior to open surgery. </w:t>
      </w:r>
      <w:r w:rsidRPr="003806D5">
        <w:rPr>
          <w:rFonts w:ascii="Book Antiqua" w:eastAsia="Book Antiqua" w:hAnsi="Book Antiqua" w:cs="Book Antiqua"/>
          <w:color w:val="000000"/>
        </w:rPr>
        <w:lastRenderedPageBreak/>
        <w:t xml:space="preserve">Zhao </w:t>
      </w:r>
      <w:r w:rsidRPr="003806D5">
        <w:rPr>
          <w:rFonts w:ascii="Book Antiqua" w:eastAsia="Book Antiqua" w:hAnsi="Book Antiqua" w:cs="Book Antiqua"/>
          <w:i/>
          <w:iCs/>
          <w:color w:val="000000"/>
        </w:rPr>
        <w:t>et al</w:t>
      </w:r>
      <w:r w:rsidRPr="003806D5">
        <w:rPr>
          <w:rFonts w:ascii="Book Antiqua" w:eastAsia="Book Antiqua" w:hAnsi="Book Antiqua" w:cs="Book Antiqua"/>
          <w:color w:val="000000"/>
          <w:szCs w:val="30"/>
          <w:vertAlign w:val="superscript"/>
        </w:rPr>
        <w:t>[</w:t>
      </w:r>
      <w:hyperlink w:anchor="_ENREF_38" w:tooltip="Zhao, 2011 #1544" w:history="1">
        <w:r w:rsidRPr="003806D5">
          <w:rPr>
            <w:rFonts w:ascii="Book Antiqua" w:eastAsia="Book Antiqua" w:hAnsi="Book Antiqua" w:cs="Book Antiqua"/>
            <w:color w:val="000000"/>
            <w:szCs w:val="20"/>
            <w:vertAlign w:val="superscript"/>
          </w:rPr>
          <w:t>38</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reported a retrospective study of 659 patients who were treated by laparoscopic or open gastrectomy and found that the average number of lymph node dissection</w:t>
      </w:r>
      <w:r w:rsidR="00FA6138">
        <w:rPr>
          <w:rFonts w:ascii="Book Antiqua" w:eastAsia="Book Antiqua" w:hAnsi="Book Antiqua" w:cs="Book Antiqua"/>
          <w:color w:val="000000"/>
        </w:rPr>
        <w:t>s</w:t>
      </w:r>
      <w:r w:rsidRPr="003806D5">
        <w:rPr>
          <w:rFonts w:ascii="Book Antiqua" w:eastAsia="Book Antiqua" w:hAnsi="Book Antiqua" w:cs="Book Antiqua"/>
          <w:color w:val="000000"/>
        </w:rPr>
        <w:t xml:space="preserve"> in the laparoscopic gastrectomy and open gastrectomy group were 33.2 and 32.8</w:t>
      </w:r>
      <w:r w:rsidR="00FA6138">
        <w:rPr>
          <w:rFonts w:ascii="Book Antiqua" w:eastAsia="Book Antiqua" w:hAnsi="Book Antiqua" w:cs="Book Antiqua"/>
          <w:color w:val="000000"/>
        </w:rPr>
        <w:t>, respectively,</w:t>
      </w:r>
      <w:r w:rsidRPr="003806D5">
        <w:rPr>
          <w:rFonts w:ascii="Book Antiqua" w:eastAsia="Book Antiqua" w:hAnsi="Book Antiqua" w:cs="Book Antiqua"/>
          <w:color w:val="000000"/>
        </w:rPr>
        <w:t xml:space="preserve"> with no significant difference. The average time for the laparoscopic gastrectomy and open gastrectomy procedures did not differ signiﬁcantly (211 ± 56 min </w:t>
      </w:r>
      <w:r w:rsidRPr="003806D5">
        <w:rPr>
          <w:rFonts w:ascii="Book Antiqua" w:eastAsia="Book Antiqua" w:hAnsi="Book Antiqua" w:cs="Book Antiqua"/>
          <w:i/>
          <w:iCs/>
          <w:color w:val="000000"/>
        </w:rPr>
        <w:t>vs</w:t>
      </w:r>
      <w:r w:rsidRPr="003806D5">
        <w:rPr>
          <w:rFonts w:ascii="Book Antiqua" w:eastAsia="Book Antiqua" w:hAnsi="Book Antiqua" w:cs="Book Antiqua"/>
          <w:color w:val="000000"/>
        </w:rPr>
        <w:t xml:space="preserve"> 204 ± 41 min); however, bleeding during the operation in the laparoscopic group was signiﬁcantly less than that in the open group (128 ± 85 mL </w:t>
      </w:r>
      <w:r w:rsidRPr="003806D5">
        <w:rPr>
          <w:rFonts w:ascii="Book Antiqua" w:eastAsia="Book Antiqua" w:hAnsi="Book Antiqua" w:cs="Book Antiqua"/>
          <w:i/>
          <w:iCs/>
          <w:color w:val="000000"/>
        </w:rPr>
        <w:t>vs</w:t>
      </w:r>
      <w:r w:rsidRPr="003806D5">
        <w:rPr>
          <w:rFonts w:ascii="Book Antiqua" w:eastAsia="Book Antiqua" w:hAnsi="Book Antiqua" w:cs="Book Antiqua"/>
          <w:color w:val="000000"/>
        </w:rPr>
        <w:t xml:space="preserve"> 301 ± 156 mL, </w:t>
      </w:r>
      <w:r w:rsidRPr="003806D5">
        <w:rPr>
          <w:rFonts w:ascii="Book Antiqua" w:eastAsia="Book Antiqua" w:hAnsi="Book Antiqua" w:cs="Book Antiqua"/>
          <w:i/>
          <w:iCs/>
          <w:color w:val="000000"/>
        </w:rPr>
        <w:t>P</w:t>
      </w:r>
      <w:r w:rsidRPr="003806D5">
        <w:rPr>
          <w:rFonts w:ascii="Book Antiqua" w:eastAsia="Book Antiqua" w:hAnsi="Book Antiqua" w:cs="Book Antiqua"/>
          <w:color w:val="000000"/>
        </w:rPr>
        <w:t xml:space="preserve"> &lt; 0.001). Similar results were confirmed by Pugliese </w:t>
      </w:r>
      <w:r w:rsidRPr="003806D5">
        <w:rPr>
          <w:rFonts w:ascii="Book Antiqua" w:eastAsia="Book Antiqua" w:hAnsi="Book Antiqua" w:cs="Book Antiqua"/>
          <w:i/>
          <w:iCs/>
          <w:color w:val="000000"/>
        </w:rPr>
        <w:t>et al</w:t>
      </w:r>
      <w:r w:rsidRPr="003806D5">
        <w:rPr>
          <w:rFonts w:ascii="Book Antiqua" w:eastAsia="Book Antiqua" w:hAnsi="Book Antiqua" w:cs="Book Antiqua"/>
          <w:color w:val="000000"/>
          <w:szCs w:val="30"/>
          <w:vertAlign w:val="superscript"/>
        </w:rPr>
        <w:t>[</w:t>
      </w:r>
      <w:hyperlink w:anchor="_ENREF_39" w:tooltip="Pugliese, 2007 #1545" w:history="1">
        <w:r w:rsidRPr="003806D5">
          <w:rPr>
            <w:rFonts w:ascii="Book Antiqua" w:eastAsia="Book Antiqua" w:hAnsi="Book Antiqua" w:cs="Book Antiqua"/>
            <w:color w:val="000000"/>
            <w:szCs w:val="20"/>
            <w:vertAlign w:val="superscript"/>
          </w:rPr>
          <w:t>39</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and Hwang </w:t>
      </w:r>
      <w:r w:rsidRPr="003806D5">
        <w:rPr>
          <w:rFonts w:ascii="Book Antiqua" w:eastAsia="Book Antiqua" w:hAnsi="Book Antiqua" w:cs="Book Antiqua"/>
          <w:i/>
          <w:iCs/>
          <w:color w:val="000000"/>
        </w:rPr>
        <w:t>et al</w:t>
      </w:r>
      <w:r w:rsidRPr="003806D5">
        <w:rPr>
          <w:rFonts w:ascii="Book Antiqua" w:eastAsia="Book Antiqua" w:hAnsi="Book Antiqua" w:cs="Book Antiqua"/>
          <w:color w:val="000000"/>
          <w:szCs w:val="30"/>
          <w:vertAlign w:val="superscript"/>
        </w:rPr>
        <w:t>[</w:t>
      </w:r>
      <w:hyperlink w:anchor="_ENREF_40" w:tooltip="Hwang, 2009 #1547" w:history="1">
        <w:r w:rsidRPr="003806D5">
          <w:rPr>
            <w:rFonts w:ascii="Book Antiqua" w:eastAsia="Book Antiqua" w:hAnsi="Book Antiqua" w:cs="Book Antiqua"/>
            <w:color w:val="000000"/>
            <w:szCs w:val="20"/>
            <w:vertAlign w:val="superscript"/>
          </w:rPr>
          <w:t>40</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Additionally, although with limited cases, several studies revealed laparoscopic and open gastrectomy had comparable long-term and short-term outcomes</w:t>
      </w:r>
      <w:r w:rsidRPr="003806D5">
        <w:rPr>
          <w:rFonts w:ascii="Book Antiqua" w:eastAsia="Book Antiqua" w:hAnsi="Book Antiqua" w:cs="Book Antiqua"/>
          <w:color w:val="000000"/>
          <w:szCs w:val="30"/>
          <w:vertAlign w:val="superscript"/>
        </w:rPr>
        <w:t>[</w:t>
      </w:r>
      <w:hyperlink w:anchor="_ENREF_41" w:tooltip="Wang, 2020 #144" w:history="1">
        <w:r w:rsidRPr="003806D5">
          <w:rPr>
            <w:rFonts w:ascii="Book Antiqua" w:eastAsia="Book Antiqua" w:hAnsi="Book Antiqua" w:cs="Book Antiqua"/>
            <w:color w:val="000000"/>
            <w:szCs w:val="20"/>
            <w:vertAlign w:val="superscript"/>
          </w:rPr>
          <w:t>41-43</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w:t>
      </w:r>
    </w:p>
    <w:p w14:paraId="15F177FD" w14:textId="3DAAD2C2" w:rsidR="00A77B3E" w:rsidRPr="003806D5" w:rsidRDefault="00F0668A" w:rsidP="00F0668A">
      <w:pPr>
        <w:adjustRightInd w:val="0"/>
        <w:snapToGrid w:val="0"/>
        <w:spacing w:line="360" w:lineRule="auto"/>
        <w:ind w:firstLine="240"/>
        <w:jc w:val="both"/>
      </w:pPr>
      <w:r w:rsidRPr="003806D5">
        <w:rPr>
          <w:rFonts w:ascii="Book Antiqua" w:eastAsia="Book Antiqua" w:hAnsi="Book Antiqua" w:cs="Book Antiqua"/>
          <w:color w:val="000000"/>
        </w:rPr>
        <w:t>Our previous experience has proved neoadjuvant chemotherapy does not increase the complications of radical gastrectomy</w:t>
      </w:r>
      <w:r w:rsidRPr="003806D5">
        <w:rPr>
          <w:rFonts w:ascii="Book Antiqua" w:eastAsia="Book Antiqua" w:hAnsi="Book Antiqua" w:cs="Book Antiqua"/>
          <w:color w:val="000000"/>
          <w:szCs w:val="30"/>
          <w:vertAlign w:val="superscript"/>
        </w:rPr>
        <w:t>[</w:t>
      </w:r>
      <w:hyperlink w:anchor="_ENREF_44" w:tooltip="Li, 2011 #71" w:history="1">
        <w:r w:rsidRPr="003806D5">
          <w:rPr>
            <w:rFonts w:ascii="Book Antiqua" w:eastAsia="Book Antiqua" w:hAnsi="Book Antiqua" w:cs="Book Antiqua"/>
            <w:color w:val="000000"/>
            <w:szCs w:val="20"/>
            <w:vertAlign w:val="superscript"/>
          </w:rPr>
          <w:t>44</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In this case, the number of lymph node dissection was 31 and the blood loss was 100 mL without complications, which may indicate that the laparoscopic technique is applicable to patients with advanced gastric cancer after NACRT. However, in this case, the severe fibrosis around the stomach make the surgery more difficult and delicate</w:t>
      </w:r>
      <w:r w:rsidR="00FA6138">
        <w:rPr>
          <w:rFonts w:ascii="Book Antiqua" w:eastAsia="Book Antiqua" w:hAnsi="Book Antiqua" w:cs="Book Antiqua"/>
          <w:color w:val="000000"/>
        </w:rPr>
        <w:t>,</w:t>
      </w:r>
      <w:r w:rsidRPr="003806D5">
        <w:rPr>
          <w:rFonts w:ascii="Book Antiqua" w:eastAsia="Book Antiqua" w:hAnsi="Book Antiqua" w:cs="Book Antiqua"/>
          <w:color w:val="000000"/>
        </w:rPr>
        <w:t xml:space="preserve"> resulting</w:t>
      </w:r>
      <w:r w:rsidR="00FA6138">
        <w:rPr>
          <w:rFonts w:ascii="Book Antiqua" w:eastAsia="Book Antiqua" w:hAnsi="Book Antiqua" w:cs="Book Antiqua"/>
          <w:color w:val="000000"/>
        </w:rPr>
        <w:t xml:space="preserve"> in a</w:t>
      </w:r>
      <w:r w:rsidRPr="003806D5">
        <w:rPr>
          <w:rFonts w:ascii="Book Antiqua" w:eastAsia="Book Antiqua" w:hAnsi="Book Antiqua" w:cs="Book Antiqua"/>
          <w:color w:val="000000"/>
        </w:rPr>
        <w:t xml:space="preserve"> relative</w:t>
      </w:r>
      <w:r w:rsidR="00FA6138">
        <w:rPr>
          <w:rFonts w:ascii="Book Antiqua" w:eastAsia="Book Antiqua" w:hAnsi="Book Antiqua" w:cs="Book Antiqua"/>
          <w:color w:val="000000"/>
        </w:rPr>
        <w:t>ly</w:t>
      </w:r>
      <w:r w:rsidRPr="003806D5">
        <w:rPr>
          <w:rFonts w:ascii="Book Antiqua" w:eastAsia="Book Antiqua" w:hAnsi="Book Antiqua" w:cs="Book Antiqua"/>
          <w:color w:val="000000"/>
        </w:rPr>
        <w:t xml:space="preserve"> long</w:t>
      </w:r>
      <w:r w:rsidR="00FA6138">
        <w:rPr>
          <w:rFonts w:ascii="Book Antiqua" w:eastAsia="Book Antiqua" w:hAnsi="Book Antiqua" w:cs="Book Antiqua"/>
          <w:color w:val="000000"/>
        </w:rPr>
        <w:t>er</w:t>
      </w:r>
      <w:r w:rsidRPr="003806D5">
        <w:rPr>
          <w:rFonts w:ascii="Book Antiqua" w:eastAsia="Book Antiqua" w:hAnsi="Book Antiqua" w:cs="Book Antiqua"/>
          <w:color w:val="000000"/>
        </w:rPr>
        <w:t xml:space="preserve"> operation time (240 min) </w:t>
      </w:r>
      <w:r w:rsidR="00FA6138">
        <w:rPr>
          <w:rFonts w:ascii="Book Antiqua" w:eastAsia="Book Antiqua" w:hAnsi="Book Antiqua" w:cs="Book Antiqua"/>
          <w:color w:val="000000"/>
        </w:rPr>
        <w:t>in</w:t>
      </w:r>
      <w:r w:rsidRPr="003806D5">
        <w:rPr>
          <w:rFonts w:ascii="Book Antiqua" w:eastAsia="Book Antiqua" w:hAnsi="Book Antiqua" w:cs="Book Antiqua"/>
          <w:color w:val="000000"/>
        </w:rPr>
        <w:t xml:space="preserve"> the patient treated by NACRT </w:t>
      </w:r>
      <w:r w:rsidR="00FA6138">
        <w:rPr>
          <w:rFonts w:ascii="Book Antiqua" w:eastAsia="Book Antiqua" w:hAnsi="Book Antiqua" w:cs="Book Antiqua"/>
          <w:color w:val="000000"/>
        </w:rPr>
        <w:t xml:space="preserve">compared to </w:t>
      </w:r>
      <w:r w:rsidRPr="003806D5">
        <w:rPr>
          <w:rFonts w:ascii="Book Antiqua" w:eastAsia="Book Antiqua" w:hAnsi="Book Antiqua" w:cs="Book Antiqua"/>
          <w:color w:val="000000"/>
        </w:rPr>
        <w:t xml:space="preserve">those who were not. Yet with the amplification effect of laparoscopy, laparoscopic gastrectomy was safe and feasible for advanced gastric patients who were treated by an experienced department. </w:t>
      </w:r>
    </w:p>
    <w:p w14:paraId="6B94E293" w14:textId="6950A9EA" w:rsidR="00A77B3E" w:rsidRPr="003806D5" w:rsidRDefault="00F0668A" w:rsidP="00F0668A">
      <w:pPr>
        <w:adjustRightInd w:val="0"/>
        <w:snapToGrid w:val="0"/>
        <w:spacing w:line="360" w:lineRule="auto"/>
        <w:ind w:firstLine="240"/>
        <w:jc w:val="both"/>
      </w:pPr>
      <w:r w:rsidRPr="003806D5">
        <w:rPr>
          <w:rFonts w:ascii="Book Antiqua" w:eastAsia="Book Antiqua" w:hAnsi="Book Antiqua" w:cs="Book Antiqua"/>
          <w:color w:val="000000"/>
        </w:rPr>
        <w:t xml:space="preserve">Although the patient in our department recovered smoothly with no postoperative complications, </w:t>
      </w:r>
      <w:r w:rsidR="00FA6138">
        <w:rPr>
          <w:rFonts w:ascii="Book Antiqua" w:eastAsia="Book Antiqua" w:hAnsi="Book Antiqua" w:cs="Book Antiqua"/>
          <w:color w:val="000000"/>
        </w:rPr>
        <w:t xml:space="preserve">it remains debatable </w:t>
      </w:r>
      <w:r w:rsidRPr="003806D5">
        <w:rPr>
          <w:rFonts w:ascii="Book Antiqua" w:eastAsia="Book Antiqua" w:hAnsi="Book Antiqua" w:cs="Book Antiqua"/>
          <w:color w:val="000000"/>
        </w:rPr>
        <w:t>whether NACRT followed by laparoscopic gastrectomy increases postoperative complications. The most frequent complications for gastric cancer patients after NACRT have been reported as nonspecific surgical complications</w:t>
      </w:r>
      <w:r w:rsidRPr="003806D5">
        <w:rPr>
          <w:rFonts w:ascii="Book Antiqua" w:eastAsia="Book Antiqua" w:hAnsi="Book Antiqua" w:cs="Book Antiqua"/>
          <w:color w:val="000000"/>
          <w:szCs w:val="30"/>
          <w:vertAlign w:val="superscript"/>
        </w:rPr>
        <w:t>[</w:t>
      </w:r>
      <w:hyperlink w:anchor="_ENREF_45" w:tooltip="Valenti, 2011 #1664" w:history="1">
        <w:r w:rsidRPr="003806D5">
          <w:rPr>
            <w:rFonts w:ascii="Book Antiqua" w:eastAsia="Book Antiqua" w:hAnsi="Book Antiqua" w:cs="Book Antiqua"/>
            <w:color w:val="000000"/>
            <w:szCs w:val="20"/>
            <w:vertAlign w:val="superscript"/>
          </w:rPr>
          <w:t>45</w:t>
        </w:r>
      </w:hyperlink>
      <w:r w:rsidRPr="003806D5">
        <w:rPr>
          <w:rFonts w:ascii="Book Antiqua" w:eastAsia="Book Antiqua" w:hAnsi="Book Antiqua" w:cs="Book Antiqua"/>
          <w:color w:val="000000"/>
          <w:szCs w:val="20"/>
          <w:vertAlign w:val="superscript"/>
        </w:rPr>
        <w:t>]</w:t>
      </w:r>
      <w:r w:rsidRPr="003806D5">
        <w:rPr>
          <w:rFonts w:ascii="Book Antiqua" w:eastAsia="Book Antiqua" w:hAnsi="Book Antiqua" w:cs="Book Antiqua"/>
          <w:color w:val="000000"/>
        </w:rPr>
        <w:t xml:space="preserve">. </w:t>
      </w:r>
    </w:p>
    <w:p w14:paraId="49C50E0C" w14:textId="77777777" w:rsidR="00A77B3E" w:rsidRPr="003806D5" w:rsidRDefault="00A77B3E" w:rsidP="00F0668A">
      <w:pPr>
        <w:adjustRightInd w:val="0"/>
        <w:snapToGrid w:val="0"/>
        <w:spacing w:line="360" w:lineRule="auto"/>
        <w:ind w:firstLine="240"/>
        <w:jc w:val="both"/>
      </w:pPr>
    </w:p>
    <w:p w14:paraId="27B8CAE3" w14:textId="77777777" w:rsidR="00A77B3E" w:rsidRDefault="00F0668A" w:rsidP="00F0668A">
      <w:pPr>
        <w:adjustRightInd w:val="0"/>
        <w:snapToGrid w:val="0"/>
        <w:spacing w:line="360" w:lineRule="auto"/>
        <w:jc w:val="both"/>
      </w:pPr>
      <w:r>
        <w:rPr>
          <w:rFonts w:ascii="Book Antiqua" w:eastAsia="Book Antiqua" w:hAnsi="Book Antiqua" w:cs="Book Antiqua"/>
          <w:b/>
          <w:caps/>
          <w:color w:val="000000"/>
          <w:u w:val="single"/>
        </w:rPr>
        <w:t>CONCLUSION</w:t>
      </w:r>
    </w:p>
    <w:p w14:paraId="774C28D9" w14:textId="6E7ED193" w:rsidR="00A77B3E" w:rsidRDefault="00F0668A" w:rsidP="00F0668A">
      <w:pPr>
        <w:adjustRightInd w:val="0"/>
        <w:snapToGrid w:val="0"/>
        <w:spacing w:line="360" w:lineRule="auto"/>
        <w:jc w:val="both"/>
      </w:pPr>
      <w:r>
        <w:rPr>
          <w:rFonts w:ascii="Book Antiqua" w:eastAsia="Book Antiqua" w:hAnsi="Book Antiqua" w:cs="Book Antiqua"/>
          <w:color w:val="000000"/>
        </w:rPr>
        <w:t xml:space="preserve">NACRT followed by </w:t>
      </w:r>
      <w:r w:rsidR="00D524FA" w:rsidRPr="003806D5">
        <w:rPr>
          <w:rFonts w:ascii="Book Antiqua" w:eastAsia="Book Antiqua" w:hAnsi="Book Antiqua" w:cs="Book Antiqua"/>
          <w:color w:val="000000"/>
        </w:rPr>
        <w:t xml:space="preserve">laparoscopic distal gastrectomy </w:t>
      </w:r>
      <w:r>
        <w:rPr>
          <w:rFonts w:ascii="Book Antiqua" w:eastAsia="Book Antiqua" w:hAnsi="Book Antiqua" w:cs="Book Antiqua"/>
          <w:color w:val="000000"/>
        </w:rPr>
        <w:t xml:space="preserve">with D2 </w:t>
      </w:r>
      <w:r w:rsidR="00FE331A">
        <w:rPr>
          <w:rFonts w:ascii="Book Antiqua" w:eastAsia="Book Antiqua" w:hAnsi="Book Antiqua" w:cs="Book Antiqua"/>
          <w:color w:val="000000"/>
        </w:rPr>
        <w:t>l</w:t>
      </w:r>
      <w:r>
        <w:rPr>
          <w:rFonts w:ascii="Book Antiqua" w:eastAsia="Book Antiqua" w:hAnsi="Book Antiqua" w:cs="Book Antiqua"/>
          <w:color w:val="000000"/>
        </w:rPr>
        <w:t xml:space="preserve">ymph node dissection was safe and achieved satisfactory oncological outcomes for the present patient. However, well-designed prospective trials are still required to prove whether laparoscopic </w:t>
      </w:r>
      <w:r>
        <w:rPr>
          <w:rFonts w:ascii="Book Antiqua" w:eastAsia="Book Antiqua" w:hAnsi="Book Antiqua" w:cs="Book Antiqua"/>
          <w:color w:val="000000"/>
        </w:rPr>
        <w:lastRenderedPageBreak/>
        <w:t>gastrectomy can be recommended as an initial treatment for advanced distal gastric cancer after NACRT.</w:t>
      </w:r>
    </w:p>
    <w:p w14:paraId="3FC80A7D" w14:textId="77777777" w:rsidR="00A77B3E" w:rsidRDefault="00A77B3E" w:rsidP="00F0668A">
      <w:pPr>
        <w:adjustRightInd w:val="0"/>
        <w:snapToGrid w:val="0"/>
        <w:spacing w:line="360" w:lineRule="auto"/>
        <w:jc w:val="both"/>
      </w:pPr>
    </w:p>
    <w:p w14:paraId="78472869"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REFERENCES</w:t>
      </w:r>
    </w:p>
    <w:p w14:paraId="5CB3B8D2"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 </w:t>
      </w:r>
      <w:r>
        <w:rPr>
          <w:rFonts w:ascii="Book Antiqua" w:hAnsi="Book Antiqua" w:cs="Book Antiqua"/>
          <w:b/>
          <w:color w:val="000000" w:themeColor="text1"/>
          <w:shd w:val="clear" w:color="auto" w:fill="FFFFFF"/>
        </w:rPr>
        <w:t>Kitano S</w:t>
      </w:r>
      <w:r>
        <w:rPr>
          <w:rFonts w:ascii="Book Antiqua" w:hAnsi="Book Antiqua" w:cs="Book Antiqua"/>
          <w:color w:val="000000" w:themeColor="text1"/>
          <w:shd w:val="clear" w:color="auto" w:fill="FFFFFF"/>
        </w:rPr>
        <w:t xml:space="preserve">, Iso Y, Moriyama M, Sugimachi K. Laparoscopy-assisted Billroth I gastrectomy. </w:t>
      </w:r>
      <w:r>
        <w:rPr>
          <w:rFonts w:ascii="Book Antiqua" w:hAnsi="Book Antiqua" w:cs="Book Antiqua"/>
          <w:i/>
          <w:color w:val="000000" w:themeColor="text1"/>
          <w:shd w:val="clear" w:color="auto" w:fill="FFFFFF"/>
        </w:rPr>
        <w:t>Surg Laparosc Endosc</w:t>
      </w:r>
      <w:r>
        <w:rPr>
          <w:rFonts w:ascii="Book Antiqua" w:hAnsi="Book Antiqua" w:cs="Book Antiqua"/>
          <w:color w:val="000000" w:themeColor="text1"/>
          <w:shd w:val="clear" w:color="auto" w:fill="FFFFFF"/>
        </w:rPr>
        <w:t xml:space="preserve"> 1994; </w:t>
      </w:r>
      <w:r>
        <w:rPr>
          <w:rFonts w:ascii="Book Antiqua" w:hAnsi="Book Antiqua" w:cs="Book Antiqua"/>
          <w:b/>
          <w:color w:val="000000" w:themeColor="text1"/>
          <w:shd w:val="clear" w:color="auto" w:fill="FFFFFF"/>
        </w:rPr>
        <w:t>4</w:t>
      </w:r>
      <w:r>
        <w:rPr>
          <w:rFonts w:ascii="Book Antiqua" w:hAnsi="Book Antiqua" w:cs="Book Antiqua"/>
          <w:color w:val="000000" w:themeColor="text1"/>
          <w:shd w:val="clear" w:color="auto" w:fill="FFFFFF"/>
        </w:rPr>
        <w:t>: 146-148 [PMID: 8180768]</w:t>
      </w:r>
    </w:p>
    <w:p w14:paraId="75C63AFC"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 </w:t>
      </w:r>
      <w:r>
        <w:rPr>
          <w:rFonts w:ascii="Book Antiqua" w:hAnsi="Book Antiqua" w:cs="Book Antiqua"/>
          <w:b/>
          <w:color w:val="000000" w:themeColor="text1"/>
          <w:shd w:val="clear" w:color="auto" w:fill="FFFFFF"/>
        </w:rPr>
        <w:t>Kitano S</w:t>
      </w:r>
      <w:r>
        <w:rPr>
          <w:rFonts w:ascii="Book Antiqua" w:hAnsi="Book Antiqua" w:cs="Book Antiqua"/>
          <w:color w:val="000000" w:themeColor="text1"/>
          <w:shd w:val="clear" w:color="auto" w:fill="FFFFFF"/>
        </w:rPr>
        <w:t xml:space="preserve">, Yasuda K, Shiraishi N. Laparoscopic surgical resection for early gastric cancer. </w:t>
      </w:r>
      <w:r>
        <w:rPr>
          <w:rFonts w:ascii="Book Antiqua" w:hAnsi="Book Antiqua" w:cs="Book Antiqua"/>
          <w:i/>
          <w:color w:val="000000" w:themeColor="text1"/>
          <w:shd w:val="clear" w:color="auto" w:fill="FFFFFF"/>
        </w:rPr>
        <w:t>Eur J Gastroenterol Hepatol</w:t>
      </w:r>
      <w:r>
        <w:rPr>
          <w:rFonts w:ascii="Book Antiqua" w:hAnsi="Book Antiqua" w:cs="Book Antiqua"/>
          <w:color w:val="000000" w:themeColor="text1"/>
          <w:shd w:val="clear" w:color="auto" w:fill="FFFFFF"/>
        </w:rPr>
        <w:t xml:space="preserve"> 2006; </w:t>
      </w:r>
      <w:r>
        <w:rPr>
          <w:rFonts w:ascii="Book Antiqua" w:hAnsi="Book Antiqua" w:cs="Book Antiqua"/>
          <w:b/>
          <w:color w:val="000000" w:themeColor="text1"/>
          <w:shd w:val="clear" w:color="auto" w:fill="FFFFFF"/>
        </w:rPr>
        <w:t>18</w:t>
      </w:r>
      <w:r>
        <w:rPr>
          <w:rFonts w:ascii="Book Antiqua" w:hAnsi="Book Antiqua" w:cs="Book Antiqua"/>
          <w:color w:val="000000" w:themeColor="text1"/>
          <w:shd w:val="clear" w:color="auto" w:fill="FFFFFF"/>
        </w:rPr>
        <w:t>: 855-861 [PMID: 16825901 DOI: 10.1097/00042737-200608000-00008]</w:t>
      </w:r>
    </w:p>
    <w:p w14:paraId="50D1C890"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 </w:t>
      </w:r>
      <w:r>
        <w:rPr>
          <w:rFonts w:ascii="Book Antiqua" w:hAnsi="Book Antiqua" w:cs="Book Antiqua"/>
          <w:b/>
          <w:color w:val="000000" w:themeColor="text1"/>
          <w:shd w:val="clear" w:color="auto" w:fill="FFFFFF"/>
        </w:rPr>
        <w:t>Mochiki E</w:t>
      </w:r>
      <w:r>
        <w:rPr>
          <w:rFonts w:ascii="Book Antiqua" w:hAnsi="Book Antiqua" w:cs="Book Antiqua"/>
          <w:color w:val="000000" w:themeColor="text1"/>
          <w:shd w:val="clear" w:color="auto" w:fill="FFFFFF"/>
        </w:rPr>
        <w:t xml:space="preserve">, Kamiyama Y, Aihara R, Nakabayashi T, Asao T, Kuwano H. Laparoscopic assisted distal gastrectomy for early gastric cancer: Five years' experience. </w:t>
      </w:r>
      <w:r>
        <w:rPr>
          <w:rFonts w:ascii="Book Antiqua" w:hAnsi="Book Antiqua" w:cs="Book Antiqua"/>
          <w:i/>
          <w:color w:val="000000" w:themeColor="text1"/>
          <w:shd w:val="clear" w:color="auto" w:fill="FFFFFF"/>
        </w:rPr>
        <w:t>Surgery</w:t>
      </w:r>
      <w:r>
        <w:rPr>
          <w:rFonts w:ascii="Book Antiqua" w:hAnsi="Book Antiqua" w:cs="Book Antiqua"/>
          <w:color w:val="000000" w:themeColor="text1"/>
          <w:shd w:val="clear" w:color="auto" w:fill="FFFFFF"/>
        </w:rPr>
        <w:t xml:space="preserve"> 2005; </w:t>
      </w:r>
      <w:r>
        <w:rPr>
          <w:rFonts w:ascii="Book Antiqua" w:hAnsi="Book Antiqua" w:cs="Book Antiqua"/>
          <w:b/>
          <w:color w:val="000000" w:themeColor="text1"/>
          <w:shd w:val="clear" w:color="auto" w:fill="FFFFFF"/>
        </w:rPr>
        <w:t>137</w:t>
      </w:r>
      <w:r>
        <w:rPr>
          <w:rFonts w:ascii="Book Antiqua" w:hAnsi="Book Antiqua" w:cs="Book Antiqua"/>
          <w:color w:val="000000" w:themeColor="text1"/>
          <w:shd w:val="clear" w:color="auto" w:fill="FFFFFF"/>
        </w:rPr>
        <w:t>: 317-322 [PMID: 15746786 DOI: 10.1016/j.surg.2004.10.012]</w:t>
      </w:r>
    </w:p>
    <w:p w14:paraId="1B080F43"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 </w:t>
      </w:r>
      <w:r>
        <w:rPr>
          <w:rFonts w:ascii="Book Antiqua" w:hAnsi="Book Antiqua" w:cs="Book Antiqua"/>
          <w:b/>
          <w:color w:val="000000" w:themeColor="text1"/>
          <w:shd w:val="clear" w:color="auto" w:fill="FFFFFF"/>
        </w:rPr>
        <w:t>Tanimura S</w:t>
      </w:r>
      <w:r>
        <w:rPr>
          <w:rFonts w:ascii="Book Antiqua" w:hAnsi="Book Antiqua" w:cs="Book Antiqua"/>
          <w:color w:val="000000" w:themeColor="text1"/>
          <w:shd w:val="clear" w:color="auto" w:fill="FFFFFF"/>
        </w:rPr>
        <w:t xml:space="preserve">, Higashino M, Fukunaga Y, Kishida S, Ogata A, Fujiwara Y, Osugi H. Respiratory function after laparoscopic distal gastrectomy--an index of minimally invasive surgery. </w:t>
      </w:r>
      <w:r>
        <w:rPr>
          <w:rFonts w:ascii="Book Antiqua" w:hAnsi="Book Antiqua" w:cs="Book Antiqua"/>
          <w:i/>
          <w:color w:val="000000" w:themeColor="text1"/>
          <w:shd w:val="clear" w:color="auto" w:fill="FFFFFF"/>
        </w:rPr>
        <w:t>World J Surg</w:t>
      </w:r>
      <w:r>
        <w:rPr>
          <w:rFonts w:ascii="Book Antiqua" w:hAnsi="Book Antiqua" w:cs="Book Antiqua"/>
          <w:color w:val="000000" w:themeColor="text1"/>
          <w:shd w:val="clear" w:color="auto" w:fill="FFFFFF"/>
        </w:rPr>
        <w:t xml:space="preserve"> 2006; </w:t>
      </w:r>
      <w:r>
        <w:rPr>
          <w:rFonts w:ascii="Book Antiqua" w:hAnsi="Book Antiqua" w:cs="Book Antiqua"/>
          <w:b/>
          <w:color w:val="000000" w:themeColor="text1"/>
          <w:shd w:val="clear" w:color="auto" w:fill="FFFFFF"/>
        </w:rPr>
        <w:t>30</w:t>
      </w:r>
      <w:r>
        <w:rPr>
          <w:rFonts w:ascii="Book Antiqua" w:hAnsi="Book Antiqua" w:cs="Book Antiqua"/>
          <w:color w:val="000000" w:themeColor="text1"/>
          <w:shd w:val="clear" w:color="auto" w:fill="FFFFFF"/>
        </w:rPr>
        <w:t>: 1211-1215 [PMID: 16715452 DOI: 10.1007/s00268-005-0115-9]</w:t>
      </w:r>
    </w:p>
    <w:p w14:paraId="1F3E33BD"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5 </w:t>
      </w:r>
      <w:r>
        <w:rPr>
          <w:rFonts w:ascii="Book Antiqua" w:hAnsi="Book Antiqua" w:cs="Book Antiqua"/>
          <w:b/>
          <w:color w:val="000000" w:themeColor="text1"/>
          <w:shd w:val="clear" w:color="auto" w:fill="FFFFFF"/>
        </w:rPr>
        <w:t>Azagra JS</w:t>
      </w:r>
      <w:r>
        <w:rPr>
          <w:rFonts w:ascii="Book Antiqua" w:hAnsi="Book Antiqua" w:cs="Book Antiqua"/>
          <w:color w:val="000000" w:themeColor="text1"/>
          <w:shd w:val="clear" w:color="auto" w:fill="FFFFFF"/>
        </w:rPr>
        <w:t xml:space="preserve">, Ibañez-Aguirre JF, Goergen M, Ceuterick M, Bordas-Rivas JM, Almendral-López ML, Moreno-Elola A, Takieddine M, Guérin E. Long-term results of laparoscopic extended surgery in advanced gastric cancer: a series of 101 patients. </w:t>
      </w:r>
      <w:r>
        <w:rPr>
          <w:rFonts w:ascii="Book Antiqua" w:hAnsi="Book Antiqua" w:cs="Book Antiqua"/>
          <w:i/>
          <w:color w:val="000000" w:themeColor="text1"/>
          <w:shd w:val="clear" w:color="auto" w:fill="FFFFFF"/>
        </w:rPr>
        <w:t>Hepatogastroenterology</w:t>
      </w:r>
      <w:r>
        <w:rPr>
          <w:rFonts w:ascii="Book Antiqua" w:hAnsi="Book Antiqua" w:cs="Book Antiqua"/>
          <w:color w:val="000000" w:themeColor="text1"/>
          <w:shd w:val="clear" w:color="auto" w:fill="FFFFFF"/>
        </w:rPr>
        <w:t xml:space="preserve"> 2006; </w:t>
      </w:r>
      <w:r>
        <w:rPr>
          <w:rFonts w:ascii="Book Antiqua" w:hAnsi="Book Antiqua" w:cs="Book Antiqua"/>
          <w:b/>
          <w:color w:val="000000" w:themeColor="text1"/>
          <w:shd w:val="clear" w:color="auto" w:fill="FFFFFF"/>
        </w:rPr>
        <w:t>53</w:t>
      </w:r>
      <w:r>
        <w:rPr>
          <w:rFonts w:ascii="Book Antiqua" w:hAnsi="Book Antiqua" w:cs="Book Antiqua"/>
          <w:color w:val="000000" w:themeColor="text1"/>
          <w:shd w:val="clear" w:color="auto" w:fill="FFFFFF"/>
        </w:rPr>
        <w:t>: 304-308 [PMID: 16608045]</w:t>
      </w:r>
    </w:p>
    <w:p w14:paraId="3053AE8E"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6 </w:t>
      </w:r>
      <w:r>
        <w:rPr>
          <w:rFonts w:ascii="Book Antiqua" w:hAnsi="Book Antiqua" w:cs="Book Antiqua"/>
          <w:b/>
          <w:color w:val="000000" w:themeColor="text1"/>
          <w:shd w:val="clear" w:color="auto" w:fill="FFFFFF"/>
        </w:rPr>
        <w:t>Kim MC</w:t>
      </w:r>
      <w:r>
        <w:rPr>
          <w:rFonts w:ascii="Book Antiqua" w:hAnsi="Book Antiqua" w:cs="Book Antiqua"/>
          <w:color w:val="000000" w:themeColor="text1"/>
          <w:shd w:val="clear" w:color="auto" w:fill="FFFFFF"/>
        </w:rPr>
        <w:t xml:space="preserve">, Kim HH, Jung GJ. Surgical outcome of laparoscopy-assisted gastrectomy with extraperigastric lymph node dissection for gastric cancer. </w:t>
      </w:r>
      <w:r>
        <w:rPr>
          <w:rFonts w:ascii="Book Antiqua" w:hAnsi="Book Antiqua" w:cs="Book Antiqua"/>
          <w:i/>
          <w:color w:val="000000" w:themeColor="text1"/>
          <w:shd w:val="clear" w:color="auto" w:fill="FFFFFF"/>
        </w:rPr>
        <w:t>Eur J Surg Oncol</w:t>
      </w:r>
      <w:r>
        <w:rPr>
          <w:rFonts w:ascii="Book Antiqua" w:hAnsi="Book Antiqua" w:cs="Book Antiqua"/>
          <w:color w:val="000000" w:themeColor="text1"/>
          <w:shd w:val="clear" w:color="auto" w:fill="FFFFFF"/>
        </w:rPr>
        <w:t xml:space="preserve"> 2005; </w:t>
      </w:r>
      <w:r>
        <w:rPr>
          <w:rFonts w:ascii="Book Antiqua" w:hAnsi="Book Antiqua" w:cs="Book Antiqua"/>
          <w:b/>
          <w:color w:val="000000" w:themeColor="text1"/>
          <w:shd w:val="clear" w:color="auto" w:fill="FFFFFF"/>
        </w:rPr>
        <w:t>31</w:t>
      </w:r>
      <w:r>
        <w:rPr>
          <w:rFonts w:ascii="Book Antiqua" w:hAnsi="Book Antiqua" w:cs="Book Antiqua"/>
          <w:color w:val="000000" w:themeColor="text1"/>
          <w:shd w:val="clear" w:color="auto" w:fill="FFFFFF"/>
        </w:rPr>
        <w:t>: 401-405 [PMID: 15837047 DOI: 10.1016/j.ejso.2004.11.007]</w:t>
      </w:r>
    </w:p>
    <w:p w14:paraId="155C4FB6"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7 </w:t>
      </w:r>
      <w:r>
        <w:rPr>
          <w:rFonts w:ascii="Book Antiqua" w:hAnsi="Book Antiqua" w:cs="Book Antiqua"/>
          <w:b/>
          <w:color w:val="000000" w:themeColor="text1"/>
          <w:shd w:val="clear" w:color="auto" w:fill="FFFFFF"/>
        </w:rPr>
        <w:t>Dulucq JL</w:t>
      </w:r>
      <w:r>
        <w:rPr>
          <w:rFonts w:ascii="Book Antiqua" w:hAnsi="Book Antiqua" w:cs="Book Antiqua"/>
          <w:color w:val="000000" w:themeColor="text1"/>
          <w:shd w:val="clear" w:color="auto" w:fill="FFFFFF"/>
        </w:rPr>
        <w:t xml:space="preserve">, Wintringer P, Perissat J, Mahajna A. Completely laparoscopic total and partial gastrectomy for benign and malignant diseases: a single institute's prospective analysis. </w:t>
      </w:r>
      <w:r>
        <w:rPr>
          <w:rFonts w:ascii="Book Antiqua" w:hAnsi="Book Antiqua" w:cs="Book Antiqua"/>
          <w:i/>
          <w:color w:val="000000" w:themeColor="text1"/>
          <w:shd w:val="clear" w:color="auto" w:fill="FFFFFF"/>
        </w:rPr>
        <w:t>J Am Coll Surg</w:t>
      </w:r>
      <w:r>
        <w:rPr>
          <w:rFonts w:ascii="Book Antiqua" w:hAnsi="Book Antiqua" w:cs="Book Antiqua"/>
          <w:color w:val="000000" w:themeColor="text1"/>
          <w:shd w:val="clear" w:color="auto" w:fill="FFFFFF"/>
        </w:rPr>
        <w:t xml:space="preserve"> 2005; </w:t>
      </w:r>
      <w:r>
        <w:rPr>
          <w:rFonts w:ascii="Book Antiqua" w:hAnsi="Book Antiqua" w:cs="Book Antiqua"/>
          <w:b/>
          <w:color w:val="000000" w:themeColor="text1"/>
          <w:shd w:val="clear" w:color="auto" w:fill="FFFFFF"/>
        </w:rPr>
        <w:t>200</w:t>
      </w:r>
      <w:r>
        <w:rPr>
          <w:rFonts w:ascii="Book Antiqua" w:hAnsi="Book Antiqua" w:cs="Book Antiqua"/>
          <w:color w:val="000000" w:themeColor="text1"/>
          <w:shd w:val="clear" w:color="auto" w:fill="FFFFFF"/>
        </w:rPr>
        <w:t>: 191-197 [PMID: 15664093 DOI: 10.1016/j.jamcollsurg.2004.10.004]</w:t>
      </w:r>
    </w:p>
    <w:p w14:paraId="116AAF98"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8 </w:t>
      </w:r>
      <w:r>
        <w:rPr>
          <w:rFonts w:ascii="Book Antiqua" w:hAnsi="Book Antiqua" w:cs="Book Antiqua"/>
          <w:b/>
          <w:color w:val="000000" w:themeColor="text1"/>
          <w:shd w:val="clear" w:color="auto" w:fill="FFFFFF"/>
        </w:rPr>
        <w:t>Uyama I</w:t>
      </w:r>
      <w:r>
        <w:rPr>
          <w:rFonts w:ascii="Book Antiqua" w:hAnsi="Book Antiqua" w:cs="Book Antiqua"/>
          <w:color w:val="000000" w:themeColor="text1"/>
          <w:shd w:val="clear" w:color="auto" w:fill="FFFFFF"/>
        </w:rPr>
        <w:t xml:space="preserve">, Sugioka A, Sakurai Y, Komori Y, Hanai T, Matsui H, Fujita J, Nakamura Y, Ochiai M, Hasumi A. Hand-assisted laparoscopic function- preserving and radical </w:t>
      </w:r>
      <w:r>
        <w:rPr>
          <w:rFonts w:ascii="Book Antiqua" w:hAnsi="Book Antiqua" w:cs="Book Antiqua"/>
          <w:color w:val="000000" w:themeColor="text1"/>
          <w:shd w:val="clear" w:color="auto" w:fill="FFFFFF"/>
        </w:rPr>
        <w:lastRenderedPageBreak/>
        <w:t xml:space="preserve">gastrectomies for advanced-stage proximal gastric cancer. </w:t>
      </w:r>
      <w:r>
        <w:rPr>
          <w:rFonts w:ascii="Book Antiqua" w:hAnsi="Book Antiqua" w:cs="Book Antiqua"/>
          <w:i/>
          <w:color w:val="000000" w:themeColor="text1"/>
          <w:shd w:val="clear" w:color="auto" w:fill="FFFFFF"/>
        </w:rPr>
        <w:t>J Am Coll Surg</w:t>
      </w:r>
      <w:r>
        <w:rPr>
          <w:rFonts w:ascii="Book Antiqua" w:hAnsi="Book Antiqua" w:cs="Book Antiqua"/>
          <w:color w:val="000000" w:themeColor="text1"/>
          <w:shd w:val="clear" w:color="auto" w:fill="FFFFFF"/>
        </w:rPr>
        <w:t xml:space="preserve"> 2004; </w:t>
      </w:r>
      <w:r>
        <w:rPr>
          <w:rFonts w:ascii="Book Antiqua" w:hAnsi="Book Antiqua" w:cs="Book Antiqua"/>
          <w:b/>
          <w:color w:val="000000" w:themeColor="text1"/>
          <w:shd w:val="clear" w:color="auto" w:fill="FFFFFF"/>
        </w:rPr>
        <w:t>199</w:t>
      </w:r>
      <w:r>
        <w:rPr>
          <w:rFonts w:ascii="Book Antiqua" w:hAnsi="Book Antiqua" w:cs="Book Antiqua"/>
          <w:color w:val="000000" w:themeColor="text1"/>
          <w:shd w:val="clear" w:color="auto" w:fill="FFFFFF"/>
        </w:rPr>
        <w:t>: 508-515 [PMID: 15325625 DOI: 10.1016/j.jamcollsurg.2004.04.020]</w:t>
      </w:r>
    </w:p>
    <w:p w14:paraId="44DF0FB8"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9 </w:t>
      </w:r>
      <w:r>
        <w:rPr>
          <w:rFonts w:ascii="Book Antiqua" w:hAnsi="Book Antiqua" w:cs="Book Antiqua"/>
          <w:b/>
          <w:color w:val="000000" w:themeColor="text1"/>
          <w:shd w:val="clear" w:color="auto" w:fill="FFFFFF"/>
        </w:rPr>
        <w:t>Kim MC</w:t>
      </w:r>
      <w:r>
        <w:rPr>
          <w:rFonts w:ascii="Book Antiqua" w:hAnsi="Book Antiqua" w:cs="Book Antiqua"/>
          <w:color w:val="000000" w:themeColor="text1"/>
          <w:shd w:val="clear" w:color="auto" w:fill="FFFFFF"/>
        </w:rPr>
        <w:t xml:space="preserve">, Kim KH, Kim HH, Jung GJ. Comparison of laparoscopy-assisted by conventional open distal gastrectomy and extraperigastric lymph node dissection in early gastric cancer. </w:t>
      </w:r>
      <w:r>
        <w:rPr>
          <w:rFonts w:ascii="Book Antiqua" w:hAnsi="Book Antiqua" w:cs="Book Antiqua"/>
          <w:i/>
          <w:color w:val="000000" w:themeColor="text1"/>
          <w:shd w:val="clear" w:color="auto" w:fill="FFFFFF"/>
        </w:rPr>
        <w:t>J Surg Oncol</w:t>
      </w:r>
      <w:r>
        <w:rPr>
          <w:rFonts w:ascii="Book Antiqua" w:hAnsi="Book Antiqua" w:cs="Book Antiqua"/>
          <w:color w:val="000000" w:themeColor="text1"/>
          <w:shd w:val="clear" w:color="auto" w:fill="FFFFFF"/>
        </w:rPr>
        <w:t xml:space="preserve"> 2005; </w:t>
      </w:r>
      <w:r>
        <w:rPr>
          <w:rFonts w:ascii="Book Antiqua" w:hAnsi="Book Antiqua" w:cs="Book Antiqua"/>
          <w:b/>
          <w:color w:val="000000" w:themeColor="text1"/>
          <w:shd w:val="clear" w:color="auto" w:fill="FFFFFF"/>
        </w:rPr>
        <w:t>91</w:t>
      </w:r>
      <w:r>
        <w:rPr>
          <w:rFonts w:ascii="Book Antiqua" w:hAnsi="Book Antiqua" w:cs="Book Antiqua"/>
          <w:color w:val="000000" w:themeColor="text1"/>
          <w:shd w:val="clear" w:color="auto" w:fill="FFFFFF"/>
        </w:rPr>
        <w:t>: 90-94 [PMID: 15999352 DOI: 10.1002/jso.20271]</w:t>
      </w:r>
    </w:p>
    <w:p w14:paraId="3C6AD3D8"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10 </w:t>
      </w:r>
      <w:r>
        <w:rPr>
          <w:rFonts w:ascii="Book Antiqua" w:hAnsi="Book Antiqua" w:cs="Book Antiqua"/>
          <w:b/>
          <w:color w:val="000000" w:themeColor="text1"/>
          <w:shd w:val="clear" w:color="auto" w:fill="FFFFFF"/>
        </w:rPr>
        <w:t>Gunderson LL</w:t>
      </w:r>
      <w:r>
        <w:rPr>
          <w:rFonts w:ascii="Book Antiqua" w:hAnsi="Book Antiqua" w:cs="Book Antiqua"/>
          <w:color w:val="000000" w:themeColor="text1"/>
          <w:shd w:val="clear" w:color="auto" w:fill="FFFFFF"/>
        </w:rPr>
        <w:t xml:space="preserve">. Gastric cancer--patterns of relapse after surgical resection. </w:t>
      </w:r>
      <w:r>
        <w:rPr>
          <w:rFonts w:ascii="Book Antiqua" w:hAnsi="Book Antiqua" w:cs="Book Antiqua"/>
          <w:i/>
          <w:color w:val="000000" w:themeColor="text1"/>
          <w:shd w:val="clear" w:color="auto" w:fill="FFFFFF"/>
        </w:rPr>
        <w:t>Semin Radiat Oncol</w:t>
      </w:r>
      <w:r>
        <w:rPr>
          <w:rFonts w:ascii="Book Antiqua" w:hAnsi="Book Antiqua" w:cs="Book Antiqua"/>
          <w:color w:val="000000" w:themeColor="text1"/>
          <w:shd w:val="clear" w:color="auto" w:fill="FFFFFF"/>
        </w:rPr>
        <w:t xml:space="preserve"> 2002; </w:t>
      </w:r>
      <w:r>
        <w:rPr>
          <w:rFonts w:ascii="Book Antiqua" w:hAnsi="Book Antiqua" w:cs="Book Antiqua"/>
          <w:b/>
          <w:color w:val="000000" w:themeColor="text1"/>
          <w:shd w:val="clear" w:color="auto" w:fill="FFFFFF"/>
        </w:rPr>
        <w:t>12</w:t>
      </w:r>
      <w:r>
        <w:rPr>
          <w:rFonts w:ascii="Book Antiqua" w:hAnsi="Book Antiqua" w:cs="Book Antiqua"/>
          <w:color w:val="000000" w:themeColor="text1"/>
          <w:shd w:val="clear" w:color="auto" w:fill="FFFFFF"/>
        </w:rPr>
        <w:t>: 150-161 [PMID: 11979416 DOI: 10.1053/srao.2002.30817]</w:t>
      </w:r>
    </w:p>
    <w:p w14:paraId="694DE2AD"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11 </w:t>
      </w:r>
      <w:r>
        <w:rPr>
          <w:rFonts w:ascii="Book Antiqua" w:hAnsi="Book Antiqua" w:cs="Book Antiqua"/>
          <w:b/>
          <w:color w:val="000000" w:themeColor="text1"/>
          <w:shd w:val="clear" w:color="auto" w:fill="FFFFFF"/>
        </w:rPr>
        <w:t>Wang XZ</w:t>
      </w:r>
      <w:r>
        <w:rPr>
          <w:rFonts w:ascii="Book Antiqua" w:hAnsi="Book Antiqua" w:cs="Book Antiqua"/>
          <w:color w:val="000000" w:themeColor="text1"/>
          <w:shd w:val="clear" w:color="auto" w:fill="FFFFFF"/>
        </w:rPr>
        <w:t xml:space="preserve">, Zeng ZY, Ye X, Sun J, Zhang ZM, Kang WM. Interpretation of the development of neoadjuvant therapy for gastric cancer based on the vicissitudes of the NCCN guidelines. </w:t>
      </w:r>
      <w:r>
        <w:rPr>
          <w:rFonts w:ascii="Book Antiqua" w:hAnsi="Book Antiqua" w:cs="Book Antiqua"/>
          <w:i/>
          <w:color w:val="000000" w:themeColor="text1"/>
          <w:shd w:val="clear" w:color="auto" w:fill="FFFFFF"/>
        </w:rPr>
        <w:t>World J Gastrointest Oncol</w:t>
      </w:r>
      <w:r>
        <w:rPr>
          <w:rFonts w:ascii="Book Antiqua" w:hAnsi="Book Antiqua" w:cs="Book Antiqua"/>
          <w:color w:val="000000" w:themeColor="text1"/>
          <w:shd w:val="clear" w:color="auto" w:fill="FFFFFF"/>
        </w:rPr>
        <w:t xml:space="preserve"> 2020; </w:t>
      </w:r>
      <w:r>
        <w:rPr>
          <w:rFonts w:ascii="Book Antiqua" w:hAnsi="Book Antiqua" w:cs="Book Antiqua"/>
          <w:b/>
          <w:color w:val="000000" w:themeColor="text1"/>
          <w:shd w:val="clear" w:color="auto" w:fill="FFFFFF"/>
        </w:rPr>
        <w:t>12</w:t>
      </w:r>
      <w:r>
        <w:rPr>
          <w:rFonts w:ascii="Book Antiqua" w:hAnsi="Book Antiqua" w:cs="Book Antiqua"/>
          <w:color w:val="000000" w:themeColor="text1"/>
          <w:shd w:val="clear" w:color="auto" w:fill="FFFFFF"/>
        </w:rPr>
        <w:t>: 37-53 [PMID: 31966912 DOI: 10.4251/wjgo.v12.i1.37]</w:t>
      </w:r>
    </w:p>
    <w:p w14:paraId="6BFE058D" w14:textId="4046E414"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12 </w:t>
      </w:r>
      <w:r>
        <w:rPr>
          <w:rFonts w:ascii="Book Antiqua" w:hAnsi="Book Antiqua" w:cs="Book Antiqua"/>
          <w:b/>
          <w:color w:val="000000" w:themeColor="text1"/>
          <w:shd w:val="clear" w:color="auto" w:fill="FFFFFF"/>
        </w:rPr>
        <w:t>Tsujimoto H</w:t>
      </w:r>
      <w:r>
        <w:rPr>
          <w:rFonts w:ascii="Book Antiqua" w:hAnsi="Book Antiqua" w:cs="Book Antiqua"/>
          <w:color w:val="000000" w:themeColor="text1"/>
          <w:shd w:val="clear" w:color="auto" w:fill="FFFFFF"/>
        </w:rPr>
        <w:t xml:space="preserve">, Kouzu K, Sugasawa H, Nomura S, Ito N, Harada M, Sugihara T, Ishibashi Y, Kishi Y, Ueno H. Impact of postoperative infectious complications on adjuvant chemotherapy administration after gastrectomy for advanced gastric cancer. </w:t>
      </w:r>
      <w:r>
        <w:rPr>
          <w:rFonts w:ascii="Book Antiqua" w:hAnsi="Book Antiqua" w:cs="Book Antiqua"/>
          <w:i/>
          <w:color w:val="000000" w:themeColor="text1"/>
          <w:shd w:val="clear" w:color="auto" w:fill="FFFFFF"/>
        </w:rPr>
        <w:t>Jpn J Clin Oncol</w:t>
      </w:r>
      <w:r>
        <w:rPr>
          <w:rFonts w:ascii="Book Antiqua" w:hAnsi="Book Antiqua" w:cs="Book Antiqua"/>
          <w:color w:val="000000" w:themeColor="text1"/>
          <w:shd w:val="clear" w:color="auto" w:fill="FFFFFF"/>
        </w:rPr>
        <w:t xml:space="preserve"> 2020</w:t>
      </w:r>
      <w:r w:rsidR="00500EBE">
        <w:rPr>
          <w:rFonts w:ascii="Book Antiqua" w:hAnsi="Book Antiqua" w:cs="Book Antiqua"/>
          <w:color w:val="000000" w:themeColor="text1"/>
          <w:shd w:val="clear" w:color="auto" w:fill="FFFFFF"/>
        </w:rPr>
        <w:t>;</w:t>
      </w:r>
      <w:r>
        <w:rPr>
          <w:rFonts w:ascii="Book Antiqua" w:hAnsi="Book Antiqua" w:cs="Book Antiqua"/>
          <w:color w:val="000000" w:themeColor="text1"/>
          <w:shd w:val="clear" w:color="auto" w:fill="FFFFFF"/>
        </w:rPr>
        <w:t xml:space="preserve"> </w:t>
      </w:r>
      <w:r w:rsidRPr="00500EBE">
        <w:rPr>
          <w:rFonts w:ascii="Book Antiqua" w:hAnsi="Book Antiqua" w:cs="Book Antiqua"/>
          <w:caps/>
        </w:rPr>
        <w:t>e</w:t>
      </w:r>
      <w:r>
        <w:rPr>
          <w:rFonts w:ascii="Book Antiqua" w:hAnsi="Book Antiqua" w:cs="Book Antiqua"/>
        </w:rPr>
        <w:t xml:space="preserve">pub ahead of print </w:t>
      </w:r>
      <w:r>
        <w:rPr>
          <w:rFonts w:ascii="Book Antiqua" w:hAnsi="Book Antiqua" w:cs="Book Antiqua"/>
          <w:color w:val="000000" w:themeColor="text1"/>
          <w:shd w:val="clear" w:color="auto" w:fill="FFFFFF"/>
        </w:rPr>
        <w:t>[PMID: 33236062 DOI: 10.1093/jjco/hyaa223]</w:t>
      </w:r>
    </w:p>
    <w:p w14:paraId="0B27D1FC" w14:textId="7F1F0B6F"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13 </w:t>
      </w:r>
      <w:r>
        <w:rPr>
          <w:rFonts w:ascii="Book Antiqua" w:hAnsi="Book Antiqua" w:cs="Book Antiqua"/>
          <w:b/>
          <w:bCs/>
          <w:color w:val="000000" w:themeColor="text1"/>
          <w:shd w:val="clear" w:color="auto" w:fill="FFFFFF"/>
        </w:rPr>
        <w:t>Leong T</w:t>
      </w:r>
      <w:r>
        <w:rPr>
          <w:rFonts w:ascii="Book Antiqua" w:hAnsi="Book Antiqua" w:cs="Book Antiqua"/>
          <w:color w:val="000000" w:themeColor="text1"/>
          <w:shd w:val="clear" w:color="auto" w:fill="FFFFFF"/>
        </w:rPr>
        <w:t>. A CRITICal period for chemoradiotherapy in gastric cancer.</w:t>
      </w:r>
      <w:r w:rsidR="007B0F78">
        <w:rPr>
          <w:rFonts w:ascii="Book Antiqua" w:hAnsi="Book Antiqua" w:cs="Book Antiqua"/>
          <w:color w:val="000000" w:themeColor="text1"/>
          <w:shd w:val="clear" w:color="auto" w:fill="FFFFFF"/>
        </w:rPr>
        <w:t xml:space="preserve"> </w:t>
      </w:r>
      <w:r w:rsidRPr="007B0F78">
        <w:rPr>
          <w:rFonts w:ascii="Book Antiqua" w:hAnsi="Book Antiqua" w:cs="Book Antiqua"/>
          <w:i/>
          <w:color w:val="000000" w:themeColor="text1"/>
          <w:shd w:val="clear" w:color="auto" w:fill="FFFFFF"/>
        </w:rPr>
        <w:t>Lancet Oncol</w:t>
      </w:r>
      <w:r w:rsidR="007B0F78" w:rsidRPr="007B0F78">
        <w:rPr>
          <w:rFonts w:ascii="Book Antiqua" w:hAnsi="Book Antiqua" w:cs="Book Antiqua"/>
          <w:i/>
          <w:color w:val="000000" w:themeColor="text1"/>
          <w:shd w:val="clear" w:color="auto" w:fill="FFFFFF"/>
        </w:rPr>
        <w:t xml:space="preserve"> </w:t>
      </w:r>
      <w:r>
        <w:rPr>
          <w:rFonts w:ascii="Book Antiqua" w:hAnsi="Book Antiqua" w:cs="Book Antiqua"/>
          <w:color w:val="000000" w:themeColor="text1"/>
          <w:shd w:val="clear" w:color="auto" w:fill="FFFFFF"/>
        </w:rPr>
        <w:t xml:space="preserve">2018; </w:t>
      </w:r>
      <w:r>
        <w:rPr>
          <w:rFonts w:ascii="Book Antiqua" w:hAnsi="Book Antiqua" w:cs="Book Antiqua"/>
          <w:b/>
          <w:bCs/>
          <w:color w:val="000000" w:themeColor="text1"/>
          <w:shd w:val="clear" w:color="auto" w:fill="FFFFFF"/>
        </w:rPr>
        <w:t>19</w:t>
      </w:r>
      <w:r>
        <w:rPr>
          <w:rFonts w:ascii="Book Antiqua" w:hAnsi="Book Antiqua" w:cs="Book Antiqua"/>
          <w:color w:val="000000" w:themeColor="text1"/>
          <w:shd w:val="clear" w:color="auto" w:fill="FFFFFF"/>
        </w:rPr>
        <w:t>: 581-583 [DOI: 10.1016/S1470-2045(18)30153-0]</w:t>
      </w:r>
    </w:p>
    <w:p w14:paraId="11AF696C"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14 </w:t>
      </w:r>
      <w:r>
        <w:rPr>
          <w:rFonts w:ascii="Book Antiqua" w:hAnsi="Book Antiqua" w:cs="Book Antiqua"/>
          <w:b/>
          <w:color w:val="000000" w:themeColor="text1"/>
          <w:shd w:val="clear" w:color="auto" w:fill="FFFFFF"/>
        </w:rPr>
        <w:t>Nomura E</w:t>
      </w:r>
      <w:r>
        <w:rPr>
          <w:rFonts w:ascii="Book Antiqua" w:hAnsi="Book Antiqua" w:cs="Book Antiqua"/>
          <w:color w:val="000000" w:themeColor="text1"/>
          <w:shd w:val="clear" w:color="auto" w:fill="FFFFFF"/>
        </w:rPr>
        <w:t xml:space="preserve">, Kayano H, Machida T, Izumi H, Yamamoto S, Sugawara A, Mukai M, Hasebe T. Neoadjuvant chemoradiotherapy for locally advanced gastric cancer with bulky lymph node metastasis: Five case reports. </w:t>
      </w:r>
      <w:r>
        <w:rPr>
          <w:rFonts w:ascii="Book Antiqua" w:hAnsi="Book Antiqua" w:cs="Book Antiqua"/>
          <w:i/>
          <w:color w:val="000000" w:themeColor="text1"/>
          <w:shd w:val="clear" w:color="auto" w:fill="FFFFFF"/>
        </w:rPr>
        <w:t>World J Clin Cases</w:t>
      </w:r>
      <w:r>
        <w:rPr>
          <w:rFonts w:ascii="Book Antiqua" w:hAnsi="Book Antiqua" w:cs="Book Antiqua"/>
          <w:color w:val="000000" w:themeColor="text1"/>
          <w:shd w:val="clear" w:color="auto" w:fill="FFFFFF"/>
        </w:rPr>
        <w:t xml:space="preserve"> 2020; </w:t>
      </w:r>
      <w:r>
        <w:rPr>
          <w:rFonts w:ascii="Book Antiqua" w:hAnsi="Book Antiqua" w:cs="Book Antiqua"/>
          <w:b/>
          <w:color w:val="000000" w:themeColor="text1"/>
          <w:shd w:val="clear" w:color="auto" w:fill="FFFFFF"/>
        </w:rPr>
        <w:t>8</w:t>
      </w:r>
      <w:r>
        <w:rPr>
          <w:rFonts w:ascii="Book Antiqua" w:hAnsi="Book Antiqua" w:cs="Book Antiqua"/>
          <w:color w:val="000000" w:themeColor="text1"/>
          <w:shd w:val="clear" w:color="auto" w:fill="FFFFFF"/>
        </w:rPr>
        <w:t>: 4177-4185 [PMID: 33024776 DOI: 10.12998/wjcc.v8.i18.4177]</w:t>
      </w:r>
    </w:p>
    <w:p w14:paraId="116C028B"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15 </w:t>
      </w:r>
      <w:r>
        <w:rPr>
          <w:rFonts w:ascii="Book Antiqua" w:hAnsi="Book Antiqua" w:cs="Book Antiqua"/>
          <w:b/>
          <w:color w:val="000000" w:themeColor="text1"/>
          <w:shd w:val="clear" w:color="auto" w:fill="FFFFFF"/>
        </w:rPr>
        <w:t>Kim MS</w:t>
      </w:r>
      <w:r>
        <w:rPr>
          <w:rFonts w:ascii="Book Antiqua" w:hAnsi="Book Antiqua" w:cs="Book Antiqua"/>
          <w:color w:val="000000" w:themeColor="text1"/>
          <w:shd w:val="clear" w:color="auto" w:fill="FFFFFF"/>
        </w:rPr>
        <w:t xml:space="preserve">, Lim JS, Hyung WJ, Lee YC, Rha SY, Keum KC, Koom WS. Neoadjuvant chemoradiotherapy followed by D2 gastrectomy in locally advanced gastric cancer. </w:t>
      </w:r>
      <w:r>
        <w:rPr>
          <w:rFonts w:ascii="Book Antiqua" w:hAnsi="Book Antiqua" w:cs="Book Antiqua"/>
          <w:i/>
          <w:color w:val="000000" w:themeColor="text1"/>
          <w:shd w:val="clear" w:color="auto" w:fill="FFFFFF"/>
        </w:rPr>
        <w:t>World J Gastroenterol</w:t>
      </w:r>
      <w:r>
        <w:rPr>
          <w:rFonts w:ascii="Book Antiqua" w:hAnsi="Book Antiqua" w:cs="Book Antiqua"/>
          <w:color w:val="000000" w:themeColor="text1"/>
          <w:shd w:val="clear" w:color="auto" w:fill="FFFFFF"/>
        </w:rPr>
        <w:t xml:space="preserve"> 2015; </w:t>
      </w:r>
      <w:r>
        <w:rPr>
          <w:rFonts w:ascii="Book Antiqua" w:hAnsi="Book Antiqua" w:cs="Book Antiqua"/>
          <w:b/>
          <w:color w:val="000000" w:themeColor="text1"/>
          <w:shd w:val="clear" w:color="auto" w:fill="FFFFFF"/>
        </w:rPr>
        <w:t>21</w:t>
      </w:r>
      <w:r>
        <w:rPr>
          <w:rFonts w:ascii="Book Antiqua" w:hAnsi="Book Antiqua" w:cs="Book Antiqua"/>
          <w:color w:val="000000" w:themeColor="text1"/>
          <w:shd w:val="clear" w:color="auto" w:fill="FFFFFF"/>
        </w:rPr>
        <w:t>: 2711-2718 [PMID: 25759540 DOI: 10.3748/wjg.v21.i9.2711]</w:t>
      </w:r>
    </w:p>
    <w:p w14:paraId="77AA4BB6"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16 </w:t>
      </w:r>
      <w:r>
        <w:rPr>
          <w:rFonts w:ascii="Book Antiqua" w:hAnsi="Book Antiqua" w:cs="Book Antiqua"/>
          <w:b/>
          <w:color w:val="000000" w:themeColor="text1"/>
          <w:shd w:val="clear" w:color="auto" w:fill="FFFFFF"/>
        </w:rPr>
        <w:t>Freites-Martinez A</w:t>
      </w:r>
      <w:r>
        <w:rPr>
          <w:rFonts w:ascii="Book Antiqua" w:hAnsi="Book Antiqua" w:cs="Book Antiqua"/>
          <w:color w:val="000000" w:themeColor="text1"/>
          <w:shd w:val="clear" w:color="auto" w:fill="FFFFFF"/>
        </w:rPr>
        <w:t xml:space="preserve">, Santana N, Arias-Santiago S, Viera A. Using the Common Terminology Criteria for Adverse Events (CTCAE - Version 5.0) to Evaluate the Severity of Adverse Events of Anticancer Therapies. </w:t>
      </w:r>
      <w:r>
        <w:rPr>
          <w:rFonts w:ascii="Book Antiqua" w:hAnsi="Book Antiqua" w:cs="Book Antiqua"/>
          <w:i/>
          <w:color w:val="000000" w:themeColor="text1"/>
          <w:shd w:val="clear" w:color="auto" w:fill="FFFFFF"/>
        </w:rPr>
        <w:t>Actas Dermosifiliogr</w:t>
      </w:r>
      <w:r>
        <w:rPr>
          <w:rFonts w:ascii="Book Antiqua" w:hAnsi="Book Antiqua" w:cs="Book Antiqua"/>
          <w:color w:val="000000" w:themeColor="text1"/>
          <w:shd w:val="clear" w:color="auto" w:fill="FFFFFF"/>
        </w:rPr>
        <w:t xml:space="preserve"> 2021; </w:t>
      </w:r>
      <w:r>
        <w:rPr>
          <w:rFonts w:ascii="Book Antiqua" w:hAnsi="Book Antiqua" w:cs="Book Antiqua"/>
          <w:b/>
          <w:color w:val="000000" w:themeColor="text1"/>
          <w:shd w:val="clear" w:color="auto" w:fill="FFFFFF"/>
        </w:rPr>
        <w:t>112</w:t>
      </w:r>
      <w:r>
        <w:rPr>
          <w:rFonts w:ascii="Book Antiqua" w:hAnsi="Book Antiqua" w:cs="Book Antiqua"/>
          <w:color w:val="000000" w:themeColor="text1"/>
          <w:shd w:val="clear" w:color="auto" w:fill="FFFFFF"/>
        </w:rPr>
        <w:t>: 90-92 [PMID: 32891586 DOI: 10.1016/j.ad.2019.05.009]</w:t>
      </w:r>
    </w:p>
    <w:p w14:paraId="5B276E51"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lastRenderedPageBreak/>
        <w:t xml:space="preserve">17 </w:t>
      </w:r>
      <w:r>
        <w:rPr>
          <w:rFonts w:ascii="Book Antiqua" w:hAnsi="Book Antiqua" w:cs="Book Antiqua"/>
          <w:b/>
          <w:color w:val="000000" w:themeColor="text1"/>
          <w:shd w:val="clear" w:color="auto" w:fill="FFFFFF"/>
        </w:rPr>
        <w:t>Eisenhauer EA</w:t>
      </w:r>
      <w:r>
        <w:rPr>
          <w:rFonts w:ascii="Book Antiqua" w:hAnsi="Book Antiqua" w:cs="Book Antiqua"/>
          <w:color w:val="000000" w:themeColor="text1"/>
          <w:shd w:val="clear" w:color="auto" w:fill="FFFFFF"/>
        </w:rPr>
        <w:t xml:space="preserve">, Therasse P, Bogaerts J, Schwartz LH, Sargent D, Ford R, Dancey J, Arbuck S, Gwyther S, Mooney M, Rubinstein L, Shankar L, Dodd L, Kaplan R, Lacombe D, Verweij J. New response evaluation criteria in solid tumours: revised RECIST guideline (version 1.1). </w:t>
      </w:r>
      <w:r>
        <w:rPr>
          <w:rFonts w:ascii="Book Antiqua" w:hAnsi="Book Antiqua" w:cs="Book Antiqua"/>
          <w:i/>
          <w:color w:val="000000" w:themeColor="text1"/>
          <w:shd w:val="clear" w:color="auto" w:fill="FFFFFF"/>
        </w:rPr>
        <w:t>Eur J Cancer</w:t>
      </w:r>
      <w:r>
        <w:rPr>
          <w:rFonts w:ascii="Book Antiqua" w:hAnsi="Book Antiqua" w:cs="Book Antiqua"/>
          <w:color w:val="000000" w:themeColor="text1"/>
          <w:shd w:val="clear" w:color="auto" w:fill="FFFFFF"/>
        </w:rPr>
        <w:t xml:space="preserve"> 2009; </w:t>
      </w:r>
      <w:r>
        <w:rPr>
          <w:rFonts w:ascii="Book Antiqua" w:hAnsi="Book Antiqua" w:cs="Book Antiqua"/>
          <w:b/>
          <w:color w:val="000000" w:themeColor="text1"/>
          <w:shd w:val="clear" w:color="auto" w:fill="FFFFFF"/>
        </w:rPr>
        <w:t>45</w:t>
      </w:r>
      <w:r>
        <w:rPr>
          <w:rFonts w:ascii="Book Antiqua" w:hAnsi="Book Antiqua" w:cs="Book Antiqua"/>
          <w:color w:val="000000" w:themeColor="text1"/>
          <w:shd w:val="clear" w:color="auto" w:fill="FFFFFF"/>
        </w:rPr>
        <w:t>: 228-247 [PMID: 19097774 DOI: 10.1016/j.ejca.2008.10.026]</w:t>
      </w:r>
    </w:p>
    <w:p w14:paraId="12BFF42B"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18 </w:t>
      </w:r>
      <w:r>
        <w:rPr>
          <w:rFonts w:ascii="Book Antiqua" w:hAnsi="Book Antiqua" w:cs="Book Antiqua"/>
          <w:b/>
          <w:color w:val="000000" w:themeColor="text1"/>
          <w:shd w:val="clear" w:color="auto" w:fill="FFFFFF"/>
        </w:rPr>
        <w:t>Clavien PA</w:t>
      </w:r>
      <w:r>
        <w:rPr>
          <w:rFonts w:ascii="Book Antiqua" w:hAnsi="Book Antiqua" w:cs="Book Antiqua"/>
          <w:color w:val="000000" w:themeColor="text1"/>
          <w:shd w:val="clear" w:color="auto" w:fill="FFFFFF"/>
        </w:rPr>
        <w:t xml:space="preserve">, Barkun J, de Oliveira ML, Vauthey JN, Dindo D, Schulick RD, de Santibañes E, Pekolj J, Slankamenac K, Bassi C, Graf R, Vonlanthen R, Padbury R, Cameron JL, Makuuchi M. The Clavien-Dindo classification of surgical complications: five-year experience. </w:t>
      </w:r>
      <w:r>
        <w:rPr>
          <w:rFonts w:ascii="Book Antiqua" w:hAnsi="Book Antiqua" w:cs="Book Antiqua"/>
          <w:i/>
          <w:color w:val="000000" w:themeColor="text1"/>
          <w:shd w:val="clear" w:color="auto" w:fill="FFFFFF"/>
        </w:rPr>
        <w:t>Ann Surg</w:t>
      </w:r>
      <w:r>
        <w:rPr>
          <w:rFonts w:ascii="Book Antiqua" w:hAnsi="Book Antiqua" w:cs="Book Antiqua"/>
          <w:color w:val="000000" w:themeColor="text1"/>
          <w:shd w:val="clear" w:color="auto" w:fill="FFFFFF"/>
        </w:rPr>
        <w:t xml:space="preserve"> 2009; </w:t>
      </w:r>
      <w:r>
        <w:rPr>
          <w:rFonts w:ascii="Book Antiqua" w:hAnsi="Book Antiqua" w:cs="Book Antiqua"/>
          <w:b/>
          <w:color w:val="000000" w:themeColor="text1"/>
          <w:shd w:val="clear" w:color="auto" w:fill="FFFFFF"/>
        </w:rPr>
        <w:t>250</w:t>
      </w:r>
      <w:r>
        <w:rPr>
          <w:rFonts w:ascii="Book Antiqua" w:hAnsi="Book Antiqua" w:cs="Book Antiqua"/>
          <w:color w:val="000000" w:themeColor="text1"/>
          <w:shd w:val="clear" w:color="auto" w:fill="FFFFFF"/>
        </w:rPr>
        <w:t>: 187-196 [PMID: 19638912 DOI: 10.1097/SLA.0b013e3181b13ca2]</w:t>
      </w:r>
    </w:p>
    <w:p w14:paraId="6906C7D2"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19 </w:t>
      </w:r>
      <w:r>
        <w:rPr>
          <w:rFonts w:ascii="Book Antiqua" w:hAnsi="Book Antiqua" w:cs="Book Antiqua"/>
          <w:b/>
          <w:color w:val="000000" w:themeColor="text1"/>
          <w:shd w:val="clear" w:color="auto" w:fill="FFFFFF"/>
        </w:rPr>
        <w:t>Park SH,</w:t>
      </w:r>
      <w:r>
        <w:rPr>
          <w:rFonts w:ascii="Book Antiqua" w:hAnsi="Book Antiqua" w:cs="Book Antiqua"/>
          <w:color w:val="000000" w:themeColor="text1"/>
          <w:shd w:val="clear" w:color="auto" w:fill="FFFFFF"/>
        </w:rPr>
        <w:t xml:space="preserve"> Zang DY, Han B, Ji JH, Kim TG, Oh SY, Hwang IG, Kim JH, Shin D, Lim DH, Kim KM, An JY, Choi M-G, Lee J-H, Sohn TS, Bae J-M, Kim S, Kim S, Lee J, Kang WK. ARTIST 2: Interim results of a phase III trial involving adjuvant chemotherapy and/or chemoradiotherapy after D2-gastrectomy in stage II/III gastric cancer (GC). </w:t>
      </w:r>
      <w:r w:rsidRPr="001D336C">
        <w:rPr>
          <w:rFonts w:ascii="Book Antiqua" w:hAnsi="Book Antiqua" w:cs="Book Antiqua"/>
          <w:i/>
          <w:color w:val="000000" w:themeColor="text1"/>
          <w:shd w:val="clear" w:color="auto" w:fill="FFFFFF"/>
        </w:rPr>
        <w:t>J Clin Oncol</w:t>
      </w:r>
      <w:r>
        <w:rPr>
          <w:rFonts w:ascii="Book Antiqua" w:hAnsi="Book Antiqua" w:cs="Book Antiqua"/>
          <w:color w:val="000000" w:themeColor="text1"/>
          <w:shd w:val="clear" w:color="auto" w:fill="FFFFFF"/>
        </w:rPr>
        <w:t xml:space="preserve"> 2019; </w:t>
      </w:r>
      <w:r>
        <w:rPr>
          <w:rFonts w:ascii="Book Antiqua" w:hAnsi="Book Antiqua" w:cs="Book Antiqua"/>
          <w:b/>
          <w:bCs/>
          <w:color w:val="000000" w:themeColor="text1"/>
          <w:shd w:val="clear" w:color="auto" w:fill="FFFFFF"/>
        </w:rPr>
        <w:t>37</w:t>
      </w:r>
      <w:r>
        <w:rPr>
          <w:rFonts w:ascii="Book Antiqua" w:hAnsi="Book Antiqua" w:cs="Book Antiqua"/>
          <w:color w:val="000000" w:themeColor="text1"/>
          <w:shd w:val="clear" w:color="auto" w:fill="FFFFFF"/>
        </w:rPr>
        <w:t xml:space="preserve"> suppl: 4001-4001 [DOI: 10.1200/JCO.2019.37.15_suppl.4001]</w:t>
      </w:r>
    </w:p>
    <w:p w14:paraId="442CB7F4"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20 </w:t>
      </w:r>
      <w:r>
        <w:rPr>
          <w:rFonts w:ascii="Book Antiqua" w:hAnsi="Book Antiqua" w:cs="Book Antiqua"/>
          <w:b/>
          <w:color w:val="000000" w:themeColor="text1"/>
          <w:shd w:val="clear" w:color="auto" w:fill="FFFFFF"/>
        </w:rPr>
        <w:t>Lee J</w:t>
      </w:r>
      <w:r>
        <w:rPr>
          <w:rFonts w:ascii="Book Antiqua" w:hAnsi="Book Antiqua" w:cs="Book Antiqua"/>
          <w:color w:val="000000" w:themeColor="text1"/>
          <w:shd w:val="clear" w:color="auto" w:fill="FFFFFF"/>
        </w:rPr>
        <w:t xml:space="preserve">, Lim DH, Kim S, Park SH, Park JO, Park YS, Lim HY, Choi MG, Sohn TS, Noh JH, Bae JM, Ahn YC, Sohn I, Jung SH, Park CK, Kim KM, Kang WK. Phase III trial comparing capecitabine plus cisplatin versus capecitabine plus cisplatin with concurrent capecitabine radiotherapy in completely resected gastric cancer with D2 lymph node dissection: the ARTIST trial. </w:t>
      </w:r>
      <w:r>
        <w:rPr>
          <w:rFonts w:ascii="Book Antiqua" w:hAnsi="Book Antiqua" w:cs="Book Antiqua"/>
          <w:i/>
          <w:color w:val="000000" w:themeColor="text1"/>
          <w:shd w:val="clear" w:color="auto" w:fill="FFFFFF"/>
        </w:rPr>
        <w:t>J Clin Oncol</w:t>
      </w:r>
      <w:r>
        <w:rPr>
          <w:rFonts w:ascii="Book Antiqua" w:hAnsi="Book Antiqua" w:cs="Book Antiqua"/>
          <w:color w:val="000000" w:themeColor="text1"/>
          <w:shd w:val="clear" w:color="auto" w:fill="FFFFFF"/>
        </w:rPr>
        <w:t xml:space="preserve"> 2012; </w:t>
      </w:r>
      <w:r>
        <w:rPr>
          <w:rFonts w:ascii="Book Antiqua" w:hAnsi="Book Antiqua" w:cs="Book Antiqua"/>
          <w:b/>
          <w:color w:val="000000" w:themeColor="text1"/>
          <w:shd w:val="clear" w:color="auto" w:fill="FFFFFF"/>
        </w:rPr>
        <w:t>30</w:t>
      </w:r>
      <w:r>
        <w:rPr>
          <w:rFonts w:ascii="Book Antiqua" w:hAnsi="Book Antiqua" w:cs="Book Antiqua"/>
          <w:color w:val="000000" w:themeColor="text1"/>
          <w:shd w:val="clear" w:color="auto" w:fill="FFFFFF"/>
        </w:rPr>
        <w:t>: 268-273 [PMID: 22184384 DOI: 10.1200/JCO.2011.39.1953]</w:t>
      </w:r>
    </w:p>
    <w:p w14:paraId="0299DE5E"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21 </w:t>
      </w:r>
      <w:r>
        <w:rPr>
          <w:rFonts w:ascii="Book Antiqua" w:hAnsi="Book Antiqua" w:cs="Book Antiqua"/>
          <w:b/>
          <w:color w:val="000000" w:themeColor="text1"/>
          <w:shd w:val="clear" w:color="auto" w:fill="FFFFFF"/>
        </w:rPr>
        <w:t>Roth AD</w:t>
      </w:r>
      <w:r>
        <w:rPr>
          <w:rFonts w:ascii="Book Antiqua" w:hAnsi="Book Antiqua" w:cs="Book Antiqua"/>
          <w:color w:val="000000" w:themeColor="text1"/>
          <w:shd w:val="clear" w:color="auto" w:fill="FFFFFF"/>
        </w:rPr>
        <w:t xml:space="preserve">, Allal AS, Bründler MA, de Peyer R, Mermillod B, Morel P, Huber O. Neoadjuvant radiochemotherapy for locally advanced gastric cancer: a phase I-II study. </w:t>
      </w:r>
      <w:r>
        <w:rPr>
          <w:rFonts w:ascii="Book Antiqua" w:hAnsi="Book Antiqua" w:cs="Book Antiqua"/>
          <w:i/>
          <w:color w:val="000000" w:themeColor="text1"/>
          <w:shd w:val="clear" w:color="auto" w:fill="FFFFFF"/>
        </w:rPr>
        <w:t>Ann Oncol</w:t>
      </w:r>
      <w:r>
        <w:rPr>
          <w:rFonts w:ascii="Book Antiqua" w:hAnsi="Book Antiqua" w:cs="Book Antiqua"/>
          <w:color w:val="000000" w:themeColor="text1"/>
          <w:shd w:val="clear" w:color="auto" w:fill="FFFFFF"/>
        </w:rPr>
        <w:t xml:space="preserve"> 2003; </w:t>
      </w:r>
      <w:r>
        <w:rPr>
          <w:rFonts w:ascii="Book Antiqua" w:hAnsi="Book Antiqua" w:cs="Book Antiqua"/>
          <w:b/>
          <w:color w:val="000000" w:themeColor="text1"/>
          <w:shd w:val="clear" w:color="auto" w:fill="FFFFFF"/>
        </w:rPr>
        <w:t>14</w:t>
      </w:r>
      <w:r>
        <w:rPr>
          <w:rFonts w:ascii="Book Antiqua" w:hAnsi="Book Antiqua" w:cs="Book Antiqua"/>
          <w:color w:val="000000" w:themeColor="text1"/>
          <w:shd w:val="clear" w:color="auto" w:fill="FFFFFF"/>
        </w:rPr>
        <w:t>: 110-115 [PMID: 12488302 DOI: 10.1093/annonc/mdg023]</w:t>
      </w:r>
    </w:p>
    <w:p w14:paraId="63F45DA4"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22 </w:t>
      </w:r>
      <w:r>
        <w:rPr>
          <w:rFonts w:ascii="Book Antiqua" w:hAnsi="Book Antiqua" w:cs="Book Antiqua"/>
          <w:b/>
          <w:color w:val="000000" w:themeColor="text1"/>
          <w:shd w:val="clear" w:color="auto" w:fill="FFFFFF"/>
        </w:rPr>
        <w:t>Skoropad VY</w:t>
      </w:r>
      <w:r>
        <w:rPr>
          <w:rFonts w:ascii="Book Antiqua" w:hAnsi="Book Antiqua" w:cs="Book Antiqua"/>
          <w:color w:val="000000" w:themeColor="text1"/>
          <w:shd w:val="clear" w:color="auto" w:fill="FFFFFF"/>
        </w:rPr>
        <w:t xml:space="preserve">, Berdov BA, Zagrebin VM. Preoperative radiotherapy in combination with metronidazole for resectable gastric cancer: long-term results of a phase 2 study. </w:t>
      </w:r>
      <w:r>
        <w:rPr>
          <w:rFonts w:ascii="Book Antiqua" w:hAnsi="Book Antiqua" w:cs="Book Antiqua"/>
          <w:i/>
          <w:color w:val="000000" w:themeColor="text1"/>
          <w:shd w:val="clear" w:color="auto" w:fill="FFFFFF"/>
        </w:rPr>
        <w:t>Eur J Surg Oncol</w:t>
      </w:r>
      <w:r>
        <w:rPr>
          <w:rFonts w:ascii="Book Antiqua" w:hAnsi="Book Antiqua" w:cs="Book Antiqua"/>
          <w:color w:val="000000" w:themeColor="text1"/>
          <w:shd w:val="clear" w:color="auto" w:fill="FFFFFF"/>
        </w:rPr>
        <w:t xml:space="preserve"> 2003; </w:t>
      </w:r>
      <w:r>
        <w:rPr>
          <w:rFonts w:ascii="Book Antiqua" w:hAnsi="Book Antiqua" w:cs="Book Antiqua"/>
          <w:b/>
          <w:color w:val="000000" w:themeColor="text1"/>
          <w:shd w:val="clear" w:color="auto" w:fill="FFFFFF"/>
        </w:rPr>
        <w:t>29</w:t>
      </w:r>
      <w:r>
        <w:rPr>
          <w:rFonts w:ascii="Book Antiqua" w:hAnsi="Book Antiqua" w:cs="Book Antiqua"/>
          <w:color w:val="000000" w:themeColor="text1"/>
          <w:shd w:val="clear" w:color="auto" w:fill="FFFFFF"/>
        </w:rPr>
        <w:t>: 166-170 [PMID: 12633560 DOI: 10.1053/ejso.2002.1324]</w:t>
      </w:r>
    </w:p>
    <w:p w14:paraId="30B93DD7"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23 </w:t>
      </w:r>
      <w:r>
        <w:rPr>
          <w:rFonts w:ascii="Book Antiqua" w:hAnsi="Book Antiqua" w:cs="Book Antiqua"/>
          <w:b/>
          <w:color w:val="000000" w:themeColor="text1"/>
          <w:shd w:val="clear" w:color="auto" w:fill="FFFFFF"/>
        </w:rPr>
        <w:t>Ajani JA</w:t>
      </w:r>
      <w:r>
        <w:rPr>
          <w:rFonts w:ascii="Book Antiqua" w:hAnsi="Book Antiqua" w:cs="Book Antiqua"/>
          <w:color w:val="000000" w:themeColor="text1"/>
          <w:shd w:val="clear" w:color="auto" w:fill="FFFFFF"/>
        </w:rPr>
        <w:t xml:space="preserve">, Mansfield PF, Janjan N, Morris J, Pisters PW, Lynch PM, Feig B, Myerson R, Nivers R, Cohen DS, Gunderson LL. Multi-institutional trial of preoperative </w:t>
      </w:r>
      <w:r>
        <w:rPr>
          <w:rFonts w:ascii="Book Antiqua" w:hAnsi="Book Antiqua" w:cs="Book Antiqua"/>
          <w:color w:val="000000" w:themeColor="text1"/>
          <w:shd w:val="clear" w:color="auto" w:fill="FFFFFF"/>
        </w:rPr>
        <w:lastRenderedPageBreak/>
        <w:t xml:space="preserve">chemoradiotherapy in patients with potentially resectable gastric carcinoma. </w:t>
      </w:r>
      <w:r>
        <w:rPr>
          <w:rFonts w:ascii="Book Antiqua" w:hAnsi="Book Antiqua" w:cs="Book Antiqua"/>
          <w:i/>
          <w:color w:val="000000" w:themeColor="text1"/>
          <w:shd w:val="clear" w:color="auto" w:fill="FFFFFF"/>
        </w:rPr>
        <w:t>J Clin Oncol</w:t>
      </w:r>
      <w:r>
        <w:rPr>
          <w:rFonts w:ascii="Book Antiqua" w:hAnsi="Book Antiqua" w:cs="Book Antiqua"/>
          <w:color w:val="000000" w:themeColor="text1"/>
          <w:shd w:val="clear" w:color="auto" w:fill="FFFFFF"/>
        </w:rPr>
        <w:t xml:space="preserve"> 2004; </w:t>
      </w:r>
      <w:r>
        <w:rPr>
          <w:rFonts w:ascii="Book Antiqua" w:hAnsi="Book Antiqua" w:cs="Book Antiqua"/>
          <w:b/>
          <w:color w:val="000000" w:themeColor="text1"/>
          <w:shd w:val="clear" w:color="auto" w:fill="FFFFFF"/>
        </w:rPr>
        <w:t>22</w:t>
      </w:r>
      <w:r>
        <w:rPr>
          <w:rFonts w:ascii="Book Antiqua" w:hAnsi="Book Antiqua" w:cs="Book Antiqua"/>
          <w:color w:val="000000" w:themeColor="text1"/>
          <w:shd w:val="clear" w:color="auto" w:fill="FFFFFF"/>
        </w:rPr>
        <w:t>: 2774-2780 [PMID: 15254045 DOI: 10.1200/JCO.2004.01.015]</w:t>
      </w:r>
    </w:p>
    <w:p w14:paraId="4D8622BE"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24 </w:t>
      </w:r>
      <w:r>
        <w:rPr>
          <w:rFonts w:ascii="Book Antiqua" w:hAnsi="Book Antiqua" w:cs="Book Antiqua"/>
          <w:b/>
          <w:color w:val="000000" w:themeColor="text1"/>
          <w:shd w:val="clear" w:color="auto" w:fill="FFFFFF"/>
        </w:rPr>
        <w:t>Ajani JA</w:t>
      </w:r>
      <w:r>
        <w:rPr>
          <w:rFonts w:ascii="Book Antiqua" w:hAnsi="Book Antiqua" w:cs="Book Antiqua"/>
          <w:color w:val="000000" w:themeColor="text1"/>
          <w:shd w:val="clear" w:color="auto" w:fill="FFFFFF"/>
        </w:rPr>
        <w:t xml:space="preserve">, Winter K, Okawara GS, Donohue JH, Pisters PW, Crane CH, Greskovich JF, Anne PR, Bradley JD, Willett C, Rich TA. Phase II trial of preoperative chemoradiation in patients with localized gastric adenocarcinoma (RTOG 9904): quality of combined modality therapy and pathologic response. </w:t>
      </w:r>
      <w:r>
        <w:rPr>
          <w:rFonts w:ascii="Book Antiqua" w:hAnsi="Book Antiqua" w:cs="Book Antiqua"/>
          <w:i/>
          <w:color w:val="000000" w:themeColor="text1"/>
          <w:shd w:val="clear" w:color="auto" w:fill="FFFFFF"/>
        </w:rPr>
        <w:t>J Clin Oncol</w:t>
      </w:r>
      <w:r>
        <w:rPr>
          <w:rFonts w:ascii="Book Antiqua" w:hAnsi="Book Antiqua" w:cs="Book Antiqua"/>
          <w:color w:val="000000" w:themeColor="text1"/>
          <w:shd w:val="clear" w:color="auto" w:fill="FFFFFF"/>
        </w:rPr>
        <w:t xml:space="preserve"> 2006; </w:t>
      </w:r>
      <w:r>
        <w:rPr>
          <w:rFonts w:ascii="Book Antiqua" w:hAnsi="Book Antiqua" w:cs="Book Antiqua"/>
          <w:b/>
          <w:color w:val="000000" w:themeColor="text1"/>
          <w:shd w:val="clear" w:color="auto" w:fill="FFFFFF"/>
        </w:rPr>
        <w:t>24</w:t>
      </w:r>
      <w:r>
        <w:rPr>
          <w:rFonts w:ascii="Book Antiqua" w:hAnsi="Book Antiqua" w:cs="Book Antiqua"/>
          <w:color w:val="000000" w:themeColor="text1"/>
          <w:shd w:val="clear" w:color="auto" w:fill="FFFFFF"/>
        </w:rPr>
        <w:t>: 3953-3958 [PMID: 16921048 DOI: 10.1200/JCO.2006.06.4840]</w:t>
      </w:r>
    </w:p>
    <w:p w14:paraId="2DEFB15C"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25 </w:t>
      </w:r>
      <w:r>
        <w:rPr>
          <w:rFonts w:ascii="Book Antiqua" w:hAnsi="Book Antiqua" w:cs="Book Antiqua"/>
          <w:b/>
          <w:color w:val="000000" w:themeColor="text1"/>
          <w:shd w:val="clear" w:color="auto" w:fill="FFFFFF"/>
        </w:rPr>
        <w:t>Wydmański J</w:t>
      </w:r>
      <w:r>
        <w:rPr>
          <w:rFonts w:ascii="Book Antiqua" w:hAnsi="Book Antiqua" w:cs="Book Antiqua"/>
          <w:color w:val="000000" w:themeColor="text1"/>
          <w:shd w:val="clear" w:color="auto" w:fill="FFFFFF"/>
        </w:rPr>
        <w:t xml:space="preserve">, Suwinski R, Poltorak S, Maka B, Miszczyk L, Wolny E, Bielaczyc G, Zajusz A. The tolerance and efficacy of preoperative chemoradiotherapy followed by gastrectomy in operable gastric cancer, a phase II study. </w:t>
      </w:r>
      <w:r>
        <w:rPr>
          <w:rFonts w:ascii="Book Antiqua" w:hAnsi="Book Antiqua" w:cs="Book Antiqua"/>
          <w:i/>
          <w:color w:val="000000" w:themeColor="text1"/>
          <w:shd w:val="clear" w:color="auto" w:fill="FFFFFF"/>
        </w:rPr>
        <w:t>Radiother Oncol</w:t>
      </w:r>
      <w:r>
        <w:rPr>
          <w:rFonts w:ascii="Book Antiqua" w:hAnsi="Book Antiqua" w:cs="Book Antiqua"/>
          <w:color w:val="000000" w:themeColor="text1"/>
          <w:shd w:val="clear" w:color="auto" w:fill="FFFFFF"/>
        </w:rPr>
        <w:t xml:space="preserve"> 2007; </w:t>
      </w:r>
      <w:r>
        <w:rPr>
          <w:rFonts w:ascii="Book Antiqua" w:hAnsi="Book Antiqua" w:cs="Book Antiqua"/>
          <w:b/>
          <w:color w:val="000000" w:themeColor="text1"/>
          <w:shd w:val="clear" w:color="auto" w:fill="FFFFFF"/>
        </w:rPr>
        <w:t>82</w:t>
      </w:r>
      <w:r>
        <w:rPr>
          <w:rFonts w:ascii="Book Antiqua" w:hAnsi="Book Antiqua" w:cs="Book Antiqua"/>
          <w:color w:val="000000" w:themeColor="text1"/>
          <w:shd w:val="clear" w:color="auto" w:fill="FFFFFF"/>
        </w:rPr>
        <w:t>: 132-136 [PMID: 17287038 DOI: 10.1016/j.radonc.2007.01.009]</w:t>
      </w:r>
    </w:p>
    <w:p w14:paraId="5F73E432"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26 </w:t>
      </w:r>
      <w:r>
        <w:rPr>
          <w:rFonts w:ascii="Book Antiqua" w:hAnsi="Book Antiqua" w:cs="Book Antiqua"/>
          <w:b/>
          <w:color w:val="000000" w:themeColor="text1"/>
          <w:shd w:val="clear" w:color="auto" w:fill="FFFFFF"/>
        </w:rPr>
        <w:t>Rivera F</w:t>
      </w:r>
      <w:r>
        <w:rPr>
          <w:rFonts w:ascii="Book Antiqua" w:hAnsi="Book Antiqua" w:cs="Book Antiqua"/>
          <w:color w:val="000000" w:themeColor="text1"/>
          <w:shd w:val="clear" w:color="auto" w:fill="FFFFFF"/>
        </w:rPr>
        <w:t xml:space="preserve">, Galán M, Tabernero J, Cervantes A, Vega-Villegas ME, Gallego J, Laquente B, Rodríguez E, Carrato A, Escudero P, Massutí B, Alonso-Orduña V, Cardenal A, Sáenz A, Giralt J, Yuste AL, Antón A, Aranda E; Spanish Cooperative Group for Digestive Tumour Therapy (TTD). Phase II trial of induction irinotecan-cisplatin followed by concurrent irinotecan-cisplatin and radiotherapy for unresectable, locally advanced gastric and oesophageal-gastric junction adenocarcinoma. </w:t>
      </w:r>
      <w:r>
        <w:rPr>
          <w:rFonts w:ascii="Book Antiqua" w:hAnsi="Book Antiqua" w:cs="Book Antiqua"/>
          <w:i/>
          <w:color w:val="000000" w:themeColor="text1"/>
          <w:shd w:val="clear" w:color="auto" w:fill="FFFFFF"/>
        </w:rPr>
        <w:t>Cancer Chemother Pharmacol</w:t>
      </w:r>
      <w:r>
        <w:rPr>
          <w:rFonts w:ascii="Book Antiqua" w:hAnsi="Book Antiqua" w:cs="Book Antiqua"/>
          <w:color w:val="000000" w:themeColor="text1"/>
          <w:shd w:val="clear" w:color="auto" w:fill="FFFFFF"/>
        </w:rPr>
        <w:t xml:space="preserve"> 2011; </w:t>
      </w:r>
      <w:r>
        <w:rPr>
          <w:rFonts w:ascii="Book Antiqua" w:hAnsi="Book Antiqua" w:cs="Book Antiqua"/>
          <w:b/>
          <w:color w:val="000000" w:themeColor="text1"/>
          <w:shd w:val="clear" w:color="auto" w:fill="FFFFFF"/>
        </w:rPr>
        <w:t>67</w:t>
      </w:r>
      <w:r>
        <w:rPr>
          <w:rFonts w:ascii="Book Antiqua" w:hAnsi="Book Antiqua" w:cs="Book Antiqua"/>
          <w:color w:val="000000" w:themeColor="text1"/>
          <w:shd w:val="clear" w:color="auto" w:fill="FFFFFF"/>
        </w:rPr>
        <w:t>: 75-82 [PMID: 20198372 DOI: 10.1007/s00280-010-1285-1]</w:t>
      </w:r>
    </w:p>
    <w:p w14:paraId="7C0640D4"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27 </w:t>
      </w:r>
      <w:r>
        <w:rPr>
          <w:rFonts w:ascii="Book Antiqua" w:hAnsi="Book Antiqua" w:cs="Book Antiqua"/>
          <w:b/>
          <w:color w:val="000000" w:themeColor="text1"/>
          <w:shd w:val="clear" w:color="auto" w:fill="FFFFFF"/>
        </w:rPr>
        <w:t>Pera M</w:t>
      </w:r>
      <w:r>
        <w:rPr>
          <w:rFonts w:ascii="Book Antiqua" w:hAnsi="Book Antiqua" w:cs="Book Antiqua"/>
          <w:color w:val="000000" w:themeColor="text1"/>
          <w:shd w:val="clear" w:color="auto" w:fill="FFFFFF"/>
        </w:rPr>
        <w:t xml:space="preserve">, Gallego R, Montagut C, Martín-Richard M, Iglesias M, Conill C, Reig A, Balagué C, Pétriz L, Momblan D, Bellmunt J, Maurel J. Phase II trial of preoperative chemoradiotherapy with oxaliplatin, cisplatin, and 5-FU in locally advanced esophageal and gastric cancer. </w:t>
      </w:r>
      <w:r>
        <w:rPr>
          <w:rFonts w:ascii="Book Antiqua" w:hAnsi="Book Antiqua" w:cs="Book Antiqua"/>
          <w:i/>
          <w:color w:val="000000" w:themeColor="text1"/>
          <w:shd w:val="clear" w:color="auto" w:fill="FFFFFF"/>
        </w:rPr>
        <w:t>Ann Oncol</w:t>
      </w:r>
      <w:r>
        <w:rPr>
          <w:rFonts w:ascii="Book Antiqua" w:hAnsi="Book Antiqua" w:cs="Book Antiqua"/>
          <w:color w:val="000000" w:themeColor="text1"/>
          <w:shd w:val="clear" w:color="auto" w:fill="FFFFFF"/>
        </w:rPr>
        <w:t xml:space="preserve"> 2012; </w:t>
      </w:r>
      <w:r>
        <w:rPr>
          <w:rFonts w:ascii="Book Antiqua" w:hAnsi="Book Antiqua" w:cs="Book Antiqua"/>
          <w:b/>
          <w:color w:val="000000" w:themeColor="text1"/>
          <w:shd w:val="clear" w:color="auto" w:fill="FFFFFF"/>
        </w:rPr>
        <w:t>23</w:t>
      </w:r>
      <w:r>
        <w:rPr>
          <w:rFonts w:ascii="Book Antiqua" w:hAnsi="Book Antiqua" w:cs="Book Antiqua"/>
          <w:color w:val="000000" w:themeColor="text1"/>
          <w:shd w:val="clear" w:color="auto" w:fill="FFFFFF"/>
        </w:rPr>
        <w:t>: 664-670 [PMID: 21652581 DOI: 10.1093/annonc/mdr291]</w:t>
      </w:r>
    </w:p>
    <w:p w14:paraId="16F21016"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28 </w:t>
      </w:r>
      <w:r>
        <w:rPr>
          <w:rFonts w:ascii="Book Antiqua" w:hAnsi="Book Antiqua" w:cs="Book Antiqua"/>
          <w:b/>
          <w:color w:val="000000" w:themeColor="text1"/>
          <w:shd w:val="clear" w:color="auto" w:fill="FFFFFF"/>
        </w:rPr>
        <w:t>Michel P</w:t>
      </w:r>
      <w:r>
        <w:rPr>
          <w:rFonts w:ascii="Book Antiqua" w:hAnsi="Book Antiqua" w:cs="Book Antiqua"/>
          <w:color w:val="000000" w:themeColor="text1"/>
          <w:shd w:val="clear" w:color="auto" w:fill="FFFFFF"/>
        </w:rPr>
        <w:t xml:space="preserve">, Breysacher G, Mornex F, Seitz JF, Pere-Verge D, Martel-Lafay I, Faroux R, Chapet S, Sobhani I, Pezet D, Aparicio T, Nguyen S, Dousset B, Jouve JL, Maillard E. Feasibility of preoperative and postoperative chemoradiotherapy in gastric adenocarcinoma. Two phase II studies done in parallel. Fédération Francophone de Cancérologie Digestive 0308. </w:t>
      </w:r>
      <w:r>
        <w:rPr>
          <w:rFonts w:ascii="Book Antiqua" w:hAnsi="Book Antiqua" w:cs="Book Antiqua"/>
          <w:i/>
          <w:color w:val="000000" w:themeColor="text1"/>
          <w:shd w:val="clear" w:color="auto" w:fill="FFFFFF"/>
        </w:rPr>
        <w:t>Eur J Cancer</w:t>
      </w:r>
      <w:r>
        <w:rPr>
          <w:rFonts w:ascii="Book Antiqua" w:hAnsi="Book Antiqua" w:cs="Book Antiqua"/>
          <w:color w:val="000000" w:themeColor="text1"/>
          <w:shd w:val="clear" w:color="auto" w:fill="FFFFFF"/>
        </w:rPr>
        <w:t xml:space="preserve"> 2014; </w:t>
      </w:r>
      <w:r>
        <w:rPr>
          <w:rFonts w:ascii="Book Antiqua" w:hAnsi="Book Antiqua" w:cs="Book Antiqua"/>
          <w:b/>
          <w:color w:val="000000" w:themeColor="text1"/>
          <w:shd w:val="clear" w:color="auto" w:fill="FFFFFF"/>
        </w:rPr>
        <w:t>50</w:t>
      </w:r>
      <w:r>
        <w:rPr>
          <w:rFonts w:ascii="Book Antiqua" w:hAnsi="Book Antiqua" w:cs="Book Antiqua"/>
          <w:color w:val="000000" w:themeColor="text1"/>
          <w:shd w:val="clear" w:color="auto" w:fill="FFFFFF"/>
        </w:rPr>
        <w:t>: 1076-1083 [PMID: 24433843 DOI: 10.1016/j.ejca.2013.12.009]</w:t>
      </w:r>
    </w:p>
    <w:p w14:paraId="5F5FD443"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lastRenderedPageBreak/>
        <w:t xml:space="preserve">29 </w:t>
      </w:r>
      <w:r>
        <w:rPr>
          <w:rFonts w:ascii="Book Antiqua" w:hAnsi="Book Antiqua" w:cs="Book Antiqua"/>
          <w:b/>
          <w:color w:val="000000" w:themeColor="text1"/>
          <w:shd w:val="clear" w:color="auto" w:fill="FFFFFF"/>
        </w:rPr>
        <w:t>Trip AK</w:t>
      </w:r>
      <w:r>
        <w:rPr>
          <w:rFonts w:ascii="Book Antiqua" w:hAnsi="Book Antiqua" w:cs="Book Antiqua"/>
          <w:color w:val="000000" w:themeColor="text1"/>
          <w:shd w:val="clear" w:color="auto" w:fill="FFFFFF"/>
        </w:rPr>
        <w:t xml:space="preserve">, Poppema BJ, van Berge Henegouwen MI, Siemerink E, Beukema JC, Verheij M, Plukker JT, Richel DJ, Hulshof MC, van Sandick JW, Cats A, Jansen EP, Hospers GA. Preoperative chemoradiotherapy in locally advanced gastric cancer, a phase I/II feasibility and efficacy study. </w:t>
      </w:r>
      <w:r>
        <w:rPr>
          <w:rFonts w:ascii="Book Antiqua" w:hAnsi="Book Antiqua" w:cs="Book Antiqua"/>
          <w:i/>
          <w:color w:val="000000" w:themeColor="text1"/>
          <w:shd w:val="clear" w:color="auto" w:fill="FFFFFF"/>
        </w:rPr>
        <w:t>Radiother Oncol</w:t>
      </w:r>
      <w:r>
        <w:rPr>
          <w:rFonts w:ascii="Book Antiqua" w:hAnsi="Book Antiqua" w:cs="Book Antiqua"/>
          <w:color w:val="000000" w:themeColor="text1"/>
          <w:shd w:val="clear" w:color="auto" w:fill="FFFFFF"/>
        </w:rPr>
        <w:t xml:space="preserve"> 2014; </w:t>
      </w:r>
      <w:r>
        <w:rPr>
          <w:rFonts w:ascii="Book Antiqua" w:hAnsi="Book Antiqua" w:cs="Book Antiqua"/>
          <w:b/>
          <w:color w:val="000000" w:themeColor="text1"/>
          <w:shd w:val="clear" w:color="auto" w:fill="FFFFFF"/>
        </w:rPr>
        <w:t>112</w:t>
      </w:r>
      <w:r>
        <w:rPr>
          <w:rFonts w:ascii="Book Antiqua" w:hAnsi="Book Antiqua" w:cs="Book Antiqua"/>
          <w:color w:val="000000" w:themeColor="text1"/>
          <w:shd w:val="clear" w:color="auto" w:fill="FFFFFF"/>
        </w:rPr>
        <w:t>: 284-288 [PMID: 24856116 DOI: 10.1016/j.radonc.2014.05.003]</w:t>
      </w:r>
    </w:p>
    <w:p w14:paraId="7A5EF7FC"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30 </w:t>
      </w:r>
      <w:r>
        <w:rPr>
          <w:rFonts w:ascii="Book Antiqua" w:hAnsi="Book Antiqua" w:cs="Book Antiqua"/>
          <w:b/>
          <w:color w:val="000000" w:themeColor="text1"/>
          <w:shd w:val="clear" w:color="auto" w:fill="FFFFFF"/>
        </w:rPr>
        <w:t>Liu X</w:t>
      </w:r>
      <w:r>
        <w:rPr>
          <w:rFonts w:ascii="Book Antiqua" w:hAnsi="Book Antiqua" w:cs="Book Antiqua"/>
          <w:color w:val="000000" w:themeColor="text1"/>
          <w:shd w:val="clear" w:color="auto" w:fill="FFFFFF"/>
        </w:rPr>
        <w:t xml:space="preserve">, Li G, Long Z, Yin J, Zhu X, Sheng W, Huang D, Zhu H, Zhang Z, Cai H, Huang H, Zhao G, Zhou Y, Zhang Z, Wang Y. Phase II trial of preoperative chemoradiation plus perioperative SOX chemotherapy in patients with locally advanced gastric cancer. </w:t>
      </w:r>
      <w:r>
        <w:rPr>
          <w:rFonts w:ascii="Book Antiqua" w:hAnsi="Book Antiqua" w:cs="Book Antiqua"/>
          <w:i/>
          <w:color w:val="000000" w:themeColor="text1"/>
          <w:shd w:val="clear" w:color="auto" w:fill="FFFFFF"/>
        </w:rPr>
        <w:t>J Surg Oncol</w:t>
      </w:r>
      <w:r>
        <w:rPr>
          <w:rFonts w:ascii="Book Antiqua" w:hAnsi="Book Antiqua" w:cs="Book Antiqua"/>
          <w:color w:val="000000" w:themeColor="text1"/>
          <w:shd w:val="clear" w:color="auto" w:fill="FFFFFF"/>
        </w:rPr>
        <w:t xml:space="preserve"> 2018; </w:t>
      </w:r>
      <w:r>
        <w:rPr>
          <w:rFonts w:ascii="Book Antiqua" w:hAnsi="Book Antiqua" w:cs="Book Antiqua"/>
          <w:b/>
          <w:color w:val="000000" w:themeColor="text1"/>
          <w:shd w:val="clear" w:color="auto" w:fill="FFFFFF"/>
        </w:rPr>
        <w:t>117</w:t>
      </w:r>
      <w:r>
        <w:rPr>
          <w:rFonts w:ascii="Book Antiqua" w:hAnsi="Book Antiqua" w:cs="Book Antiqua"/>
          <w:color w:val="000000" w:themeColor="text1"/>
          <w:shd w:val="clear" w:color="auto" w:fill="FFFFFF"/>
        </w:rPr>
        <w:t>: 692-698 [PMID: 29194623 DOI: 10.1002/jso.24917]</w:t>
      </w:r>
    </w:p>
    <w:p w14:paraId="285C8319"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31 </w:t>
      </w:r>
      <w:r>
        <w:rPr>
          <w:rFonts w:ascii="Book Antiqua" w:hAnsi="Book Antiqua" w:cs="Book Antiqua"/>
          <w:b/>
          <w:color w:val="000000" w:themeColor="text1"/>
          <w:shd w:val="clear" w:color="auto" w:fill="FFFFFF"/>
        </w:rPr>
        <w:t>Kim HS</w:t>
      </w:r>
      <w:r>
        <w:rPr>
          <w:rFonts w:ascii="Book Antiqua" w:hAnsi="Book Antiqua" w:cs="Book Antiqua"/>
          <w:color w:val="000000" w:themeColor="text1"/>
          <w:shd w:val="clear" w:color="auto" w:fill="FFFFFF"/>
        </w:rPr>
        <w:t xml:space="preserve">, Koom WS, Baek SE, Kim HI, Jung M, Beom SH, Kang B, Kim H, Chang JS, Choi YY, Son T, Cheong JH, Noh SH, Kim EH, Park JC, Shin SK, Lee SK, Lee YC, Shin SJ, Chung H, Jung I, Chung HC, Lim JS, Hyung WJ, Rha SY. Phase II trial of preoperative sequential chemotherapy followed by chemoradiotherapy for high-risk gastric cancer. </w:t>
      </w:r>
      <w:r>
        <w:rPr>
          <w:rFonts w:ascii="Book Antiqua" w:hAnsi="Book Antiqua" w:cs="Book Antiqua"/>
          <w:i/>
          <w:color w:val="000000" w:themeColor="text1"/>
          <w:shd w:val="clear" w:color="auto" w:fill="FFFFFF"/>
        </w:rPr>
        <w:t>Radiother Oncol</w:t>
      </w:r>
      <w:r>
        <w:rPr>
          <w:rFonts w:ascii="Book Antiqua" w:hAnsi="Book Antiqua" w:cs="Book Antiqua"/>
          <w:color w:val="000000" w:themeColor="text1"/>
          <w:shd w:val="clear" w:color="auto" w:fill="FFFFFF"/>
        </w:rPr>
        <w:t xml:space="preserve"> 2019; </w:t>
      </w:r>
      <w:r>
        <w:rPr>
          <w:rFonts w:ascii="Book Antiqua" w:hAnsi="Book Antiqua" w:cs="Book Antiqua"/>
          <w:b/>
          <w:color w:val="000000" w:themeColor="text1"/>
          <w:shd w:val="clear" w:color="auto" w:fill="FFFFFF"/>
        </w:rPr>
        <w:t>140</w:t>
      </w:r>
      <w:r>
        <w:rPr>
          <w:rFonts w:ascii="Book Antiqua" w:hAnsi="Book Antiqua" w:cs="Book Antiqua"/>
          <w:color w:val="000000" w:themeColor="text1"/>
          <w:shd w:val="clear" w:color="auto" w:fill="FFFFFF"/>
        </w:rPr>
        <w:t>: 143-149 [PMID: 31302344 DOI: 10.1016/j.radonc.2019.06.029]</w:t>
      </w:r>
    </w:p>
    <w:p w14:paraId="001E1600"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32 </w:t>
      </w:r>
      <w:r>
        <w:rPr>
          <w:rFonts w:ascii="Book Antiqua" w:hAnsi="Book Antiqua" w:cs="Book Antiqua"/>
          <w:b/>
          <w:color w:val="000000" w:themeColor="text1"/>
          <w:shd w:val="clear" w:color="auto" w:fill="FFFFFF"/>
        </w:rPr>
        <w:t>Skoropad V</w:t>
      </w:r>
      <w:r>
        <w:rPr>
          <w:rFonts w:ascii="Book Antiqua" w:hAnsi="Book Antiqua" w:cs="Book Antiqua"/>
          <w:color w:val="000000" w:themeColor="text1"/>
          <w:shd w:val="clear" w:color="auto" w:fill="FFFFFF"/>
        </w:rPr>
        <w:t xml:space="preserve">, Berdov B, Zagrebin V. Concentrated preoperative radiotherapy for resectable gastric cancer: 20-years follow-up of a randomized trial. </w:t>
      </w:r>
      <w:r>
        <w:rPr>
          <w:rFonts w:ascii="Book Antiqua" w:hAnsi="Book Antiqua" w:cs="Book Antiqua"/>
          <w:i/>
          <w:color w:val="000000" w:themeColor="text1"/>
          <w:shd w:val="clear" w:color="auto" w:fill="FFFFFF"/>
        </w:rPr>
        <w:t>J Surg Oncol</w:t>
      </w:r>
      <w:r>
        <w:rPr>
          <w:rFonts w:ascii="Book Antiqua" w:hAnsi="Book Antiqua" w:cs="Book Antiqua"/>
          <w:color w:val="000000" w:themeColor="text1"/>
          <w:shd w:val="clear" w:color="auto" w:fill="FFFFFF"/>
        </w:rPr>
        <w:t xml:space="preserve"> 2002; </w:t>
      </w:r>
      <w:r>
        <w:rPr>
          <w:rFonts w:ascii="Book Antiqua" w:hAnsi="Book Antiqua" w:cs="Book Antiqua"/>
          <w:b/>
          <w:color w:val="000000" w:themeColor="text1"/>
          <w:shd w:val="clear" w:color="auto" w:fill="FFFFFF"/>
        </w:rPr>
        <w:t>80</w:t>
      </w:r>
      <w:r>
        <w:rPr>
          <w:rFonts w:ascii="Book Antiqua" w:hAnsi="Book Antiqua" w:cs="Book Antiqua"/>
          <w:color w:val="000000" w:themeColor="text1"/>
          <w:shd w:val="clear" w:color="auto" w:fill="FFFFFF"/>
        </w:rPr>
        <w:t>: 72-78 [PMID: 12173383 DOI: 10.1002/jso.10102]</w:t>
      </w:r>
    </w:p>
    <w:p w14:paraId="1D3EAF28"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33 </w:t>
      </w:r>
      <w:r>
        <w:rPr>
          <w:rFonts w:ascii="Book Antiqua" w:hAnsi="Book Antiqua" w:cs="Book Antiqua"/>
          <w:b/>
          <w:color w:val="000000" w:themeColor="text1"/>
          <w:shd w:val="clear" w:color="auto" w:fill="FFFFFF"/>
        </w:rPr>
        <w:t>Leong T</w:t>
      </w:r>
      <w:r>
        <w:rPr>
          <w:rFonts w:ascii="Book Antiqua" w:hAnsi="Book Antiqua" w:cs="Book Antiqua"/>
          <w:color w:val="000000" w:themeColor="text1"/>
          <w:shd w:val="clear" w:color="auto" w:fill="FFFFFF"/>
        </w:rPr>
        <w:t xml:space="preserve">, Smithers BM, Michael M, Gebski V, Boussioutas A, Miller D, Simes J, Zalcberg J, Haustermans K, Lordick F, Schuhmacher C, Swallow C, Darling G, Wong R. TOPGEAR: a randomised phase III trial of perioperative ECF chemotherapy versus preoperative chemoradiation plus perioperative ECF chemotherapy for resectable gastric cancer (an international, intergroup trial of the AGITG/TROG/EORTC/NCIC CTG). </w:t>
      </w:r>
      <w:r>
        <w:rPr>
          <w:rFonts w:ascii="Book Antiqua" w:hAnsi="Book Antiqua" w:cs="Book Antiqua"/>
          <w:i/>
          <w:color w:val="000000" w:themeColor="text1"/>
          <w:shd w:val="clear" w:color="auto" w:fill="FFFFFF"/>
        </w:rPr>
        <w:t>BMC Cancer</w:t>
      </w:r>
      <w:r>
        <w:rPr>
          <w:rFonts w:ascii="Book Antiqua" w:hAnsi="Book Antiqua" w:cs="Book Antiqua"/>
          <w:color w:val="000000" w:themeColor="text1"/>
          <w:shd w:val="clear" w:color="auto" w:fill="FFFFFF"/>
        </w:rPr>
        <w:t xml:space="preserve"> 2015; </w:t>
      </w:r>
      <w:r>
        <w:rPr>
          <w:rFonts w:ascii="Book Antiqua" w:hAnsi="Book Antiqua" w:cs="Book Antiqua"/>
          <w:b/>
          <w:color w:val="000000" w:themeColor="text1"/>
          <w:shd w:val="clear" w:color="auto" w:fill="FFFFFF"/>
        </w:rPr>
        <w:t>15</w:t>
      </w:r>
      <w:r>
        <w:rPr>
          <w:rFonts w:ascii="Book Antiqua" w:hAnsi="Book Antiqua" w:cs="Book Antiqua"/>
          <w:color w:val="000000" w:themeColor="text1"/>
          <w:shd w:val="clear" w:color="auto" w:fill="FFFFFF"/>
        </w:rPr>
        <w:t>: 532 [PMID: 26194186 DOI: 10.1186/s12885-015-1529-x]</w:t>
      </w:r>
    </w:p>
    <w:p w14:paraId="08D24B02"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34 </w:t>
      </w:r>
      <w:r>
        <w:rPr>
          <w:rFonts w:ascii="Book Antiqua" w:hAnsi="Book Antiqua" w:cs="Book Antiqua"/>
          <w:b/>
          <w:color w:val="000000" w:themeColor="text1"/>
          <w:shd w:val="clear" w:color="auto" w:fill="FFFFFF"/>
        </w:rPr>
        <w:t>Liu X</w:t>
      </w:r>
      <w:r>
        <w:rPr>
          <w:rFonts w:ascii="Book Antiqua" w:hAnsi="Book Antiqua" w:cs="Book Antiqua"/>
          <w:color w:val="000000" w:themeColor="text1"/>
          <w:shd w:val="clear" w:color="auto" w:fill="FFFFFF"/>
        </w:rPr>
        <w:t xml:space="preserve">, Jin J, Cai H, Huang H, Zhao G, Zhou Y, Wu J, Du C, Long Z, Fang Y, Ma M, Li G, Zhou M, Yin J, Zhu X, Zhu J, Sheng W, Huang D, Zhu H, Zhang Z, Lu Q, Xie L, Zhang Z, Wang Y. Study protocol of a randomized phase III trial of comparing preoperative chemoradiation with preoperative chemotherapy in patients with locally advanced gastric cancer or esophagogastric junction adenocarcinoma: PREACT. </w:t>
      </w:r>
      <w:r>
        <w:rPr>
          <w:rFonts w:ascii="Book Antiqua" w:hAnsi="Book Antiqua" w:cs="Book Antiqua"/>
          <w:i/>
          <w:color w:val="000000" w:themeColor="text1"/>
          <w:shd w:val="clear" w:color="auto" w:fill="FFFFFF"/>
        </w:rPr>
        <w:t>BMC Cancer</w:t>
      </w:r>
      <w:r>
        <w:rPr>
          <w:rFonts w:ascii="Book Antiqua" w:hAnsi="Book Antiqua" w:cs="Book Antiqua"/>
          <w:color w:val="000000" w:themeColor="text1"/>
          <w:shd w:val="clear" w:color="auto" w:fill="FFFFFF"/>
        </w:rPr>
        <w:t xml:space="preserve"> 2019; </w:t>
      </w:r>
      <w:r>
        <w:rPr>
          <w:rFonts w:ascii="Book Antiqua" w:hAnsi="Book Antiqua" w:cs="Book Antiqua"/>
          <w:b/>
          <w:color w:val="000000" w:themeColor="text1"/>
          <w:shd w:val="clear" w:color="auto" w:fill="FFFFFF"/>
        </w:rPr>
        <w:t>19</w:t>
      </w:r>
      <w:r>
        <w:rPr>
          <w:rFonts w:ascii="Book Antiqua" w:hAnsi="Book Antiqua" w:cs="Book Antiqua"/>
          <w:color w:val="000000" w:themeColor="text1"/>
          <w:shd w:val="clear" w:color="auto" w:fill="FFFFFF"/>
        </w:rPr>
        <w:t>: 606 [PMID: 31221115 DOI: 10.1186/s12885-019-5728-8]</w:t>
      </w:r>
    </w:p>
    <w:p w14:paraId="06943371"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lastRenderedPageBreak/>
        <w:t xml:space="preserve">35 </w:t>
      </w:r>
      <w:r>
        <w:rPr>
          <w:rFonts w:ascii="Book Antiqua" w:hAnsi="Book Antiqua" w:cs="Book Antiqua"/>
          <w:b/>
          <w:color w:val="000000" w:themeColor="text1"/>
          <w:shd w:val="clear" w:color="auto" w:fill="FFFFFF"/>
        </w:rPr>
        <w:t>Yoshikawa T</w:t>
      </w:r>
      <w:r>
        <w:rPr>
          <w:rFonts w:ascii="Book Antiqua" w:hAnsi="Book Antiqua" w:cs="Book Antiqua"/>
          <w:color w:val="000000" w:themeColor="text1"/>
          <w:shd w:val="clear" w:color="auto" w:fill="FFFFFF"/>
        </w:rPr>
        <w:t xml:space="preserve">, Tanabe K, Nishikawa K, Ito Y, Matsui T, Kimura Y, Hirabayashi N, Mikata S, Iwahashi M, Fukushima R, Takiguchi N, Miyashiro I, Morita S, Miyashita Y, Tsuburaya A, Sakamoto J. Induction of a pathological complete response by four courses of neoadjuvant chemotherapy for gastric cancer: early results of the randomized phase II COMPASS trial. </w:t>
      </w:r>
      <w:r>
        <w:rPr>
          <w:rFonts w:ascii="Book Antiqua" w:hAnsi="Book Antiqua" w:cs="Book Antiqua"/>
          <w:i/>
          <w:color w:val="000000" w:themeColor="text1"/>
          <w:shd w:val="clear" w:color="auto" w:fill="FFFFFF"/>
        </w:rPr>
        <w:t>Ann Surg Oncol</w:t>
      </w:r>
      <w:r>
        <w:rPr>
          <w:rFonts w:ascii="Book Antiqua" w:hAnsi="Book Antiqua" w:cs="Book Antiqua"/>
          <w:color w:val="000000" w:themeColor="text1"/>
          <w:shd w:val="clear" w:color="auto" w:fill="FFFFFF"/>
        </w:rPr>
        <w:t xml:space="preserve"> 2014; </w:t>
      </w:r>
      <w:r>
        <w:rPr>
          <w:rFonts w:ascii="Book Antiqua" w:hAnsi="Book Antiqua" w:cs="Book Antiqua"/>
          <w:b/>
          <w:color w:val="000000" w:themeColor="text1"/>
          <w:shd w:val="clear" w:color="auto" w:fill="FFFFFF"/>
        </w:rPr>
        <w:t>21</w:t>
      </w:r>
      <w:r>
        <w:rPr>
          <w:rFonts w:ascii="Book Antiqua" w:hAnsi="Book Antiqua" w:cs="Book Antiqua"/>
          <w:color w:val="000000" w:themeColor="text1"/>
          <w:shd w:val="clear" w:color="auto" w:fill="FFFFFF"/>
        </w:rPr>
        <w:t>: 213-219 [PMID: 23838904 DOI: 10.1245/s10434-013-3055-x]</w:t>
      </w:r>
    </w:p>
    <w:p w14:paraId="7E8633DD"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36 </w:t>
      </w:r>
      <w:r>
        <w:rPr>
          <w:rFonts w:ascii="Book Antiqua" w:hAnsi="Book Antiqua" w:cs="Book Antiqua"/>
          <w:b/>
          <w:color w:val="000000" w:themeColor="text1"/>
          <w:shd w:val="clear" w:color="auto" w:fill="FFFFFF"/>
        </w:rPr>
        <w:t>Yu J</w:t>
      </w:r>
      <w:r>
        <w:rPr>
          <w:rFonts w:ascii="Book Antiqua" w:hAnsi="Book Antiqua" w:cs="Book Antiqua"/>
          <w:color w:val="000000" w:themeColor="text1"/>
          <w:shd w:val="clear" w:color="auto" w:fill="FFFFFF"/>
        </w:rPr>
        <w:t xml:space="preserve">, Huang C, Sun Y, Su X, Cao H, Hu J, Wang K, Suo J, Tao K, He X, Wei H, Ying M, Hu W, Du X, Hu Y, Liu H, Zheng C, Li P, Xie J, Liu F, Li Z, Zhao G, Yang K, Liu C, Li H, Chen P, Ji J, Li G; Chinese Laparoscopic Gastrointestinal Surgery Study (CLASS) Group. Effect of Laparoscopic </w:t>
      </w:r>
      <w:r>
        <w:rPr>
          <w:rFonts w:ascii="Book Antiqua" w:hAnsi="Book Antiqua" w:cs="Book Antiqua"/>
          <w:i/>
          <w:color w:val="000000" w:themeColor="text1"/>
          <w:shd w:val="clear" w:color="auto" w:fill="FFFFFF"/>
        </w:rPr>
        <w:t>vs</w:t>
      </w:r>
      <w:r>
        <w:rPr>
          <w:rFonts w:ascii="Book Antiqua" w:hAnsi="Book Antiqua" w:cs="Book Antiqua"/>
          <w:color w:val="000000" w:themeColor="text1"/>
          <w:shd w:val="clear" w:color="auto" w:fill="FFFFFF"/>
        </w:rPr>
        <w:t xml:space="preserve"> Open Distal Gastrectomy on 3-Year Disease-Free Survival in Patients With Locally Advanced Gastric Cancer: The CLASS-01 Randomized Clinical Trial. </w:t>
      </w:r>
      <w:r>
        <w:rPr>
          <w:rFonts w:ascii="Book Antiqua" w:hAnsi="Book Antiqua" w:cs="Book Antiqua"/>
          <w:i/>
          <w:color w:val="000000" w:themeColor="text1"/>
          <w:shd w:val="clear" w:color="auto" w:fill="FFFFFF"/>
        </w:rPr>
        <w:t>JAMA</w:t>
      </w:r>
      <w:r>
        <w:rPr>
          <w:rFonts w:ascii="Book Antiqua" w:hAnsi="Book Antiqua" w:cs="Book Antiqua"/>
          <w:color w:val="000000" w:themeColor="text1"/>
          <w:shd w:val="clear" w:color="auto" w:fill="FFFFFF"/>
        </w:rPr>
        <w:t xml:space="preserve"> 2019; </w:t>
      </w:r>
      <w:r>
        <w:rPr>
          <w:rFonts w:ascii="Book Antiqua" w:hAnsi="Book Antiqua" w:cs="Book Antiqua"/>
          <w:b/>
          <w:color w:val="000000" w:themeColor="text1"/>
          <w:shd w:val="clear" w:color="auto" w:fill="FFFFFF"/>
        </w:rPr>
        <w:t>321</w:t>
      </w:r>
      <w:r>
        <w:rPr>
          <w:rFonts w:ascii="Book Antiqua" w:hAnsi="Book Antiqua" w:cs="Book Antiqua"/>
          <w:color w:val="000000" w:themeColor="text1"/>
          <w:shd w:val="clear" w:color="auto" w:fill="FFFFFF"/>
        </w:rPr>
        <w:t>: 1983-1992 [PMID: 31135850 DOI: 10.1001/jama.2019.5359]</w:t>
      </w:r>
    </w:p>
    <w:p w14:paraId="7D809FDD"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37 </w:t>
      </w:r>
      <w:r>
        <w:rPr>
          <w:rFonts w:ascii="Book Antiqua" w:hAnsi="Book Antiqua" w:cs="Book Antiqua"/>
          <w:b/>
          <w:color w:val="000000" w:themeColor="text1"/>
          <w:shd w:val="clear" w:color="auto" w:fill="FFFFFF"/>
        </w:rPr>
        <w:t>Kim HH</w:t>
      </w:r>
      <w:r>
        <w:rPr>
          <w:rFonts w:ascii="Book Antiqua" w:hAnsi="Book Antiqua" w:cs="Book Antiqua"/>
          <w:color w:val="000000" w:themeColor="text1"/>
          <w:shd w:val="clear" w:color="auto" w:fill="FFFFFF"/>
        </w:rPr>
        <w:t xml:space="preserve">, Hyung WJ, Cho GS, Kim MC, Han SU, Kim W, Ryu SW, Lee HJ, Song KY. Morbidity and mortality of laparoscopic gastrectomy versus open gastrectomy for gastric cancer: an interim report--a phase III multicenter, prospective, randomized Trial (KLASS Trial). </w:t>
      </w:r>
      <w:r>
        <w:rPr>
          <w:rFonts w:ascii="Book Antiqua" w:hAnsi="Book Antiqua" w:cs="Book Antiqua"/>
          <w:i/>
          <w:color w:val="000000" w:themeColor="text1"/>
          <w:shd w:val="clear" w:color="auto" w:fill="FFFFFF"/>
        </w:rPr>
        <w:t>Ann Surg</w:t>
      </w:r>
      <w:r>
        <w:rPr>
          <w:rFonts w:ascii="Book Antiqua" w:hAnsi="Book Antiqua" w:cs="Book Antiqua"/>
          <w:color w:val="000000" w:themeColor="text1"/>
          <w:shd w:val="clear" w:color="auto" w:fill="FFFFFF"/>
        </w:rPr>
        <w:t xml:space="preserve"> 2010; </w:t>
      </w:r>
      <w:r>
        <w:rPr>
          <w:rFonts w:ascii="Book Antiqua" w:hAnsi="Book Antiqua" w:cs="Book Antiqua"/>
          <w:b/>
          <w:color w:val="000000" w:themeColor="text1"/>
          <w:shd w:val="clear" w:color="auto" w:fill="FFFFFF"/>
        </w:rPr>
        <w:t>251</w:t>
      </w:r>
      <w:r>
        <w:rPr>
          <w:rFonts w:ascii="Book Antiqua" w:hAnsi="Book Antiqua" w:cs="Book Antiqua"/>
          <w:color w:val="000000" w:themeColor="text1"/>
          <w:shd w:val="clear" w:color="auto" w:fill="FFFFFF"/>
        </w:rPr>
        <w:t>: 417-420 [PMID: 20160637 DOI: 10.1097/SLA.0b013e3181cc8f6b]</w:t>
      </w:r>
    </w:p>
    <w:p w14:paraId="4A81E7C8"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38 </w:t>
      </w:r>
      <w:r>
        <w:rPr>
          <w:rFonts w:ascii="Book Antiqua" w:hAnsi="Book Antiqua" w:cs="Book Antiqua"/>
          <w:b/>
          <w:color w:val="000000" w:themeColor="text1"/>
          <w:shd w:val="clear" w:color="auto" w:fill="FFFFFF"/>
        </w:rPr>
        <w:t>Zhao Y</w:t>
      </w:r>
      <w:r>
        <w:rPr>
          <w:rFonts w:ascii="Book Antiqua" w:hAnsi="Book Antiqua" w:cs="Book Antiqua"/>
          <w:color w:val="000000" w:themeColor="text1"/>
          <w:shd w:val="clear" w:color="auto" w:fill="FFFFFF"/>
        </w:rPr>
        <w:t xml:space="preserve">, Yu P, Hao Y, Qian F, Tang B, Shi Y, Luo H, Zhang Y. Comparison of outcomes for laparoscopically assisted and open radical distal gastrectomy with lymphadenectomy for advanced gastric cancer. </w:t>
      </w:r>
      <w:r>
        <w:rPr>
          <w:rFonts w:ascii="Book Antiqua" w:hAnsi="Book Antiqua" w:cs="Book Antiqua"/>
          <w:i/>
          <w:color w:val="000000" w:themeColor="text1"/>
          <w:shd w:val="clear" w:color="auto" w:fill="FFFFFF"/>
        </w:rPr>
        <w:t>Surg Endosc</w:t>
      </w:r>
      <w:r>
        <w:rPr>
          <w:rFonts w:ascii="Book Antiqua" w:hAnsi="Book Antiqua" w:cs="Book Antiqua"/>
          <w:color w:val="000000" w:themeColor="text1"/>
          <w:shd w:val="clear" w:color="auto" w:fill="FFFFFF"/>
        </w:rPr>
        <w:t xml:space="preserve"> 2011; </w:t>
      </w:r>
      <w:r>
        <w:rPr>
          <w:rFonts w:ascii="Book Antiqua" w:hAnsi="Book Antiqua" w:cs="Book Antiqua"/>
          <w:b/>
          <w:color w:val="000000" w:themeColor="text1"/>
          <w:shd w:val="clear" w:color="auto" w:fill="FFFFFF"/>
        </w:rPr>
        <w:t>25</w:t>
      </w:r>
      <w:r>
        <w:rPr>
          <w:rFonts w:ascii="Book Antiqua" w:hAnsi="Book Antiqua" w:cs="Book Antiqua"/>
          <w:color w:val="000000" w:themeColor="text1"/>
          <w:shd w:val="clear" w:color="auto" w:fill="FFFFFF"/>
        </w:rPr>
        <w:t>: 2960-2966 [PMID: 21512884 DOI: 10.1007/s00464-011-1652-y]</w:t>
      </w:r>
    </w:p>
    <w:p w14:paraId="74A5BF4A"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39 </w:t>
      </w:r>
      <w:r>
        <w:rPr>
          <w:rFonts w:ascii="Book Antiqua" w:hAnsi="Book Antiqua" w:cs="Book Antiqua"/>
          <w:b/>
          <w:color w:val="000000" w:themeColor="text1"/>
          <w:shd w:val="clear" w:color="auto" w:fill="FFFFFF"/>
        </w:rPr>
        <w:t>Pugliese R</w:t>
      </w:r>
      <w:r>
        <w:rPr>
          <w:rFonts w:ascii="Book Antiqua" w:hAnsi="Book Antiqua" w:cs="Book Antiqua"/>
          <w:color w:val="000000" w:themeColor="text1"/>
          <w:shd w:val="clear" w:color="auto" w:fill="FFFFFF"/>
        </w:rPr>
        <w:t xml:space="preserve">, Maggioni D, Sansonna F, Scandroglio I, Ferrari GC, Di Lernia S, Costanzi A, Pauna J, de Martini P. Total and subtotal laparoscopic gastrectomy for adenocarcinoma. </w:t>
      </w:r>
      <w:r>
        <w:rPr>
          <w:rFonts w:ascii="Book Antiqua" w:hAnsi="Book Antiqua" w:cs="Book Antiqua"/>
          <w:i/>
          <w:color w:val="000000" w:themeColor="text1"/>
          <w:shd w:val="clear" w:color="auto" w:fill="FFFFFF"/>
        </w:rPr>
        <w:t>Surg Endosc</w:t>
      </w:r>
      <w:r>
        <w:rPr>
          <w:rFonts w:ascii="Book Antiqua" w:hAnsi="Book Antiqua" w:cs="Book Antiqua"/>
          <w:color w:val="000000" w:themeColor="text1"/>
          <w:shd w:val="clear" w:color="auto" w:fill="FFFFFF"/>
        </w:rPr>
        <w:t xml:space="preserve"> 2007; </w:t>
      </w:r>
      <w:r>
        <w:rPr>
          <w:rFonts w:ascii="Book Antiqua" w:hAnsi="Book Antiqua" w:cs="Book Antiqua"/>
          <w:b/>
          <w:color w:val="000000" w:themeColor="text1"/>
          <w:shd w:val="clear" w:color="auto" w:fill="FFFFFF"/>
        </w:rPr>
        <w:t>21</w:t>
      </w:r>
      <w:r>
        <w:rPr>
          <w:rFonts w:ascii="Book Antiqua" w:hAnsi="Book Antiqua" w:cs="Book Antiqua"/>
          <w:color w:val="000000" w:themeColor="text1"/>
          <w:shd w:val="clear" w:color="auto" w:fill="FFFFFF"/>
        </w:rPr>
        <w:t>: 21-27 [PMID: 17031743 DOI: 10.1007/s00464-005-0409-x]</w:t>
      </w:r>
    </w:p>
    <w:p w14:paraId="15A87FB5"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40 </w:t>
      </w:r>
      <w:r>
        <w:rPr>
          <w:rFonts w:ascii="Book Antiqua" w:hAnsi="Book Antiqua" w:cs="Book Antiqua"/>
          <w:b/>
          <w:color w:val="000000" w:themeColor="text1"/>
          <w:shd w:val="clear" w:color="auto" w:fill="FFFFFF"/>
        </w:rPr>
        <w:t>Hwang SI</w:t>
      </w:r>
      <w:r>
        <w:rPr>
          <w:rFonts w:ascii="Book Antiqua" w:hAnsi="Book Antiqua" w:cs="Book Antiqua"/>
          <w:color w:val="000000" w:themeColor="text1"/>
          <w:shd w:val="clear" w:color="auto" w:fill="FFFFFF"/>
        </w:rPr>
        <w:t xml:space="preserve">, Kim HO, Yoo CH, Shin JH, Son BH. Laparoscopic-assisted distal gastrectomy versus open distal gastrectomy for advanced gastric cancer. </w:t>
      </w:r>
      <w:r>
        <w:rPr>
          <w:rFonts w:ascii="Book Antiqua" w:hAnsi="Book Antiqua" w:cs="Book Antiqua"/>
          <w:i/>
          <w:color w:val="000000" w:themeColor="text1"/>
          <w:shd w:val="clear" w:color="auto" w:fill="FFFFFF"/>
        </w:rPr>
        <w:t>Surg Endosc</w:t>
      </w:r>
      <w:r>
        <w:rPr>
          <w:rFonts w:ascii="Book Antiqua" w:hAnsi="Book Antiqua" w:cs="Book Antiqua"/>
          <w:color w:val="000000" w:themeColor="text1"/>
          <w:shd w:val="clear" w:color="auto" w:fill="FFFFFF"/>
        </w:rPr>
        <w:t xml:space="preserve"> 2009; </w:t>
      </w:r>
      <w:r>
        <w:rPr>
          <w:rFonts w:ascii="Book Antiqua" w:hAnsi="Book Antiqua" w:cs="Book Antiqua"/>
          <w:b/>
          <w:color w:val="000000" w:themeColor="text1"/>
          <w:shd w:val="clear" w:color="auto" w:fill="FFFFFF"/>
        </w:rPr>
        <w:t>23</w:t>
      </w:r>
      <w:r>
        <w:rPr>
          <w:rFonts w:ascii="Book Antiqua" w:hAnsi="Book Antiqua" w:cs="Book Antiqua"/>
          <w:color w:val="000000" w:themeColor="text1"/>
          <w:shd w:val="clear" w:color="auto" w:fill="FFFFFF"/>
        </w:rPr>
        <w:t>: 1252-1258 [PMID: 18855063 DOI: 10.1007/s00464-008-0140-5]</w:t>
      </w:r>
    </w:p>
    <w:p w14:paraId="7C38061C"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41 </w:t>
      </w:r>
      <w:r>
        <w:rPr>
          <w:rFonts w:ascii="Book Antiqua" w:hAnsi="Book Antiqua" w:cs="Book Antiqua"/>
          <w:b/>
          <w:color w:val="000000" w:themeColor="text1"/>
          <w:shd w:val="clear" w:color="auto" w:fill="FFFFFF"/>
        </w:rPr>
        <w:t>Wang N</w:t>
      </w:r>
      <w:r>
        <w:rPr>
          <w:rFonts w:ascii="Book Antiqua" w:hAnsi="Book Antiqua" w:cs="Book Antiqua"/>
          <w:color w:val="000000" w:themeColor="text1"/>
          <w:shd w:val="clear" w:color="auto" w:fill="FFFFFF"/>
        </w:rPr>
        <w:t xml:space="preserve">, Zhou A, Jin J, Huang H, Zhang Y, Chen Y, Zhao D. Open </w:t>
      </w:r>
      <w:r>
        <w:rPr>
          <w:rFonts w:ascii="Book Antiqua" w:hAnsi="Book Antiqua" w:cs="Book Antiqua"/>
          <w:i/>
          <w:color w:val="000000" w:themeColor="text1"/>
          <w:shd w:val="clear" w:color="auto" w:fill="FFFFFF"/>
        </w:rPr>
        <w:t>vs</w:t>
      </w:r>
      <w:r>
        <w:rPr>
          <w:rFonts w:ascii="Book Antiqua" w:hAnsi="Book Antiqua" w:cs="Book Antiqua"/>
          <w:color w:val="000000" w:themeColor="text1"/>
          <w:shd w:val="clear" w:color="auto" w:fill="FFFFFF"/>
        </w:rPr>
        <w:t xml:space="preserve">. laparoscopic surgery for locally advanced gastric cancer after neoadjuvant therapy: Short-term and </w:t>
      </w:r>
      <w:r>
        <w:rPr>
          <w:rFonts w:ascii="Book Antiqua" w:hAnsi="Book Antiqua" w:cs="Book Antiqua"/>
          <w:color w:val="000000" w:themeColor="text1"/>
          <w:shd w:val="clear" w:color="auto" w:fill="FFFFFF"/>
        </w:rPr>
        <w:lastRenderedPageBreak/>
        <w:t xml:space="preserve">long-term survival outcomes. </w:t>
      </w:r>
      <w:r>
        <w:rPr>
          <w:rFonts w:ascii="Book Antiqua" w:hAnsi="Book Antiqua" w:cs="Book Antiqua"/>
          <w:i/>
          <w:color w:val="000000" w:themeColor="text1"/>
          <w:shd w:val="clear" w:color="auto" w:fill="FFFFFF"/>
        </w:rPr>
        <w:t>Oncol Lett</w:t>
      </w:r>
      <w:r>
        <w:rPr>
          <w:rFonts w:ascii="Book Antiqua" w:hAnsi="Book Antiqua" w:cs="Book Antiqua"/>
          <w:color w:val="000000" w:themeColor="text1"/>
          <w:shd w:val="clear" w:color="auto" w:fill="FFFFFF"/>
        </w:rPr>
        <w:t xml:space="preserve"> 2020; </w:t>
      </w:r>
      <w:r>
        <w:rPr>
          <w:rFonts w:ascii="Book Antiqua" w:hAnsi="Book Antiqua" w:cs="Book Antiqua"/>
          <w:b/>
          <w:color w:val="000000" w:themeColor="text1"/>
          <w:shd w:val="clear" w:color="auto" w:fill="FFFFFF"/>
        </w:rPr>
        <w:t>20</w:t>
      </w:r>
      <w:r>
        <w:rPr>
          <w:rFonts w:ascii="Book Antiqua" w:hAnsi="Book Antiqua" w:cs="Book Antiqua"/>
          <w:color w:val="000000" w:themeColor="text1"/>
          <w:shd w:val="clear" w:color="auto" w:fill="FFFFFF"/>
        </w:rPr>
        <w:t>: 861-867 [PMID: 32566013 DOI: 10.3892/ol.2020.11626]</w:t>
      </w:r>
    </w:p>
    <w:p w14:paraId="0C4F6BB1"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42 </w:t>
      </w:r>
      <w:r>
        <w:rPr>
          <w:rFonts w:ascii="Book Antiqua" w:hAnsi="Book Antiqua" w:cs="Book Antiqua"/>
          <w:b/>
          <w:color w:val="000000" w:themeColor="text1"/>
          <w:shd w:val="clear" w:color="auto" w:fill="FFFFFF"/>
        </w:rPr>
        <w:t>Fujisaki M</w:t>
      </w:r>
      <w:r>
        <w:rPr>
          <w:rFonts w:ascii="Book Antiqua" w:hAnsi="Book Antiqua" w:cs="Book Antiqua"/>
          <w:color w:val="000000" w:themeColor="text1"/>
          <w:shd w:val="clear" w:color="auto" w:fill="FFFFFF"/>
        </w:rPr>
        <w:t xml:space="preserve">, Mitsumori N, Shinohara T, Takahashi N, Aoki H, Nyumura Y, Kitazawa S, Yanaga K. Short- and long-term outcomes of laparoscopic versus open gastrectomy for locally advanced gastric cancer following neoadjuvant chemotherapy. </w:t>
      </w:r>
      <w:r>
        <w:rPr>
          <w:rFonts w:ascii="Book Antiqua" w:hAnsi="Book Antiqua" w:cs="Book Antiqua"/>
          <w:i/>
          <w:color w:val="000000" w:themeColor="text1"/>
          <w:shd w:val="clear" w:color="auto" w:fill="FFFFFF"/>
        </w:rPr>
        <w:t>Surg Endosc</w:t>
      </w:r>
      <w:r>
        <w:rPr>
          <w:rFonts w:ascii="Book Antiqua" w:hAnsi="Book Antiqua" w:cs="Book Antiqua"/>
          <w:color w:val="000000" w:themeColor="text1"/>
          <w:shd w:val="clear" w:color="auto" w:fill="FFFFFF"/>
        </w:rPr>
        <w:t xml:space="preserve"> 2020 </w:t>
      </w:r>
      <w:r>
        <w:rPr>
          <w:rFonts w:ascii="Book Antiqua" w:hAnsi="Book Antiqua" w:cs="Book Antiqua"/>
        </w:rPr>
        <w:t xml:space="preserve">epub ahead of print </w:t>
      </w:r>
      <w:r>
        <w:rPr>
          <w:rFonts w:ascii="Book Antiqua" w:hAnsi="Book Antiqua" w:cs="Book Antiqua"/>
          <w:color w:val="000000" w:themeColor="text1"/>
          <w:shd w:val="clear" w:color="auto" w:fill="FFFFFF"/>
        </w:rPr>
        <w:t>[PMID: 32277356 DOI: 10.1007/s00464-020-07552-1]</w:t>
      </w:r>
    </w:p>
    <w:p w14:paraId="5DE3212B"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43 </w:t>
      </w:r>
      <w:r>
        <w:rPr>
          <w:rFonts w:ascii="Book Antiqua" w:hAnsi="Book Antiqua" w:cs="Book Antiqua"/>
          <w:b/>
          <w:color w:val="000000" w:themeColor="text1"/>
          <w:shd w:val="clear" w:color="auto" w:fill="FFFFFF"/>
        </w:rPr>
        <w:t>Li Z</w:t>
      </w:r>
      <w:r>
        <w:rPr>
          <w:rFonts w:ascii="Book Antiqua" w:hAnsi="Book Antiqua" w:cs="Book Antiqua"/>
          <w:color w:val="000000" w:themeColor="text1"/>
          <w:shd w:val="clear" w:color="auto" w:fill="FFFFFF"/>
        </w:rPr>
        <w:t xml:space="preserve">, Shan F, Wang Y, Li S, Jia Y, Zhang L, Yin D, Ji J. Laparoscopic versus open distal gastrectomy for locally advanced gastric cancer after neoadjuvant chemotherapy: safety and short-term oncologic results. </w:t>
      </w:r>
      <w:r>
        <w:rPr>
          <w:rFonts w:ascii="Book Antiqua" w:hAnsi="Book Antiqua" w:cs="Book Antiqua"/>
          <w:i/>
          <w:color w:val="000000" w:themeColor="text1"/>
          <w:shd w:val="clear" w:color="auto" w:fill="FFFFFF"/>
        </w:rPr>
        <w:t>Surg Endosc</w:t>
      </w:r>
      <w:r>
        <w:rPr>
          <w:rFonts w:ascii="Book Antiqua" w:hAnsi="Book Antiqua" w:cs="Book Antiqua"/>
          <w:color w:val="000000" w:themeColor="text1"/>
          <w:shd w:val="clear" w:color="auto" w:fill="FFFFFF"/>
        </w:rPr>
        <w:t xml:space="preserve"> 2016; </w:t>
      </w:r>
      <w:r>
        <w:rPr>
          <w:rFonts w:ascii="Book Antiqua" w:hAnsi="Book Antiqua" w:cs="Book Antiqua"/>
          <w:b/>
          <w:color w:val="000000" w:themeColor="text1"/>
          <w:shd w:val="clear" w:color="auto" w:fill="FFFFFF"/>
        </w:rPr>
        <w:t>30</w:t>
      </w:r>
      <w:r>
        <w:rPr>
          <w:rFonts w:ascii="Book Antiqua" w:hAnsi="Book Antiqua" w:cs="Book Antiqua"/>
          <w:color w:val="000000" w:themeColor="text1"/>
          <w:shd w:val="clear" w:color="auto" w:fill="FFFFFF"/>
        </w:rPr>
        <w:t>: 4265-4271 [PMID: 27287914 DOI: 10.1007/s00464-015-4739-z]</w:t>
      </w:r>
    </w:p>
    <w:p w14:paraId="6D7C4D7A"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44 </w:t>
      </w:r>
      <w:r>
        <w:rPr>
          <w:rFonts w:ascii="Book Antiqua" w:hAnsi="Book Antiqua" w:cs="Book Antiqua"/>
          <w:b/>
          <w:color w:val="000000" w:themeColor="text1"/>
          <w:shd w:val="clear" w:color="auto" w:fill="FFFFFF"/>
        </w:rPr>
        <w:t>Li ZY</w:t>
      </w:r>
      <w:r>
        <w:rPr>
          <w:rFonts w:ascii="Book Antiqua" w:hAnsi="Book Antiqua" w:cs="Book Antiqua"/>
          <w:color w:val="000000" w:themeColor="text1"/>
          <w:shd w:val="clear" w:color="auto" w:fill="FFFFFF"/>
        </w:rPr>
        <w:t xml:space="preserve">, Shan F, Zhang LH, Bu ZD, Wu AW, Wu XJ, Zong XL, Wu Q, Ren H, Ji JF. Complications after radical gastrectomy following FOLFOX7 neoadjuvant chemotherapy for gastric cancer. </w:t>
      </w:r>
      <w:r>
        <w:rPr>
          <w:rFonts w:ascii="Book Antiqua" w:hAnsi="Book Antiqua" w:cs="Book Antiqua"/>
          <w:i/>
          <w:color w:val="000000" w:themeColor="text1"/>
          <w:shd w:val="clear" w:color="auto" w:fill="FFFFFF"/>
        </w:rPr>
        <w:t>World J Surg Oncol</w:t>
      </w:r>
      <w:r>
        <w:rPr>
          <w:rFonts w:ascii="Book Antiqua" w:hAnsi="Book Antiqua" w:cs="Book Antiqua"/>
          <w:color w:val="000000" w:themeColor="text1"/>
          <w:shd w:val="clear" w:color="auto" w:fill="FFFFFF"/>
        </w:rPr>
        <w:t xml:space="preserve"> 2011; </w:t>
      </w:r>
      <w:r>
        <w:rPr>
          <w:rFonts w:ascii="Book Antiqua" w:hAnsi="Book Antiqua" w:cs="Book Antiqua"/>
          <w:b/>
          <w:color w:val="000000" w:themeColor="text1"/>
          <w:shd w:val="clear" w:color="auto" w:fill="FFFFFF"/>
        </w:rPr>
        <w:t>9</w:t>
      </w:r>
      <w:r>
        <w:rPr>
          <w:rFonts w:ascii="Book Antiqua" w:hAnsi="Book Antiqua" w:cs="Book Antiqua"/>
          <w:color w:val="000000" w:themeColor="text1"/>
          <w:shd w:val="clear" w:color="auto" w:fill="FFFFFF"/>
        </w:rPr>
        <w:t>: 110 [PMID: 21942969 DOI: 10.1186/1477-7819-9-110]</w:t>
      </w:r>
    </w:p>
    <w:p w14:paraId="54B53FE0" w14:textId="77777777" w:rsidR="00F0668A" w:rsidRDefault="00F0668A" w:rsidP="00F0668A">
      <w:pPr>
        <w:pStyle w:val="a7"/>
        <w:shd w:val="clear" w:color="auto" w:fill="FFFFFF"/>
        <w:adjustRightInd w:val="0"/>
        <w:snapToGrid w:val="0"/>
        <w:spacing w:beforeAutospacing="0" w:afterAutospacing="0" w:line="360" w:lineRule="auto"/>
        <w:jc w:val="both"/>
        <w:rPr>
          <w:rFonts w:ascii="Book Antiqua" w:hAnsi="Book Antiqua" w:cs="Book Antiqua"/>
          <w:color w:val="000000" w:themeColor="text1"/>
        </w:rPr>
      </w:pPr>
      <w:r>
        <w:rPr>
          <w:rFonts w:ascii="Book Antiqua" w:hAnsi="Book Antiqua" w:cs="Book Antiqua"/>
          <w:color w:val="000000" w:themeColor="text1"/>
          <w:shd w:val="clear" w:color="auto" w:fill="FFFFFF"/>
        </w:rPr>
        <w:t xml:space="preserve">45 </w:t>
      </w:r>
      <w:r>
        <w:rPr>
          <w:rFonts w:ascii="Book Antiqua" w:hAnsi="Book Antiqua" w:cs="Book Antiqua"/>
          <w:b/>
          <w:color w:val="000000" w:themeColor="text1"/>
          <w:shd w:val="clear" w:color="auto" w:fill="FFFFFF"/>
        </w:rPr>
        <w:t>Valenti V</w:t>
      </w:r>
      <w:r>
        <w:rPr>
          <w:rFonts w:ascii="Book Antiqua" w:hAnsi="Book Antiqua" w:cs="Book Antiqua"/>
          <w:color w:val="000000" w:themeColor="text1"/>
          <w:shd w:val="clear" w:color="auto" w:fill="FFFFFF"/>
        </w:rPr>
        <w:t xml:space="preserve">, Hernandez-Lizoaín JL, Beorlegui MC, Diaz-Gozalez JA, Regueira FM, Rodriguez JJ, Viudez A, Sola I, Cienfuegos JA. Morbidity, mortality, and pathological response in patients with gastric cancer preoperatively treated with chemotherapy or chemoradiotherapy. </w:t>
      </w:r>
      <w:r>
        <w:rPr>
          <w:rFonts w:ascii="Book Antiqua" w:hAnsi="Book Antiqua" w:cs="Book Antiqua"/>
          <w:i/>
          <w:color w:val="000000" w:themeColor="text1"/>
          <w:shd w:val="clear" w:color="auto" w:fill="FFFFFF"/>
        </w:rPr>
        <w:t>J Surg Oncol</w:t>
      </w:r>
      <w:r>
        <w:rPr>
          <w:rFonts w:ascii="Book Antiqua" w:hAnsi="Book Antiqua" w:cs="Book Antiqua"/>
          <w:color w:val="000000" w:themeColor="text1"/>
          <w:shd w:val="clear" w:color="auto" w:fill="FFFFFF"/>
        </w:rPr>
        <w:t xml:space="preserve"> 2011; </w:t>
      </w:r>
      <w:r>
        <w:rPr>
          <w:rFonts w:ascii="Book Antiqua" w:hAnsi="Book Antiqua" w:cs="Book Antiqua"/>
          <w:b/>
          <w:color w:val="000000" w:themeColor="text1"/>
          <w:shd w:val="clear" w:color="auto" w:fill="FFFFFF"/>
        </w:rPr>
        <w:t>104</w:t>
      </w:r>
      <w:r>
        <w:rPr>
          <w:rFonts w:ascii="Book Antiqua" w:hAnsi="Book Antiqua" w:cs="Book Antiqua"/>
          <w:color w:val="000000" w:themeColor="text1"/>
          <w:shd w:val="clear" w:color="auto" w:fill="FFFFFF"/>
        </w:rPr>
        <w:t>: 124-129 [PMID: 21509785 DOI: 10.1002/jso.21947]</w:t>
      </w:r>
    </w:p>
    <w:p w14:paraId="16FA28E1" w14:textId="45F43317" w:rsidR="00F0668A" w:rsidRDefault="00F0668A" w:rsidP="00F0668A">
      <w:pPr>
        <w:adjustRightInd w:val="0"/>
        <w:snapToGrid w:val="0"/>
        <w:spacing w:line="360" w:lineRule="auto"/>
        <w:jc w:val="both"/>
        <w:sectPr w:rsidR="00F0668A">
          <w:pgSz w:w="12240" w:h="15840"/>
          <w:pgMar w:top="1440" w:right="1440" w:bottom="1440" w:left="1440" w:header="720" w:footer="720" w:gutter="0"/>
          <w:cols w:space="720"/>
          <w:docGrid w:linePitch="360"/>
        </w:sectPr>
      </w:pPr>
    </w:p>
    <w:p w14:paraId="15FEF35E"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lastRenderedPageBreak/>
        <w:t>Footnotes</w:t>
      </w:r>
    </w:p>
    <w:p w14:paraId="70CB1664"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szCs w:val="22"/>
        </w:rPr>
        <w:t>Informed consent was obtained from the patient for the publication of this case report and any accompanying imaging and pathological data.</w:t>
      </w:r>
    </w:p>
    <w:p w14:paraId="3A26F1D7" w14:textId="77777777" w:rsidR="00A77B3E" w:rsidRDefault="00A77B3E" w:rsidP="00F0668A">
      <w:pPr>
        <w:adjustRightInd w:val="0"/>
        <w:snapToGrid w:val="0"/>
        <w:spacing w:line="360" w:lineRule="auto"/>
        <w:jc w:val="both"/>
      </w:pPr>
    </w:p>
    <w:p w14:paraId="03189429"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szCs w:val="22"/>
        </w:rPr>
        <w:t>The authors declare that they have no conflicts of interest.</w:t>
      </w:r>
    </w:p>
    <w:p w14:paraId="60F88E35" w14:textId="77777777" w:rsidR="00A77B3E" w:rsidRDefault="00A77B3E" w:rsidP="00F0668A">
      <w:pPr>
        <w:adjustRightInd w:val="0"/>
        <w:snapToGrid w:val="0"/>
        <w:spacing w:line="360" w:lineRule="auto"/>
        <w:jc w:val="both"/>
      </w:pPr>
    </w:p>
    <w:p w14:paraId="3A7472A1"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szCs w:val="21"/>
        </w:rPr>
        <w:t xml:space="preserve">CARE Checklist (2016) statement: </w:t>
      </w:r>
      <w:r>
        <w:rPr>
          <w:rFonts w:ascii="Book Antiqua" w:eastAsia="Book Antiqua" w:hAnsi="Book Antiqua" w:cs="Book Antiqua"/>
          <w:color w:val="000000"/>
          <w:szCs w:val="22"/>
        </w:rPr>
        <w:t>The authors have read the CARE Checklist (2016), and the manuscript was prepared and revised according to the CARE Checklist (2016).</w:t>
      </w:r>
    </w:p>
    <w:p w14:paraId="205E6022" w14:textId="77777777" w:rsidR="00A77B3E" w:rsidRDefault="00A77B3E" w:rsidP="00F0668A">
      <w:pPr>
        <w:adjustRightInd w:val="0"/>
        <w:snapToGrid w:val="0"/>
        <w:spacing w:line="360" w:lineRule="auto"/>
        <w:jc w:val="both"/>
      </w:pPr>
    </w:p>
    <w:p w14:paraId="5F9AC36E" w14:textId="77777777" w:rsidR="00A77B3E" w:rsidRDefault="00F0668A" w:rsidP="00F0668A">
      <w:pPr>
        <w:adjustRightInd w:val="0"/>
        <w:snapToGrid w:val="0"/>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F482CF3" w14:textId="77777777" w:rsidR="00A77B3E" w:rsidRDefault="00A77B3E" w:rsidP="00F0668A">
      <w:pPr>
        <w:adjustRightInd w:val="0"/>
        <w:snapToGrid w:val="0"/>
        <w:spacing w:line="360" w:lineRule="auto"/>
        <w:jc w:val="both"/>
      </w:pPr>
    </w:p>
    <w:p w14:paraId="1EF145E3" w14:textId="7A6909A6"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E34F07">
        <w:rPr>
          <w:rFonts w:ascii="Book Antiqua" w:eastAsia="Book Antiqua" w:hAnsi="Book Antiqua" w:cs="Book Antiqua"/>
          <w:color w:val="000000"/>
        </w:rPr>
        <w:t>m</w:t>
      </w:r>
      <w:r>
        <w:rPr>
          <w:rFonts w:ascii="Book Antiqua" w:eastAsia="Book Antiqua" w:hAnsi="Book Antiqua" w:cs="Book Antiqua"/>
          <w:color w:val="000000"/>
        </w:rPr>
        <w:t>anuscript</w:t>
      </w:r>
    </w:p>
    <w:p w14:paraId="2912E69D" w14:textId="77777777" w:rsidR="00A77B3E" w:rsidRDefault="00A77B3E" w:rsidP="00F0668A">
      <w:pPr>
        <w:adjustRightInd w:val="0"/>
        <w:snapToGrid w:val="0"/>
        <w:spacing w:line="360" w:lineRule="auto"/>
        <w:jc w:val="both"/>
      </w:pPr>
    </w:p>
    <w:p w14:paraId="5525E402"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September 14, 2020</w:t>
      </w:r>
    </w:p>
    <w:p w14:paraId="29A90BCD"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November 23, 2020</w:t>
      </w:r>
    </w:p>
    <w:p w14:paraId="5536809A" w14:textId="44AE11DE" w:rsidR="00A77B3E" w:rsidRDefault="00F0668A" w:rsidP="00F0668A">
      <w:pPr>
        <w:adjustRightInd w:val="0"/>
        <w:snapToGrid w:val="0"/>
        <w:spacing w:line="360" w:lineRule="auto"/>
        <w:jc w:val="both"/>
      </w:pPr>
      <w:r>
        <w:rPr>
          <w:rFonts w:ascii="Book Antiqua" w:eastAsia="Book Antiqua" w:hAnsi="Book Antiqua" w:cs="Book Antiqua"/>
          <w:b/>
          <w:color w:val="000000"/>
        </w:rPr>
        <w:t>Article in press:</w:t>
      </w:r>
      <w:r w:rsidR="007D57AF" w:rsidRPr="007D57AF">
        <w:rPr>
          <w:rFonts w:ascii="Book Antiqua" w:eastAsia="Book Antiqua" w:hAnsi="Book Antiqua" w:cs="Book Antiqua"/>
          <w:color w:val="000000"/>
        </w:rPr>
        <w:t xml:space="preserve"> </w:t>
      </w:r>
      <w:r w:rsidR="007D57AF" w:rsidRPr="00EB7D30">
        <w:rPr>
          <w:rFonts w:ascii="Book Antiqua" w:eastAsia="Book Antiqua" w:hAnsi="Book Antiqua" w:cs="Book Antiqua"/>
          <w:color w:val="000000"/>
        </w:rPr>
        <w:t>February 11, 2021</w:t>
      </w:r>
      <w:r>
        <w:rPr>
          <w:rFonts w:ascii="Book Antiqua" w:eastAsia="Book Antiqua" w:hAnsi="Book Antiqua" w:cs="Book Antiqua"/>
          <w:b/>
          <w:color w:val="000000"/>
        </w:rPr>
        <w:t xml:space="preserve"> </w:t>
      </w:r>
    </w:p>
    <w:p w14:paraId="26F07893" w14:textId="77777777" w:rsidR="00A77B3E" w:rsidRDefault="00A77B3E" w:rsidP="00F0668A">
      <w:pPr>
        <w:adjustRightInd w:val="0"/>
        <w:snapToGrid w:val="0"/>
        <w:spacing w:line="360" w:lineRule="auto"/>
        <w:jc w:val="both"/>
      </w:pPr>
    </w:p>
    <w:p w14:paraId="724E7711" w14:textId="76B8788A"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Gastroenterology and </w:t>
      </w:r>
      <w:r w:rsidR="00E34F07">
        <w:rPr>
          <w:rFonts w:ascii="Book Antiqua" w:eastAsia="Book Antiqua" w:hAnsi="Book Antiqua" w:cs="Book Antiqua"/>
          <w:color w:val="000000"/>
        </w:rPr>
        <w:t>h</w:t>
      </w:r>
      <w:r>
        <w:rPr>
          <w:rFonts w:ascii="Book Antiqua" w:eastAsia="Book Antiqua" w:hAnsi="Book Antiqua" w:cs="Book Antiqua"/>
          <w:color w:val="000000"/>
        </w:rPr>
        <w:t>epatology</w:t>
      </w:r>
    </w:p>
    <w:p w14:paraId="473AB4F2"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323C85CD" w14:textId="77777777" w:rsidR="00A77B3E" w:rsidRDefault="00F0668A" w:rsidP="00F0668A">
      <w:pPr>
        <w:adjustRightInd w:val="0"/>
        <w:snapToGrid w:val="0"/>
        <w:spacing w:line="360" w:lineRule="auto"/>
        <w:jc w:val="both"/>
      </w:pPr>
      <w:r>
        <w:rPr>
          <w:rFonts w:ascii="Book Antiqua" w:eastAsia="Book Antiqua" w:hAnsi="Book Antiqua" w:cs="Book Antiqua"/>
          <w:b/>
          <w:color w:val="000000"/>
        </w:rPr>
        <w:t>Peer-review report’s scientific quality classification</w:t>
      </w:r>
    </w:p>
    <w:p w14:paraId="56E5D3CD"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Grade A (Excellent): A</w:t>
      </w:r>
    </w:p>
    <w:p w14:paraId="49FB4081"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Grade B (Very good): B, B, B</w:t>
      </w:r>
    </w:p>
    <w:p w14:paraId="46E67752"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Grade C (Good): C, C</w:t>
      </w:r>
    </w:p>
    <w:p w14:paraId="127C5231"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t>Grade D (Fair): D</w:t>
      </w:r>
    </w:p>
    <w:p w14:paraId="4669EDA1" w14:textId="77777777" w:rsidR="00A77B3E" w:rsidRDefault="00F0668A" w:rsidP="00F0668A">
      <w:pPr>
        <w:adjustRightInd w:val="0"/>
        <w:snapToGrid w:val="0"/>
        <w:spacing w:line="360" w:lineRule="auto"/>
        <w:jc w:val="both"/>
      </w:pPr>
      <w:r>
        <w:rPr>
          <w:rFonts w:ascii="Book Antiqua" w:eastAsia="Book Antiqua" w:hAnsi="Book Antiqua" w:cs="Book Antiqua"/>
          <w:color w:val="000000"/>
        </w:rPr>
        <w:lastRenderedPageBreak/>
        <w:t>Grade E (Poor): 0</w:t>
      </w:r>
    </w:p>
    <w:p w14:paraId="68CE0C6F" w14:textId="77777777" w:rsidR="00A77B3E" w:rsidRDefault="00A77B3E" w:rsidP="00F0668A">
      <w:pPr>
        <w:adjustRightInd w:val="0"/>
        <w:snapToGrid w:val="0"/>
        <w:spacing w:line="360" w:lineRule="auto"/>
        <w:jc w:val="both"/>
      </w:pPr>
    </w:p>
    <w:p w14:paraId="43BFDB16" w14:textId="6719A80E" w:rsidR="00A77B3E" w:rsidRDefault="00F0668A" w:rsidP="00F0668A">
      <w:pPr>
        <w:adjustRightInd w:val="0"/>
        <w:snapToGrid w:val="0"/>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Al Khader A, Chowdhury</w:t>
      </w:r>
      <w:r w:rsidR="001D0075">
        <w:rPr>
          <w:rFonts w:ascii="Book Antiqua" w:eastAsia="Book Antiqua" w:hAnsi="Book Antiqua" w:cs="Book Antiqua"/>
          <w:color w:val="000000"/>
        </w:rPr>
        <w:t xml:space="preserve"> </w:t>
      </w:r>
      <w:r>
        <w:rPr>
          <w:rFonts w:ascii="Book Antiqua" w:eastAsia="Book Antiqua" w:hAnsi="Book Antiqua" w:cs="Book Antiqua"/>
          <w:color w:val="000000"/>
        </w:rPr>
        <w:t>D, Konakci G, Sato H, Taira K</w:t>
      </w:r>
      <w:r>
        <w:rPr>
          <w:rFonts w:ascii="Book Antiqua" w:eastAsia="Book Antiqua" w:hAnsi="Book Antiqua" w:cs="Book Antiqua"/>
          <w:b/>
          <w:color w:val="000000"/>
        </w:rPr>
        <w:t xml:space="preserve"> S-Editor: </w:t>
      </w:r>
      <w:r>
        <w:rPr>
          <w:rFonts w:ascii="Book Antiqua" w:eastAsia="Book Antiqua" w:hAnsi="Book Antiqua" w:cs="Book Antiqua"/>
          <w:color w:val="000000"/>
        </w:rPr>
        <w:t>Liu M</w:t>
      </w:r>
      <w:r>
        <w:rPr>
          <w:rFonts w:ascii="Book Antiqua" w:eastAsia="Book Antiqua" w:hAnsi="Book Antiqua" w:cs="Book Antiqua"/>
          <w:b/>
          <w:color w:val="000000"/>
        </w:rPr>
        <w:t xml:space="preserve"> L-Editor: </w:t>
      </w:r>
      <w:r w:rsidR="007E5DF6">
        <w:rPr>
          <w:rFonts w:ascii="Book Antiqua" w:eastAsia="Book Antiqua" w:hAnsi="Book Antiqua" w:cs="Book Antiqua"/>
          <w:bCs/>
          <w:color w:val="000000"/>
        </w:rPr>
        <w:t xml:space="preserve">Filipodia </w:t>
      </w:r>
      <w:r>
        <w:rPr>
          <w:rFonts w:ascii="Book Antiqua" w:eastAsia="Book Antiqua" w:hAnsi="Book Antiqua" w:cs="Book Antiqua"/>
          <w:b/>
          <w:color w:val="000000"/>
        </w:rPr>
        <w:t xml:space="preserve">P-Editor: </w:t>
      </w:r>
      <w:r w:rsidR="00736C94" w:rsidRPr="00736C94">
        <w:rPr>
          <w:rFonts w:ascii="Book Antiqua" w:eastAsia="Book Antiqua" w:hAnsi="Book Antiqua" w:cs="Book Antiqua"/>
          <w:bCs/>
          <w:color w:val="000000"/>
        </w:rPr>
        <w:t>Wu YXJ</w:t>
      </w:r>
    </w:p>
    <w:p w14:paraId="3F014FDC" w14:textId="77777777" w:rsidR="001D0075" w:rsidRDefault="001D0075" w:rsidP="00F0668A">
      <w:pPr>
        <w:adjustRightInd w:val="0"/>
        <w:snapToGrid w:val="0"/>
        <w:spacing w:line="360" w:lineRule="auto"/>
        <w:jc w:val="both"/>
        <w:sectPr w:rsidR="001D0075">
          <w:pgSz w:w="12240" w:h="15840"/>
          <w:pgMar w:top="1440" w:right="1440" w:bottom="1440" w:left="1440" w:header="720" w:footer="720" w:gutter="0"/>
          <w:cols w:space="720"/>
          <w:docGrid w:linePitch="360"/>
        </w:sectPr>
      </w:pPr>
    </w:p>
    <w:p w14:paraId="48512065" w14:textId="77777777" w:rsidR="00F0668A" w:rsidRDefault="00F0668A" w:rsidP="00F0668A">
      <w:pPr>
        <w:adjustRightInd w:val="0"/>
        <w:snapToGrid w:val="0"/>
        <w:spacing w:line="360" w:lineRule="auto"/>
        <w:jc w:val="both"/>
        <w:rPr>
          <w:rFonts w:ascii="Book Antiqua" w:eastAsia="Book Antiqua" w:hAnsi="Book Antiqua" w:cs="Book Antiqua"/>
          <w:b/>
          <w:color w:val="000000" w:themeColor="text1"/>
        </w:rPr>
      </w:pPr>
      <w:r>
        <w:rPr>
          <w:rFonts w:ascii="Book Antiqua" w:eastAsia="Book Antiqua" w:hAnsi="Book Antiqua" w:cs="Book Antiqua"/>
          <w:b/>
          <w:color w:val="000000" w:themeColor="text1"/>
        </w:rPr>
        <w:lastRenderedPageBreak/>
        <w:t>Figure Legends</w:t>
      </w:r>
    </w:p>
    <w:p w14:paraId="6B54A79E" w14:textId="2E21E9E9" w:rsidR="00F0668A" w:rsidRDefault="00F0668A" w:rsidP="00F0668A">
      <w:pPr>
        <w:adjustRightInd w:val="0"/>
        <w:snapToGrid w:val="0"/>
        <w:spacing w:line="360" w:lineRule="auto"/>
        <w:jc w:val="both"/>
        <w:rPr>
          <w:rFonts w:ascii="Book Antiqua" w:hAnsi="Book Antiqua" w:cs="Book Antiqua"/>
          <w:color w:val="000000" w:themeColor="text1"/>
        </w:rPr>
      </w:pPr>
      <w:r>
        <w:rPr>
          <w:rFonts w:ascii="Book Antiqua" w:hAnsi="Book Antiqua" w:cs="Book Antiqua"/>
          <w:noProof/>
          <w:color w:val="000000" w:themeColor="text1"/>
          <w:lang w:eastAsia="zh-CN"/>
        </w:rPr>
        <w:drawing>
          <wp:inline distT="0" distB="0" distL="0" distR="0" wp14:anchorId="058D7AD6" wp14:editId="42AE927A">
            <wp:extent cx="3986481" cy="427780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88146" cy="4279588"/>
                    </a:xfrm>
                    <a:prstGeom prst="rect">
                      <a:avLst/>
                    </a:prstGeom>
                    <a:noFill/>
                    <a:ln>
                      <a:noFill/>
                    </a:ln>
                  </pic:spPr>
                </pic:pic>
              </a:graphicData>
            </a:graphic>
          </wp:inline>
        </w:drawing>
      </w:r>
      <w:r>
        <w:rPr>
          <w:rFonts w:ascii="Book Antiqua" w:hAnsi="Book Antiqua" w:cs="Book Antiqua"/>
          <w:color w:val="000000" w:themeColor="text1"/>
        </w:rPr>
        <w:t xml:space="preserve"> </w:t>
      </w:r>
    </w:p>
    <w:p w14:paraId="29AF4BF1" w14:textId="77777777" w:rsidR="00F0668A" w:rsidRDefault="00F0668A" w:rsidP="00F0668A">
      <w:pPr>
        <w:adjustRightInd w:val="0"/>
        <w:snapToGrid w:val="0"/>
        <w:spacing w:line="360" w:lineRule="auto"/>
        <w:jc w:val="both"/>
        <w:rPr>
          <w:rFonts w:ascii="Book Antiqua" w:eastAsia="Book Antiqua" w:hAnsi="Book Antiqua" w:cs="Book Antiqua"/>
          <w:color w:val="000000" w:themeColor="text1"/>
        </w:rPr>
      </w:pPr>
      <w:r>
        <w:rPr>
          <w:rFonts w:ascii="Book Antiqua" w:eastAsia="Book Antiqua" w:hAnsi="Book Antiqua" w:cs="Book Antiqua"/>
          <w:b/>
          <w:bCs/>
          <w:color w:val="000000" w:themeColor="text1"/>
        </w:rPr>
        <w:t>Figure 1 Gastrointestinal fiberscope before chemoradiotherapy showed an ulcerative lesion located surrounding the gastric antrum with ulceration causing stenosis.</w:t>
      </w:r>
      <w:r>
        <w:rPr>
          <w:rFonts w:ascii="Book Antiqua" w:hAnsi="Book Antiqua" w:cs="Book Antiqua"/>
          <w:color w:val="000000" w:themeColor="text1"/>
        </w:rPr>
        <w:t xml:space="preserve"> A-D: Tumor surface identified from different angles and distances.</w:t>
      </w:r>
    </w:p>
    <w:p w14:paraId="450113A0" w14:textId="09023B36" w:rsidR="00F0668A" w:rsidRDefault="00F0668A" w:rsidP="00F0668A">
      <w:pPr>
        <w:adjustRightInd w:val="0"/>
        <w:snapToGrid w:val="0"/>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br w:type="page"/>
      </w:r>
      <w:r>
        <w:rPr>
          <w:rFonts w:ascii="Book Antiqua" w:hAnsi="Book Antiqua" w:cs="Book Antiqua"/>
          <w:color w:val="000000" w:themeColor="text1"/>
        </w:rPr>
        <w:lastRenderedPageBreak/>
        <w:t xml:space="preserve"> </w:t>
      </w:r>
      <w:r>
        <w:rPr>
          <w:rFonts w:ascii="Book Antiqua" w:hAnsi="Book Antiqua" w:cs="Book Antiqua"/>
          <w:noProof/>
          <w:color w:val="000000" w:themeColor="text1"/>
          <w:lang w:eastAsia="zh-CN"/>
        </w:rPr>
        <w:drawing>
          <wp:inline distT="0" distB="0" distL="0" distR="0" wp14:anchorId="1FAE1D5D" wp14:editId="323727E5">
            <wp:extent cx="5166360" cy="43586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66360" cy="4358640"/>
                    </a:xfrm>
                    <a:prstGeom prst="rect">
                      <a:avLst/>
                    </a:prstGeom>
                    <a:noFill/>
                    <a:ln>
                      <a:noFill/>
                    </a:ln>
                  </pic:spPr>
                </pic:pic>
              </a:graphicData>
            </a:graphic>
          </wp:inline>
        </w:drawing>
      </w:r>
    </w:p>
    <w:p w14:paraId="555AA802" w14:textId="77777777" w:rsidR="00F0668A" w:rsidRDefault="00F0668A" w:rsidP="00F0668A">
      <w:pPr>
        <w:adjustRightInd w:val="0"/>
        <w:snapToGrid w:val="0"/>
        <w:spacing w:line="360" w:lineRule="auto"/>
        <w:jc w:val="both"/>
        <w:rPr>
          <w:rFonts w:ascii="Book Antiqua" w:eastAsia="Book Antiqua" w:hAnsi="Book Antiqua" w:cs="Book Antiqua"/>
          <w:color w:val="000000" w:themeColor="text1"/>
        </w:rPr>
      </w:pPr>
      <w:r>
        <w:rPr>
          <w:rFonts w:ascii="Book Antiqua" w:eastAsia="Book Antiqua" w:hAnsi="Book Antiqua" w:cs="Book Antiqua"/>
          <w:b/>
          <w:bCs/>
          <w:color w:val="000000" w:themeColor="text1"/>
        </w:rPr>
        <w:t>Figure 2 Enhanced abdominal computerized tomography indicated that the wall of the antrum was thickened with significant enhancement.</w:t>
      </w:r>
      <w:r>
        <w:rPr>
          <w:rFonts w:ascii="Book Antiqua" w:eastAsia="Book Antiqua" w:hAnsi="Book Antiqua" w:cs="Book Antiqua"/>
          <w:color w:val="000000" w:themeColor="text1"/>
        </w:rPr>
        <w:t xml:space="preserve"> The surface of serosa was fuzzy, but the border near the pancreas was still clear (yellow arrowheads). Multiple enlarged lymph nodes were found in the lesser gastric curvature (red arrowheads). A-B: </w:t>
      </w:r>
      <w:r>
        <w:rPr>
          <w:rFonts w:ascii="Book Antiqua" w:eastAsia="宋体" w:hAnsi="Book Antiqua" w:cs="Book Antiqua"/>
          <w:color w:val="000000" w:themeColor="text1"/>
          <w:lang w:eastAsia="zh-CN"/>
        </w:rPr>
        <w:t>T</w:t>
      </w:r>
      <w:r>
        <w:rPr>
          <w:rFonts w:ascii="Book Antiqua" w:eastAsia="Book Antiqua" w:hAnsi="Book Antiqua" w:cs="Book Antiqua"/>
          <w:color w:val="000000" w:themeColor="text1"/>
        </w:rPr>
        <w:t xml:space="preserve">ransverse views of the primary lesion in different layers; C: </w:t>
      </w:r>
      <w:r>
        <w:rPr>
          <w:rFonts w:ascii="Book Antiqua" w:eastAsia="宋体" w:hAnsi="Book Antiqua" w:cs="Book Antiqua"/>
          <w:color w:val="000000" w:themeColor="text1"/>
          <w:lang w:eastAsia="zh-CN"/>
        </w:rPr>
        <w:t>C</w:t>
      </w:r>
      <w:r>
        <w:rPr>
          <w:rFonts w:ascii="Book Antiqua" w:eastAsia="Book Antiqua" w:hAnsi="Book Antiqua" w:cs="Book Antiqua"/>
          <w:color w:val="000000" w:themeColor="text1"/>
        </w:rPr>
        <w:t xml:space="preserve">oronal view of the primary lesion; D: </w:t>
      </w:r>
      <w:r>
        <w:rPr>
          <w:rFonts w:ascii="Book Antiqua" w:eastAsia="宋体" w:hAnsi="Book Antiqua" w:cs="Book Antiqua"/>
          <w:color w:val="000000" w:themeColor="text1"/>
          <w:lang w:eastAsia="zh-CN"/>
        </w:rPr>
        <w:t>S</w:t>
      </w:r>
      <w:r>
        <w:rPr>
          <w:rFonts w:ascii="Book Antiqua" w:eastAsia="Book Antiqua" w:hAnsi="Book Antiqua" w:cs="Book Antiqua"/>
          <w:color w:val="000000" w:themeColor="text1"/>
        </w:rPr>
        <w:t>agittal view of the primary lesion.</w:t>
      </w:r>
    </w:p>
    <w:p w14:paraId="2BCC0D79" w14:textId="234D1E37" w:rsidR="00F0668A" w:rsidRDefault="00F0668A" w:rsidP="00F0668A">
      <w:pPr>
        <w:adjustRightInd w:val="0"/>
        <w:snapToGrid w:val="0"/>
        <w:spacing w:line="360" w:lineRule="auto"/>
        <w:jc w:val="both"/>
        <w:rPr>
          <w:rFonts w:ascii="Book Antiqua" w:eastAsia="Book Antiqua" w:hAnsi="Book Antiqua" w:cs="Book Antiqua"/>
          <w:color w:val="000000" w:themeColor="text1"/>
        </w:rPr>
      </w:pPr>
      <w:r>
        <w:rPr>
          <w:rFonts w:ascii="Book Antiqua" w:eastAsia="Book Antiqua" w:hAnsi="Book Antiqua" w:cs="Book Antiqua"/>
          <w:color w:val="000000" w:themeColor="text1"/>
        </w:rPr>
        <w:br w:type="page"/>
      </w:r>
      <w:r>
        <w:rPr>
          <w:rFonts w:ascii="Book Antiqua" w:hAnsi="Book Antiqua" w:cs="Book Antiqua"/>
          <w:noProof/>
          <w:lang w:eastAsia="zh-CN"/>
        </w:rPr>
        <w:lastRenderedPageBreak/>
        <w:drawing>
          <wp:inline distT="0" distB="0" distL="114300" distR="114300" wp14:anchorId="0CCB295F" wp14:editId="68FECA45">
            <wp:extent cx="5138420" cy="4091940"/>
            <wp:effectExtent l="0" t="0" r="5080" b="10160"/>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9"/>
                    <a:stretch>
                      <a:fillRect/>
                    </a:stretch>
                  </pic:blipFill>
                  <pic:spPr>
                    <a:xfrm>
                      <a:off x="0" y="0"/>
                      <a:ext cx="5138420" cy="4091940"/>
                    </a:xfrm>
                    <a:prstGeom prst="rect">
                      <a:avLst/>
                    </a:prstGeom>
                    <a:noFill/>
                    <a:ln>
                      <a:noFill/>
                    </a:ln>
                  </pic:spPr>
                </pic:pic>
              </a:graphicData>
            </a:graphic>
          </wp:inline>
        </w:drawing>
      </w:r>
    </w:p>
    <w:p w14:paraId="3E3623D8" w14:textId="02B75D75" w:rsidR="00E34F07" w:rsidRDefault="00F0668A" w:rsidP="00F0668A">
      <w:pPr>
        <w:adjustRightInd w:val="0"/>
        <w:snapToGrid w:val="0"/>
        <w:spacing w:line="360" w:lineRule="auto"/>
        <w:jc w:val="both"/>
        <w:rPr>
          <w:rFonts w:ascii="Book Antiqua" w:eastAsia="宋体" w:hAnsi="Book Antiqua" w:cs="Book Antiqua"/>
          <w:color w:val="000000" w:themeColor="text1"/>
          <w:lang w:eastAsia="zh-CN"/>
        </w:rPr>
      </w:pPr>
      <w:r>
        <w:rPr>
          <w:rFonts w:ascii="Book Antiqua" w:eastAsia="Book Antiqua" w:hAnsi="Book Antiqua" w:cs="Book Antiqua"/>
          <w:b/>
          <w:bCs/>
          <w:color w:val="000000" w:themeColor="text1"/>
        </w:rPr>
        <w:t xml:space="preserve">Figure 3 Enhanced abdominal computerized tomography performed </w:t>
      </w:r>
      <w:r w:rsidR="00FE331A">
        <w:rPr>
          <w:rFonts w:ascii="Book Antiqua" w:eastAsia="Book Antiqua" w:hAnsi="Book Antiqua" w:cs="Book Antiqua"/>
          <w:b/>
          <w:bCs/>
          <w:color w:val="000000" w:themeColor="text1"/>
        </w:rPr>
        <w:t>before, immediately after,</w:t>
      </w:r>
      <w:r>
        <w:rPr>
          <w:rFonts w:ascii="Book Antiqua" w:eastAsia="Book Antiqua" w:hAnsi="Book Antiqua" w:cs="Book Antiqua"/>
          <w:b/>
          <w:bCs/>
          <w:color w:val="000000" w:themeColor="text1"/>
        </w:rPr>
        <w:t xml:space="preserve"> and </w:t>
      </w:r>
      <w:r w:rsidR="00FE331A">
        <w:rPr>
          <w:rFonts w:ascii="Book Antiqua" w:eastAsia="Book Antiqua" w:hAnsi="Book Antiqua" w:cs="Book Antiqua"/>
          <w:b/>
          <w:bCs/>
          <w:color w:val="000000" w:themeColor="text1"/>
        </w:rPr>
        <w:t>6 wk</w:t>
      </w:r>
      <w:r>
        <w:rPr>
          <w:rFonts w:ascii="Book Antiqua" w:eastAsia="Book Antiqua" w:hAnsi="Book Antiqua" w:cs="Book Antiqua"/>
          <w:b/>
          <w:bCs/>
          <w:color w:val="000000" w:themeColor="text1"/>
        </w:rPr>
        <w:t xml:space="preserve"> after neoadjuvant chemoradiotherapy to evaluate the response to neoadjuvant chemoradiotherapy. </w:t>
      </w:r>
      <w:r w:rsidR="00FE331A">
        <w:rPr>
          <w:rFonts w:ascii="Book Antiqua" w:eastAsia="Book Antiqua" w:hAnsi="Book Antiqua" w:cs="Book Antiqua"/>
          <w:color w:val="000000" w:themeColor="text1"/>
        </w:rPr>
        <w:t>Imaging after neoadjuvant chemoradiotherapy (NACRT) imaging revealed</w:t>
      </w:r>
      <w:r>
        <w:rPr>
          <w:rFonts w:ascii="Book Antiqua" w:eastAsia="Book Antiqua" w:hAnsi="Book Antiqua" w:cs="Book Antiqua"/>
          <w:color w:val="000000" w:themeColor="text1"/>
        </w:rPr>
        <w:t xml:space="preserve"> maximum thickness change from 21</w:t>
      </w:r>
      <w:r>
        <w:rPr>
          <w:rFonts w:ascii="Book Antiqua" w:eastAsia="宋体" w:hAnsi="Book Antiqua" w:cs="Book Antiqua"/>
          <w:color w:val="000000" w:themeColor="text1"/>
          <w:lang w:eastAsia="zh-CN"/>
        </w:rPr>
        <w:t xml:space="preserve"> </w:t>
      </w:r>
      <w:r>
        <w:rPr>
          <w:rFonts w:ascii="Book Antiqua" w:eastAsia="Book Antiqua" w:hAnsi="Book Antiqua" w:cs="Book Antiqua"/>
          <w:color w:val="000000" w:themeColor="text1"/>
        </w:rPr>
        <w:t>mm to 12</w:t>
      </w:r>
      <w:r>
        <w:rPr>
          <w:rFonts w:ascii="Book Antiqua" w:eastAsia="宋体" w:hAnsi="Book Antiqua" w:cs="Book Antiqua"/>
          <w:color w:val="000000" w:themeColor="text1"/>
          <w:lang w:eastAsia="zh-CN"/>
        </w:rPr>
        <w:t xml:space="preserve"> </w:t>
      </w:r>
      <w:r>
        <w:rPr>
          <w:rFonts w:ascii="Book Antiqua" w:eastAsia="Book Antiqua" w:hAnsi="Book Antiqua" w:cs="Book Antiqua"/>
          <w:color w:val="000000" w:themeColor="text1"/>
        </w:rPr>
        <w:t>mm (shrinking 42.9%) with lymph nodes (diameter 7</w:t>
      </w:r>
      <w:r>
        <w:rPr>
          <w:rFonts w:ascii="Book Antiqua" w:eastAsia="宋体" w:hAnsi="Book Antiqua" w:cs="Book Antiqua"/>
          <w:color w:val="000000" w:themeColor="text1"/>
          <w:lang w:eastAsia="zh-CN"/>
        </w:rPr>
        <w:t xml:space="preserve"> </w:t>
      </w:r>
      <w:r>
        <w:rPr>
          <w:rFonts w:ascii="Book Antiqua" w:eastAsia="Book Antiqua" w:hAnsi="Book Antiqua" w:cs="Book Antiqua"/>
          <w:color w:val="000000" w:themeColor="text1"/>
        </w:rPr>
        <w:t>mm) in the great curvature shrinking so obviously that they could</w:t>
      </w:r>
      <w:r w:rsidR="00FE331A">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rPr>
        <w:t>n</w:t>
      </w:r>
      <w:r w:rsidR="00FE331A">
        <w:rPr>
          <w:rFonts w:ascii="Book Antiqua" w:eastAsia="Book Antiqua" w:hAnsi="Book Antiqua" w:cs="Book Antiqua"/>
          <w:color w:val="000000" w:themeColor="text1"/>
        </w:rPr>
        <w:t>o</w:t>
      </w:r>
      <w:r>
        <w:rPr>
          <w:rFonts w:ascii="Book Antiqua" w:eastAsia="Book Antiqua" w:hAnsi="Book Antiqua" w:cs="Book Antiqua"/>
          <w:color w:val="000000" w:themeColor="text1"/>
        </w:rPr>
        <w:t>t be clearly detected in the compute</w:t>
      </w:r>
      <w:r w:rsidR="00FE331A">
        <w:rPr>
          <w:rFonts w:ascii="Book Antiqua" w:eastAsia="Book Antiqua" w:hAnsi="Book Antiqua" w:cs="Book Antiqua"/>
          <w:color w:val="000000" w:themeColor="text1"/>
        </w:rPr>
        <w:t>d</w:t>
      </w:r>
      <w:r>
        <w:rPr>
          <w:rFonts w:ascii="Book Antiqua" w:eastAsia="Book Antiqua" w:hAnsi="Book Antiqua" w:cs="Book Antiqua"/>
          <w:color w:val="000000" w:themeColor="text1"/>
        </w:rPr>
        <w:t xml:space="preserve"> tomography, but the surface of serosa was still fuzzy. The </w:t>
      </w:r>
      <w:r w:rsidR="00FE331A">
        <w:rPr>
          <w:rFonts w:ascii="Book Antiqua" w:eastAsia="Book Antiqua" w:hAnsi="Book Antiqua" w:cs="Book Antiqua"/>
          <w:color w:val="000000" w:themeColor="text1"/>
        </w:rPr>
        <w:t>computed tomography 6 wk</w:t>
      </w:r>
      <w:r>
        <w:rPr>
          <w:rFonts w:ascii="Book Antiqua" w:eastAsia="Book Antiqua" w:hAnsi="Book Antiqua" w:cs="Book Antiqua"/>
          <w:color w:val="000000" w:themeColor="text1"/>
        </w:rPr>
        <w:t xml:space="preserve"> after neoadjuvant chemotherapy indicated </w:t>
      </w:r>
      <w:r w:rsidR="00FE331A">
        <w:rPr>
          <w:rFonts w:ascii="Book Antiqua" w:eastAsia="Book Antiqua" w:hAnsi="Book Antiqua" w:cs="Book Antiqua"/>
          <w:color w:val="000000" w:themeColor="text1"/>
        </w:rPr>
        <w:t>a change</w:t>
      </w:r>
      <w:r>
        <w:rPr>
          <w:rFonts w:ascii="Book Antiqua" w:eastAsia="Book Antiqua" w:hAnsi="Book Antiqua" w:cs="Book Antiqua"/>
          <w:color w:val="000000" w:themeColor="text1"/>
        </w:rPr>
        <w:t xml:space="preserve"> from 12</w:t>
      </w:r>
      <w:r w:rsidR="00FE331A">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rPr>
        <w:t>mm to 10</w:t>
      </w:r>
      <w:r w:rsidR="00FE331A">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rPr>
        <w:t>mm (shrinking 16.7%) with no obviously enlarged lymph nodes around the stomach, retroperitoneal</w:t>
      </w:r>
      <w:r w:rsidR="00FE331A">
        <w:rPr>
          <w:rFonts w:ascii="Book Antiqua" w:eastAsia="Book Antiqua" w:hAnsi="Book Antiqua" w:cs="Book Antiqua"/>
          <w:color w:val="000000" w:themeColor="text1"/>
        </w:rPr>
        <w:t xml:space="preserve"> area,</w:t>
      </w:r>
      <w:r>
        <w:rPr>
          <w:rFonts w:ascii="Book Antiqua" w:eastAsia="Book Antiqua" w:hAnsi="Book Antiqua" w:cs="Book Antiqua"/>
          <w:color w:val="000000" w:themeColor="text1"/>
        </w:rPr>
        <w:t xml:space="preserve"> or pelvi</w:t>
      </w:r>
      <w:r w:rsidR="00FE331A">
        <w:rPr>
          <w:rFonts w:ascii="Book Antiqua" w:eastAsia="Book Antiqua" w:hAnsi="Book Antiqua" w:cs="Book Antiqua"/>
          <w:color w:val="000000" w:themeColor="text1"/>
        </w:rPr>
        <w:t>s</w:t>
      </w:r>
      <w:r>
        <w:rPr>
          <w:rFonts w:ascii="Book Antiqua" w:eastAsia="Book Antiqua" w:hAnsi="Book Antiqua" w:cs="Book Antiqua"/>
          <w:color w:val="000000" w:themeColor="text1"/>
        </w:rPr>
        <w:t xml:space="preserve">. A-C: </w:t>
      </w:r>
      <w:r>
        <w:rPr>
          <w:rFonts w:ascii="Book Antiqua" w:eastAsia="宋体" w:hAnsi="Book Antiqua" w:cs="Book Antiqua"/>
          <w:color w:val="000000" w:themeColor="text1"/>
          <w:lang w:eastAsia="zh-CN"/>
        </w:rPr>
        <w:t>T</w:t>
      </w:r>
      <w:r>
        <w:rPr>
          <w:rFonts w:ascii="Book Antiqua" w:eastAsia="Book Antiqua" w:hAnsi="Book Antiqua" w:cs="Book Antiqua"/>
          <w:color w:val="000000" w:themeColor="text1"/>
        </w:rPr>
        <w:t>ransverse views of the lesion's change from pre</w:t>
      </w:r>
      <w:r>
        <w:rPr>
          <w:rFonts w:ascii="Book Antiqua" w:eastAsia="宋体" w:hAnsi="Book Antiqua" w:cs="Book Antiqua"/>
          <w:color w:val="000000" w:themeColor="text1"/>
          <w:lang w:eastAsia="zh-CN"/>
        </w:rPr>
        <w:t>-</w:t>
      </w:r>
      <w:r>
        <w:rPr>
          <w:rFonts w:ascii="Book Antiqua" w:eastAsia="Book Antiqua" w:hAnsi="Book Antiqua" w:cs="Book Antiqua"/>
          <w:color w:val="000000" w:themeColor="text1"/>
        </w:rPr>
        <w:t xml:space="preserve">NACRT to post-NACRT; D-E: </w:t>
      </w:r>
      <w:r>
        <w:rPr>
          <w:rFonts w:ascii="Book Antiqua" w:eastAsia="宋体" w:hAnsi="Book Antiqua" w:cs="Book Antiqua"/>
          <w:color w:val="000000" w:themeColor="text1"/>
          <w:lang w:eastAsia="zh-CN"/>
        </w:rPr>
        <w:t>C</w:t>
      </w:r>
      <w:r>
        <w:rPr>
          <w:rFonts w:ascii="Book Antiqua" w:eastAsia="Book Antiqua" w:hAnsi="Book Antiqua" w:cs="Book Antiqua"/>
          <w:color w:val="000000" w:themeColor="text1"/>
        </w:rPr>
        <w:t xml:space="preserve">oronal views of the lesion's change from pre-NACRT to post-NACRT. </w:t>
      </w:r>
    </w:p>
    <w:p w14:paraId="4E2D9720" w14:textId="3E09E0EC" w:rsidR="00F0668A" w:rsidRDefault="00F0668A" w:rsidP="00F0668A">
      <w:pPr>
        <w:adjustRightInd w:val="0"/>
        <w:snapToGrid w:val="0"/>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br w:type="page"/>
      </w:r>
      <w:r>
        <w:rPr>
          <w:rFonts w:ascii="Book Antiqua" w:hAnsi="Book Antiqua" w:cs="Book Antiqua"/>
          <w:color w:val="000000" w:themeColor="text1"/>
        </w:rPr>
        <w:lastRenderedPageBreak/>
        <w:t xml:space="preserve"> </w:t>
      </w:r>
      <w:r>
        <w:rPr>
          <w:rFonts w:ascii="Book Antiqua" w:hAnsi="Book Antiqua" w:cs="Book Antiqua"/>
          <w:noProof/>
          <w:color w:val="000000" w:themeColor="text1"/>
          <w:lang w:eastAsia="zh-CN"/>
        </w:rPr>
        <w:drawing>
          <wp:inline distT="0" distB="0" distL="0" distR="0" wp14:anchorId="75A94668" wp14:editId="314B50A9">
            <wp:extent cx="5425440" cy="55245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25440" cy="5524500"/>
                    </a:xfrm>
                    <a:prstGeom prst="rect">
                      <a:avLst/>
                    </a:prstGeom>
                    <a:noFill/>
                    <a:ln>
                      <a:noFill/>
                    </a:ln>
                  </pic:spPr>
                </pic:pic>
              </a:graphicData>
            </a:graphic>
          </wp:inline>
        </w:drawing>
      </w:r>
    </w:p>
    <w:p w14:paraId="1C069434" w14:textId="56BEE0CA" w:rsidR="00E34F07" w:rsidRDefault="00F0668A" w:rsidP="00F0668A">
      <w:pPr>
        <w:adjustRightInd w:val="0"/>
        <w:snapToGrid w:val="0"/>
        <w:spacing w:line="360" w:lineRule="auto"/>
        <w:jc w:val="both"/>
        <w:rPr>
          <w:rFonts w:ascii="Book Antiqua" w:eastAsia="Book Antiqua" w:hAnsi="Book Antiqua" w:cs="Book Antiqua"/>
          <w:color w:val="000000" w:themeColor="text1"/>
        </w:rPr>
      </w:pPr>
      <w:r>
        <w:rPr>
          <w:rFonts w:ascii="Book Antiqua" w:eastAsia="Book Antiqua" w:hAnsi="Book Antiqua" w:cs="Book Antiqua"/>
          <w:b/>
          <w:bCs/>
          <w:color w:val="000000" w:themeColor="text1"/>
        </w:rPr>
        <w:t xml:space="preserve">Figure 4 </w:t>
      </w:r>
      <w:r w:rsidR="00E34F07" w:rsidRPr="00E34F07">
        <w:rPr>
          <w:rFonts w:ascii="Book Antiqua" w:eastAsia="Book Antiqua" w:hAnsi="Book Antiqua" w:cs="Book Antiqua"/>
          <w:b/>
          <w:bCs/>
          <w:color w:val="000000" w:themeColor="text1"/>
        </w:rPr>
        <w:t>Endoscopic ultrasound</w:t>
      </w:r>
      <w:r>
        <w:rPr>
          <w:rFonts w:ascii="Book Antiqua" w:eastAsia="Book Antiqua" w:hAnsi="Book Antiqua" w:cs="Book Antiqua"/>
          <w:b/>
          <w:bCs/>
          <w:color w:val="000000" w:themeColor="text1"/>
        </w:rPr>
        <w:t xml:space="preserve"> was also applied to evaluate the response to neoadjuvant chemoradiotherapy, indicating</w:t>
      </w:r>
      <w:r w:rsidR="00CB394E">
        <w:rPr>
          <w:rFonts w:ascii="Book Antiqua" w:eastAsia="Book Antiqua" w:hAnsi="Book Antiqua" w:cs="Book Antiqua"/>
          <w:b/>
          <w:bCs/>
          <w:color w:val="000000" w:themeColor="text1"/>
        </w:rPr>
        <w:t xml:space="preserve"> that</w:t>
      </w:r>
      <w:r>
        <w:rPr>
          <w:rFonts w:ascii="Book Antiqua" w:eastAsia="Book Antiqua" w:hAnsi="Book Antiqua" w:cs="Book Antiqua"/>
          <w:b/>
          <w:bCs/>
          <w:color w:val="000000" w:themeColor="text1"/>
        </w:rPr>
        <w:t xml:space="preserve"> the ulcerative lesion locat</w:t>
      </w:r>
      <w:r w:rsidR="00CB394E">
        <w:rPr>
          <w:rFonts w:ascii="Book Antiqua" w:eastAsia="Book Antiqua" w:hAnsi="Book Antiqua" w:cs="Book Antiqua"/>
          <w:b/>
          <w:bCs/>
          <w:color w:val="000000" w:themeColor="text1"/>
        </w:rPr>
        <w:t>ion</w:t>
      </w:r>
      <w:r>
        <w:rPr>
          <w:rFonts w:ascii="Book Antiqua" w:eastAsia="Book Antiqua" w:hAnsi="Book Antiqua" w:cs="Book Antiqua"/>
          <w:b/>
          <w:bCs/>
          <w:color w:val="000000" w:themeColor="text1"/>
        </w:rPr>
        <w:t xml:space="preserve"> surround</w:t>
      </w:r>
      <w:r w:rsidR="00CB394E">
        <w:rPr>
          <w:rFonts w:ascii="Book Antiqua" w:eastAsia="Book Antiqua" w:hAnsi="Book Antiqua" w:cs="Book Antiqua"/>
          <w:b/>
          <w:bCs/>
          <w:color w:val="000000" w:themeColor="text1"/>
        </w:rPr>
        <w:t>ed</w:t>
      </w:r>
      <w:r>
        <w:rPr>
          <w:rFonts w:ascii="Book Antiqua" w:eastAsia="Book Antiqua" w:hAnsi="Book Antiqua" w:cs="Book Antiqua"/>
          <w:b/>
          <w:bCs/>
          <w:color w:val="000000" w:themeColor="text1"/>
        </w:rPr>
        <w:t xml:space="preserve"> the gastric antrum with pyloric stenosis.</w:t>
      </w:r>
      <w:r>
        <w:rPr>
          <w:rFonts w:ascii="Book Antiqua" w:eastAsia="Book Antiqua" w:hAnsi="Book Antiqua" w:cs="Book Antiqua"/>
          <w:color w:val="000000" w:themeColor="text1"/>
        </w:rPr>
        <w:t xml:space="preserve"> A: Endoscopic view of the posttreatment lesion</w:t>
      </w:r>
      <w:r w:rsidR="00B2513C">
        <w:rPr>
          <w:rFonts w:ascii="Book Antiqua" w:eastAsia="Book Antiqua" w:hAnsi="Book Antiqua" w:cs="Book Antiqua"/>
          <w:color w:val="000000" w:themeColor="text1"/>
        </w:rPr>
        <w:t>;</w:t>
      </w:r>
      <w:r>
        <w:rPr>
          <w:rFonts w:ascii="Book Antiqua" w:eastAsia="Book Antiqua" w:hAnsi="Book Antiqua" w:cs="Book Antiqua"/>
          <w:color w:val="000000" w:themeColor="text1"/>
        </w:rPr>
        <w:t xml:space="preserve"> B-D: Endoscopic ultrasound</w:t>
      </w:r>
      <w:r>
        <w:rPr>
          <w:rFonts w:ascii="Book Antiqua" w:eastAsia="宋体" w:hAnsi="Book Antiqua" w:cs="Book Antiqua"/>
          <w:color w:val="000000" w:themeColor="text1"/>
          <w:lang w:eastAsia="zh-CN"/>
        </w:rPr>
        <w:t xml:space="preserve"> </w:t>
      </w:r>
      <w:r>
        <w:rPr>
          <w:rFonts w:ascii="Book Antiqua" w:eastAsia="Book Antiqua" w:hAnsi="Book Antiqua" w:cs="Book Antiqua"/>
          <w:color w:val="000000" w:themeColor="text1"/>
        </w:rPr>
        <w:t xml:space="preserve">image of </w:t>
      </w:r>
      <w:bookmarkStart w:id="0" w:name="_Hlk62131196"/>
      <w:r>
        <w:rPr>
          <w:rFonts w:ascii="Book Antiqua" w:eastAsia="Book Antiqua" w:hAnsi="Book Antiqua" w:cs="Book Antiqua"/>
          <w:color w:val="000000" w:themeColor="text1"/>
        </w:rPr>
        <w:t>post</w:t>
      </w:r>
      <w:r>
        <w:rPr>
          <w:rFonts w:ascii="Book Antiqua" w:eastAsia="宋体" w:hAnsi="Book Antiqua" w:cs="Book Antiqua"/>
          <w:color w:val="000000" w:themeColor="text1"/>
          <w:lang w:eastAsia="zh-CN"/>
        </w:rPr>
        <w:t>-</w:t>
      </w:r>
      <w:r>
        <w:rPr>
          <w:rFonts w:ascii="Book Antiqua" w:eastAsia="Book Antiqua" w:hAnsi="Book Antiqua" w:cs="Book Antiqua"/>
          <w:color w:val="000000" w:themeColor="text1"/>
        </w:rPr>
        <w:t xml:space="preserve">treatment </w:t>
      </w:r>
      <w:bookmarkEnd w:id="0"/>
      <w:r>
        <w:rPr>
          <w:rFonts w:ascii="Book Antiqua" w:eastAsia="Book Antiqua" w:hAnsi="Book Antiqua" w:cs="Book Antiqua"/>
          <w:color w:val="000000" w:themeColor="text1"/>
        </w:rPr>
        <w:t xml:space="preserve">lesion. </w:t>
      </w:r>
    </w:p>
    <w:p w14:paraId="460B7AFF" w14:textId="437059E5" w:rsidR="00F0668A" w:rsidRDefault="00F0668A" w:rsidP="00F0668A">
      <w:pPr>
        <w:adjustRightInd w:val="0"/>
        <w:snapToGrid w:val="0"/>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br w:type="page"/>
      </w:r>
      <w:r>
        <w:rPr>
          <w:rFonts w:ascii="Book Antiqua" w:hAnsi="Book Antiqua" w:cs="Book Antiqua"/>
          <w:noProof/>
          <w:color w:val="000000" w:themeColor="text1"/>
          <w:lang w:eastAsia="zh-CN"/>
        </w:rPr>
        <w:lastRenderedPageBreak/>
        <w:drawing>
          <wp:inline distT="0" distB="0" distL="0" distR="0" wp14:anchorId="79FF0AE0" wp14:editId="0259AE7C">
            <wp:extent cx="5943600" cy="222504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225040"/>
                    </a:xfrm>
                    <a:prstGeom prst="rect">
                      <a:avLst/>
                    </a:prstGeom>
                    <a:noFill/>
                    <a:ln>
                      <a:noFill/>
                    </a:ln>
                  </pic:spPr>
                </pic:pic>
              </a:graphicData>
            </a:graphic>
          </wp:inline>
        </w:drawing>
      </w:r>
    </w:p>
    <w:p w14:paraId="417A5058" w14:textId="06D6E80C" w:rsidR="00F0668A" w:rsidRDefault="00F0668A" w:rsidP="00F0668A">
      <w:pPr>
        <w:adjustRightInd w:val="0"/>
        <w:snapToGrid w:val="0"/>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Figure 5 Postoperative pathological evaluation showed that the pathological stage after neoadjuvant chemoradiotherapy was T3N0M0, with necrosis rate &gt;</w:t>
      </w:r>
      <w:r>
        <w:rPr>
          <w:rFonts w:ascii="Book Antiqua" w:eastAsia="宋体" w:hAnsi="Book Antiqua" w:cs="Book Antiqua"/>
          <w:b/>
          <w:bCs/>
          <w:color w:val="000000" w:themeColor="text1"/>
          <w:lang w:eastAsia="zh-CN"/>
        </w:rPr>
        <w:t xml:space="preserve"> </w:t>
      </w:r>
      <w:r>
        <w:rPr>
          <w:rFonts w:ascii="Book Antiqua" w:eastAsia="Book Antiqua" w:hAnsi="Book Antiqua" w:cs="Book Antiqua"/>
          <w:b/>
          <w:bCs/>
          <w:color w:val="000000" w:themeColor="text1"/>
        </w:rPr>
        <w:t>90%.</w:t>
      </w:r>
      <w:r>
        <w:rPr>
          <w:rFonts w:ascii="Book Antiqua" w:hAnsi="Book Antiqua" w:cs="Book Antiqua"/>
          <w:b/>
          <w:bCs/>
          <w:color w:val="000000" w:themeColor="text1"/>
        </w:rPr>
        <w:t xml:space="preserve"> </w:t>
      </w:r>
      <w:r>
        <w:rPr>
          <w:rFonts w:ascii="Book Antiqua" w:hAnsi="Book Antiqua" w:cs="Book Antiqua"/>
          <w:color w:val="000000" w:themeColor="text1"/>
        </w:rPr>
        <w:t xml:space="preserve">A: Hematoxylin and </w:t>
      </w:r>
      <w:r w:rsidR="00CB394E">
        <w:rPr>
          <w:rFonts w:ascii="Book Antiqua" w:hAnsi="Book Antiqua" w:cs="Book Antiqua"/>
          <w:color w:val="000000" w:themeColor="text1"/>
        </w:rPr>
        <w:t>e</w:t>
      </w:r>
      <w:r>
        <w:rPr>
          <w:rFonts w:ascii="Book Antiqua" w:hAnsi="Book Antiqua" w:cs="Book Antiqua"/>
          <w:color w:val="000000" w:themeColor="text1"/>
        </w:rPr>
        <w:t xml:space="preserve">osin stain; B: </w:t>
      </w:r>
      <w:r w:rsidR="00CB394E">
        <w:rPr>
          <w:rFonts w:ascii="Book Antiqua" w:hAnsi="Book Antiqua" w:cs="Book Antiqua"/>
          <w:color w:val="000000" w:themeColor="text1"/>
        </w:rPr>
        <w:t xml:space="preserve">Human epidermal growth factor receptor 2 </w:t>
      </w:r>
      <w:r>
        <w:rPr>
          <w:rFonts w:ascii="Book Antiqua" w:hAnsi="Book Antiqua" w:cs="Book Antiqua"/>
          <w:color w:val="000000" w:themeColor="text1"/>
        </w:rPr>
        <w:t>immunohistochemical stain highlights carcinoma cells (stained brown).</w:t>
      </w:r>
    </w:p>
    <w:p w14:paraId="48357936" w14:textId="77777777" w:rsidR="00E34F07" w:rsidRDefault="00E34F07" w:rsidP="00F0668A">
      <w:pPr>
        <w:adjustRightInd w:val="0"/>
        <w:snapToGrid w:val="0"/>
        <w:spacing w:line="360" w:lineRule="auto"/>
        <w:jc w:val="both"/>
        <w:rPr>
          <w:rFonts w:ascii="Book Antiqua" w:hAnsi="Book Antiqua" w:cs="Book Antiqua"/>
          <w:color w:val="000000" w:themeColor="text1"/>
        </w:rPr>
        <w:sectPr w:rsidR="00E34F07">
          <w:pgSz w:w="12240" w:h="15840"/>
          <w:pgMar w:top="1440" w:right="1440" w:bottom="1440" w:left="1440" w:header="720" w:footer="720" w:gutter="0"/>
          <w:cols w:space="720"/>
          <w:docGrid w:linePitch="360"/>
        </w:sectPr>
      </w:pPr>
    </w:p>
    <w:p w14:paraId="0C69134B" w14:textId="77777777" w:rsidR="00F0668A" w:rsidRDefault="00F0668A" w:rsidP="00F0668A">
      <w:pPr>
        <w:adjustRightInd w:val="0"/>
        <w:snapToGrid w:val="0"/>
        <w:spacing w:line="360" w:lineRule="auto"/>
        <w:jc w:val="both"/>
        <w:rPr>
          <w:rFonts w:ascii="Book Antiqua" w:hAnsi="Book Antiqua" w:cs="Book Antiqua"/>
          <w:b/>
          <w:bCs/>
          <w:color w:val="000000" w:themeColor="text1"/>
        </w:rPr>
      </w:pPr>
      <w:bookmarkStart w:id="1" w:name="_Hlk62142111"/>
      <w:r>
        <w:rPr>
          <w:rFonts w:ascii="Book Antiqua" w:hAnsi="Book Antiqua" w:cs="Book Antiqua"/>
          <w:b/>
          <w:bCs/>
          <w:color w:val="000000" w:themeColor="text1"/>
        </w:rPr>
        <w:lastRenderedPageBreak/>
        <w:t>Table 1 Phase II published studies of neoadjuvant/preoperative radiation/chemoradiation following curative gastrectomy in gastric cancer (with or without esophagogastric junction)</w:t>
      </w:r>
    </w:p>
    <w:tbl>
      <w:tblPr>
        <w:tblStyle w:val="a8"/>
        <w:tblW w:w="1314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13"/>
        <w:gridCol w:w="1336"/>
        <w:gridCol w:w="1083"/>
        <w:gridCol w:w="1279"/>
        <w:gridCol w:w="1985"/>
        <w:gridCol w:w="850"/>
        <w:gridCol w:w="1418"/>
        <w:gridCol w:w="1417"/>
        <w:gridCol w:w="2268"/>
      </w:tblGrid>
      <w:tr w:rsidR="00F0668A" w14:paraId="2BC7DE5C" w14:textId="77777777" w:rsidTr="00276D72">
        <w:tc>
          <w:tcPr>
            <w:tcW w:w="1513" w:type="dxa"/>
            <w:tcBorders>
              <w:top w:val="single" w:sz="4" w:space="0" w:color="auto"/>
              <w:bottom w:val="single" w:sz="4" w:space="0" w:color="auto"/>
            </w:tcBorders>
          </w:tcPr>
          <w:p w14:paraId="3615D720"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Author</w:t>
            </w:r>
          </w:p>
        </w:tc>
        <w:tc>
          <w:tcPr>
            <w:tcW w:w="1336" w:type="dxa"/>
            <w:tcBorders>
              <w:top w:val="single" w:sz="4" w:space="0" w:color="auto"/>
              <w:bottom w:val="single" w:sz="4" w:space="0" w:color="auto"/>
            </w:tcBorders>
          </w:tcPr>
          <w:p w14:paraId="7EEAA6E9"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Year of published</w:t>
            </w:r>
          </w:p>
        </w:tc>
        <w:tc>
          <w:tcPr>
            <w:tcW w:w="1083" w:type="dxa"/>
            <w:tcBorders>
              <w:top w:val="single" w:sz="4" w:space="0" w:color="auto"/>
              <w:bottom w:val="single" w:sz="4" w:space="0" w:color="auto"/>
            </w:tcBorders>
          </w:tcPr>
          <w:p w14:paraId="0B123302"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N (RT + Surgery /RT)</w:t>
            </w:r>
          </w:p>
        </w:tc>
        <w:tc>
          <w:tcPr>
            <w:tcW w:w="1279" w:type="dxa"/>
            <w:tcBorders>
              <w:top w:val="single" w:sz="4" w:space="0" w:color="auto"/>
              <w:bottom w:val="single" w:sz="4" w:space="0" w:color="auto"/>
            </w:tcBorders>
          </w:tcPr>
          <w:p w14:paraId="543B78AA"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Eligibility</w:t>
            </w:r>
          </w:p>
        </w:tc>
        <w:tc>
          <w:tcPr>
            <w:tcW w:w="1985" w:type="dxa"/>
            <w:tcBorders>
              <w:top w:val="single" w:sz="4" w:space="0" w:color="auto"/>
              <w:bottom w:val="single" w:sz="4" w:space="0" w:color="auto"/>
            </w:tcBorders>
          </w:tcPr>
          <w:p w14:paraId="089100A8"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Preoperative treatment arms</w:t>
            </w:r>
          </w:p>
        </w:tc>
        <w:tc>
          <w:tcPr>
            <w:tcW w:w="850" w:type="dxa"/>
            <w:tcBorders>
              <w:top w:val="single" w:sz="4" w:space="0" w:color="auto"/>
              <w:bottom w:val="single" w:sz="4" w:space="0" w:color="auto"/>
            </w:tcBorders>
          </w:tcPr>
          <w:p w14:paraId="3DD2D9EA"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Surgery</w:t>
            </w:r>
          </w:p>
        </w:tc>
        <w:tc>
          <w:tcPr>
            <w:tcW w:w="1418" w:type="dxa"/>
            <w:tcBorders>
              <w:top w:val="single" w:sz="4" w:space="0" w:color="auto"/>
              <w:bottom w:val="single" w:sz="4" w:space="0" w:color="auto"/>
            </w:tcBorders>
          </w:tcPr>
          <w:p w14:paraId="5CFEB847"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Response rate</w:t>
            </w:r>
          </w:p>
        </w:tc>
        <w:tc>
          <w:tcPr>
            <w:tcW w:w="1417" w:type="dxa"/>
            <w:tcBorders>
              <w:top w:val="single" w:sz="4" w:space="0" w:color="auto"/>
              <w:bottom w:val="single" w:sz="4" w:space="0" w:color="auto"/>
            </w:tcBorders>
          </w:tcPr>
          <w:p w14:paraId="32F06691"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Survival</w:t>
            </w:r>
          </w:p>
        </w:tc>
        <w:tc>
          <w:tcPr>
            <w:tcW w:w="2268" w:type="dxa"/>
            <w:tcBorders>
              <w:top w:val="single" w:sz="4" w:space="0" w:color="auto"/>
              <w:bottom w:val="single" w:sz="4" w:space="0" w:color="auto"/>
            </w:tcBorders>
          </w:tcPr>
          <w:p w14:paraId="4B9B9C4C" w14:textId="77777777" w:rsidR="00F0668A" w:rsidRDefault="00F0668A"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Adverse outcomes</w:t>
            </w:r>
          </w:p>
        </w:tc>
      </w:tr>
      <w:tr w:rsidR="00F0668A" w14:paraId="3BD2BF19" w14:textId="77777777" w:rsidTr="00276D72">
        <w:tc>
          <w:tcPr>
            <w:tcW w:w="1513" w:type="dxa"/>
            <w:tcBorders>
              <w:top w:val="single" w:sz="4" w:space="0" w:color="auto"/>
            </w:tcBorders>
          </w:tcPr>
          <w:p w14:paraId="2DAA459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Roth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2" w:anchor="_ENREF_21" w:tooltip="Roth, 2003 #125" w:history="1">
              <w:r>
                <w:rPr>
                  <w:rStyle w:val="a9"/>
                  <w:rFonts w:ascii="Book Antiqua" w:hAnsi="Book Antiqua" w:cs="Book Antiqua"/>
                  <w:bCs/>
                  <w:color w:val="000000" w:themeColor="text1"/>
                  <w:vertAlign w:val="superscript"/>
                </w:rPr>
                <w:t>21</w:t>
              </w:r>
            </w:hyperlink>
            <w:r>
              <w:rPr>
                <w:rFonts w:ascii="Book Antiqua" w:hAnsi="Book Antiqua" w:cs="Book Antiqua"/>
                <w:bCs/>
                <w:color w:val="000000" w:themeColor="text1"/>
                <w:vertAlign w:val="superscript"/>
              </w:rPr>
              <w:t>]</w:t>
            </w:r>
          </w:p>
        </w:tc>
        <w:tc>
          <w:tcPr>
            <w:tcW w:w="1336" w:type="dxa"/>
            <w:tcBorders>
              <w:top w:val="single" w:sz="4" w:space="0" w:color="auto"/>
            </w:tcBorders>
          </w:tcPr>
          <w:p w14:paraId="783C875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2003</w:t>
            </w:r>
          </w:p>
        </w:tc>
        <w:tc>
          <w:tcPr>
            <w:tcW w:w="1083" w:type="dxa"/>
            <w:tcBorders>
              <w:top w:val="single" w:sz="4" w:space="0" w:color="auto"/>
            </w:tcBorders>
          </w:tcPr>
          <w:p w14:paraId="452144D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18/18</w:t>
            </w:r>
          </w:p>
        </w:tc>
        <w:tc>
          <w:tcPr>
            <w:tcW w:w="1279" w:type="dxa"/>
            <w:tcBorders>
              <w:top w:val="single" w:sz="4" w:space="0" w:color="auto"/>
            </w:tcBorders>
          </w:tcPr>
          <w:p w14:paraId="285AA7FA"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 LAGC</w:t>
            </w:r>
          </w:p>
        </w:tc>
        <w:tc>
          <w:tcPr>
            <w:tcW w:w="1985" w:type="dxa"/>
            <w:tcBorders>
              <w:top w:val="single" w:sz="4" w:space="0" w:color="auto"/>
            </w:tcBorders>
          </w:tcPr>
          <w:p w14:paraId="38EADA5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CF × 2 + RT (3 titers)</w:t>
            </w:r>
          </w:p>
        </w:tc>
        <w:tc>
          <w:tcPr>
            <w:tcW w:w="850" w:type="dxa"/>
            <w:tcBorders>
              <w:top w:val="single" w:sz="4" w:space="0" w:color="auto"/>
            </w:tcBorders>
          </w:tcPr>
          <w:p w14:paraId="24C62D9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w:t>
            </w:r>
          </w:p>
        </w:tc>
        <w:tc>
          <w:tcPr>
            <w:tcW w:w="1418" w:type="dxa"/>
            <w:tcBorders>
              <w:top w:val="single" w:sz="4" w:space="0" w:color="auto"/>
            </w:tcBorders>
          </w:tcPr>
          <w:p w14:paraId="61D0D83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6% pCR, 50% ORR</w:t>
            </w:r>
          </w:p>
        </w:tc>
        <w:tc>
          <w:tcPr>
            <w:tcW w:w="1417" w:type="dxa"/>
            <w:tcBorders>
              <w:top w:val="single" w:sz="4" w:space="0" w:color="auto"/>
            </w:tcBorders>
          </w:tcPr>
          <w:p w14:paraId="2403C3AC" w14:textId="7D90CF06"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2-yr OS 71%, 3-yr OS 59%</w:t>
            </w:r>
          </w:p>
        </w:tc>
        <w:tc>
          <w:tcPr>
            <w:tcW w:w="2268" w:type="dxa"/>
            <w:tcBorders>
              <w:top w:val="single" w:sz="4" w:space="0" w:color="auto"/>
            </w:tcBorders>
          </w:tcPr>
          <w:p w14:paraId="3F76637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no postoperative death; 17% minimal peritoneal carcinomatosis; 44% grade 3-4 AE</w:t>
            </w:r>
          </w:p>
        </w:tc>
      </w:tr>
      <w:tr w:rsidR="00F0668A" w14:paraId="6D841E94" w14:textId="77777777" w:rsidTr="00276D72">
        <w:tc>
          <w:tcPr>
            <w:tcW w:w="1513" w:type="dxa"/>
          </w:tcPr>
          <w:p w14:paraId="1EF9E70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Skoropad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3" w:anchor="_ENREF_22" w:tooltip="Skoropad, 2003 #126" w:history="1">
              <w:r>
                <w:rPr>
                  <w:rStyle w:val="a9"/>
                  <w:rFonts w:ascii="Book Antiqua" w:hAnsi="Book Antiqua" w:cs="Book Antiqua"/>
                  <w:bCs/>
                  <w:color w:val="000000" w:themeColor="text1"/>
                  <w:vertAlign w:val="superscript"/>
                </w:rPr>
                <w:t>22</w:t>
              </w:r>
            </w:hyperlink>
            <w:r>
              <w:rPr>
                <w:rFonts w:ascii="Book Antiqua" w:hAnsi="Book Antiqua" w:cs="Book Antiqua"/>
                <w:bCs/>
                <w:color w:val="000000" w:themeColor="text1"/>
                <w:vertAlign w:val="superscript"/>
              </w:rPr>
              <w:t>]</w:t>
            </w:r>
          </w:p>
        </w:tc>
        <w:tc>
          <w:tcPr>
            <w:tcW w:w="1336" w:type="dxa"/>
          </w:tcPr>
          <w:p w14:paraId="7420627C"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2003</w:t>
            </w:r>
          </w:p>
        </w:tc>
        <w:tc>
          <w:tcPr>
            <w:tcW w:w="1083" w:type="dxa"/>
          </w:tcPr>
          <w:p w14:paraId="196F2DA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67/91</w:t>
            </w:r>
          </w:p>
        </w:tc>
        <w:tc>
          <w:tcPr>
            <w:tcW w:w="1279" w:type="dxa"/>
          </w:tcPr>
          <w:p w14:paraId="59381EC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 (43% distal), cM0</w:t>
            </w:r>
          </w:p>
        </w:tc>
        <w:tc>
          <w:tcPr>
            <w:tcW w:w="1985" w:type="dxa"/>
          </w:tcPr>
          <w:p w14:paraId="5901F62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45 Gy/25 fractions + metronidazole</w:t>
            </w:r>
          </w:p>
        </w:tc>
        <w:tc>
          <w:tcPr>
            <w:tcW w:w="850" w:type="dxa"/>
          </w:tcPr>
          <w:p w14:paraId="3B4D676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D1</w:t>
            </w:r>
          </w:p>
        </w:tc>
        <w:tc>
          <w:tcPr>
            <w:tcW w:w="1418" w:type="dxa"/>
          </w:tcPr>
          <w:p w14:paraId="2383979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NA</w:t>
            </w:r>
          </w:p>
        </w:tc>
        <w:tc>
          <w:tcPr>
            <w:tcW w:w="1417" w:type="dxa"/>
          </w:tcPr>
          <w:p w14:paraId="0A5BE4F6" w14:textId="37632200"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5-yr OS 46%, 10-yr OS 36%, MST 46</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026B681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26% metastasis/inoperable; 6% postoperative death; 4% grade 4 AE</w:t>
            </w:r>
          </w:p>
        </w:tc>
      </w:tr>
      <w:tr w:rsidR="00F0668A" w14:paraId="238209FA" w14:textId="77777777" w:rsidTr="00276D72">
        <w:tc>
          <w:tcPr>
            <w:tcW w:w="1513" w:type="dxa"/>
          </w:tcPr>
          <w:p w14:paraId="0095FBC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Ajani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4" w:anchor="_ENREF_23" w:tooltip="Ajani, 2004 #35" w:history="1">
              <w:r>
                <w:rPr>
                  <w:rStyle w:val="a9"/>
                  <w:rFonts w:ascii="Book Antiqua" w:hAnsi="Book Antiqua" w:cs="Book Antiqua"/>
                  <w:bCs/>
                  <w:color w:val="000000" w:themeColor="text1"/>
                  <w:vertAlign w:val="superscript"/>
                </w:rPr>
                <w:t>23</w:t>
              </w:r>
            </w:hyperlink>
            <w:r>
              <w:rPr>
                <w:rFonts w:ascii="Book Antiqua" w:hAnsi="Book Antiqua" w:cs="Book Antiqua"/>
                <w:bCs/>
                <w:color w:val="000000" w:themeColor="text1"/>
                <w:vertAlign w:val="superscript"/>
              </w:rPr>
              <w:t>]</w:t>
            </w:r>
            <w:r>
              <w:rPr>
                <w:rFonts w:ascii="Book Antiqua" w:hAnsi="Book Antiqua" w:cs="Book Antiqua"/>
                <w:bCs/>
                <w:color w:val="000000" w:themeColor="text1"/>
              </w:rPr>
              <w:t xml:space="preserve"> </w:t>
            </w:r>
          </w:p>
        </w:tc>
        <w:tc>
          <w:tcPr>
            <w:tcW w:w="1336" w:type="dxa"/>
          </w:tcPr>
          <w:p w14:paraId="14E8839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2004</w:t>
            </w:r>
          </w:p>
        </w:tc>
        <w:tc>
          <w:tcPr>
            <w:tcW w:w="1083" w:type="dxa"/>
          </w:tcPr>
          <w:p w14:paraId="370E1014"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29/33</w:t>
            </w:r>
          </w:p>
        </w:tc>
        <w:tc>
          <w:tcPr>
            <w:tcW w:w="1279" w:type="dxa"/>
          </w:tcPr>
          <w:p w14:paraId="318B9FC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(24% distal), cT2-</w:t>
            </w:r>
            <w:r>
              <w:rPr>
                <w:rFonts w:ascii="Book Antiqua" w:hAnsi="Book Antiqua" w:cs="Book Antiqua"/>
                <w:bCs/>
                <w:color w:val="000000" w:themeColor="text1"/>
              </w:rPr>
              <w:lastRenderedPageBreak/>
              <w:t xml:space="preserve">3NxM0 or cT1N1M0 </w:t>
            </w:r>
          </w:p>
        </w:tc>
        <w:tc>
          <w:tcPr>
            <w:tcW w:w="1985" w:type="dxa"/>
          </w:tcPr>
          <w:p w14:paraId="547D629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45 Gy/25 fractions + 5-Fu</w:t>
            </w:r>
          </w:p>
        </w:tc>
        <w:tc>
          <w:tcPr>
            <w:tcW w:w="850" w:type="dxa"/>
          </w:tcPr>
          <w:p w14:paraId="693D329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w:t>
            </w:r>
          </w:p>
        </w:tc>
        <w:tc>
          <w:tcPr>
            <w:tcW w:w="1418" w:type="dxa"/>
          </w:tcPr>
          <w:p w14:paraId="6BCBD4D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30% pCR, 55% ORR</w:t>
            </w:r>
          </w:p>
        </w:tc>
        <w:tc>
          <w:tcPr>
            <w:tcW w:w="1417" w:type="dxa"/>
          </w:tcPr>
          <w:p w14:paraId="05B0A56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2-yr OS 54%, MST 34</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64C638E8" w14:textId="3E1D8CF0"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3% TRM; 3% postoperative death; 12% </w:t>
            </w:r>
            <w:r>
              <w:rPr>
                <w:rFonts w:ascii="Book Antiqua" w:hAnsi="Book Antiqua" w:cs="Book Antiqua"/>
                <w:bCs/>
                <w:color w:val="000000" w:themeColor="text1"/>
              </w:rPr>
              <w:lastRenderedPageBreak/>
              <w:t xml:space="preserve">metastasis/inoperable; no grade 4 AE </w:t>
            </w:r>
          </w:p>
        </w:tc>
      </w:tr>
      <w:tr w:rsidR="00F0668A" w14:paraId="2FC0A48D" w14:textId="77777777" w:rsidTr="00276D72">
        <w:tc>
          <w:tcPr>
            <w:tcW w:w="1513" w:type="dxa"/>
          </w:tcPr>
          <w:p w14:paraId="4EC592A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 xml:space="preserve">Ajani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5" w:anchor="_ENREF_24" w:tooltip="Ajani, 2006 #108" w:history="1">
              <w:r>
                <w:rPr>
                  <w:rStyle w:val="a9"/>
                  <w:rFonts w:ascii="Book Antiqua" w:hAnsi="Book Antiqua" w:cs="Book Antiqua"/>
                  <w:bCs/>
                  <w:color w:val="000000" w:themeColor="text1"/>
                  <w:vertAlign w:val="superscript"/>
                </w:rPr>
                <w:t>24</w:t>
              </w:r>
            </w:hyperlink>
            <w:r>
              <w:rPr>
                <w:rFonts w:ascii="Book Antiqua" w:hAnsi="Book Antiqua" w:cs="Book Antiqua"/>
                <w:bCs/>
                <w:color w:val="000000" w:themeColor="text1"/>
                <w:vertAlign w:val="superscript"/>
              </w:rPr>
              <w:t>]</w:t>
            </w:r>
          </w:p>
        </w:tc>
        <w:tc>
          <w:tcPr>
            <w:tcW w:w="1336" w:type="dxa"/>
          </w:tcPr>
          <w:p w14:paraId="0C984B3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2006</w:t>
            </w:r>
          </w:p>
        </w:tc>
        <w:tc>
          <w:tcPr>
            <w:tcW w:w="1083" w:type="dxa"/>
          </w:tcPr>
          <w:p w14:paraId="498B47F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36/43</w:t>
            </w:r>
          </w:p>
        </w:tc>
        <w:tc>
          <w:tcPr>
            <w:tcW w:w="1279" w:type="dxa"/>
          </w:tcPr>
          <w:p w14:paraId="7F53A7C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w:t>
            </w:r>
            <w:bookmarkStart w:id="2" w:name="OLE_LINK1"/>
            <w:r>
              <w:rPr>
                <w:rFonts w:ascii="Book Antiqua" w:hAnsi="Book Antiqua" w:cs="Book Antiqua"/>
                <w:bCs/>
                <w:color w:val="000000" w:themeColor="text1"/>
              </w:rPr>
              <w:t>EGJ</w:t>
            </w:r>
            <w:bookmarkEnd w:id="2"/>
            <w:r>
              <w:rPr>
                <w:rFonts w:ascii="Book Antiqua" w:hAnsi="Book Antiqua" w:cs="Book Antiqua"/>
                <w:bCs/>
                <w:color w:val="000000" w:themeColor="text1"/>
              </w:rPr>
              <w:t xml:space="preserve"> (23% antrum), cT2-3NxM0 or cT1N1M0 </w:t>
            </w:r>
          </w:p>
        </w:tc>
        <w:tc>
          <w:tcPr>
            <w:tcW w:w="1985" w:type="dxa"/>
          </w:tcPr>
          <w:p w14:paraId="4758D5E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CF</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2 → 45Gy/25 fractions + 5-Fu</w:t>
            </w:r>
          </w:p>
        </w:tc>
        <w:tc>
          <w:tcPr>
            <w:tcW w:w="850" w:type="dxa"/>
          </w:tcPr>
          <w:p w14:paraId="36132A4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1418" w:type="dxa"/>
          </w:tcPr>
          <w:p w14:paraId="1849CF7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26% pCR. </w:t>
            </w:r>
          </w:p>
        </w:tc>
        <w:tc>
          <w:tcPr>
            <w:tcW w:w="1417" w:type="dxa"/>
          </w:tcPr>
          <w:p w14:paraId="62A8003C"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1-y</w:t>
            </w:r>
            <w:r>
              <w:rPr>
                <w:rFonts w:ascii="Book Antiqua" w:hAnsi="Book Antiqua" w:cs="Book Antiqua" w:hint="eastAsia"/>
                <w:bCs/>
                <w:color w:val="000000" w:themeColor="text1"/>
              </w:rPr>
              <w:t>r</w:t>
            </w:r>
            <w:r>
              <w:rPr>
                <w:rFonts w:ascii="Book Antiqua" w:hAnsi="Book Antiqua" w:cs="Book Antiqua"/>
                <w:bCs/>
                <w:color w:val="000000" w:themeColor="text1"/>
              </w:rPr>
              <w:t xml:space="preserve"> OS 72%, MST 23</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621DE3F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No TRM; no postoperative death; 17% progression; 5% grade 3 AE; 58% site failure </w:t>
            </w:r>
          </w:p>
        </w:tc>
      </w:tr>
      <w:tr w:rsidR="00F0668A" w14:paraId="43769042" w14:textId="77777777" w:rsidTr="00276D72">
        <w:tc>
          <w:tcPr>
            <w:tcW w:w="1513" w:type="dxa"/>
          </w:tcPr>
          <w:p w14:paraId="0C7572D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Wydmanski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6" w:anchor="_ENREF_25" w:tooltip="Wydmanski, 2007 #106" w:history="1">
              <w:r>
                <w:rPr>
                  <w:rStyle w:val="a9"/>
                  <w:rFonts w:ascii="Book Antiqua" w:hAnsi="Book Antiqua" w:cs="Book Antiqua"/>
                  <w:bCs/>
                  <w:color w:val="000000" w:themeColor="text1"/>
                  <w:vertAlign w:val="superscript"/>
                </w:rPr>
                <w:t>25</w:t>
              </w:r>
            </w:hyperlink>
            <w:r>
              <w:rPr>
                <w:rFonts w:ascii="Book Antiqua" w:hAnsi="Book Antiqua" w:cs="Book Antiqua"/>
                <w:bCs/>
                <w:color w:val="000000" w:themeColor="text1"/>
                <w:vertAlign w:val="superscript"/>
              </w:rPr>
              <w:t>]</w:t>
            </w:r>
          </w:p>
        </w:tc>
        <w:tc>
          <w:tcPr>
            <w:tcW w:w="1336" w:type="dxa"/>
          </w:tcPr>
          <w:p w14:paraId="10C27B3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2007</w:t>
            </w:r>
          </w:p>
        </w:tc>
        <w:tc>
          <w:tcPr>
            <w:tcW w:w="1083" w:type="dxa"/>
          </w:tcPr>
          <w:p w14:paraId="0FFEBFA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32/40</w:t>
            </w:r>
          </w:p>
        </w:tc>
        <w:tc>
          <w:tcPr>
            <w:tcW w:w="1279" w:type="dxa"/>
          </w:tcPr>
          <w:p w14:paraId="3B0B6A7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color w:val="000000" w:themeColor="text1"/>
              </w:rPr>
              <w:t xml:space="preserve">Stomach, </w:t>
            </w:r>
            <w:r>
              <w:rPr>
                <w:rFonts w:ascii="Book Antiqua" w:hAnsi="Book Antiqua" w:cs="Book Antiqua"/>
                <w:bCs/>
                <w:color w:val="000000" w:themeColor="text1"/>
              </w:rPr>
              <w:t>LAGC (31% middle/distal)</w:t>
            </w:r>
          </w:p>
        </w:tc>
        <w:tc>
          <w:tcPr>
            <w:tcW w:w="1985" w:type="dxa"/>
          </w:tcPr>
          <w:p w14:paraId="400060A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45 Gy/25 fractions + 5-Fu</w:t>
            </w:r>
          </w:p>
        </w:tc>
        <w:tc>
          <w:tcPr>
            <w:tcW w:w="850" w:type="dxa"/>
          </w:tcPr>
          <w:p w14:paraId="69889F1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1418" w:type="dxa"/>
          </w:tcPr>
          <w:p w14:paraId="394C0694"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18% pCR, 38% ORR</w:t>
            </w:r>
          </w:p>
        </w:tc>
        <w:tc>
          <w:tcPr>
            <w:tcW w:w="1417" w:type="dxa"/>
          </w:tcPr>
          <w:p w14:paraId="34A531B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1-yr OS 75%, 2-yr OS 63%, MST not reach</w:t>
            </w:r>
          </w:p>
        </w:tc>
        <w:tc>
          <w:tcPr>
            <w:tcW w:w="2268" w:type="dxa"/>
          </w:tcPr>
          <w:p w14:paraId="4070D3B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5% TRM; no postoperative death; 12.5% metastasis/inoperable; no grade 4 AE</w:t>
            </w:r>
          </w:p>
        </w:tc>
      </w:tr>
      <w:tr w:rsidR="00F0668A" w14:paraId="3623EC20" w14:textId="77777777" w:rsidTr="00276D72">
        <w:tc>
          <w:tcPr>
            <w:tcW w:w="1513" w:type="dxa"/>
          </w:tcPr>
          <w:p w14:paraId="3689151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Rivera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7" w:anchor="_ENREF_26" w:tooltip="Rivera, 2011 #95" w:history="1">
              <w:r>
                <w:rPr>
                  <w:rStyle w:val="a9"/>
                  <w:rFonts w:ascii="Book Antiqua" w:hAnsi="Book Antiqua" w:cs="Book Antiqua"/>
                  <w:bCs/>
                  <w:color w:val="000000" w:themeColor="text1"/>
                  <w:vertAlign w:val="superscript"/>
                </w:rPr>
                <w:t>26</w:t>
              </w:r>
            </w:hyperlink>
            <w:r>
              <w:rPr>
                <w:rFonts w:ascii="Book Antiqua" w:hAnsi="Book Antiqua" w:cs="Book Antiqua"/>
                <w:bCs/>
                <w:color w:val="000000" w:themeColor="text1"/>
                <w:vertAlign w:val="superscript"/>
              </w:rPr>
              <w:t>]</w:t>
            </w:r>
          </w:p>
        </w:tc>
        <w:tc>
          <w:tcPr>
            <w:tcW w:w="1336" w:type="dxa"/>
          </w:tcPr>
          <w:p w14:paraId="43FAB00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2011</w:t>
            </w:r>
          </w:p>
        </w:tc>
        <w:tc>
          <w:tcPr>
            <w:tcW w:w="1083" w:type="dxa"/>
          </w:tcPr>
          <w:p w14:paraId="0340D25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8/13</w:t>
            </w:r>
          </w:p>
        </w:tc>
        <w:tc>
          <w:tcPr>
            <w:tcW w:w="1279" w:type="dxa"/>
          </w:tcPr>
          <w:p w14:paraId="68D32C5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(41% distal), initially unresectable cM0</w:t>
            </w:r>
          </w:p>
        </w:tc>
        <w:tc>
          <w:tcPr>
            <w:tcW w:w="1985" w:type="dxa"/>
          </w:tcPr>
          <w:p w14:paraId="0859482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IC</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2 → 45 Gy/25 fractions + IC</w:t>
            </w:r>
          </w:p>
        </w:tc>
        <w:tc>
          <w:tcPr>
            <w:tcW w:w="850" w:type="dxa"/>
          </w:tcPr>
          <w:p w14:paraId="6430AC6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D1 and beyond</w:t>
            </w:r>
          </w:p>
        </w:tc>
        <w:tc>
          <w:tcPr>
            <w:tcW w:w="1418" w:type="dxa"/>
          </w:tcPr>
          <w:p w14:paraId="3A5378F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pCR, 8% PR</w:t>
            </w:r>
          </w:p>
        </w:tc>
        <w:tc>
          <w:tcPr>
            <w:tcW w:w="1417" w:type="dxa"/>
          </w:tcPr>
          <w:p w14:paraId="2F53508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2-yr OS 27%, MST 10.5</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 (in 17 patients)</w:t>
            </w:r>
          </w:p>
        </w:tc>
        <w:tc>
          <w:tcPr>
            <w:tcW w:w="2268" w:type="dxa"/>
          </w:tcPr>
          <w:p w14:paraId="2A450D8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15% TRM, 12.5% postoperative death; 23% metastasis/inoperable; 46% grade 3-4 neutropenia</w:t>
            </w:r>
          </w:p>
        </w:tc>
      </w:tr>
      <w:tr w:rsidR="00F0668A" w14:paraId="74A38A65" w14:textId="77777777" w:rsidTr="00276D72">
        <w:tc>
          <w:tcPr>
            <w:tcW w:w="1513" w:type="dxa"/>
          </w:tcPr>
          <w:p w14:paraId="1B264E6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 xml:space="preserve">Pera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8" w:anchor="_ENREF_27" w:tooltip="Pera, 2012 #124" w:history="1">
              <w:r>
                <w:rPr>
                  <w:rStyle w:val="a9"/>
                  <w:rFonts w:ascii="Book Antiqua" w:hAnsi="Book Antiqua" w:cs="Book Antiqua"/>
                  <w:bCs/>
                  <w:color w:val="000000" w:themeColor="text1"/>
                  <w:vertAlign w:val="superscript"/>
                </w:rPr>
                <w:t>27</w:t>
              </w:r>
            </w:hyperlink>
            <w:r>
              <w:rPr>
                <w:rFonts w:ascii="Book Antiqua" w:hAnsi="Book Antiqua" w:cs="Book Antiqua"/>
                <w:bCs/>
                <w:color w:val="000000" w:themeColor="text1"/>
                <w:vertAlign w:val="superscript"/>
              </w:rPr>
              <w:t>]</w:t>
            </w:r>
          </w:p>
        </w:tc>
        <w:tc>
          <w:tcPr>
            <w:tcW w:w="1336" w:type="dxa"/>
          </w:tcPr>
          <w:p w14:paraId="279BC4C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2012</w:t>
            </w:r>
          </w:p>
        </w:tc>
        <w:tc>
          <w:tcPr>
            <w:tcW w:w="1083" w:type="dxa"/>
          </w:tcPr>
          <w:p w14:paraId="1DD7DE1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31/41</w:t>
            </w:r>
          </w:p>
        </w:tc>
        <w:tc>
          <w:tcPr>
            <w:tcW w:w="1279" w:type="dxa"/>
          </w:tcPr>
          <w:p w14:paraId="7D6F876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Stomach/EGJ/Esophagus (29% stomach), locally advanced (M0)</w:t>
            </w:r>
          </w:p>
        </w:tc>
        <w:tc>
          <w:tcPr>
            <w:tcW w:w="1985" w:type="dxa"/>
          </w:tcPr>
          <w:p w14:paraId="3AAB122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Oxaliplatin/cisplatin/5-FU + 45 Gy/25 fractions</w:t>
            </w:r>
          </w:p>
        </w:tc>
        <w:tc>
          <w:tcPr>
            <w:tcW w:w="850" w:type="dxa"/>
          </w:tcPr>
          <w:p w14:paraId="4FE3320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1418" w:type="dxa"/>
          </w:tcPr>
          <w:p w14:paraId="5A02758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22% pCR, 44% ORR</w:t>
            </w:r>
          </w:p>
        </w:tc>
        <w:tc>
          <w:tcPr>
            <w:tcW w:w="1417" w:type="dxa"/>
          </w:tcPr>
          <w:p w14:paraId="2B62BC9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2-yr OS 58%, MST 28</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05E9C7D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 TRM; 13% postoperative death; 24% progression/inoperable; 14% grade 3-4 neutropenia</w:t>
            </w:r>
          </w:p>
        </w:tc>
      </w:tr>
      <w:tr w:rsidR="00F0668A" w14:paraId="10DC5317" w14:textId="77777777" w:rsidTr="00276D72">
        <w:tc>
          <w:tcPr>
            <w:tcW w:w="1513" w:type="dxa"/>
          </w:tcPr>
          <w:p w14:paraId="41012CF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Michel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19" w:anchor="_ENREF_28" w:tooltip="Michel, 2014 #82" w:history="1">
              <w:r>
                <w:rPr>
                  <w:rStyle w:val="a9"/>
                  <w:rFonts w:ascii="Book Antiqua" w:hAnsi="Book Antiqua" w:cs="Book Antiqua"/>
                  <w:bCs/>
                  <w:color w:val="000000" w:themeColor="text1"/>
                  <w:vertAlign w:val="superscript"/>
                </w:rPr>
                <w:t>28</w:t>
              </w:r>
            </w:hyperlink>
            <w:r>
              <w:rPr>
                <w:rFonts w:ascii="Book Antiqua" w:hAnsi="Book Antiqua" w:cs="Book Antiqua"/>
                <w:bCs/>
                <w:color w:val="000000" w:themeColor="text1"/>
                <w:vertAlign w:val="superscript"/>
              </w:rPr>
              <w:t>]</w:t>
            </w:r>
          </w:p>
        </w:tc>
        <w:tc>
          <w:tcPr>
            <w:tcW w:w="1336" w:type="dxa"/>
          </w:tcPr>
          <w:p w14:paraId="6527E01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2014</w:t>
            </w:r>
          </w:p>
        </w:tc>
        <w:tc>
          <w:tcPr>
            <w:tcW w:w="1083" w:type="dxa"/>
          </w:tcPr>
          <w:p w14:paraId="45CDC28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31/42</w:t>
            </w:r>
          </w:p>
        </w:tc>
        <w:tc>
          <w:tcPr>
            <w:tcW w:w="1279" w:type="dxa"/>
          </w:tcPr>
          <w:p w14:paraId="01AD8B6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(45% lower), cT &gt; 2 or cN &gt; 1 (M0)</w:t>
            </w:r>
          </w:p>
        </w:tc>
        <w:tc>
          <w:tcPr>
            <w:tcW w:w="1985" w:type="dxa"/>
          </w:tcPr>
          <w:p w14:paraId="79C951F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FOLFIRI</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4 → 50 Gy/25 fractions + 5-Fu</w:t>
            </w:r>
          </w:p>
        </w:tc>
        <w:tc>
          <w:tcPr>
            <w:tcW w:w="850" w:type="dxa"/>
          </w:tcPr>
          <w:p w14:paraId="3B5989D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1418" w:type="dxa"/>
          </w:tcPr>
          <w:p w14:paraId="750A785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7% pCR</w:t>
            </w:r>
          </w:p>
        </w:tc>
        <w:tc>
          <w:tcPr>
            <w:tcW w:w="1417" w:type="dxa"/>
          </w:tcPr>
          <w:p w14:paraId="2DB77D0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2-yr OS 27%, MST 26</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7343F35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17% postoperative death; 6% metastasis; 41% grade 3-4 AE</w:t>
            </w:r>
          </w:p>
        </w:tc>
      </w:tr>
      <w:tr w:rsidR="00F0668A" w14:paraId="1A6E53C9" w14:textId="77777777" w:rsidTr="00276D72">
        <w:tc>
          <w:tcPr>
            <w:tcW w:w="1513" w:type="dxa"/>
          </w:tcPr>
          <w:p w14:paraId="6F6C493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Trip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20" w:anchor="_ENREF_29" w:tooltip="Trip, 2014 #81" w:history="1">
              <w:r>
                <w:rPr>
                  <w:rStyle w:val="a9"/>
                  <w:rFonts w:ascii="Book Antiqua" w:hAnsi="Book Antiqua" w:cs="Book Antiqua"/>
                  <w:bCs/>
                  <w:color w:val="000000" w:themeColor="text1"/>
                  <w:vertAlign w:val="superscript"/>
                </w:rPr>
                <w:t>29</w:t>
              </w:r>
            </w:hyperlink>
            <w:r>
              <w:rPr>
                <w:rFonts w:ascii="Book Antiqua" w:hAnsi="Book Antiqua" w:cs="Book Antiqua"/>
                <w:bCs/>
                <w:color w:val="000000" w:themeColor="text1"/>
                <w:vertAlign w:val="superscript"/>
              </w:rPr>
              <w:t>]</w:t>
            </w:r>
          </w:p>
        </w:tc>
        <w:tc>
          <w:tcPr>
            <w:tcW w:w="1336" w:type="dxa"/>
          </w:tcPr>
          <w:p w14:paraId="28425F4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2014</w:t>
            </w:r>
          </w:p>
        </w:tc>
        <w:tc>
          <w:tcPr>
            <w:tcW w:w="1083" w:type="dxa"/>
          </w:tcPr>
          <w:p w14:paraId="154D468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24/25</w:t>
            </w:r>
          </w:p>
        </w:tc>
        <w:tc>
          <w:tcPr>
            <w:tcW w:w="1279" w:type="dxa"/>
          </w:tcPr>
          <w:p w14:paraId="5096D9C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 cTNM IB-IV (M0)</w:t>
            </w:r>
          </w:p>
        </w:tc>
        <w:tc>
          <w:tcPr>
            <w:tcW w:w="1985" w:type="dxa"/>
          </w:tcPr>
          <w:p w14:paraId="462D2DA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45 Gy/25 fractions + TC</w:t>
            </w:r>
          </w:p>
        </w:tc>
        <w:tc>
          <w:tcPr>
            <w:tcW w:w="850" w:type="dxa"/>
          </w:tcPr>
          <w:p w14:paraId="4E3D971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D1+, D2</w:t>
            </w:r>
          </w:p>
        </w:tc>
        <w:tc>
          <w:tcPr>
            <w:tcW w:w="1418" w:type="dxa"/>
          </w:tcPr>
          <w:p w14:paraId="2BDA405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16% pCR, 77% ORR</w:t>
            </w:r>
          </w:p>
        </w:tc>
        <w:tc>
          <w:tcPr>
            <w:tcW w:w="1417" w:type="dxa"/>
          </w:tcPr>
          <w:p w14:paraId="6EE44F6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MST 15</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47C6386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4% postoperative death; 4% progression; no grade 4 AE</w:t>
            </w:r>
          </w:p>
        </w:tc>
      </w:tr>
      <w:tr w:rsidR="00F0668A" w14:paraId="14102F25" w14:textId="77777777" w:rsidTr="00276D72">
        <w:tc>
          <w:tcPr>
            <w:tcW w:w="1513" w:type="dxa"/>
          </w:tcPr>
          <w:p w14:paraId="1590F86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 xml:space="preserve">Liu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21" w:anchor="_ENREF_30" w:tooltip="Liu, 2018 #50" w:history="1">
              <w:r>
                <w:rPr>
                  <w:rStyle w:val="a9"/>
                  <w:rFonts w:ascii="Book Antiqua" w:hAnsi="Book Antiqua" w:cs="Book Antiqua"/>
                  <w:bCs/>
                  <w:color w:val="000000" w:themeColor="text1"/>
                  <w:vertAlign w:val="superscript"/>
                </w:rPr>
                <w:t>30</w:t>
              </w:r>
            </w:hyperlink>
            <w:r>
              <w:rPr>
                <w:rFonts w:ascii="Book Antiqua" w:hAnsi="Book Antiqua" w:cs="Book Antiqua"/>
                <w:bCs/>
                <w:color w:val="000000" w:themeColor="text1"/>
                <w:vertAlign w:val="superscript"/>
              </w:rPr>
              <w:t>]</w:t>
            </w:r>
          </w:p>
        </w:tc>
        <w:tc>
          <w:tcPr>
            <w:tcW w:w="1336" w:type="dxa"/>
          </w:tcPr>
          <w:p w14:paraId="759530B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2018</w:t>
            </w:r>
          </w:p>
        </w:tc>
        <w:tc>
          <w:tcPr>
            <w:tcW w:w="1083" w:type="dxa"/>
          </w:tcPr>
          <w:p w14:paraId="777C003A"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33/36</w:t>
            </w:r>
          </w:p>
        </w:tc>
        <w:tc>
          <w:tcPr>
            <w:tcW w:w="1279" w:type="dxa"/>
          </w:tcPr>
          <w:p w14:paraId="6B21A03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cTNM III (53% lower)</w:t>
            </w:r>
          </w:p>
        </w:tc>
        <w:tc>
          <w:tcPr>
            <w:tcW w:w="1985" w:type="dxa"/>
          </w:tcPr>
          <w:p w14:paraId="040B39A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SOX × 1 → 45 Gy/25 fractions + S-1 → SOX×1</w:t>
            </w:r>
          </w:p>
        </w:tc>
        <w:tc>
          <w:tcPr>
            <w:tcW w:w="850" w:type="dxa"/>
          </w:tcPr>
          <w:p w14:paraId="3DAFFBB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1418" w:type="dxa"/>
          </w:tcPr>
          <w:p w14:paraId="23583D8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8% pCR, ORR 42%</w:t>
            </w:r>
          </w:p>
        </w:tc>
        <w:tc>
          <w:tcPr>
            <w:tcW w:w="1417" w:type="dxa"/>
          </w:tcPr>
          <w:p w14:paraId="0B3C1CD0" w14:textId="711C278C"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1-yr OS 92%, 2-yr OS 56%, MST 30</w:t>
            </w:r>
            <w:r>
              <w:rPr>
                <w:rFonts w:ascii="Book Antiqua" w:hAnsi="Book Antiqua" w:cs="Book Antiqua" w:hint="eastAsia"/>
                <w:bCs/>
                <w:color w:val="000000" w:themeColor="text1"/>
              </w:rPr>
              <w:t xml:space="preserve"> </w:t>
            </w:r>
            <w:r>
              <w:rPr>
                <w:rFonts w:ascii="Book Antiqua" w:hAnsi="Book Antiqua" w:cs="Book Antiqua"/>
                <w:bCs/>
                <w:color w:val="000000" w:themeColor="text1"/>
              </w:rPr>
              <w:t>mo</w:t>
            </w:r>
          </w:p>
        </w:tc>
        <w:tc>
          <w:tcPr>
            <w:tcW w:w="2268" w:type="dxa"/>
          </w:tcPr>
          <w:p w14:paraId="1C2A0BB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no postoperative death; 3% metastasis; no grade 4 AE</w:t>
            </w:r>
          </w:p>
        </w:tc>
      </w:tr>
      <w:tr w:rsidR="00F0668A" w14:paraId="7C6DA5A6" w14:textId="77777777" w:rsidTr="00276D72">
        <w:tc>
          <w:tcPr>
            <w:tcW w:w="1513" w:type="dxa"/>
          </w:tcPr>
          <w:p w14:paraId="4BED52B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Kim </w:t>
            </w:r>
            <w:r>
              <w:rPr>
                <w:rFonts w:ascii="Book Antiqua" w:hAnsi="Book Antiqua" w:cs="Book Antiqua"/>
                <w:bCs/>
                <w:i/>
                <w:color w:val="000000" w:themeColor="text1"/>
              </w:rPr>
              <w:t>et al</w:t>
            </w:r>
            <w:r>
              <w:rPr>
                <w:rFonts w:ascii="Book Antiqua" w:hAnsi="Book Antiqua" w:cs="Book Antiqua"/>
                <w:bCs/>
                <w:color w:val="000000" w:themeColor="text1"/>
                <w:vertAlign w:val="superscript"/>
              </w:rPr>
              <w:t>[</w:t>
            </w:r>
            <w:hyperlink r:id="rId22" w:anchor="_ENREF_31" w:tooltip="Kim, 2019 #40" w:history="1">
              <w:r>
                <w:rPr>
                  <w:rStyle w:val="a9"/>
                  <w:rFonts w:ascii="Book Antiqua" w:hAnsi="Book Antiqua" w:cs="Book Antiqua"/>
                  <w:bCs/>
                  <w:color w:val="000000" w:themeColor="text1"/>
                  <w:vertAlign w:val="superscript"/>
                </w:rPr>
                <w:t>31</w:t>
              </w:r>
            </w:hyperlink>
            <w:r>
              <w:rPr>
                <w:rFonts w:ascii="Book Antiqua" w:hAnsi="Book Antiqua" w:cs="Book Antiqua"/>
                <w:bCs/>
                <w:color w:val="000000" w:themeColor="text1"/>
                <w:vertAlign w:val="superscript"/>
              </w:rPr>
              <w:t>]</w:t>
            </w:r>
          </w:p>
        </w:tc>
        <w:tc>
          <w:tcPr>
            <w:tcW w:w="1336" w:type="dxa"/>
          </w:tcPr>
          <w:p w14:paraId="6A8C149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2019</w:t>
            </w:r>
          </w:p>
        </w:tc>
        <w:tc>
          <w:tcPr>
            <w:tcW w:w="1083" w:type="dxa"/>
          </w:tcPr>
          <w:p w14:paraId="1AFFEA2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31/39</w:t>
            </w:r>
          </w:p>
        </w:tc>
        <w:tc>
          <w:tcPr>
            <w:tcW w:w="1279" w:type="dxa"/>
          </w:tcPr>
          <w:p w14:paraId="66C7DF6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(33% antrum), high-risk</w:t>
            </w:r>
          </w:p>
        </w:tc>
        <w:tc>
          <w:tcPr>
            <w:tcW w:w="1985" w:type="dxa"/>
          </w:tcPr>
          <w:p w14:paraId="1CD2FD9D"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TPS</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2 → 45 Gy/25 fractions + CS</w:t>
            </w:r>
          </w:p>
        </w:tc>
        <w:tc>
          <w:tcPr>
            <w:tcW w:w="850" w:type="dxa"/>
          </w:tcPr>
          <w:p w14:paraId="65583F8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w:t>
            </w:r>
          </w:p>
        </w:tc>
        <w:tc>
          <w:tcPr>
            <w:tcW w:w="1418" w:type="dxa"/>
          </w:tcPr>
          <w:p w14:paraId="058A39E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10% pCR, 33% ORR</w:t>
            </w:r>
          </w:p>
        </w:tc>
        <w:tc>
          <w:tcPr>
            <w:tcW w:w="1417" w:type="dxa"/>
          </w:tcPr>
          <w:p w14:paraId="22DBD8D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3-yr OS 76%, MST not reach</w:t>
            </w:r>
          </w:p>
        </w:tc>
        <w:tc>
          <w:tcPr>
            <w:tcW w:w="2268" w:type="dxa"/>
          </w:tcPr>
          <w:p w14:paraId="671A70F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No TRM; no postoperative death; 15% metastasis/inoperable; no grade 4 AE during CRT</w:t>
            </w:r>
          </w:p>
        </w:tc>
      </w:tr>
    </w:tbl>
    <w:p w14:paraId="1578C84B" w14:textId="6F42338B" w:rsidR="00F0668A" w:rsidRDefault="00F0668A" w:rsidP="00F0668A">
      <w:pPr>
        <w:adjustRightInd w:val="0"/>
        <w:snapToGrid w:val="0"/>
        <w:spacing w:line="360" w:lineRule="auto"/>
        <w:jc w:val="both"/>
        <w:rPr>
          <w:rFonts w:ascii="Book Antiqua" w:hAnsi="Book Antiqua" w:cs="Book Antiqua"/>
          <w:bCs/>
          <w:color w:val="000000" w:themeColor="text1"/>
          <w:kern w:val="2"/>
          <w:lang w:eastAsia="zh-CN"/>
        </w:rPr>
      </w:pPr>
      <w:r>
        <w:rPr>
          <w:rFonts w:ascii="Book Antiqua" w:hAnsi="Book Antiqua" w:cs="Book Antiqua"/>
          <w:bCs/>
          <w:color w:val="000000" w:themeColor="text1"/>
        </w:rPr>
        <w:t>AE</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A</w:t>
      </w:r>
      <w:r>
        <w:rPr>
          <w:rFonts w:ascii="Book Antiqua" w:hAnsi="Book Antiqua" w:cs="Book Antiqua"/>
          <w:bCs/>
          <w:color w:val="000000" w:themeColor="text1"/>
        </w:rPr>
        <w:t>dverse events; CF</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Cisplatin/5-Fu; CRT</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C</w:t>
      </w:r>
      <w:r>
        <w:rPr>
          <w:rFonts w:ascii="Book Antiqua" w:hAnsi="Book Antiqua" w:cs="Book Antiqua"/>
          <w:bCs/>
          <w:color w:val="000000" w:themeColor="text1"/>
        </w:rPr>
        <w:t>hemoradiotherapy; CS</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Cisplatin/S-1; DCF</w:t>
      </w:r>
      <w:r>
        <w:rPr>
          <w:rFonts w:ascii="Book Antiqua" w:hAnsi="Book Antiqua" w:cs="Book Antiqua" w:hint="eastAsia"/>
          <w:bCs/>
          <w:color w:val="000000" w:themeColor="text1"/>
          <w:lang w:eastAsia="zh-CN"/>
        </w:rPr>
        <w:t>:</w:t>
      </w:r>
      <w:r>
        <w:rPr>
          <w:rFonts w:ascii="Book Antiqua" w:hAnsi="Book Antiqua" w:cs="Book Antiqua"/>
          <w:bCs/>
          <w:color w:val="000000" w:themeColor="text1"/>
        </w:rPr>
        <w:t xml:space="preserve"> Docetaxel/Cisplatin/5–Fu; EGJ</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E</w:t>
      </w:r>
      <w:r>
        <w:rPr>
          <w:rFonts w:ascii="Book Antiqua" w:hAnsi="Book Antiqua" w:cs="Book Antiqua"/>
          <w:bCs/>
          <w:color w:val="000000" w:themeColor="text1"/>
        </w:rPr>
        <w:t>sophagogastric junction; FOLFIRI: Fluorouracil/Leucovorin/Irinotecan; Gy</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Grey; IC</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Irinotecan/Cisplatin; LAGC</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L</w:t>
      </w:r>
      <w:r>
        <w:rPr>
          <w:rFonts w:ascii="Book Antiqua" w:hAnsi="Book Antiqua" w:cs="Book Antiqua"/>
          <w:bCs/>
          <w:color w:val="000000" w:themeColor="text1"/>
        </w:rPr>
        <w:t>ocally advanced gastric cancer; MST</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M</w:t>
      </w:r>
      <w:r>
        <w:rPr>
          <w:rFonts w:ascii="Book Antiqua" w:hAnsi="Book Antiqua" w:cs="Book Antiqua"/>
          <w:bCs/>
          <w:color w:val="000000" w:themeColor="text1"/>
        </w:rPr>
        <w:t xml:space="preserve">edian survival time; </w:t>
      </w:r>
      <w:r>
        <w:rPr>
          <w:rFonts w:ascii="Book Antiqua" w:hAnsi="Book Antiqua" w:cs="Book Antiqua"/>
        </w:rPr>
        <w:t>NA: Not available</w:t>
      </w:r>
      <w:r>
        <w:rPr>
          <w:rFonts w:ascii="Book Antiqua" w:hAnsi="Book Antiqua" w:cs="Book Antiqua"/>
          <w:lang w:eastAsia="zh-CN"/>
        </w:rPr>
        <w:t xml:space="preserve">; </w:t>
      </w:r>
      <w:r>
        <w:rPr>
          <w:rFonts w:ascii="Book Antiqua" w:hAnsi="Book Antiqua" w:cs="Book Antiqua"/>
          <w:bCs/>
          <w:color w:val="000000" w:themeColor="text1"/>
        </w:rPr>
        <w:t>ORR</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O</w:t>
      </w:r>
      <w:r>
        <w:rPr>
          <w:rFonts w:ascii="Book Antiqua" w:hAnsi="Book Antiqua" w:cs="Book Antiqua"/>
          <w:bCs/>
          <w:color w:val="000000" w:themeColor="text1"/>
        </w:rPr>
        <w:t>bjective response rate; OS</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O</w:t>
      </w:r>
      <w:r>
        <w:rPr>
          <w:rFonts w:ascii="Book Antiqua" w:hAnsi="Book Antiqua" w:cs="Book Antiqua"/>
          <w:bCs/>
          <w:color w:val="000000" w:themeColor="text1"/>
        </w:rPr>
        <w:t xml:space="preserve">verall survival; pCR, </w:t>
      </w:r>
      <w:r>
        <w:rPr>
          <w:rFonts w:ascii="Book Antiqua" w:hAnsi="Book Antiqua" w:cs="Book Antiqua"/>
          <w:bCs/>
          <w:color w:val="000000" w:themeColor="text1"/>
          <w:lang w:eastAsia="zh-CN"/>
        </w:rPr>
        <w:t>P</w:t>
      </w:r>
      <w:r>
        <w:rPr>
          <w:rFonts w:ascii="Book Antiqua" w:hAnsi="Book Antiqua" w:cs="Book Antiqua"/>
          <w:bCs/>
          <w:color w:val="000000" w:themeColor="text1"/>
        </w:rPr>
        <w:t>athological complete response; PR</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P</w:t>
      </w:r>
      <w:r>
        <w:rPr>
          <w:rFonts w:ascii="Book Antiqua" w:hAnsi="Book Antiqua" w:cs="Book Antiqua"/>
          <w:bCs/>
          <w:color w:val="000000" w:themeColor="text1"/>
        </w:rPr>
        <w:t>artial response; RT</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R</w:t>
      </w:r>
      <w:r>
        <w:rPr>
          <w:rFonts w:ascii="Book Antiqua" w:hAnsi="Book Antiqua" w:cs="Book Antiqua"/>
          <w:bCs/>
          <w:color w:val="000000" w:themeColor="text1"/>
        </w:rPr>
        <w:t>adiotherapy; SOX</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S-1/Oxalip</w:t>
      </w:r>
      <w:r w:rsidR="00390F34">
        <w:rPr>
          <w:rFonts w:ascii="Book Antiqua" w:hAnsi="Book Antiqua" w:cs="Book Antiqua"/>
          <w:bCs/>
          <w:color w:val="000000" w:themeColor="text1"/>
        </w:rPr>
        <w:t>l</w:t>
      </w:r>
      <w:r>
        <w:rPr>
          <w:rFonts w:ascii="Book Antiqua" w:hAnsi="Book Antiqua" w:cs="Book Antiqua"/>
          <w:bCs/>
          <w:color w:val="000000" w:themeColor="text1"/>
        </w:rPr>
        <w:t>atin; TC</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Paclitaxel/Carboplatin; TPS</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Docetaxel/Cisplatin/S-1; TRM</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T</w:t>
      </w:r>
      <w:r>
        <w:rPr>
          <w:rFonts w:ascii="Book Antiqua" w:hAnsi="Book Antiqua" w:cs="Book Antiqua"/>
          <w:bCs/>
          <w:color w:val="000000" w:themeColor="text1"/>
        </w:rPr>
        <w:t>reatment-related mortality</w:t>
      </w:r>
      <w:r>
        <w:rPr>
          <w:rFonts w:ascii="Book Antiqua" w:hAnsi="Book Antiqua" w:cs="Book Antiqua"/>
          <w:bCs/>
          <w:color w:val="000000" w:themeColor="text1"/>
          <w:lang w:eastAsia="zh-CN"/>
        </w:rPr>
        <w:t>.</w:t>
      </w:r>
    </w:p>
    <w:p w14:paraId="55A8A9CE" w14:textId="77777777" w:rsidR="00F0668A" w:rsidRDefault="00F0668A" w:rsidP="00F0668A">
      <w:pPr>
        <w:adjustRightInd w:val="0"/>
        <w:snapToGrid w:val="0"/>
        <w:spacing w:line="360" w:lineRule="auto"/>
        <w:jc w:val="both"/>
        <w:rPr>
          <w:rFonts w:ascii="Book Antiqua" w:hAnsi="Book Antiqua" w:cs="Book Antiqua"/>
          <w:b/>
          <w:bCs/>
          <w:color w:val="000000" w:themeColor="text1"/>
        </w:rPr>
      </w:pPr>
      <w:r>
        <w:rPr>
          <w:rFonts w:ascii="Book Antiqua" w:hAnsi="Book Antiqua" w:cs="Book Antiqua"/>
          <w:bCs/>
          <w:color w:val="000000" w:themeColor="text1"/>
        </w:rPr>
        <w:br w:type="page"/>
      </w:r>
      <w:r>
        <w:rPr>
          <w:rFonts w:ascii="Book Antiqua" w:hAnsi="Book Antiqua" w:cs="Book Antiqua"/>
          <w:b/>
          <w:bCs/>
          <w:color w:val="000000" w:themeColor="text1"/>
        </w:rPr>
        <w:lastRenderedPageBreak/>
        <w:t>Table 2 Phase III published and ongoing studies of neoadjuvant/preoperative radiation/chemoradiation following curative gastrectomy in gastric cancer (with or without esophagogastric junction)</w:t>
      </w:r>
    </w:p>
    <w:tbl>
      <w:tblPr>
        <w:tblStyle w:val="a8"/>
        <w:tblW w:w="1351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1418"/>
        <w:gridCol w:w="992"/>
        <w:gridCol w:w="1985"/>
        <w:gridCol w:w="2126"/>
        <w:gridCol w:w="1276"/>
        <w:gridCol w:w="850"/>
        <w:gridCol w:w="851"/>
        <w:gridCol w:w="2211"/>
      </w:tblGrid>
      <w:tr w:rsidR="00F0668A" w:rsidRPr="00F0668A" w14:paraId="5E54CF1D" w14:textId="77777777" w:rsidTr="00F0668A">
        <w:tc>
          <w:tcPr>
            <w:tcW w:w="1809" w:type="dxa"/>
            <w:tcBorders>
              <w:top w:val="single" w:sz="4" w:space="0" w:color="auto"/>
              <w:bottom w:val="single" w:sz="4" w:space="0" w:color="auto"/>
            </w:tcBorders>
          </w:tcPr>
          <w:p w14:paraId="42872565" w14:textId="5A1FF0B9" w:rsidR="00F0668A" w:rsidRPr="00F0668A" w:rsidRDefault="000C705C" w:rsidP="00F0668A">
            <w:pPr>
              <w:adjustRightInd w:val="0"/>
              <w:snapToGrid w:val="0"/>
              <w:spacing w:line="360" w:lineRule="auto"/>
              <w:jc w:val="both"/>
              <w:rPr>
                <w:rFonts w:ascii="Book Antiqua" w:hAnsi="Book Antiqua" w:cs="Book Antiqua"/>
                <w:b/>
                <w:color w:val="000000" w:themeColor="text1"/>
              </w:rPr>
            </w:pPr>
            <w:r>
              <w:rPr>
                <w:rFonts w:ascii="Book Antiqua" w:hAnsi="Book Antiqua" w:cs="Book Antiqua"/>
                <w:b/>
                <w:color w:val="000000" w:themeColor="text1"/>
              </w:rPr>
              <w:t>Ref.</w:t>
            </w:r>
          </w:p>
        </w:tc>
        <w:tc>
          <w:tcPr>
            <w:tcW w:w="1418" w:type="dxa"/>
            <w:tcBorders>
              <w:top w:val="single" w:sz="4" w:space="0" w:color="auto"/>
              <w:bottom w:val="single" w:sz="4" w:space="0" w:color="auto"/>
            </w:tcBorders>
          </w:tcPr>
          <w:p w14:paraId="55B25A33"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Trial (accrual period)</w:t>
            </w:r>
          </w:p>
        </w:tc>
        <w:tc>
          <w:tcPr>
            <w:tcW w:w="992" w:type="dxa"/>
            <w:tcBorders>
              <w:top w:val="single" w:sz="4" w:space="0" w:color="auto"/>
              <w:bottom w:val="single" w:sz="4" w:space="0" w:color="auto"/>
            </w:tcBorders>
          </w:tcPr>
          <w:p w14:paraId="363B2D72"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No pts</w:t>
            </w:r>
          </w:p>
        </w:tc>
        <w:tc>
          <w:tcPr>
            <w:tcW w:w="1985" w:type="dxa"/>
            <w:tcBorders>
              <w:top w:val="single" w:sz="4" w:space="0" w:color="auto"/>
              <w:bottom w:val="single" w:sz="4" w:space="0" w:color="auto"/>
            </w:tcBorders>
          </w:tcPr>
          <w:p w14:paraId="174B3CDE"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Eligibility</w:t>
            </w:r>
          </w:p>
        </w:tc>
        <w:tc>
          <w:tcPr>
            <w:tcW w:w="2126" w:type="dxa"/>
            <w:tcBorders>
              <w:top w:val="single" w:sz="4" w:space="0" w:color="auto"/>
              <w:bottom w:val="single" w:sz="4" w:space="0" w:color="auto"/>
            </w:tcBorders>
          </w:tcPr>
          <w:p w14:paraId="3C6ACAF1"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Treatment/Design</w:t>
            </w:r>
          </w:p>
        </w:tc>
        <w:tc>
          <w:tcPr>
            <w:tcW w:w="1276" w:type="dxa"/>
            <w:tcBorders>
              <w:top w:val="single" w:sz="4" w:space="0" w:color="auto"/>
              <w:bottom w:val="single" w:sz="4" w:space="0" w:color="auto"/>
            </w:tcBorders>
          </w:tcPr>
          <w:p w14:paraId="67F86587"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Surgery</w:t>
            </w:r>
          </w:p>
        </w:tc>
        <w:tc>
          <w:tcPr>
            <w:tcW w:w="850" w:type="dxa"/>
            <w:tcBorders>
              <w:top w:val="single" w:sz="4" w:space="0" w:color="auto"/>
              <w:bottom w:val="single" w:sz="4" w:space="0" w:color="auto"/>
            </w:tcBorders>
          </w:tcPr>
          <w:p w14:paraId="3F5BCE0D"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Response rate</w:t>
            </w:r>
          </w:p>
        </w:tc>
        <w:tc>
          <w:tcPr>
            <w:tcW w:w="851" w:type="dxa"/>
            <w:tcBorders>
              <w:top w:val="single" w:sz="4" w:space="0" w:color="auto"/>
              <w:bottom w:val="single" w:sz="4" w:space="0" w:color="auto"/>
            </w:tcBorders>
          </w:tcPr>
          <w:p w14:paraId="3FFC92AD"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Survival</w:t>
            </w:r>
          </w:p>
        </w:tc>
        <w:tc>
          <w:tcPr>
            <w:tcW w:w="2211" w:type="dxa"/>
            <w:tcBorders>
              <w:top w:val="single" w:sz="4" w:space="0" w:color="auto"/>
              <w:bottom w:val="single" w:sz="4" w:space="0" w:color="auto"/>
            </w:tcBorders>
          </w:tcPr>
          <w:p w14:paraId="5793DB66" w14:textId="77777777" w:rsidR="00F0668A" w:rsidRPr="00F0668A" w:rsidRDefault="00F0668A" w:rsidP="00F0668A">
            <w:pPr>
              <w:adjustRightInd w:val="0"/>
              <w:snapToGrid w:val="0"/>
              <w:spacing w:line="360" w:lineRule="auto"/>
              <w:jc w:val="both"/>
              <w:rPr>
                <w:rFonts w:ascii="Book Antiqua" w:hAnsi="Book Antiqua" w:cs="Book Antiqua"/>
                <w:b/>
                <w:color w:val="000000" w:themeColor="text1"/>
              </w:rPr>
            </w:pPr>
            <w:r w:rsidRPr="00F0668A">
              <w:rPr>
                <w:rFonts w:ascii="Book Antiqua" w:hAnsi="Book Antiqua" w:cs="Book Antiqua"/>
                <w:b/>
                <w:color w:val="000000" w:themeColor="text1"/>
              </w:rPr>
              <w:t>Adverse outcomes</w:t>
            </w:r>
          </w:p>
        </w:tc>
      </w:tr>
      <w:tr w:rsidR="00F0668A" w14:paraId="4F1EBD73" w14:textId="77777777" w:rsidTr="00F0668A">
        <w:tc>
          <w:tcPr>
            <w:tcW w:w="1809" w:type="dxa"/>
            <w:tcBorders>
              <w:top w:val="single" w:sz="4" w:space="0" w:color="auto"/>
            </w:tcBorders>
          </w:tcPr>
          <w:p w14:paraId="769A7D6C" w14:textId="7589DA30" w:rsidR="00F0668A" w:rsidRPr="003D02D1" w:rsidRDefault="00F0668A" w:rsidP="00F0668A">
            <w:pPr>
              <w:adjustRightInd w:val="0"/>
              <w:snapToGrid w:val="0"/>
              <w:spacing w:line="360" w:lineRule="auto"/>
              <w:jc w:val="both"/>
              <w:rPr>
                <w:rFonts w:ascii="Book Antiqua" w:hAnsi="Book Antiqua" w:cs="Book Antiqua"/>
                <w:bCs/>
                <w:color w:val="000000" w:themeColor="text1"/>
              </w:rPr>
            </w:pPr>
            <w:bookmarkStart w:id="3" w:name="_Hlk49653348"/>
            <w:r w:rsidRPr="003D02D1">
              <w:rPr>
                <w:rFonts w:ascii="Book Antiqua" w:hAnsi="Book Antiqua" w:cs="Book Antiqua"/>
                <w:bCs/>
                <w:color w:val="000000" w:themeColor="text1"/>
              </w:rPr>
              <w:t xml:space="preserve">Skoropad </w:t>
            </w:r>
            <w:r w:rsidRPr="003D02D1">
              <w:rPr>
                <w:rFonts w:ascii="Book Antiqua" w:hAnsi="Book Antiqua" w:cs="Book Antiqua"/>
                <w:bCs/>
                <w:i/>
                <w:color w:val="000000" w:themeColor="text1"/>
              </w:rPr>
              <w:t>et al</w:t>
            </w:r>
            <w:bookmarkEnd w:id="3"/>
            <w:r w:rsidRPr="003D02D1">
              <w:rPr>
                <w:rFonts w:ascii="Book Antiqua" w:hAnsi="Book Antiqua" w:cs="Book Antiqua"/>
                <w:bCs/>
                <w:color w:val="000000" w:themeColor="text1"/>
                <w:vertAlign w:val="superscript"/>
              </w:rPr>
              <w:t>[</w:t>
            </w:r>
            <w:hyperlink r:id="rId23" w:anchor="_ENREF_32" w:tooltip="Skoropad, 2002 #127" w:history="1">
              <w:r w:rsidRPr="003D02D1">
                <w:rPr>
                  <w:rStyle w:val="a9"/>
                  <w:rFonts w:ascii="Book Antiqua" w:hAnsi="Book Antiqua" w:cs="Book Antiqua"/>
                  <w:bCs/>
                  <w:color w:val="000000" w:themeColor="text1"/>
                  <w:u w:val="none"/>
                  <w:vertAlign w:val="superscript"/>
                </w:rPr>
                <w:t>32</w:t>
              </w:r>
            </w:hyperlink>
            <w:r w:rsidRPr="003D02D1">
              <w:rPr>
                <w:rFonts w:ascii="Book Antiqua" w:hAnsi="Book Antiqua" w:cs="Book Antiqua"/>
                <w:bCs/>
                <w:color w:val="000000" w:themeColor="text1"/>
                <w:vertAlign w:val="superscript"/>
              </w:rPr>
              <w:t>]</w:t>
            </w:r>
          </w:p>
        </w:tc>
        <w:tc>
          <w:tcPr>
            <w:tcW w:w="1418" w:type="dxa"/>
            <w:tcBorders>
              <w:top w:val="single" w:sz="4" w:space="0" w:color="auto"/>
            </w:tcBorders>
          </w:tcPr>
          <w:p w14:paraId="1FCA9C0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(1974-1978)</w:t>
            </w:r>
          </w:p>
        </w:tc>
        <w:tc>
          <w:tcPr>
            <w:tcW w:w="992" w:type="dxa"/>
            <w:tcBorders>
              <w:top w:val="single" w:sz="4" w:space="0" w:color="auto"/>
            </w:tcBorders>
          </w:tcPr>
          <w:p w14:paraId="3AD0CC3A"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102</w:t>
            </w:r>
          </w:p>
        </w:tc>
        <w:tc>
          <w:tcPr>
            <w:tcW w:w="1985" w:type="dxa"/>
            <w:tcBorders>
              <w:top w:val="single" w:sz="4" w:space="0" w:color="auto"/>
            </w:tcBorders>
          </w:tcPr>
          <w:p w14:paraId="7737A76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cM0</w:t>
            </w:r>
          </w:p>
        </w:tc>
        <w:tc>
          <w:tcPr>
            <w:tcW w:w="2126" w:type="dxa"/>
            <w:tcBorders>
              <w:top w:val="single" w:sz="4" w:space="0" w:color="auto"/>
            </w:tcBorders>
          </w:tcPr>
          <w:p w14:paraId="2D1F296A"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20 Gy/5 fractions → S </w:t>
            </w:r>
            <w:r>
              <w:rPr>
                <w:rFonts w:ascii="Book Antiqua" w:hAnsi="Book Antiqua" w:cs="Book Antiqua"/>
                <w:bCs/>
                <w:i/>
                <w:color w:val="000000" w:themeColor="text1"/>
              </w:rPr>
              <w:t>vs</w:t>
            </w:r>
            <w:r>
              <w:rPr>
                <w:rFonts w:ascii="Book Antiqua" w:hAnsi="Book Antiqua" w:cs="Book Antiqua"/>
                <w:bCs/>
                <w:color w:val="000000" w:themeColor="text1"/>
              </w:rPr>
              <w:t xml:space="preserve"> S</w:t>
            </w:r>
          </w:p>
        </w:tc>
        <w:tc>
          <w:tcPr>
            <w:tcW w:w="1276" w:type="dxa"/>
            <w:tcBorders>
              <w:top w:val="single" w:sz="4" w:space="0" w:color="auto"/>
            </w:tcBorders>
          </w:tcPr>
          <w:p w14:paraId="1F84842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D1 and beyond</w:t>
            </w:r>
          </w:p>
        </w:tc>
        <w:tc>
          <w:tcPr>
            <w:tcW w:w="850" w:type="dxa"/>
            <w:tcBorders>
              <w:top w:val="single" w:sz="4" w:space="0" w:color="auto"/>
            </w:tcBorders>
          </w:tcPr>
          <w:p w14:paraId="39CD977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NA</w:t>
            </w:r>
          </w:p>
        </w:tc>
        <w:tc>
          <w:tcPr>
            <w:tcW w:w="851" w:type="dxa"/>
            <w:tcBorders>
              <w:top w:val="single" w:sz="4" w:space="0" w:color="auto"/>
            </w:tcBorders>
          </w:tcPr>
          <w:p w14:paraId="1F379F65" w14:textId="328C25C4"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5-yr OS 30% </w:t>
            </w:r>
            <w:r>
              <w:rPr>
                <w:rFonts w:ascii="Book Antiqua" w:hAnsi="Book Antiqua" w:cs="Book Antiqua"/>
                <w:bCs/>
                <w:i/>
                <w:color w:val="000000" w:themeColor="text1"/>
              </w:rPr>
              <w:t>vs</w:t>
            </w:r>
            <w:r>
              <w:rPr>
                <w:rFonts w:ascii="Book Antiqua" w:hAnsi="Book Antiqua" w:cs="Book Antiqua"/>
                <w:bCs/>
                <w:color w:val="000000" w:themeColor="text1"/>
              </w:rPr>
              <w:t xml:space="preserve"> 39%, NS; 10-yr OS 32% </w:t>
            </w:r>
            <w:r>
              <w:rPr>
                <w:rFonts w:ascii="Book Antiqua" w:hAnsi="Book Antiqua" w:cs="Book Antiqua"/>
                <w:bCs/>
                <w:i/>
                <w:color w:val="000000" w:themeColor="text1"/>
              </w:rPr>
              <w:t>vs</w:t>
            </w:r>
            <w:r>
              <w:rPr>
                <w:rFonts w:ascii="Book Antiqua" w:hAnsi="Book Antiqua" w:cs="Book Antiqua"/>
                <w:bCs/>
                <w:color w:val="000000" w:themeColor="text1"/>
              </w:rPr>
              <w:t xml:space="preserve"> 18%, NS</w:t>
            </w:r>
          </w:p>
        </w:tc>
        <w:tc>
          <w:tcPr>
            <w:tcW w:w="2211" w:type="dxa"/>
            <w:tcBorders>
              <w:top w:val="single" w:sz="4" w:space="0" w:color="auto"/>
            </w:tcBorders>
          </w:tcPr>
          <w:p w14:paraId="33EABB43" w14:textId="14AB9CF3"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Complications 57% </w:t>
            </w:r>
            <w:r>
              <w:rPr>
                <w:rFonts w:ascii="Book Antiqua" w:hAnsi="Book Antiqua" w:cs="Book Antiqua"/>
                <w:bCs/>
                <w:i/>
                <w:color w:val="000000" w:themeColor="text1"/>
              </w:rPr>
              <w:t>vs</w:t>
            </w:r>
            <w:r>
              <w:rPr>
                <w:rFonts w:ascii="Book Antiqua" w:hAnsi="Book Antiqua" w:cs="Book Antiqua"/>
                <w:bCs/>
                <w:color w:val="000000" w:themeColor="text1"/>
              </w:rPr>
              <w:t xml:space="preserve"> 49%, NS; postoperative death 9.8% </w:t>
            </w:r>
            <w:r>
              <w:rPr>
                <w:rFonts w:ascii="Book Antiqua" w:hAnsi="Book Antiqua" w:cs="Book Antiqua"/>
                <w:bCs/>
                <w:i/>
                <w:color w:val="000000" w:themeColor="text1"/>
              </w:rPr>
              <w:t>vs</w:t>
            </w:r>
            <w:r>
              <w:rPr>
                <w:rFonts w:ascii="Book Antiqua" w:hAnsi="Book Antiqua" w:cs="Book Antiqua"/>
                <w:bCs/>
                <w:color w:val="000000" w:themeColor="text1"/>
              </w:rPr>
              <w:t xml:space="preserve"> 11.8%, NS</w:t>
            </w:r>
          </w:p>
        </w:tc>
      </w:tr>
      <w:tr w:rsidR="00F0668A" w14:paraId="384801D4" w14:textId="77777777" w:rsidTr="00F0668A">
        <w:tc>
          <w:tcPr>
            <w:tcW w:w="1809" w:type="dxa"/>
          </w:tcPr>
          <w:p w14:paraId="6956C2E3" w14:textId="77777777" w:rsidR="00F0668A" w:rsidRPr="003D02D1" w:rsidRDefault="00F0668A" w:rsidP="00F0668A">
            <w:pPr>
              <w:adjustRightInd w:val="0"/>
              <w:snapToGrid w:val="0"/>
              <w:spacing w:line="360" w:lineRule="auto"/>
              <w:jc w:val="both"/>
              <w:rPr>
                <w:rFonts w:ascii="Book Antiqua" w:hAnsi="Book Antiqua" w:cs="Book Antiqua"/>
                <w:bCs/>
                <w:color w:val="000000" w:themeColor="text1"/>
              </w:rPr>
            </w:pPr>
            <w:r w:rsidRPr="003D02D1">
              <w:rPr>
                <w:rFonts w:ascii="Book Antiqua" w:hAnsi="Book Antiqua" w:cs="Book Antiqua"/>
                <w:bCs/>
                <w:color w:val="000000" w:themeColor="text1"/>
              </w:rPr>
              <w:t xml:space="preserve">Leong </w:t>
            </w:r>
            <w:r w:rsidRPr="003D02D1">
              <w:rPr>
                <w:rFonts w:ascii="Book Antiqua" w:hAnsi="Book Antiqua" w:cs="Book Antiqua"/>
                <w:bCs/>
                <w:i/>
                <w:color w:val="000000" w:themeColor="text1"/>
              </w:rPr>
              <w:t>et al</w:t>
            </w:r>
            <w:r w:rsidRPr="003D02D1">
              <w:rPr>
                <w:rFonts w:ascii="Book Antiqua" w:hAnsi="Book Antiqua" w:cs="Book Antiqua"/>
                <w:bCs/>
                <w:color w:val="000000" w:themeColor="text1"/>
                <w:vertAlign w:val="superscript"/>
              </w:rPr>
              <w:t>[</w:t>
            </w:r>
            <w:hyperlink r:id="rId24" w:anchor="_ENREF_33" w:tooltip="Leong, 2015 #70" w:history="1">
              <w:r w:rsidRPr="003D02D1">
                <w:rPr>
                  <w:rStyle w:val="a9"/>
                  <w:rFonts w:ascii="Book Antiqua" w:hAnsi="Book Antiqua" w:cs="Book Antiqua"/>
                  <w:bCs/>
                  <w:color w:val="000000" w:themeColor="text1"/>
                  <w:u w:val="none"/>
                  <w:vertAlign w:val="superscript"/>
                </w:rPr>
                <w:t>33</w:t>
              </w:r>
            </w:hyperlink>
            <w:r w:rsidRPr="003D02D1">
              <w:rPr>
                <w:rFonts w:ascii="Book Antiqua" w:hAnsi="Book Antiqua" w:cs="Book Antiqua"/>
                <w:bCs/>
                <w:color w:val="000000" w:themeColor="text1"/>
                <w:vertAlign w:val="superscript"/>
              </w:rPr>
              <w:t>]</w:t>
            </w:r>
            <w:r w:rsidRPr="003D02D1">
              <w:rPr>
                <w:rFonts w:ascii="Book Antiqua" w:hAnsi="Book Antiqua" w:cs="Book Antiqua"/>
                <w:bCs/>
                <w:color w:val="000000" w:themeColor="text1"/>
              </w:rPr>
              <w:t xml:space="preserve"> </w:t>
            </w:r>
          </w:p>
        </w:tc>
        <w:tc>
          <w:tcPr>
            <w:tcW w:w="1418" w:type="dxa"/>
          </w:tcPr>
          <w:p w14:paraId="407F5DB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TOPGEAR (2009-2014)</w:t>
            </w:r>
          </w:p>
        </w:tc>
        <w:tc>
          <w:tcPr>
            <w:tcW w:w="992" w:type="dxa"/>
          </w:tcPr>
          <w:p w14:paraId="713A70B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75</w:t>
            </w:r>
          </w:p>
        </w:tc>
        <w:tc>
          <w:tcPr>
            <w:tcW w:w="1985" w:type="dxa"/>
          </w:tcPr>
          <w:p w14:paraId="6A02403E"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cTNM IB-IIIC</w:t>
            </w:r>
          </w:p>
        </w:tc>
        <w:tc>
          <w:tcPr>
            <w:tcW w:w="2126" w:type="dxa"/>
          </w:tcPr>
          <w:p w14:paraId="736773CB"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ECF×2 → 45 Gy/25 fractions + 5-Fu→ S →ECF</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lastRenderedPageBreak/>
              <w:t xml:space="preserve">3 </w:t>
            </w:r>
            <w:r>
              <w:rPr>
                <w:rFonts w:ascii="Book Antiqua" w:hAnsi="Book Antiqua" w:cs="Book Antiqua"/>
                <w:bCs/>
                <w:i/>
                <w:color w:val="000000" w:themeColor="text1"/>
              </w:rPr>
              <w:t>vs</w:t>
            </w:r>
            <w:r>
              <w:rPr>
                <w:rFonts w:ascii="Book Antiqua" w:hAnsi="Book Antiqua" w:cs="Book Antiqua"/>
                <w:bCs/>
                <w:color w:val="000000" w:themeColor="text1"/>
              </w:rPr>
              <w:t xml:space="preserve"> ECF</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 → S →ECF</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w:t>
            </w:r>
          </w:p>
        </w:tc>
        <w:tc>
          <w:tcPr>
            <w:tcW w:w="1276" w:type="dxa"/>
          </w:tcPr>
          <w:p w14:paraId="62D23AD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D2, D1+</w:t>
            </w:r>
          </w:p>
        </w:tc>
        <w:tc>
          <w:tcPr>
            <w:tcW w:w="850" w:type="dxa"/>
          </w:tcPr>
          <w:p w14:paraId="3627385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NA</w:t>
            </w:r>
          </w:p>
        </w:tc>
        <w:tc>
          <w:tcPr>
            <w:tcW w:w="851" w:type="dxa"/>
          </w:tcPr>
          <w:p w14:paraId="19AA633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c>
          <w:tcPr>
            <w:tcW w:w="2211" w:type="dxa"/>
          </w:tcPr>
          <w:p w14:paraId="38ABF7A3" w14:textId="37DB6B81"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 xml:space="preserve">No/noncurative surgery, 15% </w:t>
            </w:r>
            <w:r>
              <w:rPr>
                <w:rFonts w:ascii="Book Antiqua" w:hAnsi="Book Antiqua" w:cs="Book Antiqua"/>
                <w:bCs/>
                <w:i/>
                <w:color w:val="000000" w:themeColor="text1"/>
              </w:rPr>
              <w:t>vs</w:t>
            </w:r>
            <w:r>
              <w:rPr>
                <w:rFonts w:ascii="Book Antiqua" w:hAnsi="Book Antiqua" w:cs="Book Antiqua"/>
                <w:bCs/>
                <w:color w:val="000000" w:themeColor="text1"/>
              </w:rPr>
              <w:t xml:space="preserve"> 10%, NS; Grade 3-4 AE 52% </w:t>
            </w:r>
            <w:r>
              <w:rPr>
                <w:rFonts w:ascii="Book Antiqua" w:hAnsi="Book Antiqua" w:cs="Book Antiqua"/>
                <w:bCs/>
                <w:i/>
                <w:color w:val="000000" w:themeColor="text1"/>
              </w:rPr>
              <w:t>vs</w:t>
            </w:r>
            <w:r>
              <w:rPr>
                <w:rFonts w:ascii="Book Antiqua" w:hAnsi="Book Antiqua" w:cs="Book Antiqua"/>
                <w:bCs/>
                <w:color w:val="000000" w:themeColor="text1"/>
              </w:rPr>
              <w:t xml:space="preserve"> 50%, </w:t>
            </w:r>
            <w:r>
              <w:rPr>
                <w:rFonts w:ascii="Book Antiqua" w:hAnsi="Book Antiqua" w:cs="Book Antiqua"/>
                <w:bCs/>
                <w:color w:val="000000" w:themeColor="text1"/>
              </w:rPr>
              <w:lastRenderedPageBreak/>
              <w:t xml:space="preserve">NS; surgical complications 22% </w:t>
            </w:r>
            <w:r>
              <w:rPr>
                <w:rFonts w:ascii="Book Antiqua" w:hAnsi="Book Antiqua" w:cs="Book Antiqua"/>
                <w:bCs/>
                <w:i/>
                <w:iCs/>
                <w:color w:val="000000" w:themeColor="text1"/>
              </w:rPr>
              <w:t>vs</w:t>
            </w:r>
            <w:r>
              <w:rPr>
                <w:rFonts w:ascii="Book Antiqua" w:hAnsi="Book Antiqua" w:cs="Book Antiqua"/>
                <w:bCs/>
                <w:color w:val="000000" w:themeColor="text1"/>
              </w:rPr>
              <w:t xml:space="preserve"> 22% NS</w:t>
            </w:r>
          </w:p>
        </w:tc>
      </w:tr>
      <w:tr w:rsidR="00F0668A" w14:paraId="584E97E2" w14:textId="77777777" w:rsidTr="00F0668A">
        <w:tc>
          <w:tcPr>
            <w:tcW w:w="1809" w:type="dxa"/>
          </w:tcPr>
          <w:p w14:paraId="10CF1806" w14:textId="18BF1E2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lastRenderedPageBreak/>
              <w:t>https://clinicaltrials.gov/ct2/show/study/NCT01815853</w:t>
            </w:r>
          </w:p>
        </w:tc>
        <w:tc>
          <w:tcPr>
            <w:tcW w:w="1418" w:type="dxa"/>
          </w:tcPr>
          <w:p w14:paraId="73D95B3F"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Neo-CRAG (2013-)</w:t>
            </w:r>
          </w:p>
        </w:tc>
        <w:tc>
          <w:tcPr>
            <w:tcW w:w="992" w:type="dxa"/>
          </w:tcPr>
          <w:p w14:paraId="748E66A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620 (estimated)</w:t>
            </w:r>
          </w:p>
        </w:tc>
        <w:tc>
          <w:tcPr>
            <w:tcW w:w="1985" w:type="dxa"/>
          </w:tcPr>
          <w:p w14:paraId="1604DFF9"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LAGC, cT3N2/N3M0, cT4aN+M0, cT4bNanyM0</w:t>
            </w:r>
          </w:p>
        </w:tc>
        <w:tc>
          <w:tcPr>
            <w:tcW w:w="2126" w:type="dxa"/>
          </w:tcPr>
          <w:p w14:paraId="54111C10"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45 Gy/25 fractions → XELOX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 → S → XELOX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 xml:space="preserve">3 </w:t>
            </w:r>
            <w:r>
              <w:rPr>
                <w:rFonts w:ascii="Book Antiqua" w:hAnsi="Book Antiqua" w:cs="Book Antiqua"/>
                <w:bCs/>
                <w:i/>
                <w:color w:val="000000" w:themeColor="text1"/>
              </w:rPr>
              <w:t>vs</w:t>
            </w:r>
            <w:r>
              <w:rPr>
                <w:rFonts w:ascii="Book Antiqua" w:hAnsi="Book Antiqua" w:cs="Book Antiqua"/>
                <w:bCs/>
                <w:color w:val="000000" w:themeColor="text1"/>
              </w:rPr>
              <w:t xml:space="preserve"> XELOX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 → S → XELOX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w:t>
            </w:r>
          </w:p>
        </w:tc>
        <w:tc>
          <w:tcPr>
            <w:tcW w:w="1276" w:type="dxa"/>
          </w:tcPr>
          <w:p w14:paraId="2F6E6C07"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w:t>
            </w:r>
          </w:p>
        </w:tc>
        <w:tc>
          <w:tcPr>
            <w:tcW w:w="850" w:type="dxa"/>
          </w:tcPr>
          <w:p w14:paraId="3A3316B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c>
          <w:tcPr>
            <w:tcW w:w="851" w:type="dxa"/>
          </w:tcPr>
          <w:p w14:paraId="54FA6F7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c>
          <w:tcPr>
            <w:tcW w:w="2211" w:type="dxa"/>
          </w:tcPr>
          <w:p w14:paraId="26925EE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r>
      <w:tr w:rsidR="00F0668A" w14:paraId="4E4AC118" w14:textId="77777777" w:rsidTr="00F0668A">
        <w:tc>
          <w:tcPr>
            <w:tcW w:w="1809" w:type="dxa"/>
          </w:tcPr>
          <w:p w14:paraId="5A259124" w14:textId="77777777" w:rsidR="00F0668A" w:rsidRPr="003D02D1" w:rsidRDefault="00F0668A" w:rsidP="00F0668A">
            <w:pPr>
              <w:adjustRightInd w:val="0"/>
              <w:snapToGrid w:val="0"/>
              <w:spacing w:line="360" w:lineRule="auto"/>
              <w:jc w:val="both"/>
              <w:rPr>
                <w:rFonts w:ascii="Book Antiqua" w:hAnsi="Book Antiqua" w:cs="Book Antiqua"/>
                <w:bCs/>
                <w:color w:val="000000" w:themeColor="text1"/>
              </w:rPr>
            </w:pPr>
            <w:r w:rsidRPr="003D02D1">
              <w:rPr>
                <w:rFonts w:ascii="Book Antiqua" w:hAnsi="Book Antiqua" w:cs="Book Antiqua"/>
                <w:bCs/>
                <w:color w:val="000000" w:themeColor="text1"/>
              </w:rPr>
              <w:t xml:space="preserve">Liu </w:t>
            </w:r>
            <w:r w:rsidRPr="003D02D1">
              <w:rPr>
                <w:rFonts w:ascii="Book Antiqua" w:hAnsi="Book Antiqua" w:cs="Book Antiqua"/>
                <w:bCs/>
                <w:i/>
                <w:color w:val="000000" w:themeColor="text1"/>
              </w:rPr>
              <w:t>et al</w:t>
            </w:r>
            <w:r w:rsidRPr="003D02D1">
              <w:rPr>
                <w:rFonts w:ascii="Book Antiqua" w:hAnsi="Book Antiqua" w:cs="Book Antiqua"/>
                <w:bCs/>
                <w:color w:val="000000" w:themeColor="text1"/>
                <w:vertAlign w:val="superscript"/>
              </w:rPr>
              <w:t>[</w:t>
            </w:r>
            <w:hyperlink r:id="rId25" w:anchor="_ENREF_34" w:tooltip="Liu, 2019 #42" w:history="1">
              <w:r w:rsidRPr="003D02D1">
                <w:rPr>
                  <w:rStyle w:val="a9"/>
                  <w:rFonts w:ascii="Book Antiqua" w:hAnsi="Book Antiqua" w:cs="Book Antiqua"/>
                  <w:bCs/>
                  <w:color w:val="000000" w:themeColor="text1"/>
                  <w:u w:val="none"/>
                  <w:vertAlign w:val="superscript"/>
                </w:rPr>
                <w:t>34</w:t>
              </w:r>
            </w:hyperlink>
            <w:r w:rsidRPr="003D02D1">
              <w:rPr>
                <w:rFonts w:ascii="Book Antiqua" w:hAnsi="Book Antiqua" w:cs="Book Antiqua"/>
                <w:bCs/>
                <w:color w:val="000000" w:themeColor="text1"/>
                <w:vertAlign w:val="superscript"/>
              </w:rPr>
              <w:t>]</w:t>
            </w:r>
          </w:p>
        </w:tc>
        <w:tc>
          <w:tcPr>
            <w:tcW w:w="1418" w:type="dxa"/>
          </w:tcPr>
          <w:p w14:paraId="6E3DFC5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PREACT (2016-)</w:t>
            </w:r>
          </w:p>
        </w:tc>
        <w:tc>
          <w:tcPr>
            <w:tcW w:w="992" w:type="dxa"/>
          </w:tcPr>
          <w:p w14:paraId="5B05EBB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682 (estimated)</w:t>
            </w:r>
          </w:p>
        </w:tc>
        <w:tc>
          <w:tcPr>
            <w:tcW w:w="1985" w:type="dxa"/>
          </w:tcPr>
          <w:p w14:paraId="0D30DD85"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Stomach/EGJ, LAGC</w:t>
            </w:r>
          </w:p>
        </w:tc>
        <w:tc>
          <w:tcPr>
            <w:tcW w:w="2126" w:type="dxa"/>
          </w:tcPr>
          <w:p w14:paraId="26AEEB78"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SOX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1 → 45 Gy/25 fractions + S-1 → SOX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1 → S → SOX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 xml:space="preserve">3 </w:t>
            </w:r>
            <w:r>
              <w:rPr>
                <w:rFonts w:ascii="Book Antiqua" w:hAnsi="Book Antiqua" w:cs="Book Antiqua"/>
                <w:bCs/>
                <w:i/>
                <w:color w:val="000000" w:themeColor="text1"/>
              </w:rPr>
              <w:t>vs</w:t>
            </w:r>
            <w:r>
              <w:rPr>
                <w:rFonts w:ascii="Book Antiqua" w:hAnsi="Book Antiqua" w:cs="Book Antiqua"/>
                <w:bCs/>
                <w:color w:val="000000" w:themeColor="text1"/>
              </w:rPr>
              <w:t xml:space="preserve"> SOX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 → S → SOX</w:t>
            </w:r>
            <w:r>
              <w:rPr>
                <w:rFonts w:ascii="Book Antiqua" w:hAnsi="Book Antiqua" w:cs="Book Antiqua" w:hint="eastAsia"/>
                <w:bCs/>
                <w:color w:val="000000" w:themeColor="text1"/>
              </w:rPr>
              <w:t xml:space="preserve"> </w:t>
            </w:r>
            <w:r>
              <w:rPr>
                <w:rFonts w:ascii="Book Antiqua" w:hAnsi="Book Antiqua" w:cs="Book Antiqua"/>
                <w:bCs/>
                <w:color w:val="000000" w:themeColor="text1"/>
              </w:rPr>
              <w:t>×</w:t>
            </w:r>
            <w:r>
              <w:rPr>
                <w:rFonts w:ascii="Book Antiqua" w:hAnsi="Book Antiqua" w:cs="Book Antiqua" w:hint="eastAsia"/>
                <w:bCs/>
                <w:color w:val="000000" w:themeColor="text1"/>
              </w:rPr>
              <w:t xml:space="preserve"> </w:t>
            </w:r>
            <w:r>
              <w:rPr>
                <w:rFonts w:ascii="Book Antiqua" w:hAnsi="Book Antiqua" w:cs="Book Antiqua"/>
                <w:bCs/>
                <w:color w:val="000000" w:themeColor="text1"/>
              </w:rPr>
              <w:t>3</w:t>
            </w:r>
          </w:p>
        </w:tc>
        <w:tc>
          <w:tcPr>
            <w:tcW w:w="1276" w:type="dxa"/>
          </w:tcPr>
          <w:p w14:paraId="1F8C1E42"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D2 recommended</w:t>
            </w:r>
          </w:p>
        </w:tc>
        <w:tc>
          <w:tcPr>
            <w:tcW w:w="850" w:type="dxa"/>
          </w:tcPr>
          <w:p w14:paraId="5D717E46"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c>
          <w:tcPr>
            <w:tcW w:w="851" w:type="dxa"/>
          </w:tcPr>
          <w:p w14:paraId="66063B63"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c>
          <w:tcPr>
            <w:tcW w:w="2211" w:type="dxa"/>
          </w:tcPr>
          <w:p w14:paraId="18213DC1" w14:textId="77777777" w:rsidR="00F0668A" w:rsidRDefault="00F0668A" w:rsidP="00F0668A">
            <w:pPr>
              <w:adjustRightInd w:val="0"/>
              <w:snapToGrid w:val="0"/>
              <w:spacing w:line="360" w:lineRule="auto"/>
              <w:jc w:val="both"/>
              <w:rPr>
                <w:rFonts w:ascii="Book Antiqua" w:hAnsi="Book Antiqua" w:cs="Book Antiqua"/>
                <w:bCs/>
                <w:color w:val="000000" w:themeColor="text1"/>
              </w:rPr>
            </w:pPr>
            <w:r>
              <w:rPr>
                <w:rFonts w:ascii="Book Antiqua" w:hAnsi="Book Antiqua" w:cs="Book Antiqua"/>
                <w:bCs/>
                <w:color w:val="000000" w:themeColor="text1"/>
              </w:rPr>
              <w:t>In progress</w:t>
            </w:r>
          </w:p>
        </w:tc>
      </w:tr>
    </w:tbl>
    <w:p w14:paraId="24DEA776" w14:textId="77777777" w:rsidR="00F0668A" w:rsidRDefault="00F0668A" w:rsidP="00F0668A">
      <w:pPr>
        <w:adjustRightInd w:val="0"/>
        <w:snapToGrid w:val="0"/>
        <w:spacing w:line="360" w:lineRule="auto"/>
        <w:jc w:val="both"/>
        <w:rPr>
          <w:rFonts w:ascii="Book Antiqua" w:hAnsi="Book Antiqua" w:cs="Book Antiqua"/>
          <w:color w:val="000000" w:themeColor="text1"/>
          <w:kern w:val="2"/>
          <w:lang w:eastAsia="zh-CN"/>
        </w:rPr>
      </w:pPr>
      <w:r>
        <w:rPr>
          <w:rFonts w:ascii="Book Antiqua" w:hAnsi="Book Antiqua" w:cs="Book Antiqua"/>
          <w:bCs/>
          <w:color w:val="000000" w:themeColor="text1"/>
        </w:rPr>
        <w:t>AE</w:t>
      </w:r>
      <w:r>
        <w:rPr>
          <w:rFonts w:ascii="Book Antiqua" w:hAnsi="Book Antiqua" w:cs="Book Antiqua"/>
          <w:bCs/>
          <w:color w:val="000000" w:themeColor="text1"/>
          <w:lang w:eastAsia="zh-CN"/>
        </w:rPr>
        <w:t>: A</w:t>
      </w:r>
      <w:r>
        <w:rPr>
          <w:rFonts w:ascii="Book Antiqua" w:hAnsi="Book Antiqua" w:cs="Book Antiqua"/>
          <w:bCs/>
          <w:color w:val="000000" w:themeColor="text1"/>
        </w:rPr>
        <w:t>dverse events; ECF</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Epirubicin/cisplatin/5-Fu; EGJ</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E</w:t>
      </w:r>
      <w:r>
        <w:rPr>
          <w:rFonts w:ascii="Book Antiqua" w:hAnsi="Book Antiqua" w:cs="Book Antiqua"/>
          <w:bCs/>
          <w:color w:val="000000" w:themeColor="text1"/>
        </w:rPr>
        <w:t>sophagogastric junction; Gy</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Grey; LAGC</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L</w:t>
      </w:r>
      <w:r>
        <w:rPr>
          <w:rFonts w:ascii="Book Antiqua" w:hAnsi="Book Antiqua" w:cs="Book Antiqua"/>
          <w:bCs/>
          <w:color w:val="000000" w:themeColor="text1"/>
        </w:rPr>
        <w:t>ocally advanced gastric cancer; NA</w:t>
      </w:r>
      <w:r>
        <w:rPr>
          <w:rFonts w:ascii="Book Antiqua" w:hAnsi="Book Antiqua" w:cs="Book Antiqua"/>
          <w:bCs/>
          <w:color w:val="000000" w:themeColor="text1"/>
          <w:lang w:eastAsia="zh-CN"/>
        </w:rPr>
        <w:t>: N</w:t>
      </w:r>
      <w:r>
        <w:rPr>
          <w:rFonts w:ascii="Book Antiqua" w:hAnsi="Book Antiqua" w:cs="Book Antiqua"/>
          <w:bCs/>
          <w:color w:val="000000" w:themeColor="text1"/>
        </w:rPr>
        <w:t xml:space="preserve">ot available; </w:t>
      </w:r>
      <w:r>
        <w:rPr>
          <w:rFonts w:ascii="Book Antiqua" w:hAnsi="Book Antiqua" w:cs="Book Antiqua"/>
        </w:rPr>
        <w:t>NS: Not significant</w:t>
      </w:r>
      <w:r>
        <w:rPr>
          <w:rFonts w:ascii="Book Antiqua" w:hAnsi="Book Antiqua" w:cs="Book Antiqua"/>
          <w:bCs/>
          <w:color w:val="000000" w:themeColor="text1"/>
        </w:rPr>
        <w:t>; OS</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O</w:t>
      </w:r>
      <w:r>
        <w:rPr>
          <w:rFonts w:ascii="Book Antiqua" w:hAnsi="Book Antiqua" w:cs="Book Antiqua"/>
          <w:bCs/>
          <w:color w:val="000000" w:themeColor="text1"/>
        </w:rPr>
        <w:t>verall survival; S</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w:t>
      </w:r>
      <w:r>
        <w:rPr>
          <w:rFonts w:ascii="Book Antiqua" w:hAnsi="Book Antiqua" w:cs="Book Antiqua"/>
          <w:bCs/>
          <w:color w:val="000000" w:themeColor="text1"/>
          <w:lang w:eastAsia="zh-CN"/>
        </w:rPr>
        <w:t>S</w:t>
      </w:r>
      <w:r>
        <w:rPr>
          <w:rFonts w:ascii="Book Antiqua" w:hAnsi="Book Antiqua" w:cs="Book Antiqua"/>
          <w:bCs/>
          <w:color w:val="000000" w:themeColor="text1"/>
        </w:rPr>
        <w:t>urgery; SOX</w:t>
      </w:r>
      <w:r>
        <w:rPr>
          <w:rFonts w:ascii="Book Antiqua" w:hAnsi="Book Antiqua" w:cs="Book Antiqua"/>
          <w:bCs/>
          <w:color w:val="000000" w:themeColor="text1"/>
          <w:lang w:eastAsia="zh-CN"/>
        </w:rPr>
        <w:t>:</w:t>
      </w:r>
      <w:r>
        <w:rPr>
          <w:rFonts w:ascii="Book Antiqua" w:hAnsi="Book Antiqua" w:cs="Book Antiqua"/>
          <w:bCs/>
          <w:color w:val="000000" w:themeColor="text1"/>
        </w:rPr>
        <w:t xml:space="preserve"> S-1/Oxaliplatin; XELOX</w:t>
      </w:r>
      <w:r>
        <w:rPr>
          <w:rFonts w:ascii="Book Antiqua" w:hAnsi="Book Antiqua" w:cs="Book Antiqua"/>
          <w:bCs/>
          <w:color w:val="000000" w:themeColor="text1"/>
          <w:lang w:eastAsia="zh-CN"/>
        </w:rPr>
        <w:t xml:space="preserve">: </w:t>
      </w:r>
      <w:r>
        <w:rPr>
          <w:rFonts w:ascii="Book Antiqua" w:hAnsi="Book Antiqua" w:cs="Book Antiqua"/>
          <w:bCs/>
          <w:color w:val="000000" w:themeColor="text1"/>
        </w:rPr>
        <w:t>Capecitabine/Oxaliplatin</w:t>
      </w:r>
      <w:r>
        <w:rPr>
          <w:rFonts w:ascii="Book Antiqua" w:hAnsi="Book Antiqua" w:cs="Book Antiqua"/>
          <w:bCs/>
          <w:color w:val="000000" w:themeColor="text1"/>
          <w:lang w:eastAsia="zh-CN"/>
        </w:rPr>
        <w:t>.</w:t>
      </w:r>
      <w:bookmarkEnd w:id="1"/>
    </w:p>
    <w:p w14:paraId="1AB49F7E" w14:textId="77777777" w:rsidR="005F52F5" w:rsidRDefault="005F52F5" w:rsidP="00F0668A">
      <w:pPr>
        <w:adjustRightInd w:val="0"/>
        <w:snapToGrid w:val="0"/>
        <w:spacing w:line="360" w:lineRule="auto"/>
        <w:jc w:val="both"/>
        <w:sectPr w:rsidR="005F52F5">
          <w:pgSz w:w="15840" w:h="12240" w:orient="landscape"/>
          <w:pgMar w:top="1440" w:right="1440" w:bottom="1440" w:left="1440" w:header="720" w:footer="720" w:gutter="0"/>
          <w:cols w:space="720"/>
          <w:docGrid w:linePitch="360"/>
        </w:sectPr>
      </w:pPr>
    </w:p>
    <w:p w14:paraId="1E57672A" w14:textId="77777777" w:rsidR="005F52F5" w:rsidRDefault="005F52F5" w:rsidP="005F52F5">
      <w:pPr>
        <w:jc w:val="center"/>
        <w:rPr>
          <w:rFonts w:ascii="Book Antiqua" w:hAnsi="Book Antiqua"/>
          <w:lang w:eastAsia="zh-CN"/>
        </w:rPr>
      </w:pPr>
    </w:p>
    <w:p w14:paraId="1A1D6730" w14:textId="77777777" w:rsidR="005F52F5" w:rsidRDefault="005F52F5" w:rsidP="005F52F5">
      <w:pPr>
        <w:jc w:val="center"/>
        <w:rPr>
          <w:rFonts w:ascii="Book Antiqua" w:hAnsi="Book Antiqua"/>
          <w:lang w:eastAsia="zh-CN"/>
        </w:rPr>
      </w:pPr>
    </w:p>
    <w:p w14:paraId="750C675D" w14:textId="77777777" w:rsidR="005F52F5" w:rsidRDefault="005F52F5" w:rsidP="005F52F5">
      <w:pPr>
        <w:jc w:val="center"/>
        <w:rPr>
          <w:rFonts w:ascii="Book Antiqua" w:hAnsi="Book Antiqua"/>
          <w:lang w:eastAsia="zh-CN"/>
        </w:rPr>
      </w:pPr>
    </w:p>
    <w:p w14:paraId="77E64D33" w14:textId="77777777" w:rsidR="005F52F5" w:rsidRDefault="005F52F5" w:rsidP="005F52F5">
      <w:pPr>
        <w:jc w:val="center"/>
        <w:rPr>
          <w:rFonts w:ascii="Book Antiqua" w:hAnsi="Book Antiqua"/>
          <w:lang w:eastAsia="zh-CN"/>
        </w:rPr>
      </w:pPr>
    </w:p>
    <w:p w14:paraId="592C8574" w14:textId="77777777" w:rsidR="005F52F5" w:rsidRDefault="005F52F5" w:rsidP="005F52F5">
      <w:pPr>
        <w:jc w:val="center"/>
        <w:rPr>
          <w:rFonts w:ascii="Book Antiqua" w:hAnsi="Book Antiqua"/>
          <w:lang w:eastAsia="zh-CN"/>
        </w:rPr>
      </w:pPr>
    </w:p>
    <w:p w14:paraId="1C088A96" w14:textId="77777777" w:rsidR="005F52F5" w:rsidRDefault="005F52F5" w:rsidP="005F52F5">
      <w:pPr>
        <w:jc w:val="center"/>
        <w:rPr>
          <w:rFonts w:ascii="Book Antiqua" w:hAnsi="Book Antiqua"/>
          <w:lang w:eastAsia="zh-CN"/>
        </w:rPr>
      </w:pPr>
      <w:r>
        <w:rPr>
          <w:rFonts w:ascii="Book Antiqua" w:hAnsi="Book Antiqua"/>
          <w:noProof/>
          <w:lang w:eastAsia="zh-CN"/>
        </w:rPr>
        <w:drawing>
          <wp:inline distT="0" distB="0" distL="0" distR="0" wp14:anchorId="4DB355D8" wp14:editId="73F1151C">
            <wp:extent cx="2499360" cy="1440180"/>
            <wp:effectExtent l="0" t="0" r="0" b="7620"/>
            <wp:docPr id="7" name="图片 7"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0EB94EFF" w14:textId="77777777" w:rsidR="005F52F5" w:rsidRDefault="005F52F5" w:rsidP="005F52F5">
      <w:pPr>
        <w:jc w:val="center"/>
        <w:rPr>
          <w:rFonts w:ascii="Book Antiqua" w:hAnsi="Book Antiqua"/>
          <w:lang w:eastAsia="zh-CN"/>
        </w:rPr>
      </w:pPr>
    </w:p>
    <w:p w14:paraId="76185072" w14:textId="77777777" w:rsidR="005F52F5" w:rsidRPr="00763D22" w:rsidRDefault="005F52F5" w:rsidP="005F52F5">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r w:rsidRPr="00763D22">
        <w:rPr>
          <w:rFonts w:ascii="Book Antiqua" w:eastAsia="Garamond-Bold" w:hAnsi="Book Antiqua" w:cs="Garamond-Bold"/>
          <w:b/>
          <w:bCs/>
          <w:color w:val="000000"/>
          <w:sz w:val="28"/>
          <w:szCs w:val="28"/>
        </w:rPr>
        <w:t>Baishideng Publishing Group Inc</w:t>
      </w:r>
    </w:p>
    <w:p w14:paraId="1DD30E04" w14:textId="77777777" w:rsidR="005F52F5" w:rsidRPr="00763D22" w:rsidRDefault="005F52F5" w:rsidP="005F52F5">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44CD78CF" w14:textId="77777777" w:rsidR="005F52F5" w:rsidRPr="00763D22" w:rsidRDefault="005F52F5" w:rsidP="005F52F5">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19A0705F" w14:textId="77777777" w:rsidR="005F52F5" w:rsidRPr="00763D22" w:rsidRDefault="005F52F5" w:rsidP="005F52F5">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3B03B7D1" w14:textId="77777777" w:rsidR="005F52F5" w:rsidRPr="00763D22" w:rsidRDefault="005F52F5" w:rsidP="005F52F5">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18AF9576" w14:textId="77777777" w:rsidR="005F52F5" w:rsidRPr="00763D22" w:rsidRDefault="005F52F5" w:rsidP="005F52F5">
      <w:pPr>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23057CC0" w14:textId="77777777" w:rsidR="005F52F5" w:rsidRDefault="005F52F5" w:rsidP="005F52F5">
      <w:pPr>
        <w:jc w:val="center"/>
        <w:rPr>
          <w:rFonts w:ascii="Book Antiqua" w:hAnsi="Book Antiqua"/>
          <w:lang w:eastAsia="zh-CN"/>
        </w:rPr>
      </w:pPr>
    </w:p>
    <w:p w14:paraId="248FA406" w14:textId="77777777" w:rsidR="005F52F5" w:rsidRDefault="005F52F5" w:rsidP="005F52F5">
      <w:pPr>
        <w:jc w:val="center"/>
        <w:rPr>
          <w:rFonts w:ascii="Book Antiqua" w:hAnsi="Book Antiqua"/>
          <w:lang w:eastAsia="zh-CN"/>
        </w:rPr>
      </w:pPr>
    </w:p>
    <w:p w14:paraId="35943E97" w14:textId="77777777" w:rsidR="005F52F5" w:rsidRDefault="005F52F5" w:rsidP="005F52F5">
      <w:pPr>
        <w:jc w:val="center"/>
        <w:rPr>
          <w:rFonts w:ascii="Book Antiqua" w:hAnsi="Book Antiqua"/>
          <w:lang w:eastAsia="zh-CN"/>
        </w:rPr>
      </w:pPr>
    </w:p>
    <w:p w14:paraId="1331FA7A" w14:textId="77777777" w:rsidR="005F52F5" w:rsidRDefault="005F52F5" w:rsidP="005F52F5">
      <w:pPr>
        <w:jc w:val="center"/>
        <w:rPr>
          <w:rFonts w:ascii="Book Antiqua" w:hAnsi="Book Antiqua"/>
          <w:lang w:eastAsia="zh-CN"/>
        </w:rPr>
      </w:pPr>
      <w:r>
        <w:rPr>
          <w:rFonts w:ascii="Book Antiqua" w:hAnsi="Book Antiqua"/>
          <w:noProof/>
          <w:lang w:eastAsia="zh-CN"/>
        </w:rPr>
        <w:drawing>
          <wp:inline distT="0" distB="0" distL="0" distR="0" wp14:anchorId="02C3C49E" wp14:editId="2B5A952D">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7F62E911" w14:textId="77777777" w:rsidR="005F52F5" w:rsidRDefault="005F52F5" w:rsidP="005F52F5">
      <w:pPr>
        <w:jc w:val="center"/>
        <w:rPr>
          <w:rFonts w:ascii="Book Antiqua" w:hAnsi="Book Antiqua"/>
          <w:lang w:eastAsia="zh-CN"/>
        </w:rPr>
      </w:pPr>
    </w:p>
    <w:p w14:paraId="10942DB6" w14:textId="77777777" w:rsidR="005F52F5" w:rsidRDefault="005F52F5" w:rsidP="005F52F5">
      <w:pPr>
        <w:jc w:val="center"/>
        <w:rPr>
          <w:rFonts w:ascii="Book Antiqua" w:hAnsi="Book Antiqua"/>
          <w:lang w:eastAsia="zh-CN"/>
        </w:rPr>
      </w:pPr>
    </w:p>
    <w:p w14:paraId="1FAA4E66" w14:textId="77777777" w:rsidR="005F52F5" w:rsidRDefault="005F52F5" w:rsidP="005F52F5">
      <w:pPr>
        <w:jc w:val="center"/>
        <w:rPr>
          <w:rFonts w:ascii="Book Antiqua" w:hAnsi="Book Antiqua"/>
          <w:lang w:eastAsia="zh-CN"/>
        </w:rPr>
      </w:pPr>
    </w:p>
    <w:p w14:paraId="638E6A22" w14:textId="77777777" w:rsidR="005F52F5" w:rsidRDefault="005F52F5" w:rsidP="005F52F5">
      <w:pPr>
        <w:jc w:val="center"/>
        <w:rPr>
          <w:rFonts w:ascii="Book Antiqua" w:hAnsi="Book Antiqua"/>
          <w:lang w:eastAsia="zh-CN"/>
        </w:rPr>
      </w:pPr>
    </w:p>
    <w:p w14:paraId="698A7457" w14:textId="77777777" w:rsidR="005F52F5" w:rsidRDefault="005F52F5" w:rsidP="005F52F5">
      <w:pPr>
        <w:jc w:val="center"/>
        <w:rPr>
          <w:rFonts w:ascii="Book Antiqua" w:hAnsi="Book Antiqua"/>
          <w:lang w:eastAsia="zh-CN"/>
        </w:rPr>
      </w:pPr>
    </w:p>
    <w:p w14:paraId="7F9E0D36" w14:textId="77777777" w:rsidR="005F52F5" w:rsidRDefault="005F52F5" w:rsidP="005F52F5">
      <w:pPr>
        <w:jc w:val="center"/>
        <w:rPr>
          <w:rFonts w:ascii="Book Antiqua" w:hAnsi="Book Antiqua"/>
          <w:lang w:eastAsia="zh-CN"/>
        </w:rPr>
      </w:pPr>
    </w:p>
    <w:p w14:paraId="6D6DC820" w14:textId="77777777" w:rsidR="005F52F5" w:rsidRDefault="005F52F5" w:rsidP="005F52F5">
      <w:pPr>
        <w:jc w:val="center"/>
        <w:rPr>
          <w:rFonts w:ascii="Book Antiqua" w:hAnsi="Book Antiqua"/>
          <w:lang w:eastAsia="zh-CN"/>
        </w:rPr>
      </w:pPr>
    </w:p>
    <w:p w14:paraId="27A3690A" w14:textId="77777777" w:rsidR="005F52F5" w:rsidRDefault="005F52F5" w:rsidP="005F52F5">
      <w:pPr>
        <w:jc w:val="center"/>
        <w:rPr>
          <w:rFonts w:ascii="Book Antiqua" w:hAnsi="Book Antiqua"/>
          <w:lang w:eastAsia="zh-CN"/>
        </w:rPr>
      </w:pPr>
    </w:p>
    <w:p w14:paraId="43017063" w14:textId="77777777" w:rsidR="005F52F5" w:rsidRDefault="005F52F5" w:rsidP="005F52F5">
      <w:pPr>
        <w:jc w:val="center"/>
        <w:rPr>
          <w:rFonts w:ascii="Book Antiqua" w:hAnsi="Book Antiqua"/>
          <w:lang w:eastAsia="zh-CN"/>
        </w:rPr>
      </w:pPr>
    </w:p>
    <w:p w14:paraId="294151F2" w14:textId="77777777" w:rsidR="005F52F5" w:rsidRPr="00763D22" w:rsidRDefault="005F52F5" w:rsidP="005F52F5">
      <w:pPr>
        <w:jc w:val="right"/>
        <w:rPr>
          <w:rFonts w:ascii="Book Antiqua" w:hAnsi="Book Antiqua"/>
          <w:color w:val="000000" w:themeColor="text1"/>
          <w:lang w:eastAsia="zh-CN"/>
        </w:rPr>
      </w:pPr>
    </w:p>
    <w:p w14:paraId="49F16B6F" w14:textId="77777777" w:rsidR="005F52F5" w:rsidRPr="00763D22" w:rsidRDefault="005F52F5" w:rsidP="005F52F5">
      <w:pPr>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2021 Baishideng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p>
    <w:p w14:paraId="2F2C8A5F" w14:textId="588C5563" w:rsidR="00A77B3E" w:rsidRDefault="00A77B3E" w:rsidP="005F52F5">
      <w:pPr>
        <w:adjustRightInd w:val="0"/>
        <w:snapToGrid w:val="0"/>
        <w:spacing w:line="360" w:lineRule="auto"/>
        <w:jc w:val="both"/>
      </w:pPr>
    </w:p>
    <w:sectPr w:rsidR="00A77B3E" w:rsidSect="00BD7A2A">
      <w:footerReference w:type="default" r:id="rId28"/>
      <w:pgSz w:w="11907" w:h="16839" w:code="9"/>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0EFF24" w14:textId="77777777" w:rsidR="00D8735F" w:rsidRDefault="00D8735F" w:rsidP="00F0668A">
      <w:r>
        <w:separator/>
      </w:r>
    </w:p>
  </w:endnote>
  <w:endnote w:type="continuationSeparator" w:id="0">
    <w:p w14:paraId="34D2424F" w14:textId="77777777" w:rsidR="00D8735F" w:rsidRDefault="00D8735F" w:rsidP="00F066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ook Antiqua" w:hAnsi="Book Antiqua"/>
        <w:sz w:val="24"/>
        <w:szCs w:val="24"/>
      </w:rPr>
      <w:id w:val="-1228140060"/>
      <w:docPartObj>
        <w:docPartGallery w:val="Page Numbers (Bottom of Page)"/>
        <w:docPartUnique/>
      </w:docPartObj>
    </w:sdtPr>
    <w:sdtEndPr>
      <w:rPr>
        <w:noProof/>
      </w:rPr>
    </w:sdtEndPr>
    <w:sdtContent>
      <w:p w14:paraId="3D4EFD1C" w14:textId="21B26D61" w:rsidR="00276D72" w:rsidRPr="00950B19" w:rsidRDefault="00276D72">
        <w:pPr>
          <w:pStyle w:val="a5"/>
          <w:jc w:val="right"/>
          <w:rPr>
            <w:rFonts w:ascii="Book Antiqua" w:hAnsi="Book Antiqua"/>
            <w:sz w:val="24"/>
            <w:szCs w:val="24"/>
          </w:rPr>
        </w:pPr>
        <w:r w:rsidRPr="00950B19">
          <w:rPr>
            <w:rFonts w:ascii="Book Antiqua" w:hAnsi="Book Antiqua"/>
            <w:sz w:val="24"/>
            <w:szCs w:val="24"/>
          </w:rPr>
          <w:fldChar w:fldCharType="begin"/>
        </w:r>
        <w:r w:rsidRPr="00950B19">
          <w:rPr>
            <w:rFonts w:ascii="Book Antiqua" w:hAnsi="Book Antiqua"/>
            <w:sz w:val="24"/>
            <w:szCs w:val="24"/>
          </w:rPr>
          <w:instrText xml:space="preserve"> PAGE   \* MERGEFORMAT </w:instrText>
        </w:r>
        <w:r w:rsidRPr="00950B19">
          <w:rPr>
            <w:rFonts w:ascii="Book Antiqua" w:hAnsi="Book Antiqua"/>
            <w:sz w:val="24"/>
            <w:szCs w:val="24"/>
          </w:rPr>
          <w:fldChar w:fldCharType="separate"/>
        </w:r>
        <w:r w:rsidRPr="00950B19">
          <w:rPr>
            <w:rFonts w:ascii="Book Antiqua" w:hAnsi="Book Antiqua"/>
            <w:noProof/>
            <w:sz w:val="24"/>
            <w:szCs w:val="24"/>
          </w:rPr>
          <w:t>2</w:t>
        </w:r>
        <w:r w:rsidRPr="00950B19">
          <w:rPr>
            <w:rFonts w:ascii="Book Antiqua" w:hAnsi="Book Antiqua"/>
            <w:noProof/>
            <w:sz w:val="24"/>
            <w:szCs w:val="24"/>
          </w:rPr>
          <w:fldChar w:fldCharType="end"/>
        </w:r>
        <w:r w:rsidRPr="00950B19">
          <w:rPr>
            <w:rFonts w:ascii="Book Antiqua" w:hAnsi="Book Antiqua"/>
            <w:noProof/>
            <w:sz w:val="24"/>
            <w:szCs w:val="24"/>
          </w:rPr>
          <w:t xml:space="preserve"> / 32</w:t>
        </w:r>
      </w:p>
    </w:sdtContent>
  </w:sdt>
  <w:p w14:paraId="2CD916ED" w14:textId="77777777" w:rsidR="00276D72" w:rsidRDefault="00276D72">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338579"/>
      <w:docPartObj>
        <w:docPartGallery w:val="Page Numbers (Bottom of Page)"/>
        <w:docPartUnique/>
      </w:docPartObj>
    </w:sdtPr>
    <w:sdtEndPr/>
    <w:sdtContent>
      <w:sdt>
        <w:sdtPr>
          <w:id w:val="-1705238520"/>
          <w:docPartObj>
            <w:docPartGallery w:val="Page Numbers (Top of Page)"/>
            <w:docPartUnique/>
          </w:docPartObj>
        </w:sdtPr>
        <w:sdtEndPr/>
        <w:sdtContent>
          <w:p w14:paraId="4D19A688" w14:textId="77777777" w:rsidR="00F9718F" w:rsidRDefault="00193E2C" w:rsidP="00134D22">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Pr>
                <w:b/>
                <w:bCs/>
                <w:noProof/>
              </w:rPr>
              <w:t>54</w:t>
            </w:r>
            <w:r>
              <w:rPr>
                <w:b/>
                <w:bCs/>
                <w:sz w:val="24"/>
                <w:szCs w:val="24"/>
              </w:rPr>
              <w:fldChar w:fldCharType="end"/>
            </w:r>
          </w:p>
        </w:sdtContent>
      </w:sdt>
    </w:sdtContent>
  </w:sdt>
  <w:p w14:paraId="6C168F50" w14:textId="77777777" w:rsidR="00F9718F" w:rsidRDefault="00D8735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D43491" w14:textId="77777777" w:rsidR="00D8735F" w:rsidRDefault="00D8735F" w:rsidP="00F0668A">
      <w:r>
        <w:separator/>
      </w:r>
    </w:p>
  </w:footnote>
  <w:footnote w:type="continuationSeparator" w:id="0">
    <w:p w14:paraId="51EDD780" w14:textId="77777777" w:rsidR="00D8735F" w:rsidRDefault="00D8735F" w:rsidP="00F0668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5C8E"/>
    <w:rsid w:val="000C705C"/>
    <w:rsid w:val="001163A6"/>
    <w:rsid w:val="00193E2C"/>
    <w:rsid w:val="001D0075"/>
    <w:rsid w:val="001D336C"/>
    <w:rsid w:val="001F4E9E"/>
    <w:rsid w:val="00276D72"/>
    <w:rsid w:val="002955B9"/>
    <w:rsid w:val="00352A59"/>
    <w:rsid w:val="003806D5"/>
    <w:rsid w:val="00390F34"/>
    <w:rsid w:val="003D02D1"/>
    <w:rsid w:val="003D321B"/>
    <w:rsid w:val="003E3BA3"/>
    <w:rsid w:val="003F032E"/>
    <w:rsid w:val="0041682D"/>
    <w:rsid w:val="0043147A"/>
    <w:rsid w:val="00500EBE"/>
    <w:rsid w:val="0055714F"/>
    <w:rsid w:val="005F52F5"/>
    <w:rsid w:val="00652098"/>
    <w:rsid w:val="006A225C"/>
    <w:rsid w:val="00732478"/>
    <w:rsid w:val="00736C94"/>
    <w:rsid w:val="007B0F78"/>
    <w:rsid w:val="007D57AF"/>
    <w:rsid w:val="007E5DF6"/>
    <w:rsid w:val="00801E9E"/>
    <w:rsid w:val="008107DA"/>
    <w:rsid w:val="00884583"/>
    <w:rsid w:val="00886A90"/>
    <w:rsid w:val="008C6AF1"/>
    <w:rsid w:val="008E340D"/>
    <w:rsid w:val="00902E38"/>
    <w:rsid w:val="0093507F"/>
    <w:rsid w:val="00950B19"/>
    <w:rsid w:val="009D5951"/>
    <w:rsid w:val="009F576C"/>
    <w:rsid w:val="00A77B3E"/>
    <w:rsid w:val="00A97DEA"/>
    <w:rsid w:val="00B103C8"/>
    <w:rsid w:val="00B2513C"/>
    <w:rsid w:val="00B60068"/>
    <w:rsid w:val="00B61592"/>
    <w:rsid w:val="00B7162D"/>
    <w:rsid w:val="00BC2DCD"/>
    <w:rsid w:val="00C027ED"/>
    <w:rsid w:val="00C0326D"/>
    <w:rsid w:val="00C66113"/>
    <w:rsid w:val="00C7490B"/>
    <w:rsid w:val="00C86EE9"/>
    <w:rsid w:val="00CA2A55"/>
    <w:rsid w:val="00CB394E"/>
    <w:rsid w:val="00D2696F"/>
    <w:rsid w:val="00D4540F"/>
    <w:rsid w:val="00D524FA"/>
    <w:rsid w:val="00D8735F"/>
    <w:rsid w:val="00DE1221"/>
    <w:rsid w:val="00DE7B1F"/>
    <w:rsid w:val="00E12867"/>
    <w:rsid w:val="00E22988"/>
    <w:rsid w:val="00E34F07"/>
    <w:rsid w:val="00E3624E"/>
    <w:rsid w:val="00E64FDC"/>
    <w:rsid w:val="00EB7D30"/>
    <w:rsid w:val="00F0668A"/>
    <w:rsid w:val="00FA6138"/>
    <w:rsid w:val="00FE33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771E1A2"/>
  <w15:docId w15:val="{CE7CE094-1BAE-4FD2-995E-52E6CB0F2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style>
  <w:style w:type="paragraph" w:styleId="a3">
    <w:name w:val="header"/>
    <w:basedOn w:val="a"/>
    <w:link w:val="a4"/>
    <w:unhideWhenUsed/>
    <w:rsid w:val="00F0668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F0668A"/>
    <w:rPr>
      <w:sz w:val="18"/>
      <w:szCs w:val="18"/>
    </w:rPr>
  </w:style>
  <w:style w:type="paragraph" w:styleId="a5">
    <w:name w:val="footer"/>
    <w:basedOn w:val="a"/>
    <w:link w:val="a6"/>
    <w:uiPriority w:val="99"/>
    <w:unhideWhenUsed/>
    <w:rsid w:val="00F0668A"/>
    <w:pPr>
      <w:tabs>
        <w:tab w:val="center" w:pos="4153"/>
        <w:tab w:val="right" w:pos="8306"/>
      </w:tabs>
      <w:snapToGrid w:val="0"/>
    </w:pPr>
    <w:rPr>
      <w:sz w:val="18"/>
      <w:szCs w:val="18"/>
    </w:rPr>
  </w:style>
  <w:style w:type="character" w:customStyle="1" w:styleId="a6">
    <w:name w:val="页脚 字符"/>
    <w:basedOn w:val="a0"/>
    <w:link w:val="a5"/>
    <w:uiPriority w:val="99"/>
    <w:rsid w:val="00F0668A"/>
    <w:rPr>
      <w:sz w:val="18"/>
      <w:szCs w:val="18"/>
    </w:rPr>
  </w:style>
  <w:style w:type="paragraph" w:styleId="a7">
    <w:name w:val="Normal (Web)"/>
    <w:basedOn w:val="a"/>
    <w:semiHidden/>
    <w:unhideWhenUsed/>
    <w:rsid w:val="00F0668A"/>
    <w:pPr>
      <w:spacing w:beforeAutospacing="1" w:afterAutospacing="1"/>
    </w:pPr>
    <w:rPr>
      <w:lang w:eastAsia="zh-CN"/>
    </w:rPr>
  </w:style>
  <w:style w:type="table" w:styleId="a8">
    <w:name w:val="Table Grid"/>
    <w:basedOn w:val="a1"/>
    <w:uiPriority w:val="39"/>
    <w:qFormat/>
    <w:rsid w:val="00F0668A"/>
    <w:rPr>
      <w:rFonts w:asciiTheme="minorHAnsi" w:eastAsia="宋体" w:hAnsiTheme="minorHAnsi" w:cstheme="minorBid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semiHidden/>
    <w:unhideWhenUsed/>
    <w:rsid w:val="00F0668A"/>
    <w:rPr>
      <w:color w:val="0000FF"/>
      <w:u w:val="single"/>
    </w:rPr>
  </w:style>
  <w:style w:type="paragraph" w:styleId="aa">
    <w:name w:val="Revision"/>
    <w:hidden/>
    <w:uiPriority w:val="99"/>
    <w:semiHidden/>
    <w:rsid w:val="001163A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about:blank" TargetMode="External"/><Relationship Id="rId18" Type="http://schemas.openxmlformats.org/officeDocument/2006/relationships/hyperlink" Target="about:blank" TargetMode="External"/><Relationship Id="rId26" Type="http://schemas.openxmlformats.org/officeDocument/2006/relationships/image" Target="media/image6.png"/><Relationship Id="rId3" Type="http://schemas.openxmlformats.org/officeDocument/2006/relationships/webSettings" Target="webSettings.xml"/><Relationship Id="rId21" Type="http://schemas.openxmlformats.org/officeDocument/2006/relationships/hyperlink" Target="about:blank" TargetMode="External"/><Relationship Id="rId7" Type="http://schemas.openxmlformats.org/officeDocument/2006/relationships/image" Target="media/image1.emf"/><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hyperlink" Target="about:blank" TargetMode="External"/><Relationship Id="rId2" Type="http://schemas.openxmlformats.org/officeDocument/2006/relationships/settings" Target="settings.xml"/><Relationship Id="rId16" Type="http://schemas.openxmlformats.org/officeDocument/2006/relationships/hyperlink" Target="about:blank" TargetMode="External"/><Relationship Id="rId20" Type="http://schemas.openxmlformats.org/officeDocument/2006/relationships/hyperlink" Target="about:blank" TargetMode="External"/><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emf"/><Relationship Id="rId24" Type="http://schemas.openxmlformats.org/officeDocument/2006/relationships/hyperlink" Target="about:blank" TargetMode="External"/><Relationship Id="rId5" Type="http://schemas.openxmlformats.org/officeDocument/2006/relationships/endnotes" Target="endnotes.xml"/><Relationship Id="rId15" Type="http://schemas.openxmlformats.org/officeDocument/2006/relationships/hyperlink" Target="about:blank" TargetMode="External"/><Relationship Id="rId23" Type="http://schemas.openxmlformats.org/officeDocument/2006/relationships/hyperlink" Target="about:blank" TargetMode="External"/><Relationship Id="rId28" Type="http://schemas.openxmlformats.org/officeDocument/2006/relationships/footer" Target="footer2.xml"/><Relationship Id="rId10" Type="http://schemas.openxmlformats.org/officeDocument/2006/relationships/image" Target="media/image4.emf"/><Relationship Id="rId19" Type="http://schemas.openxmlformats.org/officeDocument/2006/relationships/hyperlink" Target="about:blank" TargetMode="Externa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hyperlink" Target="about:blank" TargetMode="External"/><Relationship Id="rId22" Type="http://schemas.openxmlformats.org/officeDocument/2006/relationships/hyperlink" Target="about:blank" TargetMode="External"/><Relationship Id="rId27" Type="http://schemas.openxmlformats.org/officeDocument/2006/relationships/image" Target="media/image7.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32</Pages>
  <Words>6467</Words>
  <Characters>36862</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Benavides</dc:creator>
  <cp:lastModifiedBy>Li Jia-Hui</cp:lastModifiedBy>
  <cp:revision>14</cp:revision>
  <dcterms:created xsi:type="dcterms:W3CDTF">2021-02-23T22:23:00Z</dcterms:created>
  <dcterms:modified xsi:type="dcterms:W3CDTF">2021-06-02T01:35:00Z</dcterms:modified>
</cp:coreProperties>
</file>