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8C23F" w14:textId="77777777" w:rsidR="00AB5DC4" w:rsidRDefault="00301B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60AB7A" w14:textId="77777777" w:rsidR="00AB5DC4" w:rsidRDefault="00301B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61671</w:t>
      </w:r>
    </w:p>
    <w:p w14:paraId="129F30D4" w14:textId="77777777" w:rsidR="00AB5DC4" w:rsidRDefault="00301B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20EFC3" w14:textId="77777777" w:rsidR="00AB5DC4" w:rsidRDefault="00AB5DC4">
      <w:pPr>
        <w:spacing w:line="360" w:lineRule="auto"/>
        <w:jc w:val="both"/>
      </w:pPr>
    </w:p>
    <w:p w14:paraId="0A9ACEE7" w14:textId="77777777" w:rsidR="00AB5DC4" w:rsidRDefault="00301B55">
      <w:pPr>
        <w:spacing w:line="360" w:lineRule="auto"/>
        <w:jc w:val="both"/>
        <w:rPr>
          <w:b/>
          <w:bCs/>
        </w:rPr>
      </w:pPr>
      <w:bookmarkStart w:id="0" w:name="OLE_LINK45"/>
      <w:r>
        <w:rPr>
          <w:rFonts w:ascii="Book Antiqua" w:eastAsia="Book Antiqua" w:hAnsi="Book Antiqua" w:cs="Book Antiqua"/>
          <w:b/>
          <w:color w:val="000000"/>
        </w:rPr>
        <w:t>Contrast-enhanced ultrasound using SonoVue mixed with oral gastrointestinal contrast agent to evaluate esophageal hiatal hernia:</w:t>
      </w:r>
      <w:bookmarkStart w:id="1" w:name="OLE_LINK2"/>
      <w:r>
        <w:rPr>
          <w:rFonts w:ascii="Book Antiqua" w:eastAsia="Book Antiqua" w:hAnsi="Book Antiqua" w:cs="Book Antiqua"/>
          <w:b/>
          <w:color w:val="000000"/>
        </w:rPr>
        <w:t xml:space="preserve"> Report of three cases </w:t>
      </w:r>
      <w:r>
        <w:rPr>
          <w:rFonts w:ascii="Book Antiqua" w:eastAsia="宋体" w:hAnsi="Book Antiqua" w:cs="Book Antiqua"/>
          <w:b/>
          <w:bCs/>
        </w:rPr>
        <w:t>and</w:t>
      </w:r>
      <w:r>
        <w:rPr>
          <w:rFonts w:ascii="Book Antiqua" w:eastAsia="宋体" w:hAnsi="Book Antiqua" w:cs="Book Antiqua" w:hint="eastAsia"/>
          <w:b/>
          <w:bCs/>
        </w:rPr>
        <w:t xml:space="preserve"> </w:t>
      </w:r>
      <w:r>
        <w:rPr>
          <w:rFonts w:ascii="Book Antiqua" w:eastAsia="宋体" w:hAnsi="Book Antiqua" w:cs="Book Antiqua"/>
          <w:b/>
          <w:bCs/>
        </w:rPr>
        <w:t>a literature review</w:t>
      </w:r>
    </w:p>
    <w:bookmarkEnd w:id="0"/>
    <w:bookmarkEnd w:id="1"/>
    <w:p w14:paraId="70003D32" w14:textId="77777777" w:rsidR="00AB5DC4" w:rsidRDefault="00AB5DC4">
      <w:pPr>
        <w:spacing w:line="360" w:lineRule="auto"/>
        <w:jc w:val="both"/>
      </w:pPr>
    </w:p>
    <w:p w14:paraId="5438A81B" w14:textId="77777777" w:rsidR="00AB5DC4" w:rsidRDefault="00301B55">
      <w:pPr>
        <w:spacing w:line="360" w:lineRule="auto"/>
        <w:jc w:val="both"/>
      </w:pPr>
      <w:r>
        <w:rPr>
          <w:rFonts w:ascii="Book Antiqua" w:eastAsia="Book Antiqua" w:hAnsi="Book Antiqua" w:cs="Book Antiqua"/>
          <w:color w:val="000000"/>
        </w:rPr>
        <w:t xml:space="preserve">Wang JY </w:t>
      </w:r>
      <w:r>
        <w:rPr>
          <w:rFonts w:ascii="Book Antiqua" w:eastAsia="Book Antiqua" w:hAnsi="Book Antiqua" w:cs="Book Antiqua"/>
          <w:i/>
          <w:iCs/>
          <w:color w:val="000000"/>
        </w:rPr>
        <w:t>et al</w:t>
      </w:r>
      <w:r>
        <w:rPr>
          <w:rFonts w:ascii="Book Antiqua" w:eastAsia="Book Antiqua" w:hAnsi="Book Antiqua" w:cs="Book Antiqua"/>
          <w:color w:val="000000"/>
        </w:rPr>
        <w:t>. Diagnosing EHH by CEUS</w:t>
      </w:r>
    </w:p>
    <w:p w14:paraId="1C95F598" w14:textId="77777777" w:rsidR="00AB5DC4" w:rsidRDefault="00AB5DC4">
      <w:pPr>
        <w:spacing w:line="360" w:lineRule="auto"/>
        <w:jc w:val="both"/>
      </w:pPr>
    </w:p>
    <w:p w14:paraId="3FFB7D45" w14:textId="77777777" w:rsidR="00AB5DC4" w:rsidRDefault="00301B55">
      <w:pPr>
        <w:spacing w:line="360" w:lineRule="auto"/>
        <w:jc w:val="both"/>
      </w:pPr>
      <w:r>
        <w:rPr>
          <w:rFonts w:ascii="Book Antiqua" w:eastAsia="Book Antiqua" w:hAnsi="Book Antiqua" w:cs="Book Antiqua"/>
          <w:color w:val="000000"/>
        </w:rPr>
        <w:t>Jing-Yu Wang, Yan Luo, Wen-Ying Wang, Shi-Cheng Zheng, Lian He, Chun-Yan Xie, Li Peng</w:t>
      </w:r>
    </w:p>
    <w:p w14:paraId="2E018A9F" w14:textId="77777777" w:rsidR="00AB5DC4" w:rsidRDefault="00AB5DC4">
      <w:pPr>
        <w:spacing w:line="360" w:lineRule="auto"/>
        <w:jc w:val="both"/>
      </w:pPr>
    </w:p>
    <w:p w14:paraId="0C2FC557" w14:textId="77777777"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Jing-Yu Wang, Wen-Ying Wang, Lian He, Li Peng, </w:t>
      </w:r>
      <w:bookmarkStart w:id="2" w:name="OLE_LINK1"/>
      <w:r>
        <w:rPr>
          <w:rFonts w:ascii="Book Antiqua" w:eastAsia="Book Antiqua" w:hAnsi="Book Antiqua" w:cs="Book Antiqua"/>
          <w:color w:val="000000"/>
        </w:rPr>
        <w:t>Department of Ultrasound, First People's Hospital of Longquanyi District, Longquan Hospital of West China Hospital of Sichuan University, Chengdu 610100, Sichuan Province, China</w:t>
      </w:r>
      <w:bookmarkEnd w:id="2"/>
    </w:p>
    <w:p w14:paraId="1FB24A56" w14:textId="77777777" w:rsidR="00AB5DC4" w:rsidRDefault="00AB5DC4">
      <w:pPr>
        <w:spacing w:line="360" w:lineRule="auto"/>
        <w:jc w:val="both"/>
      </w:pPr>
    </w:p>
    <w:p w14:paraId="15DA93C5" w14:textId="77777777" w:rsidR="00AB5DC4" w:rsidRDefault="00301B55">
      <w:pPr>
        <w:spacing w:line="360" w:lineRule="auto"/>
        <w:jc w:val="both"/>
      </w:pPr>
      <w:r>
        <w:rPr>
          <w:rFonts w:ascii="Book Antiqua" w:eastAsia="Book Antiqua" w:hAnsi="Book Antiqua" w:cs="Book Antiqua"/>
          <w:b/>
          <w:bCs/>
          <w:color w:val="000000"/>
        </w:rPr>
        <w:t xml:space="preserve">Yan Luo, </w:t>
      </w:r>
      <w:r>
        <w:rPr>
          <w:rFonts w:ascii="Book Antiqua" w:eastAsia="Book Antiqua" w:hAnsi="Book Antiqua" w:cs="Book Antiqua"/>
          <w:color w:val="000000"/>
        </w:rPr>
        <w:t>Department of Ultrasound, West China Hospital of Sichuan University, Chengdu 610041, Sichuan Province, China</w:t>
      </w:r>
    </w:p>
    <w:p w14:paraId="7D63ADD3" w14:textId="77777777" w:rsidR="00AB5DC4" w:rsidRDefault="00AB5DC4">
      <w:pPr>
        <w:spacing w:line="360" w:lineRule="auto"/>
        <w:jc w:val="both"/>
      </w:pPr>
    </w:p>
    <w:p w14:paraId="74107FDE" w14:textId="77777777" w:rsidR="00AB5DC4" w:rsidRDefault="00301B55">
      <w:pPr>
        <w:spacing w:line="360" w:lineRule="auto"/>
        <w:jc w:val="both"/>
      </w:pPr>
      <w:r>
        <w:rPr>
          <w:rFonts w:ascii="Book Antiqua" w:eastAsia="Book Antiqua" w:hAnsi="Book Antiqua" w:cs="Book Antiqua"/>
          <w:b/>
          <w:bCs/>
          <w:color w:val="000000"/>
        </w:rPr>
        <w:t>Shi-Cheng Zheng, Chun-Yan Xie</w:t>
      </w:r>
      <w:r>
        <w:rPr>
          <w:rFonts w:ascii="Book Antiqua" w:eastAsia="Book Antiqua" w:hAnsi="Book Antiqua" w:cs="Book Antiqua"/>
          <w:color w:val="000000"/>
        </w:rPr>
        <w:t xml:space="preserve">, Department of </w:t>
      </w:r>
      <w:r>
        <w:rPr>
          <w:rFonts w:ascii="Book Antiqua" w:eastAsia="宋体" w:hAnsi="Book Antiqua" w:cs="Book Antiqua" w:hint="eastAsia"/>
          <w:color w:val="000000"/>
          <w:lang w:eastAsia="zh-CN"/>
        </w:rPr>
        <w:t>Gastroenterology</w:t>
      </w:r>
      <w:r>
        <w:rPr>
          <w:rFonts w:ascii="Book Antiqua" w:eastAsia="Book Antiqua" w:hAnsi="Book Antiqua" w:cs="Book Antiqua"/>
          <w:color w:val="000000"/>
        </w:rPr>
        <w:t>, First People's Hospital of Longquanyi District, Longquan Hospital of West China Hospital of Sichuan University, Chengdu 610100, Sichuan Province, China</w:t>
      </w:r>
    </w:p>
    <w:p w14:paraId="3806708B" w14:textId="77777777" w:rsidR="00AB5DC4" w:rsidRDefault="00AB5DC4">
      <w:pPr>
        <w:spacing w:line="360" w:lineRule="auto"/>
        <w:jc w:val="both"/>
      </w:pPr>
    </w:p>
    <w:p w14:paraId="6A1858F0" w14:textId="77777777" w:rsidR="00AB5DC4" w:rsidRDefault="00301B5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Wang JY, Peng L, and Luo Y designed the study and wrote the manuscript; Wang WY performed the literature search and edited the manuscript; He L collected the data; Zheng SC and Xie CY performed the data analysis and interpretation; all authors approved the final version of the submitted manuscript and agree to ensure that any questions related to the work are appropriately resolved.</w:t>
      </w:r>
    </w:p>
    <w:p w14:paraId="4318E43A" w14:textId="77777777" w:rsidR="00AB5DC4" w:rsidRDefault="00AB5DC4">
      <w:pPr>
        <w:spacing w:line="360" w:lineRule="auto"/>
        <w:jc w:val="both"/>
      </w:pPr>
    </w:p>
    <w:p w14:paraId="2CF85445" w14:textId="77777777" w:rsidR="00AB5DC4" w:rsidRDefault="00301B55">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the Research Project of Sichuan Medical Association, Nos. S19080 and S18075.</w:t>
      </w:r>
    </w:p>
    <w:p w14:paraId="4DC5B4AE" w14:textId="77777777" w:rsidR="00AB5DC4" w:rsidRDefault="00AB5DC4">
      <w:pPr>
        <w:spacing w:line="360" w:lineRule="auto"/>
        <w:jc w:val="both"/>
      </w:pPr>
    </w:p>
    <w:p w14:paraId="34B15A58" w14:textId="77777777" w:rsidR="00AB5DC4" w:rsidRDefault="00301B55">
      <w:pPr>
        <w:spacing w:line="360" w:lineRule="auto"/>
        <w:jc w:val="both"/>
      </w:pPr>
      <w:r>
        <w:rPr>
          <w:rFonts w:ascii="Book Antiqua" w:eastAsia="Book Antiqua" w:hAnsi="Book Antiqua" w:cs="Book Antiqua"/>
          <w:b/>
          <w:bCs/>
          <w:color w:val="000000"/>
        </w:rPr>
        <w:t xml:space="preserve">Corresponding author: Li Peng, MD, Associate Chief Physician, </w:t>
      </w:r>
      <w:r>
        <w:rPr>
          <w:rFonts w:ascii="Book Antiqua" w:eastAsia="Book Antiqua" w:hAnsi="Book Antiqua" w:cs="Book Antiqua"/>
          <w:color w:val="000000"/>
        </w:rPr>
        <w:t>Department of Ultrasound, First People's Hospital of Longquanyi District, Longquan Hospital of West China Hospital of Sichuan University, Longquanyi District, Chengdu 610100, Sichuan Province, China. 912435936@qq.com</w:t>
      </w:r>
    </w:p>
    <w:p w14:paraId="12E3A15C" w14:textId="77777777" w:rsidR="00AB5DC4" w:rsidRDefault="00AB5DC4">
      <w:pPr>
        <w:spacing w:line="360" w:lineRule="auto"/>
        <w:jc w:val="both"/>
      </w:pPr>
    </w:p>
    <w:p w14:paraId="41B21386" w14:textId="77777777" w:rsidR="00AB5DC4" w:rsidRDefault="00301B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16, 2020</w:t>
      </w:r>
    </w:p>
    <w:p w14:paraId="67A3D1FF" w14:textId="77777777" w:rsidR="00AB5DC4" w:rsidRDefault="00301B5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14:paraId="12BC0712" w14:textId="77777777" w:rsidR="00AB5DC4" w:rsidRDefault="00301B5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8, 2021</w:t>
      </w:r>
    </w:p>
    <w:p w14:paraId="5267F270" w14:textId="6744F74B" w:rsidR="00AB5DC4" w:rsidRPr="00C04B8E" w:rsidRDefault="00301B55">
      <w:pPr>
        <w:spacing w:line="360" w:lineRule="auto"/>
        <w:jc w:val="both"/>
        <w:rPr>
          <w:lang w:eastAsia="zh-CN"/>
        </w:rPr>
      </w:pPr>
      <w:r>
        <w:rPr>
          <w:rFonts w:ascii="Book Antiqua" w:eastAsia="Book Antiqua" w:hAnsi="Book Antiqua" w:cs="Book Antiqua"/>
          <w:b/>
          <w:bCs/>
          <w:color w:val="000000"/>
        </w:rPr>
        <w:t>Published online:</w:t>
      </w:r>
      <w:r w:rsidRPr="00C04B8E">
        <w:rPr>
          <w:rFonts w:ascii="Book Antiqua" w:eastAsia="Book Antiqua" w:hAnsi="Book Antiqua" w:cs="Book Antiqua"/>
          <w:bCs/>
          <w:color w:val="000000"/>
        </w:rPr>
        <w:t xml:space="preserve"> </w:t>
      </w:r>
      <w:r w:rsidR="00C04B8E" w:rsidRPr="00C04B8E">
        <w:rPr>
          <w:rFonts w:ascii="Book Antiqua" w:eastAsia="Book Antiqua" w:hAnsi="Book Antiqua" w:cs="Book Antiqua"/>
          <w:bCs/>
          <w:color w:val="000000"/>
        </w:rPr>
        <w:t>April</w:t>
      </w:r>
      <w:r w:rsidR="00C04B8E" w:rsidRPr="00C04B8E">
        <w:rPr>
          <w:rFonts w:ascii="Book Antiqua" w:hAnsi="Book Antiqua" w:cs="Book Antiqua" w:hint="eastAsia"/>
          <w:bCs/>
          <w:color w:val="000000"/>
          <w:lang w:eastAsia="zh-CN"/>
        </w:rPr>
        <w:t xml:space="preserve"> </w:t>
      </w:r>
      <w:r w:rsidR="00EB1B9B">
        <w:rPr>
          <w:rFonts w:ascii="Book Antiqua" w:hAnsi="Book Antiqua" w:cs="Book Antiqua" w:hint="eastAsia"/>
          <w:bCs/>
          <w:color w:val="000000"/>
          <w:lang w:eastAsia="zh-CN"/>
        </w:rPr>
        <w:t>1</w:t>
      </w:r>
      <w:r w:rsidR="00C04B8E" w:rsidRPr="00C04B8E">
        <w:rPr>
          <w:rFonts w:ascii="Book Antiqua" w:hAnsi="Book Antiqua" w:cs="Book Antiqua" w:hint="eastAsia"/>
          <w:bCs/>
          <w:color w:val="000000"/>
          <w:lang w:eastAsia="zh-CN"/>
        </w:rPr>
        <w:t>6, 2021</w:t>
      </w:r>
    </w:p>
    <w:p w14:paraId="78CC95AA" w14:textId="77777777" w:rsidR="00AB5DC4" w:rsidRDefault="00AB5DC4">
      <w:pPr>
        <w:spacing w:line="360" w:lineRule="auto"/>
        <w:jc w:val="both"/>
        <w:rPr>
          <w:lang w:eastAsia="zh-CN"/>
        </w:rPr>
      </w:pPr>
    </w:p>
    <w:p w14:paraId="5B9698F0" w14:textId="77777777" w:rsidR="00355816" w:rsidRDefault="00355816">
      <w:pPr>
        <w:spacing w:line="360" w:lineRule="auto"/>
        <w:jc w:val="both"/>
        <w:rPr>
          <w:lang w:eastAsia="zh-CN"/>
        </w:rPr>
        <w:sectPr w:rsidR="00355816">
          <w:footerReference w:type="default" r:id="rId7"/>
          <w:pgSz w:w="12240" w:h="15840"/>
          <w:pgMar w:top="1440" w:right="1440" w:bottom="1440" w:left="1440" w:header="720" w:footer="720" w:gutter="0"/>
          <w:cols w:space="720"/>
          <w:docGrid w:linePitch="360"/>
        </w:sectPr>
      </w:pPr>
    </w:p>
    <w:p w14:paraId="3B760488" w14:textId="77777777" w:rsidR="00AB5DC4" w:rsidRDefault="00301B55">
      <w:pPr>
        <w:spacing w:line="360" w:lineRule="auto"/>
        <w:jc w:val="both"/>
      </w:pPr>
      <w:r>
        <w:rPr>
          <w:rFonts w:ascii="Book Antiqua" w:eastAsia="Book Antiqua" w:hAnsi="Book Antiqua" w:cs="Book Antiqua"/>
          <w:b/>
          <w:color w:val="000000"/>
        </w:rPr>
        <w:lastRenderedPageBreak/>
        <w:t>Abstract</w:t>
      </w:r>
    </w:p>
    <w:p w14:paraId="3998AAFA" w14:textId="77777777" w:rsidR="00AB5DC4" w:rsidRDefault="00301B55">
      <w:pPr>
        <w:spacing w:line="360" w:lineRule="auto"/>
        <w:jc w:val="both"/>
      </w:pPr>
      <w:r>
        <w:rPr>
          <w:rFonts w:ascii="Book Antiqua" w:eastAsia="Book Antiqua" w:hAnsi="Book Antiqua" w:cs="Book Antiqua"/>
          <w:color w:val="000000"/>
        </w:rPr>
        <w:t>BACKGROUND</w:t>
      </w:r>
    </w:p>
    <w:p w14:paraId="30E3FCEE" w14:textId="77777777" w:rsidR="00AB5DC4" w:rsidRDefault="00301B55">
      <w:pPr>
        <w:spacing w:line="360" w:lineRule="auto"/>
        <w:jc w:val="both"/>
      </w:pPr>
      <w:r>
        <w:rPr>
          <w:rFonts w:ascii="Book Antiqua" w:eastAsia="Book Antiqua" w:hAnsi="Book Antiqua" w:cs="Book Antiqua"/>
          <w:color w:val="000000"/>
        </w:rPr>
        <w:t xml:space="preserve">Due to a thicker abdominal wall in some patients, ultrasound artifacts from gastrointestinal gas and surrounding tissues can interfere with routine ultrasound examination, precluding its ability to display or clearly show the structure of a hernial sac (HS) and thereby diminishing diagnostic performance for esophageal hiatal hernia (EHH). Contrast-enhanced ultrasound (CEUS) imaging using an oral agent mixture allows for clear and intuitive identification of an EHH sac and dynamic observation of esophageal reflux. </w:t>
      </w:r>
    </w:p>
    <w:p w14:paraId="356B1492" w14:textId="77777777" w:rsidR="00AB5DC4" w:rsidRDefault="00AB5DC4">
      <w:pPr>
        <w:spacing w:line="360" w:lineRule="auto"/>
        <w:jc w:val="both"/>
      </w:pPr>
    </w:p>
    <w:p w14:paraId="68010445" w14:textId="77777777" w:rsidR="00AB5DC4" w:rsidRDefault="00301B55">
      <w:pPr>
        <w:spacing w:line="360" w:lineRule="auto"/>
        <w:jc w:val="both"/>
      </w:pPr>
      <w:r>
        <w:rPr>
          <w:rFonts w:ascii="Book Antiqua" w:eastAsia="Book Antiqua" w:hAnsi="Book Antiqua" w:cs="Book Antiqua"/>
          <w:color w:val="000000"/>
        </w:rPr>
        <w:t>CASE SUMMARY</w:t>
      </w:r>
    </w:p>
    <w:p w14:paraId="0A0DC61A" w14:textId="77777777" w:rsidR="00AB5DC4" w:rsidRDefault="00301B55">
      <w:pPr>
        <w:spacing w:line="360" w:lineRule="auto"/>
        <w:jc w:val="both"/>
      </w:pPr>
      <w:r>
        <w:rPr>
          <w:rFonts w:ascii="Book Antiqua" w:eastAsia="Book Antiqua" w:hAnsi="Book Antiqua" w:cs="Book Antiqua"/>
          <w:color w:val="000000"/>
        </w:rPr>
        <w:t>In this case series, we report three patients with clinically-suspected EHH, including two females and one male with an average age of 67.3 ± 16.4 years. CEUS was administered with an oral agent mixture (microbubble-based SonoVue and gastrointestinal contrast agent) and identified a direct sign of supradiaphragmatic HS (containing the hyperechoic agent) and indirect signs [</w:t>
      </w:r>
      <w:r>
        <w:rPr>
          <w:rFonts w:ascii="Book Antiqua" w:eastAsia="Book Antiqua" w:hAnsi="Book Antiqua" w:cs="Book Antiqua"/>
          <w:i/>
          <w:iCs/>
          <w:color w:val="000000"/>
        </w:rPr>
        <w:t>e.g</w:t>
      </w:r>
      <w:r>
        <w:rPr>
          <w:rFonts w:ascii="Book Antiqua" w:eastAsia="Book Antiqua" w:hAnsi="Book Antiqua" w:cs="Book Antiqua"/>
          <w:color w:val="000000"/>
        </w:rPr>
        <w:t>., widening of esophageal hiatus, hyperechoic mixture agent continuously or intermittently reflux flowing back and forth from the stomach into the supradiaphragmatic HS, and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the “EG” ring) seen above the diaphragm]. All three cases received a definitive diagnosis of EHH by esophageal manometry and gastroscopy. Two lesions resolved upon drug treatment and one required surgery. The recurrence rate in follow-up was 0%. The data from these cases suggest that the new non-invasive examination method may greatly improve the diagnosis of EHH.</w:t>
      </w:r>
    </w:p>
    <w:p w14:paraId="4D7590A9" w14:textId="77777777" w:rsidR="00AB5DC4" w:rsidRDefault="00AB5DC4">
      <w:pPr>
        <w:spacing w:line="360" w:lineRule="auto"/>
        <w:jc w:val="both"/>
      </w:pPr>
    </w:p>
    <w:p w14:paraId="323B8C98" w14:textId="77777777" w:rsidR="00AB5DC4" w:rsidRDefault="00301B55">
      <w:pPr>
        <w:spacing w:line="360" w:lineRule="auto"/>
        <w:jc w:val="both"/>
      </w:pPr>
      <w:r>
        <w:rPr>
          <w:rFonts w:ascii="Book Antiqua" w:eastAsia="Book Antiqua" w:hAnsi="Book Antiqua" w:cs="Book Antiqua"/>
          <w:color w:val="000000"/>
        </w:rPr>
        <w:t>CONCLUSION</w:t>
      </w:r>
    </w:p>
    <w:p w14:paraId="318D7DF5" w14:textId="77777777" w:rsidR="00AB5DC4" w:rsidRDefault="00301B55">
      <w:pPr>
        <w:spacing w:line="360" w:lineRule="auto"/>
        <w:jc w:val="both"/>
      </w:pPr>
      <w:r>
        <w:rPr>
          <w:rFonts w:ascii="Book Antiqua" w:eastAsia="Book Antiqua" w:hAnsi="Book Antiqua" w:cs="Book Antiqua"/>
          <w:color w:val="000000"/>
        </w:rPr>
        <w:t xml:space="preserve">CEUS with the oral agent mixture can facilitate clear and intuitive identification of HS and dynamic observation of esophageal reflux. </w:t>
      </w:r>
    </w:p>
    <w:p w14:paraId="1C25F892" w14:textId="77777777" w:rsidR="00AB5DC4" w:rsidRDefault="00AB5DC4">
      <w:pPr>
        <w:spacing w:line="360" w:lineRule="auto"/>
        <w:jc w:val="both"/>
      </w:pPr>
    </w:p>
    <w:p w14:paraId="77BDC756" w14:textId="77777777" w:rsidR="00AB5DC4" w:rsidRDefault="00301B55">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SonoVue; Oral gastrointestinal contrast agent; Contrast-enhanced ultrasound; Gastrointestinal; Hiatal hernia; Case report</w:t>
      </w:r>
    </w:p>
    <w:p w14:paraId="3A3BB6BF" w14:textId="77777777" w:rsidR="00BE4D97" w:rsidRDefault="00BE4D97" w:rsidP="00BE4D97">
      <w:pPr>
        <w:spacing w:line="360" w:lineRule="auto"/>
        <w:jc w:val="both"/>
        <w:rPr>
          <w:lang w:eastAsia="zh-CN"/>
        </w:rPr>
      </w:pPr>
    </w:p>
    <w:p w14:paraId="1FDE8A31" w14:textId="77777777" w:rsidR="00BE4D97" w:rsidRDefault="00BE4D97" w:rsidP="00BE4D9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768343F" w14:textId="77777777" w:rsidR="00BE4D97" w:rsidRDefault="00BE4D97" w:rsidP="00BE4D97">
      <w:pPr>
        <w:spacing w:line="360" w:lineRule="auto"/>
        <w:jc w:val="both"/>
        <w:rPr>
          <w:lang w:eastAsia="zh-CN"/>
        </w:rPr>
      </w:pPr>
    </w:p>
    <w:p w14:paraId="181EA26F" w14:textId="17E8C4B5" w:rsidR="008770A3" w:rsidRDefault="00BE4D97" w:rsidP="00BE4D97">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301B55">
        <w:rPr>
          <w:rFonts w:ascii="Book Antiqua" w:eastAsia="Book Antiqua" w:hAnsi="Book Antiqua" w:cs="Book Antiqua"/>
          <w:color w:val="000000"/>
        </w:rPr>
        <w:t xml:space="preserve">Wang JY, Luo Y, Wang WY, Zheng SC, He L, Xie CY, Peng L. </w:t>
      </w:r>
      <w:r w:rsidR="00301B55">
        <w:rPr>
          <w:rFonts w:ascii="Book Antiqua" w:eastAsia="Book Antiqua" w:hAnsi="Book Antiqua" w:cs="Book Antiqua"/>
          <w:bCs/>
          <w:color w:val="000000"/>
        </w:rPr>
        <w:t xml:space="preserve">Contrast-enhanced ultrasound using SonoVue mixed with oral gastrointestinal contrast agent to evaluate esophageal hiatal hernia: Report of three cases </w:t>
      </w:r>
      <w:r w:rsidR="00301B55">
        <w:rPr>
          <w:rFonts w:ascii="Book Antiqua" w:eastAsia="宋体" w:hAnsi="Book Antiqua" w:cs="Book Antiqua"/>
        </w:rPr>
        <w:t>and</w:t>
      </w:r>
      <w:r w:rsidR="00301B55">
        <w:rPr>
          <w:rFonts w:ascii="Book Antiqua" w:eastAsia="宋体" w:hAnsi="Book Antiqua" w:cs="Book Antiqua" w:hint="eastAsia"/>
        </w:rPr>
        <w:t xml:space="preserve"> </w:t>
      </w:r>
      <w:r w:rsidR="00301B55">
        <w:rPr>
          <w:rFonts w:ascii="Book Antiqua" w:eastAsia="宋体" w:hAnsi="Book Antiqua" w:cs="Book Antiqua"/>
        </w:rPr>
        <w:t>a literature review</w:t>
      </w:r>
      <w:r w:rsidR="00301B55">
        <w:rPr>
          <w:rFonts w:ascii="Book Antiqua" w:eastAsia="Book Antiqua" w:hAnsi="Book Antiqua" w:cs="Book Antiqua"/>
          <w:color w:val="000000"/>
        </w:rPr>
        <w:t xml:space="preserve">. </w:t>
      </w:r>
      <w:r w:rsidR="00301B55">
        <w:rPr>
          <w:rFonts w:ascii="Book Antiqua" w:eastAsia="Book Antiqua" w:hAnsi="Book Antiqua" w:cs="Book Antiqua"/>
          <w:i/>
          <w:iCs/>
          <w:color w:val="000000"/>
        </w:rPr>
        <w:t>World J Clin Cases</w:t>
      </w:r>
      <w:r w:rsidR="00301B55">
        <w:rPr>
          <w:rFonts w:ascii="Book Antiqua" w:eastAsia="Book Antiqua" w:hAnsi="Book Antiqua" w:cs="Book Antiqua"/>
          <w:color w:val="000000"/>
        </w:rPr>
        <w:t xml:space="preserve"> </w:t>
      </w:r>
      <w:r w:rsidR="004E269A" w:rsidRPr="00EE6A3B">
        <w:rPr>
          <w:rFonts w:ascii="Book Antiqua" w:hAnsi="Book Antiqua"/>
        </w:rPr>
        <w:t>202</w:t>
      </w:r>
      <w:r w:rsidR="004E269A">
        <w:rPr>
          <w:rFonts w:ascii="Book Antiqua" w:hAnsi="Book Antiqua" w:hint="eastAsia"/>
          <w:lang w:eastAsia="zh-CN"/>
        </w:rPr>
        <w:t>1</w:t>
      </w:r>
      <w:r w:rsidR="004E269A" w:rsidRPr="00EE6A3B">
        <w:rPr>
          <w:rFonts w:ascii="Book Antiqua" w:hAnsi="Book Antiqua"/>
        </w:rPr>
        <w:t xml:space="preserve">; </w:t>
      </w:r>
      <w:r w:rsidR="004E269A">
        <w:rPr>
          <w:rFonts w:ascii="Book Antiqua" w:hAnsi="Book Antiqua" w:hint="eastAsia"/>
          <w:lang w:eastAsia="zh-CN"/>
        </w:rPr>
        <w:t>9</w:t>
      </w:r>
      <w:r w:rsidR="004E269A" w:rsidRPr="00EE6A3B">
        <w:rPr>
          <w:rFonts w:ascii="Book Antiqua" w:hAnsi="Book Antiqua"/>
        </w:rPr>
        <w:t>(</w:t>
      </w:r>
      <w:r w:rsidR="00E03A64">
        <w:rPr>
          <w:rFonts w:ascii="Book Antiqua" w:hAnsi="Book Antiqua" w:hint="eastAsia"/>
          <w:lang w:eastAsia="zh-CN"/>
        </w:rPr>
        <w:t>1</w:t>
      </w:r>
      <w:r w:rsidR="00EB1B9B">
        <w:rPr>
          <w:rFonts w:ascii="Book Antiqua" w:hAnsi="Book Antiqua" w:hint="eastAsia"/>
          <w:lang w:eastAsia="zh-CN"/>
        </w:rPr>
        <w:t>1</w:t>
      </w:r>
      <w:r w:rsidR="004E269A" w:rsidRPr="00EE6A3B">
        <w:rPr>
          <w:rFonts w:ascii="Book Antiqua" w:hAnsi="Book Antiqua"/>
        </w:rPr>
        <w:t xml:space="preserve">): </w:t>
      </w:r>
      <w:r w:rsidR="008770A3" w:rsidRPr="008770A3">
        <w:rPr>
          <w:rFonts w:ascii="Book Antiqua" w:hAnsi="Book Antiqua"/>
        </w:rPr>
        <w:t>2679-2687</w:t>
      </w:r>
      <w:r w:rsidR="004E269A" w:rsidRPr="00EE6A3B">
        <w:rPr>
          <w:rFonts w:ascii="Book Antiqua" w:hAnsi="Book Antiqua"/>
        </w:rPr>
        <w:t xml:space="preserve">  </w:t>
      </w:r>
    </w:p>
    <w:p w14:paraId="3E8DF550" w14:textId="436945B7" w:rsidR="008770A3" w:rsidRDefault="004E269A" w:rsidP="00BE4D97">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sidR="00735397">
        <w:rPr>
          <w:rFonts w:ascii="Book Antiqua" w:hAnsi="Book Antiqua" w:hint="eastAsia"/>
          <w:lang w:eastAsia="zh-CN"/>
        </w:rPr>
        <w:t>1</w:t>
      </w:r>
      <w:r w:rsidR="00EB1B9B">
        <w:rPr>
          <w:rFonts w:ascii="Book Antiqua" w:hAnsi="Book Antiqua" w:hint="eastAsia"/>
          <w:lang w:eastAsia="zh-CN"/>
        </w:rPr>
        <w:t>1</w:t>
      </w:r>
      <w:r w:rsidRPr="00EE6A3B">
        <w:rPr>
          <w:rFonts w:ascii="Book Antiqua" w:hAnsi="Book Antiqua"/>
        </w:rPr>
        <w:t>/</w:t>
      </w:r>
      <w:r w:rsidR="008770A3" w:rsidRPr="008770A3">
        <w:rPr>
          <w:rFonts w:ascii="Book Antiqua" w:hAnsi="Book Antiqua"/>
        </w:rPr>
        <w:t>2679</w:t>
      </w:r>
      <w:r w:rsidRPr="00EE6A3B">
        <w:rPr>
          <w:rFonts w:ascii="Book Antiqua" w:hAnsi="Book Antiqua"/>
        </w:rPr>
        <w:t xml:space="preserve">.htm  </w:t>
      </w:r>
    </w:p>
    <w:p w14:paraId="6312895F" w14:textId="2BB46975" w:rsidR="00AB5DC4" w:rsidRDefault="004E269A" w:rsidP="00BE4D97">
      <w:pPr>
        <w:spacing w:line="360" w:lineRule="auto"/>
        <w:jc w:val="both"/>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sidR="00923A1E">
        <w:rPr>
          <w:rFonts w:ascii="Book Antiqua" w:hAnsi="Book Antiqua" w:hint="eastAsia"/>
          <w:lang w:eastAsia="zh-CN"/>
        </w:rPr>
        <w:t>1</w:t>
      </w:r>
      <w:r w:rsidR="00EB1B9B">
        <w:rPr>
          <w:rFonts w:ascii="Book Antiqua" w:hAnsi="Book Antiqua" w:hint="eastAsia"/>
          <w:lang w:eastAsia="zh-CN"/>
        </w:rPr>
        <w:t>1</w:t>
      </w:r>
      <w:r w:rsidRPr="00EE6A3B">
        <w:rPr>
          <w:rFonts w:ascii="Book Antiqua" w:hAnsi="Book Antiqua"/>
        </w:rPr>
        <w:t>.</w:t>
      </w:r>
      <w:r w:rsidR="008770A3" w:rsidRPr="008770A3">
        <w:rPr>
          <w:rFonts w:ascii="Book Antiqua" w:hAnsi="Book Antiqua"/>
        </w:rPr>
        <w:t>2679</w:t>
      </w:r>
    </w:p>
    <w:p w14:paraId="592CE2C4" w14:textId="77777777" w:rsidR="00AB5DC4" w:rsidRDefault="00AB5DC4">
      <w:pPr>
        <w:spacing w:line="360" w:lineRule="auto"/>
        <w:jc w:val="both"/>
      </w:pPr>
    </w:p>
    <w:p w14:paraId="2A047091" w14:textId="77777777" w:rsidR="00AB5DC4" w:rsidRDefault="00301B55">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In this research, we used a new contrast ultrasound examination method to evaluate esophageal hiatal hernia (EHH). An oral agent mixture was created by mixing microbubble-based SonoVue with a gastrointestinal contrast agent, and applied in contrast ultrasound for evaluation of EHH. This new examination method not only allowed for clear image direct visualization but also dynamic observation of esophageal reflux. To our best knowledge, this is the first report on the use of SonoVue mixed with an oral gastrointestinal contrast agent in the diagnosis of EHH.</w:t>
      </w:r>
    </w:p>
    <w:p w14:paraId="075F2BB8" w14:textId="77777777" w:rsidR="00AB5DC4" w:rsidRDefault="00AB5DC4">
      <w:pPr>
        <w:spacing w:line="360" w:lineRule="auto"/>
        <w:jc w:val="both"/>
      </w:pPr>
    </w:p>
    <w:p w14:paraId="691CD86E" w14:textId="77777777" w:rsidR="00AB5DC4" w:rsidRDefault="00301B55">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2A7E2B5" w14:textId="77777777" w:rsidR="00AB5DC4" w:rsidRDefault="00301B55">
      <w:pPr>
        <w:spacing w:line="360" w:lineRule="auto"/>
        <w:jc w:val="both"/>
      </w:pPr>
      <w:r>
        <w:rPr>
          <w:rFonts w:ascii="Book Antiqua" w:eastAsia="Book Antiqua" w:hAnsi="Book Antiqua" w:cs="Book Antiqua"/>
          <w:color w:val="000000"/>
        </w:rPr>
        <w:t>Esophageal hiatal hernia (EHH) refers to one or more abdominal organs entering the mediastinum through the esophageal hiatus</w:t>
      </w:r>
      <w:r>
        <w:rPr>
          <w:rFonts w:ascii="Book Antiqua" w:eastAsia="Book Antiqua" w:hAnsi="Book Antiqua" w:cs="Book Antiqua"/>
          <w:color w:val="000000"/>
          <w:vertAlign w:val="superscript"/>
        </w:rPr>
        <w:t>[1]</w:t>
      </w:r>
      <w:r>
        <w:rPr>
          <w:rFonts w:ascii="Book Antiqua" w:eastAsia="Book Antiqua" w:hAnsi="Book Antiqua" w:cs="Book Antiqua"/>
          <w:color w:val="000000"/>
        </w:rPr>
        <w:t>. Clinically, the condition is divided into four types, namely, sliding type (type I), paraesophageal type (type II), mixed type (type III), and multiple organ type (type IV)</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overall incidence is about 10%-50%</w:t>
      </w:r>
      <w:r>
        <w:rPr>
          <w:rFonts w:ascii="Book Antiqua" w:eastAsia="Book Antiqua" w:hAnsi="Book Antiqua" w:cs="Book Antiqua"/>
          <w:color w:val="000000"/>
          <w:vertAlign w:val="superscript"/>
        </w:rPr>
        <w:t>[2]</w:t>
      </w:r>
      <w:r>
        <w:rPr>
          <w:rFonts w:ascii="Book Antiqua" w:eastAsia="Book Antiqua" w:hAnsi="Book Antiqua" w:cs="Book Antiqua"/>
          <w:color w:val="000000"/>
        </w:rPr>
        <w:t>, and type I is the most common form, accounting for more than 85% of overall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Clinically, diagnostic methods for EHH include radiography, endoscopy, esophageal manometry</w:t>
      </w:r>
      <w:r>
        <w:rPr>
          <w:rFonts w:ascii="Book Antiqua" w:eastAsia="Book Antiqua" w:hAnsi="Book Antiqua" w:cs="Book Antiqua"/>
          <w:color w:val="000000"/>
          <w:vertAlign w:val="superscript"/>
        </w:rPr>
        <w:t>[4]</w:t>
      </w:r>
      <w:r>
        <w:rPr>
          <w:rFonts w:ascii="Book Antiqua" w:eastAsia="Book Antiqua" w:hAnsi="Book Antiqua" w:cs="Book Antiqua"/>
          <w:color w:val="000000"/>
        </w:rPr>
        <w:t>, pH measurement</w:t>
      </w:r>
      <w:r>
        <w:rPr>
          <w:rFonts w:ascii="Book Antiqua" w:eastAsia="Book Antiqua" w:hAnsi="Book Antiqua" w:cs="Book Antiqua"/>
          <w:color w:val="000000"/>
          <w:vertAlign w:val="superscript"/>
        </w:rPr>
        <w:t>[3]</w:t>
      </w:r>
      <w:r>
        <w:rPr>
          <w:rFonts w:ascii="Book Antiqua" w:eastAsia="Book Antiqua" w:hAnsi="Book Antiqua" w:cs="Book Antiqua"/>
          <w:color w:val="000000"/>
        </w:rPr>
        <w:t>, and ultrasonography</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each of these techniques has shortcomings and limitations, such as radiation exposure, more invasiveness, difficulty in finding small and sliding hernias, and inconclusive diagnosis for small EHH. Previous studies have showed that real-time ultrasound is effective for evaluating EHH, when used with an oral contrast agent that fills the gastrointestinal (GI) tract, thereby allowing for observation of a hernial sac (HS)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Unfortunately, due to a thicker abdominal wall in some patients, the interference of ultrasound artifacts (from GI gases and surrounding tissues) and the small size of an HS can obscure the oral contrast ultrasound image, precluding display or clear visualization of the HS structure and diminishing diagnostic performance for EHH. </w:t>
      </w:r>
    </w:p>
    <w:p w14:paraId="4DB0FF10" w14:textId="77777777" w:rsidR="00AB5DC4" w:rsidRDefault="00301B55">
      <w:pPr>
        <w:spacing w:line="360" w:lineRule="auto"/>
        <w:ind w:firstLine="480"/>
        <w:jc w:val="both"/>
      </w:pPr>
      <w:r>
        <w:rPr>
          <w:rFonts w:ascii="Book Antiqua" w:eastAsia="Book Antiqua" w:hAnsi="Book Antiqua" w:cs="Book Antiqua"/>
          <w:color w:val="000000"/>
        </w:rPr>
        <w:t>In order to find an effective and reliable diagnostic method to more accurately and easily evaluate EHH, we generated an oral agent mixture to investigate the performance of contrast-enhanced ultrasound (CEUS) and to demonstrate the characteristic ultrasound manifestations of EHH in this study.</w:t>
      </w:r>
    </w:p>
    <w:p w14:paraId="1A35E354" w14:textId="77777777" w:rsidR="00AB5DC4" w:rsidRDefault="00AB5DC4">
      <w:pPr>
        <w:spacing w:line="360" w:lineRule="auto"/>
        <w:jc w:val="both"/>
      </w:pPr>
    </w:p>
    <w:p w14:paraId="205ED12E" w14:textId="77777777" w:rsidR="00AB5DC4" w:rsidRDefault="00301B55">
      <w:pPr>
        <w:spacing w:line="360" w:lineRule="auto"/>
        <w:jc w:val="both"/>
      </w:pPr>
      <w:r>
        <w:rPr>
          <w:rFonts w:ascii="Book Antiqua" w:eastAsia="Book Antiqua" w:hAnsi="Book Antiqua" w:cs="Book Antiqua"/>
          <w:b/>
          <w:caps/>
          <w:color w:val="000000"/>
          <w:u w:val="single"/>
        </w:rPr>
        <w:t>CASE PRESENTATION</w:t>
      </w:r>
    </w:p>
    <w:p w14:paraId="708B8602" w14:textId="77777777" w:rsidR="00AB5DC4" w:rsidRDefault="00301B55">
      <w:pPr>
        <w:spacing w:line="360" w:lineRule="auto"/>
        <w:jc w:val="both"/>
      </w:pPr>
      <w:r>
        <w:rPr>
          <w:rFonts w:ascii="Book Antiqua" w:eastAsia="Book Antiqua" w:hAnsi="Book Antiqua" w:cs="Book Antiqua"/>
          <w:b/>
          <w:i/>
          <w:color w:val="000000"/>
        </w:rPr>
        <w:t>Chief complaints</w:t>
      </w:r>
    </w:p>
    <w:p w14:paraId="33A0F2B0" w14:textId="77777777" w:rsidR="00AB5DC4" w:rsidRDefault="00301B55">
      <w:pPr>
        <w:spacing w:line="360" w:lineRule="auto"/>
        <w:jc w:val="both"/>
      </w:pPr>
      <w:r>
        <w:rPr>
          <w:rFonts w:ascii="Book Antiqua" w:eastAsia="Book Antiqua" w:hAnsi="Book Antiqua" w:cs="Book Antiqua"/>
          <w:color w:val="000000"/>
        </w:rPr>
        <w:t>All patients in this case series presented with clinically-suspected EHH requiring treatment.</w:t>
      </w:r>
    </w:p>
    <w:p w14:paraId="408B1C6F" w14:textId="77777777" w:rsidR="00AB5DC4" w:rsidRDefault="00AB5DC4">
      <w:pPr>
        <w:spacing w:line="360" w:lineRule="auto"/>
        <w:jc w:val="both"/>
      </w:pPr>
    </w:p>
    <w:p w14:paraId="33CEA7A4" w14:textId="77777777" w:rsidR="00AB5DC4" w:rsidRDefault="00301B55">
      <w:pPr>
        <w:spacing w:line="360" w:lineRule="auto"/>
        <w:jc w:val="both"/>
      </w:pPr>
      <w:r>
        <w:rPr>
          <w:rFonts w:ascii="Book Antiqua" w:eastAsia="Book Antiqua" w:hAnsi="Book Antiqua" w:cs="Book Antiqua"/>
          <w:b/>
          <w:i/>
          <w:color w:val="000000"/>
        </w:rPr>
        <w:t>History of present illness</w:t>
      </w:r>
    </w:p>
    <w:p w14:paraId="1A0205D6" w14:textId="77777777" w:rsidR="00AB5DC4" w:rsidRDefault="00301B55">
      <w:pPr>
        <w:spacing w:line="360" w:lineRule="auto"/>
        <w:jc w:val="both"/>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 xml:space="preserve">A 63-year-old woman presented to the gastroenterology department of our hospital, complaining of a half-year history of belching, acid reflux, and pain behind the sternum. </w:t>
      </w:r>
    </w:p>
    <w:p w14:paraId="5AA6B29D" w14:textId="77777777" w:rsidR="00AB5DC4" w:rsidRDefault="00AB5DC4">
      <w:pPr>
        <w:spacing w:line="360" w:lineRule="auto"/>
        <w:jc w:val="both"/>
      </w:pPr>
    </w:p>
    <w:p w14:paraId="481F2300" w14:textId="77777777"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46-year-old man presented with complaints of a 1-year history of heartburn, acid reflux, and feeling of gastric fullness.</w:t>
      </w:r>
    </w:p>
    <w:p w14:paraId="6D8E9B67" w14:textId="77777777" w:rsidR="00AB5DC4" w:rsidRDefault="00AB5DC4">
      <w:pPr>
        <w:spacing w:line="360" w:lineRule="auto"/>
        <w:jc w:val="both"/>
      </w:pPr>
    </w:p>
    <w:p w14:paraId="12ECA78C" w14:textId="77777777"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A 78-year-old woman presented with complaints of a 1-year history of heartburn, acid reflux, pain behind the sternum, and belching.</w:t>
      </w:r>
    </w:p>
    <w:p w14:paraId="1BE45358" w14:textId="77777777" w:rsidR="00AB5DC4" w:rsidRDefault="00AB5DC4">
      <w:pPr>
        <w:spacing w:line="360" w:lineRule="auto"/>
        <w:jc w:val="both"/>
      </w:pPr>
    </w:p>
    <w:p w14:paraId="215E1443" w14:textId="77777777" w:rsidR="00AB5DC4" w:rsidRDefault="00301B55">
      <w:pPr>
        <w:spacing w:line="360" w:lineRule="auto"/>
        <w:jc w:val="both"/>
      </w:pPr>
      <w:r>
        <w:rPr>
          <w:rFonts w:ascii="Book Antiqua" w:eastAsia="Book Antiqua" w:hAnsi="Book Antiqua" w:cs="Book Antiqua"/>
          <w:b/>
          <w:i/>
          <w:color w:val="000000"/>
        </w:rPr>
        <w:t>History of past illness</w:t>
      </w:r>
    </w:p>
    <w:p w14:paraId="313C1825" w14:textId="77777777" w:rsidR="00AB5DC4" w:rsidRDefault="00301B5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reported that her symptoms had previously been treated as gastritis, but she had experienced no significant improvement.</w:t>
      </w:r>
    </w:p>
    <w:p w14:paraId="69771A0E" w14:textId="77777777" w:rsidR="00AB5DC4" w:rsidRDefault="00AB5DC4">
      <w:pPr>
        <w:spacing w:line="360" w:lineRule="auto"/>
        <w:jc w:val="both"/>
      </w:pPr>
    </w:p>
    <w:p w14:paraId="192F8A64" w14:textId="77777777"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had no significant medical history.</w:t>
      </w:r>
    </w:p>
    <w:p w14:paraId="4FDCE91B" w14:textId="77777777" w:rsidR="00AB5DC4" w:rsidRDefault="00AB5DC4">
      <w:pPr>
        <w:spacing w:line="360" w:lineRule="auto"/>
        <w:jc w:val="both"/>
      </w:pPr>
    </w:p>
    <w:p w14:paraId="68E79549" w14:textId="77777777"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 had an established diagnosis of hypertension, for which she was taking antihypertensive medications.</w:t>
      </w:r>
    </w:p>
    <w:p w14:paraId="1757019D" w14:textId="77777777" w:rsidR="00AB5DC4" w:rsidRDefault="00AB5DC4">
      <w:pPr>
        <w:spacing w:line="360" w:lineRule="auto"/>
        <w:jc w:val="both"/>
      </w:pPr>
    </w:p>
    <w:p w14:paraId="7FE5B3AE" w14:textId="77777777" w:rsidR="00AB5DC4" w:rsidRDefault="00301B55">
      <w:pPr>
        <w:spacing w:line="360" w:lineRule="auto"/>
        <w:jc w:val="both"/>
      </w:pPr>
      <w:r>
        <w:rPr>
          <w:rFonts w:ascii="Book Antiqua" w:eastAsia="Book Antiqua" w:hAnsi="Book Antiqua" w:cs="Book Antiqua"/>
          <w:b/>
          <w:i/>
          <w:color w:val="000000"/>
        </w:rPr>
        <w:t>Imaging examinations</w:t>
      </w:r>
    </w:p>
    <w:p w14:paraId="2A2B1DA3" w14:textId="77777777" w:rsidR="00AB5DC4" w:rsidRDefault="00301B55">
      <w:pPr>
        <w:spacing w:line="360" w:lineRule="auto"/>
        <w:jc w:val="both"/>
      </w:pPr>
      <w:r>
        <w:rPr>
          <w:rFonts w:ascii="Book Antiqua" w:eastAsia="Book Antiqua" w:hAnsi="Book Antiqua" w:cs="Book Antiqua"/>
          <w:b/>
          <w:bCs/>
          <w:color w:val="000000"/>
        </w:rPr>
        <w:t>Oral contrast agent mixture preparation and optimization:</w:t>
      </w:r>
      <w:r>
        <w:rPr>
          <w:rFonts w:ascii="Book Antiqua" w:eastAsia="Book Antiqua" w:hAnsi="Book Antiqua" w:cs="Book Antiqua"/>
          <w:color w:val="000000"/>
        </w:rPr>
        <w:t xml:space="preserve"> A mixed oral contrast suspension was created by mixing microbubble-based SonoVue with a GI contrast agent. First, a vial (59 mg) of SonoVue (Bracco, Milan, Italy) was diluted with 5 mL saline and shaken well to formulate into a microbubble suspension. Second, one package (50 g) of oral GI contrast agent (Tianxia; Huzhou East Asia Pharmaceutical Co, Ltd, Huzhou, China) was mixed with 500 mL boiling water (100 °C) and stirred evenly, after which it was cooled to room temperature naturally.</w:t>
      </w:r>
    </w:p>
    <w:p w14:paraId="531CC0C5" w14:textId="77777777" w:rsidR="00AB5DC4" w:rsidRDefault="00301B55">
      <w:pPr>
        <w:spacing w:line="360" w:lineRule="auto"/>
        <w:ind w:firstLineChars="200" w:firstLine="480"/>
        <w:jc w:val="both"/>
      </w:pPr>
      <w:r>
        <w:rPr>
          <w:rFonts w:ascii="Book Antiqua" w:eastAsia="Book Antiqua" w:hAnsi="Book Antiqua" w:cs="Book Antiqua"/>
          <w:color w:val="000000"/>
        </w:rPr>
        <w:t>To optimize the oral contrast agent mixture, different ratios of SonoVue were mixed with the GI contrast agent (</w:t>
      </w:r>
      <w:r>
        <w:rPr>
          <w:rFonts w:ascii="Book Antiqua" w:eastAsia="Book Antiqua" w:hAnsi="Book Antiqua" w:cs="Book Antiqua"/>
          <w:i/>
          <w:iCs/>
          <w:color w:val="000000"/>
        </w:rPr>
        <w:t>i.e</w:t>
      </w:r>
      <w:r>
        <w:rPr>
          <w:rFonts w:ascii="Book Antiqua" w:eastAsia="Book Antiqua" w:hAnsi="Book Antiqua" w:cs="Book Antiqua"/>
          <w:color w:val="000000"/>
        </w:rPr>
        <w:t xml:space="preserve">., 1 mL:500 mL, 2.5 mL:500 mL, and 5 mL:500 mL) </w:t>
      </w:r>
      <w:r>
        <w:rPr>
          <w:rFonts w:ascii="Book Antiqua" w:eastAsia="Book Antiqua" w:hAnsi="Book Antiqua" w:cs="Book Antiqua"/>
          <w:color w:val="000000"/>
        </w:rPr>
        <w:lastRenderedPageBreak/>
        <w:t xml:space="preserve">and then tested in three normal volunteers. Each of the three mixture suspensions was administrated orally, after which the volunteer underwent CEUS of the upper GI tract. The results of CEUS with the different mixture ratios of the tested agent were judged subjectively by two experienced ultrasound doctors (Wang JY and Peng L, each with more than 20 years of ultrasound experience) for selecting the optimal mixture ratio of the agent. </w:t>
      </w:r>
    </w:p>
    <w:p w14:paraId="111C1525" w14:textId="77777777" w:rsidR="00AB5DC4" w:rsidRDefault="00301B55">
      <w:pPr>
        <w:spacing w:line="360" w:lineRule="auto"/>
        <w:ind w:firstLine="480"/>
        <w:jc w:val="both"/>
      </w:pPr>
      <w:r>
        <w:rPr>
          <w:rFonts w:ascii="Book Antiqua" w:eastAsia="Book Antiqua" w:hAnsi="Book Antiqua" w:cs="Book Antiqua"/>
          <w:color w:val="000000"/>
        </w:rPr>
        <w:t>Real-time CEUS demonstrated that, for all ratios, the mixed suspension agent appeared as hyperechoic content and entered from the esophagus into the gastric cavity (Figure 1). The optimal mixed oral contrast agent ratio was determined to be the 2.5 mL:500 mL mixture, and was applied to all three of the EHH patients reported herein (Table 1).</w:t>
      </w:r>
    </w:p>
    <w:p w14:paraId="7D63DC2B" w14:textId="77777777" w:rsidR="00AB5DC4" w:rsidRDefault="00301B55">
      <w:pPr>
        <w:spacing w:line="360" w:lineRule="auto"/>
        <w:ind w:firstLine="480"/>
        <w:jc w:val="both"/>
      </w:pPr>
      <w:r>
        <w:rPr>
          <w:rFonts w:ascii="Book Antiqua" w:eastAsia="Book Antiqua" w:hAnsi="Book Antiqua" w:cs="Book Antiqua"/>
          <w:color w:val="000000"/>
        </w:rPr>
        <w:t>Ultrasound scanning was performed in two stages, using the conventional oral contrast agent and the new oral agent mixture. We observed dynamically lower esophageal segment and hiatus, cardia, and gastric fundus and body during the swallowing of the agent. At the same time, we performed measurements of the esophageal hiatus and the HS (Figure 2).</w:t>
      </w:r>
    </w:p>
    <w:p w14:paraId="7B025282" w14:textId="77777777" w:rsidR="00AB5DC4" w:rsidRDefault="00AB5DC4">
      <w:pPr>
        <w:spacing w:line="360" w:lineRule="auto"/>
        <w:jc w:val="both"/>
      </w:pPr>
    </w:p>
    <w:p w14:paraId="23242CDB" w14:textId="77777777" w:rsidR="00AB5DC4" w:rsidRDefault="00301B5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Gray-scale ultrasound measurement of the esophageal hiatus was 2.2 cm on an empty stomach and 2.3 cm after drinking the oral contrast agent mixture. CEUS clearly identified a hyperechoic HS, located above the diaphragm and measuring 2.5 cm × 2.4 cm (Figure 3A and B). The ultrasound diagnosis of EHH was confirmed by gastroscopy, and definitively diagnosed as EHH (Figure 3C and D).</w:t>
      </w:r>
    </w:p>
    <w:p w14:paraId="3DD98921" w14:textId="77777777" w:rsidR="00AB5DC4" w:rsidRDefault="00AB5DC4">
      <w:pPr>
        <w:spacing w:line="360" w:lineRule="auto"/>
        <w:jc w:val="both"/>
      </w:pPr>
    </w:p>
    <w:p w14:paraId="5D6E79F9" w14:textId="77777777"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Gray-scale ultrasound measurement of the esophageal hiatus was 1.5 cm on an empty stomach and 1.64 cm after drinking the oral contrast agent mixture. The contrast-filled HS was located above the diaphragm, measuring 3.9 cm × 4.0 cm (Figure 4A and B). Real-time ultrasound imaging showed the hyperechoic contrast agent being refluxed into the supradiaphragmatic HS from the gastric cavity, at the rate of about three times in 5 min; the total reflux time lasted &gt; 3 s. The ultrasound diagnosis was EHH with </w:t>
      </w:r>
      <w:r>
        <w:rPr>
          <w:rFonts w:ascii="Book Antiqua" w:eastAsia="Book Antiqua" w:hAnsi="Book Antiqua" w:cs="Book Antiqua"/>
          <w:color w:val="000000"/>
        </w:rPr>
        <w:lastRenderedPageBreak/>
        <w:t xml:space="preserve">gastroesophageal reflux, which was consistent with gastroscopy results (Figure 4C and D). High-resolution esophageal pressure measurement showed that the upper esophageal sphincter pressure was normal with normal relaxation, while the lower esophageal sphincter (LES) pressure was low (Figure 4E). </w:t>
      </w:r>
    </w:p>
    <w:p w14:paraId="724A2E21" w14:textId="77777777" w:rsidR="00AB5DC4" w:rsidRDefault="00AB5DC4">
      <w:pPr>
        <w:spacing w:line="360" w:lineRule="auto"/>
        <w:jc w:val="both"/>
      </w:pPr>
    </w:p>
    <w:p w14:paraId="22D89EAD" w14:textId="77777777"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Gray-scale ultrasound measurement of the esophageal hiatus was 2.22 cm on an empty stomach and 2.53 cm after drinking the oral contrast agent mixture. The abdominal segment of the esophagus moved upwards and the contrast-filled HS was found above the diaphragm, measuring 6.9 cm × 4.8 cm and having the characteristic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the “EG” ring) (Figure 5A and B). Real-time ultrasound imaging showed the hyperechoic contrast agent being refluxed into the supradiaphragmatic HS from the gastric cavity, at the rate of about three times in 5 min; the total reflux time lasted &gt; 3 s. The ultrasound diagnosis was EHH with gastroesophageal reflux, which was consistent with gastroscopy results (Figure 5C and D). High-resolution esophageal pressure measurement showed that the upper esophageal sphincter pressure was normal with abnormal relaxation, while the LES pressure was low and associated with separation of the LES from the diaphragm, which was consistent with a type III EHH (Figure 5E).</w:t>
      </w:r>
    </w:p>
    <w:p w14:paraId="6B4C21E5" w14:textId="77777777" w:rsidR="00AB5DC4" w:rsidRDefault="00AB5DC4">
      <w:pPr>
        <w:spacing w:line="360" w:lineRule="auto"/>
        <w:jc w:val="both"/>
      </w:pPr>
    </w:p>
    <w:p w14:paraId="62BD403B" w14:textId="77777777" w:rsidR="00AB5DC4" w:rsidRDefault="00301B55">
      <w:pPr>
        <w:spacing w:line="360" w:lineRule="auto"/>
        <w:jc w:val="both"/>
      </w:pPr>
      <w:r>
        <w:rPr>
          <w:rFonts w:ascii="Book Antiqua" w:eastAsia="Book Antiqua" w:hAnsi="Book Antiqua" w:cs="Book Antiqua"/>
          <w:b/>
          <w:caps/>
          <w:color w:val="000000"/>
          <w:u w:val="single"/>
        </w:rPr>
        <w:t>FINAL DIAGNOSIS</w:t>
      </w:r>
    </w:p>
    <w:p w14:paraId="115602F5" w14:textId="77777777" w:rsidR="00AB5DC4" w:rsidRDefault="00301B55">
      <w:pPr>
        <w:spacing w:line="360" w:lineRule="auto"/>
        <w:jc w:val="both"/>
      </w:pPr>
      <w:r>
        <w:rPr>
          <w:rFonts w:ascii="Book Antiqua" w:eastAsia="Book Antiqua" w:hAnsi="Book Antiqua" w:cs="Book Antiqua"/>
          <w:b/>
          <w:bCs/>
          <w:color w:val="000000"/>
        </w:rPr>
        <w:t>Case 1</w:t>
      </w:r>
      <w:r>
        <w:rPr>
          <w:rFonts w:hint="eastAsia"/>
          <w:lang w:eastAsia="zh-CN"/>
        </w:rPr>
        <w:t>:</w:t>
      </w:r>
      <w:r>
        <w:rPr>
          <w:lang w:eastAsia="zh-CN"/>
        </w:rPr>
        <w:t xml:space="preserve"> </w:t>
      </w:r>
      <w:r>
        <w:rPr>
          <w:rFonts w:ascii="Book Antiqua" w:eastAsia="Book Antiqua" w:hAnsi="Book Antiqua" w:cs="Book Antiqua"/>
          <w:color w:val="000000"/>
        </w:rPr>
        <w:t>EHH.</w:t>
      </w:r>
    </w:p>
    <w:p w14:paraId="2BBC3D95" w14:textId="77777777" w:rsidR="00AB5DC4" w:rsidRDefault="00AB5DC4">
      <w:pPr>
        <w:spacing w:line="360" w:lineRule="auto"/>
        <w:jc w:val="both"/>
      </w:pPr>
    </w:p>
    <w:p w14:paraId="6F934907" w14:textId="77777777" w:rsidR="00AB5DC4" w:rsidRDefault="00301B55">
      <w:pPr>
        <w:spacing w:line="360" w:lineRule="auto"/>
        <w:jc w:val="both"/>
      </w:pPr>
      <w:r>
        <w:rPr>
          <w:rFonts w:ascii="Book Antiqua" w:eastAsia="Book Antiqua" w:hAnsi="Book Antiqua" w:cs="Book Antiqua"/>
          <w:b/>
          <w:bCs/>
          <w:color w:val="000000"/>
        </w:rPr>
        <w:t xml:space="preserve">Cases 2 and 3: </w:t>
      </w:r>
      <w:r>
        <w:rPr>
          <w:rFonts w:ascii="Book Antiqua" w:eastAsia="Book Antiqua" w:hAnsi="Book Antiqua" w:cs="Book Antiqua"/>
          <w:color w:val="000000"/>
        </w:rPr>
        <w:t>EHH with gastroesophageal reflux.</w:t>
      </w:r>
    </w:p>
    <w:p w14:paraId="006591D3" w14:textId="77777777" w:rsidR="00AB5DC4" w:rsidRDefault="00AB5DC4">
      <w:pPr>
        <w:spacing w:line="360" w:lineRule="auto"/>
        <w:jc w:val="both"/>
      </w:pPr>
    </w:p>
    <w:p w14:paraId="5397FDEE" w14:textId="77777777" w:rsidR="00AB5DC4" w:rsidRDefault="00301B55">
      <w:pPr>
        <w:spacing w:line="360" w:lineRule="auto"/>
        <w:jc w:val="both"/>
      </w:pPr>
      <w:r>
        <w:rPr>
          <w:rFonts w:ascii="Book Antiqua" w:eastAsia="Book Antiqua" w:hAnsi="Book Antiqua" w:cs="Book Antiqua"/>
          <w:b/>
          <w:caps/>
          <w:color w:val="000000"/>
          <w:u w:val="single"/>
        </w:rPr>
        <w:t>TREATMENT</w:t>
      </w:r>
    </w:p>
    <w:p w14:paraId="08F568BC" w14:textId="77777777" w:rsidR="00AB5DC4" w:rsidRDefault="00301B55">
      <w:pPr>
        <w:spacing w:line="360" w:lineRule="auto"/>
        <w:jc w:val="both"/>
      </w:pPr>
      <w:r>
        <w:rPr>
          <w:rFonts w:ascii="Book Antiqua" w:eastAsia="Book Antiqua" w:hAnsi="Book Antiqua" w:cs="Book Antiqua"/>
          <w:color w:val="000000"/>
        </w:rPr>
        <w:t>Cases 1 and 2 were administrated standard drug treatment. Case 3 underwent surgery.</w:t>
      </w:r>
    </w:p>
    <w:p w14:paraId="49BFAAEB" w14:textId="77777777" w:rsidR="00AB5DC4" w:rsidRDefault="00AB5DC4">
      <w:pPr>
        <w:spacing w:line="360" w:lineRule="auto"/>
        <w:jc w:val="both"/>
      </w:pPr>
    </w:p>
    <w:p w14:paraId="590CE32B" w14:textId="77777777" w:rsidR="00AB5DC4" w:rsidRDefault="00301B55">
      <w:pPr>
        <w:spacing w:line="360" w:lineRule="auto"/>
        <w:jc w:val="both"/>
      </w:pPr>
      <w:r>
        <w:rPr>
          <w:rFonts w:ascii="Book Antiqua" w:eastAsia="Book Antiqua" w:hAnsi="Book Antiqua" w:cs="Book Antiqua"/>
          <w:b/>
          <w:caps/>
          <w:color w:val="000000"/>
          <w:u w:val="single"/>
        </w:rPr>
        <w:t>OUTCOME AND FOLLOW-UP</w:t>
      </w:r>
    </w:p>
    <w:p w14:paraId="5E73D4BE" w14:textId="77777777" w:rsidR="00AB5DC4" w:rsidRDefault="00301B55">
      <w:pPr>
        <w:spacing w:line="360" w:lineRule="auto"/>
        <w:jc w:val="both"/>
      </w:pPr>
      <w:r>
        <w:rPr>
          <w:rFonts w:ascii="Book Antiqua" w:eastAsia="Book Antiqua" w:hAnsi="Book Antiqua" w:cs="Book Antiqua"/>
          <w:b/>
          <w:bCs/>
          <w:color w:val="000000"/>
        </w:rPr>
        <w:lastRenderedPageBreak/>
        <w:t>Case 1:</w:t>
      </w:r>
      <w:r>
        <w:rPr>
          <w:rFonts w:hint="eastAsia"/>
          <w:lang w:eastAsia="zh-CN"/>
        </w:rPr>
        <w:t xml:space="preserve"> </w:t>
      </w:r>
      <w:r>
        <w:rPr>
          <w:rFonts w:ascii="Book Antiqua" w:eastAsia="Book Antiqua" w:hAnsi="Book Antiqua" w:cs="Book Antiqua"/>
          <w:color w:val="000000"/>
        </w:rPr>
        <w:t>Ultrasound showed that the HS was still present at half a year after the diagnosis, although the patient’s symptoms had disappeared.</w:t>
      </w:r>
    </w:p>
    <w:p w14:paraId="1CB55AFC" w14:textId="77777777" w:rsidR="00AB5DC4" w:rsidRDefault="00AB5DC4">
      <w:pPr>
        <w:spacing w:line="360" w:lineRule="auto"/>
        <w:jc w:val="both"/>
      </w:pPr>
    </w:p>
    <w:p w14:paraId="747046D7" w14:textId="77777777" w:rsidR="00AB5DC4" w:rsidRDefault="00301B55">
      <w:pPr>
        <w:spacing w:line="360" w:lineRule="auto"/>
        <w:jc w:val="both"/>
      </w:pPr>
      <w:r>
        <w:rPr>
          <w:rFonts w:ascii="Book Antiqua" w:eastAsia="Book Antiqua" w:hAnsi="Book Antiqua" w:cs="Book Antiqua"/>
          <w:b/>
          <w:bCs/>
          <w:color w:val="000000"/>
        </w:rPr>
        <w:t>Case 2:</w:t>
      </w:r>
      <w:r>
        <w:rPr>
          <w:rFonts w:hint="eastAsia"/>
          <w:lang w:eastAsia="zh-CN"/>
        </w:rPr>
        <w:t xml:space="preserve"> </w:t>
      </w:r>
      <w:r>
        <w:rPr>
          <w:rFonts w:ascii="Book Antiqua" w:eastAsia="Book Antiqua" w:hAnsi="Book Antiqua" w:cs="Book Antiqua"/>
          <w:color w:val="000000"/>
        </w:rPr>
        <w:t>Ultrasound showed that the HS was still present at 1 year after the diagnosis, although the patient’s symptoms had disappeared.</w:t>
      </w:r>
    </w:p>
    <w:p w14:paraId="125AA962" w14:textId="77777777" w:rsidR="00AB5DC4" w:rsidRDefault="00AB5DC4">
      <w:pPr>
        <w:spacing w:line="360" w:lineRule="auto"/>
        <w:jc w:val="both"/>
      </w:pPr>
    </w:p>
    <w:p w14:paraId="3B20D112" w14:textId="77777777" w:rsidR="00AB5DC4" w:rsidRDefault="00301B55">
      <w:pPr>
        <w:spacing w:line="360" w:lineRule="auto"/>
        <w:jc w:val="both"/>
      </w:pPr>
      <w:r>
        <w:rPr>
          <w:rFonts w:ascii="Book Antiqua" w:eastAsia="Book Antiqua" w:hAnsi="Book Antiqua" w:cs="Book Antiqua"/>
          <w:b/>
          <w:bCs/>
          <w:color w:val="000000"/>
        </w:rPr>
        <w:t>Case 3:</w:t>
      </w:r>
      <w:r>
        <w:rPr>
          <w:rFonts w:hint="eastAsia"/>
          <w:lang w:eastAsia="zh-CN"/>
        </w:rPr>
        <w:t xml:space="preserve"> </w:t>
      </w:r>
      <w:r>
        <w:rPr>
          <w:rFonts w:ascii="Book Antiqua" w:eastAsia="Book Antiqua" w:hAnsi="Book Antiqua" w:cs="Book Antiqua"/>
          <w:color w:val="000000"/>
        </w:rPr>
        <w:t>During the 1-year follow-up period, the patient’s symptoms disappeared and follow-up ultrasound examination revealed no evidence of recurrence.</w:t>
      </w:r>
    </w:p>
    <w:p w14:paraId="7501696A" w14:textId="77777777" w:rsidR="00AB5DC4" w:rsidRDefault="00AB5DC4">
      <w:pPr>
        <w:spacing w:line="360" w:lineRule="auto"/>
        <w:jc w:val="both"/>
      </w:pPr>
    </w:p>
    <w:p w14:paraId="52360B75" w14:textId="77777777" w:rsidR="00AB5DC4" w:rsidRDefault="00301B55">
      <w:pPr>
        <w:spacing w:line="360" w:lineRule="auto"/>
        <w:jc w:val="both"/>
      </w:pPr>
      <w:r>
        <w:rPr>
          <w:rFonts w:ascii="Book Antiqua" w:eastAsia="Book Antiqua" w:hAnsi="Book Antiqua" w:cs="Book Antiqua"/>
          <w:b/>
          <w:caps/>
          <w:color w:val="000000"/>
          <w:u w:val="single"/>
        </w:rPr>
        <w:t>DISCUSSION</w:t>
      </w:r>
    </w:p>
    <w:p w14:paraId="7E625C65" w14:textId="77777777" w:rsidR="00AB5DC4" w:rsidRDefault="00301B55">
      <w:pPr>
        <w:spacing w:line="360" w:lineRule="auto"/>
        <w:jc w:val="both"/>
      </w:pPr>
      <w:r>
        <w:rPr>
          <w:rFonts w:ascii="Book Antiqua" w:eastAsia="Book Antiqua" w:hAnsi="Book Antiqua" w:cs="Book Antiqua"/>
          <w:color w:val="000000"/>
        </w:rPr>
        <w:t>Esophageal hiatus is commonly formed by a division of the right diaphragmatic foot into two branches around the esophagus</w:t>
      </w:r>
      <w:r>
        <w:rPr>
          <w:rFonts w:ascii="Book Antiqua" w:eastAsia="Book Antiqua" w:hAnsi="Book Antiqua" w:cs="Book Antiqua"/>
          <w:color w:val="000000"/>
          <w:vertAlign w:val="superscript"/>
        </w:rPr>
        <w:t>[8]</w:t>
      </w:r>
      <w:r>
        <w:rPr>
          <w:rFonts w:ascii="Book Antiqua" w:eastAsia="Book Antiqua" w:hAnsi="Book Antiqua" w:cs="Book Antiqua"/>
          <w:color w:val="000000"/>
        </w:rPr>
        <w:t>. A study pointed out that all EHH patients with esophageal hiatus had hiatus widening and the shape of the hiatus changed from sagittal foramen to circular foramen</w:t>
      </w:r>
      <w:r>
        <w:rPr>
          <w:rFonts w:ascii="Book Antiqua" w:eastAsia="Book Antiqua" w:hAnsi="Book Antiqua" w:cs="Book Antiqua"/>
          <w:color w:val="000000"/>
          <w:vertAlign w:val="superscript"/>
        </w:rPr>
        <w:t>[8]</w:t>
      </w:r>
      <w:r>
        <w:rPr>
          <w:rFonts w:ascii="Book Antiqua" w:eastAsia="Book Antiqua" w:hAnsi="Book Antiqua" w:cs="Book Antiqua"/>
          <w:color w:val="000000"/>
        </w:rPr>
        <w:t>. In addition, a previous study has shown that the incidence and prevalence of EHH increase with the patient’s age and body mass index</w:t>
      </w:r>
      <w:r>
        <w:rPr>
          <w:rFonts w:ascii="Book Antiqua" w:eastAsia="Book Antiqua" w:hAnsi="Book Antiqua" w:cs="Book Antiqua"/>
          <w:color w:val="000000"/>
          <w:vertAlign w:val="superscript"/>
        </w:rPr>
        <w:t>[9]</w:t>
      </w:r>
      <w:r>
        <w:rPr>
          <w:rFonts w:ascii="Book Antiqua" w:eastAsia="Book Antiqua" w:hAnsi="Book Antiqua" w:cs="Book Antiqua"/>
          <w:color w:val="000000"/>
        </w:rPr>
        <w:t>. The underlying reasons are that the elasticity of the ligament structure around the diaphragm hiatus decreases with age and that the gastric pressure increase in obese patients leads to an increase in the axial pressure of the esophagus at the opening of the diaphragm. The clinical symptoms of EHH can correspondingly include upper abdomen or retrosternal pain, heartburn, acid reflux, postprandial satiety, nausea, retching, and dysphagia</w:t>
      </w:r>
      <w:r>
        <w:rPr>
          <w:rFonts w:ascii="Book Antiqua" w:eastAsia="Book Antiqua" w:hAnsi="Book Antiqua" w:cs="Book Antiqua"/>
          <w:color w:val="000000"/>
          <w:vertAlign w:val="superscript"/>
        </w:rPr>
        <w:t>[8]</w:t>
      </w:r>
      <w:r>
        <w:rPr>
          <w:rFonts w:ascii="Book Antiqua" w:eastAsia="Book Antiqua" w:hAnsi="Book Antiqua" w:cs="Book Antiqua"/>
          <w:color w:val="000000"/>
        </w:rPr>
        <w:t>. In addition, due to the destruction of the anti-reflux mechanism between supradiaphragmatic HS and the cardia, patients with EHH often have coexistent gastroesophageal reflux</w:t>
      </w:r>
      <w:r>
        <w:rPr>
          <w:rFonts w:ascii="Book Antiqua" w:eastAsia="Book Antiqua" w:hAnsi="Book Antiqua" w:cs="Book Antiqua"/>
          <w:color w:val="000000"/>
          <w:vertAlign w:val="superscript"/>
        </w:rPr>
        <w:t>[3,10]</w:t>
      </w:r>
      <w:r>
        <w:rPr>
          <w:rFonts w:ascii="Book Antiqua" w:eastAsia="Book Antiqua" w:hAnsi="Book Antiqua" w:cs="Book Antiqua"/>
          <w:color w:val="000000"/>
        </w:rPr>
        <w:t>. The acid exposure of the esophagus causes contraction of the longitudinal muscles of the esophagus. Furthermore, the esophagus undergoes axial shortening and the cardia becomes pulled upwards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frequent reflux itself will lead to more esophageal acid exposure and further aggravate the damage and contraction of the esophagus, thus forming a vicious circle.</w:t>
      </w:r>
    </w:p>
    <w:p w14:paraId="1E7F872E" w14:textId="77777777" w:rsidR="00AB5DC4" w:rsidRDefault="00301B55">
      <w:pPr>
        <w:spacing w:line="360" w:lineRule="auto"/>
        <w:ind w:firstLine="480"/>
        <w:jc w:val="both"/>
      </w:pPr>
      <w:r>
        <w:rPr>
          <w:rFonts w:ascii="Book Antiqua" w:eastAsia="Book Antiqua" w:hAnsi="Book Antiqua" w:cs="Book Antiqua"/>
          <w:color w:val="000000"/>
        </w:rPr>
        <w:t xml:space="preserve">It has been a long-standing consensus that gas in the lungs and GI tract limits the application of ultrasound in the diagnosis of GI diseases. In fact, this started as early as </w:t>
      </w:r>
      <w:r>
        <w:rPr>
          <w:rFonts w:ascii="Book Antiqua" w:eastAsia="Book Antiqua" w:hAnsi="Book Antiqua" w:cs="Book Antiqua"/>
          <w:color w:val="000000"/>
        </w:rPr>
        <w:lastRenderedPageBreak/>
        <w:t>when Naik and Moore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first used ultrasound to observe the gastroesophageal junction, and was agreed upon by the subsequent researchers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expanding the scope of ultrasound examination to the upper digestive tract in children. Westra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used ultrasound to observe the structural morphology of the gastroesophageal junction in children for the first time and measured the angle between the esophagus and the fundus of the stomach and abdominal esophagus, describing and summarizing the ultrasound characteristics of gastroesophageal reflux and EHH in infants. In recent years, with the rapid development of ultrasound technology and the application of oral GI contrast agents</w:t>
      </w:r>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the application of ultrasound in the GI tract has spread rapidly. However, in the case of patients with a thicker abdominal wall, interference by lung gas and surrounding tissues has led to poorer ultrasound image quality, greatly affecting the doctor's ability to observe and determine differential diagnoses. </w:t>
      </w:r>
    </w:p>
    <w:p w14:paraId="1D71A630" w14:textId="77777777" w:rsidR="00AB5DC4" w:rsidRDefault="00301B55">
      <w:pPr>
        <w:spacing w:line="360" w:lineRule="auto"/>
        <w:ind w:firstLine="480"/>
        <w:jc w:val="both"/>
      </w:pPr>
      <w:r>
        <w:rPr>
          <w:rFonts w:ascii="Book Antiqua" w:eastAsia="Book Antiqua" w:hAnsi="Book Antiqua" w:cs="Book Antiqua"/>
          <w:color w:val="000000"/>
        </w:rPr>
        <w:t>With advancement of the CEUS technique in recent years, the abilities of ultrasound-based diagnosis have been greatly improved. The second-generation ultrasound enhancer SonoVue is a microbubble-based enhancer used to produce a hyperechogenic reflection on contrast harmonic ultrasound imaging for vascular and nonvascular applications</w:t>
      </w:r>
      <w:r>
        <w:rPr>
          <w:rFonts w:ascii="Book Antiqua" w:eastAsia="Book Antiqua" w:hAnsi="Book Antiqua" w:cs="Book Antiqua"/>
          <w:color w:val="000000"/>
          <w:vertAlign w:val="superscript"/>
        </w:rPr>
        <w:t>[16-21]</w:t>
      </w:r>
      <w:r>
        <w:rPr>
          <w:rFonts w:ascii="Book Antiqua" w:eastAsia="Book Antiqua" w:hAnsi="Book Antiqua" w:cs="Book Antiqua"/>
          <w:color w:val="000000"/>
        </w:rPr>
        <w:t>. For the diagnosis of GI diseases, it was reported that adding the contrast agent SHU 508 A (Levovist; Schering AG, Berlin, Germany) to milk was useful for ultrasound diagnosis and classification of gastroesophageal reflux in children</w:t>
      </w:r>
      <w:r>
        <w:rPr>
          <w:rFonts w:ascii="Book Antiqua" w:eastAsia="Book Antiqua" w:hAnsi="Book Antiqua" w:cs="Book Antiqua"/>
          <w:color w:val="000000"/>
          <w:vertAlign w:val="superscript"/>
        </w:rPr>
        <w:t>[10]</w:t>
      </w:r>
      <w:r>
        <w:rPr>
          <w:rFonts w:ascii="Book Antiqua" w:eastAsia="Book Antiqua" w:hAnsi="Book Antiqua" w:cs="Book Antiqua"/>
          <w:color w:val="000000"/>
        </w:rPr>
        <w:t>. Other scholars have applied a mixture of SonoVue with an oral GI agent for positioning of a naso-intestinal tube in critically ill patients</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oral GI contrast agent Tianxia is a commercially available product in China and has been used to fill the stomach, replacing gastric gas and debris, for GI ultrasound examination</w:t>
      </w:r>
      <w:r>
        <w:rPr>
          <w:rFonts w:ascii="Book Antiqua" w:eastAsia="Book Antiqua" w:hAnsi="Book Antiqua" w:cs="Book Antiqua"/>
          <w:color w:val="000000"/>
          <w:vertAlign w:val="superscript"/>
        </w:rPr>
        <w:t>[6,23-27]</w:t>
      </w:r>
      <w:r>
        <w:rPr>
          <w:rFonts w:ascii="Book Antiqua" w:eastAsia="Book Antiqua" w:hAnsi="Book Antiqua" w:cs="Book Antiqua"/>
          <w:color w:val="000000"/>
        </w:rPr>
        <w:t xml:space="preserve">. This powder-based agent is made from edible grains and various natural ingredients, including rice, yam, and tangerine peel, and can reconstitute with water to form a fluid solution that appears as an echogenic reflection in the GI tract on conventional gray-scale ultrasound imaging. </w:t>
      </w:r>
    </w:p>
    <w:p w14:paraId="2C0134F0" w14:textId="77777777" w:rsidR="00AB5DC4" w:rsidRDefault="00301B55">
      <w:pPr>
        <w:spacing w:line="360" w:lineRule="auto"/>
        <w:ind w:firstLine="480"/>
        <w:jc w:val="both"/>
      </w:pPr>
      <w:r>
        <w:rPr>
          <w:rFonts w:ascii="Book Antiqua" w:eastAsia="Book Antiqua" w:hAnsi="Book Antiqua" w:cs="Book Antiqua"/>
          <w:color w:val="000000"/>
        </w:rPr>
        <w:t xml:space="preserve">In the present study, we created an oral contrast agent mixture using SonoVue and the conventional oral GI agent Tianxia, in order to obtain a better enhancement effect </w:t>
      </w:r>
      <w:r>
        <w:rPr>
          <w:rFonts w:ascii="Book Antiqua" w:eastAsia="Book Antiqua" w:hAnsi="Book Antiqua" w:cs="Book Antiqua"/>
          <w:color w:val="000000"/>
        </w:rPr>
        <w:lastRenderedPageBreak/>
        <w:t>for esophageal and gastric ultrasound examination. As far as we know, there is no report on the use of SonoVue mixed with an oral GI contrast agent in the diagnosis of EHH. The oral agent mixture and simultaneous dual-screen display were used for not just visualization of anatomic structures of esophagus and stomach as well as surrounding structures on gray-scale imaging but also for better delineation of contrast-enhanced luminal structures (</w:t>
      </w:r>
      <w:r>
        <w:rPr>
          <w:rFonts w:ascii="Book Antiqua" w:eastAsia="Book Antiqua" w:hAnsi="Book Antiqua" w:cs="Book Antiqua"/>
          <w:i/>
          <w:iCs/>
          <w:color w:val="000000"/>
        </w:rPr>
        <w:t xml:space="preserve">i.e., </w:t>
      </w:r>
      <w:r>
        <w:rPr>
          <w:rFonts w:ascii="Book Antiqua" w:eastAsia="Book Antiqua" w:hAnsi="Book Antiqua" w:cs="Book Antiqua"/>
          <w:color w:val="000000"/>
        </w:rPr>
        <w:t xml:space="preserve">HS) and dynamic changes of the enhanced fluid on contrast imaging, which exploited the advantages of the two contrast agents. The double-screen comparison was useful for imaging and facilitated the accurate localization of the area of interest. At the same time, since noise from the surrounding tissues, such as liver, blood vessel, and heart tissues, is suppressed and the interference of surrounding air is removed on contrast mode imaging, the shape and contour of the digestive tract and cavity can be clearly outlined. </w:t>
      </w:r>
    </w:p>
    <w:p w14:paraId="4558A930" w14:textId="77777777" w:rsidR="00AB5DC4" w:rsidRDefault="00301B55">
      <w:pPr>
        <w:spacing w:line="360" w:lineRule="auto"/>
        <w:ind w:firstLine="480"/>
        <w:jc w:val="both"/>
      </w:pPr>
      <w:r>
        <w:rPr>
          <w:rFonts w:ascii="Book Antiqua" w:eastAsia="Book Antiqua" w:hAnsi="Book Antiqua" w:cs="Book Antiqua"/>
          <w:color w:val="000000"/>
        </w:rPr>
        <w:t>Ultrasound can not only demonstrate the morphology of the GI tract but also evaluate its function</w:t>
      </w:r>
      <w:r>
        <w:rPr>
          <w:rFonts w:ascii="Book Antiqua" w:eastAsia="Book Antiqua" w:hAnsi="Book Antiqua" w:cs="Book Antiqua"/>
          <w:color w:val="000000"/>
          <w:vertAlign w:val="superscript"/>
        </w:rPr>
        <w:t>[28,29]</w:t>
      </w:r>
      <w:r>
        <w:rPr>
          <w:rFonts w:ascii="Book Antiqua" w:eastAsia="Book Antiqua" w:hAnsi="Book Antiqua" w:cs="Book Antiqua"/>
          <w:color w:val="000000"/>
        </w:rPr>
        <w:t>. In the present study, we found that this oral agent mixture is helpful for CEUS imaging of EHH patients with esophageal reflux, especially for obese patients with severe gas interference. First, the mixed agent can enhance the gray-scale imaging of the oral GI contrast agent; second, the mixed solution is in a semi-liquid state and stays in the stomach for a long time, so the time and frequency of reflux can be observed continuously</w:t>
      </w:r>
      <w:r>
        <w:rPr>
          <w:rFonts w:ascii="Book Antiqua" w:eastAsia="Book Antiqua" w:hAnsi="Book Antiqua" w:cs="Book Antiqua"/>
          <w:color w:val="000000"/>
          <w:vertAlign w:val="superscript"/>
        </w:rPr>
        <w:t>[6,7]</w:t>
      </w:r>
      <w:r>
        <w:rPr>
          <w:rFonts w:ascii="Book Antiqua" w:eastAsia="Book Antiqua" w:hAnsi="Book Antiqua" w:cs="Book Antiqua"/>
          <w:color w:val="000000"/>
        </w:rPr>
        <w:t>. When the patient is lying on their right side and performing Valsalva maneuvers, the increase of abdominal pressure will reduce the anti-reflux mechanism, which makes it easier to observe the situation of reflux. Because some small hernias or sliding hernias are often asymptomatic or manifest atypical symptoms and intermittent episodes, they are easily interfered by subjective factors, and thus routine ultrasound, X-ray radiography, endoscopy, and esophageal manometry are not readily able to facilitate a diagnosis</w:t>
      </w:r>
      <w:r>
        <w:rPr>
          <w:rFonts w:ascii="Book Antiqua" w:eastAsia="Book Antiqua" w:hAnsi="Book Antiqua" w:cs="Book Antiqua"/>
          <w:color w:val="000000"/>
          <w:vertAlign w:val="superscript"/>
        </w:rPr>
        <w:t>[30]</w:t>
      </w:r>
      <w:r>
        <w:rPr>
          <w:rFonts w:ascii="Book Antiqua" w:eastAsia="Book Antiqua" w:hAnsi="Book Antiqua" w:cs="Book Antiqua"/>
          <w:color w:val="000000"/>
        </w:rPr>
        <w:t>. For such patients, CEUS with the oral agent mixture can make up for the deficiencies of these routine examinations and can be beneficial for evaluation of small hernias and sliding hernias.</w:t>
      </w:r>
    </w:p>
    <w:p w14:paraId="755F73A5" w14:textId="77777777" w:rsidR="00AB5DC4" w:rsidRDefault="00AB5DC4">
      <w:pPr>
        <w:spacing w:line="360" w:lineRule="auto"/>
        <w:ind w:firstLine="480"/>
        <w:jc w:val="both"/>
      </w:pPr>
    </w:p>
    <w:p w14:paraId="69E47FA5" w14:textId="77777777" w:rsidR="00AB5DC4" w:rsidRDefault="00301B55">
      <w:pPr>
        <w:spacing w:line="360" w:lineRule="auto"/>
        <w:jc w:val="both"/>
      </w:pPr>
      <w:r>
        <w:rPr>
          <w:rFonts w:ascii="Book Antiqua" w:eastAsia="Book Antiqua" w:hAnsi="Book Antiqua" w:cs="Book Antiqua"/>
          <w:b/>
          <w:caps/>
          <w:color w:val="000000"/>
          <w:u w:val="single"/>
        </w:rPr>
        <w:t>CONCLUSION</w:t>
      </w:r>
    </w:p>
    <w:p w14:paraId="7E01BCC5" w14:textId="77777777" w:rsidR="00AB5DC4" w:rsidRDefault="00301B55">
      <w:pPr>
        <w:spacing w:line="360" w:lineRule="auto"/>
        <w:jc w:val="both"/>
      </w:pPr>
      <w:r>
        <w:rPr>
          <w:rFonts w:ascii="Book Antiqua" w:eastAsia="Book Antiqua" w:hAnsi="Book Antiqua" w:cs="Book Antiqua"/>
          <w:color w:val="000000"/>
        </w:rPr>
        <w:lastRenderedPageBreak/>
        <w:t>To our knowledge, this is the first report of application of CEUS with an oral agent mixture in the diagnosis of EHH. With it, we were able to identify the direct sign of EHH and the indirect signs through enhanced imaging, clearly and intuitively. The advantages of this method are ease of use, no radiation exposure, noninvasive nature, and reliability, all of which hold great value for clinical application in patients with EHH.</w:t>
      </w:r>
    </w:p>
    <w:p w14:paraId="23B3DDFC" w14:textId="77777777" w:rsidR="00AB5DC4" w:rsidRDefault="00AB5DC4">
      <w:pPr>
        <w:spacing w:line="360" w:lineRule="auto"/>
        <w:jc w:val="both"/>
      </w:pPr>
    </w:p>
    <w:p w14:paraId="4657CF4F" w14:textId="77777777" w:rsidR="00AB5DC4" w:rsidRDefault="00301B55">
      <w:pPr>
        <w:spacing w:line="360" w:lineRule="auto"/>
        <w:jc w:val="both"/>
      </w:pPr>
      <w:r>
        <w:rPr>
          <w:rFonts w:ascii="Book Antiqua" w:eastAsia="Book Antiqua" w:hAnsi="Book Antiqua" w:cs="Book Antiqua"/>
          <w:b/>
          <w:color w:val="000000"/>
        </w:rPr>
        <w:t>REFERENCES</w:t>
      </w:r>
    </w:p>
    <w:p w14:paraId="31B8DD78" w14:textId="77777777" w:rsidR="00AB5DC4" w:rsidRDefault="00301B5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Patoulias D</w:t>
      </w:r>
      <w:r>
        <w:rPr>
          <w:rFonts w:ascii="Book Antiqua" w:eastAsia="Book Antiqua" w:hAnsi="Book Antiqua" w:cs="Book Antiqua"/>
          <w:color w:val="000000"/>
        </w:rPr>
        <w:t xml:space="preserve">, Kalogirou M, Feidantsis T, Kallergis I, Patoulias I. Paraesophageal Hernia as a Cause of Chronic Asymptomatic Anemia in a 6 Years Old Boy; Case Report and Review of the Literature. </w:t>
      </w:r>
      <w:r>
        <w:rPr>
          <w:rFonts w:ascii="Book Antiqua" w:eastAsia="Book Antiqua" w:hAnsi="Book Antiqua" w:cs="Book Antiqua"/>
          <w:i/>
          <w:iCs/>
          <w:color w:val="000000"/>
        </w:rPr>
        <w:t>Acta Medica (Hradec Kralove)</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76-81 [PMID: 28976874 DOI: 10.14712/18059694.2017.97]</w:t>
      </w:r>
    </w:p>
    <w:p w14:paraId="1C152148" w14:textId="77777777" w:rsidR="00AB5DC4" w:rsidRDefault="00301B5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Weitzendorfer M</w:t>
      </w:r>
      <w:r>
        <w:rPr>
          <w:rFonts w:ascii="Book Antiqua" w:eastAsia="Book Antiqua" w:hAnsi="Book Antiqua" w:cs="Book Antiqua"/>
          <w:color w:val="000000"/>
        </w:rPr>
        <w:t xml:space="preserve">, Köhler G, Antoniou SA, Pallwein-Prettner L, Manzenreiter L, Schredl P, Emmanuel K, Koch OO. Preoperative diagnosis of hiatal hernia: barium swallow X-ray, high-resolution manometry, or endoscopy? </w:t>
      </w:r>
      <w:r>
        <w:rPr>
          <w:rFonts w:ascii="Book Antiqua" w:eastAsia="Book Antiqua" w:hAnsi="Book Antiqua" w:cs="Book Antiqua"/>
          <w:i/>
          <w:iCs/>
          <w:color w:val="000000"/>
        </w:rPr>
        <w:t>Eur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210-217 [PMID: 29104588 DOI: 10.1007/s10353-017-0492-y]</w:t>
      </w:r>
    </w:p>
    <w:p w14:paraId="71AA9514" w14:textId="77777777" w:rsidR="00AB5DC4" w:rsidRDefault="00301B5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Kishikawa H</w:t>
      </w:r>
      <w:r>
        <w:rPr>
          <w:rFonts w:ascii="Book Antiqua" w:eastAsia="Book Antiqua" w:hAnsi="Book Antiqua" w:cs="Book Antiqua"/>
          <w:color w:val="000000"/>
        </w:rPr>
        <w:t xml:space="preserve">, Kimura K, Ito A, Arahata K, Takarabe S, Kaida S, Kanai T, Miura S, Nishida J. Association between Increased Gastric Juice Acidity and Sliding Hiatal Hernia Development in Humans.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e0170416 [PMID: 28107506 DOI: 10.1371/journal.pone.0170416]</w:t>
      </w:r>
    </w:p>
    <w:p w14:paraId="38261CDF" w14:textId="77777777" w:rsidR="00AB5DC4" w:rsidRDefault="00301B5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Rogers B</w:t>
      </w:r>
      <w:r>
        <w:rPr>
          <w:rFonts w:ascii="Book Antiqua" w:eastAsia="Book Antiqua" w:hAnsi="Book Antiqua" w:cs="Book Antiqua"/>
          <w:color w:val="000000"/>
        </w:rPr>
        <w:t xml:space="preserve">, Hasak S, Hansalia V, Gyawali CP. Trans-esophagogastric junction pressure gradients during straight leg raise maneuver on high-resolution manometry associate with large hiatus hernias. </w:t>
      </w:r>
      <w:r>
        <w:rPr>
          <w:rFonts w:ascii="Book Antiqua" w:eastAsia="Book Antiqua" w:hAnsi="Book Antiqua" w:cs="Book Antiqua"/>
          <w:i/>
          <w:iCs/>
          <w:color w:val="000000"/>
        </w:rPr>
        <w:t>Neurogastroenterol Motil</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e13836 [PMID: 32163648 DOI: 10.1111/nmo.13836]</w:t>
      </w:r>
    </w:p>
    <w:p w14:paraId="292E738D" w14:textId="77777777" w:rsidR="00AB5DC4" w:rsidRDefault="00301B5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Westra SJ</w:t>
      </w:r>
      <w:r>
        <w:rPr>
          <w:rFonts w:ascii="Book Antiqua" w:eastAsia="Book Antiqua" w:hAnsi="Book Antiqua" w:cs="Book Antiqua"/>
          <w:color w:val="000000"/>
        </w:rPr>
        <w:t xml:space="preserve">, Wolf BH, Staalman CR. Ultrasound diagnosis of gastroesophageal reflux and hiatal hernia in infants and young children.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1990; </w:t>
      </w:r>
      <w:r>
        <w:rPr>
          <w:rFonts w:ascii="Book Antiqua" w:eastAsia="Book Antiqua" w:hAnsi="Book Antiqua" w:cs="Book Antiqua"/>
          <w:b/>
          <w:bCs/>
          <w:color w:val="000000"/>
        </w:rPr>
        <w:t>18</w:t>
      </w:r>
      <w:r>
        <w:rPr>
          <w:rFonts w:ascii="Book Antiqua" w:eastAsia="Book Antiqua" w:hAnsi="Book Antiqua" w:cs="Book Antiqua"/>
          <w:color w:val="000000"/>
        </w:rPr>
        <w:t>: 477-485 [PMID: 2162855 DOI: 10.1002/jcu.1870180605]</w:t>
      </w:r>
    </w:p>
    <w:p w14:paraId="7613A835" w14:textId="77777777" w:rsidR="00AB5DC4" w:rsidRDefault="00301B55">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Peng L,</w:t>
      </w:r>
      <w:r>
        <w:rPr>
          <w:rFonts w:ascii="Book Antiqua" w:eastAsia="Book Antiqua" w:hAnsi="Book Antiqua" w:cs="Book Antiqua"/>
          <w:color w:val="000000"/>
        </w:rPr>
        <w:t xml:space="preserve"> Wang JY, Zheng SC, He L, Wang WY, Luo X, Zhang YL. Diagnosis value of gastroesophageal reflux disease by gastric-filling ultrasound and endoscope. </w:t>
      </w:r>
      <w:r>
        <w:rPr>
          <w:rFonts w:ascii="Book Antiqua" w:eastAsia="Book Antiqua" w:hAnsi="Book Antiqua" w:cs="Book Antiqua"/>
          <w:i/>
          <w:iCs/>
          <w:color w:val="000000"/>
        </w:rPr>
        <w:t xml:space="preserve">Xibu Yixue </w:t>
      </w:r>
      <w:r>
        <w:rPr>
          <w:rFonts w:ascii="Book Antiqua" w:eastAsia="Book Antiqua" w:hAnsi="Book Antiqua" w:cs="Book Antiqua"/>
          <w:color w:val="000000"/>
        </w:rPr>
        <w:t>2019</w:t>
      </w:r>
      <w:r w:rsidR="00CA024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31</w:t>
      </w:r>
      <w:r>
        <w:rPr>
          <w:rFonts w:ascii="Book Antiqua" w:eastAsia="Book Antiqua" w:hAnsi="Book Antiqua" w:cs="Book Antiqua"/>
          <w:color w:val="000000"/>
        </w:rPr>
        <w:t>: 1613-1661 [DOI: 10.3969/j.issn.1672-3511.2019.10.027]</w:t>
      </w:r>
    </w:p>
    <w:p w14:paraId="6B28FE19" w14:textId="77777777" w:rsidR="00AB5DC4" w:rsidRDefault="00301B5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Peng L,</w:t>
      </w:r>
      <w:r>
        <w:rPr>
          <w:rFonts w:ascii="Book Antiqua" w:eastAsia="Book Antiqua" w:hAnsi="Book Antiqua" w:cs="Book Antiqua"/>
          <w:color w:val="000000"/>
        </w:rPr>
        <w:t xml:space="preserve"> Wang JY, Luo Y, He L, Zheng SC, Chen M, Xie CY, Zhang YL. Oral SonoVue microbubble contrast agent and gastric adjuvant mixture for the diagnosis of gastroesophageal reflux disease. </w:t>
      </w:r>
      <w:r>
        <w:rPr>
          <w:rFonts w:ascii="Book Antiqua" w:eastAsia="Book Antiqua" w:hAnsi="Book Antiqua" w:cs="Book Antiqua"/>
          <w:i/>
          <w:iCs/>
          <w:color w:val="000000"/>
        </w:rPr>
        <w:t>Xibu Yixue</w:t>
      </w:r>
      <w:r>
        <w:rPr>
          <w:rFonts w:ascii="Book Antiqua" w:eastAsia="Book Antiqua" w:hAnsi="Book Antiqua" w:cs="Book Antiqua"/>
          <w:color w:val="000000"/>
        </w:rPr>
        <w:t xml:space="preserve"> 2020</w:t>
      </w:r>
      <w:r w:rsidR="00CE779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32</w:t>
      </w:r>
      <w:r>
        <w:rPr>
          <w:rFonts w:ascii="Book Antiqua" w:eastAsia="Book Antiqua" w:hAnsi="Book Antiqua" w:cs="Book Antiqua"/>
          <w:color w:val="000000"/>
        </w:rPr>
        <w:t>: 594-598 [DOI: 10.3969/j.issn.1672-3511.2020.04.023]</w:t>
      </w:r>
    </w:p>
    <w:p w14:paraId="1EA9073C" w14:textId="77777777" w:rsidR="00AB5DC4" w:rsidRDefault="00301B5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Kumar D</w:t>
      </w:r>
      <w:r>
        <w:rPr>
          <w:rFonts w:ascii="Book Antiqua" w:eastAsia="Book Antiqua" w:hAnsi="Book Antiqua" w:cs="Book Antiqua"/>
          <w:color w:val="000000"/>
        </w:rPr>
        <w:t xml:space="preserve">, Zifan A, Ghahremani G, Kunkel DC, Horgan S, Mittal RK. Morphology of the esophageal hiatus: Is it different in 3 types of hiatus hernias? </w:t>
      </w:r>
      <w:r>
        <w:rPr>
          <w:rFonts w:ascii="Book Antiqua" w:eastAsia="Book Antiqua" w:hAnsi="Book Antiqua" w:cs="Book Antiqua"/>
          <w:i/>
          <w:iCs/>
          <w:color w:val="000000"/>
        </w:rPr>
        <w:t>J Neurogastroenterol Motil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51-60 [PMID: 31677612 DOI: 10.5056/jnm18208]</w:t>
      </w:r>
    </w:p>
    <w:p w14:paraId="55874FE7" w14:textId="77777777" w:rsidR="00AB5DC4" w:rsidRDefault="00301B5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Trudgill N. Risk factors in the aetiology of hiatus hernia: a meta-analysis.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133-138 [PMID: 21178776 DOI: 10.1097/MEG.0b013e3283426f57]</w:t>
      </w:r>
    </w:p>
    <w:p w14:paraId="43113938" w14:textId="77777777" w:rsidR="00AB5DC4" w:rsidRDefault="00301B5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Farina R</w:t>
      </w:r>
      <w:r>
        <w:rPr>
          <w:rFonts w:ascii="Book Antiqua" w:eastAsia="Book Antiqua" w:hAnsi="Book Antiqua" w:cs="Book Antiqua"/>
          <w:color w:val="000000"/>
        </w:rPr>
        <w:t xml:space="preserve">, Pennisi F, La Rosa M, Puglisi C, Mazzone G, Riva G, Foti PV, Ettorre GC. Contrast-enhanced colour-Doppler sonography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pH-metry in the diagnosis of gastro-oesophageal reflux in children.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113</w:t>
      </w:r>
      <w:r>
        <w:rPr>
          <w:rFonts w:ascii="Book Antiqua" w:eastAsia="Book Antiqua" w:hAnsi="Book Antiqua" w:cs="Book Antiqua"/>
          <w:color w:val="000000"/>
        </w:rPr>
        <w:t>: 591-598 [PMID: 18478190 DOI: 10.1007/s11547-008-0267-4]</w:t>
      </w:r>
    </w:p>
    <w:p w14:paraId="06CCED31" w14:textId="77777777" w:rsidR="00AB5DC4" w:rsidRDefault="00301B5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Naik DR</w:t>
      </w:r>
      <w:r>
        <w:rPr>
          <w:rFonts w:ascii="Book Antiqua" w:eastAsia="Book Antiqua" w:hAnsi="Book Antiqua" w:cs="Book Antiqua"/>
          <w:color w:val="000000"/>
        </w:rPr>
        <w:t xml:space="preserve">, Moore DJ. Ultrasound diagnosis of gastro-oesophageal reflux.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1984; </w:t>
      </w:r>
      <w:r>
        <w:rPr>
          <w:rFonts w:ascii="Book Antiqua" w:eastAsia="Book Antiqua" w:hAnsi="Book Antiqua" w:cs="Book Antiqua"/>
          <w:b/>
          <w:bCs/>
          <w:color w:val="000000"/>
        </w:rPr>
        <w:t>59</w:t>
      </w:r>
      <w:r>
        <w:rPr>
          <w:rFonts w:ascii="Book Antiqua" w:eastAsia="Book Antiqua" w:hAnsi="Book Antiqua" w:cs="Book Antiqua"/>
          <w:color w:val="000000"/>
        </w:rPr>
        <w:t>: 366-367 [PMID: 6721563 DOI: 10.1136/adc.59.4.366]</w:t>
      </w:r>
    </w:p>
    <w:p w14:paraId="7EB42E17" w14:textId="77777777" w:rsidR="00AB5DC4" w:rsidRDefault="00301B5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Cohen HL</w:t>
      </w:r>
      <w:r>
        <w:rPr>
          <w:rFonts w:ascii="Book Antiqua" w:eastAsia="Book Antiqua" w:hAnsi="Book Antiqua" w:cs="Book Antiqua"/>
          <w:color w:val="000000"/>
        </w:rPr>
        <w:t xml:space="preserve">. Ultrasound of the pediatric upper gastrointestinal tract. </w:t>
      </w:r>
      <w:r>
        <w:rPr>
          <w:rFonts w:ascii="Book Antiqua" w:eastAsia="Book Antiqua" w:hAnsi="Book Antiqua" w:cs="Book Antiqua"/>
          <w:i/>
          <w:iCs/>
          <w:color w:val="000000"/>
        </w:rPr>
        <w:t>Bull N Y Acad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65</w:t>
      </w:r>
      <w:r>
        <w:rPr>
          <w:rFonts w:ascii="Book Antiqua" w:eastAsia="Book Antiqua" w:hAnsi="Book Antiqua" w:cs="Book Antiqua"/>
          <w:color w:val="000000"/>
        </w:rPr>
        <w:t>: 583-590 [PMID: 2688765]</w:t>
      </w:r>
    </w:p>
    <w:p w14:paraId="61591885" w14:textId="77777777"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Lund PJ</w:t>
      </w:r>
      <w:r>
        <w:rPr>
          <w:rFonts w:ascii="Book Antiqua" w:eastAsia="Book Antiqua" w:hAnsi="Book Antiqua" w:cs="Book Antiqua"/>
          <w:color w:val="000000"/>
        </w:rPr>
        <w:t xml:space="preserve">, Fritz TA, Unger EC, Hunt RK, Fuller E. Cellulose as a gastrointestinal US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185</w:t>
      </w:r>
      <w:r>
        <w:rPr>
          <w:rFonts w:ascii="Book Antiqua" w:eastAsia="Book Antiqua" w:hAnsi="Book Antiqua" w:cs="Book Antiqua"/>
          <w:color w:val="000000"/>
        </w:rPr>
        <w:t>: 783-788 [PMID: 1438763 DOI: 10.1148/radiology.185.3.1438763]</w:t>
      </w:r>
    </w:p>
    <w:p w14:paraId="320EA35F" w14:textId="77777777" w:rsidR="00AB5DC4" w:rsidRDefault="00301B5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Liu Z</w:t>
      </w:r>
      <w:r>
        <w:rPr>
          <w:rFonts w:ascii="Book Antiqua" w:eastAsia="Book Antiqua" w:hAnsi="Book Antiqua" w:cs="Book Antiqua"/>
          <w:color w:val="000000"/>
        </w:rPr>
        <w:t xml:space="preserve">, Dou X, Guo J, Zhao Y, Zhang J, Ren W, Tang S, Zhang Y, Zhang X, Huang L, Lin L. Utility of transabdominal ultrasonography enhanced by oral cellulose-based contrast agent in depicting varices at cardia and fundus.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1428-1434 [PMID: 32217027 DOI: 10.1016/j.ultrasmedbio.2020.02.011]</w:t>
      </w:r>
    </w:p>
    <w:p w14:paraId="769E536B" w14:textId="77777777" w:rsidR="00AB5DC4" w:rsidRDefault="00301B55">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 xml:space="preserve">Gastrointestinal Ultrasound Panel of Ultrasound Professional Committee of China Medicine Education Association. </w:t>
      </w:r>
      <w:r>
        <w:rPr>
          <w:rFonts w:ascii="Book Antiqua" w:eastAsia="Book Antiqua" w:hAnsi="Book Antiqua" w:cs="Book Antiqua"/>
          <w:color w:val="000000"/>
        </w:rPr>
        <w:t xml:space="preserve">[Chinese expert consensus and guidlines for scanning technique and imaging acquisition]. </w:t>
      </w:r>
      <w:r>
        <w:rPr>
          <w:rFonts w:ascii="Book Antiqua" w:eastAsia="Book Antiqua" w:hAnsi="Book Antiqua" w:cs="Book Antiqua"/>
          <w:i/>
          <w:iCs/>
          <w:color w:val="000000"/>
        </w:rPr>
        <w:t>J Cancer Control Treat</w:t>
      </w:r>
      <w:r>
        <w:rPr>
          <w:rFonts w:ascii="Book Antiqua" w:eastAsia="Book Antiqua" w:hAnsi="Book Antiqua" w:cs="Book Antiqua"/>
          <w:color w:val="000000"/>
        </w:rPr>
        <w:t xml:space="preserve"> 2020</w:t>
      </w:r>
      <w:r w:rsidR="00C23E8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33: </w:t>
      </w:r>
      <w:r>
        <w:rPr>
          <w:rFonts w:ascii="Book Antiqua" w:eastAsia="Book Antiqua" w:hAnsi="Book Antiqua" w:cs="Book Antiqua"/>
          <w:color w:val="000000"/>
        </w:rPr>
        <w:t>817-827 [DOI: 10.3969/j.issn.1674-0904.2020.11.001]</w:t>
      </w:r>
    </w:p>
    <w:p w14:paraId="32F31CE5" w14:textId="77777777" w:rsidR="00AB5DC4" w:rsidRDefault="00301B5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Zhai HY</w:t>
      </w:r>
      <w:r>
        <w:rPr>
          <w:rFonts w:ascii="Book Antiqua" w:eastAsia="Book Antiqua" w:hAnsi="Book Antiqua" w:cs="Book Antiqua"/>
          <w:color w:val="000000"/>
        </w:rPr>
        <w:t xml:space="preserve">, Liang P, Yu J, Cao F, Kuang M, Liu FY, Liu FY, Zhu XY. Comparison of sonazoid and sonoVue in the diagnosis of focal liver lesions: A preliminary study.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2417-2425 [PMID: 30680779 DOI: 10.1002/jum.14940]</w:t>
      </w:r>
    </w:p>
    <w:p w14:paraId="33A83BC2" w14:textId="77777777" w:rsidR="00AB5DC4" w:rsidRDefault="00301B5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von Herbay A</w:t>
      </w:r>
      <w:r>
        <w:rPr>
          <w:rFonts w:ascii="Book Antiqua" w:eastAsia="Book Antiqua" w:hAnsi="Book Antiqua" w:cs="Book Antiqua"/>
          <w:color w:val="000000"/>
        </w:rPr>
        <w:t xml:space="preserve">, Schick D, Horger M, Gregor M. [Low-MI-sonography with the contrast-agent SonoVue in the diagnosis of infarction of the spleen, kidney, liver and pancreas].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445-450 [PMID: 17033946 DOI: 10.1055/s-2006-926832]</w:t>
      </w:r>
    </w:p>
    <w:p w14:paraId="58094EA7" w14:textId="77777777" w:rsidR="00AB5DC4" w:rsidRDefault="00301B5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Senior R</w:t>
      </w:r>
      <w:r>
        <w:rPr>
          <w:rFonts w:ascii="Book Antiqua" w:eastAsia="Book Antiqua" w:hAnsi="Book Antiqua" w:cs="Book Antiqua"/>
          <w:color w:val="000000"/>
        </w:rPr>
        <w:t xml:space="preserve">, Moreo A, Gaibazzi N, Agati L, Tiemann K, Shivalkar B, von Bardeleben S, Galiuto L, Lardoux H, Trocino G, Carrió I, Le Guludec D, Sambuceti G, Becher H, Colonna P, Ten Cate F, Bramucci E, Cohen A, Bezante G, Aggeli C, Kasprzak JD. Comparison of sulfur hexafluoride microbubble (SonoVue)-enhanced myocardial contrast echocardiography with gated single-photon emission computed tomography for detection of significant coronary artery disease: a large European multicenter study.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1353-1361 [PMID: 23770168 DOI: 10.1016/j.jacc.2013.04.082]</w:t>
      </w:r>
    </w:p>
    <w:p w14:paraId="781B39F3" w14:textId="77777777" w:rsidR="00AB5DC4" w:rsidRDefault="00301B5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Chen LS</w:t>
      </w:r>
      <w:r>
        <w:rPr>
          <w:rFonts w:ascii="Book Antiqua" w:eastAsia="Book Antiqua" w:hAnsi="Book Antiqua" w:cs="Book Antiqua"/>
          <w:color w:val="000000"/>
        </w:rPr>
        <w:t xml:space="preserve">, Zhu ZQ, Li J, Wang ZT, Qiang Y, Hu XY, Zhang MM, Wang ZQ. Hysterosalpingo-contrast-sonography vs. magnetic resonance-hysterosalpingography for diagnosing fallopian tubal patency: A systematic review and meta-analysis.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108891 [PMID: 32088657 DOI: 10.1016/j.ejrad.2020.108891]</w:t>
      </w:r>
    </w:p>
    <w:p w14:paraId="478B24F3" w14:textId="77777777" w:rsidR="00AB5DC4" w:rsidRDefault="00301B5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Shan QY</w:t>
      </w:r>
      <w:r>
        <w:rPr>
          <w:rFonts w:ascii="Book Antiqua" w:eastAsia="Book Antiqua" w:hAnsi="Book Antiqua" w:cs="Book Antiqua"/>
          <w:color w:val="000000"/>
        </w:rPr>
        <w:t xml:space="preserve">, Jiang H, Chen SL, Chen HD, Guo Y, Xie XY, Zhou LY. Postsurgical management of dilated biliary tract in children: Ultrasound-guided percutaneous transhepatic cholangial drainage and subsequent percutaneous ultrasound cholangiography.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1377-1383 [PMID: 32160054 DOI: 10.2214/AJR.19.22225]</w:t>
      </w:r>
    </w:p>
    <w:p w14:paraId="401559EA" w14:textId="77777777" w:rsidR="00AB5DC4" w:rsidRDefault="00301B55">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Duran C</w:t>
      </w:r>
      <w:r>
        <w:rPr>
          <w:rFonts w:ascii="Book Antiqua" w:eastAsia="Book Antiqua" w:hAnsi="Book Antiqua" w:cs="Book Antiqua"/>
          <w:color w:val="000000"/>
        </w:rPr>
        <w:t xml:space="preserve">, Beltrán VP, González A, Gómez C, Riego JD. Contrast-enhanced voiding urosonography for vesicoureteral reflux diagnosis in children.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1854-1869 [PMID: 29019761 DOI: 10.1148/rg.2017170024]</w:t>
      </w:r>
    </w:p>
    <w:p w14:paraId="0E274578" w14:textId="77777777" w:rsidR="00AB5DC4" w:rsidRDefault="00301B5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Ye RZ,</w:t>
      </w:r>
      <w:r>
        <w:rPr>
          <w:rFonts w:ascii="Book Antiqua" w:eastAsia="Book Antiqua" w:hAnsi="Book Antiqua" w:cs="Book Antiqua"/>
          <w:color w:val="000000"/>
        </w:rPr>
        <w:t xml:space="preserve"> Yang XH, Feng ZW, Hu BC, Liu JQ, Lv ZQ, Wang L,</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Peng C, Ultrasonography DO. Application of hybrid contrast-enhanced ultrasound imaging technology in positioning indwelling nasointestinal tube in critically ill patients. </w:t>
      </w:r>
      <w:r>
        <w:rPr>
          <w:rFonts w:ascii="Book Antiqua" w:eastAsia="Book Antiqua" w:hAnsi="Book Antiqua" w:cs="Book Antiqua"/>
          <w:i/>
          <w:iCs/>
          <w:color w:val="000000"/>
        </w:rPr>
        <w:t>Zhonghua Yixue Chaosheng Zazhi</w:t>
      </w:r>
      <w:r>
        <w:rPr>
          <w:rFonts w:ascii="Book Antiqua" w:eastAsia="Book Antiqua" w:hAnsi="Book Antiqua" w:cs="Book Antiqua"/>
          <w:color w:val="000000"/>
        </w:rPr>
        <w:t xml:space="preserve"> 2019</w:t>
      </w:r>
      <w:r w:rsidR="001F088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 87-94 [DOI: 10.3877/cma.j.issn.1672-6448.2019.02.003]</w:t>
      </w:r>
    </w:p>
    <w:p w14:paraId="13A0CFCF" w14:textId="77777777" w:rsidR="00AB5DC4" w:rsidRDefault="00301B5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Wu S</w:t>
      </w:r>
      <w:r>
        <w:rPr>
          <w:rFonts w:ascii="Book Antiqua" w:eastAsia="Book Antiqua" w:hAnsi="Book Antiqua" w:cs="Book Antiqua"/>
          <w:color w:val="000000"/>
        </w:rPr>
        <w:t xml:space="preserve">, Zhuang H, Zhao JY, Wang YF. Gastrocolic fistula in Crohn's disease detected by oral agent contrast-enhanced ultrasound: A case report of a novel ultrasound modality.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2119-2125 [PMID: 32536779 DOI: 10.3748/wjg.v26.i17.2119]</w:t>
      </w:r>
    </w:p>
    <w:p w14:paraId="1B50E90E" w14:textId="77777777" w:rsidR="00AB5DC4" w:rsidRDefault="00301B5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Z</w:t>
      </w:r>
      <w:r>
        <w:rPr>
          <w:rFonts w:ascii="Book Antiqua" w:eastAsia="Book Antiqua" w:hAnsi="Book Antiqua" w:cs="Book Antiqua"/>
          <w:color w:val="000000"/>
        </w:rPr>
        <w:t xml:space="preserve">, Guo J, Wang S, Zhao Y, Li J, Ren W, Tang S, Xie L, Huang Y, Sun S, Huang L. Evaluation of transabdominal ultrasound after oral administration of an echoic cellulose-based gastric ultrasound contrast agent for gastric cancer.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932 [PMID: 26606926 DOI: 10.1186/s12885-015-1943-0]</w:t>
      </w:r>
    </w:p>
    <w:p w14:paraId="0A09820D" w14:textId="77777777" w:rsidR="00AB5DC4" w:rsidRDefault="00301B5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Liu Z</w:t>
      </w:r>
      <w:r>
        <w:rPr>
          <w:rFonts w:ascii="Book Antiqua" w:eastAsia="Book Antiqua" w:hAnsi="Book Antiqua" w:cs="Book Antiqua"/>
          <w:color w:val="000000"/>
        </w:rPr>
        <w:t xml:space="preserve">, Guo J, Ren W, Sun S, Tang S, Xie L. A gastric calcifying fibrous pseudotumor detected by transabdominal ultrasound after oral administration of an echoic cellulose-based gastrointestinal ultrasound contrast agent.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181-183 [PMID: 24008776 DOI: 10.1055/s-0033-1350396]</w:t>
      </w:r>
    </w:p>
    <w:p w14:paraId="29CED689" w14:textId="77777777" w:rsidR="00AB5DC4" w:rsidRDefault="00301B5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Z</w:t>
      </w:r>
      <w:r>
        <w:rPr>
          <w:rFonts w:ascii="Book Antiqua" w:eastAsia="Book Antiqua" w:hAnsi="Book Antiqua" w:cs="Book Antiqua"/>
          <w:color w:val="000000"/>
        </w:rPr>
        <w:t xml:space="preserve">, Guo J, Wang S, Zhao Y, Liu Z, Li J, Ren W, Tang S, Xie L, Huang Y, Sun S, Huang L. Evaluation of transabdominal ultrasound with oral cellulose-based contrast agent in the detection and surveillance of gastric ulcer.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1364-1371 [PMID: 28461064 DOI: 10.1016/j.ultrasmedbio.2017.02.008]</w:t>
      </w:r>
    </w:p>
    <w:p w14:paraId="7F0906E1" w14:textId="77777777" w:rsidR="00AB5DC4" w:rsidRDefault="00301B5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Qiu W,</w:t>
      </w:r>
      <w:r>
        <w:rPr>
          <w:rFonts w:ascii="Book Antiqua" w:eastAsia="Book Antiqua" w:hAnsi="Book Antiqua" w:cs="Book Antiqua"/>
          <w:color w:val="000000"/>
        </w:rPr>
        <w:t xml:space="preserve"> Chen SB, Li MX. Evaluation of the self-made gastrointestinal ultrasound contrast agent combined with intravenous contrast enhanced ultrasound for the diagnosis of gastric cancer. </w:t>
      </w:r>
      <w:r>
        <w:rPr>
          <w:rFonts w:ascii="Book Antiqua" w:eastAsia="Book Antiqua" w:hAnsi="Book Antiqua" w:cs="Book Antiqua"/>
          <w:i/>
          <w:iCs/>
          <w:color w:val="000000"/>
        </w:rPr>
        <w:t>Xibu Yixue</w:t>
      </w:r>
      <w:r>
        <w:rPr>
          <w:rFonts w:ascii="Book Antiqua" w:eastAsia="Book Antiqua" w:hAnsi="Book Antiqua" w:cs="Book Antiqua"/>
          <w:color w:val="000000"/>
        </w:rPr>
        <w:t xml:space="preserve"> 2017</w:t>
      </w:r>
      <w:r w:rsidR="004558E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29</w:t>
      </w:r>
      <w:r>
        <w:rPr>
          <w:rFonts w:ascii="Book Antiqua" w:eastAsia="Book Antiqua" w:hAnsi="Book Antiqua" w:cs="Book Antiqua"/>
          <w:color w:val="000000"/>
        </w:rPr>
        <w:t>: 1301-1306 [DOI: 10.3969/j.issn.1672-3511.2017.09.027]</w:t>
      </w:r>
    </w:p>
    <w:p w14:paraId="1859E006" w14:textId="77777777" w:rsidR="00AB5DC4" w:rsidRDefault="00301B55">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Braden B. Sonographic assessments of gastrointestinal and biliary functions.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353-367 [PMID: 19505664 DOI: 10.1016/j.bpg.2009.03.003]</w:t>
      </w:r>
    </w:p>
    <w:p w14:paraId="4AF40A70" w14:textId="77777777" w:rsidR="00AB5DC4" w:rsidRDefault="00301B5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Z</w:t>
      </w:r>
      <w:r>
        <w:rPr>
          <w:rFonts w:ascii="Book Antiqua" w:eastAsia="Book Antiqua" w:hAnsi="Book Antiqua" w:cs="Book Antiqua"/>
          <w:color w:val="000000"/>
        </w:rPr>
        <w:t xml:space="preserve">, Liu Z, Li Y, Guo J, Li J, Ren W, Tang S, Xie L, Huang Y, Huang L, Sun S, Zhao Y. Evaluation of gastric emptying by transabdominal ultrasound after oral administration of semisolid cellulose-based gastric ultrasound contrast agents.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2183-2188 [PMID: 30006214 DOI: 10.1016/j.ultrasmedbio.2018.04.019]</w:t>
      </w:r>
    </w:p>
    <w:p w14:paraId="0F4156BD" w14:textId="77777777" w:rsidR="00AB5DC4" w:rsidRDefault="00301B5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Tomida H</w:t>
      </w:r>
      <w:r>
        <w:rPr>
          <w:rFonts w:ascii="Book Antiqua" w:eastAsia="Book Antiqua" w:hAnsi="Book Antiqua" w:cs="Book Antiqua"/>
          <w:color w:val="000000"/>
        </w:rPr>
        <w:t xml:space="preserve">, Hayashi M, Hashimoto S. Massive hiatal hernia involving prolapse of the entire stomach and pancreas resulting in pancreatitis and bile duct dilatation: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11 [PMID: 31919679 DOI: 10.1186/s40792-020-0773-8]</w:t>
      </w:r>
    </w:p>
    <w:p w14:paraId="58A9414A" w14:textId="77777777" w:rsidR="00AB5DC4" w:rsidRDefault="00AB5DC4">
      <w:pPr>
        <w:spacing w:line="360" w:lineRule="auto"/>
        <w:jc w:val="both"/>
        <w:sectPr w:rsidR="00AB5DC4">
          <w:pgSz w:w="12240" w:h="15840"/>
          <w:pgMar w:top="1440" w:right="1440" w:bottom="1440" w:left="1440" w:header="720" w:footer="720" w:gutter="0"/>
          <w:cols w:space="720"/>
          <w:docGrid w:linePitch="360"/>
        </w:sectPr>
      </w:pPr>
    </w:p>
    <w:p w14:paraId="703A894C" w14:textId="77777777" w:rsidR="00AB5DC4" w:rsidRDefault="00301B55">
      <w:pPr>
        <w:spacing w:line="360" w:lineRule="auto"/>
        <w:jc w:val="both"/>
      </w:pPr>
      <w:r>
        <w:rPr>
          <w:rFonts w:ascii="Book Antiqua" w:eastAsia="Book Antiqua" w:hAnsi="Book Antiqua" w:cs="Book Antiqua"/>
          <w:b/>
          <w:color w:val="000000"/>
        </w:rPr>
        <w:lastRenderedPageBreak/>
        <w:t>Footnotes</w:t>
      </w:r>
    </w:p>
    <w:p w14:paraId="10B22B83" w14:textId="77777777" w:rsidR="00AB5DC4" w:rsidRDefault="00301B55">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All study participants provided informed written consent prior to study enrollment.</w:t>
      </w:r>
    </w:p>
    <w:p w14:paraId="1E3C00A8" w14:textId="77777777" w:rsidR="00AB5DC4" w:rsidRDefault="00AB5DC4">
      <w:pPr>
        <w:spacing w:line="360" w:lineRule="auto"/>
        <w:jc w:val="both"/>
      </w:pPr>
    </w:p>
    <w:p w14:paraId="7EF1EC1E" w14:textId="77777777" w:rsidR="00AB5DC4" w:rsidRDefault="00301B55">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that they have no financial relationships to disclose.</w:t>
      </w:r>
    </w:p>
    <w:p w14:paraId="21FC38DB" w14:textId="77777777" w:rsidR="00AB5DC4" w:rsidRDefault="00AB5DC4">
      <w:pPr>
        <w:spacing w:line="360" w:lineRule="auto"/>
        <w:jc w:val="both"/>
      </w:pPr>
    </w:p>
    <w:p w14:paraId="641DEA12" w14:textId="77777777" w:rsidR="00AB5DC4" w:rsidRDefault="00301B55">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AA99D70" w14:textId="77777777" w:rsidR="00AB5DC4" w:rsidRDefault="00AB5DC4">
      <w:pPr>
        <w:spacing w:line="360" w:lineRule="auto"/>
        <w:jc w:val="both"/>
      </w:pPr>
    </w:p>
    <w:p w14:paraId="0809B6EB" w14:textId="77777777" w:rsidR="00AB5DC4" w:rsidRDefault="00301B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BB180E" w14:textId="77777777" w:rsidR="00AB5DC4" w:rsidRDefault="00AB5DC4">
      <w:pPr>
        <w:spacing w:line="360" w:lineRule="auto"/>
        <w:jc w:val="both"/>
      </w:pPr>
    </w:p>
    <w:p w14:paraId="5F96C440" w14:textId="77777777" w:rsidR="00AB5DC4" w:rsidRDefault="00301B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5F3AC22" w14:textId="77777777" w:rsidR="00AB5DC4" w:rsidRDefault="00AB5DC4">
      <w:pPr>
        <w:spacing w:line="360" w:lineRule="auto"/>
        <w:jc w:val="both"/>
      </w:pPr>
    </w:p>
    <w:p w14:paraId="601F68DE" w14:textId="77777777" w:rsidR="00AB5DC4" w:rsidRDefault="00301B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16, 2020</w:t>
      </w:r>
    </w:p>
    <w:p w14:paraId="300708A8" w14:textId="77777777" w:rsidR="00AB5DC4" w:rsidRDefault="00301B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14:paraId="18E3E01D" w14:textId="77777777" w:rsidR="00AB5DC4" w:rsidRDefault="00301B55">
      <w:pPr>
        <w:spacing w:line="360" w:lineRule="auto"/>
        <w:jc w:val="both"/>
      </w:pPr>
      <w:r>
        <w:rPr>
          <w:rFonts w:ascii="Book Antiqua" w:eastAsia="Book Antiqua" w:hAnsi="Book Antiqua" w:cs="Book Antiqua"/>
          <w:b/>
          <w:color w:val="000000"/>
        </w:rPr>
        <w:t xml:space="preserve">Article in press: </w:t>
      </w:r>
      <w:r w:rsidR="00C04B8E">
        <w:rPr>
          <w:rFonts w:ascii="Book Antiqua" w:eastAsia="Book Antiqua" w:hAnsi="Book Antiqua" w:cs="Book Antiqua"/>
          <w:color w:val="000000"/>
        </w:rPr>
        <w:t>February 8, 2021</w:t>
      </w:r>
    </w:p>
    <w:p w14:paraId="79196C28" w14:textId="77777777" w:rsidR="00AB5DC4" w:rsidRDefault="00AB5DC4">
      <w:pPr>
        <w:spacing w:line="360" w:lineRule="auto"/>
        <w:jc w:val="both"/>
      </w:pPr>
    </w:p>
    <w:p w14:paraId="5F574080" w14:textId="77777777" w:rsidR="00AB5DC4" w:rsidRDefault="00301B55">
      <w:pPr>
        <w:spacing w:line="360" w:lineRule="auto"/>
        <w:jc w:val="both"/>
      </w:pPr>
      <w:r>
        <w:rPr>
          <w:rFonts w:ascii="Book Antiqua" w:eastAsia="Book Antiqua" w:hAnsi="Book Antiqua" w:cs="Book Antiqua"/>
          <w:b/>
          <w:color w:val="000000"/>
        </w:rPr>
        <w:t xml:space="preserve">Specialty type: </w:t>
      </w:r>
      <w:bookmarkStart w:id="3" w:name="OLE_LINK2066"/>
      <w:bookmarkStart w:id="4" w:name="OLE_LINK1953"/>
      <w:bookmarkStart w:id="5" w:name="OLE_LINK1952"/>
      <w:r>
        <w:rPr>
          <w:rFonts w:ascii="Book Antiqua" w:eastAsia="微软雅黑" w:hAnsi="Book Antiqua" w:cs="宋体"/>
        </w:rPr>
        <w:t>Medicine, research and experimental</w:t>
      </w:r>
      <w:bookmarkEnd w:id="3"/>
      <w:bookmarkEnd w:id="4"/>
      <w:bookmarkEnd w:id="5"/>
    </w:p>
    <w:p w14:paraId="31526603" w14:textId="77777777" w:rsidR="00AB5DC4" w:rsidRDefault="00301B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205011" w14:textId="77777777" w:rsidR="00AB5DC4" w:rsidRDefault="00301B55">
      <w:pPr>
        <w:spacing w:line="360" w:lineRule="auto"/>
        <w:jc w:val="both"/>
      </w:pPr>
      <w:r>
        <w:rPr>
          <w:rFonts w:ascii="Book Antiqua" w:eastAsia="Book Antiqua" w:hAnsi="Book Antiqua" w:cs="Book Antiqua"/>
          <w:b/>
          <w:color w:val="000000"/>
        </w:rPr>
        <w:t>Peer-review report’s scientific quality classification</w:t>
      </w:r>
    </w:p>
    <w:p w14:paraId="0FAC60E3" w14:textId="77777777" w:rsidR="00AB5DC4" w:rsidRDefault="00301B55">
      <w:pPr>
        <w:spacing w:line="360" w:lineRule="auto"/>
        <w:jc w:val="both"/>
      </w:pPr>
      <w:r>
        <w:rPr>
          <w:rFonts w:ascii="Book Antiqua" w:eastAsia="Book Antiqua" w:hAnsi="Book Antiqua" w:cs="Book Antiqua"/>
          <w:color w:val="000000"/>
        </w:rPr>
        <w:t>Grade A (Excellent): 0</w:t>
      </w:r>
    </w:p>
    <w:p w14:paraId="630DAD98" w14:textId="77777777" w:rsidR="00AB5DC4" w:rsidRDefault="00301B55">
      <w:pPr>
        <w:spacing w:line="360" w:lineRule="auto"/>
        <w:jc w:val="both"/>
      </w:pPr>
      <w:r>
        <w:rPr>
          <w:rFonts w:ascii="Book Antiqua" w:eastAsia="Book Antiqua" w:hAnsi="Book Antiqua" w:cs="Book Antiqua"/>
          <w:color w:val="000000"/>
        </w:rPr>
        <w:t>Grade B (Very good): B, B</w:t>
      </w:r>
    </w:p>
    <w:p w14:paraId="1EC984DA" w14:textId="77777777" w:rsidR="00AB5DC4" w:rsidRDefault="00301B55">
      <w:pPr>
        <w:spacing w:line="360" w:lineRule="auto"/>
        <w:jc w:val="both"/>
      </w:pPr>
      <w:r>
        <w:rPr>
          <w:rFonts w:ascii="Book Antiqua" w:eastAsia="Book Antiqua" w:hAnsi="Book Antiqua" w:cs="Book Antiqua"/>
          <w:color w:val="000000"/>
        </w:rPr>
        <w:lastRenderedPageBreak/>
        <w:t>Grade C (Good): C</w:t>
      </w:r>
    </w:p>
    <w:p w14:paraId="33FA5080" w14:textId="77777777" w:rsidR="00AB5DC4" w:rsidRDefault="00301B55">
      <w:pPr>
        <w:spacing w:line="360" w:lineRule="auto"/>
        <w:jc w:val="both"/>
      </w:pPr>
      <w:r>
        <w:rPr>
          <w:rFonts w:ascii="Book Antiqua" w:eastAsia="Book Antiqua" w:hAnsi="Book Antiqua" w:cs="Book Antiqua"/>
          <w:color w:val="000000"/>
        </w:rPr>
        <w:t>Grade D (Fair): 0</w:t>
      </w:r>
    </w:p>
    <w:p w14:paraId="24EF05E9" w14:textId="77777777" w:rsidR="00AB5DC4" w:rsidRDefault="00301B55">
      <w:pPr>
        <w:spacing w:line="360" w:lineRule="auto"/>
        <w:jc w:val="both"/>
      </w:pPr>
      <w:r>
        <w:rPr>
          <w:rFonts w:ascii="Book Antiqua" w:eastAsia="Book Antiqua" w:hAnsi="Book Antiqua" w:cs="Book Antiqua"/>
          <w:color w:val="000000"/>
        </w:rPr>
        <w:t>Grade E (Poor): 0</w:t>
      </w:r>
    </w:p>
    <w:p w14:paraId="00C27318" w14:textId="77777777" w:rsidR="00AB5DC4" w:rsidRDefault="00AB5DC4">
      <w:pPr>
        <w:spacing w:line="360" w:lineRule="auto"/>
        <w:jc w:val="both"/>
      </w:pPr>
    </w:p>
    <w:p w14:paraId="3EC62314" w14:textId="77777777" w:rsidR="00A32ED9" w:rsidRPr="00A32ED9" w:rsidRDefault="00301B5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Ferraioli G, Pantalone D</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1841C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A32ED9">
        <w:rPr>
          <w:rFonts w:ascii="Book Antiqua" w:hAnsi="Book Antiqua" w:cs="Book Antiqua" w:hint="eastAsia"/>
          <w:b/>
          <w:color w:val="000000"/>
          <w:lang w:eastAsia="zh-CN"/>
        </w:rPr>
        <w:t xml:space="preserve"> </w:t>
      </w:r>
      <w:r w:rsidR="00A32ED9" w:rsidRPr="00A32ED9">
        <w:rPr>
          <w:rFonts w:ascii="Book Antiqua" w:hAnsi="Book Antiqua" w:cs="Book Antiqua" w:hint="eastAsia"/>
          <w:color w:val="000000"/>
          <w:lang w:eastAsia="zh-CN"/>
        </w:rPr>
        <w:t>Liu JH</w:t>
      </w:r>
    </w:p>
    <w:p w14:paraId="523C9B6B" w14:textId="77777777" w:rsidR="00AB5DC4" w:rsidRDefault="00301B55">
      <w:pPr>
        <w:spacing w:line="360" w:lineRule="auto"/>
        <w:jc w:val="both"/>
        <w:sectPr w:rsidR="00AB5DC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A23456A" w14:textId="77777777" w:rsidR="00AB5DC4" w:rsidRDefault="00301B55">
      <w:pPr>
        <w:spacing w:line="360" w:lineRule="auto"/>
        <w:jc w:val="both"/>
      </w:pPr>
      <w:r>
        <w:rPr>
          <w:rFonts w:ascii="Book Antiqua" w:eastAsia="Book Antiqua" w:hAnsi="Book Antiqua" w:cs="Book Antiqua"/>
          <w:b/>
          <w:color w:val="000000"/>
        </w:rPr>
        <w:lastRenderedPageBreak/>
        <w:t>Figure Legends</w:t>
      </w:r>
    </w:p>
    <w:p w14:paraId="362AE2C7" w14:textId="77777777" w:rsidR="00AB5DC4" w:rsidRDefault="00301B55">
      <w:pPr>
        <w:spacing w:line="360" w:lineRule="auto"/>
        <w:jc w:val="both"/>
        <w:rPr>
          <w:rFonts w:ascii="Book Antiqua" w:eastAsia="Book Antiqua" w:hAnsi="Book Antiqua" w:cs="Book Antiqua"/>
          <w:b/>
          <w:bCs/>
          <w:color w:val="000000"/>
        </w:rPr>
      </w:pPr>
      <w:r>
        <w:rPr>
          <w:noProof/>
          <w:lang w:eastAsia="zh-CN"/>
        </w:rPr>
        <w:drawing>
          <wp:inline distT="0" distB="0" distL="0" distR="0" wp14:anchorId="1B3BFCB5" wp14:editId="675A5E07">
            <wp:extent cx="5943600" cy="1440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440180"/>
                    </a:xfrm>
                    <a:prstGeom prst="rect">
                      <a:avLst/>
                    </a:prstGeom>
                  </pic:spPr>
                </pic:pic>
              </a:graphicData>
            </a:graphic>
          </wp:inline>
        </w:drawing>
      </w:r>
    </w:p>
    <w:p w14:paraId="264ABC18" w14:textId="77777777" w:rsidR="00AB5DC4" w:rsidRDefault="00301B55">
      <w:pPr>
        <w:spacing w:line="360" w:lineRule="auto"/>
        <w:jc w:val="both"/>
      </w:pPr>
      <w:r>
        <w:rPr>
          <w:rFonts w:ascii="Book Antiqua" w:eastAsia="Book Antiqua" w:hAnsi="Book Antiqua" w:cs="Book Antiqua"/>
          <w:b/>
          <w:bCs/>
          <w:color w:val="000000"/>
        </w:rPr>
        <w:t>Figure 1 Optimization of the contrast agent mixture in normal volunteers.</w:t>
      </w:r>
      <w:r>
        <w:rPr>
          <w:rFonts w:ascii="Book Antiqua" w:eastAsia="Book Antiqua" w:hAnsi="Book Antiqua" w:cs="Book Antiqua"/>
          <w:color w:val="000000"/>
        </w:rPr>
        <w:t xml:space="preserve"> A: Gray-scale and contrast-enhanced ultrasound showed mild and insufficient enhancement of the upper gastrointestinal tract at the mixture ratio of 1 mL:500 mL; B: The 2.5 mL:500 mL ratio mixture produced homogenous moderate enhancement with good sound penetrability and margin delineation appearing within the esophagus and stomach. Arrows indicate the esophageal hiatus; C: The 5 mL:500 mL ratio mixture produced strong enhancement reflection with obvious far-field sound attenuation (triangle). ES: Esophagus; ST: Stomach.</w:t>
      </w:r>
    </w:p>
    <w:p w14:paraId="1C1EA95B" w14:textId="77777777"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0D62E2E" wp14:editId="03B642F4">
            <wp:extent cx="3618865" cy="37522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19048" cy="3752381"/>
                    </a:xfrm>
                    <a:prstGeom prst="rect">
                      <a:avLst/>
                    </a:prstGeom>
                  </pic:spPr>
                </pic:pic>
              </a:graphicData>
            </a:graphic>
          </wp:inline>
        </w:drawing>
      </w:r>
    </w:p>
    <w:p w14:paraId="5F53CA38" w14:textId="77777777" w:rsidR="00AB5DC4" w:rsidRDefault="00301B55">
      <w:pPr>
        <w:spacing w:line="360" w:lineRule="auto"/>
        <w:jc w:val="both"/>
      </w:pPr>
      <w:r>
        <w:rPr>
          <w:rFonts w:ascii="Book Antiqua" w:eastAsia="Book Antiqua" w:hAnsi="Book Antiqua" w:cs="Book Antiqua"/>
          <w:b/>
          <w:bCs/>
          <w:color w:val="000000"/>
        </w:rPr>
        <w:t>Figure 2 Measurement of the esophageal hiatus and the hernial sac.</w:t>
      </w:r>
      <w:r>
        <w:rPr>
          <w:rFonts w:ascii="Book Antiqua" w:eastAsia="Book Antiqua" w:hAnsi="Book Antiqua" w:cs="Book Antiqua"/>
          <w:color w:val="000000"/>
        </w:rPr>
        <w:t xml:space="preserve"> The schematic diagram shows the measurement of the esophageal hiatus with fine-head arrows and the hernial sac with solid-head arrows. HS: Hernial sac; ST: Stomach.</w:t>
      </w:r>
    </w:p>
    <w:p w14:paraId="2C81AF18" w14:textId="77777777"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02332C83" wp14:editId="003F54F7">
            <wp:extent cx="5943600" cy="3528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528695"/>
                    </a:xfrm>
                    <a:prstGeom prst="rect">
                      <a:avLst/>
                    </a:prstGeom>
                  </pic:spPr>
                </pic:pic>
              </a:graphicData>
            </a:graphic>
          </wp:inline>
        </w:drawing>
      </w:r>
    </w:p>
    <w:p w14:paraId="06270304" w14:textId="497CA5CA" w:rsidR="00AB5DC4" w:rsidRDefault="00301B55">
      <w:pPr>
        <w:spacing w:line="360" w:lineRule="auto"/>
        <w:jc w:val="both"/>
      </w:pPr>
      <w:r>
        <w:rPr>
          <w:rFonts w:ascii="Book Antiqua" w:eastAsia="Book Antiqua" w:hAnsi="Book Antiqua" w:cs="Book Antiqua"/>
          <w:b/>
          <w:bCs/>
          <w:color w:val="000000"/>
        </w:rPr>
        <w:t>Figure 3 A 63-year-old woman 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(arrows) and the supradiaphragmatic hernial sac (HS); B: Ultrasound image obtained with conventional oral contrast agent shows the HS; C: Gastroscopic front view showed the dentate line to be shifted upwards and separated from the gastroesophageal junction; D: In the reverse view, the cardia opening was shown to be loosened and the double ring sign was partially visible. HS: Hernial sac; LL: Left liver lobe; ST: Stomach.</w:t>
      </w:r>
    </w:p>
    <w:p w14:paraId="21AB5505" w14:textId="77777777" w:rsidR="00AB5DC4" w:rsidRDefault="00AB5DC4">
      <w:pPr>
        <w:spacing w:line="360" w:lineRule="auto"/>
        <w:jc w:val="both"/>
      </w:pPr>
    </w:p>
    <w:p w14:paraId="44E96CDE" w14:textId="77777777"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18AB4421" wp14:editId="7D615988">
            <wp:extent cx="5943600" cy="3922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922395"/>
                    </a:xfrm>
                    <a:prstGeom prst="rect">
                      <a:avLst/>
                    </a:prstGeom>
                  </pic:spPr>
                </pic:pic>
              </a:graphicData>
            </a:graphic>
          </wp:inline>
        </w:drawing>
      </w:r>
    </w:p>
    <w:p w14:paraId="4A026880" w14:textId="4DF10F8C" w:rsidR="00AB5DC4" w:rsidRDefault="00301B55">
      <w:pPr>
        <w:spacing w:line="360" w:lineRule="auto"/>
        <w:jc w:val="both"/>
      </w:pPr>
      <w:r>
        <w:rPr>
          <w:rFonts w:ascii="Book Antiqua" w:eastAsia="Book Antiqua" w:hAnsi="Book Antiqua" w:cs="Book Antiqua"/>
          <w:b/>
          <w:bCs/>
          <w:color w:val="000000"/>
        </w:rPr>
        <w:t>Figure 4 A 46-year-old man 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(arrows) and the supradiaphragmatic hernial sac (HS); B: Ultrasound image obtained with conventional oral contrast agent shows the HS; C: Gastroscopic front view showed the reflux esophagitis; D: In the reverse view, the cardia opening was shown to be loosened; E: High-resolution esophageal pressure measurement showed type II esophageal hiatal hernia. HS: Hernial sac; LL: Left liver lobe; ST: Stomach.</w:t>
      </w:r>
    </w:p>
    <w:p w14:paraId="596FC6E6" w14:textId="2EF3749F"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981077">
        <w:rPr>
          <w:noProof/>
          <w:lang w:eastAsia="zh-CN"/>
        </w:rPr>
        <w:lastRenderedPageBreak/>
        <w:drawing>
          <wp:inline distT="0" distB="0" distL="0" distR="0" wp14:anchorId="4CCDB1D5" wp14:editId="28DD5ECC">
            <wp:extent cx="5943600" cy="34467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46780"/>
                    </a:xfrm>
                    <a:prstGeom prst="rect">
                      <a:avLst/>
                    </a:prstGeom>
                  </pic:spPr>
                </pic:pic>
              </a:graphicData>
            </a:graphic>
          </wp:inline>
        </w:drawing>
      </w:r>
    </w:p>
    <w:p w14:paraId="302E3B93" w14:textId="77777777"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A 78-year-old woman 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(large arrows), the supradiaphragmatic hernial sac (HS), and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the “EG” ring) (small arrows); B: Ultrasound image obtained with conventional oral contrast agent showed the HS; C: Gastroscopic front view showed the dentate line to be shifted upwards and separated from the gastroesophageal junction; D: In the reverse view, the cardia opening was shown to be loosened and the double ring sign was partially visible; E: High-resolution esophageal pressure measurement showed type III esophageal hiatal hernia. HS: Hernial sac; ST: Stomach.</w:t>
      </w:r>
    </w:p>
    <w:p w14:paraId="78B03DF5" w14:textId="77777777" w:rsidR="00AB5DC4" w:rsidRDefault="00301B55">
      <w:pPr>
        <w:widowControl w:val="0"/>
        <w:tabs>
          <w:tab w:val="left" w:pos="312"/>
        </w:tabs>
        <w:snapToGrid w:val="0"/>
        <w:spacing w:line="360" w:lineRule="auto"/>
        <w:jc w:val="both"/>
        <w:rPr>
          <w:rFonts w:ascii="Book Antiqua" w:eastAsia="Book Antiqua" w:hAnsi="Book Antiqua"/>
          <w:b/>
          <w:color w:val="000000"/>
        </w:rPr>
      </w:pPr>
      <w:r>
        <w:rPr>
          <w:rFonts w:ascii="Book Antiqua" w:eastAsia="Book Antiqua" w:hAnsi="Book Antiqua" w:cs="Book Antiqua"/>
          <w:color w:val="000000"/>
        </w:rPr>
        <w:br w:type="page"/>
      </w:r>
      <w:r>
        <w:rPr>
          <w:rFonts w:ascii="Book Antiqua" w:eastAsia="Book Antiqua" w:hAnsi="Book Antiqua"/>
          <w:b/>
          <w:color w:val="000000"/>
        </w:rPr>
        <w:lastRenderedPageBreak/>
        <w:t>Table 1</w:t>
      </w:r>
      <w:r>
        <w:rPr>
          <w:rFonts w:ascii="Book Antiqua" w:hAnsi="Book Antiqua" w:cs="Book Antiqua"/>
          <w:b/>
        </w:rPr>
        <w:t xml:space="preserve"> Contrast ultrasound manifestations in three </w:t>
      </w:r>
      <w:r>
        <w:rPr>
          <w:rFonts w:ascii="Book Antiqua" w:hAnsi="Book Antiqua" w:cs="Book Antiqua"/>
          <w:b/>
          <w:bCs/>
        </w:rPr>
        <w:t>esophageal hiatal hernia</w:t>
      </w:r>
      <w:r>
        <w:rPr>
          <w:rFonts w:ascii="Book Antiqua" w:hAnsi="Book Antiqua" w:cs="Book Antiqua"/>
          <w:b/>
        </w:rPr>
        <w:t xml:space="preserve"> patients</w:t>
      </w:r>
    </w:p>
    <w:tbl>
      <w:tblPr>
        <w:tblW w:w="9242" w:type="dxa"/>
        <w:tblLayout w:type="fixed"/>
        <w:tblLook w:val="04A0" w:firstRow="1" w:lastRow="0" w:firstColumn="1" w:lastColumn="0" w:noHBand="0" w:noVBand="1"/>
      </w:tblPr>
      <w:tblGrid>
        <w:gridCol w:w="1002"/>
        <w:gridCol w:w="790"/>
        <w:gridCol w:w="1175"/>
        <w:gridCol w:w="1525"/>
        <w:gridCol w:w="1288"/>
        <w:gridCol w:w="2040"/>
        <w:gridCol w:w="1422"/>
      </w:tblGrid>
      <w:tr w:rsidR="00AB5DC4" w14:paraId="3DCE050E" w14:textId="77777777">
        <w:tc>
          <w:tcPr>
            <w:tcW w:w="1002" w:type="dxa"/>
            <w:tcBorders>
              <w:top w:val="single" w:sz="4" w:space="0" w:color="auto"/>
              <w:bottom w:val="single" w:sz="4" w:space="0" w:color="auto"/>
            </w:tcBorders>
          </w:tcPr>
          <w:p w14:paraId="1C45CBC1"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EHH patient</w:t>
            </w:r>
          </w:p>
        </w:tc>
        <w:tc>
          <w:tcPr>
            <w:tcW w:w="790" w:type="dxa"/>
            <w:tcBorders>
              <w:top w:val="single" w:sz="4" w:space="0" w:color="auto"/>
              <w:bottom w:val="single" w:sz="4" w:space="0" w:color="auto"/>
            </w:tcBorders>
          </w:tcPr>
          <w:p w14:paraId="3CA66662"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hint="eastAsia"/>
                <w:b/>
                <w:bCs/>
              </w:rPr>
              <w:t>BMI</w:t>
            </w:r>
          </w:p>
        </w:tc>
        <w:tc>
          <w:tcPr>
            <w:tcW w:w="1175" w:type="dxa"/>
            <w:tcBorders>
              <w:top w:val="single" w:sz="4" w:space="0" w:color="auto"/>
              <w:bottom w:val="single" w:sz="4" w:space="0" w:color="auto"/>
            </w:tcBorders>
          </w:tcPr>
          <w:p w14:paraId="56B28B14"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Size of hernia sac in cm</w:t>
            </w:r>
          </w:p>
        </w:tc>
        <w:tc>
          <w:tcPr>
            <w:tcW w:w="1525" w:type="dxa"/>
            <w:tcBorders>
              <w:top w:val="single" w:sz="4" w:space="0" w:color="auto"/>
              <w:bottom w:val="single" w:sz="4" w:space="0" w:color="auto"/>
            </w:tcBorders>
          </w:tcPr>
          <w:p w14:paraId="1A8E5110"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Diameter of widened hernia in cm</w:t>
            </w:r>
          </w:p>
        </w:tc>
        <w:tc>
          <w:tcPr>
            <w:tcW w:w="1288" w:type="dxa"/>
            <w:tcBorders>
              <w:top w:val="single" w:sz="4" w:space="0" w:color="auto"/>
              <w:bottom w:val="single" w:sz="4" w:space="0" w:color="auto"/>
            </w:tcBorders>
          </w:tcPr>
          <w:p w14:paraId="60C8A1A3"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Esophageal reflux seen</w:t>
            </w:r>
          </w:p>
        </w:tc>
        <w:tc>
          <w:tcPr>
            <w:tcW w:w="2040" w:type="dxa"/>
            <w:tcBorders>
              <w:top w:val="single" w:sz="4" w:space="0" w:color="auto"/>
              <w:bottom w:val="single" w:sz="4" w:space="0" w:color="auto"/>
            </w:tcBorders>
          </w:tcPr>
          <w:p w14:paraId="0BEDC75B"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Abdominal segment of esophagus moved upwards</w:t>
            </w:r>
          </w:p>
        </w:tc>
        <w:tc>
          <w:tcPr>
            <w:tcW w:w="1422" w:type="dxa"/>
            <w:tcBorders>
              <w:top w:val="single" w:sz="4" w:space="0" w:color="auto"/>
              <w:bottom w:val="single" w:sz="4" w:space="0" w:color="auto"/>
            </w:tcBorders>
          </w:tcPr>
          <w:p w14:paraId="3C059911" w14:textId="77777777" w:rsidR="00AB5DC4" w:rsidRDefault="00301B55">
            <w:pPr>
              <w:snapToGrid w:val="0"/>
              <w:spacing w:line="360" w:lineRule="auto"/>
              <w:jc w:val="both"/>
              <w:rPr>
                <w:rFonts w:ascii="Book Antiqua" w:hAnsi="Book Antiqua" w:cs="Book Antiqua"/>
                <w:b/>
                <w:bCs/>
              </w:rPr>
            </w:pPr>
            <w:r>
              <w:rPr>
                <w:rFonts w:ascii="Book Antiqua" w:hAnsi="Book Antiqua" w:cs="Book Antiqua"/>
                <w:b/>
                <w:bCs/>
              </w:rPr>
              <w:t>EG ring seen above the diaphragm</w:t>
            </w:r>
          </w:p>
        </w:tc>
      </w:tr>
      <w:tr w:rsidR="00AB5DC4" w14:paraId="19654ADA" w14:textId="77777777">
        <w:tc>
          <w:tcPr>
            <w:tcW w:w="1002" w:type="dxa"/>
            <w:tcBorders>
              <w:top w:val="single" w:sz="4" w:space="0" w:color="auto"/>
            </w:tcBorders>
          </w:tcPr>
          <w:p w14:paraId="23A4C8CC" w14:textId="77777777" w:rsidR="00AB5DC4" w:rsidRDefault="00301B55">
            <w:pPr>
              <w:snapToGrid w:val="0"/>
              <w:spacing w:line="360" w:lineRule="auto"/>
              <w:jc w:val="both"/>
              <w:rPr>
                <w:rFonts w:ascii="Book Antiqua" w:hAnsi="Book Antiqua" w:cs="Book Antiqua"/>
              </w:rPr>
            </w:pPr>
            <w:r>
              <w:rPr>
                <w:rFonts w:ascii="Book Antiqua" w:hAnsi="Book Antiqua" w:cs="Book Antiqua"/>
              </w:rPr>
              <w:t>Case 1</w:t>
            </w:r>
          </w:p>
        </w:tc>
        <w:tc>
          <w:tcPr>
            <w:tcW w:w="790" w:type="dxa"/>
            <w:tcBorders>
              <w:top w:val="single" w:sz="4" w:space="0" w:color="auto"/>
            </w:tcBorders>
          </w:tcPr>
          <w:p w14:paraId="03B8045E" w14:textId="77777777" w:rsidR="00AB5DC4" w:rsidRDefault="00301B55">
            <w:pPr>
              <w:snapToGrid w:val="0"/>
              <w:spacing w:line="360" w:lineRule="auto"/>
              <w:jc w:val="both"/>
              <w:rPr>
                <w:rFonts w:ascii="Book Antiqua" w:hAnsi="Book Antiqua" w:cs="Book Antiqua"/>
              </w:rPr>
            </w:pPr>
            <w:r>
              <w:rPr>
                <w:rFonts w:ascii="Book Antiqua" w:hAnsi="Book Antiqua" w:cs="Book Antiqua" w:hint="eastAsia"/>
              </w:rPr>
              <w:t>24</w:t>
            </w:r>
          </w:p>
        </w:tc>
        <w:tc>
          <w:tcPr>
            <w:tcW w:w="1175" w:type="dxa"/>
            <w:tcBorders>
              <w:top w:val="single" w:sz="4" w:space="0" w:color="auto"/>
            </w:tcBorders>
          </w:tcPr>
          <w:p w14:paraId="458C3DD9" w14:textId="77777777" w:rsidR="00AB5DC4" w:rsidRDefault="00301B55">
            <w:pPr>
              <w:snapToGrid w:val="0"/>
              <w:spacing w:line="360" w:lineRule="auto"/>
              <w:jc w:val="both"/>
              <w:rPr>
                <w:rFonts w:ascii="Book Antiqua" w:hAnsi="Book Antiqua" w:cs="Book Antiqua"/>
              </w:rPr>
            </w:pPr>
            <w:r>
              <w:rPr>
                <w:rFonts w:ascii="Book Antiqua" w:hAnsi="Book Antiqua" w:cs="Book Antiqua"/>
              </w:rPr>
              <w:t xml:space="preserve">2.5 × 2.4 </w:t>
            </w:r>
          </w:p>
        </w:tc>
        <w:tc>
          <w:tcPr>
            <w:tcW w:w="1525" w:type="dxa"/>
            <w:tcBorders>
              <w:top w:val="single" w:sz="4" w:space="0" w:color="auto"/>
            </w:tcBorders>
          </w:tcPr>
          <w:p w14:paraId="302D9469" w14:textId="77777777" w:rsidR="00AB5DC4" w:rsidRDefault="00301B55">
            <w:pPr>
              <w:snapToGrid w:val="0"/>
              <w:spacing w:line="360" w:lineRule="auto"/>
              <w:jc w:val="both"/>
              <w:rPr>
                <w:rFonts w:ascii="Book Antiqua" w:hAnsi="Book Antiqua" w:cs="Book Antiqua"/>
              </w:rPr>
            </w:pPr>
            <w:r>
              <w:rPr>
                <w:rFonts w:ascii="Book Antiqua" w:hAnsi="Book Antiqua" w:cs="Book Antiqua"/>
              </w:rPr>
              <w:t>2.30</w:t>
            </w:r>
          </w:p>
        </w:tc>
        <w:tc>
          <w:tcPr>
            <w:tcW w:w="1288" w:type="dxa"/>
            <w:tcBorders>
              <w:top w:val="single" w:sz="4" w:space="0" w:color="auto"/>
            </w:tcBorders>
          </w:tcPr>
          <w:p w14:paraId="5FA34D2B" w14:textId="77777777"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2040" w:type="dxa"/>
            <w:tcBorders>
              <w:top w:val="single" w:sz="4" w:space="0" w:color="auto"/>
            </w:tcBorders>
          </w:tcPr>
          <w:p w14:paraId="16D46056" w14:textId="77777777"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1422" w:type="dxa"/>
            <w:tcBorders>
              <w:top w:val="single" w:sz="4" w:space="0" w:color="auto"/>
            </w:tcBorders>
          </w:tcPr>
          <w:p w14:paraId="6C80846D" w14:textId="77777777"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r>
      <w:tr w:rsidR="00AB5DC4" w14:paraId="36E040BF" w14:textId="77777777">
        <w:tc>
          <w:tcPr>
            <w:tcW w:w="1002" w:type="dxa"/>
          </w:tcPr>
          <w:p w14:paraId="5DF54D68" w14:textId="77777777" w:rsidR="00AB5DC4" w:rsidRDefault="00301B55">
            <w:pPr>
              <w:snapToGrid w:val="0"/>
              <w:spacing w:line="360" w:lineRule="auto"/>
              <w:jc w:val="both"/>
              <w:rPr>
                <w:rFonts w:ascii="Book Antiqua" w:hAnsi="Book Antiqua" w:cs="Book Antiqua"/>
              </w:rPr>
            </w:pPr>
            <w:r>
              <w:rPr>
                <w:rFonts w:ascii="Book Antiqua" w:hAnsi="Book Antiqua" w:cs="Book Antiqua"/>
              </w:rPr>
              <w:t>Case 2</w:t>
            </w:r>
          </w:p>
        </w:tc>
        <w:tc>
          <w:tcPr>
            <w:tcW w:w="790" w:type="dxa"/>
          </w:tcPr>
          <w:p w14:paraId="26A7822C" w14:textId="77777777" w:rsidR="00AB5DC4" w:rsidRDefault="00301B55">
            <w:pPr>
              <w:snapToGrid w:val="0"/>
              <w:spacing w:line="360" w:lineRule="auto"/>
              <w:jc w:val="both"/>
              <w:rPr>
                <w:rFonts w:ascii="Book Antiqua" w:hAnsi="Book Antiqua" w:cs="Book Antiqua"/>
              </w:rPr>
            </w:pPr>
            <w:r>
              <w:rPr>
                <w:rFonts w:ascii="Book Antiqua" w:hAnsi="Book Antiqua" w:cs="Book Antiqua" w:hint="eastAsia"/>
              </w:rPr>
              <w:t>23</w:t>
            </w:r>
          </w:p>
        </w:tc>
        <w:tc>
          <w:tcPr>
            <w:tcW w:w="1175" w:type="dxa"/>
          </w:tcPr>
          <w:p w14:paraId="0339A156" w14:textId="77777777" w:rsidR="00AB5DC4" w:rsidRDefault="00301B55">
            <w:pPr>
              <w:snapToGrid w:val="0"/>
              <w:spacing w:line="360" w:lineRule="auto"/>
              <w:jc w:val="both"/>
              <w:rPr>
                <w:rFonts w:ascii="Book Antiqua" w:hAnsi="Book Antiqua" w:cs="Book Antiqua"/>
              </w:rPr>
            </w:pPr>
            <w:r>
              <w:rPr>
                <w:rFonts w:ascii="Book Antiqua" w:hAnsi="Book Antiqua" w:cs="Book Antiqua"/>
              </w:rPr>
              <w:t>3.9 × 4.0</w:t>
            </w:r>
          </w:p>
        </w:tc>
        <w:tc>
          <w:tcPr>
            <w:tcW w:w="1525" w:type="dxa"/>
          </w:tcPr>
          <w:p w14:paraId="54EF216E" w14:textId="77777777" w:rsidR="00AB5DC4" w:rsidRDefault="00301B55">
            <w:pPr>
              <w:snapToGrid w:val="0"/>
              <w:spacing w:line="360" w:lineRule="auto"/>
              <w:jc w:val="both"/>
              <w:rPr>
                <w:rFonts w:ascii="Book Antiqua" w:hAnsi="Book Antiqua" w:cs="Book Antiqua"/>
              </w:rPr>
            </w:pPr>
            <w:r>
              <w:rPr>
                <w:rFonts w:ascii="Book Antiqua" w:hAnsi="Book Antiqua" w:cs="Book Antiqua"/>
              </w:rPr>
              <w:t>2.47</w:t>
            </w:r>
          </w:p>
        </w:tc>
        <w:tc>
          <w:tcPr>
            <w:tcW w:w="1288" w:type="dxa"/>
          </w:tcPr>
          <w:p w14:paraId="74E253D9" w14:textId="77777777"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2040" w:type="dxa"/>
          </w:tcPr>
          <w:p w14:paraId="29B7A957" w14:textId="77777777"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1422" w:type="dxa"/>
          </w:tcPr>
          <w:p w14:paraId="05E82BAD" w14:textId="77777777"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r>
      <w:tr w:rsidR="00AB5DC4" w14:paraId="0E911A67" w14:textId="77777777">
        <w:tc>
          <w:tcPr>
            <w:tcW w:w="1002" w:type="dxa"/>
            <w:tcBorders>
              <w:bottom w:val="single" w:sz="4" w:space="0" w:color="auto"/>
            </w:tcBorders>
          </w:tcPr>
          <w:p w14:paraId="5420C25E" w14:textId="77777777" w:rsidR="00AB5DC4" w:rsidRDefault="00301B55">
            <w:pPr>
              <w:snapToGrid w:val="0"/>
              <w:spacing w:line="360" w:lineRule="auto"/>
              <w:jc w:val="both"/>
              <w:rPr>
                <w:rFonts w:ascii="Book Antiqua" w:hAnsi="Book Antiqua" w:cs="Book Antiqua"/>
              </w:rPr>
            </w:pPr>
            <w:r>
              <w:rPr>
                <w:rFonts w:ascii="Book Antiqua" w:hAnsi="Book Antiqua" w:cs="Book Antiqua"/>
              </w:rPr>
              <w:t>Case 3</w:t>
            </w:r>
          </w:p>
        </w:tc>
        <w:tc>
          <w:tcPr>
            <w:tcW w:w="790" w:type="dxa"/>
            <w:tcBorders>
              <w:bottom w:val="single" w:sz="4" w:space="0" w:color="auto"/>
            </w:tcBorders>
          </w:tcPr>
          <w:p w14:paraId="07CD67F8" w14:textId="77777777" w:rsidR="00AB5DC4" w:rsidRDefault="00301B55">
            <w:pPr>
              <w:snapToGrid w:val="0"/>
              <w:spacing w:line="360" w:lineRule="auto"/>
              <w:jc w:val="both"/>
              <w:rPr>
                <w:rFonts w:ascii="Book Antiqua" w:hAnsi="Book Antiqua" w:cs="Book Antiqua"/>
              </w:rPr>
            </w:pPr>
            <w:r>
              <w:rPr>
                <w:rFonts w:ascii="Book Antiqua" w:hAnsi="Book Antiqua" w:cs="Book Antiqua" w:hint="eastAsia"/>
              </w:rPr>
              <w:t>23</w:t>
            </w:r>
          </w:p>
        </w:tc>
        <w:tc>
          <w:tcPr>
            <w:tcW w:w="1175" w:type="dxa"/>
            <w:tcBorders>
              <w:bottom w:val="single" w:sz="4" w:space="0" w:color="auto"/>
            </w:tcBorders>
          </w:tcPr>
          <w:p w14:paraId="6E1A4412" w14:textId="77777777" w:rsidR="00AB5DC4" w:rsidRDefault="00301B55">
            <w:pPr>
              <w:snapToGrid w:val="0"/>
              <w:spacing w:line="360" w:lineRule="auto"/>
              <w:jc w:val="both"/>
              <w:rPr>
                <w:rFonts w:ascii="Book Antiqua" w:hAnsi="Book Antiqua" w:cs="Book Antiqua"/>
              </w:rPr>
            </w:pPr>
            <w:r>
              <w:rPr>
                <w:rFonts w:ascii="Book Antiqua" w:hAnsi="Book Antiqua" w:cs="Book Antiqua"/>
              </w:rPr>
              <w:t>6.9 × 4.8</w:t>
            </w:r>
          </w:p>
        </w:tc>
        <w:tc>
          <w:tcPr>
            <w:tcW w:w="1525" w:type="dxa"/>
            <w:tcBorders>
              <w:bottom w:val="single" w:sz="4" w:space="0" w:color="auto"/>
            </w:tcBorders>
          </w:tcPr>
          <w:p w14:paraId="00B2627A" w14:textId="77777777" w:rsidR="00AB5DC4" w:rsidRDefault="00301B55">
            <w:pPr>
              <w:snapToGrid w:val="0"/>
              <w:spacing w:line="360" w:lineRule="auto"/>
              <w:jc w:val="both"/>
              <w:rPr>
                <w:rFonts w:ascii="Book Antiqua" w:hAnsi="Book Antiqua" w:cs="Book Antiqua"/>
              </w:rPr>
            </w:pPr>
            <w:r>
              <w:rPr>
                <w:rFonts w:ascii="Book Antiqua" w:hAnsi="Book Antiqua" w:cs="Book Antiqua"/>
              </w:rPr>
              <w:t>2.53</w:t>
            </w:r>
          </w:p>
        </w:tc>
        <w:tc>
          <w:tcPr>
            <w:tcW w:w="1288" w:type="dxa"/>
            <w:tcBorders>
              <w:bottom w:val="single" w:sz="4" w:space="0" w:color="auto"/>
            </w:tcBorders>
          </w:tcPr>
          <w:p w14:paraId="56788037" w14:textId="77777777"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2040" w:type="dxa"/>
            <w:tcBorders>
              <w:bottom w:val="single" w:sz="4" w:space="0" w:color="auto"/>
            </w:tcBorders>
          </w:tcPr>
          <w:p w14:paraId="67DBAA07" w14:textId="77777777"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1422" w:type="dxa"/>
            <w:tcBorders>
              <w:bottom w:val="single" w:sz="4" w:space="0" w:color="auto"/>
            </w:tcBorders>
          </w:tcPr>
          <w:p w14:paraId="7116B0FF" w14:textId="77777777" w:rsidR="00AB5DC4" w:rsidRDefault="00301B55">
            <w:pPr>
              <w:snapToGrid w:val="0"/>
              <w:spacing w:line="360" w:lineRule="auto"/>
              <w:jc w:val="both"/>
              <w:rPr>
                <w:rFonts w:ascii="Book Antiqua" w:hAnsi="Book Antiqua" w:cs="Book Antiqua"/>
              </w:rPr>
            </w:pPr>
            <w:r>
              <w:rPr>
                <w:rFonts w:ascii="Book Antiqua" w:hAnsi="Book Antiqua" w:cs="Book Antiqua"/>
              </w:rPr>
              <w:t>+</w:t>
            </w:r>
          </w:p>
        </w:tc>
      </w:tr>
    </w:tbl>
    <w:p w14:paraId="5E309578" w14:textId="77777777" w:rsidR="00795F23" w:rsidRDefault="00301B55">
      <w:pPr>
        <w:jc w:val="both"/>
        <w:rPr>
          <w:rFonts w:ascii="Book Antiqua" w:eastAsia="Book Antiqua" w:hAnsi="Book Antiqua" w:cs="Book Antiqua"/>
          <w:color w:val="000000"/>
          <w:lang w:bidi="ar"/>
        </w:rPr>
        <w:sectPr w:rsidR="00795F23">
          <w:pgSz w:w="12240" w:h="15840"/>
          <w:pgMar w:top="1440" w:right="1440" w:bottom="1440" w:left="1440" w:header="720" w:footer="720" w:gutter="0"/>
          <w:cols w:space="720"/>
          <w:docGrid w:linePitch="360"/>
        </w:sectPr>
      </w:pPr>
      <w:r>
        <w:rPr>
          <w:rFonts w:ascii="Book Antiqua" w:hAnsi="Book Antiqua" w:cs="Book Antiqua" w:hint="eastAsia"/>
          <w:bCs/>
        </w:rPr>
        <w:t>BMI:</w:t>
      </w:r>
      <w:r>
        <w:rPr>
          <w:rFonts w:ascii="Book Antiqua" w:hAnsi="Book Antiqua" w:cs="Book Antiqua"/>
          <w:bCs/>
        </w:rPr>
        <w:t xml:space="preserve"> </w:t>
      </w:r>
      <w:r>
        <w:rPr>
          <w:rFonts w:ascii="Book Antiqua" w:eastAsia="Book Antiqua" w:hAnsi="Book Antiqua" w:cs="Book Antiqua"/>
          <w:color w:val="000000"/>
          <w:lang w:bidi="ar"/>
        </w:rPr>
        <w:t>Body</w:t>
      </w:r>
      <w:r>
        <w:rPr>
          <w:rFonts w:ascii="Book Antiqua" w:eastAsia="Book Antiqua" w:hAnsi="Book Antiqua" w:cs="Book Antiqua" w:hint="eastAsia"/>
          <w:color w:val="000000"/>
          <w:lang w:bidi="ar"/>
        </w:rPr>
        <w:t xml:space="preserve"> </w:t>
      </w:r>
      <w:r>
        <w:rPr>
          <w:rFonts w:ascii="Book Antiqua" w:eastAsia="Book Antiqua" w:hAnsi="Book Antiqua" w:cs="Book Antiqua"/>
          <w:color w:val="000000"/>
          <w:lang w:bidi="ar"/>
        </w:rPr>
        <w:t>mass index;</w:t>
      </w:r>
      <w:r>
        <w:rPr>
          <w:rFonts w:ascii="Book Antiqua" w:hAnsi="Book Antiqua" w:cs="Book Antiqua"/>
          <w:bCs/>
        </w:rPr>
        <w:t xml:space="preserve"> EG ring: Esophagus-gastric echo ring; EHH: Esophageal hiatal hernia</w:t>
      </w:r>
      <w:r>
        <w:rPr>
          <w:rFonts w:ascii="Book Antiqua" w:eastAsia="Book Antiqua" w:hAnsi="Book Antiqua" w:cs="Book Antiqua" w:hint="eastAsia"/>
          <w:color w:val="000000"/>
          <w:lang w:bidi="ar"/>
        </w:rPr>
        <w:t>.</w:t>
      </w:r>
    </w:p>
    <w:p w14:paraId="7AF957C1" w14:textId="77777777" w:rsidR="00795F23" w:rsidRDefault="00795F23" w:rsidP="00795F23">
      <w:pPr>
        <w:jc w:val="center"/>
        <w:rPr>
          <w:rFonts w:ascii="Book Antiqua" w:hAnsi="Book Antiqua"/>
          <w:lang w:eastAsia="zh-CN"/>
        </w:rPr>
      </w:pPr>
    </w:p>
    <w:p w14:paraId="4AA87D80" w14:textId="77777777" w:rsidR="00795F23" w:rsidRDefault="00795F23" w:rsidP="00795F23">
      <w:pPr>
        <w:jc w:val="center"/>
        <w:rPr>
          <w:rFonts w:ascii="Book Antiqua" w:hAnsi="Book Antiqua"/>
          <w:lang w:eastAsia="zh-CN"/>
        </w:rPr>
      </w:pPr>
    </w:p>
    <w:p w14:paraId="3CE3710A" w14:textId="77777777" w:rsidR="00795F23" w:rsidRDefault="00795F23" w:rsidP="00795F23">
      <w:pPr>
        <w:jc w:val="center"/>
        <w:rPr>
          <w:rFonts w:ascii="Book Antiqua" w:hAnsi="Book Antiqua"/>
          <w:lang w:eastAsia="zh-CN"/>
        </w:rPr>
      </w:pPr>
    </w:p>
    <w:p w14:paraId="7C7468CB" w14:textId="77777777" w:rsidR="00795F23" w:rsidRDefault="00795F23" w:rsidP="00795F23">
      <w:pPr>
        <w:jc w:val="center"/>
        <w:rPr>
          <w:rFonts w:ascii="Book Antiqua" w:hAnsi="Book Antiqua"/>
          <w:lang w:eastAsia="zh-CN"/>
        </w:rPr>
      </w:pPr>
    </w:p>
    <w:p w14:paraId="18E51D9F" w14:textId="77777777" w:rsidR="00795F23" w:rsidRDefault="00795F23" w:rsidP="00795F23">
      <w:pPr>
        <w:jc w:val="center"/>
        <w:rPr>
          <w:rFonts w:ascii="Book Antiqua" w:hAnsi="Book Antiqua"/>
          <w:lang w:eastAsia="zh-CN"/>
        </w:rPr>
      </w:pPr>
    </w:p>
    <w:p w14:paraId="28AE2991" w14:textId="05B38EBF" w:rsidR="00795F23" w:rsidRDefault="00795F23" w:rsidP="00795F23">
      <w:pPr>
        <w:jc w:val="center"/>
        <w:rPr>
          <w:rFonts w:ascii="Book Antiqua" w:hAnsi="Book Antiqua"/>
          <w:lang w:eastAsia="zh-CN"/>
        </w:rPr>
      </w:pPr>
      <w:r>
        <w:rPr>
          <w:rFonts w:ascii="Book Antiqua" w:hAnsi="Book Antiqua"/>
          <w:noProof/>
          <w:lang w:eastAsia="zh-CN"/>
        </w:rPr>
        <w:drawing>
          <wp:inline distT="0" distB="0" distL="0" distR="0" wp14:anchorId="0BB57FE8" wp14:editId="00317DCB">
            <wp:extent cx="2494280" cy="144081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3C7D5A1F" w14:textId="77777777" w:rsidR="00795F23" w:rsidRDefault="00795F23" w:rsidP="00795F23">
      <w:pPr>
        <w:jc w:val="center"/>
        <w:rPr>
          <w:rFonts w:ascii="Book Antiqua" w:hAnsi="Book Antiqua"/>
          <w:lang w:eastAsia="zh-CN"/>
        </w:rPr>
      </w:pPr>
    </w:p>
    <w:p w14:paraId="2FF724D0" w14:textId="77777777" w:rsidR="00795F23" w:rsidRDefault="00795F23" w:rsidP="00795F2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4C1954" w14:textId="77777777" w:rsidR="00795F23" w:rsidRDefault="00795F23" w:rsidP="00795F2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747637" w14:textId="77777777" w:rsidR="00795F23" w:rsidRDefault="00795F23" w:rsidP="00795F2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E81FDA" w14:textId="77777777" w:rsidR="00795F23" w:rsidRDefault="00795F23" w:rsidP="00795F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F1AE269" w14:textId="77777777" w:rsidR="00795F23" w:rsidRDefault="00795F23" w:rsidP="00795F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6CA57E" w14:textId="77777777" w:rsidR="00795F23" w:rsidRDefault="00795F23" w:rsidP="00795F2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415BA54" w14:textId="77777777" w:rsidR="00795F23" w:rsidRDefault="00795F23" w:rsidP="00795F23">
      <w:pPr>
        <w:jc w:val="center"/>
        <w:rPr>
          <w:rFonts w:ascii="Book Antiqua" w:hAnsi="Book Antiqua"/>
          <w:lang w:eastAsia="zh-CN"/>
        </w:rPr>
      </w:pPr>
    </w:p>
    <w:p w14:paraId="2099DD0B" w14:textId="77777777" w:rsidR="00795F23" w:rsidRDefault="00795F23" w:rsidP="00795F23">
      <w:pPr>
        <w:jc w:val="center"/>
        <w:rPr>
          <w:rFonts w:ascii="Book Antiqua" w:hAnsi="Book Antiqua"/>
          <w:lang w:eastAsia="zh-CN"/>
        </w:rPr>
      </w:pPr>
    </w:p>
    <w:p w14:paraId="49C1AF22" w14:textId="77777777" w:rsidR="00795F23" w:rsidRDefault="00795F23" w:rsidP="00795F23">
      <w:pPr>
        <w:jc w:val="center"/>
        <w:rPr>
          <w:rFonts w:ascii="Book Antiqua" w:hAnsi="Book Antiqua"/>
          <w:lang w:eastAsia="zh-CN"/>
        </w:rPr>
      </w:pPr>
    </w:p>
    <w:p w14:paraId="266897C6" w14:textId="441CECA6" w:rsidR="00795F23" w:rsidRDefault="00795F23" w:rsidP="00795F23">
      <w:pPr>
        <w:jc w:val="center"/>
        <w:rPr>
          <w:rFonts w:ascii="Book Antiqua" w:hAnsi="Book Antiqua"/>
          <w:lang w:eastAsia="zh-CN"/>
        </w:rPr>
      </w:pPr>
      <w:r>
        <w:rPr>
          <w:rFonts w:ascii="Book Antiqua" w:hAnsi="Book Antiqua"/>
          <w:noProof/>
          <w:lang w:eastAsia="zh-CN"/>
        </w:rPr>
        <w:drawing>
          <wp:inline distT="0" distB="0" distL="0" distR="0" wp14:anchorId="4CF8AC5D" wp14:editId="2F78B0A1">
            <wp:extent cx="1448435" cy="14408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5935A67" w14:textId="77777777" w:rsidR="00795F23" w:rsidRDefault="00795F23" w:rsidP="00795F23">
      <w:pPr>
        <w:jc w:val="center"/>
        <w:rPr>
          <w:rFonts w:ascii="Book Antiqua" w:hAnsi="Book Antiqua"/>
          <w:lang w:eastAsia="zh-CN"/>
        </w:rPr>
      </w:pPr>
    </w:p>
    <w:p w14:paraId="50FFE23B" w14:textId="77777777" w:rsidR="00795F23" w:rsidRDefault="00795F23" w:rsidP="00795F23">
      <w:pPr>
        <w:jc w:val="center"/>
        <w:rPr>
          <w:rFonts w:ascii="Book Antiqua" w:hAnsi="Book Antiqua"/>
          <w:lang w:eastAsia="zh-CN"/>
        </w:rPr>
      </w:pPr>
    </w:p>
    <w:p w14:paraId="0396CFD9" w14:textId="77777777" w:rsidR="00795F23" w:rsidRDefault="00795F23" w:rsidP="00795F23">
      <w:pPr>
        <w:jc w:val="center"/>
        <w:rPr>
          <w:rFonts w:ascii="Book Antiqua" w:hAnsi="Book Antiqua"/>
          <w:lang w:eastAsia="zh-CN"/>
        </w:rPr>
      </w:pPr>
    </w:p>
    <w:p w14:paraId="4BB06636" w14:textId="77777777" w:rsidR="00795F23" w:rsidRDefault="00795F23" w:rsidP="00795F23">
      <w:pPr>
        <w:jc w:val="center"/>
        <w:rPr>
          <w:rFonts w:ascii="Book Antiqua" w:hAnsi="Book Antiqua"/>
          <w:lang w:eastAsia="zh-CN"/>
        </w:rPr>
      </w:pPr>
    </w:p>
    <w:p w14:paraId="494E102A" w14:textId="77777777" w:rsidR="00795F23" w:rsidRDefault="00795F23" w:rsidP="00795F23">
      <w:pPr>
        <w:jc w:val="center"/>
        <w:rPr>
          <w:rFonts w:ascii="Book Antiqua" w:hAnsi="Book Antiqua"/>
          <w:lang w:eastAsia="zh-CN"/>
        </w:rPr>
      </w:pPr>
    </w:p>
    <w:p w14:paraId="52CF0056" w14:textId="77777777" w:rsidR="00795F23" w:rsidRDefault="00795F23" w:rsidP="00795F23">
      <w:pPr>
        <w:jc w:val="center"/>
        <w:rPr>
          <w:rFonts w:ascii="Book Antiqua" w:hAnsi="Book Antiqua"/>
          <w:lang w:eastAsia="zh-CN"/>
        </w:rPr>
      </w:pPr>
    </w:p>
    <w:p w14:paraId="6A4CBE5A" w14:textId="77777777" w:rsidR="00795F23" w:rsidRDefault="00795F23" w:rsidP="00795F23">
      <w:pPr>
        <w:jc w:val="center"/>
        <w:rPr>
          <w:rFonts w:ascii="Book Antiqua" w:hAnsi="Book Antiqua"/>
          <w:lang w:eastAsia="zh-CN"/>
        </w:rPr>
      </w:pPr>
    </w:p>
    <w:p w14:paraId="1D2F7E1B" w14:textId="77777777" w:rsidR="00795F23" w:rsidRDefault="00795F23" w:rsidP="00795F23">
      <w:pPr>
        <w:jc w:val="center"/>
        <w:rPr>
          <w:rFonts w:ascii="Book Antiqua" w:hAnsi="Book Antiqua"/>
          <w:lang w:eastAsia="zh-CN"/>
        </w:rPr>
      </w:pPr>
    </w:p>
    <w:p w14:paraId="42058B81" w14:textId="77777777" w:rsidR="00795F23" w:rsidRDefault="00795F23" w:rsidP="00795F23">
      <w:pPr>
        <w:jc w:val="center"/>
        <w:rPr>
          <w:rFonts w:ascii="Book Antiqua" w:hAnsi="Book Antiqua"/>
          <w:lang w:eastAsia="zh-CN"/>
        </w:rPr>
      </w:pPr>
    </w:p>
    <w:p w14:paraId="69C5A875" w14:textId="77777777" w:rsidR="00795F23" w:rsidRDefault="00795F23" w:rsidP="00795F23">
      <w:pPr>
        <w:jc w:val="right"/>
        <w:rPr>
          <w:rFonts w:ascii="Book Antiqua" w:hAnsi="Book Antiqua"/>
          <w:color w:val="000000" w:themeColor="text1"/>
          <w:lang w:eastAsia="zh-CN"/>
        </w:rPr>
      </w:pPr>
    </w:p>
    <w:p w14:paraId="5EDC6D1D" w14:textId="77777777" w:rsidR="00795F23" w:rsidRDefault="00795F23" w:rsidP="00795F2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FAEAD51" w14:textId="63C6D6F0" w:rsidR="00AB5DC4" w:rsidRDefault="00AB5DC4">
      <w:pPr>
        <w:jc w:val="both"/>
      </w:pPr>
    </w:p>
    <w:sectPr w:rsidR="00AB5D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BBA19" w14:textId="77777777" w:rsidR="00991869" w:rsidRDefault="00991869">
      <w:r>
        <w:separator/>
      </w:r>
    </w:p>
  </w:endnote>
  <w:endnote w:type="continuationSeparator" w:id="0">
    <w:p w14:paraId="5587E8D1" w14:textId="77777777" w:rsidR="00991869" w:rsidRDefault="0099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3DB6A" w14:textId="77777777" w:rsidR="00AB5DC4" w:rsidRDefault="00301B55">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62764" w:rsidRPr="00762764">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62764" w:rsidRPr="00762764">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p>
  <w:p w14:paraId="62F55ADB" w14:textId="77777777" w:rsidR="00AB5DC4" w:rsidRDefault="00AB5DC4">
    <w:pPr>
      <w:pStyle w:val="a3"/>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611D0" w14:textId="77777777" w:rsidR="00991869" w:rsidRDefault="00991869">
      <w:r>
        <w:separator/>
      </w:r>
    </w:p>
  </w:footnote>
  <w:footnote w:type="continuationSeparator" w:id="0">
    <w:p w14:paraId="5404A304" w14:textId="77777777" w:rsidR="00991869" w:rsidRDefault="00991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632A"/>
    <w:rsid w:val="000833C0"/>
    <w:rsid w:val="001841C8"/>
    <w:rsid w:val="001A0EB1"/>
    <w:rsid w:val="001A7FFD"/>
    <w:rsid w:val="001B617A"/>
    <w:rsid w:val="001F088C"/>
    <w:rsid w:val="00230D09"/>
    <w:rsid w:val="0024670C"/>
    <w:rsid w:val="00274A82"/>
    <w:rsid w:val="00275622"/>
    <w:rsid w:val="002C7199"/>
    <w:rsid w:val="00301B55"/>
    <w:rsid w:val="003464D5"/>
    <w:rsid w:val="00352C04"/>
    <w:rsid w:val="00355816"/>
    <w:rsid w:val="00387FC0"/>
    <w:rsid w:val="003A04ED"/>
    <w:rsid w:val="00404FC5"/>
    <w:rsid w:val="004314E7"/>
    <w:rsid w:val="004558EC"/>
    <w:rsid w:val="00492347"/>
    <w:rsid w:val="004B61AF"/>
    <w:rsid w:val="004C5E93"/>
    <w:rsid w:val="004E269A"/>
    <w:rsid w:val="00512352"/>
    <w:rsid w:val="005347AA"/>
    <w:rsid w:val="005477EC"/>
    <w:rsid w:val="005906D7"/>
    <w:rsid w:val="00593222"/>
    <w:rsid w:val="005A185A"/>
    <w:rsid w:val="005B2004"/>
    <w:rsid w:val="005B44CB"/>
    <w:rsid w:val="005B4CFE"/>
    <w:rsid w:val="005F6E7C"/>
    <w:rsid w:val="00684DA0"/>
    <w:rsid w:val="006C070A"/>
    <w:rsid w:val="006E0E8C"/>
    <w:rsid w:val="00731719"/>
    <w:rsid w:val="00735397"/>
    <w:rsid w:val="00762764"/>
    <w:rsid w:val="007631C1"/>
    <w:rsid w:val="0078388D"/>
    <w:rsid w:val="00785031"/>
    <w:rsid w:val="00795F23"/>
    <w:rsid w:val="00836D31"/>
    <w:rsid w:val="00846A9E"/>
    <w:rsid w:val="008770A3"/>
    <w:rsid w:val="008F5584"/>
    <w:rsid w:val="00901D4F"/>
    <w:rsid w:val="00923A1E"/>
    <w:rsid w:val="00937D1A"/>
    <w:rsid w:val="00960F13"/>
    <w:rsid w:val="00981077"/>
    <w:rsid w:val="00991869"/>
    <w:rsid w:val="009A101D"/>
    <w:rsid w:val="009C6C7A"/>
    <w:rsid w:val="009F52EF"/>
    <w:rsid w:val="00A32ED9"/>
    <w:rsid w:val="00A4148F"/>
    <w:rsid w:val="00A77B3E"/>
    <w:rsid w:val="00A83FE7"/>
    <w:rsid w:val="00A9795E"/>
    <w:rsid w:val="00AA6847"/>
    <w:rsid w:val="00AB5DC4"/>
    <w:rsid w:val="00AD784C"/>
    <w:rsid w:val="00AD7F79"/>
    <w:rsid w:val="00AE6E85"/>
    <w:rsid w:val="00B30C16"/>
    <w:rsid w:val="00BA24BF"/>
    <w:rsid w:val="00BB18C2"/>
    <w:rsid w:val="00BE4D97"/>
    <w:rsid w:val="00C04B8E"/>
    <w:rsid w:val="00C23E88"/>
    <w:rsid w:val="00C27B4B"/>
    <w:rsid w:val="00CA024F"/>
    <w:rsid w:val="00CA0896"/>
    <w:rsid w:val="00CA2A55"/>
    <w:rsid w:val="00CE7793"/>
    <w:rsid w:val="00D36B80"/>
    <w:rsid w:val="00D63154"/>
    <w:rsid w:val="00DB224E"/>
    <w:rsid w:val="00DD22AA"/>
    <w:rsid w:val="00E0205E"/>
    <w:rsid w:val="00E03A64"/>
    <w:rsid w:val="00E341E4"/>
    <w:rsid w:val="00E6761B"/>
    <w:rsid w:val="00E95A61"/>
    <w:rsid w:val="00EB1B9B"/>
    <w:rsid w:val="00EE6716"/>
    <w:rsid w:val="00F11C7F"/>
    <w:rsid w:val="00F136E2"/>
    <w:rsid w:val="00F54029"/>
    <w:rsid w:val="10EA61E8"/>
    <w:rsid w:val="1D8115A8"/>
    <w:rsid w:val="7FC96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C6BD"/>
  <w15:docId w15:val="{DD246C81-7A93-4C14-8EAA-B3202BCF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rsid w:val="001841C8"/>
    <w:rPr>
      <w:sz w:val="18"/>
      <w:szCs w:val="18"/>
    </w:rPr>
  </w:style>
  <w:style w:type="character" w:customStyle="1" w:styleId="a8">
    <w:name w:val="批注框文本 字符"/>
    <w:basedOn w:val="a0"/>
    <w:link w:val="a7"/>
    <w:rsid w:val="001841C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092806">
      <w:bodyDiv w:val="1"/>
      <w:marLeft w:val="0"/>
      <w:marRight w:val="0"/>
      <w:marTop w:val="0"/>
      <w:marBottom w:val="0"/>
      <w:divBdr>
        <w:top w:val="none" w:sz="0" w:space="0" w:color="auto"/>
        <w:left w:val="none" w:sz="0" w:space="0" w:color="auto"/>
        <w:bottom w:val="none" w:sz="0" w:space="0" w:color="auto"/>
        <w:right w:val="none" w:sz="0" w:space="0" w:color="auto"/>
      </w:divBdr>
    </w:div>
    <w:div w:id="185041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4756</Words>
  <Characters>27110</Characters>
  <Application>Microsoft Office Word</Application>
  <DocSecurity>0</DocSecurity>
  <Lines>225</Lines>
  <Paragraphs>63</Paragraphs>
  <ScaleCrop>false</ScaleCrop>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24</cp:revision>
  <dcterms:created xsi:type="dcterms:W3CDTF">2021-02-22T03:23:00Z</dcterms:created>
  <dcterms:modified xsi:type="dcterms:W3CDTF">2021-04-01T07:09:00Z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