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80540"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Name of Journal: </w:t>
      </w:r>
      <w:r w:rsidRPr="007949C3">
        <w:rPr>
          <w:rFonts w:ascii="Book Antiqua" w:eastAsia="Book Antiqua" w:hAnsi="Book Antiqua" w:cs="Book Antiqua"/>
          <w:i/>
          <w:color w:val="000000"/>
        </w:rPr>
        <w:t>World Journal of Clinical Cases</w:t>
      </w:r>
    </w:p>
    <w:p w14:paraId="138E5426"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Manuscript NO: </w:t>
      </w:r>
      <w:r w:rsidRPr="007949C3">
        <w:rPr>
          <w:rFonts w:ascii="Book Antiqua" w:eastAsia="Book Antiqua" w:hAnsi="Book Antiqua" w:cs="Book Antiqua"/>
          <w:color w:val="000000"/>
        </w:rPr>
        <w:t>62418</w:t>
      </w:r>
    </w:p>
    <w:p w14:paraId="563EFEDC"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Manuscript Type: </w:t>
      </w:r>
      <w:r w:rsidRPr="007949C3">
        <w:rPr>
          <w:rFonts w:ascii="Book Antiqua" w:eastAsia="Book Antiqua" w:hAnsi="Book Antiqua" w:cs="Book Antiqua"/>
          <w:color w:val="000000"/>
        </w:rPr>
        <w:t>CASE REPORT</w:t>
      </w:r>
    </w:p>
    <w:p w14:paraId="49C41B95" w14:textId="77777777" w:rsidR="00A77B3E" w:rsidRPr="007949C3" w:rsidRDefault="00A77B3E" w:rsidP="007949C3">
      <w:pPr>
        <w:adjustRightInd w:val="0"/>
        <w:snapToGrid w:val="0"/>
        <w:spacing w:line="360" w:lineRule="auto"/>
        <w:jc w:val="both"/>
        <w:rPr>
          <w:rFonts w:ascii="Book Antiqua" w:hAnsi="Book Antiqua"/>
        </w:rPr>
      </w:pPr>
    </w:p>
    <w:p w14:paraId="0362FEEC" w14:textId="244720FE"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Alopecia treatment using minimally manipulated human umbilical cord-derived mesenchymal stem cells: Three case reports</w:t>
      </w:r>
      <w:r w:rsidR="00906982" w:rsidRPr="00906982">
        <w:rPr>
          <w:rFonts w:ascii="Book Antiqua" w:eastAsia="Book Antiqua" w:hAnsi="Book Antiqua" w:cs="Book Antiqua"/>
          <w:b/>
          <w:bCs/>
          <w:color w:val="000000"/>
        </w:rPr>
        <w:t xml:space="preserve"> </w:t>
      </w:r>
      <w:r w:rsidR="00906982" w:rsidRPr="00906982">
        <w:rPr>
          <w:rFonts w:ascii="Book Antiqua" w:hAnsi="Book Antiqua" w:cs="Book Antiqua"/>
          <w:b/>
          <w:bCs/>
          <w:color w:val="000000"/>
          <w:lang w:eastAsia="zh-CN"/>
        </w:rPr>
        <w:t>and</w:t>
      </w:r>
      <w:r w:rsidR="00906982" w:rsidRPr="00906982">
        <w:rPr>
          <w:rFonts w:ascii="Book Antiqua" w:eastAsia="Book Antiqua" w:hAnsi="Book Antiqua" w:cs="Book Antiqua"/>
          <w:b/>
          <w:bCs/>
          <w:color w:val="000000"/>
        </w:rPr>
        <w:t xml:space="preserve"> </w:t>
      </w:r>
      <w:r w:rsidR="00906982">
        <w:rPr>
          <w:rFonts w:ascii="Book Antiqua" w:eastAsia="Book Antiqua" w:hAnsi="Book Antiqua" w:cs="Book Antiqua"/>
          <w:b/>
          <w:bCs/>
          <w:color w:val="000000"/>
        </w:rPr>
        <w:t>review of literature</w:t>
      </w:r>
    </w:p>
    <w:p w14:paraId="07DA4468" w14:textId="77777777" w:rsidR="00A77B3E" w:rsidRPr="007949C3" w:rsidRDefault="00A77B3E" w:rsidP="007949C3">
      <w:pPr>
        <w:adjustRightInd w:val="0"/>
        <w:snapToGrid w:val="0"/>
        <w:spacing w:line="360" w:lineRule="auto"/>
        <w:jc w:val="both"/>
        <w:rPr>
          <w:rFonts w:ascii="Book Antiqua" w:hAnsi="Book Antiqua"/>
        </w:rPr>
      </w:pPr>
    </w:p>
    <w:p w14:paraId="5B7F04C0"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Ahn H </w:t>
      </w:r>
      <w:r w:rsidRPr="007949C3">
        <w:rPr>
          <w:rFonts w:ascii="Book Antiqua" w:eastAsia="Book Antiqua" w:hAnsi="Book Antiqua" w:cs="Book Antiqua"/>
          <w:i/>
          <w:iCs/>
          <w:color w:val="000000"/>
        </w:rPr>
        <w:t>et al</w:t>
      </w:r>
      <w:r w:rsidRPr="007949C3">
        <w:rPr>
          <w:rFonts w:ascii="Book Antiqua" w:eastAsia="Book Antiqua" w:hAnsi="Book Antiqua" w:cs="Book Antiqua"/>
          <w:color w:val="000000"/>
        </w:rPr>
        <w:t>.</w:t>
      </w:r>
      <w:r w:rsidRPr="007949C3">
        <w:rPr>
          <w:rFonts w:ascii="Book Antiqua" w:eastAsia="Book Antiqua" w:hAnsi="Book Antiqua" w:cs="Book Antiqua"/>
          <w:color w:val="000000"/>
          <w:shd w:val="clear" w:color="auto" w:fill="FFFFFF"/>
        </w:rPr>
        <w:t xml:space="preserve"> Mesenchymal stem cell treatment of alopecia</w:t>
      </w:r>
    </w:p>
    <w:p w14:paraId="32E611B8" w14:textId="77777777" w:rsidR="00A77B3E" w:rsidRPr="007949C3" w:rsidRDefault="00A77B3E" w:rsidP="007949C3">
      <w:pPr>
        <w:adjustRightInd w:val="0"/>
        <w:snapToGrid w:val="0"/>
        <w:spacing w:line="360" w:lineRule="auto"/>
        <w:jc w:val="both"/>
        <w:rPr>
          <w:rFonts w:ascii="Book Antiqua" w:hAnsi="Book Antiqua"/>
        </w:rPr>
      </w:pPr>
    </w:p>
    <w:p w14:paraId="3F427CC3"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Hyunjun Ahn, Sang Yeon Lee, Won Ju Jung, Kye-Ho Lee</w:t>
      </w:r>
    </w:p>
    <w:p w14:paraId="74B9122A" w14:textId="77777777" w:rsidR="00A77B3E" w:rsidRPr="007949C3" w:rsidRDefault="00A77B3E" w:rsidP="007949C3">
      <w:pPr>
        <w:adjustRightInd w:val="0"/>
        <w:snapToGrid w:val="0"/>
        <w:spacing w:line="360" w:lineRule="auto"/>
        <w:jc w:val="both"/>
        <w:rPr>
          <w:rFonts w:ascii="Book Antiqua" w:hAnsi="Book Antiqua"/>
        </w:rPr>
      </w:pPr>
    </w:p>
    <w:p w14:paraId="7AFAC07A" w14:textId="2235C496"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Hyunjun Ahn, Sang Yeon Lee, Kye-Ho Lee, </w:t>
      </w:r>
      <w:r w:rsidRPr="007949C3">
        <w:rPr>
          <w:rFonts w:ascii="Book Antiqua" w:eastAsia="Book Antiqua" w:hAnsi="Book Antiqua" w:cs="Book Antiqua"/>
          <w:color w:val="000000"/>
        </w:rPr>
        <w:t>bio Beauty&amp;Health Company (bBHC) - Stem Cell Treatment &amp; Research Institute (STRI), Seoul 04420, South Korea</w:t>
      </w:r>
    </w:p>
    <w:p w14:paraId="00B705D4" w14:textId="77777777" w:rsidR="00A77B3E" w:rsidRPr="007949C3" w:rsidRDefault="00A77B3E" w:rsidP="007949C3">
      <w:pPr>
        <w:adjustRightInd w:val="0"/>
        <w:snapToGrid w:val="0"/>
        <w:spacing w:line="360" w:lineRule="auto"/>
        <w:jc w:val="both"/>
        <w:rPr>
          <w:rFonts w:ascii="Book Antiqua" w:hAnsi="Book Antiqua"/>
        </w:rPr>
      </w:pPr>
    </w:p>
    <w:p w14:paraId="08675316"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Hyunjun Ahn, </w:t>
      </w:r>
      <w:r w:rsidRPr="007949C3">
        <w:rPr>
          <w:rFonts w:ascii="Book Antiqua" w:eastAsia="Book Antiqua" w:hAnsi="Book Antiqua" w:cs="Book Antiqua"/>
          <w:color w:val="000000"/>
        </w:rPr>
        <w:t>Department of Functional Genomics, University of Science and Technology KRIBB School, Deajeon 34113, South Korea</w:t>
      </w:r>
    </w:p>
    <w:p w14:paraId="7EEB27E4" w14:textId="77777777" w:rsidR="00A77B3E" w:rsidRPr="007949C3" w:rsidRDefault="00A77B3E" w:rsidP="007949C3">
      <w:pPr>
        <w:adjustRightInd w:val="0"/>
        <w:snapToGrid w:val="0"/>
        <w:spacing w:line="360" w:lineRule="auto"/>
        <w:jc w:val="both"/>
        <w:rPr>
          <w:rFonts w:ascii="Book Antiqua" w:hAnsi="Book Antiqua"/>
        </w:rPr>
      </w:pPr>
    </w:p>
    <w:p w14:paraId="1E664450" w14:textId="03C370CF"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Won Ju Jung, </w:t>
      </w:r>
      <w:r w:rsidRPr="007949C3">
        <w:rPr>
          <w:rFonts w:ascii="Book Antiqua" w:eastAsia="Book Antiqua" w:hAnsi="Book Antiqua" w:cs="Book Antiqua"/>
          <w:color w:val="000000"/>
        </w:rPr>
        <w:t>97.7 Beauty&amp;Health (B&amp;H) Clinics, Seoul 04420, South Korea</w:t>
      </w:r>
    </w:p>
    <w:p w14:paraId="54577146" w14:textId="77777777" w:rsidR="00A77B3E" w:rsidRPr="007949C3" w:rsidRDefault="00A77B3E" w:rsidP="007949C3">
      <w:pPr>
        <w:adjustRightInd w:val="0"/>
        <w:snapToGrid w:val="0"/>
        <w:spacing w:line="360" w:lineRule="auto"/>
        <w:jc w:val="both"/>
        <w:rPr>
          <w:rFonts w:ascii="Book Antiqua" w:hAnsi="Book Antiqua"/>
        </w:rPr>
      </w:pPr>
    </w:p>
    <w:p w14:paraId="39A17DD2" w14:textId="62B666A4"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Author contributions: </w:t>
      </w:r>
      <w:r w:rsidRPr="007949C3">
        <w:rPr>
          <w:rFonts w:ascii="Book Antiqua" w:eastAsia="Book Antiqua" w:hAnsi="Book Antiqua" w:cs="Book Antiqua"/>
          <w:color w:val="000000"/>
        </w:rPr>
        <w:t xml:space="preserve">Ahn H, Lee SY, Jung WJ, and Lee KH designed the reports; Ahn H and Jung WJ collected the patients’ clinical data; Ahn H, Lee SY, and Jung WJ analyzed the data; Ahn H wrote the manuscript; Lee KH provided professional advice and revised the manuscript; </w:t>
      </w:r>
      <w:r w:rsidR="000858BD">
        <w:rPr>
          <w:rFonts w:ascii="Book Antiqua" w:eastAsia="Book Antiqua" w:hAnsi="Book Antiqua" w:cs="Book Antiqua"/>
          <w:color w:val="000000"/>
        </w:rPr>
        <w:t>a</w:t>
      </w:r>
      <w:r w:rsidRPr="007949C3">
        <w:rPr>
          <w:rFonts w:ascii="Book Antiqua" w:eastAsia="Book Antiqua" w:hAnsi="Book Antiqua" w:cs="Book Antiqua"/>
          <w:color w:val="000000"/>
        </w:rPr>
        <w:t>ll authors issued final approval for the version to be submitted.</w:t>
      </w:r>
    </w:p>
    <w:p w14:paraId="0364B0A4" w14:textId="77777777" w:rsidR="00A77B3E" w:rsidRPr="007949C3" w:rsidRDefault="00A77B3E" w:rsidP="007949C3">
      <w:pPr>
        <w:adjustRightInd w:val="0"/>
        <w:snapToGrid w:val="0"/>
        <w:spacing w:line="360" w:lineRule="auto"/>
        <w:jc w:val="both"/>
        <w:rPr>
          <w:rFonts w:ascii="Book Antiqua" w:hAnsi="Book Antiqua"/>
        </w:rPr>
      </w:pPr>
    </w:p>
    <w:p w14:paraId="48D944C4" w14:textId="60E38BB6"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Corresponding author: Kye-Ho Lee, PhD, </w:t>
      </w:r>
      <w:r w:rsidRPr="007949C3">
        <w:rPr>
          <w:rFonts w:ascii="Book Antiqua" w:eastAsia="Book Antiqua" w:hAnsi="Book Antiqua" w:cs="Book Antiqua"/>
          <w:color w:val="000000"/>
        </w:rPr>
        <w:t>bio</w:t>
      </w:r>
      <w:r w:rsidR="007961A8">
        <w:rPr>
          <w:rFonts w:ascii="Book Antiqua" w:eastAsia="Book Antiqua" w:hAnsi="Book Antiqua" w:cs="Book Antiqua"/>
          <w:color w:val="000000"/>
        </w:rPr>
        <w:t xml:space="preserve"> </w:t>
      </w:r>
      <w:r w:rsidRPr="007949C3">
        <w:rPr>
          <w:rFonts w:ascii="Book Antiqua" w:eastAsia="Book Antiqua" w:hAnsi="Book Antiqua" w:cs="Book Antiqua"/>
          <w:color w:val="000000"/>
        </w:rPr>
        <w:t>Beauty&amp;Health Company (bBHC) - Stem Cell Treatment &amp; Research Institute (STRI),</w:t>
      </w:r>
      <w:r w:rsidR="008E40A8" w:rsidRPr="007949C3">
        <w:rPr>
          <w:rFonts w:ascii="Book Antiqua" w:eastAsia="Book Antiqua" w:hAnsi="Book Antiqua" w:cs="Book Antiqua"/>
          <w:color w:val="000000"/>
        </w:rPr>
        <w:t xml:space="preserve"> </w:t>
      </w:r>
      <w:r w:rsidRPr="007949C3">
        <w:rPr>
          <w:rFonts w:ascii="Book Antiqua" w:eastAsia="Book Antiqua" w:hAnsi="Book Antiqua" w:cs="Book Antiqua"/>
          <w:color w:val="000000"/>
        </w:rPr>
        <w:t>72 UN village-gil Yongsan-gu, Seoul 04420, South Korea. sylee@stc365.com</w:t>
      </w:r>
    </w:p>
    <w:p w14:paraId="522FEE17" w14:textId="77777777" w:rsidR="00A77B3E" w:rsidRPr="007949C3" w:rsidRDefault="00A77B3E" w:rsidP="007949C3">
      <w:pPr>
        <w:adjustRightInd w:val="0"/>
        <w:snapToGrid w:val="0"/>
        <w:spacing w:line="360" w:lineRule="auto"/>
        <w:jc w:val="both"/>
        <w:rPr>
          <w:rFonts w:ascii="Book Antiqua" w:hAnsi="Book Antiqua"/>
        </w:rPr>
      </w:pPr>
    </w:p>
    <w:p w14:paraId="13CDCEDC"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lastRenderedPageBreak/>
        <w:t xml:space="preserve">Received: </w:t>
      </w:r>
      <w:r w:rsidRPr="007949C3">
        <w:rPr>
          <w:rFonts w:ascii="Book Antiqua" w:eastAsia="Book Antiqua" w:hAnsi="Book Antiqua" w:cs="Book Antiqua"/>
          <w:color w:val="000000"/>
        </w:rPr>
        <w:t>January 8, 2021</w:t>
      </w:r>
    </w:p>
    <w:p w14:paraId="598593F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Revised: </w:t>
      </w:r>
      <w:r w:rsidRPr="007949C3">
        <w:rPr>
          <w:rFonts w:ascii="Book Antiqua" w:eastAsia="Book Antiqua" w:hAnsi="Book Antiqua" w:cs="Book Antiqua"/>
          <w:color w:val="000000"/>
        </w:rPr>
        <w:t>February 24, 2021</w:t>
      </w:r>
    </w:p>
    <w:p w14:paraId="748AD7A7" w14:textId="2FEB87AD"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Accepted: </w:t>
      </w:r>
      <w:r w:rsidR="007961A8" w:rsidRPr="007961A8">
        <w:rPr>
          <w:rFonts w:ascii="Book Antiqua" w:eastAsia="Book Antiqua" w:hAnsi="Book Antiqua" w:cs="Book Antiqua"/>
          <w:color w:val="000000"/>
        </w:rPr>
        <w:t>March 25, 2021</w:t>
      </w:r>
    </w:p>
    <w:p w14:paraId="0D8008D9" w14:textId="397C5336"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Published online: </w:t>
      </w:r>
      <w:r w:rsidR="00AD0BCC" w:rsidRPr="00AD0BCC">
        <w:rPr>
          <w:rFonts w:ascii="Book Antiqua" w:eastAsia="Book Antiqua" w:hAnsi="Book Antiqua" w:cs="Book Antiqua"/>
          <w:bCs/>
          <w:color w:val="000000"/>
        </w:rPr>
        <w:t>May 26, 2021</w:t>
      </w:r>
    </w:p>
    <w:p w14:paraId="03E024F5" w14:textId="77777777" w:rsidR="00A77B3E" w:rsidRPr="007949C3" w:rsidRDefault="00A77B3E" w:rsidP="007949C3">
      <w:pPr>
        <w:adjustRightInd w:val="0"/>
        <w:snapToGrid w:val="0"/>
        <w:spacing w:line="360" w:lineRule="auto"/>
        <w:jc w:val="both"/>
        <w:rPr>
          <w:rFonts w:ascii="Book Antiqua" w:hAnsi="Book Antiqua"/>
        </w:rPr>
        <w:sectPr w:rsidR="00A77B3E" w:rsidRPr="007949C3">
          <w:footerReference w:type="default" r:id="rId7"/>
          <w:pgSz w:w="12240" w:h="15840"/>
          <w:pgMar w:top="1440" w:right="1440" w:bottom="1440" w:left="1440" w:header="720" w:footer="720" w:gutter="0"/>
          <w:cols w:space="720"/>
          <w:docGrid w:linePitch="360"/>
        </w:sectPr>
      </w:pPr>
    </w:p>
    <w:p w14:paraId="48F6805A"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Abstract</w:t>
      </w:r>
    </w:p>
    <w:p w14:paraId="33A6E320"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BACKGROUND</w:t>
      </w:r>
    </w:p>
    <w:p w14:paraId="246401B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Alopecia areata (AA) is a common autoimmune disease characterized by hair loss. AA appears in extensive forms, such as progressive and diffusing hair loss (diffuse AA), a total loss of scalp hair (alopecia totalis), and complete loss of hair over the entire body (alopecia universalis). Recently, mesenchymal stem cells (MSCs) have been identified as a therapeutic alternative for autoimmune diseases. For this reason, preclinical and case studies of AA and related diseases using MSCs have been conducted.</w:t>
      </w:r>
    </w:p>
    <w:p w14:paraId="2BA2A113" w14:textId="77777777" w:rsidR="00A77B3E" w:rsidRPr="007949C3" w:rsidRDefault="00A77B3E" w:rsidP="007949C3">
      <w:pPr>
        <w:adjustRightInd w:val="0"/>
        <w:snapToGrid w:val="0"/>
        <w:spacing w:line="360" w:lineRule="auto"/>
        <w:jc w:val="both"/>
        <w:rPr>
          <w:rFonts w:ascii="Book Antiqua" w:hAnsi="Book Antiqua"/>
        </w:rPr>
      </w:pPr>
    </w:p>
    <w:p w14:paraId="190A1658"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CASE SUMMARY</w:t>
      </w:r>
    </w:p>
    <w:p w14:paraId="5893169E" w14:textId="05B016B9"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Case 1: A 55-year-old woman suffered from AA in two areas of the scalp. She was given 15 rounds of minimally manipulated umbilical cord</w:t>
      </w:r>
      <w:r w:rsidR="008C7AE1">
        <w:rPr>
          <w:rFonts w:ascii="Book Antiqua" w:eastAsia="Book Antiqua" w:hAnsi="Book Antiqua" w:cs="Book Antiqua"/>
          <w:color w:val="000000"/>
        </w:rPr>
        <w:t>-</w:t>
      </w:r>
      <w:r w:rsidRPr="007949C3">
        <w:rPr>
          <w:rFonts w:ascii="Book Antiqua" w:eastAsia="Book Antiqua" w:hAnsi="Book Antiqua" w:cs="Book Antiqua"/>
          <w:color w:val="000000"/>
        </w:rPr>
        <w:t xml:space="preserve">MSCs </w:t>
      </w:r>
      <w:r w:rsidR="008C7AE1">
        <w:rPr>
          <w:rFonts w:ascii="Book Antiqua" w:eastAsia="Book Antiqua" w:hAnsi="Book Antiqua" w:cs="Book Antiqua"/>
          <w:color w:val="000000"/>
        </w:rPr>
        <w:t>(</w:t>
      </w:r>
      <w:r w:rsidR="008C7AE1" w:rsidRPr="007949C3">
        <w:rPr>
          <w:rFonts w:ascii="Book Antiqua" w:eastAsia="Book Antiqua" w:hAnsi="Book Antiqua" w:cs="Book Antiqua"/>
          <w:color w:val="000000"/>
        </w:rPr>
        <w:t>MM-UC-MSCs</w:t>
      </w:r>
      <w:r w:rsidR="008C7AE1">
        <w:rPr>
          <w:rFonts w:ascii="Book Antiqua" w:eastAsia="Book Antiqua" w:hAnsi="Book Antiqua" w:cs="Book Antiqua"/>
          <w:color w:val="000000"/>
        </w:rPr>
        <w:t xml:space="preserve">) </w:t>
      </w:r>
      <w:r w:rsidRPr="007949C3">
        <w:rPr>
          <w:rFonts w:ascii="Book Antiqua" w:eastAsia="Book Antiqua" w:hAnsi="Book Antiqua" w:cs="Book Antiqua"/>
          <w:color w:val="000000"/>
        </w:rPr>
        <w:t>over 6 mo. The AA gradually improved 3 mo after the first round. The patient was cured, and AA did not recur.</w:t>
      </w:r>
      <w:r w:rsidR="008C7AE1">
        <w:rPr>
          <w:rFonts w:ascii="Book Antiqua" w:hAnsi="Book Antiqua" w:hint="eastAsia"/>
          <w:lang w:eastAsia="zh-CN"/>
        </w:rPr>
        <w:t xml:space="preserve"> </w:t>
      </w:r>
      <w:r w:rsidRPr="007949C3">
        <w:rPr>
          <w:rFonts w:ascii="Book Antiqua" w:eastAsia="Book Antiqua" w:hAnsi="Book Antiqua" w:cs="Book Antiqua"/>
          <w:color w:val="000000"/>
        </w:rPr>
        <w:t>Case 2: A 30-year-old woman, with history of local steroid hormone injections, suffered from AA in one area on the scalp. She was given two rounds of MM-UC-MSCs over 1 mo. The AA immediately improved after the first round. The patient was cured, and AA did not recur.</w:t>
      </w:r>
      <w:r w:rsidR="008C7AE1">
        <w:rPr>
          <w:rFonts w:ascii="Book Antiqua" w:hAnsi="Book Antiqua" w:hint="eastAsia"/>
          <w:lang w:eastAsia="zh-CN"/>
        </w:rPr>
        <w:t xml:space="preserve"> </w:t>
      </w:r>
      <w:r w:rsidRPr="007949C3">
        <w:rPr>
          <w:rFonts w:ascii="Book Antiqua" w:eastAsia="Book Antiqua" w:hAnsi="Book Antiqua" w:cs="Book Antiqua"/>
          <w:color w:val="000000"/>
        </w:rPr>
        <w:t>Case 3: A 20-year-old woman, who was diagnosed with alopecia universalis at the age of 12, was given 14 rounds of MM-UC-MSCs over 12 mo. Her hair began to grow about 3 mo after the first round. The patient was cured, and alopecia universalis did not recur.</w:t>
      </w:r>
    </w:p>
    <w:p w14:paraId="1DD79D71" w14:textId="77777777" w:rsidR="00A77B3E" w:rsidRPr="007949C3" w:rsidRDefault="00A77B3E" w:rsidP="007949C3">
      <w:pPr>
        <w:adjustRightInd w:val="0"/>
        <w:snapToGrid w:val="0"/>
        <w:spacing w:line="360" w:lineRule="auto"/>
        <w:jc w:val="both"/>
        <w:rPr>
          <w:rFonts w:ascii="Book Antiqua" w:hAnsi="Book Antiqua"/>
        </w:rPr>
      </w:pPr>
    </w:p>
    <w:p w14:paraId="73BFBD0F"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CONCLUSION</w:t>
      </w:r>
    </w:p>
    <w:p w14:paraId="1DC4CD74"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MM-UC-MSC transplantation potentially treats patients who suffer from AA and related diseases.</w:t>
      </w:r>
    </w:p>
    <w:p w14:paraId="220AAF4A" w14:textId="77777777" w:rsidR="00A77B3E" w:rsidRPr="007949C3" w:rsidRDefault="00A77B3E" w:rsidP="007949C3">
      <w:pPr>
        <w:adjustRightInd w:val="0"/>
        <w:snapToGrid w:val="0"/>
        <w:spacing w:line="360" w:lineRule="auto"/>
        <w:jc w:val="both"/>
        <w:rPr>
          <w:rFonts w:ascii="Book Antiqua" w:hAnsi="Book Antiqua"/>
        </w:rPr>
      </w:pPr>
    </w:p>
    <w:p w14:paraId="0EF35CB0"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Key Words: </w:t>
      </w:r>
      <w:r w:rsidRPr="007949C3">
        <w:rPr>
          <w:rFonts w:ascii="Book Antiqua" w:eastAsia="Book Antiqua" w:hAnsi="Book Antiqua" w:cs="Book Antiqua"/>
          <w:color w:val="000000"/>
        </w:rPr>
        <w:t>Alopecia areata; Umbilical cord-derived mesenchymal stem cells; Allogenic; Cell therapy; Minimal manipulation; Case report</w:t>
      </w:r>
    </w:p>
    <w:p w14:paraId="022A0A0C" w14:textId="77777777" w:rsidR="002F3BD4" w:rsidRDefault="002F3BD4" w:rsidP="002F3BD4">
      <w:pPr>
        <w:spacing w:line="360" w:lineRule="auto"/>
        <w:jc w:val="both"/>
        <w:rPr>
          <w:lang w:eastAsia="zh-CN"/>
        </w:rPr>
      </w:pPr>
    </w:p>
    <w:p w14:paraId="21D03099" w14:textId="77777777" w:rsidR="002F3BD4" w:rsidRPr="00026CB8" w:rsidRDefault="002F3BD4" w:rsidP="002F3BD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9378542" w14:textId="77777777" w:rsidR="00A77B3E" w:rsidRPr="007949C3" w:rsidRDefault="00A77B3E" w:rsidP="007949C3">
      <w:pPr>
        <w:adjustRightInd w:val="0"/>
        <w:snapToGrid w:val="0"/>
        <w:spacing w:line="360" w:lineRule="auto"/>
        <w:jc w:val="both"/>
        <w:rPr>
          <w:rFonts w:ascii="Book Antiqua" w:hAnsi="Book Antiqua"/>
        </w:rPr>
      </w:pPr>
    </w:p>
    <w:p w14:paraId="76DB8DB0" w14:textId="2E0D561E" w:rsidR="00916333" w:rsidRDefault="00916333" w:rsidP="007949C3">
      <w:pPr>
        <w:adjustRightInd w:val="0"/>
        <w:snapToGrid w:val="0"/>
        <w:spacing w:line="360" w:lineRule="auto"/>
        <w:jc w:val="both"/>
        <w:rPr>
          <w:rFonts w:ascii="Book Antiqua" w:hAnsi="Book Antiqua" w:cs="Book Antiqua" w:hint="eastAsia"/>
          <w:color w:val="000000"/>
          <w:lang w:eastAsia="zh-CN"/>
        </w:rPr>
      </w:pPr>
      <w:bookmarkStart w:id="0" w:name="OLE_LINK1"/>
      <w:bookmarkStart w:id="1" w:name="OLE_LINK2"/>
      <w:r w:rsidRPr="00916333">
        <w:rPr>
          <w:rFonts w:ascii="Book Antiqua" w:hAnsi="Book Antiqua" w:cs="Book Antiqua" w:hint="eastAsia"/>
          <w:b/>
          <w:color w:val="000000"/>
          <w:lang w:eastAsia="zh-CN"/>
        </w:rPr>
        <w:t xml:space="preserve">Citation: </w:t>
      </w:r>
      <w:r w:rsidR="005D3F12" w:rsidRPr="007949C3">
        <w:rPr>
          <w:rFonts w:ascii="Book Antiqua" w:eastAsia="Book Antiqua" w:hAnsi="Book Antiqua" w:cs="Book Antiqua"/>
          <w:color w:val="000000"/>
        </w:rPr>
        <w:t>Ahn H, Lee SY, Jung WJ, Lee KH. Alopecia treatment using minimally manipulated human umbilical cord-derived mesenchymal stem cells: Three case reports</w:t>
      </w:r>
      <w:r w:rsidR="008C7AE1">
        <w:rPr>
          <w:rFonts w:ascii="Book Antiqua" w:eastAsia="Book Antiqua" w:hAnsi="Book Antiqua" w:cs="Book Antiqua"/>
          <w:color w:val="000000"/>
        </w:rPr>
        <w:t xml:space="preserve"> and review of literature</w:t>
      </w:r>
      <w:r w:rsidR="005D3F12" w:rsidRPr="007949C3">
        <w:rPr>
          <w:rFonts w:ascii="Book Antiqua" w:eastAsia="Book Antiqua" w:hAnsi="Book Antiqua" w:cs="Book Antiqua"/>
          <w:color w:val="000000"/>
        </w:rPr>
        <w:t xml:space="preserve">. </w:t>
      </w:r>
      <w:r w:rsidR="005D3F12" w:rsidRPr="007949C3">
        <w:rPr>
          <w:rFonts w:ascii="Book Antiqua" w:eastAsia="Book Antiqua" w:hAnsi="Book Antiqua" w:cs="Book Antiqua"/>
          <w:i/>
          <w:iCs/>
          <w:color w:val="000000"/>
        </w:rPr>
        <w:t>World J Clin Cases</w:t>
      </w:r>
      <w:r w:rsidR="005D3F12" w:rsidRPr="007949C3">
        <w:rPr>
          <w:rFonts w:ascii="Book Antiqua" w:eastAsia="Book Antiqua" w:hAnsi="Book Antiqua" w:cs="Book Antiqua"/>
          <w:color w:val="000000"/>
        </w:rPr>
        <w:t xml:space="preserve"> 2021;</w:t>
      </w:r>
      <w:r w:rsidR="00AD0BCC" w:rsidRPr="00AD0BCC">
        <w:rPr>
          <w:rFonts w:ascii="Book Antiqua" w:eastAsia="Book Antiqua" w:hAnsi="Book Antiqua" w:cs="Book Antiqua"/>
          <w:color w:val="000000"/>
        </w:rPr>
        <w:t xml:space="preserve"> 9(15): </w:t>
      </w:r>
      <w:r w:rsidR="00E40362" w:rsidRPr="00E40362">
        <w:rPr>
          <w:rFonts w:ascii="Book Antiqua" w:eastAsia="Book Antiqua" w:hAnsi="Book Antiqua" w:cs="Book Antiqua"/>
          <w:color w:val="000000"/>
        </w:rPr>
        <w:t>3741-3751</w:t>
      </w:r>
      <w:r w:rsidR="00AD0BCC" w:rsidRPr="00AD0BCC">
        <w:rPr>
          <w:rFonts w:ascii="Book Antiqua" w:eastAsia="Book Antiqua" w:hAnsi="Book Antiqua" w:cs="Book Antiqua"/>
          <w:color w:val="000000"/>
        </w:rPr>
        <w:t xml:space="preserve">  </w:t>
      </w:r>
    </w:p>
    <w:p w14:paraId="6A7A2A16" w14:textId="77777777" w:rsidR="00916333" w:rsidRDefault="00AD0BCC" w:rsidP="007949C3">
      <w:pPr>
        <w:adjustRightInd w:val="0"/>
        <w:snapToGrid w:val="0"/>
        <w:spacing w:line="360" w:lineRule="auto"/>
        <w:jc w:val="both"/>
        <w:rPr>
          <w:rFonts w:ascii="Book Antiqua" w:hAnsi="Book Antiqua" w:cs="Book Antiqua" w:hint="eastAsia"/>
          <w:color w:val="000000"/>
          <w:lang w:eastAsia="zh-CN"/>
        </w:rPr>
      </w:pPr>
      <w:r w:rsidRPr="00916333">
        <w:rPr>
          <w:rFonts w:ascii="Book Antiqua" w:eastAsia="Book Antiqua" w:hAnsi="Book Antiqua" w:cs="Book Antiqua"/>
          <w:b/>
          <w:color w:val="000000"/>
        </w:rPr>
        <w:t>URL:</w:t>
      </w:r>
      <w:r w:rsidRPr="00AD0BCC">
        <w:rPr>
          <w:rFonts w:ascii="Book Antiqua" w:eastAsia="Book Antiqua" w:hAnsi="Book Antiqua" w:cs="Book Antiqua"/>
          <w:color w:val="000000"/>
        </w:rPr>
        <w:t xml:space="preserve"> https://www.wjgnet.com/2307-8960/full/v9/i15/</w:t>
      </w:r>
      <w:r w:rsidR="00E40362" w:rsidRPr="00E40362">
        <w:rPr>
          <w:rFonts w:ascii="Book Antiqua" w:eastAsia="Book Antiqua" w:hAnsi="Book Antiqua" w:cs="Book Antiqua"/>
          <w:color w:val="000000"/>
        </w:rPr>
        <w:t>3741</w:t>
      </w:r>
      <w:r w:rsidRPr="00AD0BCC">
        <w:rPr>
          <w:rFonts w:ascii="Book Antiqua" w:eastAsia="Book Antiqua" w:hAnsi="Book Antiqua" w:cs="Book Antiqua"/>
          <w:color w:val="000000"/>
        </w:rPr>
        <w:t xml:space="preserve">.htm  </w:t>
      </w:r>
    </w:p>
    <w:p w14:paraId="52000D17" w14:textId="6BAD7398" w:rsidR="00A77B3E" w:rsidRPr="007949C3" w:rsidRDefault="00AD0BCC" w:rsidP="007949C3">
      <w:pPr>
        <w:adjustRightInd w:val="0"/>
        <w:snapToGrid w:val="0"/>
        <w:spacing w:line="360" w:lineRule="auto"/>
        <w:jc w:val="both"/>
        <w:rPr>
          <w:rFonts w:ascii="Book Antiqua" w:hAnsi="Book Antiqua"/>
        </w:rPr>
      </w:pPr>
      <w:r w:rsidRPr="00916333">
        <w:rPr>
          <w:rFonts w:ascii="Book Antiqua" w:eastAsia="Book Antiqua" w:hAnsi="Book Antiqua" w:cs="Book Antiqua"/>
          <w:b/>
          <w:color w:val="000000"/>
        </w:rPr>
        <w:t xml:space="preserve">DOI: </w:t>
      </w:r>
      <w:r w:rsidRPr="00AD0BCC">
        <w:rPr>
          <w:rFonts w:ascii="Book Antiqua" w:eastAsia="Book Antiqua" w:hAnsi="Book Antiqua" w:cs="Book Antiqua"/>
          <w:color w:val="000000"/>
        </w:rPr>
        <w:t>https://dx.doi.org/10.12998/wjcc.v9.i15.</w:t>
      </w:r>
      <w:r w:rsidR="00E40362" w:rsidRPr="00E40362">
        <w:rPr>
          <w:rFonts w:ascii="Book Antiqua" w:eastAsia="Book Antiqua" w:hAnsi="Book Antiqua" w:cs="Book Antiqua"/>
          <w:color w:val="000000"/>
        </w:rPr>
        <w:t>3741</w:t>
      </w:r>
    </w:p>
    <w:bookmarkEnd w:id="0"/>
    <w:bookmarkEnd w:id="1"/>
    <w:p w14:paraId="67031C92" w14:textId="77777777" w:rsidR="00A77B3E" w:rsidRPr="007949C3" w:rsidRDefault="00A77B3E" w:rsidP="007949C3">
      <w:pPr>
        <w:adjustRightInd w:val="0"/>
        <w:snapToGrid w:val="0"/>
        <w:spacing w:line="360" w:lineRule="auto"/>
        <w:jc w:val="both"/>
        <w:rPr>
          <w:rFonts w:ascii="Book Antiqua" w:hAnsi="Book Antiqua"/>
        </w:rPr>
      </w:pPr>
    </w:p>
    <w:p w14:paraId="7D6BF87C"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Core Tip: </w:t>
      </w:r>
      <w:r w:rsidRPr="007949C3">
        <w:rPr>
          <w:rFonts w:ascii="Book Antiqua" w:eastAsia="Book Antiqua" w:hAnsi="Book Antiqua" w:cs="Book Antiqua"/>
          <w:color w:val="000000"/>
        </w:rPr>
        <w:t>Previous studies demonstrated that transplantation of mesenchymal stem cells (MSCs) was effective in treating autoimmune diseases. Alopecia areata (AA) and its related diseases are a representative autoimmune disease. In this case study, we used allogenic, minimally manipulated umbilical cord MSCs for the successful treatment of AA and alopecia universalis. This is the first report of using minimally manipulated umbilical cord MSCs to treat AA and related diseases.</w:t>
      </w:r>
    </w:p>
    <w:p w14:paraId="052C1E52" w14:textId="77777777" w:rsidR="008C7AE1" w:rsidRDefault="008C7AE1" w:rsidP="007949C3">
      <w:pPr>
        <w:adjustRightInd w:val="0"/>
        <w:snapToGrid w:val="0"/>
        <w:spacing w:line="360" w:lineRule="auto"/>
        <w:jc w:val="both"/>
        <w:rPr>
          <w:rFonts w:ascii="Book Antiqua" w:hAnsi="Book Antiqua"/>
        </w:rPr>
        <w:sectPr w:rsidR="008C7AE1">
          <w:pgSz w:w="12240" w:h="15840"/>
          <w:pgMar w:top="1440" w:right="1440" w:bottom="1440" w:left="1440" w:header="720" w:footer="720" w:gutter="0"/>
          <w:cols w:space="720"/>
          <w:docGrid w:linePitch="360"/>
        </w:sectPr>
      </w:pPr>
    </w:p>
    <w:p w14:paraId="5A8324EA"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aps/>
          <w:color w:val="000000"/>
          <w:u w:val="single"/>
        </w:rPr>
        <w:t>INTRODUCTION</w:t>
      </w:r>
    </w:p>
    <w:p w14:paraId="742C0583" w14:textId="77777777" w:rsidR="00A77B3E" w:rsidRPr="008C7AE1" w:rsidRDefault="005D3F12" w:rsidP="007949C3">
      <w:pPr>
        <w:adjustRightInd w:val="0"/>
        <w:snapToGrid w:val="0"/>
        <w:spacing w:line="360" w:lineRule="auto"/>
        <w:jc w:val="both"/>
        <w:rPr>
          <w:rFonts w:ascii="Book Antiqua" w:hAnsi="Book Antiqua"/>
        </w:rPr>
      </w:pPr>
      <w:r w:rsidRPr="008C7AE1">
        <w:rPr>
          <w:rFonts w:ascii="Book Antiqua" w:eastAsia="Book Antiqua" w:hAnsi="Book Antiqua" w:cs="Book Antiqua"/>
          <w:color w:val="000000"/>
        </w:rPr>
        <w:t>Alopecia areata (AA) is an autoimmune disease characterized by varying degrees of hair loss in individuals. It affects more than 6.5 million people in the United States, has a worldwide prevalence of 0.1%-0.2%, and a lifetime risk of 2% in the general population</w:t>
      </w:r>
      <w:r w:rsidRPr="008C7AE1">
        <w:rPr>
          <w:rFonts w:ascii="Book Antiqua" w:eastAsia="Book Antiqua" w:hAnsi="Book Antiqua" w:cs="Book Antiqua"/>
          <w:color w:val="000000"/>
          <w:vertAlign w:val="superscript"/>
        </w:rPr>
        <w:t>[</w:t>
      </w:r>
      <w:hyperlink w:anchor="_ENREF_1" w:tooltip="Walker, 1950 #1" w:history="1">
        <w:r w:rsidRPr="008C7AE1">
          <w:rPr>
            <w:rFonts w:ascii="Book Antiqua" w:eastAsia="Book Antiqua" w:hAnsi="Book Antiqua" w:cs="Book Antiqua"/>
            <w:color w:val="000000"/>
            <w:vertAlign w:val="superscript"/>
          </w:rPr>
          <w:t>1-5</w:t>
        </w:r>
      </w:hyperlink>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There are three major forms of AA progression: Diffused loss of hair in well-defined patches (diffuse AA), total loss of hair from the scalp (alopecia totalis, AT), and complete loss of body hair (alopecia universalis, AU)</w:t>
      </w:r>
      <w:r w:rsidRPr="008C7AE1">
        <w:rPr>
          <w:rFonts w:ascii="Book Antiqua" w:eastAsia="Book Antiqua" w:hAnsi="Book Antiqua" w:cs="Book Antiqua"/>
          <w:color w:val="000000"/>
          <w:vertAlign w:val="superscript"/>
        </w:rPr>
        <w:t>[</w:t>
      </w:r>
      <w:hyperlink w:anchor="_ENREF_5" w:tooltip="Pratt, 2017 #5" w:history="1">
        <w:r w:rsidRPr="008C7AE1">
          <w:rPr>
            <w:rFonts w:ascii="Book Antiqua" w:eastAsia="Book Antiqua" w:hAnsi="Book Antiqua" w:cs="Book Antiqua"/>
            <w:color w:val="000000"/>
            <w:vertAlign w:val="superscript"/>
          </w:rPr>
          <w:t>5-7</w:t>
        </w:r>
      </w:hyperlink>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Patients with AA suffer from extensive hair loss that can have a devastating impact on their quality of life</w:t>
      </w:r>
      <w:r w:rsidRPr="008C7AE1">
        <w:rPr>
          <w:rFonts w:ascii="Book Antiqua" w:eastAsia="Book Antiqua" w:hAnsi="Book Antiqua" w:cs="Book Antiqua"/>
          <w:color w:val="000000"/>
          <w:vertAlign w:val="superscript"/>
        </w:rPr>
        <w:t>[</w:t>
      </w:r>
      <w:hyperlink w:anchor="_ENREF_8" w:tooltip="Fabbrocini, 2013 #7" w:history="1">
        <w:r w:rsidRPr="008C7AE1">
          <w:rPr>
            <w:rFonts w:ascii="Book Antiqua" w:eastAsia="Book Antiqua" w:hAnsi="Book Antiqua" w:cs="Book Antiqua"/>
            <w:color w:val="000000"/>
            <w:vertAlign w:val="superscript"/>
          </w:rPr>
          <w:t>8</w:t>
        </w:r>
      </w:hyperlink>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Nonetheless, the treatment options for AA are limited, with a poor prognosis. Therapy for hair loss includes the use of glucocorticoids, minoxidil-based drugs, or hair transplantation, all of which present varying side effects</w:t>
      </w:r>
      <w:r w:rsidRPr="008C7AE1">
        <w:rPr>
          <w:rFonts w:ascii="Book Antiqua" w:eastAsia="Book Antiqua" w:hAnsi="Book Antiqua" w:cs="Book Antiqua"/>
          <w:color w:val="000000"/>
          <w:vertAlign w:val="superscript"/>
        </w:rPr>
        <w:t>[</w:t>
      </w:r>
      <w:hyperlink w:anchor="_ENREF_5" w:tooltip="Pratt, 2017 #5" w:history="1">
        <w:r w:rsidRPr="008C7AE1">
          <w:rPr>
            <w:rFonts w:ascii="Book Antiqua" w:eastAsia="Book Antiqua" w:hAnsi="Book Antiqua" w:cs="Book Antiqua"/>
            <w:color w:val="000000"/>
            <w:vertAlign w:val="superscript"/>
          </w:rPr>
          <w:t>5-7</w:t>
        </w:r>
      </w:hyperlink>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Therefore, these options are not usually recommended for patients with diffuse AA, AT, or AU.</w:t>
      </w:r>
    </w:p>
    <w:p w14:paraId="57DC70FE" w14:textId="77777777" w:rsidR="00A77B3E" w:rsidRPr="008C7AE1" w:rsidRDefault="005D3F12" w:rsidP="007949C3">
      <w:pPr>
        <w:adjustRightInd w:val="0"/>
        <w:snapToGrid w:val="0"/>
        <w:spacing w:line="360" w:lineRule="auto"/>
        <w:ind w:firstLine="800"/>
        <w:jc w:val="both"/>
        <w:rPr>
          <w:rFonts w:ascii="Book Antiqua" w:hAnsi="Book Antiqua"/>
        </w:rPr>
      </w:pPr>
      <w:r w:rsidRPr="008C7AE1">
        <w:rPr>
          <w:rFonts w:ascii="Book Antiqua" w:eastAsia="Book Antiqua" w:hAnsi="Book Antiqua" w:cs="Book Antiqua"/>
          <w:color w:val="000000"/>
        </w:rPr>
        <w:t>Advances in the understanding of AA have led to the development of new treatments. Janus kinase inhibitors as a treatment for AA have been studied since their efficacy for AA in mice was confirmed in 2014</w:t>
      </w:r>
      <w:r w:rsidRPr="008C7AE1">
        <w:rPr>
          <w:rFonts w:ascii="Book Antiqua" w:eastAsia="Book Antiqua" w:hAnsi="Book Antiqua" w:cs="Book Antiqua"/>
          <w:color w:val="000000"/>
          <w:vertAlign w:val="superscript"/>
        </w:rPr>
        <w:t>[</w:t>
      </w:r>
      <w:hyperlink w:anchor="_ENREF_9" w:tooltip="Xing, 2014 #17" w:history="1">
        <w:r w:rsidRPr="008C7AE1">
          <w:rPr>
            <w:rFonts w:ascii="Book Antiqua" w:eastAsia="Book Antiqua" w:hAnsi="Book Antiqua" w:cs="Book Antiqua"/>
            <w:color w:val="000000"/>
            <w:vertAlign w:val="superscript"/>
          </w:rPr>
          <w:t>9-13</w:t>
        </w:r>
      </w:hyperlink>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Platelet-rich plasma therapies have varied efficacy in the treatment of AA</w:t>
      </w:r>
      <w:r w:rsidRPr="008C7AE1">
        <w:rPr>
          <w:rFonts w:ascii="Book Antiqua" w:eastAsia="Book Antiqua" w:hAnsi="Book Antiqua" w:cs="Book Antiqua"/>
          <w:color w:val="000000"/>
          <w:vertAlign w:val="superscript"/>
        </w:rPr>
        <w:t>[</w:t>
      </w:r>
      <w:hyperlink w:anchor="_ENREF_13" w:tooltip="Barbulescu, 2020 #24" w:history="1">
        <w:r w:rsidRPr="008C7AE1">
          <w:rPr>
            <w:rFonts w:ascii="Book Antiqua" w:eastAsia="Book Antiqua" w:hAnsi="Book Antiqua" w:cs="Book Antiqua"/>
            <w:color w:val="000000"/>
            <w:vertAlign w:val="superscript"/>
          </w:rPr>
          <w:t>13-15</w:t>
        </w:r>
      </w:hyperlink>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xml:space="preserve">. The results of </w:t>
      </w:r>
      <w:r w:rsidRPr="008C7AE1">
        <w:rPr>
          <w:rFonts w:ascii="Book Antiqua" w:eastAsia="Book Antiqua" w:hAnsi="Book Antiqua" w:cs="Book Antiqua"/>
          <w:i/>
          <w:iCs/>
          <w:color w:val="000000"/>
        </w:rPr>
        <w:t>in vitro</w:t>
      </w:r>
      <w:r w:rsidRPr="008C7AE1">
        <w:rPr>
          <w:rFonts w:ascii="Book Antiqua" w:eastAsia="Book Antiqua" w:hAnsi="Book Antiqua" w:cs="Book Antiqua"/>
          <w:color w:val="000000"/>
        </w:rPr>
        <w:t xml:space="preserve"> and </w:t>
      </w:r>
      <w:r w:rsidRPr="008C7AE1">
        <w:rPr>
          <w:rFonts w:ascii="Book Antiqua" w:eastAsia="Book Antiqua" w:hAnsi="Book Antiqua" w:cs="Book Antiqua"/>
          <w:i/>
          <w:iCs/>
          <w:color w:val="000000"/>
        </w:rPr>
        <w:t>in vivo</w:t>
      </w:r>
      <w:r w:rsidRPr="008C7AE1">
        <w:rPr>
          <w:rFonts w:ascii="Book Antiqua" w:eastAsia="Book Antiqua" w:hAnsi="Book Antiqua" w:cs="Book Antiqua"/>
          <w:color w:val="000000"/>
        </w:rPr>
        <w:t xml:space="preserve"> animal tests have shown that mesenchymal stem cell (MSC) transplantation is a powerful alternative to traditional AA treatment</w:t>
      </w:r>
      <w:r w:rsidRPr="008C7AE1">
        <w:rPr>
          <w:rFonts w:ascii="Book Antiqua" w:eastAsia="Book Antiqua" w:hAnsi="Book Antiqua" w:cs="Book Antiqua"/>
          <w:color w:val="000000"/>
          <w:vertAlign w:val="superscript"/>
        </w:rPr>
        <w:t>[</w:t>
      </w:r>
      <w:hyperlink w:anchor="_ENREF_16" w:tooltip="Elmaadawi, 2018 #9" w:history="1">
        <w:r w:rsidRPr="008C7AE1">
          <w:rPr>
            <w:rFonts w:ascii="Book Antiqua" w:eastAsia="Book Antiqua" w:hAnsi="Book Antiqua" w:cs="Book Antiqua"/>
            <w:color w:val="000000"/>
            <w:vertAlign w:val="superscript"/>
          </w:rPr>
          <w:t>16-20</w:t>
        </w:r>
      </w:hyperlink>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The function of MSCs as an immunomodulator has made it a promising potential treatment for AA and related diseases</w:t>
      </w:r>
      <w:r w:rsidRPr="008C7AE1">
        <w:rPr>
          <w:rFonts w:ascii="Book Antiqua" w:eastAsia="Book Antiqua" w:hAnsi="Book Antiqua" w:cs="Book Antiqua"/>
          <w:color w:val="000000"/>
          <w:vertAlign w:val="superscript"/>
        </w:rPr>
        <w:t>[</w:t>
      </w:r>
      <w:hyperlink w:anchor="_ENREF_21" w:tooltip="Deuse, 2011 #10" w:history="1">
        <w:r w:rsidRPr="008C7AE1">
          <w:rPr>
            <w:rFonts w:ascii="Book Antiqua" w:eastAsia="Book Antiqua" w:hAnsi="Book Antiqua" w:cs="Book Antiqua"/>
            <w:color w:val="000000"/>
            <w:vertAlign w:val="superscript"/>
          </w:rPr>
          <w:t>21-24</w:t>
        </w:r>
      </w:hyperlink>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However, because only a limited number of cases for treatment of AA with MSCs have been reported, the effectiveness is not well known</w:t>
      </w:r>
      <w:r w:rsidRPr="008C7AE1">
        <w:rPr>
          <w:rFonts w:ascii="Book Antiqua" w:eastAsia="Book Antiqua" w:hAnsi="Book Antiqua" w:cs="Book Antiqua"/>
          <w:color w:val="000000"/>
          <w:vertAlign w:val="superscript"/>
        </w:rPr>
        <w:t>[</w:t>
      </w:r>
      <w:hyperlink w:anchor="_ENREF_16" w:tooltip="Elmaadawi, 2018 #9" w:history="1">
        <w:r w:rsidRPr="008C7AE1">
          <w:rPr>
            <w:rFonts w:ascii="Book Antiqua" w:eastAsia="Book Antiqua" w:hAnsi="Book Antiqua" w:cs="Book Antiqua"/>
            <w:color w:val="000000"/>
            <w:vertAlign w:val="superscript"/>
          </w:rPr>
          <w:t>16</w:t>
        </w:r>
      </w:hyperlink>
      <w:r w:rsidRPr="008C7AE1">
        <w:rPr>
          <w:rFonts w:ascii="Book Antiqua" w:eastAsia="Book Antiqua" w:hAnsi="Book Antiqua" w:cs="Book Antiqua"/>
          <w:color w:val="000000"/>
          <w:vertAlign w:val="superscript"/>
        </w:rPr>
        <w:t>,</w:t>
      </w:r>
      <w:hyperlink w:anchor="_ENREF_25" w:tooltip="Nilforoushzadeh, 2019 #46" w:history="1">
        <w:r w:rsidRPr="008C7AE1">
          <w:rPr>
            <w:rFonts w:ascii="Book Antiqua" w:eastAsia="Book Antiqua" w:hAnsi="Book Antiqua" w:cs="Book Antiqua"/>
            <w:color w:val="000000"/>
            <w:vertAlign w:val="superscript"/>
          </w:rPr>
          <w:t>25-27</w:t>
        </w:r>
      </w:hyperlink>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xml:space="preserve">. Therefore, there is a need for sufficient case studies of AA treatment using MSCs. </w:t>
      </w:r>
    </w:p>
    <w:p w14:paraId="3EE7AA99" w14:textId="6BEE53E4" w:rsidR="00A77B3E" w:rsidRPr="008C7AE1" w:rsidRDefault="005D3F12" w:rsidP="007949C3">
      <w:pPr>
        <w:adjustRightInd w:val="0"/>
        <w:snapToGrid w:val="0"/>
        <w:spacing w:line="360" w:lineRule="auto"/>
        <w:ind w:firstLine="800"/>
        <w:jc w:val="both"/>
        <w:rPr>
          <w:rFonts w:ascii="Book Antiqua" w:hAnsi="Book Antiqua"/>
        </w:rPr>
      </w:pPr>
      <w:r w:rsidRPr="008C7AE1">
        <w:rPr>
          <w:rFonts w:ascii="Book Antiqua" w:eastAsia="Book Antiqua" w:hAnsi="Book Antiqua" w:cs="Book Antiqua"/>
          <w:color w:val="000000"/>
        </w:rPr>
        <w:t xml:space="preserve">Minimally manipulated umbilical cord derived-MSCs (MM-UC-MSCs) (used in this study) are isolated from the umbilical cord, immediately frozen, and stored at -197 °C without any other manipulations including cell culture. </w:t>
      </w:r>
      <w:r w:rsidR="00AD3C1B" w:rsidRPr="008C7AE1">
        <w:rPr>
          <w:rFonts w:ascii="Book Antiqua" w:eastAsia="Book Antiqua" w:hAnsi="Book Antiqua" w:cs="Book Antiqua"/>
          <w:color w:val="000000"/>
        </w:rPr>
        <w:t>Minimally manipulated</w:t>
      </w:r>
      <w:r w:rsidR="00AD3C1B">
        <w:rPr>
          <w:rFonts w:ascii="Book Antiqua" w:eastAsia="Book Antiqua" w:hAnsi="Book Antiqua" w:cs="Book Antiqua"/>
          <w:color w:val="000000"/>
        </w:rPr>
        <w:t>-</w:t>
      </w:r>
      <w:r w:rsidR="00AD3C1B" w:rsidRPr="008C7AE1">
        <w:rPr>
          <w:rFonts w:ascii="Book Antiqua" w:eastAsia="Book Antiqua" w:hAnsi="Book Antiqua" w:cs="Book Antiqua"/>
          <w:color w:val="000000"/>
        </w:rPr>
        <w:t xml:space="preserve">MSCs </w:t>
      </w:r>
      <w:r w:rsidR="00AD3C1B">
        <w:rPr>
          <w:rFonts w:ascii="Book Antiqua" w:eastAsia="Book Antiqua" w:hAnsi="Book Antiqua" w:cs="Book Antiqua"/>
          <w:color w:val="000000"/>
        </w:rPr>
        <w:t>(</w:t>
      </w:r>
      <w:r w:rsidRPr="008C7AE1">
        <w:rPr>
          <w:rFonts w:ascii="Book Antiqua" w:eastAsia="Book Antiqua" w:hAnsi="Book Antiqua" w:cs="Book Antiqua"/>
          <w:color w:val="000000"/>
        </w:rPr>
        <w:t>MM-MSCs</w:t>
      </w:r>
      <w:r w:rsidR="00AD3C1B">
        <w:rPr>
          <w:rFonts w:ascii="Book Antiqua" w:eastAsia="Book Antiqua" w:hAnsi="Book Antiqua" w:cs="Book Antiqua"/>
          <w:color w:val="000000"/>
        </w:rPr>
        <w:t>)</w:t>
      </w:r>
      <w:r w:rsidRPr="008C7AE1">
        <w:rPr>
          <w:rFonts w:ascii="Book Antiqua" w:eastAsia="Book Antiqua" w:hAnsi="Book Antiqua" w:cs="Book Antiqua"/>
          <w:color w:val="000000"/>
        </w:rPr>
        <w:t xml:space="preserve"> have better proliferation and differentiation capacities than cultured MSCs. Therefore, their therapeutic effect is expected to be better</w:t>
      </w:r>
      <w:r w:rsidRPr="008C7AE1">
        <w:rPr>
          <w:rFonts w:ascii="Book Antiqua" w:eastAsia="Book Antiqua" w:hAnsi="Book Antiqua" w:cs="Book Antiqua"/>
          <w:color w:val="000000"/>
          <w:vertAlign w:val="superscript"/>
        </w:rPr>
        <w:t>[</w:t>
      </w:r>
      <w:hyperlink w:anchor="_ENREF_28" w:tooltip="Rich, 2015 #51" w:history="1">
        <w:r w:rsidRPr="008C7AE1">
          <w:rPr>
            <w:rFonts w:ascii="Book Antiqua" w:eastAsia="Book Antiqua" w:hAnsi="Book Antiqua" w:cs="Book Antiqua"/>
            <w:color w:val="000000"/>
            <w:vertAlign w:val="superscript"/>
          </w:rPr>
          <w:t>28-30</w:t>
        </w:r>
      </w:hyperlink>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Moreover, it is easy to obtain enough cells for transplantation because the umbilical cord has more cells that can be acquired than adipose tissue or bone marrow</w:t>
      </w:r>
      <w:r w:rsidRPr="008C7AE1">
        <w:rPr>
          <w:rFonts w:ascii="Book Antiqua" w:eastAsia="Book Antiqua" w:hAnsi="Book Antiqua" w:cs="Book Antiqua"/>
          <w:color w:val="000000"/>
          <w:vertAlign w:val="superscript"/>
        </w:rPr>
        <w:t>[</w:t>
      </w:r>
      <w:hyperlink w:anchor="_ENREF_31" w:tooltip="Vangsness, 2015 #58" w:history="1">
        <w:r w:rsidRPr="008C7AE1">
          <w:rPr>
            <w:rFonts w:ascii="Book Antiqua" w:eastAsia="Book Antiqua" w:hAnsi="Book Antiqua" w:cs="Book Antiqua"/>
            <w:color w:val="000000"/>
            <w:vertAlign w:val="superscript"/>
          </w:rPr>
          <w:t>31</w:t>
        </w:r>
      </w:hyperlink>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xml:space="preserve">. It is generally known that MSCs are safe </w:t>
      </w:r>
      <w:r w:rsidRPr="008C7AE1">
        <w:rPr>
          <w:rFonts w:ascii="Book Antiqua" w:eastAsia="Book Antiqua" w:hAnsi="Book Antiqua" w:cs="Book Antiqua"/>
          <w:i/>
          <w:iCs/>
          <w:color w:val="000000"/>
        </w:rPr>
        <w:t>in vivo</w:t>
      </w:r>
      <w:r w:rsidRPr="008C7AE1">
        <w:rPr>
          <w:rFonts w:ascii="Book Antiqua" w:eastAsia="Book Antiqua" w:hAnsi="Book Antiqua" w:cs="Book Antiqua"/>
          <w:color w:val="000000"/>
        </w:rPr>
        <w:t xml:space="preserve"> and do not form tumors</w:t>
      </w:r>
      <w:r w:rsidRPr="008C7AE1">
        <w:rPr>
          <w:rFonts w:ascii="Book Antiqua" w:eastAsia="Book Antiqua" w:hAnsi="Book Antiqua" w:cs="Book Antiqua"/>
          <w:color w:val="000000"/>
          <w:vertAlign w:val="superscript"/>
        </w:rPr>
        <w:t>[</w:t>
      </w:r>
      <w:hyperlink w:anchor="_ENREF_32" w:tooltip="Kuci, 2012 #60" w:history="1">
        <w:r w:rsidRPr="008C7AE1">
          <w:rPr>
            <w:rFonts w:ascii="Book Antiqua" w:eastAsia="Book Antiqua" w:hAnsi="Book Antiqua" w:cs="Book Antiqua"/>
            <w:color w:val="000000"/>
            <w:vertAlign w:val="superscript"/>
          </w:rPr>
          <w:t>32-34</w:t>
        </w:r>
      </w:hyperlink>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xml:space="preserve">. Also, long-term culturing of MSCs </w:t>
      </w:r>
      <w:r w:rsidRPr="008C7AE1">
        <w:rPr>
          <w:rFonts w:ascii="Book Antiqua" w:eastAsia="Book Antiqua" w:hAnsi="Book Antiqua" w:cs="Book Antiqua"/>
          <w:i/>
          <w:iCs/>
          <w:color w:val="000000"/>
        </w:rPr>
        <w:t>in vitro</w:t>
      </w:r>
      <w:r w:rsidRPr="008C7AE1">
        <w:rPr>
          <w:rFonts w:ascii="Book Antiqua" w:eastAsia="Book Antiqua" w:hAnsi="Book Antiqua" w:cs="Book Antiqua"/>
          <w:color w:val="000000"/>
        </w:rPr>
        <w:t xml:space="preserve"> has the potential to cause age-related modifications and genetic mutations, and MM-MSCs are safer than manipulated MSCs</w:t>
      </w:r>
      <w:r w:rsidRPr="008C7AE1">
        <w:rPr>
          <w:rFonts w:ascii="Book Antiqua" w:eastAsia="Book Antiqua" w:hAnsi="Book Antiqua" w:cs="Book Antiqua"/>
          <w:color w:val="000000"/>
          <w:vertAlign w:val="superscript"/>
        </w:rPr>
        <w:t>[</w:t>
      </w:r>
      <w:hyperlink w:anchor="_ENREF_35" w:tooltip="Wu, 2017 #87" w:history="1">
        <w:r w:rsidRPr="008C7AE1">
          <w:rPr>
            <w:rFonts w:ascii="Book Antiqua" w:eastAsia="Book Antiqua" w:hAnsi="Book Antiqua" w:cs="Book Antiqua"/>
            <w:color w:val="000000"/>
            <w:vertAlign w:val="superscript"/>
          </w:rPr>
          <w:t>35-39</w:t>
        </w:r>
      </w:hyperlink>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Based on these previous results, we decided to use MM-UC-MSCs to treating AA and related diseases. The safety and efficacy of MM-UC-MSCs for the treatment of AA and AU will be shown through this case study.</w:t>
      </w:r>
    </w:p>
    <w:p w14:paraId="58887FC1" w14:textId="77777777" w:rsidR="00A77B3E" w:rsidRPr="007949C3" w:rsidRDefault="00A77B3E" w:rsidP="00AD3C1B">
      <w:pPr>
        <w:adjustRightInd w:val="0"/>
        <w:snapToGrid w:val="0"/>
        <w:spacing w:line="360" w:lineRule="auto"/>
        <w:jc w:val="both"/>
        <w:rPr>
          <w:rFonts w:ascii="Book Antiqua" w:hAnsi="Book Antiqua"/>
        </w:rPr>
      </w:pPr>
    </w:p>
    <w:p w14:paraId="0799F698"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aps/>
          <w:color w:val="000000"/>
          <w:u w:val="single"/>
        </w:rPr>
        <w:t>CASE PRESENTATION</w:t>
      </w:r>
    </w:p>
    <w:p w14:paraId="3895D2C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i/>
          <w:color w:val="000000"/>
        </w:rPr>
        <w:t>Chief complaints</w:t>
      </w:r>
    </w:p>
    <w:p w14:paraId="66C3E08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Case 1:</w:t>
      </w:r>
      <w:r w:rsidRPr="007949C3">
        <w:rPr>
          <w:rFonts w:ascii="Book Antiqua" w:eastAsia="Book Antiqua" w:hAnsi="Book Antiqua" w:cs="Book Antiqua"/>
          <w:color w:val="000000"/>
        </w:rPr>
        <w:t xml:space="preserve"> On May 29, 2016, a 55-year-old woman, suffering from AA, visited our clinic. She had two areas of complete baldness on the left and right sides of the scalp.</w:t>
      </w:r>
    </w:p>
    <w:p w14:paraId="038A6D46" w14:textId="77777777" w:rsidR="00A77B3E" w:rsidRPr="007949C3" w:rsidRDefault="00A77B3E" w:rsidP="007949C3">
      <w:pPr>
        <w:adjustRightInd w:val="0"/>
        <w:snapToGrid w:val="0"/>
        <w:spacing w:line="360" w:lineRule="auto"/>
        <w:jc w:val="both"/>
        <w:rPr>
          <w:rFonts w:ascii="Book Antiqua" w:hAnsi="Book Antiqua"/>
        </w:rPr>
      </w:pPr>
    </w:p>
    <w:p w14:paraId="708EC70E"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Case 2: </w:t>
      </w:r>
      <w:r w:rsidRPr="007949C3">
        <w:rPr>
          <w:rFonts w:ascii="Book Antiqua" w:eastAsia="Book Antiqua" w:hAnsi="Book Antiqua" w:cs="Book Antiqua"/>
          <w:color w:val="000000"/>
        </w:rPr>
        <w:t>On March 19, 2018, a 30-year-old woman, suffering from AA, visited our clinic. She had one area of complete baldness on the top of the scalp.</w:t>
      </w:r>
    </w:p>
    <w:p w14:paraId="30775FDE" w14:textId="77777777" w:rsidR="00A77B3E" w:rsidRPr="007949C3" w:rsidRDefault="00A77B3E" w:rsidP="007949C3">
      <w:pPr>
        <w:adjustRightInd w:val="0"/>
        <w:snapToGrid w:val="0"/>
        <w:spacing w:line="360" w:lineRule="auto"/>
        <w:jc w:val="both"/>
        <w:rPr>
          <w:rFonts w:ascii="Book Antiqua" w:hAnsi="Book Antiqua"/>
        </w:rPr>
      </w:pPr>
    </w:p>
    <w:p w14:paraId="6EA5A42F"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Case 3: </w:t>
      </w:r>
      <w:r w:rsidRPr="007949C3">
        <w:rPr>
          <w:rFonts w:ascii="Book Antiqua" w:eastAsia="Book Antiqua" w:hAnsi="Book Antiqua" w:cs="Book Antiqua"/>
          <w:color w:val="000000"/>
        </w:rPr>
        <w:t>On February 12, 2014, a 20-year-old woman, suffering from AU, visited our clinic. She had very little hair on her body.</w:t>
      </w:r>
    </w:p>
    <w:p w14:paraId="6398856D" w14:textId="77777777" w:rsidR="00A77B3E" w:rsidRPr="007949C3" w:rsidRDefault="00A77B3E" w:rsidP="007949C3">
      <w:pPr>
        <w:adjustRightInd w:val="0"/>
        <w:snapToGrid w:val="0"/>
        <w:spacing w:line="360" w:lineRule="auto"/>
        <w:jc w:val="both"/>
        <w:rPr>
          <w:rFonts w:ascii="Book Antiqua" w:hAnsi="Book Antiqua"/>
        </w:rPr>
      </w:pPr>
    </w:p>
    <w:p w14:paraId="6D43853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i/>
          <w:color w:val="000000"/>
        </w:rPr>
        <w:t>History of present illness</w:t>
      </w:r>
    </w:p>
    <w:p w14:paraId="525B1215"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Case 1: </w:t>
      </w:r>
      <w:r w:rsidRPr="007949C3">
        <w:rPr>
          <w:rFonts w:ascii="Book Antiqua" w:eastAsia="Book Antiqua" w:hAnsi="Book Antiqua" w:cs="Book Antiqua"/>
          <w:color w:val="000000"/>
        </w:rPr>
        <w:t>AA occurred in May 2016 on the two areas of the scalp (left and right).</w:t>
      </w:r>
    </w:p>
    <w:p w14:paraId="0AD18DF8" w14:textId="77777777" w:rsidR="00A77B3E" w:rsidRPr="007949C3" w:rsidRDefault="00A77B3E" w:rsidP="007949C3">
      <w:pPr>
        <w:adjustRightInd w:val="0"/>
        <w:snapToGrid w:val="0"/>
        <w:spacing w:line="360" w:lineRule="auto"/>
        <w:jc w:val="both"/>
        <w:rPr>
          <w:rFonts w:ascii="Book Antiqua" w:hAnsi="Book Antiqua"/>
        </w:rPr>
      </w:pPr>
    </w:p>
    <w:p w14:paraId="24400A82"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Case 2: </w:t>
      </w:r>
      <w:r w:rsidRPr="007949C3">
        <w:rPr>
          <w:rFonts w:ascii="Book Antiqua" w:eastAsia="Book Antiqua" w:hAnsi="Book Antiqua" w:cs="Book Antiqua"/>
          <w:color w:val="000000"/>
        </w:rPr>
        <w:t>The patient developed AA in six areas on the scalp, with an onset of April 2017. She was given local steroid hormone injections at another hospital for 1 year. As a result, five of the six lesions were cured. However, a lesion at the top of scalp was unaffected by treatment.</w:t>
      </w:r>
    </w:p>
    <w:p w14:paraId="47DFE588" w14:textId="77777777" w:rsidR="00A77B3E" w:rsidRPr="007949C3" w:rsidRDefault="00A77B3E" w:rsidP="007949C3">
      <w:pPr>
        <w:adjustRightInd w:val="0"/>
        <w:snapToGrid w:val="0"/>
        <w:spacing w:line="360" w:lineRule="auto"/>
        <w:jc w:val="both"/>
        <w:rPr>
          <w:rFonts w:ascii="Book Antiqua" w:hAnsi="Book Antiqua"/>
        </w:rPr>
      </w:pPr>
    </w:p>
    <w:p w14:paraId="7375771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Case 3:</w:t>
      </w:r>
      <w:r w:rsidRPr="007949C3">
        <w:rPr>
          <w:rFonts w:ascii="Book Antiqua" w:eastAsia="Book Antiqua" w:hAnsi="Book Antiqua" w:cs="Book Antiqua"/>
          <w:color w:val="000000"/>
        </w:rPr>
        <w:t xml:space="preserve"> The patient was diagnosed with AU at the age of 12. After the onset, various medications were prescribed and hair transplantation was performed, both of which were unsuccessful.</w:t>
      </w:r>
    </w:p>
    <w:p w14:paraId="7C674BCE" w14:textId="77777777" w:rsidR="00A77B3E" w:rsidRPr="007949C3" w:rsidRDefault="00A77B3E" w:rsidP="007949C3">
      <w:pPr>
        <w:adjustRightInd w:val="0"/>
        <w:snapToGrid w:val="0"/>
        <w:spacing w:line="360" w:lineRule="auto"/>
        <w:jc w:val="both"/>
        <w:rPr>
          <w:rFonts w:ascii="Book Antiqua" w:hAnsi="Book Antiqua"/>
        </w:rPr>
      </w:pPr>
    </w:p>
    <w:p w14:paraId="21D40790"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i/>
          <w:color w:val="000000"/>
        </w:rPr>
        <w:t>History of past illness</w:t>
      </w:r>
    </w:p>
    <w:p w14:paraId="5E32DE2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All patients had no history of specific illnesses.</w:t>
      </w:r>
    </w:p>
    <w:p w14:paraId="60824D65" w14:textId="77777777" w:rsidR="00A77B3E" w:rsidRPr="007949C3" w:rsidRDefault="00A77B3E" w:rsidP="007949C3">
      <w:pPr>
        <w:adjustRightInd w:val="0"/>
        <w:snapToGrid w:val="0"/>
        <w:spacing w:line="360" w:lineRule="auto"/>
        <w:jc w:val="both"/>
        <w:rPr>
          <w:rFonts w:ascii="Book Antiqua" w:hAnsi="Book Antiqua"/>
        </w:rPr>
      </w:pPr>
    </w:p>
    <w:p w14:paraId="01E00EDC"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i/>
          <w:color w:val="000000"/>
        </w:rPr>
        <w:t>Personal and family history</w:t>
      </w:r>
    </w:p>
    <w:p w14:paraId="0BA6C85F"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All patients had a free personal and family history.</w:t>
      </w:r>
    </w:p>
    <w:p w14:paraId="18618BB4" w14:textId="77777777" w:rsidR="00A77B3E" w:rsidRPr="007949C3" w:rsidRDefault="00A77B3E" w:rsidP="007949C3">
      <w:pPr>
        <w:adjustRightInd w:val="0"/>
        <w:snapToGrid w:val="0"/>
        <w:spacing w:line="360" w:lineRule="auto"/>
        <w:jc w:val="both"/>
        <w:rPr>
          <w:rFonts w:ascii="Book Antiqua" w:hAnsi="Book Antiqua"/>
        </w:rPr>
      </w:pPr>
    </w:p>
    <w:p w14:paraId="713942C8"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i/>
          <w:color w:val="000000"/>
        </w:rPr>
        <w:t>Physical examination</w:t>
      </w:r>
    </w:p>
    <w:p w14:paraId="3CC3F1C6" w14:textId="648B7CA3"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Case 1:</w:t>
      </w:r>
      <w:r w:rsidRPr="007949C3">
        <w:rPr>
          <w:rFonts w:ascii="Book Antiqua" w:eastAsia="Book Antiqua" w:hAnsi="Book Antiqua" w:cs="Book Antiqua"/>
          <w:color w:val="000000"/>
        </w:rPr>
        <w:t xml:space="preserve"> The patient presented with two 2.0 cm </w:t>
      </w:r>
      <w:r w:rsidR="00AD3C1B" w:rsidRPr="00AD3C1B">
        <w:rPr>
          <w:rFonts w:ascii="Book Antiqua" w:eastAsia="Book Antiqua" w:hAnsi="Book Antiqua"/>
          <w:color w:val="000000"/>
        </w:rPr>
        <w:t>×</w:t>
      </w:r>
      <w:r w:rsidR="00AD3C1B">
        <w:rPr>
          <w:rFonts w:eastAsia="Book Antiqua"/>
          <w:color w:val="000000"/>
        </w:rPr>
        <w:t xml:space="preserve"> </w:t>
      </w:r>
      <w:r w:rsidRPr="007949C3">
        <w:rPr>
          <w:rFonts w:ascii="Book Antiqua" w:eastAsia="Book Antiqua" w:hAnsi="Book Antiqua" w:cs="Book Antiqua"/>
          <w:color w:val="000000"/>
        </w:rPr>
        <w:t>1.0 cm lesions of AA on the left and right sides of the scalp (Figure 1A).</w:t>
      </w:r>
    </w:p>
    <w:p w14:paraId="441F0595" w14:textId="77777777" w:rsidR="00A77B3E" w:rsidRPr="007949C3" w:rsidRDefault="00A77B3E" w:rsidP="007949C3">
      <w:pPr>
        <w:adjustRightInd w:val="0"/>
        <w:snapToGrid w:val="0"/>
        <w:spacing w:line="360" w:lineRule="auto"/>
        <w:jc w:val="both"/>
        <w:rPr>
          <w:rFonts w:ascii="Book Antiqua" w:hAnsi="Book Antiqua"/>
        </w:rPr>
      </w:pPr>
    </w:p>
    <w:p w14:paraId="7525F7FF" w14:textId="09C44EE4"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Case 2:</w:t>
      </w:r>
      <w:r w:rsidRPr="007949C3">
        <w:rPr>
          <w:rFonts w:ascii="Book Antiqua" w:eastAsia="Book Antiqua" w:hAnsi="Book Antiqua" w:cs="Book Antiqua"/>
          <w:color w:val="000000"/>
        </w:rPr>
        <w:t xml:space="preserve"> The patient presented with a 1.5 cm </w:t>
      </w:r>
      <w:r w:rsidR="00AD3C1B" w:rsidRPr="00AD3C1B">
        <w:rPr>
          <w:rFonts w:ascii="Book Antiqua" w:eastAsia="Book Antiqua" w:hAnsi="Book Antiqua"/>
          <w:color w:val="000000"/>
        </w:rPr>
        <w:t>×</w:t>
      </w:r>
      <w:r w:rsidR="00AD3C1B">
        <w:rPr>
          <w:rFonts w:ascii="Book Antiqua" w:eastAsia="Book Antiqua" w:hAnsi="Book Antiqua"/>
          <w:color w:val="000000"/>
        </w:rPr>
        <w:t xml:space="preserve"> </w:t>
      </w:r>
      <w:r w:rsidRPr="007949C3">
        <w:rPr>
          <w:rFonts w:ascii="Book Antiqua" w:eastAsia="Book Antiqua" w:hAnsi="Book Antiqua" w:cs="Book Antiqua"/>
          <w:color w:val="000000"/>
        </w:rPr>
        <w:t>1.5 cm lesion of AA on the top of the scalp (Figure 1B).</w:t>
      </w:r>
    </w:p>
    <w:p w14:paraId="4CA7EDCB" w14:textId="77777777" w:rsidR="00A77B3E" w:rsidRPr="007949C3" w:rsidRDefault="00A77B3E" w:rsidP="007949C3">
      <w:pPr>
        <w:adjustRightInd w:val="0"/>
        <w:snapToGrid w:val="0"/>
        <w:spacing w:line="360" w:lineRule="auto"/>
        <w:jc w:val="both"/>
        <w:rPr>
          <w:rFonts w:ascii="Book Antiqua" w:hAnsi="Book Antiqua"/>
        </w:rPr>
      </w:pPr>
    </w:p>
    <w:p w14:paraId="615A5DD6"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Case 3:</w:t>
      </w:r>
      <w:r w:rsidRPr="007949C3">
        <w:rPr>
          <w:rFonts w:ascii="Book Antiqua" w:eastAsia="Book Antiqua" w:hAnsi="Book Antiqua" w:cs="Book Antiqua"/>
          <w:color w:val="000000"/>
        </w:rPr>
        <w:t xml:space="preserve"> The patient had little hair on her scalp (Figure 1C).</w:t>
      </w:r>
    </w:p>
    <w:p w14:paraId="62CEB375" w14:textId="77777777" w:rsidR="00A77B3E" w:rsidRPr="007949C3" w:rsidRDefault="00A77B3E" w:rsidP="007949C3">
      <w:pPr>
        <w:adjustRightInd w:val="0"/>
        <w:snapToGrid w:val="0"/>
        <w:spacing w:line="360" w:lineRule="auto"/>
        <w:jc w:val="both"/>
        <w:rPr>
          <w:rFonts w:ascii="Book Antiqua" w:hAnsi="Book Antiqua"/>
        </w:rPr>
      </w:pPr>
    </w:p>
    <w:p w14:paraId="2EC76BBE"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i/>
          <w:color w:val="000000"/>
        </w:rPr>
        <w:t>Laboratory examinations</w:t>
      </w:r>
    </w:p>
    <w:p w14:paraId="337D2281"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Laboratory examinations were not performed.</w:t>
      </w:r>
    </w:p>
    <w:p w14:paraId="62A17778" w14:textId="77777777" w:rsidR="00A77B3E" w:rsidRPr="007949C3" w:rsidRDefault="00A77B3E" w:rsidP="007949C3">
      <w:pPr>
        <w:adjustRightInd w:val="0"/>
        <w:snapToGrid w:val="0"/>
        <w:spacing w:line="360" w:lineRule="auto"/>
        <w:jc w:val="both"/>
        <w:rPr>
          <w:rFonts w:ascii="Book Antiqua" w:hAnsi="Book Antiqua"/>
        </w:rPr>
      </w:pPr>
    </w:p>
    <w:p w14:paraId="677110CE"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i/>
          <w:color w:val="000000"/>
        </w:rPr>
        <w:t>Imaging examinations</w:t>
      </w:r>
    </w:p>
    <w:p w14:paraId="779EA359"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Imaging examinations were not performed.</w:t>
      </w:r>
    </w:p>
    <w:p w14:paraId="1BED787B" w14:textId="77777777" w:rsidR="00A77B3E" w:rsidRPr="007949C3" w:rsidRDefault="00A77B3E" w:rsidP="007949C3">
      <w:pPr>
        <w:adjustRightInd w:val="0"/>
        <w:snapToGrid w:val="0"/>
        <w:spacing w:line="360" w:lineRule="auto"/>
        <w:jc w:val="both"/>
        <w:rPr>
          <w:rFonts w:ascii="Book Antiqua" w:hAnsi="Book Antiqua"/>
        </w:rPr>
      </w:pPr>
    </w:p>
    <w:p w14:paraId="0033D6F0"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aps/>
          <w:color w:val="000000"/>
          <w:u w:val="single"/>
        </w:rPr>
        <w:t>FINAL DIAGNOSIS</w:t>
      </w:r>
    </w:p>
    <w:p w14:paraId="5FC956E7" w14:textId="3965F60B"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Case</w:t>
      </w:r>
      <w:r w:rsidR="00AD3C1B">
        <w:rPr>
          <w:rFonts w:ascii="Book Antiqua" w:eastAsia="Book Antiqua" w:hAnsi="Book Antiqua" w:cs="Book Antiqua"/>
          <w:b/>
          <w:bCs/>
          <w:color w:val="000000"/>
        </w:rPr>
        <w:t>s</w:t>
      </w:r>
      <w:r w:rsidRPr="007949C3">
        <w:rPr>
          <w:rFonts w:ascii="Book Antiqua" w:eastAsia="Book Antiqua" w:hAnsi="Book Antiqua" w:cs="Book Antiqua"/>
          <w:b/>
          <w:bCs/>
          <w:color w:val="000000"/>
        </w:rPr>
        <w:t xml:space="preserve"> 1 and 2: </w:t>
      </w:r>
      <w:r w:rsidRPr="007949C3">
        <w:rPr>
          <w:rFonts w:ascii="Book Antiqua" w:eastAsia="Book Antiqua" w:hAnsi="Book Antiqua" w:cs="Book Antiqua"/>
          <w:color w:val="000000"/>
        </w:rPr>
        <w:t>The patients were diagnosed with AA based on the formation of a round or oval-shaped area of baldness.</w:t>
      </w:r>
    </w:p>
    <w:p w14:paraId="4A17D215" w14:textId="77777777" w:rsidR="00A77B3E" w:rsidRPr="007949C3" w:rsidRDefault="00A77B3E" w:rsidP="007949C3">
      <w:pPr>
        <w:adjustRightInd w:val="0"/>
        <w:snapToGrid w:val="0"/>
        <w:spacing w:line="360" w:lineRule="auto"/>
        <w:jc w:val="both"/>
        <w:rPr>
          <w:rFonts w:ascii="Book Antiqua" w:hAnsi="Book Antiqua"/>
        </w:rPr>
      </w:pPr>
    </w:p>
    <w:p w14:paraId="0EE342A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Case 3:</w:t>
      </w:r>
      <w:r w:rsidRPr="007949C3">
        <w:rPr>
          <w:rFonts w:ascii="Book Antiqua" w:eastAsia="Book Antiqua" w:hAnsi="Book Antiqua" w:cs="Book Antiqua"/>
          <w:color w:val="000000"/>
        </w:rPr>
        <w:t xml:space="preserve"> The patient was diagnosed with AU because she had little hair on her body.</w:t>
      </w:r>
    </w:p>
    <w:p w14:paraId="3F80BE09" w14:textId="77777777" w:rsidR="00A77B3E" w:rsidRPr="007949C3" w:rsidRDefault="00A77B3E" w:rsidP="007949C3">
      <w:pPr>
        <w:adjustRightInd w:val="0"/>
        <w:snapToGrid w:val="0"/>
        <w:spacing w:line="360" w:lineRule="auto"/>
        <w:jc w:val="both"/>
        <w:rPr>
          <w:rFonts w:ascii="Book Antiqua" w:hAnsi="Book Antiqua"/>
        </w:rPr>
      </w:pPr>
    </w:p>
    <w:p w14:paraId="4907300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aps/>
          <w:color w:val="000000"/>
          <w:u w:val="single"/>
        </w:rPr>
        <w:t>TREATMENT</w:t>
      </w:r>
    </w:p>
    <w:p w14:paraId="33CAE87E"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i/>
          <w:iCs/>
          <w:color w:val="000000"/>
        </w:rPr>
        <w:t>Umbilical cord procurement</w:t>
      </w:r>
    </w:p>
    <w:p w14:paraId="0A46031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Umbilical cords were donated by the Obstetrics and Gynecology Department at Lynn Woman’s Hospital, after disinfection. An agreement for an umbilical cord donation was obtained from the mother. We performed a total of seven blood and urine tests from the mother, including for hepatitis B surface antigen, hepatitis B surface antibody, hepatitis C antigen, hepatitis C antibody, human immunodeficiency virus, syphilis rapid plasma reagin, and human T-cell lymphotropic virus type I and II antibody, to confirm the safety of the donated umbilical cord.</w:t>
      </w:r>
    </w:p>
    <w:p w14:paraId="3AF1509D" w14:textId="77777777" w:rsidR="00A77B3E" w:rsidRPr="007949C3" w:rsidRDefault="00A77B3E" w:rsidP="007949C3">
      <w:pPr>
        <w:adjustRightInd w:val="0"/>
        <w:snapToGrid w:val="0"/>
        <w:spacing w:line="360" w:lineRule="auto"/>
        <w:jc w:val="both"/>
        <w:rPr>
          <w:rFonts w:ascii="Book Antiqua" w:hAnsi="Book Antiqua"/>
        </w:rPr>
      </w:pPr>
    </w:p>
    <w:p w14:paraId="56AE66E8"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i/>
          <w:iCs/>
          <w:color w:val="000000"/>
        </w:rPr>
        <w:t>Isolation of MM-UC-MSCs</w:t>
      </w:r>
    </w:p>
    <w:p w14:paraId="7BAEC43E" w14:textId="28FE4A6B"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The donated umbilical cords were 20-30 cm in length, and </w:t>
      </w:r>
      <w:r w:rsidR="00837CD5">
        <w:rPr>
          <w:rFonts w:ascii="Book Antiqua" w:eastAsia="Book Antiqua" w:hAnsi="Book Antiqua" w:cs="Book Antiqua"/>
          <w:color w:val="000000"/>
        </w:rPr>
        <w:t>(</w:t>
      </w:r>
      <w:r w:rsidRPr="007949C3">
        <w:rPr>
          <w:rFonts w:ascii="Book Antiqua" w:eastAsia="Book Antiqua" w:hAnsi="Book Antiqua" w:cs="Book Antiqua"/>
          <w:color w:val="000000"/>
        </w:rPr>
        <w:t>2.5-7.0</w:t>
      </w:r>
      <w:r w:rsidR="00837CD5">
        <w:rPr>
          <w:rFonts w:ascii="Book Antiqua" w:eastAsia="Book Antiqua" w:hAnsi="Book Antiqua" w:cs="Book Antiqua"/>
          <w:color w:val="000000"/>
        </w:rPr>
        <w:t>)</w:t>
      </w:r>
      <w:r w:rsidRPr="007949C3">
        <w:rPr>
          <w:rFonts w:ascii="Book Antiqua" w:eastAsia="Book Antiqua" w:hAnsi="Book Antiqua" w:cs="Book Antiqua"/>
          <w:color w:val="000000"/>
        </w:rPr>
        <w:t xml:space="preserve"> </w:t>
      </w:r>
      <w:r w:rsidR="00F34AED" w:rsidRPr="00AD3C1B">
        <w:rPr>
          <w:rFonts w:ascii="Book Antiqua" w:eastAsia="Book Antiqua" w:hAnsi="Book Antiqua"/>
          <w:color w:val="000000"/>
        </w:rPr>
        <w:t>×</w:t>
      </w:r>
      <w:r w:rsidRPr="007949C3">
        <w:rPr>
          <w:rFonts w:ascii="Book Antiqua" w:eastAsia="Book Antiqua" w:hAnsi="Book Antiqua" w:cs="Book Antiqua"/>
          <w:color w:val="000000"/>
        </w:rPr>
        <w:t xml:space="preserve"> 10</w:t>
      </w:r>
      <w:r w:rsidRPr="007949C3">
        <w:rPr>
          <w:rFonts w:ascii="Book Antiqua" w:eastAsia="Book Antiqua" w:hAnsi="Book Antiqua" w:cs="Book Antiqua"/>
          <w:color w:val="000000"/>
          <w:vertAlign w:val="superscript"/>
        </w:rPr>
        <w:t>8</w:t>
      </w:r>
      <w:r w:rsidRPr="007949C3">
        <w:rPr>
          <w:rFonts w:ascii="Book Antiqua" w:eastAsia="Book Antiqua" w:hAnsi="Book Antiqua" w:cs="Book Antiqua"/>
          <w:color w:val="000000"/>
        </w:rPr>
        <w:t xml:space="preserve"> cells were obtained from each umbilical cord</w:t>
      </w:r>
      <w:r w:rsidRPr="00F34AED">
        <w:rPr>
          <w:rFonts w:ascii="Book Antiqua" w:eastAsia="Book Antiqua" w:hAnsi="Book Antiqua" w:cs="Book Antiqua"/>
          <w:color w:val="000000"/>
          <w:vertAlign w:val="superscript"/>
        </w:rPr>
        <w:t>[</w:t>
      </w:r>
      <w:hyperlink w:anchor="_ENREF_40" w:tooltip="Tong, 2011 #12" w:history="1">
        <w:r w:rsidRPr="00F34AED">
          <w:rPr>
            <w:rFonts w:ascii="Book Antiqua" w:eastAsia="Book Antiqua" w:hAnsi="Book Antiqua" w:cs="Book Antiqua"/>
            <w:color w:val="000000"/>
            <w:vertAlign w:val="superscript"/>
          </w:rPr>
          <w:t>40</w:t>
        </w:r>
      </w:hyperlink>
      <w:r w:rsidRPr="00F34AED">
        <w:rPr>
          <w:rFonts w:ascii="Book Antiqua" w:eastAsia="Book Antiqua" w:hAnsi="Book Antiqua" w:cs="Book Antiqua"/>
          <w:color w:val="000000"/>
          <w:vertAlign w:val="superscript"/>
        </w:rPr>
        <w:t>]</w:t>
      </w:r>
      <w:r w:rsidRPr="007949C3">
        <w:rPr>
          <w:rFonts w:ascii="Book Antiqua" w:eastAsia="Book Antiqua" w:hAnsi="Book Antiqua" w:cs="Book Antiqua"/>
          <w:color w:val="000000"/>
        </w:rPr>
        <w:t>. In the process of isolating cells from the umbilical cord, the amnion and three blood vessels of the donated umbilical cord were removed. Next, the umbilical cord tissue was cut using operating scissors and ground using a disposable tissue grinder. Then, the ground tissue was treated with an enzyme mixture of collagenase and hyaluronidase and placed in a 37 °C, 50 mL/L CO</w:t>
      </w:r>
      <w:r w:rsidRPr="007949C3">
        <w:rPr>
          <w:rFonts w:ascii="Book Antiqua" w:eastAsia="Book Antiqua" w:hAnsi="Book Antiqua" w:cs="Book Antiqua"/>
          <w:color w:val="000000"/>
          <w:vertAlign w:val="subscript"/>
        </w:rPr>
        <w:t>2</w:t>
      </w:r>
      <w:r w:rsidRPr="007949C3">
        <w:rPr>
          <w:rFonts w:ascii="Book Antiqua" w:eastAsia="Book Antiqua" w:hAnsi="Book Antiqua" w:cs="Book Antiqua"/>
          <w:color w:val="000000"/>
        </w:rPr>
        <w:t xml:space="preserve"> incubator for 0.5-1.0 h. After that, the solutions were filtered through a 100 μm cell strainer and centrifuged to obtain cells. The cells were immediately frozen and stored at -197 °C.</w:t>
      </w:r>
    </w:p>
    <w:p w14:paraId="7AAB894A" w14:textId="77777777" w:rsidR="00A77B3E" w:rsidRPr="007949C3" w:rsidRDefault="00A77B3E" w:rsidP="007949C3">
      <w:pPr>
        <w:adjustRightInd w:val="0"/>
        <w:snapToGrid w:val="0"/>
        <w:spacing w:line="360" w:lineRule="auto"/>
        <w:jc w:val="both"/>
        <w:rPr>
          <w:rFonts w:ascii="Book Antiqua" w:hAnsi="Book Antiqua"/>
        </w:rPr>
      </w:pPr>
    </w:p>
    <w:p w14:paraId="21BEC502"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i/>
          <w:iCs/>
          <w:color w:val="000000"/>
        </w:rPr>
        <w:t>Evaluation of quality and purity of isolated MM-UC-MSCs</w:t>
      </w:r>
    </w:p>
    <w:p w14:paraId="2E98B193"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We confirmed the expression of MSC markers such as CD73, CD90, and CD105 from MM-UC-MSCs using a using a CyFlow</w:t>
      </w:r>
      <w:r w:rsidRPr="007949C3">
        <w:rPr>
          <w:rFonts w:ascii="Book Antiqua" w:eastAsia="Book Antiqua" w:hAnsi="Book Antiqua" w:cs="Book Antiqua"/>
          <w:color w:val="000000"/>
          <w:vertAlign w:val="superscript"/>
        </w:rPr>
        <w:t>®</w:t>
      </w:r>
      <w:r w:rsidRPr="007949C3">
        <w:rPr>
          <w:rFonts w:ascii="Book Antiqua" w:eastAsia="Book Antiqua" w:hAnsi="Book Antiqua" w:cs="Book Antiqua"/>
          <w:color w:val="000000"/>
        </w:rPr>
        <w:t xml:space="preserve"> Cube 6 (Sysmex) and FCS Express 5 software (Figure 2). We confirmed the isolated MM-UC-MSCs expressed MSC markers CD73 (77.48%), CD90 (95.67%), and CD105 (95.40%). We determined that the isolated MM-UC-MSCs were of the same quality as our previous results because the MM-UC-MSCs isolated by the same method uniformly expressed CD73 (70%-80%), CD90 (90%-100%), and CD105 (90%-100%). The cells were assessed using a sterility test, mycoplasma test, endotoxin test, and testing for adventitious agents of biological products, according to regulations from the Ministry of Food and Drug Safety in the Republic of Korea (data not shown).</w:t>
      </w:r>
    </w:p>
    <w:p w14:paraId="32E111B2" w14:textId="77777777" w:rsidR="00A77B3E" w:rsidRPr="007949C3" w:rsidRDefault="00A77B3E" w:rsidP="007949C3">
      <w:pPr>
        <w:adjustRightInd w:val="0"/>
        <w:snapToGrid w:val="0"/>
        <w:spacing w:line="360" w:lineRule="auto"/>
        <w:jc w:val="both"/>
        <w:rPr>
          <w:rFonts w:ascii="Book Antiqua" w:hAnsi="Book Antiqua"/>
        </w:rPr>
      </w:pPr>
    </w:p>
    <w:p w14:paraId="7F70A37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i/>
          <w:iCs/>
          <w:color w:val="000000"/>
        </w:rPr>
        <w:t>Preparation of injection solution</w:t>
      </w:r>
    </w:p>
    <w:p w14:paraId="1F3C0937" w14:textId="5543D3BF"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After thawing the frozen MM-UC-MSCs, the cells were obtained by centrifugation. The cells were resuspended in 0.9% physiological saline at a concentration of 1 </w:t>
      </w:r>
      <w:r w:rsidR="00642612" w:rsidRPr="00642612">
        <w:rPr>
          <w:rFonts w:ascii="Book Antiqua" w:eastAsia="Book Antiqua" w:hAnsi="Book Antiqua"/>
          <w:color w:val="000000"/>
        </w:rPr>
        <w:t>×</w:t>
      </w:r>
      <w:r w:rsidR="00642612">
        <w:rPr>
          <w:rFonts w:ascii="Book Antiqua" w:eastAsia="Book Antiqua" w:hAnsi="Book Antiqua" w:cs="Book Antiqua"/>
          <w:color w:val="000000"/>
        </w:rPr>
        <w:t xml:space="preserve"> </w:t>
      </w:r>
      <w:r w:rsidRPr="007949C3">
        <w:rPr>
          <w:rFonts w:ascii="Book Antiqua" w:eastAsia="Book Antiqua" w:hAnsi="Book Antiqua" w:cs="Book Antiqua"/>
          <w:color w:val="000000"/>
        </w:rPr>
        <w:t>10</w:t>
      </w:r>
      <w:r w:rsidRPr="007949C3">
        <w:rPr>
          <w:rFonts w:ascii="Book Antiqua" w:eastAsia="Book Antiqua" w:hAnsi="Book Antiqua" w:cs="Book Antiqua"/>
          <w:color w:val="000000"/>
          <w:vertAlign w:val="superscript"/>
        </w:rPr>
        <w:t>6</w:t>
      </w:r>
      <w:r w:rsidRPr="007949C3">
        <w:rPr>
          <w:rFonts w:ascii="Book Antiqua" w:eastAsia="Book Antiqua" w:hAnsi="Book Antiqua" w:cs="Book Antiqua"/>
          <w:color w:val="000000"/>
        </w:rPr>
        <w:t xml:space="preserve"> cells/mL. Then, 1 mL of the solution was filled into an Ultra-Fine</w:t>
      </w:r>
      <w:r w:rsidRPr="007949C3">
        <w:rPr>
          <w:rFonts w:ascii="Book Antiqua" w:eastAsia="Book Antiqua" w:hAnsi="Book Antiqua" w:cs="Book Antiqua"/>
          <w:color w:val="000000"/>
          <w:vertAlign w:val="superscript"/>
        </w:rPr>
        <w:t>TM</w:t>
      </w:r>
      <w:r w:rsidRPr="007949C3">
        <w:rPr>
          <w:rFonts w:ascii="Book Antiqua" w:eastAsia="Book Antiqua" w:hAnsi="Book Antiqua" w:cs="Book Antiqua"/>
          <w:color w:val="000000"/>
        </w:rPr>
        <w:t xml:space="preserve"> II Insulin Syringe (BD Biosciences, Franklin Lakes, NJ, United States).</w:t>
      </w:r>
    </w:p>
    <w:p w14:paraId="5D3A358E" w14:textId="77777777" w:rsidR="00A77B3E" w:rsidRPr="007949C3" w:rsidRDefault="00A77B3E" w:rsidP="007949C3">
      <w:pPr>
        <w:adjustRightInd w:val="0"/>
        <w:snapToGrid w:val="0"/>
        <w:spacing w:line="360" w:lineRule="auto"/>
        <w:jc w:val="both"/>
        <w:rPr>
          <w:rFonts w:ascii="Book Antiqua" w:hAnsi="Book Antiqua"/>
        </w:rPr>
      </w:pPr>
    </w:p>
    <w:p w14:paraId="1D2579B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Case 1: </w:t>
      </w:r>
      <w:r w:rsidRPr="007949C3">
        <w:rPr>
          <w:rFonts w:ascii="Book Antiqua" w:eastAsia="Book Antiqua" w:hAnsi="Book Antiqua" w:cs="Book Antiqua"/>
          <w:color w:val="000000"/>
        </w:rPr>
        <w:t>The injection solution containing MM-UC-MSCs was injected in and around each lesion site at 1 cm intervals. Each injection site received 0.25 mL of the solution for a total of 1 mL at each AA lesion. The patient received a total of 15 treatments over a period of 6 mo (Table 1).</w:t>
      </w:r>
    </w:p>
    <w:p w14:paraId="41BBB90D" w14:textId="77777777" w:rsidR="00A77B3E" w:rsidRPr="007949C3" w:rsidRDefault="00A77B3E" w:rsidP="007949C3">
      <w:pPr>
        <w:adjustRightInd w:val="0"/>
        <w:snapToGrid w:val="0"/>
        <w:spacing w:line="360" w:lineRule="auto"/>
        <w:jc w:val="both"/>
        <w:rPr>
          <w:rFonts w:ascii="Book Antiqua" w:hAnsi="Book Antiqua"/>
        </w:rPr>
      </w:pPr>
    </w:p>
    <w:p w14:paraId="59B6F173"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Case 2: </w:t>
      </w:r>
      <w:r w:rsidRPr="007949C3">
        <w:rPr>
          <w:rFonts w:ascii="Book Antiqua" w:eastAsia="Book Antiqua" w:hAnsi="Book Antiqua" w:cs="Book Antiqua"/>
          <w:color w:val="000000"/>
        </w:rPr>
        <w:t>The injection solution containing MM-UC-MSCs was injected in and around the lesion site at 1 cm intervals. Each injection site received 0.25 mL of the solution for a total of 1 mL at each AA lesion. The patient received a total of two treatments over a period of 1 mo (Table 2).</w:t>
      </w:r>
    </w:p>
    <w:p w14:paraId="5A59BECA" w14:textId="77777777" w:rsidR="00A77B3E" w:rsidRPr="007949C3" w:rsidRDefault="00A77B3E" w:rsidP="007949C3">
      <w:pPr>
        <w:adjustRightInd w:val="0"/>
        <w:snapToGrid w:val="0"/>
        <w:spacing w:line="360" w:lineRule="auto"/>
        <w:jc w:val="both"/>
        <w:rPr>
          <w:rFonts w:ascii="Book Antiqua" w:hAnsi="Book Antiqua"/>
        </w:rPr>
      </w:pPr>
    </w:p>
    <w:p w14:paraId="3FF92872"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Case 3: </w:t>
      </w:r>
      <w:r w:rsidRPr="007949C3">
        <w:rPr>
          <w:rFonts w:ascii="Book Antiqua" w:eastAsia="Book Antiqua" w:hAnsi="Book Antiqua" w:cs="Book Antiqua"/>
          <w:color w:val="000000"/>
        </w:rPr>
        <w:t>The injection solution containing MM-UC-MSCs was injected into the entire scalp at 2-3 cm intervals. Each injection site received 0.25 mL of the solution. The patient received a total of fourteen treatments over a period of 12 mo (Table 3).</w:t>
      </w:r>
    </w:p>
    <w:p w14:paraId="549167D1" w14:textId="77777777" w:rsidR="00A77B3E" w:rsidRPr="007949C3" w:rsidRDefault="00A77B3E" w:rsidP="007949C3">
      <w:pPr>
        <w:adjustRightInd w:val="0"/>
        <w:snapToGrid w:val="0"/>
        <w:spacing w:line="360" w:lineRule="auto"/>
        <w:jc w:val="both"/>
        <w:rPr>
          <w:rFonts w:ascii="Book Antiqua" w:hAnsi="Book Antiqua"/>
        </w:rPr>
      </w:pPr>
    </w:p>
    <w:p w14:paraId="6948A4E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aps/>
          <w:color w:val="000000"/>
          <w:u w:val="single"/>
        </w:rPr>
        <w:t>OUTCOME AND FOLLOW-UP</w:t>
      </w:r>
    </w:p>
    <w:p w14:paraId="22EBF66F"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i/>
          <w:iCs/>
          <w:color w:val="000000"/>
        </w:rPr>
        <w:t>Case 1</w:t>
      </w:r>
    </w:p>
    <w:p w14:paraId="5159CE19"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No visible change was observed until 3 mo after the first treatment (Figure 3A and B). Approximately 5 mo after the first treatment, hair grew to cover the lesion site (Figure 3C). Twenty-two months after the final treatment, there was no recurrence of AA (Figure 3D). Four years after treatment, the patient’s mean hair densities at the previous AA lesion sites were 169.33 hairs/cm</w:t>
      </w:r>
      <w:r w:rsidRPr="007949C3">
        <w:rPr>
          <w:rFonts w:ascii="Book Antiqua" w:eastAsia="Book Antiqua" w:hAnsi="Book Antiqua" w:cs="Book Antiqua"/>
          <w:color w:val="000000"/>
          <w:vertAlign w:val="superscript"/>
        </w:rPr>
        <w:t>2</w:t>
      </w:r>
      <w:r w:rsidRPr="007949C3">
        <w:rPr>
          <w:rFonts w:ascii="Book Antiqua" w:eastAsia="Book Antiqua" w:hAnsi="Book Antiqua" w:cs="Book Antiqua"/>
          <w:color w:val="000000"/>
        </w:rPr>
        <w:t xml:space="preserve"> (right lesion) and 168.00 hairs/cm</w:t>
      </w:r>
      <w:r w:rsidRPr="007949C3">
        <w:rPr>
          <w:rFonts w:ascii="Book Antiqua" w:eastAsia="Book Antiqua" w:hAnsi="Book Antiqua" w:cs="Book Antiqua"/>
          <w:color w:val="000000"/>
          <w:vertAlign w:val="superscript"/>
        </w:rPr>
        <w:t>2</w:t>
      </w:r>
      <w:r w:rsidRPr="007949C3">
        <w:rPr>
          <w:rFonts w:ascii="Book Antiqua" w:eastAsia="Book Antiqua" w:hAnsi="Book Antiqua" w:cs="Book Antiqua"/>
          <w:color w:val="000000"/>
        </w:rPr>
        <w:t xml:space="preserve"> (left lesion) (Table 4).</w:t>
      </w:r>
    </w:p>
    <w:p w14:paraId="7D4483BF" w14:textId="77777777" w:rsidR="00A77B3E" w:rsidRPr="007949C3" w:rsidRDefault="00A77B3E" w:rsidP="007949C3">
      <w:pPr>
        <w:adjustRightInd w:val="0"/>
        <w:snapToGrid w:val="0"/>
        <w:spacing w:line="360" w:lineRule="auto"/>
        <w:jc w:val="both"/>
        <w:rPr>
          <w:rFonts w:ascii="Book Antiqua" w:hAnsi="Book Antiqua"/>
        </w:rPr>
      </w:pPr>
    </w:p>
    <w:p w14:paraId="487F4174"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i/>
          <w:iCs/>
          <w:color w:val="000000"/>
        </w:rPr>
        <w:t>Case 2</w:t>
      </w:r>
    </w:p>
    <w:p w14:paraId="54FEDDC6"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The lesion area decreased after the first transplantation, and AA was completely cured approximately 3 mo after the second transplantation (Figure 4). There was no recurrence of AA in the patient for 2 years after the final transplant. Three years after the final transplant, the patient’s mean hair density at the previous AA lesion site was 162.00 hairs/cm</w:t>
      </w:r>
      <w:r w:rsidRPr="007949C3">
        <w:rPr>
          <w:rFonts w:ascii="Book Antiqua" w:eastAsia="Book Antiqua" w:hAnsi="Book Antiqua" w:cs="Book Antiqua"/>
          <w:color w:val="000000"/>
          <w:vertAlign w:val="superscript"/>
        </w:rPr>
        <w:t>2</w:t>
      </w:r>
      <w:r w:rsidRPr="007949C3">
        <w:rPr>
          <w:rFonts w:ascii="Book Antiqua" w:eastAsia="Book Antiqua" w:hAnsi="Book Antiqua" w:cs="Book Antiqua"/>
          <w:color w:val="000000"/>
        </w:rPr>
        <w:t xml:space="preserve"> (Table 5).</w:t>
      </w:r>
    </w:p>
    <w:p w14:paraId="508EDE94" w14:textId="77777777" w:rsidR="00A77B3E" w:rsidRPr="007949C3" w:rsidRDefault="00A77B3E" w:rsidP="007949C3">
      <w:pPr>
        <w:adjustRightInd w:val="0"/>
        <w:snapToGrid w:val="0"/>
        <w:spacing w:line="360" w:lineRule="auto"/>
        <w:jc w:val="both"/>
        <w:rPr>
          <w:rFonts w:ascii="Book Antiqua" w:hAnsi="Book Antiqua"/>
        </w:rPr>
      </w:pPr>
    </w:p>
    <w:p w14:paraId="13FDB1F4"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i/>
          <w:iCs/>
          <w:color w:val="000000"/>
        </w:rPr>
        <w:t>Case 3</w:t>
      </w:r>
    </w:p>
    <w:p w14:paraId="06A09D7C" w14:textId="1722FA90"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The patient’s hair began to grow after approximately 3 mo after the first transplant (Figure 5). Three months after the final transplantation, the patient stopped wearing a wig. The condition was maintained at the 1</w:t>
      </w:r>
      <w:r w:rsidR="00642612">
        <w:rPr>
          <w:rFonts w:ascii="Book Antiqua" w:eastAsia="Book Antiqua" w:hAnsi="Book Antiqua" w:cs="Book Antiqua"/>
          <w:color w:val="000000"/>
        </w:rPr>
        <w:t>-</w:t>
      </w:r>
      <w:r w:rsidRPr="007949C3">
        <w:rPr>
          <w:rFonts w:ascii="Book Antiqua" w:eastAsia="Book Antiqua" w:hAnsi="Book Antiqua" w:cs="Book Antiqua"/>
          <w:color w:val="000000"/>
        </w:rPr>
        <w:t>year follow-up (data not shown).</w:t>
      </w:r>
    </w:p>
    <w:p w14:paraId="5AC6483B" w14:textId="77777777" w:rsidR="00A77B3E" w:rsidRPr="007949C3" w:rsidRDefault="00A77B3E" w:rsidP="007949C3">
      <w:pPr>
        <w:adjustRightInd w:val="0"/>
        <w:snapToGrid w:val="0"/>
        <w:spacing w:line="360" w:lineRule="auto"/>
        <w:jc w:val="both"/>
        <w:rPr>
          <w:rFonts w:ascii="Book Antiqua" w:hAnsi="Book Antiqua"/>
        </w:rPr>
      </w:pPr>
    </w:p>
    <w:p w14:paraId="03CDE364"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i/>
          <w:iCs/>
          <w:color w:val="000000"/>
        </w:rPr>
        <w:t>Report of side effects</w:t>
      </w:r>
    </w:p>
    <w:p w14:paraId="0C9932A5"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During the treatment and follow-up duration, no adverse reactions related to dermatitis were observed or reported by the patients. The patients experienced no symptoms such as fever, chill, or nausea that can frequently appear in patients who receive MSC transplantation. No other side effects were reported by the patients.</w:t>
      </w:r>
    </w:p>
    <w:p w14:paraId="6C38AA12" w14:textId="77777777" w:rsidR="00A77B3E" w:rsidRPr="007949C3" w:rsidRDefault="00A77B3E" w:rsidP="007949C3">
      <w:pPr>
        <w:adjustRightInd w:val="0"/>
        <w:snapToGrid w:val="0"/>
        <w:spacing w:line="360" w:lineRule="auto"/>
        <w:jc w:val="both"/>
        <w:rPr>
          <w:rFonts w:ascii="Book Antiqua" w:hAnsi="Book Antiqua"/>
        </w:rPr>
      </w:pPr>
    </w:p>
    <w:p w14:paraId="54E1755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aps/>
          <w:color w:val="000000"/>
          <w:u w:val="single"/>
        </w:rPr>
        <w:t>DISCUSSION</w:t>
      </w:r>
    </w:p>
    <w:p w14:paraId="685F6DBC" w14:textId="77777777" w:rsidR="00A77B3E" w:rsidRPr="00642612" w:rsidRDefault="005D3F12" w:rsidP="007949C3">
      <w:pPr>
        <w:adjustRightInd w:val="0"/>
        <w:snapToGrid w:val="0"/>
        <w:spacing w:line="360" w:lineRule="auto"/>
        <w:jc w:val="both"/>
        <w:rPr>
          <w:rFonts w:ascii="Book Antiqua" w:hAnsi="Book Antiqua"/>
        </w:rPr>
      </w:pPr>
      <w:r w:rsidRPr="00642612">
        <w:rPr>
          <w:rFonts w:ascii="Book Antiqua" w:eastAsia="Book Antiqua" w:hAnsi="Book Antiqua" w:cs="Book Antiqua"/>
          <w:color w:val="000000"/>
        </w:rPr>
        <w:t>AA is a well-known autoimmune disease that can have a devastating impact on a patient’s quality of life</w:t>
      </w:r>
      <w:r w:rsidRPr="00642612">
        <w:rPr>
          <w:rFonts w:ascii="Book Antiqua" w:eastAsia="Book Antiqua" w:hAnsi="Book Antiqua" w:cs="Book Antiqua"/>
          <w:color w:val="000000"/>
          <w:vertAlign w:val="superscript"/>
        </w:rPr>
        <w:t>[</w:t>
      </w:r>
      <w:hyperlink w:anchor="_ENREF_5" w:tooltip="Pratt, 2017 #5" w:history="1">
        <w:r w:rsidRPr="00642612">
          <w:rPr>
            <w:rFonts w:ascii="Book Antiqua" w:eastAsia="Book Antiqua" w:hAnsi="Book Antiqua" w:cs="Book Antiqua"/>
            <w:color w:val="000000"/>
            <w:vertAlign w:val="superscript"/>
          </w:rPr>
          <w:t>5</w:t>
        </w:r>
      </w:hyperlink>
      <w:r w:rsidRPr="00642612">
        <w:rPr>
          <w:rFonts w:ascii="Book Antiqua" w:eastAsia="Book Antiqua" w:hAnsi="Book Antiqua" w:cs="Book Antiqua"/>
          <w:color w:val="000000"/>
          <w:vertAlign w:val="superscript"/>
        </w:rPr>
        <w:t>,</w:t>
      </w:r>
      <w:hyperlink w:anchor="_ENREF_8" w:tooltip="Fabbrocini, 2013 #7" w:history="1">
        <w:r w:rsidRPr="00642612">
          <w:rPr>
            <w:rFonts w:ascii="Book Antiqua" w:eastAsia="Book Antiqua" w:hAnsi="Book Antiqua" w:cs="Book Antiqua"/>
            <w:color w:val="000000"/>
            <w:vertAlign w:val="superscript"/>
          </w:rPr>
          <w:t>8</w:t>
        </w:r>
      </w:hyperlink>
      <w:r w:rsidRPr="00642612">
        <w:rPr>
          <w:rFonts w:ascii="Book Antiqua" w:eastAsia="Book Antiqua" w:hAnsi="Book Antiqua" w:cs="Book Antiqua"/>
          <w:color w:val="000000"/>
          <w:vertAlign w:val="superscript"/>
        </w:rPr>
        <w:t>]</w:t>
      </w:r>
      <w:r w:rsidRPr="00642612">
        <w:rPr>
          <w:rFonts w:ascii="Book Antiqua" w:eastAsia="Book Antiqua" w:hAnsi="Book Antiqua" w:cs="Book Antiqua"/>
          <w:color w:val="000000"/>
        </w:rPr>
        <w:t>. Currently, various drug treatments have been attempted. However, they only slowed down the progression of the disease, with limited benefit to the patient</w:t>
      </w:r>
      <w:r w:rsidRPr="00642612">
        <w:rPr>
          <w:rFonts w:ascii="Book Antiqua" w:eastAsia="Book Antiqua" w:hAnsi="Book Antiqua" w:cs="Book Antiqua"/>
          <w:color w:val="000000"/>
          <w:vertAlign w:val="superscript"/>
        </w:rPr>
        <w:t>[</w:t>
      </w:r>
      <w:hyperlink w:anchor="_ENREF_5" w:tooltip="Pratt, 2017 #5" w:history="1">
        <w:r w:rsidRPr="00642612">
          <w:rPr>
            <w:rFonts w:ascii="Book Antiqua" w:eastAsia="Book Antiqua" w:hAnsi="Book Antiqua" w:cs="Book Antiqua"/>
            <w:color w:val="000000"/>
            <w:vertAlign w:val="superscript"/>
          </w:rPr>
          <w:t>5-7</w:t>
        </w:r>
      </w:hyperlink>
      <w:r w:rsidRPr="00642612">
        <w:rPr>
          <w:rFonts w:ascii="Book Antiqua" w:eastAsia="Book Antiqua" w:hAnsi="Book Antiqua" w:cs="Book Antiqua"/>
          <w:color w:val="000000"/>
          <w:vertAlign w:val="superscript"/>
        </w:rPr>
        <w:t>]</w:t>
      </w:r>
      <w:r w:rsidRPr="00642612">
        <w:rPr>
          <w:rFonts w:ascii="Book Antiqua" w:eastAsia="Book Antiqua" w:hAnsi="Book Antiqua" w:cs="Book Antiqua"/>
          <w:color w:val="000000"/>
        </w:rPr>
        <w:t>. Hair transplantation has little effect in cases of diffuse AA, AT, or AU. Therefore, new treatment strategies for AA and related diseases are needed. Various studies have been attempted for the treatment of AA. Among them is the use of MSCs, which has had remarkable success</w:t>
      </w:r>
      <w:r w:rsidRPr="00642612">
        <w:rPr>
          <w:rFonts w:ascii="Book Antiqua" w:eastAsia="Book Antiqua" w:hAnsi="Book Antiqua" w:cs="Book Antiqua"/>
          <w:color w:val="000000"/>
          <w:vertAlign w:val="superscript"/>
        </w:rPr>
        <w:t>[</w:t>
      </w:r>
      <w:hyperlink w:anchor="_ENREF_18" w:tooltip="Kim, 2020 #36" w:history="1">
        <w:r w:rsidRPr="00642612">
          <w:rPr>
            <w:rFonts w:ascii="Book Antiqua" w:eastAsia="Book Antiqua" w:hAnsi="Book Antiqua" w:cs="Book Antiqua"/>
            <w:color w:val="000000"/>
            <w:vertAlign w:val="superscript"/>
          </w:rPr>
          <w:t>18</w:t>
        </w:r>
      </w:hyperlink>
      <w:r w:rsidRPr="00642612">
        <w:rPr>
          <w:rFonts w:ascii="Book Antiqua" w:eastAsia="Book Antiqua" w:hAnsi="Book Antiqua" w:cs="Book Antiqua"/>
          <w:color w:val="000000"/>
          <w:vertAlign w:val="superscript"/>
        </w:rPr>
        <w:t>,</w:t>
      </w:r>
      <w:hyperlink w:anchor="_ENREF_25" w:tooltip="Nilforoushzadeh, 2019 #46" w:history="1">
        <w:r w:rsidRPr="00642612">
          <w:rPr>
            <w:rFonts w:ascii="Book Antiqua" w:eastAsia="Book Antiqua" w:hAnsi="Book Antiqua" w:cs="Book Antiqua"/>
            <w:color w:val="000000"/>
            <w:vertAlign w:val="superscript"/>
          </w:rPr>
          <w:t>25</w:t>
        </w:r>
      </w:hyperlink>
      <w:r w:rsidRPr="00642612">
        <w:rPr>
          <w:rFonts w:ascii="Book Antiqua" w:eastAsia="Book Antiqua" w:hAnsi="Book Antiqua" w:cs="Book Antiqua"/>
          <w:color w:val="000000"/>
          <w:vertAlign w:val="superscript"/>
        </w:rPr>
        <w:t>,</w:t>
      </w:r>
      <w:hyperlink w:anchor="_ENREF_26" w:tooltip="Anderi, 2018 #48" w:history="1">
        <w:r w:rsidRPr="00642612">
          <w:rPr>
            <w:rFonts w:ascii="Book Antiqua" w:eastAsia="Book Antiqua" w:hAnsi="Book Antiqua" w:cs="Book Antiqua"/>
            <w:color w:val="000000"/>
            <w:vertAlign w:val="superscript"/>
          </w:rPr>
          <w:t>26</w:t>
        </w:r>
      </w:hyperlink>
      <w:r w:rsidRPr="00642612">
        <w:rPr>
          <w:rFonts w:ascii="Book Antiqua" w:eastAsia="Book Antiqua" w:hAnsi="Book Antiqua" w:cs="Book Antiqua"/>
          <w:color w:val="000000"/>
          <w:vertAlign w:val="superscript"/>
        </w:rPr>
        <w:t>]</w:t>
      </w:r>
      <w:r w:rsidRPr="00642612">
        <w:rPr>
          <w:rFonts w:ascii="Book Antiqua" w:eastAsia="Book Antiqua" w:hAnsi="Book Antiqua" w:cs="Book Antiqua"/>
          <w:color w:val="000000"/>
        </w:rPr>
        <w:t>. MSCs are efficacious in the treatment of autoimmune diseases because they have anti-inflammatory and immunomodulatory properties</w:t>
      </w:r>
      <w:r w:rsidRPr="00642612">
        <w:rPr>
          <w:rFonts w:ascii="Book Antiqua" w:eastAsia="Book Antiqua" w:hAnsi="Book Antiqua" w:cs="Book Antiqua"/>
          <w:color w:val="000000"/>
          <w:vertAlign w:val="superscript"/>
        </w:rPr>
        <w:t>[</w:t>
      </w:r>
      <w:hyperlink w:anchor="_ENREF_21" w:tooltip="Deuse, 2011 #10" w:history="1">
        <w:r w:rsidRPr="00642612">
          <w:rPr>
            <w:rFonts w:ascii="Book Antiqua" w:eastAsia="Book Antiqua" w:hAnsi="Book Antiqua" w:cs="Book Antiqua"/>
            <w:color w:val="000000"/>
            <w:vertAlign w:val="superscript"/>
          </w:rPr>
          <w:t>21-23</w:t>
        </w:r>
      </w:hyperlink>
      <w:r w:rsidRPr="00642612">
        <w:rPr>
          <w:rFonts w:ascii="Book Antiqua" w:eastAsia="Book Antiqua" w:hAnsi="Book Antiqua" w:cs="Book Antiqua"/>
          <w:color w:val="000000"/>
          <w:vertAlign w:val="superscript"/>
        </w:rPr>
        <w:t>]</w:t>
      </w:r>
      <w:r w:rsidRPr="00642612">
        <w:rPr>
          <w:rFonts w:ascii="Book Antiqua" w:eastAsia="Book Antiqua" w:hAnsi="Book Antiqua" w:cs="Book Antiqua"/>
          <w:color w:val="000000"/>
        </w:rPr>
        <w:t>. In addition, MSC treatment is suitable as a new alternative treatment method for AA because MSCs promote hair growth and strengthen the hair</w:t>
      </w:r>
      <w:r w:rsidRPr="00642612">
        <w:rPr>
          <w:rFonts w:ascii="Book Antiqua" w:eastAsia="Book Antiqua" w:hAnsi="Book Antiqua" w:cs="Book Antiqua"/>
          <w:color w:val="000000"/>
          <w:vertAlign w:val="superscript"/>
        </w:rPr>
        <w:t>[</w:t>
      </w:r>
      <w:hyperlink w:anchor="_ENREF_18" w:tooltip="Kim, 2020 #36" w:history="1">
        <w:r w:rsidRPr="00642612">
          <w:rPr>
            <w:rFonts w:ascii="Book Antiqua" w:eastAsia="Book Antiqua" w:hAnsi="Book Antiqua" w:cs="Book Antiqua"/>
            <w:color w:val="000000"/>
            <w:vertAlign w:val="superscript"/>
          </w:rPr>
          <w:t>18</w:t>
        </w:r>
      </w:hyperlink>
      <w:r w:rsidRPr="00642612">
        <w:rPr>
          <w:rFonts w:ascii="Book Antiqua" w:eastAsia="Book Antiqua" w:hAnsi="Book Antiqua" w:cs="Book Antiqua"/>
          <w:color w:val="000000"/>
          <w:vertAlign w:val="superscript"/>
        </w:rPr>
        <w:t>]</w:t>
      </w:r>
      <w:r w:rsidRPr="00642612">
        <w:rPr>
          <w:rFonts w:ascii="Book Antiqua" w:eastAsia="Book Antiqua" w:hAnsi="Book Antiqua" w:cs="Book Antiqua"/>
          <w:color w:val="000000"/>
        </w:rPr>
        <w:t>. Minimally manipulated MSCs are known to preserve the characteristics of MSCs compared to cultured MSCs</w:t>
      </w:r>
      <w:r w:rsidRPr="00642612">
        <w:rPr>
          <w:rFonts w:ascii="Book Antiqua" w:eastAsia="Book Antiqua" w:hAnsi="Book Antiqua" w:cs="Book Antiqua"/>
          <w:color w:val="000000"/>
          <w:vertAlign w:val="superscript"/>
        </w:rPr>
        <w:t>[</w:t>
      </w:r>
      <w:hyperlink w:anchor="_ENREF_29" w:tooltip="Javazon, 2004 #54" w:history="1">
        <w:r w:rsidRPr="00642612">
          <w:rPr>
            <w:rFonts w:ascii="Book Antiqua" w:eastAsia="Book Antiqua" w:hAnsi="Book Antiqua" w:cs="Book Antiqua"/>
            <w:color w:val="000000"/>
            <w:vertAlign w:val="superscript"/>
          </w:rPr>
          <w:t>29</w:t>
        </w:r>
      </w:hyperlink>
      <w:r w:rsidRPr="00642612">
        <w:rPr>
          <w:rFonts w:ascii="Book Antiqua" w:eastAsia="Book Antiqua" w:hAnsi="Book Antiqua" w:cs="Book Antiqua"/>
          <w:color w:val="000000"/>
          <w:vertAlign w:val="superscript"/>
        </w:rPr>
        <w:t>,</w:t>
      </w:r>
      <w:hyperlink w:anchor="_ENREF_30" w:tooltip="Gu, 2016 #56" w:history="1">
        <w:r w:rsidRPr="00642612">
          <w:rPr>
            <w:rFonts w:ascii="Book Antiqua" w:eastAsia="Book Antiqua" w:hAnsi="Book Antiqua" w:cs="Book Antiqua"/>
            <w:color w:val="000000"/>
            <w:vertAlign w:val="superscript"/>
          </w:rPr>
          <w:t>30</w:t>
        </w:r>
      </w:hyperlink>
      <w:r w:rsidRPr="00642612">
        <w:rPr>
          <w:rFonts w:ascii="Book Antiqua" w:eastAsia="Book Antiqua" w:hAnsi="Book Antiqua" w:cs="Book Antiqua"/>
          <w:color w:val="000000"/>
          <w:vertAlign w:val="superscript"/>
        </w:rPr>
        <w:t>,</w:t>
      </w:r>
      <w:hyperlink w:anchor="_ENREF_38" w:tooltip="Li, 2015 #15" w:history="1">
        <w:r w:rsidRPr="00642612">
          <w:rPr>
            <w:rFonts w:ascii="Book Antiqua" w:eastAsia="Book Antiqua" w:hAnsi="Book Antiqua" w:cs="Book Antiqua"/>
            <w:color w:val="000000"/>
            <w:vertAlign w:val="superscript"/>
          </w:rPr>
          <w:t>38</w:t>
        </w:r>
      </w:hyperlink>
      <w:r w:rsidRPr="00642612">
        <w:rPr>
          <w:rFonts w:ascii="Book Antiqua" w:eastAsia="Book Antiqua" w:hAnsi="Book Antiqua" w:cs="Book Antiqua"/>
          <w:color w:val="000000"/>
          <w:vertAlign w:val="superscript"/>
        </w:rPr>
        <w:t>,</w:t>
      </w:r>
      <w:hyperlink w:anchor="_ENREF_39" w:tooltip="Zhuang, 2015 #16" w:history="1">
        <w:r w:rsidRPr="00642612">
          <w:rPr>
            <w:rFonts w:ascii="Book Antiqua" w:eastAsia="Book Antiqua" w:hAnsi="Book Antiqua" w:cs="Book Antiqua"/>
            <w:color w:val="000000"/>
            <w:vertAlign w:val="superscript"/>
          </w:rPr>
          <w:t>39</w:t>
        </w:r>
      </w:hyperlink>
      <w:r w:rsidRPr="00642612">
        <w:rPr>
          <w:rFonts w:ascii="Book Antiqua" w:eastAsia="Book Antiqua" w:hAnsi="Book Antiqua" w:cs="Book Antiqua"/>
          <w:color w:val="000000"/>
          <w:vertAlign w:val="superscript"/>
        </w:rPr>
        <w:t>]</w:t>
      </w:r>
      <w:r w:rsidRPr="00642612">
        <w:rPr>
          <w:rFonts w:ascii="Book Antiqua" w:eastAsia="Book Antiqua" w:hAnsi="Book Antiqua" w:cs="Book Antiqua"/>
          <w:color w:val="000000"/>
        </w:rPr>
        <w:t>. Based on these results, we transplanted MM-UC-MSCs to treat AA in 2 patients and AU in 1 patient.</w:t>
      </w:r>
    </w:p>
    <w:p w14:paraId="3001AB0D" w14:textId="6867AA40" w:rsidR="00A77B3E" w:rsidRPr="00642612" w:rsidRDefault="005D3F12" w:rsidP="007949C3">
      <w:pPr>
        <w:adjustRightInd w:val="0"/>
        <w:snapToGrid w:val="0"/>
        <w:spacing w:line="360" w:lineRule="auto"/>
        <w:ind w:firstLine="480"/>
        <w:jc w:val="both"/>
        <w:rPr>
          <w:rFonts w:ascii="Book Antiqua" w:hAnsi="Book Antiqua"/>
        </w:rPr>
      </w:pPr>
      <w:r w:rsidRPr="00642612">
        <w:rPr>
          <w:rFonts w:ascii="Book Antiqua" w:eastAsia="Book Antiqua" w:hAnsi="Book Antiqua" w:cs="Book Antiqua"/>
          <w:color w:val="000000"/>
        </w:rPr>
        <w:t>In the cases of 1 and 2, it was observed that AA was cured, and no recurrence was observed for more than 1 year. It was confirmed that transplanting MM-UC-MSCs has high efficacy in the treatment of AA. Interestingly, case 1 had no visible change in the lesion sites for about 3 mo, while case 2 had a noticeable visible change after the first transplantation. We hypothesize that the treatment of case 2 with local steroid hormone injections for a year prior to transplantation resulted in a synergistic effect that shortened the time for the MSCs to engraft and exert their immune function to regrow the hair.</w:t>
      </w:r>
    </w:p>
    <w:p w14:paraId="4B0BDED3" w14:textId="77777777" w:rsidR="00A77B3E" w:rsidRPr="00642612" w:rsidRDefault="005D3F12" w:rsidP="007949C3">
      <w:pPr>
        <w:adjustRightInd w:val="0"/>
        <w:snapToGrid w:val="0"/>
        <w:spacing w:line="360" w:lineRule="auto"/>
        <w:ind w:firstLine="480"/>
        <w:jc w:val="both"/>
        <w:rPr>
          <w:rFonts w:ascii="Book Antiqua" w:hAnsi="Book Antiqua"/>
        </w:rPr>
      </w:pPr>
      <w:r w:rsidRPr="00642612">
        <w:rPr>
          <w:rFonts w:ascii="Book Antiqua" w:eastAsia="Book Antiqua" w:hAnsi="Book Antiqua" w:cs="Book Antiqua"/>
          <w:color w:val="000000"/>
        </w:rPr>
        <w:t xml:space="preserve">In the case of case 3, the hair grew on the scalp at levels similar to normal, and she reported no recurrence until 1 year after treatment. We relied on the patients to submit their follow-up pictures. Unfortunately, we have no other images from case 3 after day 226. Based on the result of this case, it was confirmed that transplanting MM-UC-MSCs has high efficacy for the treatment of AU as well. Interestingly, case 3, like case 1, did not see hair growth immediately after the first transplant. Hair regrowth was observed after approximately 3 mo (similar to case 1). This supports our hypothesis that prior steroid treatment can enhance the engraftment and functionality of the MM-UC-MSCs. Without the steroid use, we hypothesize that it will take about 3 mo for the MM-UC-MSCs to engraft and exert effects on the immune system. Further studies are needed to prove this hypothesis. </w:t>
      </w:r>
    </w:p>
    <w:p w14:paraId="21701AF9" w14:textId="77777777" w:rsidR="00A77B3E" w:rsidRPr="00642612" w:rsidRDefault="005D3F12" w:rsidP="007949C3">
      <w:pPr>
        <w:adjustRightInd w:val="0"/>
        <w:snapToGrid w:val="0"/>
        <w:spacing w:line="360" w:lineRule="auto"/>
        <w:ind w:firstLine="480"/>
        <w:jc w:val="both"/>
        <w:rPr>
          <w:rFonts w:ascii="Book Antiqua" w:hAnsi="Book Antiqua"/>
        </w:rPr>
      </w:pPr>
      <w:r w:rsidRPr="00642612">
        <w:rPr>
          <w:rFonts w:ascii="Book Antiqua" w:eastAsia="Book Antiqua" w:hAnsi="Book Antiqua" w:cs="Book Antiqua"/>
          <w:color w:val="000000"/>
        </w:rPr>
        <w:t xml:space="preserve">MM-UC-MSCs are expected to be a safer agent than cultured MSCs, embryonic stem cells, and induced pluripotent stem cells </w:t>
      </w:r>
      <w:r w:rsidRPr="00642612">
        <w:rPr>
          <w:rFonts w:ascii="Book Antiqua" w:eastAsia="Book Antiqua" w:hAnsi="Book Antiqua" w:cs="Book Antiqua"/>
          <w:i/>
          <w:iCs/>
          <w:color w:val="000000"/>
        </w:rPr>
        <w:t>in vivo</w:t>
      </w:r>
      <w:r w:rsidRPr="00642612">
        <w:rPr>
          <w:rFonts w:ascii="Book Antiqua" w:eastAsia="Book Antiqua" w:hAnsi="Book Antiqua" w:cs="Book Antiqua"/>
          <w:color w:val="000000"/>
        </w:rPr>
        <w:t xml:space="preserve"> because minimally manipulated MSCs have little tumorigenicity, genetic mutations, and aging-related modifications</w:t>
      </w:r>
      <w:r w:rsidRPr="00642612">
        <w:rPr>
          <w:rFonts w:ascii="Book Antiqua" w:eastAsia="Book Antiqua" w:hAnsi="Book Antiqua" w:cs="Book Antiqua"/>
          <w:color w:val="000000"/>
          <w:vertAlign w:val="superscript"/>
        </w:rPr>
        <w:t>[</w:t>
      </w:r>
      <w:hyperlink w:anchor="_ENREF_33" w:tooltip="Zhao, 2019 #62" w:history="1">
        <w:r w:rsidRPr="00642612">
          <w:rPr>
            <w:rFonts w:ascii="Book Antiqua" w:eastAsia="Book Antiqua" w:hAnsi="Book Antiqua" w:cs="Book Antiqua"/>
            <w:color w:val="000000"/>
            <w:vertAlign w:val="superscript"/>
          </w:rPr>
          <w:t>33</w:t>
        </w:r>
      </w:hyperlink>
      <w:r w:rsidRPr="00642612">
        <w:rPr>
          <w:rFonts w:ascii="Book Antiqua" w:eastAsia="Book Antiqua" w:hAnsi="Book Antiqua" w:cs="Book Antiqua"/>
          <w:color w:val="000000"/>
          <w:vertAlign w:val="superscript"/>
        </w:rPr>
        <w:t>,</w:t>
      </w:r>
      <w:hyperlink w:anchor="_ENREF_36" w:tooltip="Bao, 2020 #89" w:history="1">
        <w:r w:rsidRPr="00642612">
          <w:rPr>
            <w:rFonts w:ascii="Book Antiqua" w:eastAsia="Book Antiqua" w:hAnsi="Book Antiqua" w:cs="Book Antiqua"/>
            <w:color w:val="000000"/>
            <w:vertAlign w:val="superscript"/>
          </w:rPr>
          <w:t>36</w:t>
        </w:r>
      </w:hyperlink>
      <w:r w:rsidRPr="00642612">
        <w:rPr>
          <w:rFonts w:ascii="Book Antiqua" w:eastAsia="Book Antiqua" w:hAnsi="Book Antiqua" w:cs="Book Antiqua"/>
          <w:color w:val="000000"/>
          <w:vertAlign w:val="superscript"/>
        </w:rPr>
        <w:t>,</w:t>
      </w:r>
      <w:hyperlink w:anchor="_ENREF_37" w:tooltip="Liu, 2020 #91" w:history="1">
        <w:r w:rsidRPr="00642612">
          <w:rPr>
            <w:rFonts w:ascii="Book Antiqua" w:eastAsia="Book Antiqua" w:hAnsi="Book Antiqua" w:cs="Book Antiqua"/>
            <w:color w:val="000000"/>
            <w:vertAlign w:val="superscript"/>
          </w:rPr>
          <w:t>37</w:t>
        </w:r>
      </w:hyperlink>
      <w:r w:rsidRPr="00642612">
        <w:rPr>
          <w:rFonts w:ascii="Book Antiqua" w:eastAsia="Book Antiqua" w:hAnsi="Book Antiqua" w:cs="Book Antiqua"/>
          <w:color w:val="000000"/>
          <w:vertAlign w:val="superscript"/>
        </w:rPr>
        <w:t>]</w:t>
      </w:r>
      <w:r w:rsidRPr="00642612">
        <w:rPr>
          <w:rFonts w:ascii="Book Antiqua" w:eastAsia="Book Antiqua" w:hAnsi="Book Antiqua" w:cs="Book Antiqua"/>
          <w:color w:val="000000"/>
        </w:rPr>
        <w:t>. As expected, we did not observe any immune rejection despite the allogeneic transplantation because MSCs have immunomodulatory properties</w:t>
      </w:r>
      <w:r w:rsidRPr="00642612">
        <w:rPr>
          <w:rFonts w:ascii="Book Antiqua" w:eastAsia="Book Antiqua" w:hAnsi="Book Antiqua" w:cs="Book Antiqua"/>
          <w:color w:val="000000"/>
          <w:vertAlign w:val="superscript"/>
        </w:rPr>
        <w:t>[</w:t>
      </w:r>
      <w:hyperlink w:anchor="_ENREF_21" w:tooltip="Deuse, 2011 #10" w:history="1">
        <w:r w:rsidRPr="00642612">
          <w:rPr>
            <w:rFonts w:ascii="Book Antiqua" w:eastAsia="Book Antiqua" w:hAnsi="Book Antiqua" w:cs="Book Antiqua"/>
            <w:color w:val="000000"/>
            <w:vertAlign w:val="superscript"/>
          </w:rPr>
          <w:t>21</w:t>
        </w:r>
      </w:hyperlink>
      <w:r w:rsidRPr="00642612">
        <w:rPr>
          <w:rFonts w:ascii="Book Antiqua" w:eastAsia="Book Antiqua" w:hAnsi="Book Antiqua" w:cs="Book Antiqua"/>
          <w:color w:val="000000"/>
          <w:vertAlign w:val="superscript"/>
        </w:rPr>
        <w:t>,</w:t>
      </w:r>
      <w:hyperlink w:anchor="_ENREF_22" w:tooltip="De Miguel, 2012 #11" w:history="1">
        <w:r w:rsidRPr="00642612">
          <w:rPr>
            <w:rFonts w:ascii="Book Antiqua" w:eastAsia="Book Antiqua" w:hAnsi="Book Antiqua" w:cs="Book Antiqua"/>
            <w:color w:val="000000"/>
            <w:vertAlign w:val="superscript"/>
          </w:rPr>
          <w:t>22</w:t>
        </w:r>
      </w:hyperlink>
      <w:r w:rsidRPr="00642612">
        <w:rPr>
          <w:rFonts w:ascii="Book Antiqua" w:eastAsia="Book Antiqua" w:hAnsi="Book Antiqua" w:cs="Book Antiqua"/>
          <w:color w:val="000000"/>
          <w:vertAlign w:val="superscript"/>
        </w:rPr>
        <w:t>]</w:t>
      </w:r>
      <w:r w:rsidRPr="00642612">
        <w:rPr>
          <w:rFonts w:ascii="Book Antiqua" w:eastAsia="Book Antiqua" w:hAnsi="Book Antiqua" w:cs="Book Antiqua"/>
          <w:color w:val="000000"/>
        </w:rPr>
        <w:t>. Therefore, the patients did not receive any immunosuppressant drugs during treatment. No side effects related to dermatitis and transplantation of MSCs were observed or reported by the patients during treatment or the follow-up period.</w:t>
      </w:r>
    </w:p>
    <w:p w14:paraId="64C77F86" w14:textId="77777777" w:rsidR="00A77B3E" w:rsidRPr="00642612" w:rsidRDefault="005D3F12" w:rsidP="007949C3">
      <w:pPr>
        <w:adjustRightInd w:val="0"/>
        <w:snapToGrid w:val="0"/>
        <w:spacing w:line="360" w:lineRule="auto"/>
        <w:ind w:firstLine="480"/>
        <w:jc w:val="both"/>
        <w:rPr>
          <w:rFonts w:ascii="Book Antiqua" w:hAnsi="Book Antiqua"/>
        </w:rPr>
      </w:pPr>
      <w:r w:rsidRPr="00642612">
        <w:rPr>
          <w:rFonts w:ascii="Book Antiqua" w:eastAsia="Book Antiqua" w:hAnsi="Book Antiqua" w:cs="Book Antiqua"/>
          <w:color w:val="000000"/>
        </w:rPr>
        <w:t>Based on our results, MM-UC-MSC transplantation was safe and effective to treat AA and AU. Further studies should be conducted to confirm the safety and effectiveness of this treatment before adopting this approach to treat a greater number of patients with AA and related diseases.</w:t>
      </w:r>
    </w:p>
    <w:p w14:paraId="547412F1" w14:textId="77777777" w:rsidR="00A77B3E" w:rsidRPr="007949C3" w:rsidRDefault="00A77B3E" w:rsidP="007949C3">
      <w:pPr>
        <w:adjustRightInd w:val="0"/>
        <w:snapToGrid w:val="0"/>
        <w:spacing w:line="360" w:lineRule="auto"/>
        <w:ind w:firstLine="480"/>
        <w:jc w:val="both"/>
        <w:rPr>
          <w:rFonts w:ascii="Book Antiqua" w:hAnsi="Book Antiqua"/>
        </w:rPr>
      </w:pPr>
    </w:p>
    <w:p w14:paraId="04078A89"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aps/>
          <w:color w:val="000000"/>
          <w:u w:val="single"/>
        </w:rPr>
        <w:t>CONCLUSION</w:t>
      </w:r>
    </w:p>
    <w:p w14:paraId="305A5B39"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The therapeutic effect of MM-UC-MSCs on AA and related diseases is very high as shown in the patients presented here. Recurrence of AA and AU and side effects did not occur during the treatment and follow-up duration of at least 1 year. Based on these results, we expect that MM-UC-MSC transplantation will be a safe and efficient alternative for the treatment of AA, AT, and AU. However, it is necessary to conduct clinical trials with a greater number of patients.</w:t>
      </w:r>
    </w:p>
    <w:p w14:paraId="156A6F0E" w14:textId="77777777" w:rsidR="00A77B3E" w:rsidRPr="007949C3" w:rsidRDefault="00A77B3E" w:rsidP="007949C3">
      <w:pPr>
        <w:adjustRightInd w:val="0"/>
        <w:snapToGrid w:val="0"/>
        <w:spacing w:line="360" w:lineRule="auto"/>
        <w:jc w:val="both"/>
        <w:rPr>
          <w:rFonts w:ascii="Book Antiqua" w:hAnsi="Book Antiqua"/>
        </w:rPr>
      </w:pPr>
    </w:p>
    <w:p w14:paraId="2F331B4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REFERENCES</w:t>
      </w:r>
    </w:p>
    <w:p w14:paraId="56AAD05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 </w:t>
      </w:r>
      <w:r w:rsidRPr="007949C3">
        <w:rPr>
          <w:rFonts w:ascii="Book Antiqua" w:eastAsia="Book Antiqua" w:hAnsi="Book Antiqua" w:cs="Book Antiqua"/>
          <w:b/>
          <w:bCs/>
          <w:color w:val="000000"/>
        </w:rPr>
        <w:t>WALKER SA</w:t>
      </w:r>
      <w:r w:rsidRPr="007949C3">
        <w:rPr>
          <w:rFonts w:ascii="Book Antiqua" w:eastAsia="Book Antiqua" w:hAnsi="Book Antiqua" w:cs="Book Antiqua"/>
          <w:color w:val="000000"/>
        </w:rPr>
        <w:t xml:space="preserve">, ROTHMAN S. A statistical study and consideration of endocrine influences. </w:t>
      </w:r>
      <w:r w:rsidRPr="007949C3">
        <w:rPr>
          <w:rFonts w:ascii="Book Antiqua" w:eastAsia="Book Antiqua" w:hAnsi="Book Antiqua" w:cs="Book Antiqua"/>
          <w:i/>
          <w:iCs/>
          <w:color w:val="000000"/>
        </w:rPr>
        <w:t>J Invest Dermatol</w:t>
      </w:r>
      <w:r w:rsidRPr="007949C3">
        <w:rPr>
          <w:rFonts w:ascii="Book Antiqua" w:eastAsia="Book Antiqua" w:hAnsi="Book Antiqua" w:cs="Book Antiqua"/>
          <w:color w:val="000000"/>
        </w:rPr>
        <w:t xml:space="preserve"> 1950; </w:t>
      </w:r>
      <w:r w:rsidRPr="007949C3">
        <w:rPr>
          <w:rFonts w:ascii="Book Antiqua" w:eastAsia="Book Antiqua" w:hAnsi="Book Antiqua" w:cs="Book Antiqua"/>
          <w:b/>
          <w:bCs/>
          <w:color w:val="000000"/>
        </w:rPr>
        <w:t>14</w:t>
      </w:r>
      <w:r w:rsidRPr="007949C3">
        <w:rPr>
          <w:rFonts w:ascii="Book Antiqua" w:eastAsia="Book Antiqua" w:hAnsi="Book Antiqua" w:cs="Book Antiqua"/>
          <w:color w:val="000000"/>
        </w:rPr>
        <w:t>: 403-413 [PMID: 15428703 DOI: 10.1038/jid.1950.52]</w:t>
      </w:r>
    </w:p>
    <w:p w14:paraId="7208112A"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 </w:t>
      </w:r>
      <w:r w:rsidRPr="007949C3">
        <w:rPr>
          <w:rFonts w:ascii="Book Antiqua" w:eastAsia="Book Antiqua" w:hAnsi="Book Antiqua" w:cs="Book Antiqua"/>
          <w:b/>
          <w:bCs/>
          <w:color w:val="000000"/>
        </w:rPr>
        <w:t>Safavi K</w:t>
      </w:r>
      <w:r w:rsidRPr="007949C3">
        <w:rPr>
          <w:rFonts w:ascii="Book Antiqua" w:eastAsia="Book Antiqua" w:hAnsi="Book Antiqua" w:cs="Book Antiqua"/>
          <w:color w:val="000000"/>
        </w:rPr>
        <w:t xml:space="preserve">. Prevalence of alopecia areata in the First National Health and Nutrition Examination Survey. </w:t>
      </w:r>
      <w:r w:rsidRPr="007949C3">
        <w:rPr>
          <w:rFonts w:ascii="Book Antiqua" w:eastAsia="Book Antiqua" w:hAnsi="Book Antiqua" w:cs="Book Antiqua"/>
          <w:i/>
          <w:iCs/>
          <w:color w:val="000000"/>
        </w:rPr>
        <w:t>Arch Dermatol</w:t>
      </w:r>
      <w:r w:rsidRPr="007949C3">
        <w:rPr>
          <w:rFonts w:ascii="Book Antiqua" w:eastAsia="Book Antiqua" w:hAnsi="Book Antiqua" w:cs="Book Antiqua"/>
          <w:color w:val="000000"/>
        </w:rPr>
        <w:t xml:space="preserve"> 1992; </w:t>
      </w:r>
      <w:r w:rsidRPr="007949C3">
        <w:rPr>
          <w:rFonts w:ascii="Book Antiqua" w:eastAsia="Book Antiqua" w:hAnsi="Book Antiqua" w:cs="Book Antiqua"/>
          <w:b/>
          <w:bCs/>
          <w:color w:val="000000"/>
        </w:rPr>
        <w:t>128</w:t>
      </w:r>
      <w:r w:rsidRPr="007949C3">
        <w:rPr>
          <w:rFonts w:ascii="Book Antiqua" w:eastAsia="Book Antiqua" w:hAnsi="Book Antiqua" w:cs="Book Antiqua"/>
          <w:color w:val="000000"/>
        </w:rPr>
        <w:t>: 702 [PMID: 1575541 DOI: 10.1001/archderm.1992.01680150136027]</w:t>
      </w:r>
    </w:p>
    <w:p w14:paraId="3A877DD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 </w:t>
      </w:r>
      <w:r w:rsidRPr="007949C3">
        <w:rPr>
          <w:rFonts w:ascii="Book Antiqua" w:eastAsia="Book Antiqua" w:hAnsi="Book Antiqua" w:cs="Book Antiqua"/>
          <w:b/>
          <w:bCs/>
          <w:color w:val="000000"/>
        </w:rPr>
        <w:t>Safavi KH</w:t>
      </w:r>
      <w:r w:rsidRPr="007949C3">
        <w:rPr>
          <w:rFonts w:ascii="Book Antiqua" w:eastAsia="Book Antiqua" w:hAnsi="Book Antiqua" w:cs="Book Antiqua"/>
          <w:color w:val="000000"/>
        </w:rPr>
        <w:t xml:space="preserve">, Muller SA, Suman VJ, Moshell AN, Melton LJ 3rd. Incidence of alopecia areata in Olmsted County, Minnesota, 1975 through 1989. </w:t>
      </w:r>
      <w:r w:rsidRPr="007949C3">
        <w:rPr>
          <w:rFonts w:ascii="Book Antiqua" w:eastAsia="Book Antiqua" w:hAnsi="Book Antiqua" w:cs="Book Antiqua"/>
          <w:i/>
          <w:iCs/>
          <w:color w:val="000000"/>
        </w:rPr>
        <w:t>Mayo Clin Proc</w:t>
      </w:r>
      <w:r w:rsidRPr="007949C3">
        <w:rPr>
          <w:rFonts w:ascii="Book Antiqua" w:eastAsia="Book Antiqua" w:hAnsi="Book Antiqua" w:cs="Book Antiqua"/>
          <w:color w:val="000000"/>
        </w:rPr>
        <w:t xml:space="preserve"> 1995; </w:t>
      </w:r>
      <w:r w:rsidRPr="007949C3">
        <w:rPr>
          <w:rFonts w:ascii="Book Antiqua" w:eastAsia="Book Antiqua" w:hAnsi="Book Antiqua" w:cs="Book Antiqua"/>
          <w:b/>
          <w:bCs/>
          <w:color w:val="000000"/>
        </w:rPr>
        <w:t>70</w:t>
      </w:r>
      <w:r w:rsidRPr="007949C3">
        <w:rPr>
          <w:rFonts w:ascii="Book Antiqua" w:eastAsia="Book Antiqua" w:hAnsi="Book Antiqua" w:cs="Book Antiqua"/>
          <w:color w:val="000000"/>
        </w:rPr>
        <w:t>: 628-633 [PMID: 7791384 DOI: 10.4065/70.7.628]</w:t>
      </w:r>
    </w:p>
    <w:p w14:paraId="7AF40F4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4 </w:t>
      </w:r>
      <w:r w:rsidRPr="007949C3">
        <w:rPr>
          <w:rFonts w:ascii="Book Antiqua" w:eastAsia="Book Antiqua" w:hAnsi="Book Antiqua" w:cs="Book Antiqua"/>
          <w:b/>
          <w:bCs/>
          <w:color w:val="000000"/>
        </w:rPr>
        <w:t>Mirzoyev SA</w:t>
      </w:r>
      <w:r w:rsidRPr="007949C3">
        <w:rPr>
          <w:rFonts w:ascii="Book Antiqua" w:eastAsia="Book Antiqua" w:hAnsi="Book Antiqua" w:cs="Book Antiqua"/>
          <w:color w:val="000000"/>
        </w:rPr>
        <w:t xml:space="preserve">, Schrum AG, Davis MDP, Torgerson RR. Lifetime incidence risk of alopecia areata estimated at 2.1% by Rochester Epidemiology Project, 1990-2009. </w:t>
      </w:r>
      <w:r w:rsidRPr="007949C3">
        <w:rPr>
          <w:rFonts w:ascii="Book Antiqua" w:eastAsia="Book Antiqua" w:hAnsi="Book Antiqua" w:cs="Book Antiqua"/>
          <w:i/>
          <w:iCs/>
          <w:color w:val="000000"/>
        </w:rPr>
        <w:t>J Invest Dermatol</w:t>
      </w:r>
      <w:r w:rsidRPr="007949C3">
        <w:rPr>
          <w:rFonts w:ascii="Book Antiqua" w:eastAsia="Book Antiqua" w:hAnsi="Book Antiqua" w:cs="Book Antiqua"/>
          <w:color w:val="000000"/>
        </w:rPr>
        <w:t xml:space="preserve"> 2014; </w:t>
      </w:r>
      <w:r w:rsidRPr="007949C3">
        <w:rPr>
          <w:rFonts w:ascii="Book Antiqua" w:eastAsia="Book Antiqua" w:hAnsi="Book Antiqua" w:cs="Book Antiqua"/>
          <w:b/>
          <w:bCs/>
          <w:color w:val="000000"/>
        </w:rPr>
        <w:t>134</w:t>
      </w:r>
      <w:r w:rsidRPr="007949C3">
        <w:rPr>
          <w:rFonts w:ascii="Book Antiqua" w:eastAsia="Book Antiqua" w:hAnsi="Book Antiqua" w:cs="Book Antiqua"/>
          <w:color w:val="000000"/>
        </w:rPr>
        <w:t>: 1141-1142 [PMID: 24202232 DOI: 10.1038/jid.2013.464]</w:t>
      </w:r>
    </w:p>
    <w:p w14:paraId="7FFBE784"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5 </w:t>
      </w:r>
      <w:r w:rsidRPr="007949C3">
        <w:rPr>
          <w:rFonts w:ascii="Book Antiqua" w:eastAsia="Book Antiqua" w:hAnsi="Book Antiqua" w:cs="Book Antiqua"/>
          <w:b/>
          <w:bCs/>
          <w:color w:val="000000"/>
        </w:rPr>
        <w:t>Pratt CH</w:t>
      </w:r>
      <w:r w:rsidRPr="007949C3">
        <w:rPr>
          <w:rFonts w:ascii="Book Antiqua" w:eastAsia="Book Antiqua" w:hAnsi="Book Antiqua" w:cs="Book Antiqua"/>
          <w:color w:val="000000"/>
        </w:rPr>
        <w:t xml:space="preserve">, King LE Jr, Messenger AG, Christiano AM, Sundberg JP. Alopecia areata. </w:t>
      </w:r>
      <w:r w:rsidRPr="007949C3">
        <w:rPr>
          <w:rFonts w:ascii="Book Antiqua" w:eastAsia="Book Antiqua" w:hAnsi="Book Antiqua" w:cs="Book Antiqua"/>
          <w:i/>
          <w:iCs/>
          <w:color w:val="000000"/>
        </w:rPr>
        <w:t>Nat Rev Dis Primers</w:t>
      </w:r>
      <w:r w:rsidRPr="007949C3">
        <w:rPr>
          <w:rFonts w:ascii="Book Antiqua" w:eastAsia="Book Antiqua" w:hAnsi="Book Antiqua" w:cs="Book Antiqua"/>
          <w:color w:val="000000"/>
        </w:rPr>
        <w:t xml:space="preserve"> 2017; </w:t>
      </w:r>
      <w:r w:rsidRPr="007949C3">
        <w:rPr>
          <w:rFonts w:ascii="Book Antiqua" w:eastAsia="Book Antiqua" w:hAnsi="Book Antiqua" w:cs="Book Antiqua"/>
          <w:b/>
          <w:bCs/>
          <w:color w:val="000000"/>
        </w:rPr>
        <w:t>3</w:t>
      </w:r>
      <w:r w:rsidRPr="007949C3">
        <w:rPr>
          <w:rFonts w:ascii="Book Antiqua" w:eastAsia="Book Antiqua" w:hAnsi="Book Antiqua" w:cs="Book Antiqua"/>
          <w:color w:val="000000"/>
        </w:rPr>
        <w:t>: 17011 [PMID: 28300084 DOI: 10.1038/nrdp.2017.11]</w:t>
      </w:r>
    </w:p>
    <w:p w14:paraId="7DEDBE8B" w14:textId="1A9E39E2"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6 </w:t>
      </w:r>
      <w:r w:rsidRPr="007949C3">
        <w:rPr>
          <w:rFonts w:ascii="Book Antiqua" w:eastAsia="Book Antiqua" w:hAnsi="Book Antiqua" w:cs="Book Antiqua"/>
          <w:b/>
          <w:bCs/>
          <w:color w:val="000000"/>
        </w:rPr>
        <w:t>Madani S</w:t>
      </w:r>
      <w:r w:rsidRPr="007949C3">
        <w:rPr>
          <w:rFonts w:ascii="Book Antiqua" w:eastAsia="Book Antiqua" w:hAnsi="Book Antiqua" w:cs="Book Antiqua"/>
          <w:color w:val="000000"/>
        </w:rPr>
        <w:t xml:space="preserve">, Shapiro J. Alopecia areata update. </w:t>
      </w:r>
      <w:r w:rsidRPr="007949C3">
        <w:rPr>
          <w:rFonts w:ascii="Book Antiqua" w:eastAsia="Book Antiqua" w:hAnsi="Book Antiqua" w:cs="Book Antiqua"/>
          <w:i/>
          <w:iCs/>
          <w:color w:val="000000"/>
        </w:rPr>
        <w:t>J Am Acad Dermatol</w:t>
      </w:r>
      <w:r w:rsidRPr="007949C3">
        <w:rPr>
          <w:rFonts w:ascii="Book Antiqua" w:eastAsia="Book Antiqua" w:hAnsi="Book Antiqua" w:cs="Book Antiqua"/>
          <w:color w:val="000000"/>
        </w:rPr>
        <w:t xml:space="preserve"> 2000; </w:t>
      </w:r>
      <w:r w:rsidRPr="007949C3">
        <w:rPr>
          <w:rFonts w:ascii="Book Antiqua" w:eastAsia="Book Antiqua" w:hAnsi="Book Antiqua" w:cs="Book Antiqua"/>
          <w:b/>
          <w:bCs/>
          <w:color w:val="000000"/>
        </w:rPr>
        <w:t>42</w:t>
      </w:r>
      <w:r w:rsidRPr="007949C3">
        <w:rPr>
          <w:rFonts w:ascii="Book Antiqua" w:eastAsia="Book Antiqua" w:hAnsi="Book Antiqua" w:cs="Book Antiqua"/>
          <w:color w:val="000000"/>
        </w:rPr>
        <w:t>: 549-</w:t>
      </w:r>
      <w:r w:rsidR="008E40A8" w:rsidRPr="007949C3">
        <w:rPr>
          <w:rFonts w:ascii="Book Antiqua" w:eastAsia="Book Antiqua" w:hAnsi="Book Antiqua" w:cs="Book Antiqua"/>
          <w:color w:val="000000"/>
        </w:rPr>
        <w:t>5</w:t>
      </w:r>
      <w:r w:rsidRPr="007949C3">
        <w:rPr>
          <w:rFonts w:ascii="Book Antiqua" w:eastAsia="Book Antiqua" w:hAnsi="Book Antiqua" w:cs="Book Antiqua"/>
          <w:color w:val="000000"/>
        </w:rPr>
        <w:t>66 [PMID: 10727299</w:t>
      </w:r>
      <w:r w:rsidR="0033097C">
        <w:rPr>
          <w:rFonts w:ascii="Book Antiqua" w:hAnsi="Book Antiqua" w:cs="Book Antiqua" w:hint="eastAsia"/>
          <w:color w:val="000000"/>
          <w:lang w:eastAsia="zh-CN"/>
        </w:rPr>
        <w:t xml:space="preserve"> </w:t>
      </w:r>
      <w:r w:rsidR="0033097C" w:rsidRPr="0033097C">
        <w:rPr>
          <w:rFonts w:ascii="Book Antiqua" w:eastAsia="Book Antiqua" w:hAnsi="Book Antiqua" w:cs="Book Antiqua"/>
          <w:color w:val="000000"/>
        </w:rPr>
        <w:t>DOI:</w:t>
      </w:r>
      <w:r w:rsidR="0033097C">
        <w:rPr>
          <w:rFonts w:ascii="Book Antiqua" w:hAnsi="Book Antiqua" w:cs="Book Antiqua" w:hint="eastAsia"/>
          <w:color w:val="000000"/>
          <w:lang w:eastAsia="zh-CN"/>
        </w:rPr>
        <w:t xml:space="preserve"> </w:t>
      </w:r>
      <w:r w:rsidR="0033097C" w:rsidRPr="0033097C">
        <w:rPr>
          <w:rFonts w:ascii="Book Antiqua" w:eastAsia="Book Antiqua" w:hAnsi="Book Antiqua" w:cs="Book Antiqua"/>
          <w:color w:val="000000"/>
        </w:rPr>
        <w:t>10.1067/mjd.2000.103909</w:t>
      </w:r>
      <w:r w:rsidRPr="007949C3">
        <w:rPr>
          <w:rFonts w:ascii="Book Antiqua" w:eastAsia="Book Antiqua" w:hAnsi="Book Antiqua" w:cs="Book Antiqua"/>
          <w:color w:val="000000"/>
        </w:rPr>
        <w:t>]</w:t>
      </w:r>
    </w:p>
    <w:p w14:paraId="24B3C39F"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7 </w:t>
      </w:r>
      <w:r w:rsidRPr="007949C3">
        <w:rPr>
          <w:rFonts w:ascii="Book Antiqua" w:eastAsia="Book Antiqua" w:hAnsi="Book Antiqua" w:cs="Book Antiqua"/>
          <w:b/>
          <w:bCs/>
          <w:color w:val="000000"/>
        </w:rPr>
        <w:t>Gilhar A</w:t>
      </w:r>
      <w:r w:rsidRPr="007949C3">
        <w:rPr>
          <w:rFonts w:ascii="Book Antiqua" w:eastAsia="Book Antiqua" w:hAnsi="Book Antiqua" w:cs="Book Antiqua"/>
          <w:color w:val="000000"/>
        </w:rPr>
        <w:t xml:space="preserve">, Etzioni A, Paus R. Alopecia areata. </w:t>
      </w:r>
      <w:r w:rsidRPr="007949C3">
        <w:rPr>
          <w:rFonts w:ascii="Book Antiqua" w:eastAsia="Book Antiqua" w:hAnsi="Book Antiqua" w:cs="Book Antiqua"/>
          <w:i/>
          <w:iCs/>
          <w:color w:val="000000"/>
        </w:rPr>
        <w:t>N Engl J Med</w:t>
      </w:r>
      <w:r w:rsidRPr="007949C3">
        <w:rPr>
          <w:rFonts w:ascii="Book Antiqua" w:eastAsia="Book Antiqua" w:hAnsi="Book Antiqua" w:cs="Book Antiqua"/>
          <w:color w:val="000000"/>
        </w:rPr>
        <w:t xml:space="preserve"> 2012; </w:t>
      </w:r>
      <w:r w:rsidRPr="007949C3">
        <w:rPr>
          <w:rFonts w:ascii="Book Antiqua" w:eastAsia="Book Antiqua" w:hAnsi="Book Antiqua" w:cs="Book Antiqua"/>
          <w:b/>
          <w:bCs/>
          <w:color w:val="000000"/>
        </w:rPr>
        <w:t>366</w:t>
      </w:r>
      <w:r w:rsidRPr="007949C3">
        <w:rPr>
          <w:rFonts w:ascii="Book Antiqua" w:eastAsia="Book Antiqua" w:hAnsi="Book Antiqua" w:cs="Book Antiqua"/>
          <w:color w:val="000000"/>
        </w:rPr>
        <w:t>: 1515-1525 [PMID: 22512484 DOI: 10.1056/NEJMra1103442]</w:t>
      </w:r>
    </w:p>
    <w:p w14:paraId="1F647E9C"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8 </w:t>
      </w:r>
      <w:r w:rsidRPr="007949C3">
        <w:rPr>
          <w:rFonts w:ascii="Book Antiqua" w:eastAsia="Book Antiqua" w:hAnsi="Book Antiqua" w:cs="Book Antiqua"/>
          <w:b/>
          <w:bCs/>
          <w:color w:val="000000"/>
        </w:rPr>
        <w:t>Fabbrocini G</w:t>
      </w:r>
      <w:r w:rsidRPr="007949C3">
        <w:rPr>
          <w:rFonts w:ascii="Book Antiqua" w:eastAsia="Book Antiqua" w:hAnsi="Book Antiqua" w:cs="Book Antiqua"/>
          <w:color w:val="000000"/>
        </w:rPr>
        <w:t xml:space="preserve">, Panariello L, De Vita V, Vincenzi C, Lauro C, Nappo D, Ayala F, Tosti A. Quality of life in alopecia areata: a disease-specific questionnaire. </w:t>
      </w:r>
      <w:r w:rsidRPr="007949C3">
        <w:rPr>
          <w:rFonts w:ascii="Book Antiqua" w:eastAsia="Book Antiqua" w:hAnsi="Book Antiqua" w:cs="Book Antiqua"/>
          <w:i/>
          <w:iCs/>
          <w:color w:val="000000"/>
        </w:rPr>
        <w:t>J Eur Acad Dermatol Venereol</w:t>
      </w:r>
      <w:r w:rsidRPr="007949C3">
        <w:rPr>
          <w:rFonts w:ascii="Book Antiqua" w:eastAsia="Book Antiqua" w:hAnsi="Book Antiqua" w:cs="Book Antiqua"/>
          <w:color w:val="000000"/>
        </w:rPr>
        <w:t xml:space="preserve"> 2013; </w:t>
      </w:r>
      <w:r w:rsidRPr="007949C3">
        <w:rPr>
          <w:rFonts w:ascii="Book Antiqua" w:eastAsia="Book Antiqua" w:hAnsi="Book Antiqua" w:cs="Book Antiqua"/>
          <w:b/>
          <w:bCs/>
          <w:color w:val="000000"/>
        </w:rPr>
        <w:t>27</w:t>
      </w:r>
      <w:r w:rsidRPr="007949C3">
        <w:rPr>
          <w:rFonts w:ascii="Book Antiqua" w:eastAsia="Book Antiqua" w:hAnsi="Book Antiqua" w:cs="Book Antiqua"/>
          <w:color w:val="000000"/>
        </w:rPr>
        <w:t>: e276-e281 [PMID: 22759244 DOI: 10.1111/j.1468-3083.2012.04629.x]</w:t>
      </w:r>
    </w:p>
    <w:p w14:paraId="6D59E3F6"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9 </w:t>
      </w:r>
      <w:r w:rsidRPr="007949C3">
        <w:rPr>
          <w:rFonts w:ascii="Book Antiqua" w:eastAsia="Book Antiqua" w:hAnsi="Book Antiqua" w:cs="Book Antiqua"/>
          <w:b/>
          <w:bCs/>
          <w:color w:val="000000"/>
        </w:rPr>
        <w:t>Xing L</w:t>
      </w:r>
      <w:r w:rsidRPr="007949C3">
        <w:rPr>
          <w:rFonts w:ascii="Book Antiqua" w:eastAsia="Book Antiqua" w:hAnsi="Book Antiqua" w:cs="Book Antiqua"/>
          <w:color w:val="000000"/>
        </w:rPr>
        <w:t xml:space="preserve">, Dai Z, Jabbari A, Cerise JE, Higgins CA, Gong W, de Jong A, Harel S, DeStefano GM, Rothman L, Singh P, Petukhova L, Mackay-Wiggan J, Christiano AM, Clynes R. Alopecia areata is driven by cytotoxic T lymphocytes and is reversed by JAK inhibition. </w:t>
      </w:r>
      <w:r w:rsidRPr="007949C3">
        <w:rPr>
          <w:rFonts w:ascii="Book Antiqua" w:eastAsia="Book Antiqua" w:hAnsi="Book Antiqua" w:cs="Book Antiqua"/>
          <w:i/>
          <w:iCs/>
          <w:color w:val="000000"/>
        </w:rPr>
        <w:t>Nat Med</w:t>
      </w:r>
      <w:r w:rsidRPr="007949C3">
        <w:rPr>
          <w:rFonts w:ascii="Book Antiqua" w:eastAsia="Book Antiqua" w:hAnsi="Book Antiqua" w:cs="Book Antiqua"/>
          <w:color w:val="000000"/>
        </w:rPr>
        <w:t xml:space="preserve"> 2014; </w:t>
      </w:r>
      <w:r w:rsidRPr="007949C3">
        <w:rPr>
          <w:rFonts w:ascii="Book Antiqua" w:eastAsia="Book Antiqua" w:hAnsi="Book Antiqua" w:cs="Book Antiqua"/>
          <w:b/>
          <w:bCs/>
          <w:color w:val="000000"/>
        </w:rPr>
        <w:t>20</w:t>
      </w:r>
      <w:r w:rsidRPr="007949C3">
        <w:rPr>
          <w:rFonts w:ascii="Book Antiqua" w:eastAsia="Book Antiqua" w:hAnsi="Book Antiqua" w:cs="Book Antiqua"/>
          <w:color w:val="000000"/>
        </w:rPr>
        <w:t>: 1043-1049 [PMID: 25129481 DOI: 10.1038/nm.3645]</w:t>
      </w:r>
    </w:p>
    <w:p w14:paraId="2C8B4489"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10 </w:t>
      </w:r>
      <w:r w:rsidRPr="007949C3">
        <w:rPr>
          <w:rFonts w:ascii="Book Antiqua" w:eastAsia="Book Antiqua" w:hAnsi="Book Antiqua" w:cs="Book Antiqua"/>
          <w:b/>
          <w:bCs/>
          <w:color w:val="000000"/>
        </w:rPr>
        <w:t>Jabbari A</w:t>
      </w:r>
      <w:r w:rsidRPr="007949C3">
        <w:rPr>
          <w:rFonts w:ascii="Book Antiqua" w:eastAsia="Book Antiqua" w:hAnsi="Book Antiqua" w:cs="Book Antiqua"/>
          <w:color w:val="000000"/>
        </w:rPr>
        <w:t xml:space="preserve">, Dai Z, Xing L, Cerise JE, Ramot Y, Berkun Y, Sanchez GA, Goldbach-Mansky R, Christiano AM, Clynes R, Zlotogorski A. Reversal of Alopecia Areata Following Treatment With the JAK1/2 Inhibitor Baricitinib. </w:t>
      </w:r>
      <w:r w:rsidRPr="007949C3">
        <w:rPr>
          <w:rFonts w:ascii="Book Antiqua" w:eastAsia="Book Antiqua" w:hAnsi="Book Antiqua" w:cs="Book Antiqua"/>
          <w:i/>
          <w:iCs/>
          <w:color w:val="000000"/>
        </w:rPr>
        <w:t>EBioMedicine</w:t>
      </w:r>
      <w:r w:rsidRPr="007949C3">
        <w:rPr>
          <w:rFonts w:ascii="Book Antiqua" w:eastAsia="Book Antiqua" w:hAnsi="Book Antiqua" w:cs="Book Antiqua"/>
          <w:color w:val="000000"/>
        </w:rPr>
        <w:t xml:space="preserve"> 2015; </w:t>
      </w:r>
      <w:r w:rsidRPr="007949C3">
        <w:rPr>
          <w:rFonts w:ascii="Book Antiqua" w:eastAsia="Book Antiqua" w:hAnsi="Book Antiqua" w:cs="Book Antiqua"/>
          <w:b/>
          <w:bCs/>
          <w:color w:val="000000"/>
        </w:rPr>
        <w:t>2</w:t>
      </w:r>
      <w:r w:rsidRPr="007949C3">
        <w:rPr>
          <w:rFonts w:ascii="Book Antiqua" w:eastAsia="Book Antiqua" w:hAnsi="Book Antiqua" w:cs="Book Antiqua"/>
          <w:color w:val="000000"/>
        </w:rPr>
        <w:t>: 351-355 [PMID: 26137574 DOI: 10.1016/j.ebiom.2015.02.015]</w:t>
      </w:r>
    </w:p>
    <w:p w14:paraId="75D11275"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11 </w:t>
      </w:r>
      <w:r w:rsidRPr="007949C3">
        <w:rPr>
          <w:rFonts w:ascii="Book Antiqua" w:eastAsia="Book Antiqua" w:hAnsi="Book Antiqua" w:cs="Book Antiqua"/>
          <w:b/>
          <w:bCs/>
          <w:color w:val="000000"/>
        </w:rPr>
        <w:t>Phan K</w:t>
      </w:r>
      <w:r w:rsidRPr="007949C3">
        <w:rPr>
          <w:rFonts w:ascii="Book Antiqua" w:eastAsia="Book Antiqua" w:hAnsi="Book Antiqua" w:cs="Book Antiqua"/>
          <w:color w:val="000000"/>
        </w:rPr>
        <w:t xml:space="preserve">, Sebaratnam DF. JAK inhibitors for alopecia areata: a systematic review and meta-analysis. </w:t>
      </w:r>
      <w:r w:rsidRPr="007949C3">
        <w:rPr>
          <w:rFonts w:ascii="Book Antiqua" w:eastAsia="Book Antiqua" w:hAnsi="Book Antiqua" w:cs="Book Antiqua"/>
          <w:i/>
          <w:iCs/>
          <w:color w:val="000000"/>
        </w:rPr>
        <w:t>J Eur Acad Dermatol Venereol</w:t>
      </w:r>
      <w:r w:rsidRPr="007949C3">
        <w:rPr>
          <w:rFonts w:ascii="Book Antiqua" w:eastAsia="Book Antiqua" w:hAnsi="Book Antiqua" w:cs="Book Antiqua"/>
          <w:color w:val="000000"/>
        </w:rPr>
        <w:t xml:space="preserve"> 2019; </w:t>
      </w:r>
      <w:r w:rsidRPr="007949C3">
        <w:rPr>
          <w:rFonts w:ascii="Book Antiqua" w:eastAsia="Book Antiqua" w:hAnsi="Book Antiqua" w:cs="Book Antiqua"/>
          <w:b/>
          <w:bCs/>
          <w:color w:val="000000"/>
        </w:rPr>
        <w:t>33</w:t>
      </w:r>
      <w:r w:rsidRPr="007949C3">
        <w:rPr>
          <w:rFonts w:ascii="Book Antiqua" w:eastAsia="Book Antiqua" w:hAnsi="Book Antiqua" w:cs="Book Antiqua"/>
          <w:color w:val="000000"/>
        </w:rPr>
        <w:t>: 850-856 [PMID: 30762909 DOI: 10.1111/jdv.15489]</w:t>
      </w:r>
    </w:p>
    <w:p w14:paraId="70BE18C6"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12 </w:t>
      </w:r>
      <w:r w:rsidRPr="007949C3">
        <w:rPr>
          <w:rFonts w:ascii="Book Antiqua" w:eastAsia="Book Antiqua" w:hAnsi="Book Antiqua" w:cs="Book Antiqua"/>
          <w:b/>
          <w:bCs/>
          <w:color w:val="000000"/>
        </w:rPr>
        <w:t>Hamilton CE</w:t>
      </w:r>
      <w:r w:rsidRPr="007949C3">
        <w:rPr>
          <w:rFonts w:ascii="Book Antiqua" w:eastAsia="Book Antiqua" w:hAnsi="Book Antiqua" w:cs="Book Antiqua"/>
          <w:color w:val="000000"/>
        </w:rPr>
        <w:t xml:space="preserve">, Craiglow BG. JAK Inhibitors for the Treatment of Pediatric Alopecia Areata. </w:t>
      </w:r>
      <w:r w:rsidRPr="007949C3">
        <w:rPr>
          <w:rFonts w:ascii="Book Antiqua" w:eastAsia="Book Antiqua" w:hAnsi="Book Antiqua" w:cs="Book Antiqua"/>
          <w:i/>
          <w:iCs/>
          <w:color w:val="000000"/>
        </w:rPr>
        <w:t>J Investig Dermatol Symp Proc</w:t>
      </w:r>
      <w:r w:rsidRPr="007949C3">
        <w:rPr>
          <w:rFonts w:ascii="Book Antiqua" w:eastAsia="Book Antiqua" w:hAnsi="Book Antiqua" w:cs="Book Antiqua"/>
          <w:color w:val="000000"/>
        </w:rPr>
        <w:t xml:space="preserve"> 2020; </w:t>
      </w:r>
      <w:r w:rsidRPr="007949C3">
        <w:rPr>
          <w:rFonts w:ascii="Book Antiqua" w:eastAsia="Book Antiqua" w:hAnsi="Book Antiqua" w:cs="Book Antiqua"/>
          <w:b/>
          <w:bCs/>
          <w:color w:val="000000"/>
        </w:rPr>
        <w:t>20</w:t>
      </w:r>
      <w:r w:rsidRPr="007949C3">
        <w:rPr>
          <w:rFonts w:ascii="Book Antiqua" w:eastAsia="Book Antiqua" w:hAnsi="Book Antiqua" w:cs="Book Antiqua"/>
          <w:color w:val="000000"/>
        </w:rPr>
        <w:t>: S31-S36 [PMID: 33099381 DOI: 10.1016/j.jisp.2020.04.005]</w:t>
      </w:r>
    </w:p>
    <w:p w14:paraId="47C950F3"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13 </w:t>
      </w:r>
      <w:r w:rsidRPr="007949C3">
        <w:rPr>
          <w:rFonts w:ascii="Book Antiqua" w:eastAsia="Book Antiqua" w:hAnsi="Book Antiqua" w:cs="Book Antiqua"/>
          <w:b/>
          <w:bCs/>
          <w:color w:val="000000"/>
        </w:rPr>
        <w:t>Barbulescu CC</w:t>
      </w:r>
      <w:r w:rsidRPr="007949C3">
        <w:rPr>
          <w:rFonts w:ascii="Book Antiqua" w:eastAsia="Book Antiqua" w:hAnsi="Book Antiqua" w:cs="Book Antiqua"/>
          <w:color w:val="000000"/>
        </w:rPr>
        <w:t xml:space="preserve">, Goldstein NB, Roop DR, Norris DA, Birlea SA. Harnessing the Power of Regenerative Therapy for Vitiligo and Alopecia Areata. </w:t>
      </w:r>
      <w:r w:rsidRPr="007949C3">
        <w:rPr>
          <w:rFonts w:ascii="Book Antiqua" w:eastAsia="Book Antiqua" w:hAnsi="Book Antiqua" w:cs="Book Antiqua"/>
          <w:i/>
          <w:iCs/>
          <w:color w:val="000000"/>
        </w:rPr>
        <w:t>J Invest Dermatol</w:t>
      </w:r>
      <w:r w:rsidRPr="007949C3">
        <w:rPr>
          <w:rFonts w:ascii="Book Antiqua" w:eastAsia="Book Antiqua" w:hAnsi="Book Antiqua" w:cs="Book Antiqua"/>
          <w:color w:val="000000"/>
        </w:rPr>
        <w:t xml:space="preserve"> 2020; </w:t>
      </w:r>
      <w:r w:rsidRPr="007949C3">
        <w:rPr>
          <w:rFonts w:ascii="Book Antiqua" w:eastAsia="Book Antiqua" w:hAnsi="Book Antiqua" w:cs="Book Antiqua"/>
          <w:b/>
          <w:bCs/>
          <w:color w:val="000000"/>
        </w:rPr>
        <w:t>140</w:t>
      </w:r>
      <w:r w:rsidRPr="007949C3">
        <w:rPr>
          <w:rFonts w:ascii="Book Antiqua" w:eastAsia="Book Antiqua" w:hAnsi="Book Antiqua" w:cs="Book Antiqua"/>
          <w:color w:val="000000"/>
        </w:rPr>
        <w:t>: 29-37 [PMID: 31196751 DOI: 10.1016/j.jid.2019.03.1142]</w:t>
      </w:r>
    </w:p>
    <w:p w14:paraId="11335F35"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14 </w:t>
      </w:r>
      <w:r w:rsidRPr="007949C3">
        <w:rPr>
          <w:rFonts w:ascii="Book Antiqua" w:eastAsia="Book Antiqua" w:hAnsi="Book Antiqua" w:cs="Book Antiqua"/>
          <w:b/>
          <w:bCs/>
          <w:color w:val="000000"/>
        </w:rPr>
        <w:t>Almohanna HM</w:t>
      </w:r>
      <w:r w:rsidRPr="007949C3">
        <w:rPr>
          <w:rFonts w:ascii="Book Antiqua" w:eastAsia="Book Antiqua" w:hAnsi="Book Antiqua" w:cs="Book Antiqua"/>
          <w:color w:val="000000"/>
        </w:rPr>
        <w:t xml:space="preserve">, Ahmed AA, Griggs JW, Tosti A. Platelet-Rich Plasma in the Treatment of Alopecia Areata: A Review. </w:t>
      </w:r>
      <w:r w:rsidRPr="007949C3">
        <w:rPr>
          <w:rFonts w:ascii="Book Antiqua" w:eastAsia="Book Antiqua" w:hAnsi="Book Antiqua" w:cs="Book Antiqua"/>
          <w:i/>
          <w:iCs/>
          <w:color w:val="000000"/>
        </w:rPr>
        <w:t>J Investig Dermatol Symp Proc</w:t>
      </w:r>
      <w:r w:rsidRPr="007949C3">
        <w:rPr>
          <w:rFonts w:ascii="Book Antiqua" w:eastAsia="Book Antiqua" w:hAnsi="Book Antiqua" w:cs="Book Antiqua"/>
          <w:color w:val="000000"/>
        </w:rPr>
        <w:t xml:space="preserve"> 2020; </w:t>
      </w:r>
      <w:r w:rsidRPr="007949C3">
        <w:rPr>
          <w:rFonts w:ascii="Book Antiqua" w:eastAsia="Book Antiqua" w:hAnsi="Book Antiqua" w:cs="Book Antiqua"/>
          <w:b/>
          <w:bCs/>
          <w:color w:val="000000"/>
        </w:rPr>
        <w:t>20</w:t>
      </w:r>
      <w:r w:rsidRPr="007949C3">
        <w:rPr>
          <w:rFonts w:ascii="Book Antiqua" w:eastAsia="Book Antiqua" w:hAnsi="Book Antiqua" w:cs="Book Antiqua"/>
          <w:color w:val="000000"/>
        </w:rPr>
        <w:t>: S45-S49 [PMID: 33099384 DOI: 10.1016/j.jisp.2020.05.002]</w:t>
      </w:r>
    </w:p>
    <w:p w14:paraId="7AD8416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15 </w:t>
      </w:r>
      <w:r w:rsidRPr="007949C3">
        <w:rPr>
          <w:rFonts w:ascii="Book Antiqua" w:eastAsia="Book Antiqua" w:hAnsi="Book Antiqua" w:cs="Book Antiqua"/>
          <w:b/>
          <w:bCs/>
          <w:color w:val="000000"/>
        </w:rPr>
        <w:t>Pototschnig H</w:t>
      </w:r>
      <w:r w:rsidRPr="007949C3">
        <w:rPr>
          <w:rFonts w:ascii="Book Antiqua" w:eastAsia="Book Antiqua" w:hAnsi="Book Antiqua" w:cs="Book Antiqua"/>
          <w:color w:val="000000"/>
        </w:rPr>
        <w:t xml:space="preserve">, Madl MT. Successful Treatment of Alopecia Areata Barbae with Platelet-rich Plasma. </w:t>
      </w:r>
      <w:r w:rsidRPr="007949C3">
        <w:rPr>
          <w:rFonts w:ascii="Book Antiqua" w:eastAsia="Book Antiqua" w:hAnsi="Book Antiqua" w:cs="Book Antiqua"/>
          <w:i/>
          <w:iCs/>
          <w:color w:val="000000"/>
        </w:rPr>
        <w:t>Cureus</w:t>
      </w:r>
      <w:r w:rsidRPr="007949C3">
        <w:rPr>
          <w:rFonts w:ascii="Book Antiqua" w:eastAsia="Book Antiqua" w:hAnsi="Book Antiqua" w:cs="Book Antiqua"/>
          <w:color w:val="000000"/>
        </w:rPr>
        <w:t xml:space="preserve"> 2020; </w:t>
      </w:r>
      <w:r w:rsidRPr="007949C3">
        <w:rPr>
          <w:rFonts w:ascii="Book Antiqua" w:eastAsia="Book Antiqua" w:hAnsi="Book Antiqua" w:cs="Book Antiqua"/>
          <w:b/>
          <w:bCs/>
          <w:color w:val="000000"/>
        </w:rPr>
        <w:t>12</w:t>
      </w:r>
      <w:r w:rsidRPr="007949C3">
        <w:rPr>
          <w:rFonts w:ascii="Book Antiqua" w:eastAsia="Book Antiqua" w:hAnsi="Book Antiqua" w:cs="Book Antiqua"/>
          <w:color w:val="000000"/>
        </w:rPr>
        <w:t>: e7495 [PMID: 32368427 DOI: 10.7759/cureus.7495]</w:t>
      </w:r>
    </w:p>
    <w:p w14:paraId="5552F63F"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16 </w:t>
      </w:r>
      <w:r w:rsidRPr="007949C3">
        <w:rPr>
          <w:rFonts w:ascii="Book Antiqua" w:eastAsia="Book Antiqua" w:hAnsi="Book Antiqua" w:cs="Book Antiqua"/>
          <w:b/>
          <w:bCs/>
          <w:color w:val="000000"/>
        </w:rPr>
        <w:t>Elmaadawi IH</w:t>
      </w:r>
      <w:r w:rsidRPr="007949C3">
        <w:rPr>
          <w:rFonts w:ascii="Book Antiqua" w:eastAsia="Book Antiqua" w:hAnsi="Book Antiqua" w:cs="Book Antiqua"/>
          <w:color w:val="000000"/>
        </w:rPr>
        <w:t xml:space="preserve">, Mohamed BM, Ibrahim ZAS, Abdou SM, El Attar YA, Youssef A, Shamloula MM, Taha A, Metwally HG, El Afandy MM, Salem ML. Stem cell therapy as a novel therapeutic intervention for resistant cases of alopecia areata and androgenetic alopecia. </w:t>
      </w:r>
      <w:r w:rsidRPr="007949C3">
        <w:rPr>
          <w:rFonts w:ascii="Book Antiqua" w:eastAsia="Book Antiqua" w:hAnsi="Book Antiqua" w:cs="Book Antiqua"/>
          <w:i/>
          <w:iCs/>
          <w:color w:val="000000"/>
        </w:rPr>
        <w:t>J Dermatolog Treat</w:t>
      </w:r>
      <w:r w:rsidRPr="007949C3">
        <w:rPr>
          <w:rFonts w:ascii="Book Antiqua" w:eastAsia="Book Antiqua" w:hAnsi="Book Antiqua" w:cs="Book Antiqua"/>
          <w:color w:val="000000"/>
        </w:rPr>
        <w:t xml:space="preserve"> 2018; </w:t>
      </w:r>
      <w:r w:rsidRPr="007949C3">
        <w:rPr>
          <w:rFonts w:ascii="Book Antiqua" w:eastAsia="Book Antiqua" w:hAnsi="Book Antiqua" w:cs="Book Antiqua"/>
          <w:b/>
          <w:bCs/>
          <w:color w:val="000000"/>
        </w:rPr>
        <w:t>29</w:t>
      </w:r>
      <w:r w:rsidRPr="007949C3">
        <w:rPr>
          <w:rFonts w:ascii="Book Antiqua" w:eastAsia="Book Antiqua" w:hAnsi="Book Antiqua" w:cs="Book Antiqua"/>
          <w:color w:val="000000"/>
        </w:rPr>
        <w:t>: 431-440 [PMID: 27553744 DOI: 10.1080/09546634.2016.1227419]</w:t>
      </w:r>
    </w:p>
    <w:p w14:paraId="6ABDAE45"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17 </w:t>
      </w:r>
      <w:r w:rsidRPr="007949C3">
        <w:rPr>
          <w:rFonts w:ascii="Book Antiqua" w:eastAsia="Book Antiqua" w:hAnsi="Book Antiqua" w:cs="Book Antiqua"/>
          <w:b/>
          <w:bCs/>
          <w:color w:val="000000"/>
        </w:rPr>
        <w:t>Hye Kim J</w:t>
      </w:r>
      <w:r w:rsidRPr="007949C3">
        <w:rPr>
          <w:rFonts w:ascii="Book Antiqua" w:eastAsia="Book Antiqua" w:hAnsi="Book Antiqua" w:cs="Book Antiqua"/>
          <w:color w:val="000000"/>
        </w:rPr>
        <w:t xml:space="preserve">, Gyu Park S, Kim WK, Song SU, Sung JH. Functional regulation of adipose-derived stem cells by PDGF-D. </w:t>
      </w:r>
      <w:r w:rsidRPr="007949C3">
        <w:rPr>
          <w:rFonts w:ascii="Book Antiqua" w:eastAsia="Book Antiqua" w:hAnsi="Book Antiqua" w:cs="Book Antiqua"/>
          <w:i/>
          <w:iCs/>
          <w:color w:val="000000"/>
        </w:rPr>
        <w:t>Stem Cells</w:t>
      </w:r>
      <w:r w:rsidRPr="007949C3">
        <w:rPr>
          <w:rFonts w:ascii="Book Antiqua" w:eastAsia="Book Antiqua" w:hAnsi="Book Antiqua" w:cs="Book Antiqua"/>
          <w:color w:val="000000"/>
        </w:rPr>
        <w:t xml:space="preserve"> 2015; </w:t>
      </w:r>
      <w:r w:rsidRPr="007949C3">
        <w:rPr>
          <w:rFonts w:ascii="Book Antiqua" w:eastAsia="Book Antiqua" w:hAnsi="Book Antiqua" w:cs="Book Antiqua"/>
          <w:b/>
          <w:bCs/>
          <w:color w:val="000000"/>
        </w:rPr>
        <w:t>33</w:t>
      </w:r>
      <w:r w:rsidRPr="007949C3">
        <w:rPr>
          <w:rFonts w:ascii="Book Antiqua" w:eastAsia="Book Antiqua" w:hAnsi="Book Antiqua" w:cs="Book Antiqua"/>
          <w:color w:val="000000"/>
        </w:rPr>
        <w:t>: 542-556 [PMID: 25332166 DOI: 10.1002/stem.1865]</w:t>
      </w:r>
    </w:p>
    <w:p w14:paraId="09D36FA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18 </w:t>
      </w:r>
      <w:r w:rsidRPr="007949C3">
        <w:rPr>
          <w:rFonts w:ascii="Book Antiqua" w:eastAsia="Book Antiqua" w:hAnsi="Book Antiqua" w:cs="Book Antiqua"/>
          <w:b/>
          <w:bCs/>
          <w:color w:val="000000"/>
        </w:rPr>
        <w:t>Kim JE</w:t>
      </w:r>
      <w:r w:rsidRPr="007949C3">
        <w:rPr>
          <w:rFonts w:ascii="Book Antiqua" w:eastAsia="Book Antiqua" w:hAnsi="Book Antiqua" w:cs="Book Antiqua"/>
          <w:color w:val="000000"/>
        </w:rPr>
        <w:t xml:space="preserve">, Oh JH, Woo YJ, Jung JH, Jeong KH, Kang H. Effects of mesenchymal stem cell therapy on alopecia areata in cellular and hair follicle organ culture models. </w:t>
      </w:r>
      <w:r w:rsidRPr="007949C3">
        <w:rPr>
          <w:rFonts w:ascii="Book Antiqua" w:eastAsia="Book Antiqua" w:hAnsi="Book Antiqua" w:cs="Book Antiqua"/>
          <w:i/>
          <w:iCs/>
          <w:color w:val="000000"/>
        </w:rPr>
        <w:t>Exp Dermatol</w:t>
      </w:r>
      <w:r w:rsidRPr="007949C3">
        <w:rPr>
          <w:rFonts w:ascii="Book Antiqua" w:eastAsia="Book Antiqua" w:hAnsi="Book Antiqua" w:cs="Book Antiqua"/>
          <w:color w:val="000000"/>
        </w:rPr>
        <w:t xml:space="preserve"> 2020; </w:t>
      </w:r>
      <w:r w:rsidRPr="007949C3">
        <w:rPr>
          <w:rFonts w:ascii="Book Antiqua" w:eastAsia="Book Antiqua" w:hAnsi="Book Antiqua" w:cs="Book Antiqua"/>
          <w:b/>
          <w:bCs/>
          <w:color w:val="000000"/>
        </w:rPr>
        <w:t>29</w:t>
      </w:r>
      <w:r w:rsidRPr="007949C3">
        <w:rPr>
          <w:rFonts w:ascii="Book Antiqua" w:eastAsia="Book Antiqua" w:hAnsi="Book Antiqua" w:cs="Book Antiqua"/>
          <w:color w:val="000000"/>
        </w:rPr>
        <w:t>: 265-272 [PMID: 30372797 DOI: 10.1111/exd.13812]</w:t>
      </w:r>
    </w:p>
    <w:p w14:paraId="0F6FF4D3"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19 </w:t>
      </w:r>
      <w:r w:rsidRPr="007949C3">
        <w:rPr>
          <w:rFonts w:ascii="Book Antiqua" w:eastAsia="Book Antiqua" w:hAnsi="Book Antiqua" w:cs="Book Antiqua"/>
          <w:b/>
          <w:bCs/>
          <w:color w:val="000000"/>
        </w:rPr>
        <w:t>Shi J</w:t>
      </w:r>
      <w:r w:rsidRPr="007949C3">
        <w:rPr>
          <w:rFonts w:ascii="Book Antiqua" w:eastAsia="Book Antiqua" w:hAnsi="Book Antiqua" w:cs="Book Antiqua"/>
          <w:color w:val="000000"/>
        </w:rPr>
        <w:t xml:space="preserve">, Chi S, Xue J, Yang J, Li F, Liu X. Emerging Role and Therapeutic Implication of Wnt Signaling Pathways in Autoimmune Diseases. </w:t>
      </w:r>
      <w:r w:rsidRPr="007949C3">
        <w:rPr>
          <w:rFonts w:ascii="Book Antiqua" w:eastAsia="Book Antiqua" w:hAnsi="Book Antiqua" w:cs="Book Antiqua"/>
          <w:i/>
          <w:iCs/>
          <w:color w:val="000000"/>
        </w:rPr>
        <w:t>J Immunol Res</w:t>
      </w:r>
      <w:r w:rsidRPr="007949C3">
        <w:rPr>
          <w:rFonts w:ascii="Book Antiqua" w:eastAsia="Book Antiqua" w:hAnsi="Book Antiqua" w:cs="Book Antiqua"/>
          <w:color w:val="000000"/>
        </w:rPr>
        <w:t xml:space="preserve"> 2016; </w:t>
      </w:r>
      <w:r w:rsidRPr="007949C3">
        <w:rPr>
          <w:rFonts w:ascii="Book Antiqua" w:eastAsia="Book Antiqua" w:hAnsi="Book Antiqua" w:cs="Book Antiqua"/>
          <w:b/>
          <w:bCs/>
          <w:color w:val="000000"/>
        </w:rPr>
        <w:t>2016</w:t>
      </w:r>
      <w:r w:rsidRPr="007949C3">
        <w:rPr>
          <w:rFonts w:ascii="Book Antiqua" w:eastAsia="Book Antiqua" w:hAnsi="Book Antiqua" w:cs="Book Antiqua"/>
          <w:color w:val="000000"/>
        </w:rPr>
        <w:t>: 9392132 [PMID: 27110577 DOI: 10.1155/2016/9392132]</w:t>
      </w:r>
    </w:p>
    <w:p w14:paraId="5510063D" w14:textId="68EEA24F"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20 </w:t>
      </w:r>
      <w:r w:rsidRPr="007949C3">
        <w:rPr>
          <w:rFonts w:ascii="Book Antiqua" w:eastAsia="Book Antiqua" w:hAnsi="Book Antiqua" w:cs="Book Antiqua"/>
          <w:b/>
          <w:bCs/>
          <w:color w:val="000000"/>
        </w:rPr>
        <w:t>Gentile P</w:t>
      </w:r>
      <w:r w:rsidRPr="007949C3">
        <w:rPr>
          <w:rFonts w:ascii="Book Antiqua" w:eastAsia="Book Antiqua" w:hAnsi="Book Antiqua" w:cs="Book Antiqua"/>
          <w:color w:val="000000"/>
        </w:rPr>
        <w:t xml:space="preserve">, Garcovich S. Advances in Regenerative Stem Cell Therapy in Androgenic Alopecia and Hair Loss: Wnt pathway, Growth-Factor, and Mesenchymal Stem Cell Signaling Impact Analysis on Cell Growth and Hair Follicle Development. </w:t>
      </w:r>
      <w:r w:rsidRPr="007949C3">
        <w:rPr>
          <w:rFonts w:ascii="Book Antiqua" w:eastAsia="Book Antiqua" w:hAnsi="Book Antiqua" w:cs="Book Antiqua"/>
          <w:i/>
          <w:iCs/>
          <w:color w:val="000000"/>
        </w:rPr>
        <w:t>Cells</w:t>
      </w:r>
      <w:r w:rsidRPr="007949C3">
        <w:rPr>
          <w:rFonts w:ascii="Book Antiqua" w:eastAsia="Book Antiqua" w:hAnsi="Book Antiqua" w:cs="Book Antiqua"/>
          <w:color w:val="000000"/>
        </w:rPr>
        <w:t xml:space="preserve"> 2019; </w:t>
      </w:r>
      <w:r w:rsidRPr="007949C3">
        <w:rPr>
          <w:rFonts w:ascii="Book Antiqua" w:eastAsia="Book Antiqua" w:hAnsi="Book Antiqua" w:cs="Book Antiqua"/>
          <w:b/>
          <w:bCs/>
          <w:color w:val="000000"/>
        </w:rPr>
        <w:t>8</w:t>
      </w:r>
      <w:r w:rsidR="008E40A8" w:rsidRPr="007949C3">
        <w:rPr>
          <w:rFonts w:ascii="Book Antiqua" w:eastAsia="宋体" w:hAnsi="Book Antiqua" w:cs="宋体"/>
          <w:color w:val="000000"/>
          <w:lang w:eastAsia="zh-CN"/>
        </w:rPr>
        <w:t>: 466</w:t>
      </w:r>
      <w:r w:rsidRPr="007949C3">
        <w:rPr>
          <w:rFonts w:ascii="Book Antiqua" w:eastAsia="Book Antiqua" w:hAnsi="Book Antiqua" w:cs="Book Antiqua"/>
          <w:color w:val="000000"/>
        </w:rPr>
        <w:t xml:space="preserve"> [PMID: 31100937 DOI: 10.3390/cells8050466]</w:t>
      </w:r>
    </w:p>
    <w:p w14:paraId="62CC25DA"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21 </w:t>
      </w:r>
      <w:r w:rsidRPr="007949C3">
        <w:rPr>
          <w:rFonts w:ascii="Book Antiqua" w:eastAsia="Book Antiqua" w:hAnsi="Book Antiqua" w:cs="Book Antiqua"/>
          <w:b/>
          <w:bCs/>
          <w:color w:val="000000"/>
        </w:rPr>
        <w:t>Deuse T</w:t>
      </w:r>
      <w:r w:rsidRPr="007949C3">
        <w:rPr>
          <w:rFonts w:ascii="Book Antiqua" w:eastAsia="Book Antiqua" w:hAnsi="Book Antiqua" w:cs="Book Antiqua"/>
          <w:color w:val="000000"/>
        </w:rPr>
        <w:t xml:space="preserve">, Stubbendorff M, Tang-Quan K, Phillips N, Kay MA, Eiermann T, Phan TT, Volk HD, Reichenspurner H, Robbins RC, Schrepfer S. Immunogenicity and immunomodulatory properties of umbilical cord lining mesenchymal stem cells. </w:t>
      </w:r>
      <w:r w:rsidRPr="007949C3">
        <w:rPr>
          <w:rFonts w:ascii="Book Antiqua" w:eastAsia="Book Antiqua" w:hAnsi="Book Antiqua" w:cs="Book Antiqua"/>
          <w:i/>
          <w:iCs/>
          <w:color w:val="000000"/>
        </w:rPr>
        <w:t>Cell Transplant</w:t>
      </w:r>
      <w:r w:rsidRPr="007949C3">
        <w:rPr>
          <w:rFonts w:ascii="Book Antiqua" w:eastAsia="Book Antiqua" w:hAnsi="Book Antiqua" w:cs="Book Antiqua"/>
          <w:color w:val="000000"/>
        </w:rPr>
        <w:t xml:space="preserve"> 2011; </w:t>
      </w:r>
      <w:r w:rsidRPr="007949C3">
        <w:rPr>
          <w:rFonts w:ascii="Book Antiqua" w:eastAsia="Book Antiqua" w:hAnsi="Book Antiqua" w:cs="Book Antiqua"/>
          <w:b/>
          <w:bCs/>
          <w:color w:val="000000"/>
        </w:rPr>
        <w:t>20</w:t>
      </w:r>
      <w:r w:rsidRPr="007949C3">
        <w:rPr>
          <w:rFonts w:ascii="Book Antiqua" w:eastAsia="Book Antiqua" w:hAnsi="Book Antiqua" w:cs="Book Antiqua"/>
          <w:color w:val="000000"/>
        </w:rPr>
        <w:t>: 655-667 [PMID: 21054940 DOI: 10.3727/096368910X536473]</w:t>
      </w:r>
    </w:p>
    <w:p w14:paraId="4CD5184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22 </w:t>
      </w:r>
      <w:r w:rsidRPr="007949C3">
        <w:rPr>
          <w:rFonts w:ascii="Book Antiqua" w:eastAsia="Book Antiqua" w:hAnsi="Book Antiqua" w:cs="Book Antiqua"/>
          <w:b/>
          <w:bCs/>
          <w:color w:val="000000"/>
        </w:rPr>
        <w:t>De Miguel MP</w:t>
      </w:r>
      <w:r w:rsidRPr="007949C3">
        <w:rPr>
          <w:rFonts w:ascii="Book Antiqua" w:eastAsia="Book Antiqua" w:hAnsi="Book Antiqua" w:cs="Book Antiqua"/>
          <w:color w:val="000000"/>
        </w:rPr>
        <w:t xml:space="preserve">, Fuentes-Julián S, Blázquez-Martínez A, Pascual CY, Aller MA, Arias J, Arnalich-Montiel F. Immunosuppressive properties of mesenchymal stem cells: advances and applications. </w:t>
      </w:r>
      <w:r w:rsidRPr="007949C3">
        <w:rPr>
          <w:rFonts w:ascii="Book Antiqua" w:eastAsia="Book Antiqua" w:hAnsi="Book Antiqua" w:cs="Book Antiqua"/>
          <w:i/>
          <w:iCs/>
          <w:color w:val="000000"/>
        </w:rPr>
        <w:t>Curr Mol Med</w:t>
      </w:r>
      <w:r w:rsidRPr="007949C3">
        <w:rPr>
          <w:rFonts w:ascii="Book Antiqua" w:eastAsia="Book Antiqua" w:hAnsi="Book Antiqua" w:cs="Book Antiqua"/>
          <w:color w:val="000000"/>
        </w:rPr>
        <w:t xml:space="preserve"> 2012; </w:t>
      </w:r>
      <w:r w:rsidRPr="007949C3">
        <w:rPr>
          <w:rFonts w:ascii="Book Antiqua" w:eastAsia="Book Antiqua" w:hAnsi="Book Antiqua" w:cs="Book Antiqua"/>
          <w:b/>
          <w:bCs/>
          <w:color w:val="000000"/>
        </w:rPr>
        <w:t>12</w:t>
      </w:r>
      <w:r w:rsidRPr="007949C3">
        <w:rPr>
          <w:rFonts w:ascii="Book Antiqua" w:eastAsia="Book Antiqua" w:hAnsi="Book Antiqua" w:cs="Book Antiqua"/>
          <w:color w:val="000000"/>
        </w:rPr>
        <w:t>: 574-591 [PMID: 22515979 DOI: 10.2174/156652412800619950]</w:t>
      </w:r>
    </w:p>
    <w:p w14:paraId="26112DD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23 </w:t>
      </w:r>
      <w:r w:rsidRPr="007949C3">
        <w:rPr>
          <w:rFonts w:ascii="Book Antiqua" w:eastAsia="Book Antiqua" w:hAnsi="Book Antiqua" w:cs="Book Antiqua"/>
          <w:b/>
          <w:bCs/>
          <w:color w:val="000000"/>
        </w:rPr>
        <w:t>Le Blanc K</w:t>
      </w:r>
      <w:r w:rsidRPr="007949C3">
        <w:rPr>
          <w:rFonts w:ascii="Book Antiqua" w:eastAsia="Book Antiqua" w:hAnsi="Book Antiqua" w:cs="Book Antiqua"/>
          <w:color w:val="000000"/>
        </w:rPr>
        <w:t xml:space="preserve">, Ringdén O. Immunomodulation by mesenchymal stem cells and clinical experience. </w:t>
      </w:r>
      <w:r w:rsidRPr="007949C3">
        <w:rPr>
          <w:rFonts w:ascii="Book Antiqua" w:eastAsia="Book Antiqua" w:hAnsi="Book Antiqua" w:cs="Book Antiqua"/>
          <w:i/>
          <w:iCs/>
          <w:color w:val="000000"/>
        </w:rPr>
        <w:t>J Intern Med</w:t>
      </w:r>
      <w:r w:rsidRPr="007949C3">
        <w:rPr>
          <w:rFonts w:ascii="Book Antiqua" w:eastAsia="Book Antiqua" w:hAnsi="Book Antiqua" w:cs="Book Antiqua"/>
          <w:color w:val="000000"/>
        </w:rPr>
        <w:t xml:space="preserve"> 2007; </w:t>
      </w:r>
      <w:r w:rsidRPr="007949C3">
        <w:rPr>
          <w:rFonts w:ascii="Book Antiqua" w:eastAsia="Book Antiqua" w:hAnsi="Book Antiqua" w:cs="Book Antiqua"/>
          <w:b/>
          <w:bCs/>
          <w:color w:val="000000"/>
        </w:rPr>
        <w:t>262</w:t>
      </w:r>
      <w:r w:rsidRPr="007949C3">
        <w:rPr>
          <w:rFonts w:ascii="Book Antiqua" w:eastAsia="Book Antiqua" w:hAnsi="Book Antiqua" w:cs="Book Antiqua"/>
          <w:color w:val="000000"/>
        </w:rPr>
        <w:t>: 509-525 [PMID: 17949362 DOI: 10.1111/j.1365-2796.2007.01844.x]</w:t>
      </w:r>
    </w:p>
    <w:p w14:paraId="7C1866F8"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24 </w:t>
      </w:r>
      <w:r w:rsidRPr="007949C3">
        <w:rPr>
          <w:rFonts w:ascii="Book Antiqua" w:eastAsia="Book Antiqua" w:hAnsi="Book Antiqua" w:cs="Book Antiqua"/>
          <w:b/>
          <w:bCs/>
          <w:color w:val="000000"/>
        </w:rPr>
        <w:t>Song N</w:t>
      </w:r>
      <w:r w:rsidRPr="007949C3">
        <w:rPr>
          <w:rFonts w:ascii="Book Antiqua" w:eastAsia="Book Antiqua" w:hAnsi="Book Antiqua" w:cs="Book Antiqua"/>
          <w:color w:val="000000"/>
        </w:rPr>
        <w:t xml:space="preserve">, Scholtemeijer M, Shah K. Mesenchymal Stem Cell Immunomodulation: Mechanisms and Therapeutic Potential. </w:t>
      </w:r>
      <w:r w:rsidRPr="007949C3">
        <w:rPr>
          <w:rFonts w:ascii="Book Antiqua" w:eastAsia="Book Antiqua" w:hAnsi="Book Antiqua" w:cs="Book Antiqua"/>
          <w:i/>
          <w:iCs/>
          <w:color w:val="000000"/>
        </w:rPr>
        <w:t>Trends Pharmacol Sci</w:t>
      </w:r>
      <w:r w:rsidRPr="007949C3">
        <w:rPr>
          <w:rFonts w:ascii="Book Antiqua" w:eastAsia="Book Antiqua" w:hAnsi="Book Antiqua" w:cs="Book Antiqua"/>
          <w:color w:val="000000"/>
        </w:rPr>
        <w:t xml:space="preserve"> 2020; </w:t>
      </w:r>
      <w:r w:rsidRPr="007949C3">
        <w:rPr>
          <w:rFonts w:ascii="Book Antiqua" w:eastAsia="Book Antiqua" w:hAnsi="Book Antiqua" w:cs="Book Antiqua"/>
          <w:b/>
          <w:bCs/>
          <w:color w:val="000000"/>
        </w:rPr>
        <w:t>41</w:t>
      </w:r>
      <w:r w:rsidRPr="007949C3">
        <w:rPr>
          <w:rFonts w:ascii="Book Antiqua" w:eastAsia="Book Antiqua" w:hAnsi="Book Antiqua" w:cs="Book Antiqua"/>
          <w:color w:val="000000"/>
        </w:rPr>
        <w:t>: 653-664 [PMID: 32709406 DOI: 10.1016/j.tips.2020.06.009]</w:t>
      </w:r>
    </w:p>
    <w:p w14:paraId="4F333E71"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25 </w:t>
      </w:r>
      <w:r w:rsidRPr="007949C3">
        <w:rPr>
          <w:rFonts w:ascii="Book Antiqua" w:eastAsia="Book Antiqua" w:hAnsi="Book Antiqua" w:cs="Book Antiqua"/>
          <w:b/>
          <w:bCs/>
          <w:color w:val="000000"/>
        </w:rPr>
        <w:t>Nilforoushzadeh MA</w:t>
      </w:r>
      <w:r w:rsidRPr="007949C3">
        <w:rPr>
          <w:rFonts w:ascii="Book Antiqua" w:eastAsia="Book Antiqua" w:hAnsi="Book Antiqua" w:cs="Book Antiqua"/>
          <w:color w:val="000000"/>
        </w:rPr>
        <w:t xml:space="preserve">, Lotfi E, Heidari-Kharaji M. Autologous adipose transplantation an effective method to treat alopecia after trauma: a case report. </w:t>
      </w:r>
      <w:r w:rsidRPr="007949C3">
        <w:rPr>
          <w:rFonts w:ascii="Book Antiqua" w:eastAsia="Book Antiqua" w:hAnsi="Book Antiqua" w:cs="Book Antiqua"/>
          <w:i/>
          <w:iCs/>
          <w:color w:val="000000"/>
        </w:rPr>
        <w:t>Clin Cosmet Investig Dermatol</w:t>
      </w:r>
      <w:r w:rsidRPr="007949C3">
        <w:rPr>
          <w:rFonts w:ascii="Book Antiqua" w:eastAsia="Book Antiqua" w:hAnsi="Book Antiqua" w:cs="Book Antiqua"/>
          <w:color w:val="000000"/>
        </w:rPr>
        <w:t xml:space="preserve"> 2019; </w:t>
      </w:r>
      <w:r w:rsidRPr="007949C3">
        <w:rPr>
          <w:rFonts w:ascii="Book Antiqua" w:eastAsia="Book Antiqua" w:hAnsi="Book Antiqua" w:cs="Book Antiqua"/>
          <w:b/>
          <w:bCs/>
          <w:color w:val="000000"/>
        </w:rPr>
        <w:t>12</w:t>
      </w:r>
      <w:r w:rsidRPr="007949C3">
        <w:rPr>
          <w:rFonts w:ascii="Book Antiqua" w:eastAsia="Book Antiqua" w:hAnsi="Book Antiqua" w:cs="Book Antiqua"/>
          <w:color w:val="000000"/>
        </w:rPr>
        <w:t>: 647-651 [PMID: 31564946 DOI: 10.2147/CCID.S217203]</w:t>
      </w:r>
    </w:p>
    <w:p w14:paraId="7BEF42C0"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26 </w:t>
      </w:r>
      <w:r w:rsidRPr="007949C3">
        <w:rPr>
          <w:rFonts w:ascii="Book Antiqua" w:eastAsia="Book Antiqua" w:hAnsi="Book Antiqua" w:cs="Book Antiqua"/>
          <w:b/>
          <w:bCs/>
          <w:color w:val="000000"/>
        </w:rPr>
        <w:t>Anderi R</w:t>
      </w:r>
      <w:r w:rsidRPr="007949C3">
        <w:rPr>
          <w:rFonts w:ascii="Book Antiqua" w:eastAsia="Book Antiqua" w:hAnsi="Book Antiqua" w:cs="Book Antiqua"/>
          <w:color w:val="000000"/>
        </w:rPr>
        <w:t xml:space="preserve">, Makdissy N, Azar A, Rizk F, Hamade A. Cellular therapy with human autologous adipose-derived adult cells of stromal vascular fraction for alopecia areata. </w:t>
      </w:r>
      <w:r w:rsidRPr="007949C3">
        <w:rPr>
          <w:rFonts w:ascii="Book Antiqua" w:eastAsia="Book Antiqua" w:hAnsi="Book Antiqua" w:cs="Book Antiqua"/>
          <w:i/>
          <w:iCs/>
          <w:color w:val="000000"/>
        </w:rPr>
        <w:t>Stem Cell Res Ther</w:t>
      </w:r>
      <w:r w:rsidRPr="007949C3">
        <w:rPr>
          <w:rFonts w:ascii="Book Antiqua" w:eastAsia="Book Antiqua" w:hAnsi="Book Antiqua" w:cs="Book Antiqua"/>
          <w:color w:val="000000"/>
        </w:rPr>
        <w:t xml:space="preserve"> 2018; </w:t>
      </w:r>
      <w:r w:rsidRPr="007949C3">
        <w:rPr>
          <w:rFonts w:ascii="Book Antiqua" w:eastAsia="Book Antiqua" w:hAnsi="Book Antiqua" w:cs="Book Antiqua"/>
          <w:b/>
          <w:bCs/>
          <w:color w:val="000000"/>
        </w:rPr>
        <w:t>9</w:t>
      </w:r>
      <w:r w:rsidRPr="007949C3">
        <w:rPr>
          <w:rFonts w:ascii="Book Antiqua" w:eastAsia="Book Antiqua" w:hAnsi="Book Antiqua" w:cs="Book Antiqua"/>
          <w:color w:val="000000"/>
        </w:rPr>
        <w:t>: 141 [PMID: 29764513 DOI: 10.1186/s13287-018-0889-y]</w:t>
      </w:r>
    </w:p>
    <w:p w14:paraId="24E0A774"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27 </w:t>
      </w:r>
      <w:r w:rsidRPr="007949C3">
        <w:rPr>
          <w:rFonts w:ascii="Book Antiqua" w:eastAsia="Book Antiqua" w:hAnsi="Book Antiqua" w:cs="Book Antiqua"/>
          <w:b/>
          <w:bCs/>
          <w:color w:val="000000"/>
        </w:rPr>
        <w:t>Fukuoka H</w:t>
      </w:r>
      <w:r w:rsidRPr="007949C3">
        <w:rPr>
          <w:rFonts w:ascii="Book Antiqua" w:eastAsia="Book Antiqua" w:hAnsi="Book Antiqua" w:cs="Book Antiqua"/>
          <w:color w:val="000000"/>
        </w:rPr>
        <w:t xml:space="preserve">, Narita K, Suga H. Hair Regeneration Therapy: Application of Adipose-Derived Stem Cells. </w:t>
      </w:r>
      <w:r w:rsidRPr="007949C3">
        <w:rPr>
          <w:rFonts w:ascii="Book Antiqua" w:eastAsia="Book Antiqua" w:hAnsi="Book Antiqua" w:cs="Book Antiqua"/>
          <w:i/>
          <w:iCs/>
          <w:color w:val="000000"/>
        </w:rPr>
        <w:t>Curr Stem Cell Res Ther</w:t>
      </w:r>
      <w:r w:rsidRPr="007949C3">
        <w:rPr>
          <w:rFonts w:ascii="Book Antiqua" w:eastAsia="Book Antiqua" w:hAnsi="Book Antiqua" w:cs="Book Antiqua"/>
          <w:color w:val="000000"/>
        </w:rPr>
        <w:t xml:space="preserve"> 2017; </w:t>
      </w:r>
      <w:r w:rsidRPr="007949C3">
        <w:rPr>
          <w:rFonts w:ascii="Book Antiqua" w:eastAsia="Book Antiqua" w:hAnsi="Book Antiqua" w:cs="Book Antiqua"/>
          <w:b/>
          <w:bCs/>
          <w:color w:val="000000"/>
        </w:rPr>
        <w:t>12</w:t>
      </w:r>
      <w:r w:rsidRPr="007949C3">
        <w:rPr>
          <w:rFonts w:ascii="Book Antiqua" w:eastAsia="Book Antiqua" w:hAnsi="Book Antiqua" w:cs="Book Antiqua"/>
          <w:color w:val="000000"/>
        </w:rPr>
        <w:t>: 531-534 [PMID: 28530535 DOI: 10.2174/1574888X12666170522114307]</w:t>
      </w:r>
    </w:p>
    <w:p w14:paraId="5984CF9A"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28 </w:t>
      </w:r>
      <w:r w:rsidRPr="007949C3">
        <w:rPr>
          <w:rFonts w:ascii="Book Antiqua" w:eastAsia="Book Antiqua" w:hAnsi="Book Antiqua" w:cs="Book Antiqua"/>
          <w:b/>
          <w:bCs/>
          <w:color w:val="000000"/>
        </w:rPr>
        <w:t>Jones E</w:t>
      </w:r>
      <w:r w:rsidRPr="007949C3">
        <w:rPr>
          <w:rFonts w:ascii="Book Antiqua" w:eastAsia="Book Antiqua" w:hAnsi="Book Antiqua" w:cs="Book Antiqua"/>
          <w:color w:val="000000"/>
        </w:rPr>
        <w:t xml:space="preserve">, Schäfer R. Biological differences between native and cultured mesenchymal stem cells: implications for therapies. </w:t>
      </w:r>
      <w:r w:rsidRPr="007949C3">
        <w:rPr>
          <w:rFonts w:ascii="Book Antiqua" w:eastAsia="Book Antiqua" w:hAnsi="Book Antiqua" w:cs="Book Antiqua"/>
          <w:i/>
          <w:iCs/>
          <w:color w:val="000000"/>
        </w:rPr>
        <w:t>Methods Mol Biol</w:t>
      </w:r>
      <w:r w:rsidRPr="007949C3">
        <w:rPr>
          <w:rFonts w:ascii="Book Antiqua" w:eastAsia="Book Antiqua" w:hAnsi="Book Antiqua" w:cs="Book Antiqua"/>
          <w:color w:val="000000"/>
        </w:rPr>
        <w:t xml:space="preserve"> 2015; </w:t>
      </w:r>
      <w:r w:rsidRPr="007949C3">
        <w:rPr>
          <w:rFonts w:ascii="Book Antiqua" w:eastAsia="Book Antiqua" w:hAnsi="Book Antiqua" w:cs="Book Antiqua"/>
          <w:b/>
          <w:bCs/>
          <w:color w:val="000000"/>
        </w:rPr>
        <w:t>1235</w:t>
      </w:r>
      <w:r w:rsidRPr="007949C3">
        <w:rPr>
          <w:rFonts w:ascii="Book Antiqua" w:eastAsia="Book Antiqua" w:hAnsi="Book Antiqua" w:cs="Book Antiqua"/>
          <w:color w:val="000000"/>
        </w:rPr>
        <w:t>: 105-120 [PMID: 25388390 DOI: 10.1007/978-1-4939-1785-3_10]</w:t>
      </w:r>
    </w:p>
    <w:p w14:paraId="571D2534"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29 </w:t>
      </w:r>
      <w:r w:rsidRPr="007949C3">
        <w:rPr>
          <w:rFonts w:ascii="Book Antiqua" w:eastAsia="Book Antiqua" w:hAnsi="Book Antiqua" w:cs="Book Antiqua"/>
          <w:b/>
          <w:bCs/>
          <w:color w:val="000000"/>
        </w:rPr>
        <w:t>Javazon EH</w:t>
      </w:r>
      <w:r w:rsidRPr="007949C3">
        <w:rPr>
          <w:rFonts w:ascii="Book Antiqua" w:eastAsia="Book Antiqua" w:hAnsi="Book Antiqua" w:cs="Book Antiqua"/>
          <w:color w:val="000000"/>
        </w:rPr>
        <w:t xml:space="preserve">, Beggs KJ, Flake AW. Mesenchymal stem cells: paradoxes of passaging. </w:t>
      </w:r>
      <w:r w:rsidRPr="007949C3">
        <w:rPr>
          <w:rFonts w:ascii="Book Antiqua" w:eastAsia="Book Antiqua" w:hAnsi="Book Antiqua" w:cs="Book Antiqua"/>
          <w:i/>
          <w:iCs/>
          <w:color w:val="000000"/>
        </w:rPr>
        <w:t>Exp Hematol</w:t>
      </w:r>
      <w:r w:rsidRPr="007949C3">
        <w:rPr>
          <w:rFonts w:ascii="Book Antiqua" w:eastAsia="Book Antiqua" w:hAnsi="Book Antiqua" w:cs="Book Antiqua"/>
          <w:color w:val="000000"/>
        </w:rPr>
        <w:t xml:space="preserve"> 2004; </w:t>
      </w:r>
      <w:r w:rsidRPr="007949C3">
        <w:rPr>
          <w:rFonts w:ascii="Book Antiqua" w:eastAsia="Book Antiqua" w:hAnsi="Book Antiqua" w:cs="Book Antiqua"/>
          <w:b/>
          <w:bCs/>
          <w:color w:val="000000"/>
        </w:rPr>
        <w:t>32</w:t>
      </w:r>
      <w:r w:rsidRPr="007949C3">
        <w:rPr>
          <w:rFonts w:ascii="Book Antiqua" w:eastAsia="Book Antiqua" w:hAnsi="Book Antiqua" w:cs="Book Antiqua"/>
          <w:color w:val="000000"/>
        </w:rPr>
        <w:t>: 414-425 [PMID: 15145209 DOI: 10.1016/j.exphem.2004.02.004]</w:t>
      </w:r>
    </w:p>
    <w:p w14:paraId="14292910"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30 </w:t>
      </w:r>
      <w:r w:rsidRPr="007949C3">
        <w:rPr>
          <w:rFonts w:ascii="Book Antiqua" w:eastAsia="Book Antiqua" w:hAnsi="Book Antiqua" w:cs="Book Antiqua"/>
          <w:b/>
          <w:bCs/>
          <w:color w:val="000000"/>
        </w:rPr>
        <w:t>Gu Y</w:t>
      </w:r>
      <w:r w:rsidRPr="007949C3">
        <w:rPr>
          <w:rFonts w:ascii="Book Antiqua" w:eastAsia="Book Antiqua" w:hAnsi="Book Antiqua" w:cs="Book Antiqua"/>
          <w:color w:val="000000"/>
        </w:rPr>
        <w:t xml:space="preserve">, Li T, Ding Y, Sun L, Tu T, Zhu W, Hu J, Sun X. Changes in mesenchymal stem cells following long-term culture in vitro. </w:t>
      </w:r>
      <w:r w:rsidRPr="007949C3">
        <w:rPr>
          <w:rFonts w:ascii="Book Antiqua" w:eastAsia="Book Antiqua" w:hAnsi="Book Antiqua" w:cs="Book Antiqua"/>
          <w:i/>
          <w:iCs/>
          <w:color w:val="000000"/>
        </w:rPr>
        <w:t>Mol Med Rep</w:t>
      </w:r>
      <w:r w:rsidRPr="007949C3">
        <w:rPr>
          <w:rFonts w:ascii="Book Antiqua" w:eastAsia="Book Antiqua" w:hAnsi="Book Antiqua" w:cs="Book Antiqua"/>
          <w:color w:val="000000"/>
        </w:rPr>
        <w:t xml:space="preserve"> 2016; </w:t>
      </w:r>
      <w:r w:rsidRPr="007949C3">
        <w:rPr>
          <w:rFonts w:ascii="Book Antiqua" w:eastAsia="Book Antiqua" w:hAnsi="Book Antiqua" w:cs="Book Antiqua"/>
          <w:b/>
          <w:bCs/>
          <w:color w:val="000000"/>
        </w:rPr>
        <w:t>13</w:t>
      </w:r>
      <w:r w:rsidRPr="007949C3">
        <w:rPr>
          <w:rFonts w:ascii="Book Antiqua" w:eastAsia="Book Antiqua" w:hAnsi="Book Antiqua" w:cs="Book Antiqua"/>
          <w:color w:val="000000"/>
        </w:rPr>
        <w:t>: 5207-5215 [PMID: 27108540 DOI: 10.3892/mmr.2016.5169]</w:t>
      </w:r>
    </w:p>
    <w:p w14:paraId="0A19173E"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31 </w:t>
      </w:r>
      <w:r w:rsidRPr="007949C3">
        <w:rPr>
          <w:rFonts w:ascii="Book Antiqua" w:eastAsia="Book Antiqua" w:hAnsi="Book Antiqua" w:cs="Book Antiqua"/>
          <w:b/>
          <w:bCs/>
          <w:color w:val="000000"/>
        </w:rPr>
        <w:t>Vangsness CT Jr</w:t>
      </w:r>
      <w:r w:rsidRPr="007949C3">
        <w:rPr>
          <w:rFonts w:ascii="Book Antiqua" w:eastAsia="Book Antiqua" w:hAnsi="Book Antiqua" w:cs="Book Antiqua"/>
          <w:color w:val="000000"/>
        </w:rPr>
        <w:t xml:space="preserve">, Sternberg H, Harris L. Umbilical Cord Tissue Offers the Greatest Number of Harvestable Mesenchymal Stem Cells for Research and Clinical Application: A Literature Review of Different Harvest Sites. </w:t>
      </w:r>
      <w:r w:rsidRPr="007949C3">
        <w:rPr>
          <w:rFonts w:ascii="Book Antiqua" w:eastAsia="Book Antiqua" w:hAnsi="Book Antiqua" w:cs="Book Antiqua"/>
          <w:i/>
          <w:iCs/>
          <w:color w:val="000000"/>
        </w:rPr>
        <w:t>Arthroscopy</w:t>
      </w:r>
      <w:r w:rsidRPr="007949C3">
        <w:rPr>
          <w:rFonts w:ascii="Book Antiqua" w:eastAsia="Book Antiqua" w:hAnsi="Book Antiqua" w:cs="Book Antiqua"/>
          <w:color w:val="000000"/>
        </w:rPr>
        <w:t xml:space="preserve"> 2015; </w:t>
      </w:r>
      <w:r w:rsidRPr="007949C3">
        <w:rPr>
          <w:rFonts w:ascii="Book Antiqua" w:eastAsia="Book Antiqua" w:hAnsi="Book Antiqua" w:cs="Book Antiqua"/>
          <w:b/>
          <w:bCs/>
          <w:color w:val="000000"/>
        </w:rPr>
        <w:t>31</w:t>
      </w:r>
      <w:r w:rsidRPr="007949C3">
        <w:rPr>
          <w:rFonts w:ascii="Book Antiqua" w:eastAsia="Book Antiqua" w:hAnsi="Book Antiqua" w:cs="Book Antiqua"/>
          <w:color w:val="000000"/>
        </w:rPr>
        <w:t>: 1836-1843 [PMID: 26354202 DOI: 10.1016/j.arthro.2015.03.014]</w:t>
      </w:r>
    </w:p>
    <w:p w14:paraId="7F9D637C"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32 </w:t>
      </w:r>
      <w:r w:rsidRPr="007949C3">
        <w:rPr>
          <w:rFonts w:ascii="Book Antiqua" w:eastAsia="Book Antiqua" w:hAnsi="Book Antiqua" w:cs="Book Antiqua"/>
          <w:b/>
          <w:bCs/>
          <w:color w:val="000000"/>
        </w:rPr>
        <w:t>Kuçi S</w:t>
      </w:r>
      <w:r w:rsidRPr="007949C3">
        <w:rPr>
          <w:rFonts w:ascii="Book Antiqua" w:eastAsia="Book Antiqua" w:hAnsi="Book Antiqua" w:cs="Book Antiqua"/>
          <w:color w:val="000000"/>
        </w:rPr>
        <w:t xml:space="preserve">, Henschler R, Müller I, Biagi E, Meisel R. Basic biology and clinical application of multipotent mesenchymal stromal cells: from bench to bedside. </w:t>
      </w:r>
      <w:r w:rsidRPr="007949C3">
        <w:rPr>
          <w:rFonts w:ascii="Book Antiqua" w:eastAsia="Book Antiqua" w:hAnsi="Book Antiqua" w:cs="Book Antiqua"/>
          <w:i/>
          <w:iCs/>
          <w:color w:val="000000"/>
        </w:rPr>
        <w:t>Stem Cells Int</w:t>
      </w:r>
      <w:r w:rsidRPr="007949C3">
        <w:rPr>
          <w:rFonts w:ascii="Book Antiqua" w:eastAsia="Book Antiqua" w:hAnsi="Book Antiqua" w:cs="Book Antiqua"/>
          <w:color w:val="000000"/>
        </w:rPr>
        <w:t xml:space="preserve"> 2012; </w:t>
      </w:r>
      <w:r w:rsidRPr="007949C3">
        <w:rPr>
          <w:rFonts w:ascii="Book Antiqua" w:eastAsia="Book Antiqua" w:hAnsi="Book Antiqua" w:cs="Book Antiqua"/>
          <w:b/>
          <w:bCs/>
          <w:color w:val="000000"/>
        </w:rPr>
        <w:t>2012</w:t>
      </w:r>
      <w:r w:rsidRPr="007949C3">
        <w:rPr>
          <w:rFonts w:ascii="Book Antiqua" w:eastAsia="Book Antiqua" w:hAnsi="Book Antiqua" w:cs="Book Antiqua"/>
          <w:color w:val="000000"/>
        </w:rPr>
        <w:t>: 185943 [PMID: 22969811 DOI: 10.1155/2012/185943]</w:t>
      </w:r>
    </w:p>
    <w:p w14:paraId="53FE9491"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33 </w:t>
      </w:r>
      <w:r w:rsidRPr="007949C3">
        <w:rPr>
          <w:rFonts w:ascii="Book Antiqua" w:eastAsia="Book Antiqua" w:hAnsi="Book Antiqua" w:cs="Book Antiqua"/>
          <w:b/>
          <w:bCs/>
          <w:color w:val="000000"/>
        </w:rPr>
        <w:t>Zhao J</w:t>
      </w:r>
      <w:r w:rsidRPr="007949C3">
        <w:rPr>
          <w:rFonts w:ascii="Book Antiqua" w:eastAsia="Book Antiqua" w:hAnsi="Book Antiqua" w:cs="Book Antiqua"/>
          <w:color w:val="000000"/>
        </w:rPr>
        <w:t xml:space="preserve">, Wang J, Dang J, Zhu W, Chen Y, Zhang X, Xie J, Hu B, Huang F, Sun B, Bellanti JA, Zheng SG. A preclinical study-systemic evaluation of safety on mesenchymal stem cells derived from human gingiva tissue. </w:t>
      </w:r>
      <w:r w:rsidRPr="007949C3">
        <w:rPr>
          <w:rFonts w:ascii="Book Antiqua" w:eastAsia="Book Antiqua" w:hAnsi="Book Antiqua" w:cs="Book Antiqua"/>
          <w:i/>
          <w:iCs/>
          <w:color w:val="000000"/>
        </w:rPr>
        <w:t>Stem Cell Res Ther</w:t>
      </w:r>
      <w:r w:rsidRPr="007949C3">
        <w:rPr>
          <w:rFonts w:ascii="Book Antiqua" w:eastAsia="Book Antiqua" w:hAnsi="Book Antiqua" w:cs="Book Antiqua"/>
          <w:color w:val="000000"/>
        </w:rPr>
        <w:t xml:space="preserve"> 2019; </w:t>
      </w:r>
      <w:r w:rsidRPr="007949C3">
        <w:rPr>
          <w:rFonts w:ascii="Book Antiqua" w:eastAsia="Book Antiqua" w:hAnsi="Book Antiqua" w:cs="Book Antiqua"/>
          <w:b/>
          <w:bCs/>
          <w:color w:val="000000"/>
        </w:rPr>
        <w:t>10</w:t>
      </w:r>
      <w:r w:rsidRPr="007949C3">
        <w:rPr>
          <w:rFonts w:ascii="Book Antiqua" w:eastAsia="Book Antiqua" w:hAnsi="Book Antiqua" w:cs="Book Antiqua"/>
          <w:color w:val="000000"/>
        </w:rPr>
        <w:t>: 165 [PMID: 31196163 DOI: 10.1186/s13287-019-1262-5]</w:t>
      </w:r>
    </w:p>
    <w:p w14:paraId="689656B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34 </w:t>
      </w:r>
      <w:r w:rsidRPr="007949C3">
        <w:rPr>
          <w:rFonts w:ascii="Book Antiqua" w:eastAsia="Book Antiqua" w:hAnsi="Book Antiqua" w:cs="Book Antiqua"/>
          <w:b/>
          <w:bCs/>
          <w:color w:val="000000"/>
        </w:rPr>
        <w:t>Liang J</w:t>
      </w:r>
      <w:r w:rsidRPr="007949C3">
        <w:rPr>
          <w:rFonts w:ascii="Book Antiqua" w:eastAsia="Book Antiqua" w:hAnsi="Book Antiqua" w:cs="Book Antiqua"/>
          <w:color w:val="000000"/>
        </w:rPr>
        <w:t xml:space="preserve">, Zhang H, Kong W, Deng W, Wang D, Feng X, Zhao C, Hua B, Wang H, Sun L. Safety analysis in patients with autoimmune disease receiving allogeneic mesenchymal stem cells infusion: a long-term retrospective study. </w:t>
      </w:r>
      <w:r w:rsidRPr="007949C3">
        <w:rPr>
          <w:rFonts w:ascii="Book Antiqua" w:eastAsia="Book Antiqua" w:hAnsi="Book Antiqua" w:cs="Book Antiqua"/>
          <w:i/>
          <w:iCs/>
          <w:color w:val="000000"/>
        </w:rPr>
        <w:t>Stem Cell Res Ther</w:t>
      </w:r>
      <w:r w:rsidRPr="007949C3">
        <w:rPr>
          <w:rFonts w:ascii="Book Antiqua" w:eastAsia="Book Antiqua" w:hAnsi="Book Antiqua" w:cs="Book Antiqua"/>
          <w:color w:val="000000"/>
        </w:rPr>
        <w:t xml:space="preserve"> 2018; </w:t>
      </w:r>
      <w:r w:rsidRPr="007949C3">
        <w:rPr>
          <w:rFonts w:ascii="Book Antiqua" w:eastAsia="Book Antiqua" w:hAnsi="Book Antiqua" w:cs="Book Antiqua"/>
          <w:b/>
          <w:bCs/>
          <w:color w:val="000000"/>
        </w:rPr>
        <w:t>9</w:t>
      </w:r>
      <w:r w:rsidRPr="007949C3">
        <w:rPr>
          <w:rFonts w:ascii="Book Antiqua" w:eastAsia="Book Antiqua" w:hAnsi="Book Antiqua" w:cs="Book Antiqua"/>
          <w:color w:val="000000"/>
        </w:rPr>
        <w:t>: 312 [PMID: 30428931 DOI: 10.1186/s13287-018-1053-4]</w:t>
      </w:r>
    </w:p>
    <w:p w14:paraId="6A8994BA"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35 </w:t>
      </w:r>
      <w:r w:rsidRPr="007949C3">
        <w:rPr>
          <w:rFonts w:ascii="Book Antiqua" w:eastAsia="Book Antiqua" w:hAnsi="Book Antiqua" w:cs="Book Antiqua"/>
          <w:b/>
          <w:bCs/>
          <w:color w:val="000000"/>
        </w:rPr>
        <w:t>Wu PK</w:t>
      </w:r>
      <w:r w:rsidRPr="007949C3">
        <w:rPr>
          <w:rFonts w:ascii="Book Antiqua" w:eastAsia="Book Antiqua" w:hAnsi="Book Antiqua" w:cs="Book Antiqua"/>
          <w:color w:val="000000"/>
        </w:rPr>
        <w:t xml:space="preserve">, Wang JY, Chen CF, Chao KY, Chang MC, Chen WM, Hung SC. Early Passage Mesenchymal Stem Cells Display Decreased Radiosensitivity and Increased DNA Repair Activity. </w:t>
      </w:r>
      <w:r w:rsidRPr="007949C3">
        <w:rPr>
          <w:rFonts w:ascii="Book Antiqua" w:eastAsia="Book Antiqua" w:hAnsi="Book Antiqua" w:cs="Book Antiqua"/>
          <w:i/>
          <w:iCs/>
          <w:color w:val="000000"/>
        </w:rPr>
        <w:t>Stem Cells Transl Med</w:t>
      </w:r>
      <w:r w:rsidRPr="007949C3">
        <w:rPr>
          <w:rFonts w:ascii="Book Antiqua" w:eastAsia="Book Antiqua" w:hAnsi="Book Antiqua" w:cs="Book Antiqua"/>
          <w:color w:val="000000"/>
        </w:rPr>
        <w:t xml:space="preserve"> 2017; </w:t>
      </w:r>
      <w:r w:rsidRPr="007949C3">
        <w:rPr>
          <w:rFonts w:ascii="Book Antiqua" w:eastAsia="Book Antiqua" w:hAnsi="Book Antiqua" w:cs="Book Antiqua"/>
          <w:b/>
          <w:bCs/>
          <w:color w:val="000000"/>
        </w:rPr>
        <w:t>6</w:t>
      </w:r>
      <w:r w:rsidRPr="007949C3">
        <w:rPr>
          <w:rFonts w:ascii="Book Antiqua" w:eastAsia="Book Antiqua" w:hAnsi="Book Antiqua" w:cs="Book Antiqua"/>
          <w:color w:val="000000"/>
        </w:rPr>
        <w:t>: 1504-1514 [PMID: 28544661 DOI: 10.1002/sctm.15-0394]</w:t>
      </w:r>
    </w:p>
    <w:p w14:paraId="3B1B9324"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36 </w:t>
      </w:r>
      <w:r w:rsidRPr="007949C3">
        <w:rPr>
          <w:rFonts w:ascii="Book Antiqua" w:eastAsia="Book Antiqua" w:hAnsi="Book Antiqua" w:cs="Book Antiqua"/>
          <w:b/>
          <w:bCs/>
          <w:color w:val="000000"/>
        </w:rPr>
        <w:t>Bao X</w:t>
      </w:r>
      <w:r w:rsidRPr="007949C3">
        <w:rPr>
          <w:rFonts w:ascii="Book Antiqua" w:eastAsia="Book Antiqua" w:hAnsi="Book Antiqua" w:cs="Book Antiqua"/>
          <w:color w:val="000000"/>
        </w:rPr>
        <w:t xml:space="preserve">, Wang J, Zhou G, Aszodi A, Schönitzer V, Scherthan H, Atkinson MJ, Rosemann M. Extended in vitro culture of primary human mesenchymal stem cells downregulates Brca1-related genes and impairs DNA double-strand break recognition. </w:t>
      </w:r>
      <w:r w:rsidRPr="007949C3">
        <w:rPr>
          <w:rFonts w:ascii="Book Antiqua" w:eastAsia="Book Antiqua" w:hAnsi="Book Antiqua" w:cs="Book Antiqua"/>
          <w:i/>
          <w:iCs/>
          <w:color w:val="000000"/>
        </w:rPr>
        <w:t>FEBS Open Bio</w:t>
      </w:r>
      <w:r w:rsidRPr="007949C3">
        <w:rPr>
          <w:rFonts w:ascii="Book Antiqua" w:eastAsia="Book Antiqua" w:hAnsi="Book Antiqua" w:cs="Book Antiqua"/>
          <w:color w:val="000000"/>
        </w:rPr>
        <w:t xml:space="preserve"> 2020; </w:t>
      </w:r>
      <w:r w:rsidRPr="007949C3">
        <w:rPr>
          <w:rFonts w:ascii="Book Antiqua" w:eastAsia="Book Antiqua" w:hAnsi="Book Antiqua" w:cs="Book Antiqua"/>
          <w:b/>
          <w:bCs/>
          <w:color w:val="000000"/>
        </w:rPr>
        <w:t>10</w:t>
      </w:r>
      <w:r w:rsidRPr="007949C3">
        <w:rPr>
          <w:rFonts w:ascii="Book Antiqua" w:eastAsia="Book Antiqua" w:hAnsi="Book Antiqua" w:cs="Book Antiqua"/>
          <w:color w:val="000000"/>
        </w:rPr>
        <w:t>: 1238-1250 [PMID: 32333827 DOI: 10.1002/2211-5463.12867]</w:t>
      </w:r>
    </w:p>
    <w:p w14:paraId="2BE89150"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37 </w:t>
      </w:r>
      <w:r w:rsidRPr="007949C3">
        <w:rPr>
          <w:rFonts w:ascii="Book Antiqua" w:eastAsia="Book Antiqua" w:hAnsi="Book Antiqua" w:cs="Book Antiqua"/>
          <w:b/>
          <w:bCs/>
          <w:color w:val="000000"/>
        </w:rPr>
        <w:t>Liu J</w:t>
      </w:r>
      <w:r w:rsidRPr="007949C3">
        <w:rPr>
          <w:rFonts w:ascii="Book Antiqua" w:eastAsia="Book Antiqua" w:hAnsi="Book Antiqua" w:cs="Book Antiqua"/>
          <w:color w:val="000000"/>
        </w:rPr>
        <w:t xml:space="preserve">, Ding Y, Liu Z, Liang X. Senescence in Mesenchymal Stem Cells: Functional Alterations, Molecular Mechanisms, and Rejuvenation Strategies. </w:t>
      </w:r>
      <w:r w:rsidRPr="007949C3">
        <w:rPr>
          <w:rFonts w:ascii="Book Antiqua" w:eastAsia="Book Antiqua" w:hAnsi="Book Antiqua" w:cs="Book Antiqua"/>
          <w:i/>
          <w:iCs/>
          <w:color w:val="000000"/>
        </w:rPr>
        <w:t>Front Cell Dev Biol</w:t>
      </w:r>
      <w:r w:rsidRPr="007949C3">
        <w:rPr>
          <w:rFonts w:ascii="Book Antiqua" w:eastAsia="Book Antiqua" w:hAnsi="Book Antiqua" w:cs="Book Antiqua"/>
          <w:color w:val="000000"/>
        </w:rPr>
        <w:t xml:space="preserve"> 2020; </w:t>
      </w:r>
      <w:r w:rsidRPr="007949C3">
        <w:rPr>
          <w:rFonts w:ascii="Book Antiqua" w:eastAsia="Book Antiqua" w:hAnsi="Book Antiqua" w:cs="Book Antiqua"/>
          <w:b/>
          <w:bCs/>
          <w:color w:val="000000"/>
        </w:rPr>
        <w:t>8</w:t>
      </w:r>
      <w:r w:rsidRPr="007949C3">
        <w:rPr>
          <w:rFonts w:ascii="Book Antiqua" w:eastAsia="Book Antiqua" w:hAnsi="Book Antiqua" w:cs="Book Antiqua"/>
          <w:color w:val="000000"/>
        </w:rPr>
        <w:t>: 258 [PMID: 32478063 DOI: 10.3389/fcell.2020.00258]</w:t>
      </w:r>
    </w:p>
    <w:p w14:paraId="141B7D9C"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38 </w:t>
      </w:r>
      <w:r w:rsidRPr="007949C3">
        <w:rPr>
          <w:rFonts w:ascii="Book Antiqua" w:eastAsia="Book Antiqua" w:hAnsi="Book Antiqua" w:cs="Book Antiqua"/>
          <w:b/>
          <w:bCs/>
          <w:color w:val="000000"/>
        </w:rPr>
        <w:t>Li S</w:t>
      </w:r>
      <w:r w:rsidRPr="007949C3">
        <w:rPr>
          <w:rFonts w:ascii="Book Antiqua" w:eastAsia="Book Antiqua" w:hAnsi="Book Antiqua" w:cs="Book Antiqua"/>
          <w:color w:val="000000"/>
        </w:rPr>
        <w:t xml:space="preserve">, Wang Y, Guan L, Ji M. Characteristics of human umbilical cord mesenchymal stem cells during </w:t>
      </w:r>
      <w:r w:rsidRPr="007949C3">
        <w:rPr>
          <w:rFonts w:ascii="Book Antiqua" w:eastAsia="Book Antiqua" w:hAnsi="Book Antiqua" w:cs="Book Antiqua"/>
          <w:i/>
          <w:iCs/>
          <w:color w:val="000000"/>
        </w:rPr>
        <w:t>ex vivo</w:t>
      </w:r>
      <w:r w:rsidRPr="007949C3">
        <w:rPr>
          <w:rFonts w:ascii="Book Antiqua" w:eastAsia="Book Antiqua" w:hAnsi="Book Antiqua" w:cs="Book Antiqua"/>
          <w:color w:val="000000"/>
        </w:rPr>
        <w:t xml:space="preserve"> expansion. </w:t>
      </w:r>
      <w:r w:rsidRPr="007949C3">
        <w:rPr>
          <w:rFonts w:ascii="Book Antiqua" w:eastAsia="Book Antiqua" w:hAnsi="Book Antiqua" w:cs="Book Antiqua"/>
          <w:i/>
          <w:iCs/>
          <w:color w:val="000000"/>
        </w:rPr>
        <w:t>Mol Med Rep</w:t>
      </w:r>
      <w:r w:rsidRPr="007949C3">
        <w:rPr>
          <w:rFonts w:ascii="Book Antiqua" w:eastAsia="Book Antiqua" w:hAnsi="Book Antiqua" w:cs="Book Antiqua"/>
          <w:color w:val="000000"/>
        </w:rPr>
        <w:t xml:space="preserve"> 2015; </w:t>
      </w:r>
      <w:r w:rsidRPr="007949C3">
        <w:rPr>
          <w:rFonts w:ascii="Book Antiqua" w:eastAsia="Book Antiqua" w:hAnsi="Book Antiqua" w:cs="Book Antiqua"/>
          <w:b/>
          <w:bCs/>
          <w:color w:val="000000"/>
        </w:rPr>
        <w:t>12</w:t>
      </w:r>
      <w:r w:rsidRPr="007949C3">
        <w:rPr>
          <w:rFonts w:ascii="Book Antiqua" w:eastAsia="Book Antiqua" w:hAnsi="Book Antiqua" w:cs="Book Antiqua"/>
          <w:color w:val="000000"/>
        </w:rPr>
        <w:t>: 4320-4325 [PMID: 26129933 DOI: 10.3892/mmr.2015.3999]</w:t>
      </w:r>
    </w:p>
    <w:p w14:paraId="7DAE9173"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39 </w:t>
      </w:r>
      <w:r w:rsidRPr="007949C3">
        <w:rPr>
          <w:rFonts w:ascii="Book Antiqua" w:eastAsia="Book Antiqua" w:hAnsi="Book Antiqua" w:cs="Book Antiqua"/>
          <w:b/>
          <w:bCs/>
          <w:color w:val="000000"/>
        </w:rPr>
        <w:t>Zhuang Y</w:t>
      </w:r>
      <w:r w:rsidRPr="007949C3">
        <w:rPr>
          <w:rFonts w:ascii="Book Antiqua" w:eastAsia="Book Antiqua" w:hAnsi="Book Antiqua" w:cs="Book Antiqua"/>
          <w:color w:val="000000"/>
        </w:rPr>
        <w:t xml:space="preserve">, Li D, Fu J, Shi Q, Lu Y, Ju X. Comparison of biological properties of umbilical cord-derived mesenchymal stem cells from early and late passages: immunomodulatory ability is enhanced in aged cells. </w:t>
      </w:r>
      <w:r w:rsidRPr="007949C3">
        <w:rPr>
          <w:rFonts w:ascii="Book Antiqua" w:eastAsia="Book Antiqua" w:hAnsi="Book Antiqua" w:cs="Book Antiqua"/>
          <w:i/>
          <w:iCs/>
          <w:color w:val="000000"/>
        </w:rPr>
        <w:t>Mol Med Rep</w:t>
      </w:r>
      <w:r w:rsidRPr="007949C3">
        <w:rPr>
          <w:rFonts w:ascii="Book Antiqua" w:eastAsia="Book Antiqua" w:hAnsi="Book Antiqua" w:cs="Book Antiqua"/>
          <w:color w:val="000000"/>
        </w:rPr>
        <w:t xml:space="preserve"> 2015; </w:t>
      </w:r>
      <w:r w:rsidRPr="007949C3">
        <w:rPr>
          <w:rFonts w:ascii="Book Antiqua" w:eastAsia="Book Antiqua" w:hAnsi="Book Antiqua" w:cs="Book Antiqua"/>
          <w:b/>
          <w:bCs/>
          <w:color w:val="000000"/>
        </w:rPr>
        <w:t>11</w:t>
      </w:r>
      <w:r w:rsidRPr="007949C3">
        <w:rPr>
          <w:rFonts w:ascii="Book Antiqua" w:eastAsia="Book Antiqua" w:hAnsi="Book Antiqua" w:cs="Book Antiqua"/>
          <w:color w:val="000000"/>
        </w:rPr>
        <w:t>: 166-174 [PMID: 25339265 DOI: 10.3892/mmr.2014.2755]</w:t>
      </w:r>
    </w:p>
    <w:p w14:paraId="2D0EE96E"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40 </w:t>
      </w:r>
      <w:r w:rsidRPr="007949C3">
        <w:rPr>
          <w:rFonts w:ascii="Book Antiqua" w:eastAsia="Book Antiqua" w:hAnsi="Book Antiqua" w:cs="Book Antiqua"/>
          <w:b/>
          <w:bCs/>
          <w:color w:val="000000"/>
        </w:rPr>
        <w:t>Tong CK</w:t>
      </w:r>
      <w:r w:rsidRPr="007949C3">
        <w:rPr>
          <w:rFonts w:ascii="Book Antiqua" w:eastAsia="Book Antiqua" w:hAnsi="Book Antiqua" w:cs="Book Antiqua"/>
          <w:color w:val="000000"/>
        </w:rPr>
        <w:t xml:space="preserve">, Vellasamy S, Tan BC, Abdullah M, Vidyadaran S, Seow HF, Ramasamy R. Generation of mesenchymal stem cell from human umbilical cord tissue using a combination enzymatic and mechanical disassociation method. </w:t>
      </w:r>
      <w:r w:rsidRPr="007949C3">
        <w:rPr>
          <w:rFonts w:ascii="Book Antiqua" w:eastAsia="Book Antiqua" w:hAnsi="Book Antiqua" w:cs="Book Antiqua"/>
          <w:i/>
          <w:iCs/>
          <w:color w:val="000000"/>
        </w:rPr>
        <w:t>Cell Biol Int</w:t>
      </w:r>
      <w:r w:rsidRPr="007949C3">
        <w:rPr>
          <w:rFonts w:ascii="Book Antiqua" w:eastAsia="Book Antiqua" w:hAnsi="Book Antiqua" w:cs="Book Antiqua"/>
          <w:color w:val="000000"/>
        </w:rPr>
        <w:t xml:space="preserve"> 2011; </w:t>
      </w:r>
      <w:r w:rsidRPr="007949C3">
        <w:rPr>
          <w:rFonts w:ascii="Book Antiqua" w:eastAsia="Book Antiqua" w:hAnsi="Book Antiqua" w:cs="Book Antiqua"/>
          <w:b/>
          <w:bCs/>
          <w:color w:val="000000"/>
        </w:rPr>
        <w:t>35</w:t>
      </w:r>
      <w:r w:rsidRPr="007949C3">
        <w:rPr>
          <w:rFonts w:ascii="Book Antiqua" w:eastAsia="Book Antiqua" w:hAnsi="Book Antiqua" w:cs="Book Antiqua"/>
          <w:color w:val="000000"/>
        </w:rPr>
        <w:t>: 221-226 [PMID: 20946106 DOI: 10.1042/CBI20100326]</w:t>
      </w:r>
    </w:p>
    <w:p w14:paraId="301DF628" w14:textId="77777777" w:rsidR="00A77B3E" w:rsidRPr="007949C3" w:rsidRDefault="00A77B3E" w:rsidP="007949C3">
      <w:pPr>
        <w:adjustRightInd w:val="0"/>
        <w:snapToGrid w:val="0"/>
        <w:spacing w:line="360" w:lineRule="auto"/>
        <w:jc w:val="both"/>
        <w:rPr>
          <w:rFonts w:ascii="Book Antiqua" w:hAnsi="Book Antiqua"/>
        </w:rPr>
        <w:sectPr w:rsidR="00A77B3E" w:rsidRPr="007949C3">
          <w:pgSz w:w="12240" w:h="15840"/>
          <w:pgMar w:top="1440" w:right="1440" w:bottom="1440" w:left="1440" w:header="720" w:footer="720" w:gutter="0"/>
          <w:cols w:space="720"/>
          <w:docGrid w:linePitch="360"/>
        </w:sectPr>
      </w:pPr>
    </w:p>
    <w:p w14:paraId="0879242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Footnotes</w:t>
      </w:r>
    </w:p>
    <w:p w14:paraId="2A6D2B9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Informed consent statement: </w:t>
      </w:r>
      <w:r w:rsidRPr="007949C3">
        <w:rPr>
          <w:rFonts w:ascii="Book Antiqua" w:eastAsia="Book Antiqua" w:hAnsi="Book Antiqua" w:cs="Book Antiqua"/>
          <w:color w:val="000000"/>
        </w:rPr>
        <w:t>The patients involved in this study gave their written informed consent authorizing disclosure of protected health information.</w:t>
      </w:r>
    </w:p>
    <w:p w14:paraId="392EDD09" w14:textId="77777777" w:rsidR="00A77B3E" w:rsidRPr="007949C3" w:rsidRDefault="00A77B3E" w:rsidP="007949C3">
      <w:pPr>
        <w:adjustRightInd w:val="0"/>
        <w:snapToGrid w:val="0"/>
        <w:spacing w:line="360" w:lineRule="auto"/>
        <w:jc w:val="both"/>
        <w:rPr>
          <w:rFonts w:ascii="Book Antiqua" w:hAnsi="Book Antiqua"/>
        </w:rPr>
      </w:pPr>
    </w:p>
    <w:p w14:paraId="55E2622F"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Conflict-of-interest statement: </w:t>
      </w:r>
      <w:r w:rsidRPr="007949C3">
        <w:rPr>
          <w:rFonts w:ascii="Book Antiqua" w:eastAsia="Book Antiqua" w:hAnsi="Book Antiqua" w:cs="Book Antiqua"/>
          <w:color w:val="000000"/>
        </w:rPr>
        <w:t>All authors have no conflicts of interest to declare.</w:t>
      </w:r>
    </w:p>
    <w:p w14:paraId="68DD7C97" w14:textId="77777777" w:rsidR="00A77B3E" w:rsidRPr="007949C3" w:rsidRDefault="00A77B3E" w:rsidP="007949C3">
      <w:pPr>
        <w:adjustRightInd w:val="0"/>
        <w:snapToGrid w:val="0"/>
        <w:spacing w:line="360" w:lineRule="auto"/>
        <w:jc w:val="both"/>
        <w:rPr>
          <w:rFonts w:ascii="Book Antiqua" w:hAnsi="Book Antiqua"/>
        </w:rPr>
      </w:pPr>
    </w:p>
    <w:p w14:paraId="14018CB1"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CARE Checklist (2016) statement: </w:t>
      </w:r>
      <w:r w:rsidRPr="007949C3">
        <w:rPr>
          <w:rFonts w:ascii="Book Antiqua" w:eastAsia="Book Antiqua" w:hAnsi="Book Antiqua" w:cs="Book Antiqua"/>
          <w:color w:val="000000"/>
        </w:rPr>
        <w:t>The authors have read the CARE Checklist (2016), and the manuscript was prepared and revised according to the CARE Checklist (2016).</w:t>
      </w:r>
    </w:p>
    <w:p w14:paraId="1A7F21FE" w14:textId="77777777" w:rsidR="00A77B3E" w:rsidRPr="007949C3" w:rsidRDefault="00A77B3E" w:rsidP="007949C3">
      <w:pPr>
        <w:adjustRightInd w:val="0"/>
        <w:snapToGrid w:val="0"/>
        <w:spacing w:line="360" w:lineRule="auto"/>
        <w:jc w:val="both"/>
        <w:rPr>
          <w:rFonts w:ascii="Book Antiqua" w:hAnsi="Book Antiqua"/>
        </w:rPr>
      </w:pPr>
    </w:p>
    <w:p w14:paraId="1A47CFE3"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Open-Access: </w:t>
      </w:r>
      <w:r w:rsidRPr="007949C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FEFD4C" w14:textId="77777777" w:rsidR="00A77B3E" w:rsidRPr="007949C3" w:rsidRDefault="00A77B3E" w:rsidP="007949C3">
      <w:pPr>
        <w:adjustRightInd w:val="0"/>
        <w:snapToGrid w:val="0"/>
        <w:spacing w:line="360" w:lineRule="auto"/>
        <w:jc w:val="both"/>
        <w:rPr>
          <w:rFonts w:ascii="Book Antiqua" w:hAnsi="Book Antiqua"/>
        </w:rPr>
      </w:pPr>
    </w:p>
    <w:p w14:paraId="0448318B" w14:textId="2098B75F"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Manuscript source: </w:t>
      </w:r>
      <w:r w:rsidRPr="007949C3">
        <w:rPr>
          <w:rFonts w:ascii="Book Antiqua" w:eastAsia="Book Antiqua" w:hAnsi="Book Antiqua" w:cs="Book Antiqua"/>
          <w:color w:val="000000"/>
        </w:rPr>
        <w:t xml:space="preserve">Unsolicited </w:t>
      </w:r>
      <w:r w:rsidR="00642612">
        <w:rPr>
          <w:rFonts w:ascii="Book Antiqua" w:eastAsia="Book Antiqua" w:hAnsi="Book Antiqua" w:cs="Book Antiqua"/>
          <w:color w:val="000000"/>
        </w:rPr>
        <w:t>m</w:t>
      </w:r>
      <w:r w:rsidRPr="007949C3">
        <w:rPr>
          <w:rFonts w:ascii="Book Antiqua" w:eastAsia="Book Antiqua" w:hAnsi="Book Antiqua" w:cs="Book Antiqua"/>
          <w:color w:val="000000"/>
        </w:rPr>
        <w:t>anuscript</w:t>
      </w:r>
    </w:p>
    <w:p w14:paraId="60A1484F" w14:textId="77777777" w:rsidR="00A77B3E" w:rsidRPr="007949C3" w:rsidRDefault="00A77B3E" w:rsidP="007949C3">
      <w:pPr>
        <w:adjustRightInd w:val="0"/>
        <w:snapToGrid w:val="0"/>
        <w:spacing w:line="360" w:lineRule="auto"/>
        <w:jc w:val="both"/>
        <w:rPr>
          <w:rFonts w:ascii="Book Antiqua" w:hAnsi="Book Antiqua"/>
        </w:rPr>
      </w:pPr>
    </w:p>
    <w:p w14:paraId="265FDBF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Peer-review started: </w:t>
      </w:r>
      <w:r w:rsidRPr="007949C3">
        <w:rPr>
          <w:rFonts w:ascii="Book Antiqua" w:eastAsia="Book Antiqua" w:hAnsi="Book Antiqua" w:cs="Book Antiqua"/>
          <w:color w:val="000000"/>
        </w:rPr>
        <w:t>January 8, 2021</w:t>
      </w:r>
    </w:p>
    <w:p w14:paraId="468731D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First decision: </w:t>
      </w:r>
      <w:r w:rsidRPr="007949C3">
        <w:rPr>
          <w:rFonts w:ascii="Book Antiqua" w:eastAsia="Book Antiqua" w:hAnsi="Book Antiqua" w:cs="Book Antiqua"/>
          <w:color w:val="000000"/>
        </w:rPr>
        <w:t>February 12, 2021</w:t>
      </w:r>
    </w:p>
    <w:p w14:paraId="4B907A32" w14:textId="28D63E32"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Article in press: </w:t>
      </w:r>
      <w:r w:rsidR="00501ADC" w:rsidRPr="00501ADC">
        <w:rPr>
          <w:rFonts w:ascii="Book Antiqua" w:eastAsia="Book Antiqua" w:hAnsi="Book Antiqua" w:cs="Book Antiqua"/>
          <w:color w:val="000000"/>
        </w:rPr>
        <w:t>March 25, 2021</w:t>
      </w:r>
    </w:p>
    <w:p w14:paraId="00ACAFA0" w14:textId="77777777" w:rsidR="00A77B3E" w:rsidRPr="007949C3" w:rsidRDefault="00A77B3E" w:rsidP="007949C3">
      <w:pPr>
        <w:adjustRightInd w:val="0"/>
        <w:snapToGrid w:val="0"/>
        <w:spacing w:line="360" w:lineRule="auto"/>
        <w:jc w:val="both"/>
        <w:rPr>
          <w:rFonts w:ascii="Book Antiqua" w:hAnsi="Book Antiqua"/>
        </w:rPr>
      </w:pPr>
    </w:p>
    <w:p w14:paraId="7BDA5055"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Specialty type: </w:t>
      </w:r>
      <w:r w:rsidRPr="007949C3">
        <w:rPr>
          <w:rFonts w:ascii="Book Antiqua" w:eastAsia="Book Antiqua" w:hAnsi="Book Antiqua" w:cs="Book Antiqua"/>
          <w:color w:val="000000"/>
        </w:rPr>
        <w:t>Dermatology</w:t>
      </w:r>
    </w:p>
    <w:p w14:paraId="0148CA7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Country/Territory of origin: </w:t>
      </w:r>
      <w:r w:rsidRPr="007949C3">
        <w:rPr>
          <w:rFonts w:ascii="Book Antiqua" w:eastAsia="Book Antiqua" w:hAnsi="Book Antiqua" w:cs="Book Antiqua"/>
          <w:color w:val="000000"/>
        </w:rPr>
        <w:t>South Korea</w:t>
      </w:r>
    </w:p>
    <w:p w14:paraId="608BE05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Peer-review report’s scientific quality classification</w:t>
      </w:r>
    </w:p>
    <w:p w14:paraId="712B4545"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Grade A (Excellent): 0</w:t>
      </w:r>
    </w:p>
    <w:p w14:paraId="240D6C8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Grade B (Very good): B</w:t>
      </w:r>
    </w:p>
    <w:p w14:paraId="3209C95E"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Grade C (Good): C, C</w:t>
      </w:r>
    </w:p>
    <w:p w14:paraId="3C7EEFD1"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Grade D (Fair): 0</w:t>
      </w:r>
    </w:p>
    <w:p w14:paraId="6CC30881"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Grade E (Poor): 0</w:t>
      </w:r>
    </w:p>
    <w:p w14:paraId="112A2611" w14:textId="77777777" w:rsidR="00A77B3E" w:rsidRPr="007949C3" w:rsidRDefault="00A77B3E" w:rsidP="007949C3">
      <w:pPr>
        <w:adjustRightInd w:val="0"/>
        <w:snapToGrid w:val="0"/>
        <w:spacing w:line="360" w:lineRule="auto"/>
        <w:jc w:val="both"/>
        <w:rPr>
          <w:rFonts w:ascii="Book Antiqua" w:hAnsi="Book Antiqua"/>
        </w:rPr>
      </w:pPr>
    </w:p>
    <w:p w14:paraId="19030E8E" w14:textId="31A4D6D1" w:rsidR="00A77B3E" w:rsidRPr="007949C3" w:rsidRDefault="005D3F12" w:rsidP="007949C3">
      <w:pPr>
        <w:adjustRightInd w:val="0"/>
        <w:snapToGrid w:val="0"/>
        <w:spacing w:line="360" w:lineRule="auto"/>
        <w:jc w:val="both"/>
        <w:rPr>
          <w:rFonts w:ascii="Book Antiqua" w:hAnsi="Book Antiqua"/>
        </w:rPr>
        <w:sectPr w:rsidR="00A77B3E" w:rsidRPr="007949C3">
          <w:pgSz w:w="12240" w:h="15840"/>
          <w:pgMar w:top="1440" w:right="1440" w:bottom="1440" w:left="1440" w:header="720" w:footer="720" w:gutter="0"/>
          <w:cols w:space="720"/>
          <w:docGrid w:linePitch="360"/>
        </w:sectPr>
      </w:pPr>
      <w:r w:rsidRPr="007949C3">
        <w:rPr>
          <w:rFonts w:ascii="Book Antiqua" w:eastAsia="Book Antiqua" w:hAnsi="Book Antiqua" w:cs="Book Antiqua"/>
          <w:b/>
          <w:color w:val="000000"/>
        </w:rPr>
        <w:t xml:space="preserve">P-Reviewer: </w:t>
      </w:r>
      <w:r w:rsidRPr="007949C3">
        <w:rPr>
          <w:rFonts w:ascii="Book Antiqua" w:eastAsia="Book Antiqua" w:hAnsi="Book Antiqua" w:cs="Book Antiqua"/>
          <w:color w:val="000000"/>
        </w:rPr>
        <w:t>Salim A, Sukumaran A</w:t>
      </w:r>
      <w:r w:rsidRPr="007949C3">
        <w:rPr>
          <w:rFonts w:ascii="Book Antiqua" w:eastAsia="Book Antiqua" w:hAnsi="Book Antiqua" w:cs="Book Antiqua"/>
          <w:b/>
          <w:color w:val="000000"/>
        </w:rPr>
        <w:t xml:space="preserve"> S-Editor: </w:t>
      </w:r>
      <w:r w:rsidRPr="007949C3">
        <w:rPr>
          <w:rFonts w:ascii="Book Antiqua" w:eastAsia="Book Antiqua" w:hAnsi="Book Antiqua" w:cs="Book Antiqua"/>
          <w:color w:val="000000"/>
        </w:rPr>
        <w:t>Liu M</w:t>
      </w:r>
      <w:r w:rsidRPr="007949C3">
        <w:rPr>
          <w:rFonts w:ascii="Book Antiqua" w:eastAsia="Book Antiqua" w:hAnsi="Book Antiqua" w:cs="Book Antiqua"/>
          <w:b/>
          <w:color w:val="000000"/>
        </w:rPr>
        <w:t xml:space="preserve"> L-Editor:</w:t>
      </w:r>
      <w:r w:rsidR="00501ADC">
        <w:rPr>
          <w:rFonts w:ascii="Book Antiqua" w:hAnsi="Book Antiqua" w:cs="Book Antiqua" w:hint="eastAsia"/>
          <w:b/>
          <w:color w:val="000000"/>
          <w:lang w:eastAsia="zh-CN"/>
        </w:rPr>
        <w:t xml:space="preserve"> </w:t>
      </w:r>
      <w:r w:rsidR="00501ADC" w:rsidRPr="00501ADC">
        <w:rPr>
          <w:rFonts w:ascii="Book Antiqua" w:hAnsi="Book Antiqua" w:cs="Book Antiqua" w:hint="eastAsia"/>
          <w:color w:val="000000"/>
          <w:lang w:eastAsia="zh-CN"/>
        </w:rPr>
        <w:t>A</w:t>
      </w:r>
      <w:r w:rsidR="00501ADC">
        <w:rPr>
          <w:rFonts w:ascii="Book Antiqua" w:hAnsi="Book Antiqua" w:cs="Book Antiqua" w:hint="eastAsia"/>
          <w:b/>
          <w:color w:val="000000"/>
          <w:lang w:eastAsia="zh-CN"/>
        </w:rPr>
        <w:t xml:space="preserve"> </w:t>
      </w:r>
      <w:r w:rsidRPr="007949C3">
        <w:rPr>
          <w:rFonts w:ascii="Book Antiqua" w:eastAsia="Book Antiqua" w:hAnsi="Book Antiqua" w:cs="Book Antiqua"/>
          <w:b/>
          <w:color w:val="000000"/>
        </w:rPr>
        <w:t xml:space="preserve">P-Editor: </w:t>
      </w:r>
      <w:r w:rsidR="00501ADC" w:rsidRPr="00501ADC">
        <w:rPr>
          <w:rFonts w:ascii="Book Antiqua" w:eastAsia="Book Antiqua" w:hAnsi="Book Antiqua" w:cs="Book Antiqua"/>
          <w:color w:val="000000"/>
        </w:rPr>
        <w:t>Yuan YY</w:t>
      </w:r>
    </w:p>
    <w:p w14:paraId="25520FCA"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Figure Legends</w:t>
      </w:r>
    </w:p>
    <w:p w14:paraId="781475E7" w14:textId="50854D9E" w:rsidR="007949C3" w:rsidRPr="007949C3" w:rsidRDefault="00FC616F" w:rsidP="007949C3">
      <w:pPr>
        <w:adjustRightInd w:val="0"/>
        <w:snapToGrid w:val="0"/>
        <w:spacing w:line="360" w:lineRule="auto"/>
        <w:jc w:val="both"/>
        <w:rPr>
          <w:rFonts w:ascii="Book Antiqua" w:hAnsi="Book Antiqua"/>
          <w:b/>
          <w:bCs/>
          <w:color w:val="000000" w:themeColor="text1"/>
        </w:rPr>
      </w:pPr>
      <w:r>
        <w:rPr>
          <w:rFonts w:ascii="Book Antiqua" w:hAnsi="Book Antiqua"/>
          <w:b/>
          <w:bCs/>
          <w:noProof/>
          <w:color w:val="000000" w:themeColor="text1"/>
          <w:lang w:eastAsia="zh-CN"/>
        </w:rPr>
        <w:drawing>
          <wp:inline distT="0" distB="0" distL="0" distR="0" wp14:anchorId="707AA62A" wp14:editId="19470BF5">
            <wp:extent cx="3249505" cy="3698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3839" cy="3703173"/>
                    </a:xfrm>
                    <a:prstGeom prst="rect">
                      <a:avLst/>
                    </a:prstGeom>
                    <a:noFill/>
                  </pic:spPr>
                </pic:pic>
              </a:graphicData>
            </a:graphic>
          </wp:inline>
        </w:drawing>
      </w:r>
    </w:p>
    <w:p w14:paraId="2F2A0135"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 xml:space="preserve">Figure 1 Alopecia areata sites of the patients before treatment. </w:t>
      </w:r>
      <w:r w:rsidRPr="007949C3">
        <w:rPr>
          <w:rFonts w:ascii="Book Antiqua" w:hAnsi="Book Antiqua"/>
          <w:color w:val="000000" w:themeColor="text1"/>
        </w:rPr>
        <w:t>A: The image represents the alopecia lesion sites of case 1 before transplantation of minimally manipulated umbilical cord-derived mesenchymal stem cells;</w:t>
      </w:r>
      <w:r w:rsidRPr="007949C3">
        <w:rPr>
          <w:rFonts w:ascii="Book Antiqua" w:hAnsi="Book Antiqua"/>
          <w:b/>
          <w:bCs/>
          <w:color w:val="000000" w:themeColor="text1"/>
        </w:rPr>
        <w:t xml:space="preserve"> </w:t>
      </w:r>
      <w:r w:rsidRPr="007949C3">
        <w:rPr>
          <w:rFonts w:ascii="Book Antiqua" w:hAnsi="Book Antiqua"/>
          <w:color w:val="000000" w:themeColor="text1"/>
        </w:rPr>
        <w:t>B: Case 2 before transplantation of minimally manipulated umbilical cord-derived mesenchymal stem cells; C: Case 3 before transplantation of minimally manipulated umbilical cord-derived mesenchymal stem cells.</w:t>
      </w:r>
    </w:p>
    <w:p w14:paraId="797D26F7"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br w:type="page"/>
      </w:r>
    </w:p>
    <w:p w14:paraId="514CD454"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noProof/>
          <w:color w:val="000000" w:themeColor="text1"/>
          <w:lang w:eastAsia="zh-CN"/>
        </w:rPr>
        <w:drawing>
          <wp:inline distT="0" distB="0" distL="0" distR="0" wp14:anchorId="095977AD" wp14:editId="4850CFB6">
            <wp:extent cx="1812290" cy="1799590"/>
            <wp:effectExtent l="0" t="0" r="1270" b="13970"/>
            <wp:docPr id="19" name="그림 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descr="Chart, histo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12558" cy="1800000"/>
                    </a:xfrm>
                    <a:prstGeom prst="rect">
                      <a:avLst/>
                    </a:prstGeom>
                    <a:noFill/>
                    <a:ln>
                      <a:noFill/>
                    </a:ln>
                  </pic:spPr>
                </pic:pic>
              </a:graphicData>
            </a:graphic>
          </wp:inline>
        </w:drawing>
      </w:r>
      <w:r w:rsidRPr="007949C3">
        <w:rPr>
          <w:rFonts w:ascii="Book Antiqua" w:hAnsi="Book Antiqua"/>
          <w:color w:val="000000" w:themeColor="text1"/>
        </w:rPr>
        <w:t xml:space="preserve"> </w:t>
      </w:r>
      <w:r w:rsidRPr="007949C3">
        <w:rPr>
          <w:rFonts w:ascii="Book Antiqua" w:hAnsi="Book Antiqua"/>
          <w:noProof/>
          <w:color w:val="000000" w:themeColor="text1"/>
          <w:lang w:eastAsia="zh-CN"/>
        </w:rPr>
        <w:drawing>
          <wp:inline distT="0" distB="0" distL="0" distR="0" wp14:anchorId="5F3D44DE" wp14:editId="4C87EAFD">
            <wp:extent cx="1816735" cy="1799590"/>
            <wp:effectExtent l="0" t="0" r="12065" b="13970"/>
            <wp:docPr id="20" name="그림 2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descr="Chart, histo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16744" cy="1800000"/>
                    </a:xfrm>
                    <a:prstGeom prst="rect">
                      <a:avLst/>
                    </a:prstGeom>
                    <a:noFill/>
                    <a:ln>
                      <a:noFill/>
                    </a:ln>
                  </pic:spPr>
                </pic:pic>
              </a:graphicData>
            </a:graphic>
          </wp:inline>
        </w:drawing>
      </w:r>
      <w:r w:rsidRPr="007949C3">
        <w:rPr>
          <w:rFonts w:ascii="Book Antiqua" w:hAnsi="Book Antiqua"/>
          <w:color w:val="000000" w:themeColor="text1"/>
        </w:rPr>
        <w:t xml:space="preserve"> </w:t>
      </w:r>
      <w:r w:rsidRPr="007949C3">
        <w:rPr>
          <w:rFonts w:ascii="Book Antiqua" w:hAnsi="Book Antiqua"/>
          <w:noProof/>
          <w:color w:val="000000" w:themeColor="text1"/>
          <w:lang w:eastAsia="zh-CN"/>
        </w:rPr>
        <w:drawing>
          <wp:inline distT="0" distB="0" distL="0" distR="0" wp14:anchorId="154ECCCC" wp14:editId="0B135C45">
            <wp:extent cx="1816735" cy="1799590"/>
            <wp:effectExtent l="0" t="0" r="12065" b="13970"/>
            <wp:docPr id="21" name="그림 2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descr="Chart, histo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16744" cy="1800000"/>
                    </a:xfrm>
                    <a:prstGeom prst="rect">
                      <a:avLst/>
                    </a:prstGeom>
                    <a:noFill/>
                    <a:ln>
                      <a:noFill/>
                    </a:ln>
                  </pic:spPr>
                </pic:pic>
              </a:graphicData>
            </a:graphic>
          </wp:inline>
        </w:drawing>
      </w:r>
    </w:p>
    <w:p w14:paraId="0B7A8B70" w14:textId="77777777" w:rsidR="007949C3" w:rsidRPr="007949C3" w:rsidRDefault="007949C3" w:rsidP="007949C3">
      <w:pPr>
        <w:adjustRightInd w:val="0"/>
        <w:snapToGrid w:val="0"/>
        <w:spacing w:line="360" w:lineRule="auto"/>
        <w:jc w:val="both"/>
        <w:rPr>
          <w:rFonts w:ascii="Book Antiqua" w:eastAsia="Malgun Gothic" w:hAnsi="Book Antiqua"/>
          <w:b/>
          <w:bCs/>
          <w:color w:val="000000" w:themeColor="text1"/>
        </w:rPr>
      </w:pPr>
      <w:r w:rsidRPr="007949C3">
        <w:rPr>
          <w:rFonts w:ascii="Book Antiqua" w:hAnsi="Book Antiqua"/>
          <w:b/>
          <w:bCs/>
          <w:color w:val="000000" w:themeColor="text1"/>
        </w:rPr>
        <w:t xml:space="preserve">Figure 2 Mesenchymal stem cell marker expression in minimally manipulated umbilical cord-derived mesenchymal stem cells. </w:t>
      </w:r>
      <w:r w:rsidRPr="007949C3">
        <w:rPr>
          <w:rFonts w:ascii="Book Antiqua" w:hAnsi="Book Antiqua"/>
          <w:color w:val="000000" w:themeColor="text1"/>
        </w:rPr>
        <w:t>A: The expression marker tested was CD73 (77.48%); B: CD90 (95.67%); C: CD105 (95.40%).</w:t>
      </w:r>
    </w:p>
    <w:p w14:paraId="5D4A17E7" w14:textId="266378EA"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b/>
          <w:bCs/>
          <w:color w:val="000000" w:themeColor="text1"/>
        </w:rPr>
        <w:br w:type="page"/>
      </w:r>
      <w:r w:rsidRPr="007949C3">
        <w:rPr>
          <w:rFonts w:ascii="Book Antiqua" w:hAnsi="Book Antiqua"/>
          <w:color w:val="000000" w:themeColor="text1"/>
        </w:rPr>
        <w:t xml:space="preserve"> </w:t>
      </w:r>
      <w:r w:rsidRPr="007949C3">
        <w:rPr>
          <w:rFonts w:ascii="Book Antiqua" w:hAnsi="Book Antiqua"/>
          <w:noProof/>
          <w:color w:val="000000" w:themeColor="text1"/>
          <w:lang w:eastAsia="zh-CN"/>
        </w:rPr>
        <w:drawing>
          <wp:inline distT="0" distB="0" distL="0" distR="0" wp14:anchorId="75AD144B" wp14:editId="53494B84">
            <wp:extent cx="4804568" cy="28733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2235" cy="2877960"/>
                    </a:xfrm>
                    <a:prstGeom prst="rect">
                      <a:avLst/>
                    </a:prstGeom>
                    <a:noFill/>
                  </pic:spPr>
                </pic:pic>
              </a:graphicData>
            </a:graphic>
          </wp:inline>
        </w:drawing>
      </w:r>
    </w:p>
    <w:p w14:paraId="7E83E782" w14:textId="206DF65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 xml:space="preserve"> </w:t>
      </w:r>
    </w:p>
    <w:p w14:paraId="58DCD4FB" w14:textId="77777777" w:rsidR="007949C3" w:rsidRPr="007949C3" w:rsidRDefault="007949C3" w:rsidP="007949C3">
      <w:pPr>
        <w:adjustRightInd w:val="0"/>
        <w:snapToGrid w:val="0"/>
        <w:spacing w:line="360" w:lineRule="auto"/>
        <w:jc w:val="both"/>
        <w:rPr>
          <w:rFonts w:ascii="Book Antiqua" w:eastAsia="Malgun Gothic" w:hAnsi="Book Antiqua"/>
          <w:color w:val="000000" w:themeColor="text1"/>
        </w:rPr>
      </w:pPr>
      <w:r w:rsidRPr="007949C3">
        <w:rPr>
          <w:rFonts w:ascii="Book Antiqua" w:hAnsi="Book Antiqua"/>
          <w:b/>
          <w:bCs/>
          <w:color w:val="000000" w:themeColor="text1"/>
        </w:rPr>
        <w:t xml:space="preserve">Figure 3 Visible changes at the lesion sites of case 1 during and after treatment. </w:t>
      </w:r>
      <w:r w:rsidRPr="007949C3">
        <w:rPr>
          <w:rFonts w:ascii="Book Antiqua" w:hAnsi="Book Antiqua"/>
          <w:color w:val="000000" w:themeColor="text1"/>
        </w:rPr>
        <w:t xml:space="preserve">A and B: There were no significant changes observed at (A) day 33 or (B) day 53 after the first transplant; C: Hair covered the lesion site at day 164 after the first transplant; D: These images were taken 22 mo after the final transplant. The patient was completely cured and maintained the hair growth. The images represent the lesion on the right side of the scalp. </w:t>
      </w:r>
    </w:p>
    <w:p w14:paraId="27FB3FE5" w14:textId="6C8C38D8"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eastAsia="Malgun Gothic" w:hAnsi="Book Antiqua"/>
          <w:color w:val="000000" w:themeColor="text1"/>
        </w:rPr>
        <w:br w:type="page"/>
      </w:r>
      <w:r w:rsidRPr="007949C3">
        <w:rPr>
          <w:rFonts w:ascii="Book Antiqua" w:hAnsi="Book Antiqua"/>
          <w:color w:val="000000" w:themeColor="text1"/>
        </w:rPr>
        <w:t xml:space="preserve"> </w:t>
      </w:r>
      <w:r w:rsidR="00FC616F">
        <w:rPr>
          <w:rFonts w:ascii="Book Antiqua" w:hAnsi="Book Antiqua"/>
          <w:noProof/>
          <w:color w:val="000000" w:themeColor="text1"/>
          <w:lang w:eastAsia="zh-CN"/>
        </w:rPr>
        <w:drawing>
          <wp:inline distT="0" distB="0" distL="0" distR="0" wp14:anchorId="0263B473" wp14:editId="019BBDE7">
            <wp:extent cx="5651500" cy="262829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2187" cy="2633262"/>
                    </a:xfrm>
                    <a:prstGeom prst="rect">
                      <a:avLst/>
                    </a:prstGeom>
                    <a:noFill/>
                  </pic:spPr>
                </pic:pic>
              </a:graphicData>
            </a:graphic>
          </wp:inline>
        </w:drawing>
      </w:r>
    </w:p>
    <w:p w14:paraId="53D166BC"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b/>
          <w:bCs/>
          <w:color w:val="000000" w:themeColor="text1"/>
        </w:rPr>
        <w:t xml:space="preserve">Figure 4 Visible changes at the lesion site of case 2 during and after treatment. </w:t>
      </w:r>
      <w:r w:rsidRPr="007949C3">
        <w:rPr>
          <w:rFonts w:ascii="Book Antiqua" w:hAnsi="Book Antiqua"/>
          <w:color w:val="000000" w:themeColor="text1"/>
        </w:rPr>
        <w:t xml:space="preserve">A: Images of the lesion site were obtained at day 26 after the first transplant; B: Day 43 after the first transplant; C: Day 58 after the first transplant; D: Day 89 after the first transplant; E: Day 117 after the first transplant. </w:t>
      </w:r>
    </w:p>
    <w:p w14:paraId="51173927" w14:textId="10352216"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br w:type="page"/>
      </w:r>
      <w:r w:rsidRPr="007949C3">
        <w:rPr>
          <w:rFonts w:ascii="Book Antiqua" w:hAnsi="Book Antiqua"/>
          <w:noProof/>
          <w:color w:val="000000" w:themeColor="text1"/>
          <w:lang w:eastAsia="zh-CN"/>
        </w:rPr>
        <w:drawing>
          <wp:inline distT="0" distB="0" distL="0" distR="0" wp14:anchorId="7F24E86B" wp14:editId="45F54742">
            <wp:extent cx="1799590" cy="1799590"/>
            <wp:effectExtent l="0" t="0" r="13970" b="1397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그림 24"/>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l="6274" t="3644"/>
                    <a:stretch>
                      <a:fillRect/>
                    </a:stretch>
                  </pic:blipFill>
                  <pic:spPr>
                    <a:xfrm>
                      <a:off x="0" y="0"/>
                      <a:ext cx="1800000" cy="1800000"/>
                    </a:xfrm>
                    <a:prstGeom prst="rect">
                      <a:avLst/>
                    </a:prstGeom>
                    <a:noFill/>
                    <a:ln>
                      <a:noFill/>
                    </a:ln>
                  </pic:spPr>
                </pic:pic>
              </a:graphicData>
            </a:graphic>
          </wp:inline>
        </w:drawing>
      </w:r>
      <w:r w:rsidRPr="007949C3">
        <w:rPr>
          <w:rFonts w:ascii="Book Antiqua" w:hAnsi="Book Antiqua"/>
          <w:color w:val="000000" w:themeColor="text1"/>
        </w:rPr>
        <w:t xml:space="preserve"> </w:t>
      </w:r>
      <w:r w:rsidRPr="007949C3">
        <w:rPr>
          <w:rFonts w:ascii="Book Antiqua" w:hAnsi="Book Antiqua"/>
          <w:noProof/>
          <w:color w:val="000000" w:themeColor="text1"/>
          <w:lang w:eastAsia="zh-CN"/>
        </w:rPr>
        <w:drawing>
          <wp:inline distT="0" distB="0" distL="0" distR="0" wp14:anchorId="6DBB8883" wp14:editId="4E710C1D">
            <wp:extent cx="1799590" cy="1799590"/>
            <wp:effectExtent l="0" t="0" r="13970" b="1397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5"/>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l="7061" t="3645" b="1"/>
                    <a:stretch>
                      <a:fillRect/>
                    </a:stretch>
                  </pic:blipFill>
                  <pic:spPr>
                    <a:xfrm>
                      <a:off x="0" y="0"/>
                      <a:ext cx="1800000" cy="1800000"/>
                    </a:xfrm>
                    <a:prstGeom prst="rect">
                      <a:avLst/>
                    </a:prstGeom>
                    <a:noFill/>
                    <a:ln>
                      <a:noFill/>
                    </a:ln>
                  </pic:spPr>
                </pic:pic>
              </a:graphicData>
            </a:graphic>
          </wp:inline>
        </w:drawing>
      </w:r>
      <w:r w:rsidRPr="007949C3">
        <w:rPr>
          <w:rFonts w:ascii="Book Antiqua" w:hAnsi="Book Antiqua"/>
          <w:color w:val="000000" w:themeColor="text1"/>
        </w:rPr>
        <w:t xml:space="preserve"> </w:t>
      </w:r>
      <w:r w:rsidRPr="007949C3">
        <w:rPr>
          <w:rFonts w:ascii="Book Antiqua" w:hAnsi="Book Antiqua"/>
          <w:noProof/>
          <w:color w:val="000000" w:themeColor="text1"/>
          <w:lang w:eastAsia="zh-CN"/>
        </w:rPr>
        <w:drawing>
          <wp:inline distT="0" distB="0" distL="0" distR="0" wp14:anchorId="61EA9E8F" wp14:editId="00D1AE9E">
            <wp:extent cx="1799590" cy="1799590"/>
            <wp:effectExtent l="0" t="0" r="13970" b="1397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26"/>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l="6668" t="3240"/>
                    <a:stretch>
                      <a:fillRect/>
                    </a:stretch>
                  </pic:blipFill>
                  <pic:spPr>
                    <a:xfrm>
                      <a:off x="0" y="0"/>
                      <a:ext cx="1800000" cy="1800000"/>
                    </a:xfrm>
                    <a:prstGeom prst="rect">
                      <a:avLst/>
                    </a:prstGeom>
                    <a:noFill/>
                    <a:ln>
                      <a:noFill/>
                    </a:ln>
                  </pic:spPr>
                </pic:pic>
              </a:graphicData>
            </a:graphic>
          </wp:inline>
        </w:drawing>
      </w:r>
    </w:p>
    <w:p w14:paraId="02F8777F"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b/>
          <w:bCs/>
          <w:color w:val="000000" w:themeColor="text1"/>
        </w:rPr>
        <w:t>Figure 5 Visible changes during the treatment process of case 3.</w:t>
      </w:r>
      <w:r w:rsidRPr="007949C3">
        <w:rPr>
          <w:rFonts w:ascii="Book Antiqua" w:hAnsi="Book Antiqua"/>
          <w:color w:val="000000" w:themeColor="text1"/>
        </w:rPr>
        <w:t xml:space="preserve"> A: The images show the back of the head at day 160 after the first transplant; B: Day 203 after the first transplant; C: Day 226 after the first transplant.</w:t>
      </w:r>
    </w:p>
    <w:p w14:paraId="110CECF3" w14:textId="77777777" w:rsidR="007949C3" w:rsidRPr="007949C3" w:rsidRDefault="007949C3" w:rsidP="007949C3">
      <w:pPr>
        <w:adjustRightInd w:val="0"/>
        <w:snapToGrid w:val="0"/>
        <w:spacing w:line="360" w:lineRule="auto"/>
        <w:jc w:val="both"/>
        <w:rPr>
          <w:rFonts w:ascii="Book Antiqua" w:hAnsi="Book Antiqua" w:cs="Arial"/>
          <w:b/>
          <w:bCs/>
          <w:color w:val="000000" w:themeColor="text1"/>
        </w:rPr>
      </w:pPr>
      <w:r w:rsidRPr="007949C3">
        <w:rPr>
          <w:rFonts w:ascii="Book Antiqua" w:hAnsi="Book Antiqua" w:cs="Arial"/>
          <w:b/>
          <w:bCs/>
          <w:color w:val="000000" w:themeColor="text1"/>
        </w:rPr>
        <w:br w:type="page"/>
      </w:r>
    </w:p>
    <w:p w14:paraId="37EAE765" w14:textId="77777777" w:rsidR="007949C3" w:rsidRPr="007949C3" w:rsidRDefault="007949C3" w:rsidP="007949C3">
      <w:pPr>
        <w:adjustRightInd w:val="0"/>
        <w:snapToGrid w:val="0"/>
        <w:spacing w:line="360" w:lineRule="auto"/>
        <w:jc w:val="both"/>
        <w:rPr>
          <w:rFonts w:ascii="Book Antiqua" w:hAnsi="Book Antiqua" w:cs="Arial"/>
          <w:color w:val="000000" w:themeColor="text1"/>
        </w:rPr>
      </w:pPr>
      <w:r w:rsidRPr="007949C3">
        <w:rPr>
          <w:rFonts w:ascii="Book Antiqua" w:hAnsi="Book Antiqua" w:cs="Arial"/>
          <w:b/>
          <w:bCs/>
          <w:color w:val="000000" w:themeColor="text1"/>
        </w:rPr>
        <w:t>Table 1</w:t>
      </w:r>
      <w:r w:rsidRPr="007949C3">
        <w:rPr>
          <w:rFonts w:ascii="Book Antiqua" w:hAnsi="Book Antiqua" w:cs="Arial"/>
          <w:color w:val="000000" w:themeColor="text1"/>
        </w:rPr>
        <w:t xml:space="preserve"> </w:t>
      </w:r>
      <w:r w:rsidRPr="007949C3">
        <w:rPr>
          <w:rFonts w:ascii="Book Antiqua" w:hAnsi="Book Antiqua" w:cs="Arial"/>
          <w:b/>
          <w:bCs/>
          <w:color w:val="000000" w:themeColor="text1"/>
        </w:rPr>
        <w:t>Transplantation of minimally manipulated umbilical cord-derived mesenchymal stem cells into case 1</w:t>
      </w:r>
    </w:p>
    <w:tbl>
      <w:tblPr>
        <w:tblW w:w="8785" w:type="dxa"/>
        <w:jc w:val="center"/>
        <w:tblBorders>
          <w:top w:val="single" w:sz="2" w:space="0" w:color="000000"/>
          <w:bottom w:val="single" w:sz="4" w:space="0" w:color="auto"/>
        </w:tblBorders>
        <w:tblCellMar>
          <w:top w:w="55" w:type="dxa"/>
          <w:left w:w="55" w:type="dxa"/>
          <w:bottom w:w="55" w:type="dxa"/>
          <w:right w:w="55" w:type="dxa"/>
        </w:tblCellMar>
        <w:tblLook w:val="04A0" w:firstRow="1" w:lastRow="0" w:firstColumn="1" w:lastColumn="0" w:noHBand="0" w:noVBand="1"/>
      </w:tblPr>
      <w:tblGrid>
        <w:gridCol w:w="1245"/>
        <w:gridCol w:w="1669"/>
        <w:gridCol w:w="1982"/>
        <w:gridCol w:w="1952"/>
        <w:gridCol w:w="1937"/>
      </w:tblGrid>
      <w:tr w:rsidR="00642612" w:rsidRPr="007949C3" w14:paraId="47CB325F" w14:textId="77777777" w:rsidTr="00642612">
        <w:trPr>
          <w:trHeight w:val="592"/>
          <w:jc w:val="center"/>
        </w:trPr>
        <w:tc>
          <w:tcPr>
            <w:tcW w:w="1066" w:type="dxa"/>
            <w:tcBorders>
              <w:top w:val="single" w:sz="2" w:space="0" w:color="000000"/>
              <w:bottom w:val="single" w:sz="4" w:space="0" w:color="auto"/>
            </w:tcBorders>
            <w:vAlign w:val="center"/>
          </w:tcPr>
          <w:p w14:paraId="49BBD240"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Treatment number</w:t>
            </w:r>
          </w:p>
        </w:tc>
        <w:tc>
          <w:tcPr>
            <w:tcW w:w="1701" w:type="dxa"/>
            <w:tcBorders>
              <w:top w:val="single" w:sz="2" w:space="0" w:color="000000"/>
              <w:bottom w:val="single" w:sz="4" w:space="0" w:color="auto"/>
            </w:tcBorders>
            <w:vAlign w:val="center"/>
          </w:tcPr>
          <w:p w14:paraId="457DC2CE"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Date</w:t>
            </w:r>
          </w:p>
        </w:tc>
        <w:tc>
          <w:tcPr>
            <w:tcW w:w="2006" w:type="dxa"/>
            <w:tcBorders>
              <w:top w:val="single" w:sz="2" w:space="0" w:color="000000"/>
              <w:bottom w:val="single" w:sz="4" w:space="0" w:color="auto"/>
            </w:tcBorders>
            <w:vAlign w:val="center"/>
          </w:tcPr>
          <w:p w14:paraId="04A745B6" w14:textId="0AD7F23B" w:rsidR="007949C3" w:rsidRPr="007949C3" w:rsidRDefault="007949C3" w:rsidP="007949C3">
            <w:pPr>
              <w:adjustRightInd w:val="0"/>
              <w:snapToGrid w:val="0"/>
              <w:spacing w:line="360" w:lineRule="auto"/>
              <w:jc w:val="both"/>
              <w:rPr>
                <w:rFonts w:ascii="Book Antiqua" w:hAnsi="Book Antiqua"/>
                <w:b/>
                <w:bCs/>
                <w:color w:val="000000" w:themeColor="text1"/>
                <w:lang w:eastAsia="zh-CN"/>
              </w:rPr>
            </w:pPr>
            <w:r w:rsidRPr="007949C3">
              <w:rPr>
                <w:rFonts w:ascii="Book Antiqua" w:hAnsi="Book Antiqua"/>
                <w:b/>
                <w:bCs/>
                <w:color w:val="000000" w:themeColor="text1"/>
              </w:rPr>
              <w:t>Concentration of</w:t>
            </w:r>
            <w:r w:rsidR="00C05BFC">
              <w:rPr>
                <w:rFonts w:ascii="Book Antiqua" w:hAnsi="Book Antiqua" w:hint="eastAsia"/>
                <w:b/>
                <w:bCs/>
                <w:color w:val="000000" w:themeColor="text1"/>
                <w:lang w:eastAsia="zh-CN"/>
              </w:rPr>
              <w:t xml:space="preserve"> </w:t>
            </w:r>
          </w:p>
          <w:p w14:paraId="202A07AC"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injection solution</w:t>
            </w:r>
          </w:p>
        </w:tc>
        <w:tc>
          <w:tcPr>
            <w:tcW w:w="2006" w:type="dxa"/>
            <w:tcBorders>
              <w:top w:val="single" w:sz="2" w:space="0" w:color="000000"/>
              <w:bottom w:val="single" w:sz="4" w:space="0" w:color="auto"/>
            </w:tcBorders>
            <w:vAlign w:val="center"/>
          </w:tcPr>
          <w:p w14:paraId="3356F47C" w14:textId="4A0D595C" w:rsidR="007949C3" w:rsidRPr="007949C3" w:rsidRDefault="007949C3" w:rsidP="007949C3">
            <w:pPr>
              <w:adjustRightInd w:val="0"/>
              <w:snapToGrid w:val="0"/>
              <w:spacing w:line="360" w:lineRule="auto"/>
              <w:jc w:val="both"/>
              <w:rPr>
                <w:rFonts w:ascii="Book Antiqua" w:hAnsi="Book Antiqua"/>
                <w:b/>
                <w:bCs/>
                <w:color w:val="000000" w:themeColor="text1"/>
                <w:lang w:eastAsia="zh-CN"/>
              </w:rPr>
            </w:pPr>
            <w:r w:rsidRPr="007949C3">
              <w:rPr>
                <w:rFonts w:ascii="Book Antiqua" w:hAnsi="Book Antiqua"/>
                <w:b/>
                <w:bCs/>
                <w:color w:val="000000" w:themeColor="text1"/>
              </w:rPr>
              <w:t>Volume of</w:t>
            </w:r>
            <w:r w:rsidR="00C05BFC">
              <w:rPr>
                <w:rFonts w:ascii="Book Antiqua" w:hAnsi="Book Antiqua" w:hint="eastAsia"/>
                <w:b/>
                <w:bCs/>
                <w:color w:val="000000" w:themeColor="text1"/>
                <w:lang w:eastAsia="zh-CN"/>
              </w:rPr>
              <w:t xml:space="preserve"> </w:t>
            </w:r>
            <w:r w:rsidRPr="007949C3">
              <w:rPr>
                <w:rFonts w:ascii="Book Antiqua" w:hAnsi="Book Antiqua"/>
                <w:b/>
                <w:bCs/>
                <w:color w:val="000000" w:themeColor="text1"/>
              </w:rPr>
              <w:t>injection solution</w:t>
            </w:r>
          </w:p>
        </w:tc>
        <w:tc>
          <w:tcPr>
            <w:tcW w:w="2006" w:type="dxa"/>
            <w:tcBorders>
              <w:top w:val="single" w:sz="2" w:space="0" w:color="000000"/>
              <w:bottom w:val="single" w:sz="4" w:space="0" w:color="auto"/>
            </w:tcBorders>
            <w:vAlign w:val="center"/>
          </w:tcPr>
          <w:p w14:paraId="29694D67" w14:textId="7D2A0A64" w:rsidR="007949C3" w:rsidRPr="007949C3" w:rsidRDefault="007949C3" w:rsidP="007949C3">
            <w:pPr>
              <w:adjustRightInd w:val="0"/>
              <w:snapToGrid w:val="0"/>
              <w:spacing w:line="360" w:lineRule="auto"/>
              <w:jc w:val="both"/>
              <w:rPr>
                <w:rFonts w:ascii="Book Antiqua" w:hAnsi="Book Antiqua"/>
                <w:b/>
                <w:bCs/>
                <w:color w:val="000000" w:themeColor="text1"/>
                <w:lang w:eastAsia="zh-CN"/>
              </w:rPr>
            </w:pPr>
            <w:r w:rsidRPr="007949C3">
              <w:rPr>
                <w:rFonts w:ascii="Book Antiqua" w:hAnsi="Book Antiqua"/>
                <w:b/>
                <w:bCs/>
                <w:color w:val="000000" w:themeColor="text1"/>
              </w:rPr>
              <w:t>Number of</w:t>
            </w:r>
            <w:r w:rsidR="00C05BFC">
              <w:rPr>
                <w:rFonts w:ascii="Book Antiqua" w:hAnsi="Book Antiqua" w:hint="eastAsia"/>
                <w:b/>
                <w:bCs/>
                <w:color w:val="000000" w:themeColor="text1"/>
                <w:lang w:eastAsia="zh-CN"/>
              </w:rPr>
              <w:t xml:space="preserve"> </w:t>
            </w:r>
            <w:r w:rsidRPr="007949C3">
              <w:rPr>
                <w:rFonts w:ascii="Book Antiqua" w:hAnsi="Book Antiqua"/>
                <w:b/>
                <w:bCs/>
                <w:color w:val="000000" w:themeColor="text1"/>
              </w:rPr>
              <w:t>lesion sites</w:t>
            </w:r>
          </w:p>
        </w:tc>
      </w:tr>
      <w:tr w:rsidR="00642612" w:rsidRPr="007949C3" w14:paraId="04863F6C" w14:textId="77777777" w:rsidTr="00642612">
        <w:trPr>
          <w:trHeight w:val="210"/>
          <w:jc w:val="center"/>
        </w:trPr>
        <w:tc>
          <w:tcPr>
            <w:tcW w:w="1066" w:type="dxa"/>
            <w:tcBorders>
              <w:top w:val="single" w:sz="4" w:space="0" w:color="auto"/>
            </w:tcBorders>
            <w:vAlign w:val="center"/>
          </w:tcPr>
          <w:p w14:paraId="59584B10"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w:t>
            </w:r>
          </w:p>
        </w:tc>
        <w:tc>
          <w:tcPr>
            <w:tcW w:w="1701" w:type="dxa"/>
            <w:tcBorders>
              <w:top w:val="single" w:sz="4" w:space="0" w:color="auto"/>
            </w:tcBorders>
            <w:vAlign w:val="center"/>
          </w:tcPr>
          <w:p w14:paraId="2B449BE0" w14:textId="62C483F9"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May </w:t>
            </w:r>
            <w:r w:rsidR="007949C3" w:rsidRPr="007949C3">
              <w:rPr>
                <w:rFonts w:ascii="Book Antiqua" w:hAnsi="Book Antiqua"/>
                <w:color w:val="000000" w:themeColor="text1"/>
              </w:rPr>
              <w:t>29</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restart"/>
            <w:tcBorders>
              <w:top w:val="single" w:sz="4" w:space="0" w:color="auto"/>
            </w:tcBorders>
            <w:vAlign w:val="center"/>
          </w:tcPr>
          <w:p w14:paraId="021CABE8" w14:textId="0BE4B100" w:rsidR="007949C3" w:rsidRPr="007949C3" w:rsidRDefault="007949C3" w:rsidP="00C05BFC">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 xml:space="preserve">1 </w:t>
            </w:r>
            <w:r w:rsidR="00C05BFC" w:rsidRPr="007949C3">
              <w:rPr>
                <w:rFonts w:ascii="Book Antiqua" w:hAnsi="Book Antiqua"/>
                <w:color w:val="000000" w:themeColor="text1"/>
              </w:rPr>
              <w:t>×</w:t>
            </w:r>
            <w:r w:rsidRPr="007949C3">
              <w:rPr>
                <w:rFonts w:ascii="Book Antiqua" w:hAnsi="Book Antiqua"/>
                <w:color w:val="000000" w:themeColor="text1"/>
              </w:rPr>
              <w:t xml:space="preserve"> 10</w:t>
            </w:r>
            <w:r w:rsidRPr="007949C3">
              <w:rPr>
                <w:rFonts w:ascii="Book Antiqua" w:hAnsi="Book Antiqua"/>
                <w:color w:val="000000" w:themeColor="text1"/>
                <w:vertAlign w:val="superscript"/>
              </w:rPr>
              <w:t>6</w:t>
            </w:r>
            <w:r w:rsidRPr="007949C3">
              <w:rPr>
                <w:rFonts w:ascii="Book Antiqua" w:hAnsi="Book Antiqua"/>
                <w:color w:val="000000" w:themeColor="text1"/>
              </w:rPr>
              <w:t xml:space="preserve"> cells/mL</w:t>
            </w:r>
          </w:p>
        </w:tc>
        <w:tc>
          <w:tcPr>
            <w:tcW w:w="2006" w:type="dxa"/>
            <w:vMerge w:val="restart"/>
            <w:tcBorders>
              <w:top w:val="single" w:sz="4" w:space="0" w:color="auto"/>
            </w:tcBorders>
            <w:vAlign w:val="center"/>
          </w:tcPr>
          <w:p w14:paraId="20FB9A5B"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 mL/lesion site</w:t>
            </w:r>
          </w:p>
        </w:tc>
        <w:tc>
          <w:tcPr>
            <w:tcW w:w="2006" w:type="dxa"/>
            <w:vMerge w:val="restart"/>
            <w:tcBorders>
              <w:top w:val="single" w:sz="4" w:space="0" w:color="auto"/>
            </w:tcBorders>
            <w:vAlign w:val="center"/>
          </w:tcPr>
          <w:p w14:paraId="6B9D16F2" w14:textId="3CC64222"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2</w:t>
            </w:r>
            <w:r w:rsidR="00642612">
              <w:rPr>
                <w:rFonts w:ascii="Book Antiqua" w:hAnsi="Book Antiqua" w:hint="eastAsia"/>
                <w:color w:val="000000" w:themeColor="text1"/>
                <w:lang w:eastAsia="zh-CN"/>
              </w:rPr>
              <w:t xml:space="preserve"> </w:t>
            </w:r>
            <w:r w:rsidRPr="007949C3">
              <w:rPr>
                <w:rFonts w:ascii="Book Antiqua" w:hAnsi="Book Antiqua"/>
                <w:color w:val="000000" w:themeColor="text1"/>
              </w:rPr>
              <w:t>(</w:t>
            </w:r>
            <w:r w:rsidR="00642612">
              <w:rPr>
                <w:rFonts w:ascii="Book Antiqua" w:hAnsi="Book Antiqua"/>
                <w:color w:val="000000" w:themeColor="text1"/>
              </w:rPr>
              <w:t>r</w:t>
            </w:r>
            <w:r w:rsidRPr="007949C3">
              <w:rPr>
                <w:rFonts w:ascii="Book Antiqua" w:hAnsi="Book Antiqua"/>
                <w:color w:val="000000" w:themeColor="text1"/>
              </w:rPr>
              <w:t xml:space="preserve">ight, </w:t>
            </w:r>
            <w:r w:rsidR="00642612">
              <w:rPr>
                <w:rFonts w:ascii="Book Antiqua" w:hAnsi="Book Antiqua"/>
                <w:color w:val="000000" w:themeColor="text1"/>
              </w:rPr>
              <w:t>l</w:t>
            </w:r>
            <w:r w:rsidRPr="007949C3">
              <w:rPr>
                <w:rFonts w:ascii="Book Antiqua" w:hAnsi="Book Antiqua"/>
                <w:color w:val="000000" w:themeColor="text1"/>
              </w:rPr>
              <w:t>eft)</w:t>
            </w:r>
          </w:p>
        </w:tc>
      </w:tr>
      <w:tr w:rsidR="00642612" w:rsidRPr="007949C3" w14:paraId="6DB91A85" w14:textId="77777777" w:rsidTr="00642612">
        <w:trPr>
          <w:trHeight w:val="210"/>
          <w:jc w:val="center"/>
        </w:trPr>
        <w:tc>
          <w:tcPr>
            <w:tcW w:w="1066" w:type="dxa"/>
            <w:vAlign w:val="center"/>
          </w:tcPr>
          <w:p w14:paraId="2D3BCF4D"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2</w:t>
            </w:r>
          </w:p>
        </w:tc>
        <w:tc>
          <w:tcPr>
            <w:tcW w:w="1701" w:type="dxa"/>
            <w:vAlign w:val="center"/>
          </w:tcPr>
          <w:p w14:paraId="6A8C983C" w14:textId="6A8F04F5"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June </w:t>
            </w:r>
            <w:r w:rsidR="007949C3" w:rsidRPr="007949C3">
              <w:rPr>
                <w:rFonts w:ascii="Book Antiqua" w:hAnsi="Book Antiqua"/>
                <w:color w:val="000000" w:themeColor="text1"/>
              </w:rPr>
              <w:t>7</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2EB918C7"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0DF8621D"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0CD8A185"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31B158EA" w14:textId="77777777" w:rsidTr="00642612">
        <w:trPr>
          <w:trHeight w:val="210"/>
          <w:jc w:val="center"/>
        </w:trPr>
        <w:tc>
          <w:tcPr>
            <w:tcW w:w="1066" w:type="dxa"/>
            <w:vAlign w:val="center"/>
          </w:tcPr>
          <w:p w14:paraId="713B4AC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3</w:t>
            </w:r>
          </w:p>
        </w:tc>
        <w:tc>
          <w:tcPr>
            <w:tcW w:w="1701" w:type="dxa"/>
            <w:vAlign w:val="center"/>
          </w:tcPr>
          <w:p w14:paraId="0AB10592" w14:textId="22A2C315"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June </w:t>
            </w:r>
            <w:r w:rsidR="007949C3" w:rsidRPr="007949C3">
              <w:rPr>
                <w:rFonts w:ascii="Book Antiqua" w:hAnsi="Book Antiqua"/>
                <w:color w:val="000000" w:themeColor="text1"/>
              </w:rPr>
              <w:t>22</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442F71F4"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6B337528"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30225F5E"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401CED68" w14:textId="77777777" w:rsidTr="00642612">
        <w:trPr>
          <w:trHeight w:val="210"/>
          <w:jc w:val="center"/>
        </w:trPr>
        <w:tc>
          <w:tcPr>
            <w:tcW w:w="1066" w:type="dxa"/>
            <w:vAlign w:val="center"/>
          </w:tcPr>
          <w:p w14:paraId="7BACD296"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4</w:t>
            </w:r>
          </w:p>
        </w:tc>
        <w:tc>
          <w:tcPr>
            <w:tcW w:w="1701" w:type="dxa"/>
            <w:vAlign w:val="center"/>
          </w:tcPr>
          <w:p w14:paraId="3017AC92" w14:textId="5EFD5BE0"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June </w:t>
            </w:r>
            <w:r w:rsidR="007949C3" w:rsidRPr="007949C3">
              <w:rPr>
                <w:rFonts w:ascii="Book Antiqua" w:hAnsi="Book Antiqua"/>
                <w:color w:val="000000" w:themeColor="text1"/>
              </w:rPr>
              <w:t>30</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17441C0E"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2AF515B6"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174EABAE"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030DC659" w14:textId="77777777" w:rsidTr="00642612">
        <w:trPr>
          <w:trHeight w:val="210"/>
          <w:jc w:val="center"/>
        </w:trPr>
        <w:tc>
          <w:tcPr>
            <w:tcW w:w="1066" w:type="dxa"/>
            <w:vAlign w:val="center"/>
          </w:tcPr>
          <w:p w14:paraId="30CC754A"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5</w:t>
            </w:r>
          </w:p>
        </w:tc>
        <w:tc>
          <w:tcPr>
            <w:tcW w:w="1701" w:type="dxa"/>
            <w:vAlign w:val="center"/>
          </w:tcPr>
          <w:p w14:paraId="2EBC6ECD" w14:textId="1C11A643"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July </w:t>
            </w:r>
            <w:r w:rsidR="007949C3" w:rsidRPr="007949C3">
              <w:rPr>
                <w:rFonts w:ascii="Book Antiqua" w:hAnsi="Book Antiqua"/>
                <w:color w:val="000000" w:themeColor="text1"/>
              </w:rPr>
              <w:t>8</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0DF37CED"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510C4A64"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5F8EC44E"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286A29BA" w14:textId="77777777" w:rsidTr="00642612">
        <w:trPr>
          <w:trHeight w:val="210"/>
          <w:jc w:val="center"/>
        </w:trPr>
        <w:tc>
          <w:tcPr>
            <w:tcW w:w="1066" w:type="dxa"/>
            <w:vAlign w:val="center"/>
          </w:tcPr>
          <w:p w14:paraId="427EE7EC"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6</w:t>
            </w:r>
          </w:p>
        </w:tc>
        <w:tc>
          <w:tcPr>
            <w:tcW w:w="1701" w:type="dxa"/>
            <w:vAlign w:val="center"/>
          </w:tcPr>
          <w:p w14:paraId="19942D4B" w14:textId="4FD1D254"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July </w:t>
            </w:r>
            <w:r w:rsidR="007949C3" w:rsidRPr="007949C3">
              <w:rPr>
                <w:rFonts w:ascii="Book Antiqua" w:hAnsi="Book Antiqua"/>
                <w:color w:val="000000" w:themeColor="text1"/>
              </w:rPr>
              <w:t>20</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649A5795"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101ED7F5"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0A4F89E7"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79C3EFF5" w14:textId="77777777" w:rsidTr="00642612">
        <w:trPr>
          <w:trHeight w:val="20"/>
          <w:jc w:val="center"/>
        </w:trPr>
        <w:tc>
          <w:tcPr>
            <w:tcW w:w="1066" w:type="dxa"/>
            <w:vAlign w:val="center"/>
          </w:tcPr>
          <w:p w14:paraId="0BCF9100"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7</w:t>
            </w:r>
          </w:p>
        </w:tc>
        <w:tc>
          <w:tcPr>
            <w:tcW w:w="1701" w:type="dxa"/>
            <w:vAlign w:val="center"/>
          </w:tcPr>
          <w:p w14:paraId="34FA6AF7" w14:textId="2072C36E"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July </w:t>
            </w:r>
            <w:r w:rsidR="007949C3" w:rsidRPr="007949C3">
              <w:rPr>
                <w:rFonts w:ascii="Book Antiqua" w:hAnsi="Book Antiqua"/>
                <w:color w:val="000000" w:themeColor="text1"/>
              </w:rPr>
              <w:t>27</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05E667E4"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732C475A"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04BA4A60"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2E41C092" w14:textId="77777777" w:rsidTr="00642612">
        <w:trPr>
          <w:trHeight w:val="210"/>
          <w:jc w:val="center"/>
        </w:trPr>
        <w:tc>
          <w:tcPr>
            <w:tcW w:w="1066" w:type="dxa"/>
            <w:vAlign w:val="center"/>
          </w:tcPr>
          <w:p w14:paraId="6CD974D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8</w:t>
            </w:r>
          </w:p>
        </w:tc>
        <w:tc>
          <w:tcPr>
            <w:tcW w:w="1701" w:type="dxa"/>
            <w:vAlign w:val="center"/>
          </w:tcPr>
          <w:p w14:paraId="6D64A9EE" w14:textId="503024C7"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August </w:t>
            </w:r>
            <w:r w:rsidR="007949C3" w:rsidRPr="007949C3">
              <w:rPr>
                <w:rFonts w:ascii="Book Antiqua" w:hAnsi="Book Antiqua"/>
                <w:color w:val="000000" w:themeColor="text1"/>
              </w:rPr>
              <w:t>3</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49D80E77"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00AFC094"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717B9CF8"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7C438B72" w14:textId="77777777" w:rsidTr="00642612">
        <w:trPr>
          <w:trHeight w:val="210"/>
          <w:jc w:val="center"/>
        </w:trPr>
        <w:tc>
          <w:tcPr>
            <w:tcW w:w="1066" w:type="dxa"/>
            <w:vAlign w:val="center"/>
          </w:tcPr>
          <w:p w14:paraId="2B85646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9</w:t>
            </w:r>
          </w:p>
        </w:tc>
        <w:tc>
          <w:tcPr>
            <w:tcW w:w="1701" w:type="dxa"/>
            <w:vAlign w:val="center"/>
          </w:tcPr>
          <w:p w14:paraId="37698235" w14:textId="15779668"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August</w:t>
            </w:r>
            <w:r w:rsidRPr="007949C3">
              <w:rPr>
                <w:rFonts w:ascii="Book Antiqua" w:hAnsi="Book Antiqua"/>
                <w:color w:val="000000" w:themeColor="text1"/>
              </w:rPr>
              <w:t xml:space="preserve"> </w:t>
            </w:r>
            <w:r w:rsidR="007949C3" w:rsidRPr="007949C3">
              <w:rPr>
                <w:rFonts w:ascii="Book Antiqua" w:hAnsi="Book Antiqua"/>
                <w:color w:val="000000" w:themeColor="text1"/>
              </w:rPr>
              <w:t>16</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65B50D55"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6DCD6D2A"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7CE1C4B0"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671DC81E" w14:textId="77777777" w:rsidTr="00642612">
        <w:trPr>
          <w:trHeight w:val="210"/>
          <w:jc w:val="center"/>
        </w:trPr>
        <w:tc>
          <w:tcPr>
            <w:tcW w:w="1066" w:type="dxa"/>
            <w:vAlign w:val="center"/>
          </w:tcPr>
          <w:p w14:paraId="464989D4"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10</w:t>
            </w:r>
          </w:p>
        </w:tc>
        <w:tc>
          <w:tcPr>
            <w:tcW w:w="1701" w:type="dxa"/>
            <w:vAlign w:val="center"/>
          </w:tcPr>
          <w:p w14:paraId="0E3955C6" w14:textId="718D358D"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August</w:t>
            </w:r>
            <w:r w:rsidRPr="007949C3">
              <w:rPr>
                <w:rFonts w:ascii="Book Antiqua" w:hAnsi="Book Antiqua"/>
                <w:color w:val="000000" w:themeColor="text1"/>
              </w:rPr>
              <w:t xml:space="preserve"> </w:t>
            </w:r>
            <w:r w:rsidR="007949C3" w:rsidRPr="007949C3">
              <w:rPr>
                <w:rFonts w:ascii="Book Antiqua" w:hAnsi="Book Antiqua"/>
                <w:color w:val="000000" w:themeColor="text1"/>
              </w:rPr>
              <w:t>29</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489C328B"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2B4BDF61"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18C560C3"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3C9513B6" w14:textId="77777777" w:rsidTr="00642612">
        <w:trPr>
          <w:trHeight w:val="210"/>
          <w:jc w:val="center"/>
        </w:trPr>
        <w:tc>
          <w:tcPr>
            <w:tcW w:w="1066" w:type="dxa"/>
            <w:vAlign w:val="center"/>
          </w:tcPr>
          <w:p w14:paraId="7C931856"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11</w:t>
            </w:r>
          </w:p>
        </w:tc>
        <w:tc>
          <w:tcPr>
            <w:tcW w:w="1701" w:type="dxa"/>
            <w:vAlign w:val="center"/>
          </w:tcPr>
          <w:p w14:paraId="32199B98" w14:textId="7F23ECF5"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September </w:t>
            </w:r>
            <w:r w:rsidR="007949C3" w:rsidRPr="007949C3">
              <w:rPr>
                <w:rFonts w:ascii="Book Antiqua" w:hAnsi="Book Antiqua"/>
                <w:color w:val="000000" w:themeColor="text1"/>
              </w:rPr>
              <w:t>15</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1B72F5E8"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24507709"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3DF35F20"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73A3C114" w14:textId="77777777" w:rsidTr="00642612">
        <w:trPr>
          <w:trHeight w:val="210"/>
          <w:jc w:val="center"/>
        </w:trPr>
        <w:tc>
          <w:tcPr>
            <w:tcW w:w="1066" w:type="dxa"/>
            <w:vAlign w:val="center"/>
          </w:tcPr>
          <w:p w14:paraId="3E21F2BA"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w:t>
            </w:r>
          </w:p>
        </w:tc>
        <w:tc>
          <w:tcPr>
            <w:tcW w:w="1701" w:type="dxa"/>
            <w:vAlign w:val="center"/>
          </w:tcPr>
          <w:p w14:paraId="37699998" w14:textId="0696BFF7"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October </w:t>
            </w:r>
            <w:r w:rsidR="007949C3" w:rsidRPr="007949C3">
              <w:rPr>
                <w:rFonts w:ascii="Book Antiqua" w:hAnsi="Book Antiqua"/>
                <w:color w:val="000000" w:themeColor="text1"/>
              </w:rPr>
              <w:t>11</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693635C2"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5FB92FA3"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5E656A16"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5B59018F" w14:textId="77777777" w:rsidTr="00642612">
        <w:trPr>
          <w:trHeight w:val="210"/>
          <w:jc w:val="center"/>
        </w:trPr>
        <w:tc>
          <w:tcPr>
            <w:tcW w:w="1066" w:type="dxa"/>
            <w:vAlign w:val="center"/>
          </w:tcPr>
          <w:p w14:paraId="6C331C7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13</w:t>
            </w:r>
          </w:p>
        </w:tc>
        <w:tc>
          <w:tcPr>
            <w:tcW w:w="1701" w:type="dxa"/>
            <w:vAlign w:val="center"/>
          </w:tcPr>
          <w:p w14:paraId="7FD7F956" w14:textId="5CD7AF91"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October</w:t>
            </w:r>
            <w:r w:rsidRPr="007949C3">
              <w:rPr>
                <w:rFonts w:ascii="Book Antiqua" w:hAnsi="Book Antiqua"/>
                <w:color w:val="000000" w:themeColor="text1"/>
              </w:rPr>
              <w:t xml:space="preserve"> </w:t>
            </w:r>
            <w:r w:rsidR="007949C3" w:rsidRPr="007949C3">
              <w:rPr>
                <w:rFonts w:ascii="Book Antiqua" w:hAnsi="Book Antiqua"/>
                <w:color w:val="000000" w:themeColor="text1"/>
              </w:rPr>
              <w:t>26</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1B855F0A"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669BD3C7"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03186EA2"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1606F388" w14:textId="77777777" w:rsidTr="00642612">
        <w:trPr>
          <w:trHeight w:val="210"/>
          <w:jc w:val="center"/>
        </w:trPr>
        <w:tc>
          <w:tcPr>
            <w:tcW w:w="1066" w:type="dxa"/>
            <w:vAlign w:val="center"/>
          </w:tcPr>
          <w:p w14:paraId="009DBA73"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14</w:t>
            </w:r>
          </w:p>
        </w:tc>
        <w:tc>
          <w:tcPr>
            <w:tcW w:w="1701" w:type="dxa"/>
            <w:vAlign w:val="center"/>
          </w:tcPr>
          <w:p w14:paraId="3E067CAF" w14:textId="0F12200B"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November </w:t>
            </w:r>
            <w:r w:rsidR="007949C3" w:rsidRPr="007949C3">
              <w:rPr>
                <w:rFonts w:ascii="Book Antiqua" w:hAnsi="Book Antiqua"/>
                <w:color w:val="000000" w:themeColor="text1"/>
              </w:rPr>
              <w:t>8</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19EA142E"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4414D60B"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6E6439B6"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30466619" w14:textId="77777777" w:rsidTr="00642612">
        <w:trPr>
          <w:trHeight w:val="210"/>
          <w:jc w:val="center"/>
        </w:trPr>
        <w:tc>
          <w:tcPr>
            <w:tcW w:w="1066" w:type="dxa"/>
            <w:vAlign w:val="center"/>
          </w:tcPr>
          <w:p w14:paraId="23B957FD"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15</w:t>
            </w:r>
          </w:p>
        </w:tc>
        <w:tc>
          <w:tcPr>
            <w:tcW w:w="1701" w:type="dxa"/>
            <w:vAlign w:val="center"/>
          </w:tcPr>
          <w:p w14:paraId="18714580" w14:textId="566147A3"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November</w:t>
            </w:r>
            <w:r w:rsidRPr="007949C3">
              <w:rPr>
                <w:rFonts w:ascii="Book Antiqua" w:hAnsi="Book Antiqua"/>
                <w:color w:val="000000" w:themeColor="text1"/>
              </w:rPr>
              <w:t xml:space="preserve"> </w:t>
            </w:r>
            <w:r w:rsidR="007949C3" w:rsidRPr="007949C3">
              <w:rPr>
                <w:rFonts w:ascii="Book Antiqua" w:hAnsi="Book Antiqua"/>
                <w:color w:val="000000" w:themeColor="text1"/>
              </w:rPr>
              <w:t>22</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4C840901"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005A4C79"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23348105"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bl>
    <w:p w14:paraId="17C7A7AC" w14:textId="77777777" w:rsidR="007949C3" w:rsidRPr="007949C3" w:rsidRDefault="007949C3" w:rsidP="007949C3">
      <w:pPr>
        <w:adjustRightInd w:val="0"/>
        <w:snapToGrid w:val="0"/>
        <w:spacing w:line="360" w:lineRule="auto"/>
        <w:jc w:val="both"/>
        <w:rPr>
          <w:rFonts w:ascii="Book Antiqua" w:hAnsi="Book Antiqua" w:cs="Arial"/>
          <w:b/>
          <w:bCs/>
          <w:color w:val="000000" w:themeColor="text1"/>
        </w:rPr>
      </w:pPr>
      <w:r w:rsidRPr="007949C3">
        <w:rPr>
          <w:rFonts w:ascii="Book Antiqua" w:hAnsi="Book Antiqua" w:cs="Arial"/>
          <w:b/>
          <w:bCs/>
          <w:color w:val="000000" w:themeColor="text1"/>
        </w:rPr>
        <w:br w:type="page"/>
      </w:r>
    </w:p>
    <w:p w14:paraId="61783C1C" w14:textId="77777777" w:rsidR="007949C3" w:rsidRPr="007949C3" w:rsidRDefault="007949C3" w:rsidP="007949C3">
      <w:pPr>
        <w:adjustRightInd w:val="0"/>
        <w:snapToGrid w:val="0"/>
        <w:spacing w:line="360" w:lineRule="auto"/>
        <w:jc w:val="both"/>
        <w:rPr>
          <w:rFonts w:ascii="Book Antiqua" w:hAnsi="Book Antiqua" w:cs="Arial"/>
          <w:b/>
          <w:bCs/>
          <w:color w:val="000000" w:themeColor="text1"/>
        </w:rPr>
      </w:pPr>
      <w:r w:rsidRPr="007949C3">
        <w:rPr>
          <w:rFonts w:ascii="Book Antiqua" w:hAnsi="Book Antiqua" w:cs="Arial"/>
          <w:b/>
          <w:bCs/>
          <w:color w:val="000000" w:themeColor="text1"/>
        </w:rPr>
        <w:t>Table 2</w:t>
      </w:r>
      <w:r w:rsidRPr="007949C3">
        <w:rPr>
          <w:rFonts w:ascii="Book Antiqua" w:hAnsi="Book Antiqua" w:cs="Arial"/>
          <w:color w:val="000000" w:themeColor="text1"/>
        </w:rPr>
        <w:t xml:space="preserve"> </w:t>
      </w:r>
      <w:r w:rsidRPr="007949C3">
        <w:rPr>
          <w:rFonts w:ascii="Book Antiqua" w:hAnsi="Book Antiqua" w:cs="Arial"/>
          <w:b/>
          <w:bCs/>
          <w:color w:val="000000" w:themeColor="text1"/>
        </w:rPr>
        <w:t>Transplantation of minimally manipulated umbilical cord-derived mesenchymal stem cells into case 2</w:t>
      </w:r>
    </w:p>
    <w:tbl>
      <w:tblPr>
        <w:tblW w:w="8494" w:type="dxa"/>
        <w:jc w:val="center"/>
        <w:tblBorders>
          <w:top w:val="single" w:sz="2" w:space="0" w:color="000000"/>
          <w:bottom w:val="single" w:sz="4" w:space="0" w:color="auto"/>
        </w:tblBorders>
        <w:tblCellMar>
          <w:top w:w="55" w:type="dxa"/>
          <w:left w:w="55" w:type="dxa"/>
          <w:bottom w:w="55" w:type="dxa"/>
          <w:right w:w="55" w:type="dxa"/>
        </w:tblCellMar>
        <w:tblLook w:val="04A0" w:firstRow="1" w:lastRow="0" w:firstColumn="1" w:lastColumn="0" w:noHBand="0" w:noVBand="1"/>
      </w:tblPr>
      <w:tblGrid>
        <w:gridCol w:w="1244"/>
        <w:gridCol w:w="1577"/>
        <w:gridCol w:w="1919"/>
        <w:gridCol w:w="1885"/>
        <w:gridCol w:w="1869"/>
      </w:tblGrid>
      <w:tr w:rsidR="007949C3" w:rsidRPr="007949C3" w14:paraId="1A707400" w14:textId="77777777" w:rsidTr="00642612">
        <w:trPr>
          <w:trHeight w:val="1173"/>
          <w:jc w:val="center"/>
        </w:trPr>
        <w:tc>
          <w:tcPr>
            <w:tcW w:w="1030" w:type="dxa"/>
            <w:tcBorders>
              <w:top w:val="single" w:sz="2" w:space="0" w:color="000000"/>
              <w:bottom w:val="single" w:sz="4" w:space="0" w:color="auto"/>
            </w:tcBorders>
            <w:vAlign w:val="center"/>
          </w:tcPr>
          <w:p w14:paraId="5CA6FB13"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Treatment number</w:t>
            </w:r>
          </w:p>
        </w:tc>
        <w:tc>
          <w:tcPr>
            <w:tcW w:w="1644" w:type="dxa"/>
            <w:tcBorders>
              <w:top w:val="single" w:sz="2" w:space="0" w:color="000000"/>
              <w:bottom w:val="single" w:sz="4" w:space="0" w:color="auto"/>
            </w:tcBorders>
            <w:vAlign w:val="center"/>
          </w:tcPr>
          <w:p w14:paraId="0CFB003E"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Date</w:t>
            </w:r>
          </w:p>
        </w:tc>
        <w:tc>
          <w:tcPr>
            <w:tcW w:w="1940" w:type="dxa"/>
            <w:tcBorders>
              <w:top w:val="single" w:sz="2" w:space="0" w:color="000000"/>
              <w:bottom w:val="single" w:sz="4" w:space="0" w:color="auto"/>
            </w:tcBorders>
            <w:vAlign w:val="center"/>
          </w:tcPr>
          <w:p w14:paraId="1444F310"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Concentration of injection solution</w:t>
            </w:r>
          </w:p>
        </w:tc>
        <w:tc>
          <w:tcPr>
            <w:tcW w:w="1940" w:type="dxa"/>
            <w:tcBorders>
              <w:top w:val="single" w:sz="2" w:space="0" w:color="000000"/>
              <w:bottom w:val="single" w:sz="4" w:space="0" w:color="auto"/>
            </w:tcBorders>
            <w:vAlign w:val="center"/>
          </w:tcPr>
          <w:p w14:paraId="342D6A8E"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Volume of injection solution</w:t>
            </w:r>
          </w:p>
        </w:tc>
        <w:tc>
          <w:tcPr>
            <w:tcW w:w="1940" w:type="dxa"/>
            <w:tcBorders>
              <w:top w:val="single" w:sz="2" w:space="0" w:color="000000"/>
              <w:bottom w:val="single" w:sz="4" w:space="0" w:color="auto"/>
            </w:tcBorders>
            <w:vAlign w:val="center"/>
          </w:tcPr>
          <w:p w14:paraId="4D5D96D6"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Number of lesion sites</w:t>
            </w:r>
          </w:p>
        </w:tc>
      </w:tr>
      <w:tr w:rsidR="007949C3" w:rsidRPr="007949C3" w14:paraId="01497D16" w14:textId="77777777" w:rsidTr="00642612">
        <w:trPr>
          <w:trHeight w:val="16"/>
          <w:jc w:val="center"/>
        </w:trPr>
        <w:tc>
          <w:tcPr>
            <w:tcW w:w="1030" w:type="dxa"/>
            <w:tcBorders>
              <w:top w:val="single" w:sz="4" w:space="0" w:color="auto"/>
            </w:tcBorders>
            <w:vAlign w:val="center"/>
          </w:tcPr>
          <w:p w14:paraId="671ED8D3"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w:t>
            </w:r>
          </w:p>
        </w:tc>
        <w:tc>
          <w:tcPr>
            <w:tcW w:w="1644" w:type="dxa"/>
            <w:tcBorders>
              <w:top w:val="single" w:sz="4" w:space="0" w:color="auto"/>
            </w:tcBorders>
            <w:vAlign w:val="center"/>
          </w:tcPr>
          <w:p w14:paraId="2570F2AB" w14:textId="7E1B9C5F"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March </w:t>
            </w:r>
            <w:r w:rsidR="007949C3" w:rsidRPr="007949C3">
              <w:rPr>
                <w:rFonts w:ascii="Book Antiqua" w:hAnsi="Book Antiqua"/>
                <w:color w:val="000000" w:themeColor="text1"/>
              </w:rPr>
              <w:t>19</w:t>
            </w:r>
            <w:r>
              <w:rPr>
                <w:rFonts w:ascii="Book Antiqua" w:hAnsi="Book Antiqua"/>
                <w:color w:val="000000" w:themeColor="text1"/>
              </w:rPr>
              <w:t xml:space="preserve">, </w:t>
            </w:r>
            <w:r w:rsidR="007949C3" w:rsidRPr="007949C3">
              <w:rPr>
                <w:rFonts w:ascii="Book Antiqua" w:hAnsi="Book Antiqua"/>
                <w:color w:val="000000" w:themeColor="text1"/>
              </w:rPr>
              <w:t>2018</w:t>
            </w:r>
          </w:p>
        </w:tc>
        <w:tc>
          <w:tcPr>
            <w:tcW w:w="1940" w:type="dxa"/>
            <w:vMerge w:val="restart"/>
            <w:tcBorders>
              <w:top w:val="single" w:sz="4" w:space="0" w:color="auto"/>
            </w:tcBorders>
            <w:vAlign w:val="center"/>
          </w:tcPr>
          <w:p w14:paraId="791A3FB1"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 × 10</w:t>
            </w:r>
            <w:r w:rsidRPr="007949C3">
              <w:rPr>
                <w:rFonts w:ascii="Book Antiqua" w:hAnsi="Book Antiqua"/>
                <w:color w:val="000000" w:themeColor="text1"/>
                <w:vertAlign w:val="superscript"/>
              </w:rPr>
              <w:t>6</w:t>
            </w:r>
            <w:r w:rsidRPr="007949C3">
              <w:rPr>
                <w:rFonts w:ascii="Book Antiqua" w:hAnsi="Book Antiqua"/>
                <w:color w:val="000000" w:themeColor="text1"/>
              </w:rPr>
              <w:t xml:space="preserve"> cells/mL</w:t>
            </w:r>
          </w:p>
        </w:tc>
        <w:tc>
          <w:tcPr>
            <w:tcW w:w="1940" w:type="dxa"/>
            <w:vMerge w:val="restart"/>
            <w:tcBorders>
              <w:top w:val="single" w:sz="4" w:space="0" w:color="auto"/>
            </w:tcBorders>
            <w:vAlign w:val="center"/>
          </w:tcPr>
          <w:p w14:paraId="7F0A64A1"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 mL/lesion site</w:t>
            </w:r>
          </w:p>
        </w:tc>
        <w:tc>
          <w:tcPr>
            <w:tcW w:w="1940" w:type="dxa"/>
            <w:vMerge w:val="restart"/>
            <w:tcBorders>
              <w:top w:val="single" w:sz="4" w:space="0" w:color="auto"/>
            </w:tcBorders>
            <w:vAlign w:val="center"/>
          </w:tcPr>
          <w:p w14:paraId="4CC3741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w:t>
            </w:r>
          </w:p>
        </w:tc>
      </w:tr>
      <w:tr w:rsidR="007949C3" w:rsidRPr="007949C3" w14:paraId="4A474733" w14:textId="77777777" w:rsidTr="00642612">
        <w:trPr>
          <w:trHeight w:val="20"/>
          <w:jc w:val="center"/>
        </w:trPr>
        <w:tc>
          <w:tcPr>
            <w:tcW w:w="1030" w:type="dxa"/>
            <w:vAlign w:val="center"/>
          </w:tcPr>
          <w:p w14:paraId="7B50699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2</w:t>
            </w:r>
          </w:p>
        </w:tc>
        <w:tc>
          <w:tcPr>
            <w:tcW w:w="1644" w:type="dxa"/>
            <w:vAlign w:val="center"/>
          </w:tcPr>
          <w:p w14:paraId="56EFB353" w14:textId="253C1EB1"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April </w:t>
            </w:r>
            <w:r w:rsidR="007949C3" w:rsidRPr="007949C3">
              <w:rPr>
                <w:rFonts w:ascii="Book Antiqua" w:hAnsi="Book Antiqua"/>
                <w:color w:val="000000" w:themeColor="text1"/>
              </w:rPr>
              <w:t>12</w:t>
            </w:r>
            <w:r>
              <w:rPr>
                <w:rFonts w:ascii="Book Antiqua" w:hAnsi="Book Antiqua"/>
                <w:color w:val="000000" w:themeColor="text1"/>
              </w:rPr>
              <w:t xml:space="preserve">, </w:t>
            </w:r>
            <w:r w:rsidR="007949C3" w:rsidRPr="007949C3">
              <w:rPr>
                <w:rFonts w:ascii="Book Antiqua" w:hAnsi="Book Antiqua"/>
                <w:color w:val="000000" w:themeColor="text1"/>
              </w:rPr>
              <w:t>2018</w:t>
            </w:r>
          </w:p>
        </w:tc>
        <w:tc>
          <w:tcPr>
            <w:tcW w:w="1940" w:type="dxa"/>
            <w:vMerge/>
            <w:vAlign w:val="center"/>
          </w:tcPr>
          <w:p w14:paraId="44BF6B11"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1940" w:type="dxa"/>
            <w:vMerge/>
            <w:vAlign w:val="center"/>
          </w:tcPr>
          <w:p w14:paraId="7E7B44F0"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1940" w:type="dxa"/>
            <w:vMerge/>
            <w:vAlign w:val="center"/>
          </w:tcPr>
          <w:p w14:paraId="5A109C41"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bl>
    <w:p w14:paraId="65E1D57C" w14:textId="5846B427" w:rsidR="007949C3" w:rsidRPr="007949C3" w:rsidRDefault="007949C3" w:rsidP="007949C3">
      <w:pPr>
        <w:adjustRightInd w:val="0"/>
        <w:snapToGrid w:val="0"/>
        <w:spacing w:line="360" w:lineRule="auto"/>
        <w:jc w:val="both"/>
        <w:rPr>
          <w:rFonts w:ascii="Book Antiqua" w:hAnsi="Book Antiqua" w:cs="Arial"/>
          <w:b/>
          <w:bCs/>
          <w:color w:val="000000" w:themeColor="text1"/>
        </w:rPr>
      </w:pPr>
      <w:r w:rsidRPr="007949C3">
        <w:rPr>
          <w:rFonts w:ascii="Book Antiqua" w:hAnsi="Book Antiqua" w:cs="Arial"/>
          <w:b/>
          <w:bCs/>
          <w:color w:val="000000" w:themeColor="text1"/>
        </w:rPr>
        <w:br w:type="page"/>
        <w:t>Table 3</w:t>
      </w:r>
      <w:r w:rsidRPr="007949C3">
        <w:rPr>
          <w:rFonts w:ascii="Book Antiqua" w:hAnsi="Book Antiqua" w:cs="Arial"/>
          <w:color w:val="000000" w:themeColor="text1"/>
        </w:rPr>
        <w:t xml:space="preserve"> </w:t>
      </w:r>
      <w:r w:rsidRPr="007949C3">
        <w:rPr>
          <w:rFonts w:ascii="Book Antiqua" w:hAnsi="Book Antiqua" w:cs="Arial"/>
          <w:b/>
          <w:bCs/>
          <w:color w:val="000000" w:themeColor="text1"/>
        </w:rPr>
        <w:t>Transplantation of minimally manipulated umbilical cord-derived mesenchymal stem cells into case 3</w:t>
      </w:r>
    </w:p>
    <w:tbl>
      <w:tblPr>
        <w:tblW w:w="8785" w:type="dxa"/>
        <w:jc w:val="center"/>
        <w:tblBorders>
          <w:top w:val="single" w:sz="2" w:space="0" w:color="000000"/>
          <w:bottom w:val="single" w:sz="4" w:space="0" w:color="auto"/>
        </w:tblBorders>
        <w:tblCellMar>
          <w:top w:w="55" w:type="dxa"/>
          <w:left w:w="55" w:type="dxa"/>
          <w:bottom w:w="55" w:type="dxa"/>
          <w:right w:w="55" w:type="dxa"/>
        </w:tblCellMar>
        <w:tblLook w:val="04A0" w:firstRow="1" w:lastRow="0" w:firstColumn="1" w:lastColumn="0" w:noHBand="0" w:noVBand="1"/>
      </w:tblPr>
      <w:tblGrid>
        <w:gridCol w:w="1244"/>
        <w:gridCol w:w="1679"/>
        <w:gridCol w:w="2945"/>
        <w:gridCol w:w="2917"/>
      </w:tblGrid>
      <w:tr w:rsidR="00642612" w:rsidRPr="007949C3" w14:paraId="14E11417" w14:textId="77777777" w:rsidTr="00642612">
        <w:trPr>
          <w:trHeight w:val="592"/>
          <w:jc w:val="center"/>
        </w:trPr>
        <w:tc>
          <w:tcPr>
            <w:tcW w:w="1066" w:type="dxa"/>
            <w:tcBorders>
              <w:top w:val="single" w:sz="2" w:space="0" w:color="000000"/>
              <w:bottom w:val="single" w:sz="4" w:space="0" w:color="auto"/>
            </w:tcBorders>
            <w:vAlign w:val="center"/>
          </w:tcPr>
          <w:p w14:paraId="23C7D702"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Treatment number</w:t>
            </w:r>
          </w:p>
        </w:tc>
        <w:tc>
          <w:tcPr>
            <w:tcW w:w="1701" w:type="dxa"/>
            <w:tcBorders>
              <w:top w:val="single" w:sz="2" w:space="0" w:color="000000"/>
              <w:bottom w:val="single" w:sz="4" w:space="0" w:color="auto"/>
            </w:tcBorders>
            <w:vAlign w:val="center"/>
          </w:tcPr>
          <w:p w14:paraId="44901CDA"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Date</w:t>
            </w:r>
          </w:p>
        </w:tc>
        <w:tc>
          <w:tcPr>
            <w:tcW w:w="3009" w:type="dxa"/>
            <w:tcBorders>
              <w:top w:val="single" w:sz="2" w:space="0" w:color="000000"/>
              <w:bottom w:val="single" w:sz="4" w:space="0" w:color="auto"/>
            </w:tcBorders>
            <w:vAlign w:val="center"/>
          </w:tcPr>
          <w:p w14:paraId="58E8664C" w14:textId="4C1DC78F" w:rsidR="007949C3" w:rsidRPr="007949C3" w:rsidRDefault="007949C3" w:rsidP="007949C3">
            <w:pPr>
              <w:adjustRightInd w:val="0"/>
              <w:snapToGrid w:val="0"/>
              <w:spacing w:line="360" w:lineRule="auto"/>
              <w:jc w:val="both"/>
              <w:rPr>
                <w:rFonts w:ascii="Book Antiqua" w:hAnsi="Book Antiqua"/>
                <w:b/>
                <w:bCs/>
                <w:color w:val="000000" w:themeColor="text1"/>
                <w:lang w:eastAsia="zh-CN"/>
              </w:rPr>
            </w:pPr>
            <w:r w:rsidRPr="007949C3">
              <w:rPr>
                <w:rFonts w:ascii="Book Antiqua" w:hAnsi="Book Antiqua"/>
                <w:b/>
                <w:bCs/>
                <w:color w:val="000000" w:themeColor="text1"/>
              </w:rPr>
              <w:t>Concentration of</w:t>
            </w:r>
            <w:r w:rsidR="00C05BFC">
              <w:rPr>
                <w:rFonts w:ascii="Book Antiqua" w:hAnsi="Book Antiqua" w:hint="eastAsia"/>
                <w:b/>
                <w:bCs/>
                <w:color w:val="000000" w:themeColor="text1"/>
                <w:lang w:eastAsia="zh-CN"/>
              </w:rPr>
              <w:t xml:space="preserve"> </w:t>
            </w:r>
            <w:r w:rsidRPr="007949C3">
              <w:rPr>
                <w:rFonts w:ascii="Book Antiqua" w:hAnsi="Book Antiqua"/>
                <w:b/>
                <w:bCs/>
                <w:color w:val="000000" w:themeColor="text1"/>
              </w:rPr>
              <w:t>injection solution</w:t>
            </w:r>
          </w:p>
        </w:tc>
        <w:tc>
          <w:tcPr>
            <w:tcW w:w="3009" w:type="dxa"/>
            <w:tcBorders>
              <w:top w:val="single" w:sz="2" w:space="0" w:color="000000"/>
              <w:bottom w:val="single" w:sz="4" w:space="0" w:color="auto"/>
            </w:tcBorders>
            <w:vAlign w:val="center"/>
          </w:tcPr>
          <w:p w14:paraId="073EF246" w14:textId="2D7D98A2" w:rsidR="007949C3" w:rsidRPr="007949C3" w:rsidRDefault="007949C3" w:rsidP="007949C3">
            <w:pPr>
              <w:adjustRightInd w:val="0"/>
              <w:snapToGrid w:val="0"/>
              <w:spacing w:line="360" w:lineRule="auto"/>
              <w:jc w:val="both"/>
              <w:rPr>
                <w:rFonts w:ascii="Book Antiqua" w:hAnsi="Book Antiqua"/>
                <w:b/>
                <w:bCs/>
                <w:color w:val="000000" w:themeColor="text1"/>
                <w:lang w:eastAsia="zh-CN"/>
              </w:rPr>
            </w:pPr>
            <w:r w:rsidRPr="007949C3">
              <w:rPr>
                <w:rFonts w:ascii="Book Antiqua" w:hAnsi="Book Antiqua"/>
                <w:b/>
                <w:bCs/>
                <w:color w:val="000000" w:themeColor="text1"/>
              </w:rPr>
              <w:t>Volume of</w:t>
            </w:r>
            <w:r w:rsidR="00C05BFC">
              <w:rPr>
                <w:rFonts w:ascii="Book Antiqua" w:hAnsi="Book Antiqua" w:hint="eastAsia"/>
                <w:b/>
                <w:bCs/>
                <w:color w:val="000000" w:themeColor="text1"/>
                <w:lang w:eastAsia="zh-CN"/>
              </w:rPr>
              <w:t xml:space="preserve"> </w:t>
            </w:r>
            <w:r w:rsidRPr="007949C3">
              <w:rPr>
                <w:rFonts w:ascii="Book Antiqua" w:hAnsi="Book Antiqua"/>
                <w:b/>
                <w:bCs/>
                <w:color w:val="000000" w:themeColor="text1"/>
              </w:rPr>
              <w:t>injection solution</w:t>
            </w:r>
          </w:p>
        </w:tc>
      </w:tr>
      <w:tr w:rsidR="00642612" w:rsidRPr="007949C3" w14:paraId="76DA754C" w14:textId="77777777" w:rsidTr="00642612">
        <w:trPr>
          <w:trHeight w:val="210"/>
          <w:jc w:val="center"/>
        </w:trPr>
        <w:tc>
          <w:tcPr>
            <w:tcW w:w="1066" w:type="dxa"/>
            <w:tcBorders>
              <w:top w:val="single" w:sz="4" w:space="0" w:color="auto"/>
            </w:tcBorders>
            <w:vAlign w:val="center"/>
          </w:tcPr>
          <w:p w14:paraId="19CC73B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w:t>
            </w:r>
          </w:p>
        </w:tc>
        <w:tc>
          <w:tcPr>
            <w:tcW w:w="1701" w:type="dxa"/>
            <w:tcBorders>
              <w:top w:val="single" w:sz="4" w:space="0" w:color="auto"/>
            </w:tcBorders>
            <w:vAlign w:val="center"/>
          </w:tcPr>
          <w:p w14:paraId="538050FB" w14:textId="1BCBEB00"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February </w:t>
            </w:r>
            <w:r w:rsidR="007949C3" w:rsidRPr="007949C3">
              <w:rPr>
                <w:rFonts w:ascii="Book Antiqua" w:hAnsi="Book Antiqua"/>
                <w:color w:val="000000" w:themeColor="text1"/>
              </w:rPr>
              <w:t>12</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restart"/>
            <w:tcBorders>
              <w:top w:val="single" w:sz="4" w:space="0" w:color="auto"/>
            </w:tcBorders>
            <w:vAlign w:val="center"/>
          </w:tcPr>
          <w:p w14:paraId="7CAF7FAD" w14:textId="52F632F2"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 xml:space="preserve">1 </w:t>
            </w:r>
            <w:r w:rsidR="00C05BFC" w:rsidRPr="007949C3">
              <w:rPr>
                <w:rFonts w:ascii="Book Antiqua" w:hAnsi="Book Antiqua"/>
                <w:color w:val="000000" w:themeColor="text1"/>
              </w:rPr>
              <w:t>×</w:t>
            </w:r>
            <w:r w:rsidRPr="007949C3">
              <w:rPr>
                <w:rFonts w:ascii="Book Antiqua" w:hAnsi="Book Antiqua"/>
                <w:color w:val="000000" w:themeColor="text1"/>
              </w:rPr>
              <w:t xml:space="preserve"> 10</w:t>
            </w:r>
            <w:r w:rsidRPr="007949C3">
              <w:rPr>
                <w:rFonts w:ascii="Book Antiqua" w:hAnsi="Book Antiqua"/>
                <w:color w:val="000000" w:themeColor="text1"/>
                <w:vertAlign w:val="superscript"/>
              </w:rPr>
              <w:t>6</w:t>
            </w:r>
            <w:r w:rsidRPr="007949C3">
              <w:rPr>
                <w:rFonts w:ascii="Book Antiqua" w:hAnsi="Book Antiqua"/>
                <w:color w:val="000000" w:themeColor="text1"/>
              </w:rPr>
              <w:t xml:space="preserve"> cells/mL</w:t>
            </w:r>
          </w:p>
        </w:tc>
        <w:tc>
          <w:tcPr>
            <w:tcW w:w="3009" w:type="dxa"/>
            <w:tcBorders>
              <w:top w:val="single" w:sz="4" w:space="0" w:color="auto"/>
            </w:tcBorders>
            <w:vAlign w:val="center"/>
          </w:tcPr>
          <w:p w14:paraId="73C20F86"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6 mL</w:t>
            </w:r>
          </w:p>
        </w:tc>
      </w:tr>
      <w:tr w:rsidR="00642612" w:rsidRPr="007949C3" w14:paraId="05F3CFC0" w14:textId="77777777" w:rsidTr="00642612">
        <w:trPr>
          <w:trHeight w:val="210"/>
          <w:jc w:val="center"/>
        </w:trPr>
        <w:tc>
          <w:tcPr>
            <w:tcW w:w="1066" w:type="dxa"/>
            <w:vAlign w:val="center"/>
          </w:tcPr>
          <w:p w14:paraId="35D2DAEC"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2</w:t>
            </w:r>
          </w:p>
        </w:tc>
        <w:tc>
          <w:tcPr>
            <w:tcW w:w="1701" w:type="dxa"/>
            <w:vAlign w:val="center"/>
          </w:tcPr>
          <w:p w14:paraId="75256261" w14:textId="56D2EE81"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February</w:t>
            </w:r>
            <w:r w:rsidRPr="007949C3">
              <w:rPr>
                <w:rFonts w:ascii="Book Antiqua" w:hAnsi="Book Antiqua"/>
                <w:color w:val="000000" w:themeColor="text1"/>
              </w:rPr>
              <w:t xml:space="preserve"> </w:t>
            </w:r>
            <w:r w:rsidR="007949C3" w:rsidRPr="007949C3">
              <w:rPr>
                <w:rFonts w:ascii="Book Antiqua" w:hAnsi="Book Antiqua"/>
                <w:color w:val="000000" w:themeColor="text1"/>
              </w:rPr>
              <w:t>26</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363C0A7E"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386B42F0"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10 mL</w:t>
            </w:r>
          </w:p>
        </w:tc>
      </w:tr>
      <w:tr w:rsidR="00642612" w:rsidRPr="007949C3" w14:paraId="00148598" w14:textId="77777777" w:rsidTr="00642612">
        <w:trPr>
          <w:trHeight w:val="210"/>
          <w:jc w:val="center"/>
        </w:trPr>
        <w:tc>
          <w:tcPr>
            <w:tcW w:w="1066" w:type="dxa"/>
            <w:vAlign w:val="center"/>
          </w:tcPr>
          <w:p w14:paraId="7575B510"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3</w:t>
            </w:r>
          </w:p>
        </w:tc>
        <w:tc>
          <w:tcPr>
            <w:tcW w:w="1701" w:type="dxa"/>
            <w:vAlign w:val="center"/>
          </w:tcPr>
          <w:p w14:paraId="3FB02F7B" w14:textId="55A7799E"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March</w:t>
            </w:r>
            <w:r w:rsidRPr="007949C3">
              <w:rPr>
                <w:rFonts w:ascii="Book Antiqua" w:hAnsi="Book Antiqua"/>
                <w:color w:val="000000" w:themeColor="text1"/>
              </w:rPr>
              <w:t xml:space="preserve"> </w:t>
            </w:r>
            <w:r w:rsidR="007949C3" w:rsidRPr="007949C3">
              <w:rPr>
                <w:rFonts w:ascii="Book Antiqua" w:hAnsi="Book Antiqua"/>
                <w:color w:val="000000" w:themeColor="text1"/>
              </w:rPr>
              <w:t>12</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651A6782"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4101E0A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10 mL</w:t>
            </w:r>
          </w:p>
        </w:tc>
      </w:tr>
      <w:tr w:rsidR="00642612" w:rsidRPr="007949C3" w14:paraId="50336532" w14:textId="77777777" w:rsidTr="00642612">
        <w:trPr>
          <w:trHeight w:val="210"/>
          <w:jc w:val="center"/>
        </w:trPr>
        <w:tc>
          <w:tcPr>
            <w:tcW w:w="1066" w:type="dxa"/>
            <w:vAlign w:val="center"/>
          </w:tcPr>
          <w:p w14:paraId="2E55D5A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4</w:t>
            </w:r>
          </w:p>
        </w:tc>
        <w:tc>
          <w:tcPr>
            <w:tcW w:w="1701" w:type="dxa"/>
            <w:vAlign w:val="center"/>
          </w:tcPr>
          <w:p w14:paraId="2DF28C23" w14:textId="33D02B43"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March</w:t>
            </w:r>
            <w:r w:rsidRPr="007949C3">
              <w:rPr>
                <w:rFonts w:ascii="Book Antiqua" w:hAnsi="Book Antiqua"/>
                <w:color w:val="000000" w:themeColor="text1"/>
              </w:rPr>
              <w:t xml:space="preserve"> </w:t>
            </w:r>
            <w:r w:rsidR="007949C3" w:rsidRPr="007949C3">
              <w:rPr>
                <w:rFonts w:ascii="Book Antiqua" w:hAnsi="Book Antiqua"/>
                <w:color w:val="000000" w:themeColor="text1"/>
              </w:rPr>
              <w:t>28</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4CF6F6BA"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39641982"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r w:rsidR="00642612" w:rsidRPr="007949C3" w14:paraId="6570A5F9" w14:textId="77777777" w:rsidTr="00642612">
        <w:trPr>
          <w:trHeight w:val="210"/>
          <w:jc w:val="center"/>
        </w:trPr>
        <w:tc>
          <w:tcPr>
            <w:tcW w:w="1066" w:type="dxa"/>
            <w:vAlign w:val="center"/>
          </w:tcPr>
          <w:p w14:paraId="5EBE0841"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5</w:t>
            </w:r>
          </w:p>
        </w:tc>
        <w:tc>
          <w:tcPr>
            <w:tcW w:w="1701" w:type="dxa"/>
            <w:vAlign w:val="center"/>
          </w:tcPr>
          <w:p w14:paraId="3B4F7E54" w14:textId="6529695F"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April </w:t>
            </w:r>
            <w:r w:rsidR="007949C3" w:rsidRPr="007949C3">
              <w:rPr>
                <w:rFonts w:ascii="Book Antiqua" w:hAnsi="Book Antiqua"/>
                <w:color w:val="000000" w:themeColor="text1"/>
              </w:rPr>
              <w:t>14</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73AE38C0"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7DC40E9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r w:rsidR="00642612" w:rsidRPr="007949C3" w14:paraId="53E3B297" w14:textId="77777777" w:rsidTr="00642612">
        <w:trPr>
          <w:trHeight w:val="210"/>
          <w:jc w:val="center"/>
        </w:trPr>
        <w:tc>
          <w:tcPr>
            <w:tcW w:w="1066" w:type="dxa"/>
            <w:vAlign w:val="center"/>
          </w:tcPr>
          <w:p w14:paraId="2D9C29AF"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6</w:t>
            </w:r>
          </w:p>
        </w:tc>
        <w:tc>
          <w:tcPr>
            <w:tcW w:w="1701" w:type="dxa"/>
            <w:vAlign w:val="center"/>
          </w:tcPr>
          <w:p w14:paraId="5AF7EB73" w14:textId="29835C1B"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June </w:t>
            </w:r>
            <w:r w:rsidR="007949C3" w:rsidRPr="007949C3">
              <w:rPr>
                <w:rFonts w:ascii="Book Antiqua" w:hAnsi="Book Antiqua"/>
                <w:color w:val="000000" w:themeColor="text1"/>
              </w:rPr>
              <w:t>23</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7410828D"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386D4B04"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r w:rsidR="00642612" w:rsidRPr="007949C3" w14:paraId="19AA2411" w14:textId="77777777" w:rsidTr="00642612">
        <w:trPr>
          <w:trHeight w:val="20"/>
          <w:jc w:val="center"/>
        </w:trPr>
        <w:tc>
          <w:tcPr>
            <w:tcW w:w="1066" w:type="dxa"/>
            <w:vAlign w:val="center"/>
          </w:tcPr>
          <w:p w14:paraId="61473866"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7</w:t>
            </w:r>
          </w:p>
        </w:tc>
        <w:tc>
          <w:tcPr>
            <w:tcW w:w="1701" w:type="dxa"/>
            <w:vAlign w:val="center"/>
          </w:tcPr>
          <w:p w14:paraId="044B9054" w14:textId="56DA3F3D"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July </w:t>
            </w:r>
            <w:r w:rsidR="007949C3" w:rsidRPr="007949C3">
              <w:rPr>
                <w:rFonts w:ascii="Book Antiqua" w:hAnsi="Book Antiqua"/>
                <w:color w:val="000000" w:themeColor="text1"/>
              </w:rPr>
              <w:t>21</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61EC8FE0"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4B58686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36 mL</w:t>
            </w:r>
          </w:p>
        </w:tc>
      </w:tr>
      <w:tr w:rsidR="00642612" w:rsidRPr="007949C3" w14:paraId="7D9A009F" w14:textId="77777777" w:rsidTr="00642612">
        <w:trPr>
          <w:trHeight w:val="210"/>
          <w:jc w:val="center"/>
        </w:trPr>
        <w:tc>
          <w:tcPr>
            <w:tcW w:w="1066" w:type="dxa"/>
            <w:vAlign w:val="center"/>
          </w:tcPr>
          <w:p w14:paraId="2F366230"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8</w:t>
            </w:r>
          </w:p>
        </w:tc>
        <w:tc>
          <w:tcPr>
            <w:tcW w:w="1701" w:type="dxa"/>
            <w:vAlign w:val="center"/>
          </w:tcPr>
          <w:p w14:paraId="5461A640" w14:textId="54275880"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August </w:t>
            </w:r>
            <w:r w:rsidR="007949C3" w:rsidRPr="007949C3">
              <w:rPr>
                <w:rFonts w:ascii="Book Antiqua" w:hAnsi="Book Antiqua"/>
                <w:color w:val="000000" w:themeColor="text1"/>
              </w:rPr>
              <w:t>6</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4133C4C9"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7A111D32"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r w:rsidR="00642612" w:rsidRPr="007949C3" w14:paraId="383B7105" w14:textId="77777777" w:rsidTr="00642612">
        <w:trPr>
          <w:trHeight w:val="210"/>
          <w:jc w:val="center"/>
        </w:trPr>
        <w:tc>
          <w:tcPr>
            <w:tcW w:w="1066" w:type="dxa"/>
            <w:vAlign w:val="center"/>
          </w:tcPr>
          <w:p w14:paraId="1816BE8A"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9</w:t>
            </w:r>
          </w:p>
        </w:tc>
        <w:tc>
          <w:tcPr>
            <w:tcW w:w="1701" w:type="dxa"/>
            <w:vAlign w:val="center"/>
          </w:tcPr>
          <w:p w14:paraId="3B986177" w14:textId="10C3B0A7"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September </w:t>
            </w:r>
            <w:r w:rsidR="007949C3" w:rsidRPr="007949C3">
              <w:rPr>
                <w:rFonts w:ascii="Book Antiqua" w:hAnsi="Book Antiqua"/>
                <w:color w:val="000000" w:themeColor="text1"/>
              </w:rPr>
              <w:t>2</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5FDFE7F2"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2BD22753"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r w:rsidR="00642612" w:rsidRPr="007949C3" w14:paraId="1BC9F21D" w14:textId="77777777" w:rsidTr="00642612">
        <w:trPr>
          <w:trHeight w:val="210"/>
          <w:jc w:val="center"/>
        </w:trPr>
        <w:tc>
          <w:tcPr>
            <w:tcW w:w="1066" w:type="dxa"/>
            <w:vAlign w:val="center"/>
          </w:tcPr>
          <w:p w14:paraId="5B6BACCC"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10</w:t>
            </w:r>
          </w:p>
        </w:tc>
        <w:tc>
          <w:tcPr>
            <w:tcW w:w="1701" w:type="dxa"/>
            <w:vAlign w:val="center"/>
          </w:tcPr>
          <w:p w14:paraId="4CD10219" w14:textId="12BA7AFB"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September</w:t>
            </w:r>
            <w:r w:rsidRPr="007949C3">
              <w:rPr>
                <w:rFonts w:ascii="Book Antiqua" w:hAnsi="Book Antiqua"/>
                <w:color w:val="000000" w:themeColor="text1"/>
              </w:rPr>
              <w:t xml:space="preserve"> </w:t>
            </w:r>
            <w:r w:rsidR="007949C3" w:rsidRPr="007949C3">
              <w:rPr>
                <w:rFonts w:ascii="Book Antiqua" w:hAnsi="Book Antiqua"/>
                <w:color w:val="000000" w:themeColor="text1"/>
              </w:rPr>
              <w:t>25</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094A59D1"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04646D83"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r w:rsidR="00642612" w:rsidRPr="007949C3" w14:paraId="4847B36F" w14:textId="77777777" w:rsidTr="00642612">
        <w:trPr>
          <w:trHeight w:val="210"/>
          <w:jc w:val="center"/>
        </w:trPr>
        <w:tc>
          <w:tcPr>
            <w:tcW w:w="1066" w:type="dxa"/>
            <w:vAlign w:val="center"/>
          </w:tcPr>
          <w:p w14:paraId="2D5A0CDE"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11</w:t>
            </w:r>
          </w:p>
        </w:tc>
        <w:tc>
          <w:tcPr>
            <w:tcW w:w="1701" w:type="dxa"/>
            <w:vAlign w:val="center"/>
          </w:tcPr>
          <w:p w14:paraId="72AC5B51" w14:textId="797AD018"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October </w:t>
            </w:r>
            <w:r w:rsidR="007949C3" w:rsidRPr="007949C3">
              <w:rPr>
                <w:rFonts w:ascii="Book Antiqua" w:hAnsi="Book Antiqua"/>
                <w:color w:val="000000" w:themeColor="text1"/>
              </w:rPr>
              <w:t>10</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593814E1"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5785EFA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r w:rsidR="00642612" w:rsidRPr="007949C3" w14:paraId="2EF8D1C0" w14:textId="77777777" w:rsidTr="00642612">
        <w:trPr>
          <w:trHeight w:val="210"/>
          <w:jc w:val="center"/>
        </w:trPr>
        <w:tc>
          <w:tcPr>
            <w:tcW w:w="1066" w:type="dxa"/>
            <w:vAlign w:val="center"/>
          </w:tcPr>
          <w:p w14:paraId="01BB7408"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w:t>
            </w:r>
          </w:p>
        </w:tc>
        <w:tc>
          <w:tcPr>
            <w:tcW w:w="1701" w:type="dxa"/>
            <w:vAlign w:val="center"/>
          </w:tcPr>
          <w:p w14:paraId="0F5F0E0F" w14:textId="178223ED"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November </w:t>
            </w:r>
            <w:r w:rsidR="007949C3" w:rsidRPr="007949C3">
              <w:rPr>
                <w:rFonts w:ascii="Book Antiqua" w:hAnsi="Book Antiqua"/>
                <w:color w:val="000000" w:themeColor="text1"/>
              </w:rPr>
              <w:t>5</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4CAAFCF0"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56B6697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r w:rsidR="00642612" w:rsidRPr="007949C3" w14:paraId="074F6793" w14:textId="77777777" w:rsidTr="00642612">
        <w:trPr>
          <w:trHeight w:val="210"/>
          <w:jc w:val="center"/>
        </w:trPr>
        <w:tc>
          <w:tcPr>
            <w:tcW w:w="1066" w:type="dxa"/>
            <w:vAlign w:val="center"/>
          </w:tcPr>
          <w:p w14:paraId="1A936C3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13</w:t>
            </w:r>
          </w:p>
        </w:tc>
        <w:tc>
          <w:tcPr>
            <w:tcW w:w="1701" w:type="dxa"/>
            <w:vAlign w:val="center"/>
          </w:tcPr>
          <w:p w14:paraId="24AB8666" w14:textId="60F1F207"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January </w:t>
            </w:r>
            <w:r w:rsidR="007949C3" w:rsidRPr="007949C3">
              <w:rPr>
                <w:rFonts w:ascii="Book Antiqua" w:hAnsi="Book Antiqua"/>
                <w:color w:val="000000" w:themeColor="text1"/>
              </w:rPr>
              <w:t>16</w:t>
            </w:r>
            <w:r>
              <w:rPr>
                <w:rFonts w:ascii="Book Antiqua" w:hAnsi="Book Antiqua"/>
                <w:color w:val="000000" w:themeColor="text1"/>
              </w:rPr>
              <w:t xml:space="preserve">, </w:t>
            </w:r>
            <w:r w:rsidR="007949C3" w:rsidRPr="007949C3">
              <w:rPr>
                <w:rFonts w:ascii="Book Antiqua" w:hAnsi="Book Antiqua"/>
                <w:color w:val="000000" w:themeColor="text1"/>
              </w:rPr>
              <w:t>2015</w:t>
            </w:r>
          </w:p>
        </w:tc>
        <w:tc>
          <w:tcPr>
            <w:tcW w:w="3009" w:type="dxa"/>
            <w:vMerge/>
            <w:vAlign w:val="center"/>
          </w:tcPr>
          <w:p w14:paraId="634FB9AA"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04929AF5"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24 mL</w:t>
            </w:r>
          </w:p>
        </w:tc>
      </w:tr>
      <w:tr w:rsidR="00642612" w:rsidRPr="007949C3" w14:paraId="5B779507" w14:textId="77777777" w:rsidTr="00642612">
        <w:trPr>
          <w:trHeight w:val="20"/>
          <w:jc w:val="center"/>
        </w:trPr>
        <w:tc>
          <w:tcPr>
            <w:tcW w:w="1066" w:type="dxa"/>
            <w:vAlign w:val="center"/>
          </w:tcPr>
          <w:p w14:paraId="0C451938"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14</w:t>
            </w:r>
          </w:p>
        </w:tc>
        <w:tc>
          <w:tcPr>
            <w:tcW w:w="1701" w:type="dxa"/>
            <w:vAlign w:val="center"/>
          </w:tcPr>
          <w:p w14:paraId="51E53044" w14:textId="3C8B7E88"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February</w:t>
            </w:r>
            <w:r w:rsidRPr="007949C3">
              <w:rPr>
                <w:rFonts w:ascii="Book Antiqua" w:hAnsi="Book Antiqua"/>
                <w:color w:val="000000" w:themeColor="text1"/>
              </w:rPr>
              <w:t xml:space="preserve"> </w:t>
            </w:r>
            <w:r w:rsidR="007949C3" w:rsidRPr="007949C3">
              <w:rPr>
                <w:rFonts w:ascii="Book Antiqua" w:hAnsi="Book Antiqua"/>
                <w:color w:val="000000" w:themeColor="text1"/>
              </w:rPr>
              <w:t>10</w:t>
            </w:r>
            <w:r>
              <w:rPr>
                <w:rFonts w:ascii="Book Antiqua" w:hAnsi="Book Antiqua"/>
                <w:color w:val="000000" w:themeColor="text1"/>
              </w:rPr>
              <w:t xml:space="preserve">, </w:t>
            </w:r>
            <w:r w:rsidR="007949C3" w:rsidRPr="007949C3">
              <w:rPr>
                <w:rFonts w:ascii="Book Antiqua" w:hAnsi="Book Antiqua"/>
                <w:color w:val="000000" w:themeColor="text1"/>
              </w:rPr>
              <w:t>2015</w:t>
            </w:r>
          </w:p>
        </w:tc>
        <w:tc>
          <w:tcPr>
            <w:tcW w:w="3009" w:type="dxa"/>
            <w:vMerge/>
            <w:vAlign w:val="center"/>
          </w:tcPr>
          <w:p w14:paraId="60798003"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3030CEBA"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bl>
    <w:p w14:paraId="159D171F"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br w:type="page"/>
      </w:r>
    </w:p>
    <w:p w14:paraId="468CB11D"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Table 4</w:t>
      </w:r>
      <w:r w:rsidRPr="007949C3">
        <w:rPr>
          <w:rFonts w:ascii="Book Antiqua" w:hAnsi="Book Antiqua"/>
          <w:color w:val="000000" w:themeColor="text1"/>
        </w:rPr>
        <w:t xml:space="preserve"> </w:t>
      </w:r>
      <w:r w:rsidRPr="007949C3">
        <w:rPr>
          <w:rFonts w:ascii="Book Antiqua" w:hAnsi="Book Antiqua"/>
          <w:b/>
          <w:bCs/>
          <w:color w:val="000000" w:themeColor="text1"/>
        </w:rPr>
        <w:t>The hair density of lesions of case 1</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002"/>
        <w:gridCol w:w="2880"/>
        <w:gridCol w:w="2880"/>
      </w:tblGrid>
      <w:tr w:rsidR="007949C3" w:rsidRPr="007949C3" w14:paraId="6F507A78" w14:textId="77777777" w:rsidTr="00642612">
        <w:tc>
          <w:tcPr>
            <w:tcW w:w="2254" w:type="dxa"/>
            <w:tcBorders>
              <w:top w:val="single" w:sz="4" w:space="0" w:color="auto"/>
              <w:bottom w:val="single" w:sz="4" w:space="0" w:color="auto"/>
            </w:tcBorders>
            <w:vAlign w:val="center"/>
          </w:tcPr>
          <w:p w14:paraId="1E738FDC"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Lesion</w:t>
            </w:r>
          </w:p>
        </w:tc>
        <w:tc>
          <w:tcPr>
            <w:tcW w:w="1002" w:type="dxa"/>
            <w:tcBorders>
              <w:top w:val="single" w:sz="4" w:space="0" w:color="auto"/>
              <w:bottom w:val="single" w:sz="4" w:space="0" w:color="auto"/>
            </w:tcBorders>
            <w:vAlign w:val="center"/>
          </w:tcPr>
          <w:p w14:paraId="5262BB18"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No.</w:t>
            </w:r>
          </w:p>
        </w:tc>
        <w:tc>
          <w:tcPr>
            <w:tcW w:w="2880" w:type="dxa"/>
            <w:tcBorders>
              <w:top w:val="single" w:sz="4" w:space="0" w:color="auto"/>
              <w:bottom w:val="single" w:sz="4" w:space="0" w:color="auto"/>
            </w:tcBorders>
            <w:vAlign w:val="center"/>
          </w:tcPr>
          <w:p w14:paraId="7BA6A515" w14:textId="644A843B"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Hair density</w:t>
            </w:r>
            <w:r w:rsidR="006E3DB1">
              <w:rPr>
                <w:rFonts w:ascii="Book Antiqua" w:hAnsi="Book Antiqua" w:hint="eastAsia"/>
                <w:b/>
                <w:bCs/>
                <w:color w:val="000000" w:themeColor="text1"/>
              </w:rPr>
              <w:t xml:space="preserve"> </w:t>
            </w:r>
            <w:r w:rsidRPr="007949C3">
              <w:rPr>
                <w:rFonts w:ascii="Book Antiqua" w:hAnsi="Book Antiqua"/>
                <w:b/>
                <w:bCs/>
                <w:color w:val="000000" w:themeColor="text1"/>
              </w:rPr>
              <w:t>(hairs/cm</w:t>
            </w:r>
            <w:r w:rsidRPr="007949C3">
              <w:rPr>
                <w:rFonts w:ascii="Book Antiqua" w:hAnsi="Book Antiqua"/>
                <w:b/>
                <w:bCs/>
                <w:color w:val="000000" w:themeColor="text1"/>
                <w:vertAlign w:val="superscript"/>
              </w:rPr>
              <w:t>2</w:t>
            </w:r>
            <w:r w:rsidRPr="007949C3">
              <w:rPr>
                <w:rFonts w:ascii="Book Antiqua" w:hAnsi="Book Antiqua"/>
                <w:b/>
                <w:bCs/>
                <w:color w:val="000000" w:themeColor="text1"/>
              </w:rPr>
              <w:t>)</w:t>
            </w:r>
          </w:p>
        </w:tc>
        <w:tc>
          <w:tcPr>
            <w:tcW w:w="2880" w:type="dxa"/>
            <w:tcBorders>
              <w:top w:val="single" w:sz="4" w:space="0" w:color="auto"/>
              <w:bottom w:val="single" w:sz="4" w:space="0" w:color="auto"/>
            </w:tcBorders>
            <w:vAlign w:val="center"/>
          </w:tcPr>
          <w:p w14:paraId="0AF4E060" w14:textId="6A08CB05"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Mean</w:t>
            </w:r>
            <w:r w:rsidR="006E3DB1">
              <w:rPr>
                <w:rFonts w:ascii="Book Antiqua" w:hAnsi="Book Antiqua" w:hint="eastAsia"/>
                <w:b/>
                <w:bCs/>
                <w:color w:val="000000" w:themeColor="text1"/>
              </w:rPr>
              <w:t xml:space="preserve"> </w:t>
            </w:r>
            <w:r w:rsidRPr="007949C3">
              <w:rPr>
                <w:rFonts w:ascii="Book Antiqua" w:hAnsi="Book Antiqua"/>
                <w:b/>
                <w:bCs/>
                <w:color w:val="000000" w:themeColor="text1"/>
              </w:rPr>
              <w:t>(hairs/cm</w:t>
            </w:r>
            <w:r w:rsidRPr="007949C3">
              <w:rPr>
                <w:rFonts w:ascii="Book Antiqua" w:hAnsi="Book Antiqua"/>
                <w:b/>
                <w:bCs/>
                <w:color w:val="000000" w:themeColor="text1"/>
                <w:vertAlign w:val="superscript"/>
              </w:rPr>
              <w:t>2</w:t>
            </w:r>
            <w:r w:rsidRPr="007949C3">
              <w:rPr>
                <w:rFonts w:ascii="Book Antiqua" w:hAnsi="Book Antiqua"/>
                <w:b/>
                <w:bCs/>
                <w:color w:val="000000" w:themeColor="text1"/>
              </w:rPr>
              <w:t>)</w:t>
            </w:r>
          </w:p>
        </w:tc>
      </w:tr>
      <w:tr w:rsidR="007949C3" w:rsidRPr="007949C3" w14:paraId="4C7AB846" w14:textId="77777777" w:rsidTr="00642612">
        <w:tc>
          <w:tcPr>
            <w:tcW w:w="2254" w:type="dxa"/>
            <w:vMerge w:val="restart"/>
            <w:tcBorders>
              <w:top w:val="single" w:sz="4" w:space="0" w:color="auto"/>
            </w:tcBorders>
            <w:vAlign w:val="center"/>
          </w:tcPr>
          <w:p w14:paraId="7D774540"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Right side</w:t>
            </w:r>
          </w:p>
        </w:tc>
        <w:tc>
          <w:tcPr>
            <w:tcW w:w="1002" w:type="dxa"/>
            <w:tcBorders>
              <w:top w:val="single" w:sz="4" w:space="0" w:color="auto"/>
            </w:tcBorders>
            <w:vAlign w:val="center"/>
          </w:tcPr>
          <w:p w14:paraId="63A8AB9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w:t>
            </w:r>
          </w:p>
        </w:tc>
        <w:tc>
          <w:tcPr>
            <w:tcW w:w="2880" w:type="dxa"/>
            <w:tcBorders>
              <w:top w:val="single" w:sz="4" w:space="0" w:color="auto"/>
            </w:tcBorders>
            <w:vAlign w:val="center"/>
          </w:tcPr>
          <w:p w14:paraId="58CBF674"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169</w:t>
            </w:r>
          </w:p>
        </w:tc>
        <w:tc>
          <w:tcPr>
            <w:tcW w:w="2880" w:type="dxa"/>
            <w:vMerge w:val="restart"/>
            <w:tcBorders>
              <w:top w:val="single" w:sz="4" w:space="0" w:color="auto"/>
            </w:tcBorders>
            <w:vAlign w:val="center"/>
          </w:tcPr>
          <w:p w14:paraId="23BAB33C"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 xml:space="preserve">169.33 </w:t>
            </w:r>
            <w:r w:rsidRPr="007949C3">
              <w:rPr>
                <w:rFonts w:ascii="Book Antiqua" w:eastAsia="Malgun Gothic" w:hAnsi="Book Antiqua"/>
                <w:color w:val="000000" w:themeColor="text1"/>
                <w:spacing w:val="-4"/>
                <w:shd w:val="clear" w:color="auto" w:fill="FFFFFF"/>
              </w:rPr>
              <w:t>± 1.53</w:t>
            </w:r>
          </w:p>
        </w:tc>
      </w:tr>
      <w:tr w:rsidR="007949C3" w:rsidRPr="007949C3" w14:paraId="4FDFF5CF" w14:textId="77777777" w:rsidTr="00642612">
        <w:tc>
          <w:tcPr>
            <w:tcW w:w="2254" w:type="dxa"/>
            <w:vMerge/>
            <w:vAlign w:val="center"/>
          </w:tcPr>
          <w:p w14:paraId="1AFC271B"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1002" w:type="dxa"/>
            <w:vAlign w:val="center"/>
          </w:tcPr>
          <w:p w14:paraId="5674E9D5"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2</w:t>
            </w:r>
          </w:p>
        </w:tc>
        <w:tc>
          <w:tcPr>
            <w:tcW w:w="2880" w:type="dxa"/>
            <w:vAlign w:val="center"/>
          </w:tcPr>
          <w:p w14:paraId="5E3B84F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168</w:t>
            </w:r>
          </w:p>
        </w:tc>
        <w:tc>
          <w:tcPr>
            <w:tcW w:w="2880" w:type="dxa"/>
            <w:vMerge/>
            <w:vAlign w:val="center"/>
          </w:tcPr>
          <w:p w14:paraId="2C68E9D9"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7949C3" w:rsidRPr="007949C3" w14:paraId="2B73518D" w14:textId="77777777" w:rsidTr="00642612">
        <w:tc>
          <w:tcPr>
            <w:tcW w:w="2254" w:type="dxa"/>
            <w:vMerge/>
            <w:vAlign w:val="center"/>
          </w:tcPr>
          <w:p w14:paraId="5DE5E714"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1002" w:type="dxa"/>
            <w:vAlign w:val="center"/>
          </w:tcPr>
          <w:p w14:paraId="57DEE526"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3</w:t>
            </w:r>
          </w:p>
        </w:tc>
        <w:tc>
          <w:tcPr>
            <w:tcW w:w="2880" w:type="dxa"/>
            <w:vAlign w:val="center"/>
          </w:tcPr>
          <w:p w14:paraId="1D09B873"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171</w:t>
            </w:r>
          </w:p>
        </w:tc>
        <w:tc>
          <w:tcPr>
            <w:tcW w:w="2880" w:type="dxa"/>
            <w:vMerge/>
            <w:vAlign w:val="center"/>
          </w:tcPr>
          <w:p w14:paraId="18F5DEDC"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7949C3" w:rsidRPr="007949C3" w14:paraId="1478368C" w14:textId="77777777" w:rsidTr="00642612">
        <w:tc>
          <w:tcPr>
            <w:tcW w:w="2254" w:type="dxa"/>
            <w:vMerge w:val="restart"/>
            <w:vAlign w:val="center"/>
          </w:tcPr>
          <w:p w14:paraId="020C477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Left side</w:t>
            </w:r>
          </w:p>
        </w:tc>
        <w:tc>
          <w:tcPr>
            <w:tcW w:w="1002" w:type="dxa"/>
            <w:vAlign w:val="center"/>
          </w:tcPr>
          <w:p w14:paraId="2C1E97BE"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w:t>
            </w:r>
          </w:p>
        </w:tc>
        <w:tc>
          <w:tcPr>
            <w:tcW w:w="2880" w:type="dxa"/>
            <w:vAlign w:val="center"/>
          </w:tcPr>
          <w:p w14:paraId="2CB02300"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165</w:t>
            </w:r>
          </w:p>
        </w:tc>
        <w:tc>
          <w:tcPr>
            <w:tcW w:w="2880" w:type="dxa"/>
            <w:vMerge w:val="restart"/>
            <w:vAlign w:val="center"/>
          </w:tcPr>
          <w:p w14:paraId="7C3B92B5"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 xml:space="preserve">168.00 </w:t>
            </w:r>
            <w:r w:rsidRPr="007949C3">
              <w:rPr>
                <w:rFonts w:ascii="Book Antiqua" w:eastAsia="Malgun Gothic" w:hAnsi="Book Antiqua"/>
                <w:color w:val="000000" w:themeColor="text1"/>
                <w:spacing w:val="-4"/>
                <w:shd w:val="clear" w:color="auto" w:fill="FFFFFF"/>
              </w:rPr>
              <w:t>± 2.65</w:t>
            </w:r>
          </w:p>
        </w:tc>
      </w:tr>
      <w:tr w:rsidR="007949C3" w:rsidRPr="007949C3" w14:paraId="52AD7879" w14:textId="77777777" w:rsidTr="00642612">
        <w:tc>
          <w:tcPr>
            <w:tcW w:w="2254" w:type="dxa"/>
            <w:vMerge/>
            <w:vAlign w:val="center"/>
          </w:tcPr>
          <w:p w14:paraId="62D15806"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1002" w:type="dxa"/>
            <w:vAlign w:val="center"/>
          </w:tcPr>
          <w:p w14:paraId="142ABCBE"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2</w:t>
            </w:r>
          </w:p>
        </w:tc>
        <w:tc>
          <w:tcPr>
            <w:tcW w:w="2880" w:type="dxa"/>
            <w:vAlign w:val="center"/>
          </w:tcPr>
          <w:p w14:paraId="4697815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169</w:t>
            </w:r>
          </w:p>
        </w:tc>
        <w:tc>
          <w:tcPr>
            <w:tcW w:w="2880" w:type="dxa"/>
            <w:vMerge/>
            <w:vAlign w:val="center"/>
          </w:tcPr>
          <w:p w14:paraId="3D49C8E9"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7949C3" w:rsidRPr="007949C3" w14:paraId="3BC644D5" w14:textId="77777777" w:rsidTr="00642612">
        <w:tc>
          <w:tcPr>
            <w:tcW w:w="2254" w:type="dxa"/>
            <w:vMerge/>
            <w:vAlign w:val="center"/>
          </w:tcPr>
          <w:p w14:paraId="63F38E06"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1002" w:type="dxa"/>
            <w:vAlign w:val="center"/>
          </w:tcPr>
          <w:p w14:paraId="119C74BE"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3</w:t>
            </w:r>
          </w:p>
        </w:tc>
        <w:tc>
          <w:tcPr>
            <w:tcW w:w="2880" w:type="dxa"/>
            <w:vAlign w:val="center"/>
          </w:tcPr>
          <w:p w14:paraId="3A375A7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170</w:t>
            </w:r>
          </w:p>
        </w:tc>
        <w:tc>
          <w:tcPr>
            <w:tcW w:w="2880" w:type="dxa"/>
            <w:vMerge/>
            <w:vAlign w:val="center"/>
          </w:tcPr>
          <w:p w14:paraId="78965EF8"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bl>
    <w:p w14:paraId="2A762B04" w14:textId="2B7A23F2"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br w:type="page"/>
        <w:t>Table 5</w:t>
      </w:r>
      <w:r w:rsidRPr="007949C3">
        <w:rPr>
          <w:rFonts w:ascii="Book Antiqua" w:hAnsi="Book Antiqua"/>
          <w:color w:val="000000" w:themeColor="text1"/>
        </w:rPr>
        <w:t xml:space="preserve"> </w:t>
      </w:r>
      <w:r w:rsidRPr="007949C3">
        <w:rPr>
          <w:rFonts w:ascii="Book Antiqua" w:hAnsi="Book Antiqua"/>
          <w:b/>
          <w:bCs/>
          <w:color w:val="000000" w:themeColor="text1"/>
        </w:rPr>
        <w:t>The hair density of lesions of case 2</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002"/>
        <w:gridCol w:w="2880"/>
        <w:gridCol w:w="2880"/>
      </w:tblGrid>
      <w:tr w:rsidR="007949C3" w:rsidRPr="007949C3" w14:paraId="54D0F44B" w14:textId="77777777" w:rsidTr="00642612">
        <w:tc>
          <w:tcPr>
            <w:tcW w:w="2254" w:type="dxa"/>
            <w:tcBorders>
              <w:top w:val="single" w:sz="4" w:space="0" w:color="auto"/>
              <w:bottom w:val="single" w:sz="4" w:space="0" w:color="auto"/>
            </w:tcBorders>
            <w:vAlign w:val="center"/>
          </w:tcPr>
          <w:p w14:paraId="125D11D8"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Lesion</w:t>
            </w:r>
          </w:p>
        </w:tc>
        <w:tc>
          <w:tcPr>
            <w:tcW w:w="1002" w:type="dxa"/>
            <w:tcBorders>
              <w:top w:val="single" w:sz="4" w:space="0" w:color="auto"/>
              <w:bottom w:val="single" w:sz="4" w:space="0" w:color="auto"/>
            </w:tcBorders>
            <w:vAlign w:val="center"/>
          </w:tcPr>
          <w:p w14:paraId="178259B2"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No.</w:t>
            </w:r>
          </w:p>
        </w:tc>
        <w:tc>
          <w:tcPr>
            <w:tcW w:w="2880" w:type="dxa"/>
            <w:tcBorders>
              <w:top w:val="single" w:sz="4" w:space="0" w:color="auto"/>
              <w:bottom w:val="single" w:sz="4" w:space="0" w:color="auto"/>
            </w:tcBorders>
            <w:vAlign w:val="center"/>
          </w:tcPr>
          <w:p w14:paraId="6C504DD9" w14:textId="2A533705"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Hair density</w:t>
            </w:r>
            <w:r w:rsidR="006E3DB1">
              <w:rPr>
                <w:rFonts w:ascii="Book Antiqua" w:hAnsi="Book Antiqua" w:hint="eastAsia"/>
                <w:b/>
                <w:bCs/>
                <w:color w:val="000000" w:themeColor="text1"/>
              </w:rPr>
              <w:t xml:space="preserve"> </w:t>
            </w:r>
            <w:r w:rsidRPr="007949C3">
              <w:rPr>
                <w:rFonts w:ascii="Book Antiqua" w:hAnsi="Book Antiqua"/>
                <w:b/>
                <w:bCs/>
                <w:color w:val="000000" w:themeColor="text1"/>
              </w:rPr>
              <w:t>(hairs/cm</w:t>
            </w:r>
            <w:r w:rsidRPr="007949C3">
              <w:rPr>
                <w:rFonts w:ascii="Book Antiqua" w:hAnsi="Book Antiqua"/>
                <w:b/>
                <w:bCs/>
                <w:color w:val="000000" w:themeColor="text1"/>
                <w:vertAlign w:val="superscript"/>
              </w:rPr>
              <w:t>2</w:t>
            </w:r>
            <w:r w:rsidRPr="007949C3">
              <w:rPr>
                <w:rFonts w:ascii="Book Antiqua" w:hAnsi="Book Antiqua"/>
                <w:b/>
                <w:bCs/>
                <w:color w:val="000000" w:themeColor="text1"/>
              </w:rPr>
              <w:t>)</w:t>
            </w:r>
          </w:p>
        </w:tc>
        <w:tc>
          <w:tcPr>
            <w:tcW w:w="2880" w:type="dxa"/>
            <w:tcBorders>
              <w:top w:val="single" w:sz="4" w:space="0" w:color="auto"/>
              <w:bottom w:val="single" w:sz="4" w:space="0" w:color="auto"/>
            </w:tcBorders>
            <w:vAlign w:val="center"/>
          </w:tcPr>
          <w:p w14:paraId="7E8F26D0" w14:textId="25DAD86F"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Mean</w:t>
            </w:r>
            <w:r w:rsidR="006E3DB1">
              <w:rPr>
                <w:rFonts w:ascii="Book Antiqua" w:hAnsi="Book Antiqua" w:hint="eastAsia"/>
                <w:b/>
                <w:bCs/>
                <w:color w:val="000000" w:themeColor="text1"/>
              </w:rPr>
              <w:t xml:space="preserve"> </w:t>
            </w:r>
            <w:r w:rsidRPr="007949C3">
              <w:rPr>
                <w:rFonts w:ascii="Book Antiqua" w:hAnsi="Book Antiqua"/>
                <w:b/>
                <w:bCs/>
                <w:color w:val="000000" w:themeColor="text1"/>
              </w:rPr>
              <w:t>(hairs/cm</w:t>
            </w:r>
            <w:r w:rsidRPr="007949C3">
              <w:rPr>
                <w:rFonts w:ascii="Book Antiqua" w:hAnsi="Book Antiqua"/>
                <w:b/>
                <w:bCs/>
                <w:color w:val="000000" w:themeColor="text1"/>
                <w:vertAlign w:val="superscript"/>
              </w:rPr>
              <w:t>2</w:t>
            </w:r>
            <w:r w:rsidRPr="007949C3">
              <w:rPr>
                <w:rFonts w:ascii="Book Antiqua" w:hAnsi="Book Antiqua"/>
                <w:b/>
                <w:bCs/>
                <w:color w:val="000000" w:themeColor="text1"/>
              </w:rPr>
              <w:t>)</w:t>
            </w:r>
          </w:p>
        </w:tc>
      </w:tr>
      <w:tr w:rsidR="007949C3" w:rsidRPr="007949C3" w14:paraId="261F6DAE" w14:textId="77777777" w:rsidTr="00642612">
        <w:tc>
          <w:tcPr>
            <w:tcW w:w="2254" w:type="dxa"/>
            <w:vMerge w:val="restart"/>
            <w:tcBorders>
              <w:top w:val="single" w:sz="4" w:space="0" w:color="auto"/>
            </w:tcBorders>
            <w:vAlign w:val="center"/>
          </w:tcPr>
          <w:p w14:paraId="6F38CF7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Top of scalp</w:t>
            </w:r>
          </w:p>
        </w:tc>
        <w:tc>
          <w:tcPr>
            <w:tcW w:w="1002" w:type="dxa"/>
            <w:tcBorders>
              <w:top w:val="single" w:sz="4" w:space="0" w:color="auto"/>
            </w:tcBorders>
            <w:vAlign w:val="center"/>
          </w:tcPr>
          <w:p w14:paraId="717BE97C"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w:t>
            </w:r>
          </w:p>
        </w:tc>
        <w:tc>
          <w:tcPr>
            <w:tcW w:w="2880" w:type="dxa"/>
            <w:tcBorders>
              <w:top w:val="single" w:sz="4" w:space="0" w:color="auto"/>
            </w:tcBorders>
            <w:vAlign w:val="center"/>
          </w:tcPr>
          <w:p w14:paraId="39B9318F"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163</w:t>
            </w:r>
          </w:p>
        </w:tc>
        <w:tc>
          <w:tcPr>
            <w:tcW w:w="2880" w:type="dxa"/>
            <w:vMerge w:val="restart"/>
            <w:tcBorders>
              <w:top w:val="single" w:sz="4" w:space="0" w:color="auto"/>
            </w:tcBorders>
            <w:vAlign w:val="center"/>
          </w:tcPr>
          <w:p w14:paraId="10AF0A00"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 xml:space="preserve">162.00 </w:t>
            </w:r>
            <w:r w:rsidRPr="007949C3">
              <w:rPr>
                <w:rFonts w:ascii="Book Antiqua" w:eastAsia="Malgun Gothic" w:hAnsi="Book Antiqua"/>
                <w:color w:val="000000" w:themeColor="text1"/>
                <w:spacing w:val="-4"/>
                <w:shd w:val="clear" w:color="auto" w:fill="FFFFFF"/>
              </w:rPr>
              <w:t>± 2.65</w:t>
            </w:r>
          </w:p>
        </w:tc>
      </w:tr>
      <w:tr w:rsidR="007949C3" w:rsidRPr="007949C3" w14:paraId="171619BC" w14:textId="77777777" w:rsidTr="00642612">
        <w:tc>
          <w:tcPr>
            <w:tcW w:w="2254" w:type="dxa"/>
            <w:vMerge/>
            <w:vAlign w:val="center"/>
          </w:tcPr>
          <w:p w14:paraId="1EBF7139"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1002" w:type="dxa"/>
            <w:vAlign w:val="center"/>
          </w:tcPr>
          <w:p w14:paraId="3167565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2</w:t>
            </w:r>
          </w:p>
        </w:tc>
        <w:tc>
          <w:tcPr>
            <w:tcW w:w="2880" w:type="dxa"/>
            <w:vAlign w:val="center"/>
          </w:tcPr>
          <w:p w14:paraId="6468687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159</w:t>
            </w:r>
          </w:p>
        </w:tc>
        <w:tc>
          <w:tcPr>
            <w:tcW w:w="2880" w:type="dxa"/>
            <w:vMerge/>
            <w:vAlign w:val="center"/>
          </w:tcPr>
          <w:p w14:paraId="147CE97D"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7949C3" w:rsidRPr="007949C3" w14:paraId="29D974DC" w14:textId="77777777" w:rsidTr="00642612">
        <w:trPr>
          <w:trHeight w:val="70"/>
        </w:trPr>
        <w:tc>
          <w:tcPr>
            <w:tcW w:w="2254" w:type="dxa"/>
            <w:vMerge/>
            <w:vAlign w:val="center"/>
          </w:tcPr>
          <w:p w14:paraId="45E5F30D"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1002" w:type="dxa"/>
            <w:vAlign w:val="center"/>
          </w:tcPr>
          <w:p w14:paraId="21AA0494"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3</w:t>
            </w:r>
          </w:p>
        </w:tc>
        <w:tc>
          <w:tcPr>
            <w:tcW w:w="2880" w:type="dxa"/>
            <w:vAlign w:val="center"/>
          </w:tcPr>
          <w:p w14:paraId="127E66DA"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164</w:t>
            </w:r>
          </w:p>
        </w:tc>
        <w:tc>
          <w:tcPr>
            <w:tcW w:w="2880" w:type="dxa"/>
            <w:vMerge/>
            <w:vAlign w:val="center"/>
          </w:tcPr>
          <w:p w14:paraId="163C7ECE"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bl>
    <w:p w14:paraId="08F5EF48" w14:textId="578FD88F" w:rsidR="00DA5F41" w:rsidRDefault="00DA5F41" w:rsidP="007949C3">
      <w:pPr>
        <w:adjustRightInd w:val="0"/>
        <w:snapToGrid w:val="0"/>
        <w:spacing w:line="360" w:lineRule="auto"/>
        <w:jc w:val="both"/>
        <w:rPr>
          <w:rFonts w:ascii="Book Antiqua" w:hAnsi="Book Antiqua"/>
        </w:rPr>
      </w:pPr>
    </w:p>
    <w:p w14:paraId="4473CEC6" w14:textId="77777777" w:rsidR="00DA5F41" w:rsidRDefault="00DA5F41">
      <w:pPr>
        <w:rPr>
          <w:rFonts w:ascii="Book Antiqua" w:hAnsi="Book Antiqua"/>
        </w:rPr>
      </w:pPr>
      <w:r>
        <w:rPr>
          <w:rFonts w:ascii="Book Antiqua" w:hAnsi="Book Antiqua"/>
        </w:rPr>
        <w:br w:type="page"/>
      </w:r>
    </w:p>
    <w:p w14:paraId="529682B4" w14:textId="77777777" w:rsidR="00DA5F41" w:rsidRDefault="00DA5F41" w:rsidP="00DA5F41">
      <w:pPr>
        <w:jc w:val="center"/>
        <w:rPr>
          <w:rFonts w:ascii="Book Antiqua" w:hAnsi="Book Antiqua"/>
          <w:lang w:eastAsia="zh-CN"/>
        </w:rPr>
      </w:pPr>
    </w:p>
    <w:p w14:paraId="732124AE" w14:textId="77777777" w:rsidR="00DA5F41" w:rsidRDefault="00DA5F41" w:rsidP="00DA5F41">
      <w:pPr>
        <w:jc w:val="center"/>
        <w:rPr>
          <w:rFonts w:ascii="Book Antiqua" w:hAnsi="Book Antiqua"/>
          <w:lang w:eastAsia="zh-CN"/>
        </w:rPr>
      </w:pPr>
    </w:p>
    <w:p w14:paraId="598919A0" w14:textId="77777777" w:rsidR="00DA5F41" w:rsidRDefault="00DA5F41" w:rsidP="00DA5F41">
      <w:pPr>
        <w:jc w:val="center"/>
        <w:rPr>
          <w:rFonts w:ascii="Book Antiqua" w:hAnsi="Book Antiqua"/>
          <w:lang w:eastAsia="zh-CN"/>
        </w:rPr>
      </w:pPr>
    </w:p>
    <w:p w14:paraId="7BA8F70C" w14:textId="77777777" w:rsidR="00DA5F41" w:rsidRDefault="00DA5F41" w:rsidP="00DA5F41">
      <w:pPr>
        <w:jc w:val="center"/>
        <w:rPr>
          <w:rFonts w:ascii="Book Antiqua" w:hAnsi="Book Antiqua"/>
          <w:lang w:eastAsia="zh-CN"/>
        </w:rPr>
      </w:pPr>
    </w:p>
    <w:p w14:paraId="1C1A8517" w14:textId="77777777" w:rsidR="00DA5F41" w:rsidRDefault="00DA5F41" w:rsidP="00DA5F41">
      <w:pPr>
        <w:jc w:val="center"/>
        <w:rPr>
          <w:rFonts w:ascii="Book Antiqua" w:hAnsi="Book Antiqua"/>
          <w:lang w:eastAsia="zh-CN"/>
        </w:rPr>
      </w:pPr>
    </w:p>
    <w:p w14:paraId="40709541" w14:textId="77777777" w:rsidR="00DA5F41" w:rsidRDefault="00DA5F41" w:rsidP="00DA5F41">
      <w:pPr>
        <w:jc w:val="center"/>
        <w:rPr>
          <w:rFonts w:ascii="Book Antiqua" w:hAnsi="Book Antiqua"/>
          <w:lang w:eastAsia="zh-CN"/>
        </w:rPr>
      </w:pPr>
      <w:r>
        <w:rPr>
          <w:rFonts w:ascii="Book Antiqua" w:hAnsi="Book Antiqua"/>
          <w:noProof/>
          <w:lang w:eastAsia="zh-CN"/>
        </w:rPr>
        <w:drawing>
          <wp:inline distT="0" distB="0" distL="0" distR="0" wp14:anchorId="2CE466F4" wp14:editId="514E6E8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A1AA68C" w14:textId="77777777" w:rsidR="00DA5F41" w:rsidRDefault="00DA5F41" w:rsidP="00DA5F41">
      <w:pPr>
        <w:jc w:val="center"/>
        <w:rPr>
          <w:rFonts w:ascii="Book Antiqua" w:hAnsi="Book Antiqua"/>
          <w:lang w:eastAsia="zh-CN"/>
        </w:rPr>
      </w:pPr>
    </w:p>
    <w:p w14:paraId="2B740AB9" w14:textId="77777777" w:rsidR="00DA5F41" w:rsidRPr="00763D22" w:rsidRDefault="00DA5F41" w:rsidP="00DA5F4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DCC2816" w14:textId="77777777" w:rsidR="00DA5F41" w:rsidRPr="00763D22" w:rsidRDefault="00DA5F41" w:rsidP="00DA5F4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C2A9568" w14:textId="77777777" w:rsidR="00DA5F41" w:rsidRPr="00763D22" w:rsidRDefault="00DA5F41" w:rsidP="00DA5F4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8B28036" w14:textId="77777777" w:rsidR="00DA5F41" w:rsidRPr="00763D22" w:rsidRDefault="00DA5F41" w:rsidP="00DA5F4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2ED71C3" w14:textId="77777777" w:rsidR="00DA5F41" w:rsidRPr="00763D22" w:rsidRDefault="00DA5F41" w:rsidP="00DA5F4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A31E6A8" w14:textId="77777777" w:rsidR="00DA5F41" w:rsidRPr="00763D22" w:rsidRDefault="00DA5F41" w:rsidP="00DA5F4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76AAA4E" w14:textId="77777777" w:rsidR="00DA5F41" w:rsidRDefault="00DA5F41" w:rsidP="00DA5F41">
      <w:pPr>
        <w:jc w:val="center"/>
        <w:rPr>
          <w:rFonts w:ascii="Book Antiqua" w:hAnsi="Book Antiqua"/>
          <w:lang w:eastAsia="zh-CN"/>
        </w:rPr>
      </w:pPr>
    </w:p>
    <w:p w14:paraId="721432B2" w14:textId="77777777" w:rsidR="00DA5F41" w:rsidRDefault="00DA5F41" w:rsidP="00DA5F41">
      <w:pPr>
        <w:jc w:val="center"/>
        <w:rPr>
          <w:rFonts w:ascii="Book Antiqua" w:hAnsi="Book Antiqua"/>
          <w:lang w:eastAsia="zh-CN"/>
        </w:rPr>
      </w:pPr>
    </w:p>
    <w:p w14:paraId="0BE9D7FE" w14:textId="77777777" w:rsidR="00DA5F41" w:rsidRDefault="00DA5F41" w:rsidP="00DA5F41">
      <w:pPr>
        <w:jc w:val="center"/>
        <w:rPr>
          <w:rFonts w:ascii="Book Antiqua" w:hAnsi="Book Antiqua"/>
          <w:lang w:eastAsia="zh-CN"/>
        </w:rPr>
      </w:pPr>
    </w:p>
    <w:p w14:paraId="250FF262" w14:textId="77777777" w:rsidR="00DA5F41" w:rsidRDefault="00DA5F41" w:rsidP="00DA5F41">
      <w:pPr>
        <w:jc w:val="center"/>
        <w:rPr>
          <w:rFonts w:ascii="Book Antiqua" w:hAnsi="Book Antiqua"/>
          <w:lang w:eastAsia="zh-CN"/>
        </w:rPr>
      </w:pPr>
      <w:r>
        <w:rPr>
          <w:rFonts w:ascii="Book Antiqua" w:hAnsi="Book Antiqua"/>
          <w:noProof/>
          <w:lang w:eastAsia="zh-CN"/>
        </w:rPr>
        <w:drawing>
          <wp:inline distT="0" distB="0" distL="0" distR="0" wp14:anchorId="48F2898E" wp14:editId="1B93F0F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FD25B89" w14:textId="77777777" w:rsidR="00DA5F41" w:rsidRDefault="00DA5F41" w:rsidP="00DA5F41">
      <w:pPr>
        <w:jc w:val="center"/>
        <w:rPr>
          <w:rFonts w:ascii="Book Antiqua" w:hAnsi="Book Antiqua"/>
          <w:lang w:eastAsia="zh-CN"/>
        </w:rPr>
      </w:pPr>
    </w:p>
    <w:p w14:paraId="740E90FA" w14:textId="77777777" w:rsidR="00DA5F41" w:rsidRDefault="00DA5F41" w:rsidP="00DA5F41">
      <w:pPr>
        <w:jc w:val="center"/>
        <w:rPr>
          <w:rFonts w:ascii="Book Antiqua" w:hAnsi="Book Antiqua"/>
          <w:lang w:eastAsia="zh-CN"/>
        </w:rPr>
      </w:pPr>
    </w:p>
    <w:p w14:paraId="6DDCAA8C" w14:textId="77777777" w:rsidR="00DA5F41" w:rsidRDefault="00DA5F41" w:rsidP="00DA5F41">
      <w:pPr>
        <w:jc w:val="center"/>
        <w:rPr>
          <w:rFonts w:ascii="Book Antiqua" w:hAnsi="Book Antiqua"/>
          <w:lang w:eastAsia="zh-CN"/>
        </w:rPr>
      </w:pPr>
    </w:p>
    <w:p w14:paraId="4587B412" w14:textId="77777777" w:rsidR="00DA5F41" w:rsidRDefault="00DA5F41" w:rsidP="00DA5F41">
      <w:pPr>
        <w:jc w:val="center"/>
        <w:rPr>
          <w:rFonts w:ascii="Book Antiqua" w:hAnsi="Book Antiqua"/>
          <w:lang w:eastAsia="zh-CN"/>
        </w:rPr>
      </w:pPr>
    </w:p>
    <w:p w14:paraId="0213F015" w14:textId="77777777" w:rsidR="00DA5F41" w:rsidRDefault="00DA5F41" w:rsidP="00DA5F41">
      <w:pPr>
        <w:jc w:val="center"/>
        <w:rPr>
          <w:rFonts w:ascii="Book Antiqua" w:hAnsi="Book Antiqua"/>
          <w:lang w:eastAsia="zh-CN"/>
        </w:rPr>
      </w:pPr>
    </w:p>
    <w:p w14:paraId="51EE0B6D" w14:textId="77777777" w:rsidR="00DA5F41" w:rsidRDefault="00DA5F41" w:rsidP="00DA5F41">
      <w:pPr>
        <w:jc w:val="center"/>
        <w:rPr>
          <w:rFonts w:ascii="Book Antiqua" w:hAnsi="Book Antiqua"/>
          <w:lang w:eastAsia="zh-CN"/>
        </w:rPr>
      </w:pPr>
    </w:p>
    <w:p w14:paraId="34393E7A" w14:textId="77777777" w:rsidR="00DA5F41" w:rsidRDefault="00DA5F41" w:rsidP="00DA5F41">
      <w:pPr>
        <w:jc w:val="center"/>
        <w:rPr>
          <w:rFonts w:ascii="Book Antiqua" w:hAnsi="Book Antiqua"/>
          <w:lang w:eastAsia="zh-CN"/>
        </w:rPr>
      </w:pPr>
    </w:p>
    <w:p w14:paraId="131E8BB1" w14:textId="77777777" w:rsidR="00DA5F41" w:rsidRDefault="00DA5F41" w:rsidP="00DA5F41">
      <w:pPr>
        <w:jc w:val="center"/>
        <w:rPr>
          <w:rFonts w:ascii="Book Antiqua" w:hAnsi="Book Antiqua"/>
          <w:lang w:eastAsia="zh-CN"/>
        </w:rPr>
      </w:pPr>
    </w:p>
    <w:p w14:paraId="15E1AFB7" w14:textId="77777777" w:rsidR="00DA5F41" w:rsidRDefault="00DA5F41" w:rsidP="00DA5F41">
      <w:pPr>
        <w:jc w:val="center"/>
        <w:rPr>
          <w:rFonts w:ascii="Book Antiqua" w:hAnsi="Book Antiqua"/>
          <w:lang w:eastAsia="zh-CN"/>
        </w:rPr>
      </w:pPr>
    </w:p>
    <w:p w14:paraId="0E1EAB9E" w14:textId="77777777" w:rsidR="00DA5F41" w:rsidRPr="00763D22" w:rsidRDefault="00DA5F41" w:rsidP="00DA5F41">
      <w:pPr>
        <w:jc w:val="right"/>
        <w:rPr>
          <w:rFonts w:ascii="Book Antiqua" w:hAnsi="Book Antiqua"/>
          <w:color w:val="000000" w:themeColor="text1"/>
          <w:lang w:eastAsia="zh-CN"/>
        </w:rPr>
      </w:pPr>
    </w:p>
    <w:p w14:paraId="49AA7F59" w14:textId="77777777" w:rsidR="00DA5F41" w:rsidRPr="00763D22" w:rsidRDefault="00DA5F41" w:rsidP="00DA5F4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89A6E8C" w14:textId="77777777" w:rsidR="00A77B3E" w:rsidRPr="007949C3" w:rsidRDefault="00A77B3E" w:rsidP="007949C3">
      <w:pPr>
        <w:adjustRightInd w:val="0"/>
        <w:snapToGrid w:val="0"/>
        <w:spacing w:line="360" w:lineRule="auto"/>
        <w:jc w:val="both"/>
        <w:rPr>
          <w:rFonts w:ascii="Book Antiqua" w:hAnsi="Book Antiqua"/>
        </w:rPr>
      </w:pPr>
      <w:bookmarkStart w:id="2" w:name="_GoBack"/>
      <w:bookmarkEnd w:id="2"/>
    </w:p>
    <w:sectPr w:rsidR="00A77B3E" w:rsidRPr="007949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711ED6" w14:textId="77777777" w:rsidR="00EB53D1" w:rsidRDefault="00EB53D1" w:rsidP="008E40A8">
      <w:r>
        <w:separator/>
      </w:r>
    </w:p>
  </w:endnote>
  <w:endnote w:type="continuationSeparator" w:id="0">
    <w:p w14:paraId="23891911" w14:textId="77777777" w:rsidR="00EB53D1" w:rsidRDefault="00EB53D1" w:rsidP="008E4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396996"/>
      <w:docPartObj>
        <w:docPartGallery w:val="Page Numbers (Bottom of Page)"/>
        <w:docPartUnique/>
      </w:docPartObj>
    </w:sdtPr>
    <w:sdtEndPr/>
    <w:sdtContent>
      <w:sdt>
        <w:sdtPr>
          <w:id w:val="-1705238520"/>
          <w:docPartObj>
            <w:docPartGallery w:val="Page Numbers (Top of Page)"/>
            <w:docPartUnique/>
          </w:docPartObj>
        </w:sdtPr>
        <w:sdtEndPr/>
        <w:sdtContent>
          <w:p w14:paraId="4982E040" w14:textId="3DA67676" w:rsidR="00642612" w:rsidRDefault="00642612" w:rsidP="002312A4">
            <w:pPr>
              <w:pStyle w:val="a4"/>
              <w:jc w:val="right"/>
            </w:pPr>
            <w:r w:rsidRPr="002312A4">
              <w:rPr>
                <w:rFonts w:ascii="Book Antiqua" w:hAnsi="Book Antiqua"/>
                <w:sz w:val="24"/>
                <w:szCs w:val="24"/>
                <w:lang w:val="zh-CN" w:eastAsia="zh-CN"/>
              </w:rPr>
              <w:t xml:space="preserve"> </w:t>
            </w:r>
            <w:r w:rsidRPr="002312A4">
              <w:rPr>
                <w:rFonts w:ascii="Book Antiqua" w:hAnsi="Book Antiqua"/>
                <w:b/>
                <w:bCs/>
                <w:sz w:val="24"/>
                <w:szCs w:val="24"/>
              </w:rPr>
              <w:fldChar w:fldCharType="begin"/>
            </w:r>
            <w:r w:rsidRPr="002312A4">
              <w:rPr>
                <w:rFonts w:ascii="Book Antiqua" w:hAnsi="Book Antiqua"/>
                <w:b/>
                <w:bCs/>
                <w:sz w:val="24"/>
                <w:szCs w:val="24"/>
              </w:rPr>
              <w:instrText>PAGE</w:instrText>
            </w:r>
            <w:r w:rsidRPr="002312A4">
              <w:rPr>
                <w:rFonts w:ascii="Book Antiqua" w:hAnsi="Book Antiqua"/>
                <w:b/>
                <w:bCs/>
                <w:sz w:val="24"/>
                <w:szCs w:val="24"/>
              </w:rPr>
              <w:fldChar w:fldCharType="separate"/>
            </w:r>
            <w:r w:rsidR="00EB53D1">
              <w:rPr>
                <w:rFonts w:ascii="Book Antiqua" w:hAnsi="Book Antiqua"/>
                <w:b/>
                <w:bCs/>
                <w:noProof/>
                <w:sz w:val="24"/>
                <w:szCs w:val="24"/>
              </w:rPr>
              <w:t>1</w:t>
            </w:r>
            <w:r w:rsidRPr="002312A4">
              <w:rPr>
                <w:rFonts w:ascii="Book Antiqua" w:hAnsi="Book Antiqua"/>
                <w:b/>
                <w:bCs/>
                <w:sz w:val="24"/>
                <w:szCs w:val="24"/>
              </w:rPr>
              <w:fldChar w:fldCharType="end"/>
            </w:r>
            <w:r w:rsidRPr="002312A4">
              <w:rPr>
                <w:rFonts w:ascii="Book Antiqua" w:hAnsi="Book Antiqua"/>
                <w:sz w:val="24"/>
                <w:szCs w:val="24"/>
                <w:lang w:val="zh-CN" w:eastAsia="zh-CN"/>
              </w:rPr>
              <w:t xml:space="preserve"> / </w:t>
            </w:r>
            <w:r w:rsidRPr="002312A4">
              <w:rPr>
                <w:rFonts w:ascii="Book Antiqua" w:hAnsi="Book Antiqua"/>
                <w:b/>
                <w:bCs/>
                <w:sz w:val="24"/>
                <w:szCs w:val="24"/>
              </w:rPr>
              <w:fldChar w:fldCharType="begin"/>
            </w:r>
            <w:r w:rsidRPr="002312A4">
              <w:rPr>
                <w:rFonts w:ascii="Book Antiqua" w:hAnsi="Book Antiqua"/>
                <w:b/>
                <w:bCs/>
                <w:sz w:val="24"/>
                <w:szCs w:val="24"/>
              </w:rPr>
              <w:instrText>NUMPAGES</w:instrText>
            </w:r>
            <w:r w:rsidRPr="002312A4">
              <w:rPr>
                <w:rFonts w:ascii="Book Antiqua" w:hAnsi="Book Antiqua"/>
                <w:b/>
                <w:bCs/>
                <w:sz w:val="24"/>
                <w:szCs w:val="24"/>
              </w:rPr>
              <w:fldChar w:fldCharType="separate"/>
            </w:r>
            <w:r w:rsidR="00EB53D1">
              <w:rPr>
                <w:rFonts w:ascii="Book Antiqua" w:hAnsi="Book Antiqua"/>
                <w:b/>
                <w:bCs/>
                <w:noProof/>
                <w:sz w:val="24"/>
                <w:szCs w:val="24"/>
              </w:rPr>
              <w:t>1</w:t>
            </w:r>
            <w:r w:rsidRPr="002312A4">
              <w:rPr>
                <w:rFonts w:ascii="Book Antiqua" w:hAnsi="Book Antiqua"/>
                <w:b/>
                <w:bCs/>
                <w:sz w:val="24"/>
                <w:szCs w:val="24"/>
              </w:rPr>
              <w:fldChar w:fldCharType="end"/>
            </w:r>
          </w:p>
        </w:sdtContent>
      </w:sdt>
    </w:sdtContent>
  </w:sdt>
  <w:p w14:paraId="689A49CD" w14:textId="77777777" w:rsidR="00642612" w:rsidRDefault="0064261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9C45B5" w14:textId="77777777" w:rsidR="00EB53D1" w:rsidRDefault="00EB53D1" w:rsidP="008E40A8">
      <w:r>
        <w:separator/>
      </w:r>
    </w:p>
  </w:footnote>
  <w:footnote w:type="continuationSeparator" w:id="0">
    <w:p w14:paraId="7C0B71D6" w14:textId="77777777" w:rsidR="00EB53D1" w:rsidRDefault="00EB53D1" w:rsidP="008E40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45CF"/>
    <w:rsid w:val="000411D3"/>
    <w:rsid w:val="000858BD"/>
    <w:rsid w:val="002312A4"/>
    <w:rsid w:val="002F3BD4"/>
    <w:rsid w:val="0033097C"/>
    <w:rsid w:val="00466E22"/>
    <w:rsid w:val="00501ADC"/>
    <w:rsid w:val="005D3F12"/>
    <w:rsid w:val="00642612"/>
    <w:rsid w:val="006C2156"/>
    <w:rsid w:val="006E3DB1"/>
    <w:rsid w:val="007531EC"/>
    <w:rsid w:val="007949C3"/>
    <w:rsid w:val="007961A8"/>
    <w:rsid w:val="00837CD5"/>
    <w:rsid w:val="008C7AE1"/>
    <w:rsid w:val="008E40A8"/>
    <w:rsid w:val="00906982"/>
    <w:rsid w:val="00916333"/>
    <w:rsid w:val="0095471E"/>
    <w:rsid w:val="00A77B3E"/>
    <w:rsid w:val="00AD0BCC"/>
    <w:rsid w:val="00AD3C1B"/>
    <w:rsid w:val="00B73630"/>
    <w:rsid w:val="00BC3711"/>
    <w:rsid w:val="00C05BFC"/>
    <w:rsid w:val="00CA2A55"/>
    <w:rsid w:val="00D00C68"/>
    <w:rsid w:val="00DA5F41"/>
    <w:rsid w:val="00E40362"/>
    <w:rsid w:val="00E62D5E"/>
    <w:rsid w:val="00EB53D1"/>
    <w:rsid w:val="00F34AED"/>
    <w:rsid w:val="00FC6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7E7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E40A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E40A8"/>
    <w:rPr>
      <w:sz w:val="18"/>
      <w:szCs w:val="18"/>
    </w:rPr>
  </w:style>
  <w:style w:type="paragraph" w:styleId="a4">
    <w:name w:val="footer"/>
    <w:basedOn w:val="a"/>
    <w:link w:val="Char0"/>
    <w:uiPriority w:val="99"/>
    <w:unhideWhenUsed/>
    <w:rsid w:val="008E40A8"/>
    <w:pPr>
      <w:tabs>
        <w:tab w:val="center" w:pos="4153"/>
        <w:tab w:val="right" w:pos="8306"/>
      </w:tabs>
      <w:snapToGrid w:val="0"/>
    </w:pPr>
    <w:rPr>
      <w:sz w:val="18"/>
      <w:szCs w:val="18"/>
    </w:rPr>
  </w:style>
  <w:style w:type="character" w:customStyle="1" w:styleId="Char0">
    <w:name w:val="页脚 Char"/>
    <w:basedOn w:val="a0"/>
    <w:link w:val="a4"/>
    <w:uiPriority w:val="99"/>
    <w:rsid w:val="008E40A8"/>
    <w:rPr>
      <w:sz w:val="18"/>
      <w:szCs w:val="18"/>
    </w:rPr>
  </w:style>
  <w:style w:type="table" w:styleId="a5">
    <w:name w:val="Table Grid"/>
    <w:basedOn w:val="a1"/>
    <w:uiPriority w:val="39"/>
    <w:qFormat/>
    <w:rsid w:val="007949C3"/>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33097C"/>
    <w:rPr>
      <w:sz w:val="18"/>
      <w:szCs w:val="18"/>
    </w:rPr>
  </w:style>
  <w:style w:type="character" w:customStyle="1" w:styleId="Char1">
    <w:name w:val="批注框文本 Char"/>
    <w:basedOn w:val="a0"/>
    <w:link w:val="a6"/>
    <w:rsid w:val="0033097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E40A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E40A8"/>
    <w:rPr>
      <w:sz w:val="18"/>
      <w:szCs w:val="18"/>
    </w:rPr>
  </w:style>
  <w:style w:type="paragraph" w:styleId="a4">
    <w:name w:val="footer"/>
    <w:basedOn w:val="a"/>
    <w:link w:val="Char0"/>
    <w:uiPriority w:val="99"/>
    <w:unhideWhenUsed/>
    <w:rsid w:val="008E40A8"/>
    <w:pPr>
      <w:tabs>
        <w:tab w:val="center" w:pos="4153"/>
        <w:tab w:val="right" w:pos="8306"/>
      </w:tabs>
      <w:snapToGrid w:val="0"/>
    </w:pPr>
    <w:rPr>
      <w:sz w:val="18"/>
      <w:szCs w:val="18"/>
    </w:rPr>
  </w:style>
  <w:style w:type="character" w:customStyle="1" w:styleId="Char0">
    <w:name w:val="页脚 Char"/>
    <w:basedOn w:val="a0"/>
    <w:link w:val="a4"/>
    <w:uiPriority w:val="99"/>
    <w:rsid w:val="008E40A8"/>
    <w:rPr>
      <w:sz w:val="18"/>
      <w:szCs w:val="18"/>
    </w:rPr>
  </w:style>
  <w:style w:type="table" w:styleId="a5">
    <w:name w:val="Table Grid"/>
    <w:basedOn w:val="a1"/>
    <w:uiPriority w:val="39"/>
    <w:qFormat/>
    <w:rsid w:val="007949C3"/>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33097C"/>
    <w:rPr>
      <w:sz w:val="18"/>
      <w:szCs w:val="18"/>
    </w:rPr>
  </w:style>
  <w:style w:type="character" w:customStyle="1" w:styleId="Char1">
    <w:name w:val="批注框文本 Char"/>
    <w:basedOn w:val="a0"/>
    <w:link w:val="a6"/>
    <w:rsid w:val="0033097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678</TotalTime>
  <Pages>32</Pages>
  <Words>4983</Words>
  <Characters>28407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13</cp:revision>
  <dcterms:created xsi:type="dcterms:W3CDTF">2021-03-25T17:07:00Z</dcterms:created>
  <dcterms:modified xsi:type="dcterms:W3CDTF">2021-05-07T07:56:00Z</dcterms:modified>
</cp:coreProperties>
</file>