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2D4ED"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 xml:space="preserve">Name of Journal: </w:t>
      </w:r>
      <w:r w:rsidRPr="00F4426B">
        <w:rPr>
          <w:rFonts w:ascii="Book Antiqua" w:eastAsia="Book Antiqua" w:hAnsi="Book Antiqua" w:cs="Book Antiqua"/>
          <w:i/>
          <w:color w:val="000000"/>
        </w:rPr>
        <w:t>World Journal of Clinical Cases</w:t>
      </w:r>
    </w:p>
    <w:p w14:paraId="5EBF56FF"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 xml:space="preserve">Manuscript NO: </w:t>
      </w:r>
      <w:r w:rsidRPr="00F4426B">
        <w:rPr>
          <w:rFonts w:ascii="Book Antiqua" w:eastAsia="Book Antiqua" w:hAnsi="Book Antiqua" w:cs="Book Antiqua"/>
          <w:color w:val="000000"/>
        </w:rPr>
        <w:t>64082</w:t>
      </w:r>
    </w:p>
    <w:p w14:paraId="6D7958BD"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 xml:space="preserve">Manuscript Type: </w:t>
      </w:r>
      <w:r w:rsidRPr="00F4426B">
        <w:rPr>
          <w:rFonts w:ascii="Book Antiqua" w:eastAsia="Book Antiqua" w:hAnsi="Book Antiqua" w:cs="Book Antiqua"/>
          <w:color w:val="000000"/>
        </w:rPr>
        <w:t>CASE REPORT</w:t>
      </w:r>
    </w:p>
    <w:p w14:paraId="634E3E46" w14:textId="77777777" w:rsidR="00A77B3E" w:rsidRPr="00F4426B" w:rsidRDefault="00A77B3E" w:rsidP="00D66732">
      <w:pPr>
        <w:spacing w:line="360" w:lineRule="auto"/>
        <w:jc w:val="both"/>
        <w:rPr>
          <w:rFonts w:ascii="Book Antiqua" w:hAnsi="Book Antiqua"/>
        </w:rPr>
      </w:pPr>
    </w:p>
    <w:p w14:paraId="4BB7E7C2" w14:textId="322E61A8"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Low symptomatic COVID-19 in</w:t>
      </w:r>
      <w:r w:rsidR="00D66732" w:rsidRPr="00F4426B">
        <w:rPr>
          <w:rFonts w:ascii="Book Antiqua" w:eastAsia="Book Antiqua" w:hAnsi="Book Antiqua" w:cs="Book Antiqua"/>
          <w:b/>
          <w:color w:val="000000"/>
        </w:rPr>
        <w:t xml:space="preserve"> an</w:t>
      </w:r>
      <w:r w:rsidRPr="00F4426B">
        <w:rPr>
          <w:rFonts w:ascii="Book Antiqua" w:eastAsia="Book Antiqua" w:hAnsi="Book Antiqua" w:cs="Book Antiqua"/>
          <w:b/>
          <w:color w:val="000000"/>
        </w:rPr>
        <w:t xml:space="preserve"> elderly patient with follicular lymphoma treated with rituximab-based immunotherapy: A case report</w:t>
      </w:r>
    </w:p>
    <w:p w14:paraId="6942DFA1" w14:textId="77777777" w:rsidR="00A77B3E" w:rsidRPr="00F4426B" w:rsidRDefault="00A77B3E" w:rsidP="00D66732">
      <w:pPr>
        <w:spacing w:line="360" w:lineRule="auto"/>
        <w:jc w:val="both"/>
        <w:rPr>
          <w:rFonts w:ascii="Book Antiqua" w:hAnsi="Book Antiqua"/>
        </w:rPr>
      </w:pPr>
    </w:p>
    <w:p w14:paraId="458A21BE" w14:textId="14B7BC54" w:rsidR="00A77B3E" w:rsidRPr="00F4426B" w:rsidRDefault="0010133C" w:rsidP="00D66732">
      <w:pPr>
        <w:spacing w:line="360" w:lineRule="auto"/>
        <w:jc w:val="both"/>
        <w:rPr>
          <w:rFonts w:ascii="Book Antiqua" w:hAnsi="Book Antiqua"/>
        </w:rPr>
      </w:pPr>
      <w:r w:rsidRPr="00F4426B">
        <w:rPr>
          <w:rFonts w:ascii="Book Antiqua" w:eastAsia="Book Antiqua" w:hAnsi="Book Antiqua" w:cs="Book Antiqua"/>
          <w:color w:val="000000"/>
        </w:rPr>
        <w:t xml:space="preserve">Łącki S </w:t>
      </w:r>
      <w:r w:rsidRPr="00F4426B">
        <w:rPr>
          <w:rFonts w:ascii="Book Antiqua" w:eastAsia="Book Antiqua" w:hAnsi="Book Antiqua" w:cs="Book Antiqua"/>
          <w:i/>
          <w:iCs/>
          <w:color w:val="000000"/>
        </w:rPr>
        <w:t>et al</w:t>
      </w:r>
      <w:r w:rsidRPr="00F4426B">
        <w:rPr>
          <w:rFonts w:ascii="Book Antiqua" w:eastAsia="Book Antiqua" w:hAnsi="Book Antiqua" w:cs="Book Antiqua"/>
          <w:color w:val="000000"/>
        </w:rPr>
        <w:t xml:space="preserve">. </w:t>
      </w:r>
      <w:r w:rsidR="007E015A" w:rsidRPr="00F4426B">
        <w:rPr>
          <w:rFonts w:ascii="Book Antiqua" w:eastAsia="Book Antiqua" w:hAnsi="Book Antiqua" w:cs="Book Antiqua"/>
          <w:color w:val="000000"/>
        </w:rPr>
        <w:t>COVID-19 during oncological treatment with rituximab</w:t>
      </w:r>
    </w:p>
    <w:p w14:paraId="5F3D5255" w14:textId="77777777" w:rsidR="00A77B3E" w:rsidRPr="00F4426B" w:rsidRDefault="00A77B3E" w:rsidP="00D66732">
      <w:pPr>
        <w:spacing w:line="360" w:lineRule="auto"/>
        <w:jc w:val="both"/>
        <w:rPr>
          <w:rFonts w:ascii="Book Antiqua" w:hAnsi="Book Antiqua"/>
        </w:rPr>
      </w:pPr>
    </w:p>
    <w:p w14:paraId="4E8C7EB0" w14:textId="77777777" w:rsidR="00A77B3E" w:rsidRPr="00F4426B" w:rsidRDefault="007E015A" w:rsidP="00D66732">
      <w:pPr>
        <w:spacing w:line="360" w:lineRule="auto"/>
        <w:jc w:val="both"/>
        <w:rPr>
          <w:rFonts w:ascii="Book Antiqua" w:hAnsi="Book Antiqua"/>
          <w:lang w:val="pl-PL"/>
        </w:rPr>
      </w:pPr>
      <w:r w:rsidRPr="00F4426B">
        <w:rPr>
          <w:rFonts w:ascii="Book Antiqua" w:eastAsia="Book Antiqua" w:hAnsi="Book Antiqua" w:cs="Book Antiqua"/>
          <w:color w:val="000000"/>
          <w:lang w:val="pl-PL"/>
        </w:rPr>
        <w:t>Stanisław Łącki, Kinga Wyżgolik, Michał Nicze, Sylwia Georgiew-Nadziakiewicz, Jerzy Chudek, Kamil Wdowiak</w:t>
      </w:r>
    </w:p>
    <w:p w14:paraId="7EE510C8" w14:textId="77777777" w:rsidR="00A77B3E" w:rsidRPr="00F4426B" w:rsidRDefault="00A77B3E" w:rsidP="00D66732">
      <w:pPr>
        <w:spacing w:line="360" w:lineRule="auto"/>
        <w:jc w:val="both"/>
        <w:rPr>
          <w:rFonts w:ascii="Book Antiqua" w:hAnsi="Book Antiqua"/>
          <w:lang w:val="pl-PL"/>
        </w:rPr>
      </w:pPr>
    </w:p>
    <w:p w14:paraId="34C1C99C"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Stanisław Łącki, Kinga Wyżgolik, Michał Nicze, Jerzy Chudek, Kamil Wdowiak, </w:t>
      </w:r>
      <w:r w:rsidRPr="00F4426B">
        <w:rPr>
          <w:rFonts w:ascii="Book Antiqua" w:eastAsia="Book Antiqua" w:hAnsi="Book Antiqua" w:cs="Book Antiqua"/>
          <w:color w:val="000000"/>
        </w:rPr>
        <w:t>Department of Internal Diseases and Oncological Chemotherapy, Medical University of Silesia, Katowice 40-027, Silesian Voivodeship, Poland</w:t>
      </w:r>
    </w:p>
    <w:p w14:paraId="09603061" w14:textId="77777777" w:rsidR="00A77B3E" w:rsidRPr="00F4426B" w:rsidRDefault="00A77B3E" w:rsidP="00D66732">
      <w:pPr>
        <w:spacing w:line="360" w:lineRule="auto"/>
        <w:jc w:val="both"/>
        <w:rPr>
          <w:rFonts w:ascii="Book Antiqua" w:hAnsi="Book Antiqua"/>
        </w:rPr>
      </w:pPr>
    </w:p>
    <w:p w14:paraId="4A2CB063"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Sylwia Georgiew-Nadziakiewicz, </w:t>
      </w:r>
      <w:r w:rsidRPr="00F4426B">
        <w:rPr>
          <w:rFonts w:ascii="Book Antiqua" w:eastAsia="Book Antiqua" w:hAnsi="Book Antiqua" w:cs="Book Antiqua"/>
          <w:color w:val="000000"/>
        </w:rPr>
        <w:t>Imaging and Isotope Diagnostics Department, Chorzów General Hospital, Chorzów 41-500, Silesian Voivodeship, Poland</w:t>
      </w:r>
    </w:p>
    <w:p w14:paraId="2F7793D1" w14:textId="77777777" w:rsidR="00A77B3E" w:rsidRPr="00F4426B" w:rsidRDefault="00A77B3E" w:rsidP="00D66732">
      <w:pPr>
        <w:spacing w:line="360" w:lineRule="auto"/>
        <w:jc w:val="both"/>
        <w:rPr>
          <w:rFonts w:ascii="Book Antiqua" w:hAnsi="Book Antiqua"/>
        </w:rPr>
      </w:pPr>
    </w:p>
    <w:p w14:paraId="196E8834" w14:textId="38652706"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Author contributions: </w:t>
      </w:r>
      <w:r w:rsidRPr="00F4426B">
        <w:rPr>
          <w:rFonts w:ascii="Book Antiqua" w:eastAsia="Book Antiqua" w:hAnsi="Book Antiqua" w:cs="Book Antiqua"/>
          <w:color w:val="000000"/>
        </w:rPr>
        <w:t xml:space="preserve">Chudek J and Wdowiak K collected the clinical data; Wyżgolik K, Nicze M and Łącki S designed the case report, reviewed the literature and drafted the manuscript; Georgiew-Nadziakiewicz S performed and interpreted the </w:t>
      </w:r>
      <w:r w:rsidR="0010133C" w:rsidRPr="00F4426B">
        <w:rPr>
          <w:rFonts w:ascii="Book Antiqua" w:eastAsia="Book Antiqua" w:hAnsi="Book Antiqua" w:cs="Book Antiqua"/>
          <w:color w:val="000000"/>
        </w:rPr>
        <w:t xml:space="preserve">positron emission tomography-computed tomography </w:t>
      </w:r>
      <w:r w:rsidRPr="00F4426B">
        <w:rPr>
          <w:rFonts w:ascii="Book Antiqua" w:eastAsia="Book Antiqua" w:hAnsi="Book Antiqua" w:cs="Book Antiqua"/>
          <w:color w:val="000000"/>
        </w:rPr>
        <w:t xml:space="preserve">imaging; Chudek J and Wdowiak K critically reviewed the manuscript; </w:t>
      </w:r>
      <w:r w:rsidR="000B56E9" w:rsidRPr="00F4426B">
        <w:rPr>
          <w:rFonts w:ascii="Book Antiqua" w:eastAsia="Book Antiqua" w:hAnsi="Book Antiqua" w:cs="Book Antiqua"/>
          <w:color w:val="000000"/>
        </w:rPr>
        <w:t>A</w:t>
      </w:r>
      <w:r w:rsidRPr="00F4426B">
        <w:rPr>
          <w:rFonts w:ascii="Book Antiqua" w:eastAsia="Book Antiqua" w:hAnsi="Book Antiqua" w:cs="Book Antiqua"/>
          <w:color w:val="000000"/>
        </w:rPr>
        <w:t>ll authors read and approved the final manuscript.</w:t>
      </w:r>
    </w:p>
    <w:p w14:paraId="406BED1C" w14:textId="77777777" w:rsidR="00A77B3E" w:rsidRPr="00F4426B" w:rsidRDefault="00A77B3E" w:rsidP="00D66732">
      <w:pPr>
        <w:spacing w:line="360" w:lineRule="auto"/>
        <w:jc w:val="both"/>
        <w:rPr>
          <w:rFonts w:ascii="Book Antiqua" w:hAnsi="Book Antiqua"/>
        </w:rPr>
      </w:pPr>
    </w:p>
    <w:p w14:paraId="07742A2F" w14:textId="2C3419A9"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Corresponding author: Stanisław Łącki, </w:t>
      </w:r>
      <w:r w:rsidRPr="00F4426B">
        <w:rPr>
          <w:rFonts w:ascii="Book Antiqua" w:eastAsia="Book Antiqua" w:hAnsi="Book Antiqua" w:cs="Book Antiqua"/>
          <w:color w:val="000000"/>
        </w:rPr>
        <w:t>Department of Internal Diseases and Oncological Chemotherapy, Medical University of Silesia, Reymonta 8, Katowice 40-027, Silesian Voivodeship, Poland. s.lacki@outlook.com</w:t>
      </w:r>
    </w:p>
    <w:p w14:paraId="0E830CD7" w14:textId="77777777" w:rsidR="00A77B3E" w:rsidRPr="00F4426B" w:rsidRDefault="00A77B3E" w:rsidP="00D66732">
      <w:pPr>
        <w:spacing w:line="360" w:lineRule="auto"/>
        <w:jc w:val="both"/>
        <w:rPr>
          <w:rFonts w:ascii="Book Antiqua" w:hAnsi="Book Antiqua"/>
        </w:rPr>
      </w:pPr>
    </w:p>
    <w:p w14:paraId="54905DAF"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lastRenderedPageBreak/>
        <w:t xml:space="preserve">Received: </w:t>
      </w:r>
      <w:r w:rsidRPr="00F4426B">
        <w:rPr>
          <w:rFonts w:ascii="Book Antiqua" w:eastAsia="Book Antiqua" w:hAnsi="Book Antiqua" w:cs="Book Antiqua"/>
          <w:color w:val="000000"/>
        </w:rPr>
        <w:t>February 8, 2021</w:t>
      </w:r>
    </w:p>
    <w:p w14:paraId="4166EAA6"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Revised: </w:t>
      </w:r>
      <w:r w:rsidRPr="00F4426B">
        <w:rPr>
          <w:rFonts w:ascii="Book Antiqua" w:eastAsia="Book Antiqua" w:hAnsi="Book Antiqua" w:cs="Book Antiqua"/>
          <w:color w:val="000000"/>
        </w:rPr>
        <w:t>April 13, 2021</w:t>
      </w:r>
    </w:p>
    <w:p w14:paraId="2444C79C" w14:textId="1930AD6D"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Accepted: </w:t>
      </w:r>
      <w:r w:rsidR="00684332" w:rsidRPr="00F4426B">
        <w:rPr>
          <w:rFonts w:ascii="Book Antiqua" w:eastAsia="Book Antiqua" w:hAnsi="Book Antiqua" w:cs="Book Antiqua"/>
          <w:color w:val="000000"/>
        </w:rPr>
        <w:t>May 6, 2021</w:t>
      </w:r>
    </w:p>
    <w:p w14:paraId="3738EE3F" w14:textId="77777777" w:rsidR="00652087" w:rsidRPr="00F4426B" w:rsidRDefault="007E015A" w:rsidP="00652087">
      <w:pPr>
        <w:spacing w:line="360" w:lineRule="auto"/>
        <w:jc w:val="both"/>
        <w:rPr>
          <w:rFonts w:ascii="Book Antiqua" w:hAnsi="Book Antiqua"/>
        </w:rPr>
      </w:pPr>
      <w:r w:rsidRPr="00F4426B">
        <w:rPr>
          <w:rFonts w:ascii="Book Antiqua" w:eastAsia="Book Antiqua" w:hAnsi="Book Antiqua" w:cs="Book Antiqua"/>
          <w:b/>
          <w:bCs/>
          <w:color w:val="000000"/>
        </w:rPr>
        <w:t xml:space="preserve">Published online: </w:t>
      </w:r>
      <w:r w:rsidR="00652087" w:rsidRPr="00F4426B">
        <w:rPr>
          <w:rFonts w:ascii="Book Antiqua" w:eastAsia="Book Antiqua" w:hAnsi="Book Antiqua" w:cs="Book Antiqua"/>
          <w:bCs/>
          <w:color w:val="000000"/>
        </w:rPr>
        <w:t>June 26, 2021</w:t>
      </w:r>
    </w:p>
    <w:p w14:paraId="7DAA7553" w14:textId="77777777" w:rsidR="00A77B3E" w:rsidRPr="00F4426B" w:rsidRDefault="00A77B3E" w:rsidP="00D66732">
      <w:pPr>
        <w:spacing w:line="360" w:lineRule="auto"/>
        <w:jc w:val="both"/>
        <w:rPr>
          <w:rFonts w:ascii="Book Antiqua" w:hAnsi="Book Antiqua"/>
        </w:rPr>
      </w:pPr>
    </w:p>
    <w:p w14:paraId="0F63E033" w14:textId="77777777" w:rsidR="00A77B3E" w:rsidRPr="00F4426B" w:rsidRDefault="00A77B3E" w:rsidP="00D66732">
      <w:pPr>
        <w:spacing w:line="360" w:lineRule="auto"/>
        <w:jc w:val="both"/>
        <w:rPr>
          <w:rFonts w:ascii="Book Antiqua" w:hAnsi="Book Antiqua"/>
        </w:rPr>
        <w:sectPr w:rsidR="00A77B3E" w:rsidRPr="00F4426B" w:rsidSect="00857428">
          <w:footerReference w:type="default" r:id="rId7"/>
          <w:pgSz w:w="12240" w:h="15840"/>
          <w:pgMar w:top="1440" w:right="1440" w:bottom="1440" w:left="1440" w:header="720" w:footer="720" w:gutter="0"/>
          <w:cols w:space="720"/>
          <w:docGrid w:linePitch="360"/>
        </w:sectPr>
      </w:pPr>
    </w:p>
    <w:p w14:paraId="059CBF80"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Abstract</w:t>
      </w:r>
    </w:p>
    <w:p w14:paraId="696B431A"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BACKGROUND</w:t>
      </w:r>
    </w:p>
    <w:p w14:paraId="52FA1FB9" w14:textId="4C296C24"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Follicular lymphoma is an indolent lymphoma that may progress to a highly aggressive form requiring immunochemotherapy. Most regimens utilize rituximab, an anti-CD20 monoclonal antibody, which may affect the clinical course of novel coronavirus</w:t>
      </w:r>
      <w:r w:rsidR="00D66732"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w:t>
      </w:r>
      <w:r w:rsidR="0010133C" w:rsidRPr="00F4426B">
        <w:rPr>
          <w:rFonts w:ascii="Book Antiqua" w:eastAsia="Book Antiqua" w:hAnsi="Book Antiqua" w:cs="Book Antiqua"/>
          <w:color w:val="000000"/>
        </w:rPr>
        <w:t>severe acute respiratory syndrome coronavirus 2</w:t>
      </w:r>
      <w:r w:rsidRPr="00F4426B">
        <w:rPr>
          <w:rFonts w:ascii="Book Antiqua" w:eastAsia="Book Antiqua" w:hAnsi="Book Antiqua" w:cs="Book Antiqua"/>
          <w:color w:val="000000"/>
        </w:rPr>
        <w:t xml:space="preserve"> infections (</w:t>
      </w:r>
      <w:r w:rsidR="0010133C" w:rsidRPr="00F4426B">
        <w:rPr>
          <w:rFonts w:ascii="Book Antiqua" w:eastAsia="Book Antiqua" w:hAnsi="Book Antiqua" w:cs="Book Antiqua"/>
          <w:color w:val="000000"/>
        </w:rPr>
        <w:t>coronavirus disease 2019</w:t>
      </w:r>
      <w:r w:rsidRPr="00F4426B">
        <w:rPr>
          <w:rFonts w:ascii="Book Antiqua" w:eastAsia="Book Antiqua" w:hAnsi="Book Antiqua" w:cs="Book Antiqua"/>
          <w:color w:val="000000"/>
        </w:rPr>
        <w:t>). Here we describe the first case of</w:t>
      </w:r>
      <w:r w:rsidR="0078481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xml:space="preserve">mild </w:t>
      </w:r>
      <w:r w:rsidR="00D66732" w:rsidRPr="00F4426B">
        <w:rPr>
          <w:rFonts w:ascii="Book Antiqua" w:eastAsia="Book Antiqua" w:hAnsi="Book Antiqua" w:cs="Book Antiqua"/>
          <w:color w:val="000000"/>
        </w:rPr>
        <w:t>coronavirus disease 2019</w:t>
      </w:r>
      <w:r w:rsidRPr="00F4426B">
        <w:rPr>
          <w:rFonts w:ascii="Book Antiqua" w:eastAsia="Book Antiqua" w:hAnsi="Book Antiqua" w:cs="Book Antiqua"/>
          <w:color w:val="000000"/>
        </w:rPr>
        <w:t xml:space="preserve"> during ongoing oncological treatment without significant deterioration after rituximab administration.</w:t>
      </w:r>
    </w:p>
    <w:p w14:paraId="609FEFE5" w14:textId="77777777" w:rsidR="00A77B3E" w:rsidRPr="00F4426B" w:rsidRDefault="00A77B3E" w:rsidP="00D66732">
      <w:pPr>
        <w:spacing w:line="360" w:lineRule="auto"/>
        <w:jc w:val="both"/>
        <w:rPr>
          <w:rFonts w:ascii="Book Antiqua" w:hAnsi="Book Antiqua"/>
        </w:rPr>
      </w:pPr>
    </w:p>
    <w:p w14:paraId="72C30F69"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CASE SUMMARY</w:t>
      </w:r>
    </w:p>
    <w:p w14:paraId="40332C93" w14:textId="2B9813A4"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A 74-year-old female with an enlargement of her right palatine tonsil was diagnosed with </w:t>
      </w:r>
      <w:r w:rsidR="00D66732" w:rsidRPr="00F4426B">
        <w:rPr>
          <w:rFonts w:ascii="Book Antiqua" w:eastAsia="Book Antiqua" w:hAnsi="Book Antiqua" w:cs="Book Antiqua"/>
          <w:color w:val="000000"/>
        </w:rPr>
        <w:t>follicular lymphoma</w:t>
      </w:r>
      <w:r w:rsidRPr="00F4426B">
        <w:rPr>
          <w:rFonts w:ascii="Book Antiqua" w:eastAsia="Book Antiqua" w:hAnsi="Book Antiqua" w:cs="Book Antiqua"/>
          <w:color w:val="000000"/>
        </w:rPr>
        <w:t xml:space="preserve"> following tonsillectomy and started </w:t>
      </w:r>
      <w:r w:rsidR="004D0C50" w:rsidRPr="00F4426B">
        <w:rPr>
          <w:rFonts w:ascii="Book Antiqua" w:eastAsia="Book Antiqua" w:hAnsi="Book Antiqua" w:cs="Book Antiqua"/>
          <w:color w:val="000000"/>
        </w:rPr>
        <w:t>immunochemotherapy</w:t>
      </w:r>
      <w:r w:rsidRPr="00F4426B">
        <w:rPr>
          <w:rFonts w:ascii="Book Antiqua" w:eastAsia="Book Antiqua" w:hAnsi="Book Antiqua" w:cs="Book Antiqua"/>
          <w:color w:val="000000"/>
        </w:rPr>
        <w:t xml:space="preserve"> according to the rituximab, cyclophosphamide, vincristine, prednisone regimen. At home before the</w:t>
      </w:r>
      <w:r w:rsidR="004D0C50" w:rsidRPr="00F4426B">
        <w:rPr>
          <w:rFonts w:ascii="Book Antiqua" w:eastAsia="Book Antiqua" w:hAnsi="Book Antiqua" w:cs="Book Antiqua"/>
          <w:color w:val="000000"/>
        </w:rPr>
        <w:t xml:space="preserve"> fourth </w:t>
      </w:r>
      <w:r w:rsidRPr="00F4426B">
        <w:rPr>
          <w:rFonts w:ascii="Book Antiqua" w:eastAsia="Book Antiqua" w:hAnsi="Book Antiqua" w:cs="Book Antiqua"/>
          <w:color w:val="000000"/>
        </w:rPr>
        <w:t xml:space="preserve">cycle, she developed nonspecific symptoms (excessive fatigue, loss of appetite and nausea), misdiagnosed as adverse effects of chemotherapy. Unexpectedly, interim </w:t>
      </w:r>
      <w:bookmarkStart w:id="0" w:name="_Hlk70675084"/>
      <w:r w:rsidR="0010133C" w:rsidRPr="00F4426B">
        <w:rPr>
          <w:rFonts w:ascii="Book Antiqua" w:eastAsia="Book Antiqua" w:hAnsi="Book Antiqua" w:cs="Book Antiqua"/>
          <w:color w:val="000000"/>
        </w:rPr>
        <w:t>positron emission tomography-computed tomography</w:t>
      </w:r>
      <w:bookmarkEnd w:id="0"/>
      <w:r w:rsidRPr="00F4426B">
        <w:rPr>
          <w:rFonts w:ascii="Book Antiqua" w:eastAsia="Book Antiqua" w:hAnsi="Book Antiqua" w:cs="Book Antiqua"/>
          <w:color w:val="000000"/>
        </w:rPr>
        <w:t xml:space="preserve"> scan, performed shortly before rituximab administration, revealed previously nonexistent pulmonary changes, potentially of infectious etiology. </w:t>
      </w:r>
      <w:r w:rsidR="004D0C50" w:rsidRPr="00F4426B">
        <w:rPr>
          <w:rFonts w:ascii="Book Antiqua" w:eastAsia="Book Antiqua" w:hAnsi="Book Antiqua" w:cs="Book Antiqua"/>
          <w:color w:val="000000"/>
        </w:rPr>
        <w:t>S</w:t>
      </w:r>
      <w:r w:rsidR="00D66732" w:rsidRPr="00F4426B">
        <w:rPr>
          <w:rFonts w:ascii="Book Antiqua" w:eastAsia="Book Antiqua" w:hAnsi="Book Antiqua" w:cs="Book Antiqua"/>
          <w:color w:val="000000"/>
        </w:rPr>
        <w:t>evere acute respiratory syndrome coronavirus 2</w:t>
      </w:r>
      <w:r w:rsidRPr="00F4426B">
        <w:rPr>
          <w:rFonts w:ascii="Book Antiqua" w:eastAsia="Book Antiqua" w:hAnsi="Book Antiqua" w:cs="Book Antiqua"/>
          <w:color w:val="000000"/>
        </w:rPr>
        <w:t xml:space="preserve"> infection was confirmed </w:t>
      </w:r>
      <w:r w:rsidR="004D0C50" w:rsidRPr="00F4426B">
        <w:rPr>
          <w:rFonts w:ascii="Book Antiqua" w:eastAsia="Book Antiqua" w:hAnsi="Book Antiqua" w:cs="Book Antiqua"/>
          <w:color w:val="000000"/>
        </w:rPr>
        <w:t>by</w:t>
      </w:r>
      <w:r w:rsidRPr="00F4426B">
        <w:rPr>
          <w:rFonts w:ascii="Book Antiqua" w:eastAsia="Book Antiqua" w:hAnsi="Book Antiqua" w:cs="Book Antiqua"/>
          <w:color w:val="000000"/>
        </w:rPr>
        <w:t xml:space="preserve"> a nasopharyngeal swab (</w:t>
      </w:r>
      <w:r w:rsidR="002947EB" w:rsidRPr="00F4426B">
        <w:rPr>
          <w:rFonts w:ascii="Book Antiqua" w:eastAsia="Book Antiqua" w:hAnsi="Book Antiqua" w:cs="Book Antiqua"/>
          <w:color w:val="000000"/>
        </w:rPr>
        <w:t xml:space="preserve">with </w:t>
      </w:r>
      <w:r w:rsidR="0010133C" w:rsidRPr="00F4426B">
        <w:rPr>
          <w:rFonts w:ascii="Book Antiqua" w:eastAsia="Book Antiqua" w:hAnsi="Book Antiqua" w:cs="Book Antiqua"/>
          <w:color w:val="000000"/>
        </w:rPr>
        <w:t>reverse transcriptase polymerase chain reaction</w:t>
      </w:r>
      <w:r w:rsidRPr="00F4426B">
        <w:rPr>
          <w:rFonts w:ascii="Book Antiqua" w:eastAsia="Book Antiqua" w:hAnsi="Book Antiqua" w:cs="Book Antiqua"/>
          <w:color w:val="000000"/>
        </w:rPr>
        <w:t xml:space="preserve"> test) performed the following day. Despite rituximab infusion, the patient remained oligosymptomatic and was discharged home for self-isolation. Having reached a negative </w:t>
      </w:r>
      <w:r w:rsidR="00D66732" w:rsidRPr="00F4426B">
        <w:rPr>
          <w:rFonts w:ascii="Book Antiqua" w:eastAsia="Book Antiqua" w:hAnsi="Book Antiqua" w:cs="Book Antiqua"/>
          <w:color w:val="000000"/>
        </w:rPr>
        <w:t>severe acute respiratory syndrome coronavirus 2</w:t>
      </w:r>
      <w:r w:rsidRPr="00F4426B">
        <w:rPr>
          <w:rFonts w:ascii="Book Antiqua" w:eastAsia="Book Antiqua" w:hAnsi="Book Antiqua" w:cs="Book Antiqua"/>
          <w:color w:val="000000"/>
        </w:rPr>
        <w:t xml:space="preserve"> status before the subsequently scheduled regimen, the patient successfully received </w:t>
      </w:r>
      <w:r w:rsidR="004D0C50" w:rsidRPr="00F4426B">
        <w:rPr>
          <w:rFonts w:ascii="Book Antiqua" w:eastAsia="Book Antiqua" w:hAnsi="Book Antiqua" w:cs="Book Antiqua"/>
          <w:color w:val="000000"/>
        </w:rPr>
        <w:t>six</w:t>
      </w:r>
      <w:r w:rsidRPr="00F4426B">
        <w:rPr>
          <w:rFonts w:ascii="Book Antiqua" w:eastAsia="Book Antiqua" w:hAnsi="Book Antiqua" w:cs="Book Antiqua"/>
          <w:color w:val="000000"/>
        </w:rPr>
        <w:t xml:space="preserve"> cycles of </w:t>
      </w:r>
      <w:r w:rsidR="004D0C50" w:rsidRPr="00F4426B">
        <w:rPr>
          <w:rFonts w:ascii="Book Antiqua" w:eastAsia="Book Antiqua" w:hAnsi="Book Antiqua" w:cs="Book Antiqua"/>
          <w:color w:val="000000"/>
        </w:rPr>
        <w:t>rituximab, cyclophosphamide, vincristine, prednisone</w:t>
      </w:r>
      <w:r w:rsidRPr="00F4426B">
        <w:rPr>
          <w:rFonts w:ascii="Book Antiqua" w:eastAsia="Book Antiqua" w:hAnsi="Book Antiqua" w:cs="Book Antiqua"/>
          <w:color w:val="000000"/>
        </w:rPr>
        <w:t xml:space="preserve"> and obtained complete remission</w:t>
      </w:r>
      <w:r w:rsidR="0010133C" w:rsidRPr="00F4426B">
        <w:rPr>
          <w:rFonts w:ascii="Book Antiqua" w:eastAsia="Book Antiqua" w:hAnsi="Book Antiqua" w:cs="Book Antiqua"/>
          <w:color w:val="000000"/>
        </w:rPr>
        <w:t xml:space="preserve"> </w:t>
      </w:r>
      <w:r w:rsidR="004D0C50" w:rsidRPr="00F4426B">
        <w:rPr>
          <w:rFonts w:ascii="Book Antiqua" w:eastAsia="Book Antiqua" w:hAnsi="Book Antiqua" w:cs="Book Antiqua"/>
          <w:color w:val="000000"/>
        </w:rPr>
        <w:t>by positron emission tomography-computed tomography</w:t>
      </w:r>
      <w:r w:rsidRPr="00F4426B">
        <w:rPr>
          <w:rFonts w:ascii="Book Antiqua" w:eastAsia="Book Antiqua" w:hAnsi="Book Antiqua" w:cs="Book Antiqua"/>
          <w:color w:val="000000"/>
        </w:rPr>
        <w:t>.</w:t>
      </w:r>
    </w:p>
    <w:p w14:paraId="0641DFF1" w14:textId="77777777" w:rsidR="00A77B3E" w:rsidRPr="00F4426B" w:rsidRDefault="00A77B3E" w:rsidP="00D66732">
      <w:pPr>
        <w:spacing w:line="360" w:lineRule="auto"/>
        <w:jc w:val="both"/>
        <w:rPr>
          <w:rFonts w:ascii="Book Antiqua" w:hAnsi="Book Antiqua"/>
        </w:rPr>
      </w:pPr>
    </w:p>
    <w:p w14:paraId="2838E08B"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CONCLUSION</w:t>
      </w:r>
    </w:p>
    <w:p w14:paraId="290AEC9E" w14:textId="2E385942"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Our case shows that rituximab-based immunotherapy due to </w:t>
      </w:r>
      <w:r w:rsidR="004D0C50" w:rsidRPr="00F4426B">
        <w:rPr>
          <w:rFonts w:ascii="Book Antiqua" w:eastAsia="Book Antiqua" w:hAnsi="Book Antiqua" w:cs="Book Antiqua"/>
          <w:color w:val="000000"/>
        </w:rPr>
        <w:t>f</w:t>
      </w:r>
      <w:r w:rsidR="00D66732" w:rsidRPr="00F4426B">
        <w:rPr>
          <w:rFonts w:ascii="Book Antiqua" w:eastAsia="Book Antiqua" w:hAnsi="Book Antiqua" w:cs="Book Antiqua"/>
          <w:color w:val="000000"/>
        </w:rPr>
        <w:t>ollicular lymphoma</w:t>
      </w:r>
      <w:r w:rsidRPr="00F4426B">
        <w:rPr>
          <w:rFonts w:ascii="Book Antiqua" w:eastAsia="Book Antiqua" w:hAnsi="Book Antiqua" w:cs="Book Antiqua"/>
          <w:color w:val="000000"/>
        </w:rPr>
        <w:t xml:space="preserve"> may have no evident negative effect on the </w:t>
      </w:r>
      <w:r w:rsidR="00D66732" w:rsidRPr="00F4426B">
        <w:rPr>
          <w:rFonts w:ascii="Book Antiqua" w:eastAsia="Book Antiqua" w:hAnsi="Book Antiqua" w:cs="Book Antiqua"/>
          <w:color w:val="000000"/>
        </w:rPr>
        <w:t>coronavirus disease 2019</w:t>
      </w:r>
      <w:r w:rsidRPr="00F4426B">
        <w:rPr>
          <w:rFonts w:ascii="Book Antiqua" w:eastAsia="Book Antiqua" w:hAnsi="Book Antiqua" w:cs="Book Antiqua"/>
          <w:color w:val="000000"/>
        </w:rPr>
        <w:t xml:space="preserve"> clinical course.</w:t>
      </w:r>
    </w:p>
    <w:p w14:paraId="2324451D" w14:textId="77777777" w:rsidR="00A77B3E" w:rsidRPr="00F4426B" w:rsidRDefault="00A77B3E" w:rsidP="00D66732">
      <w:pPr>
        <w:spacing w:line="360" w:lineRule="auto"/>
        <w:jc w:val="both"/>
        <w:rPr>
          <w:rFonts w:ascii="Book Antiqua" w:hAnsi="Book Antiqua"/>
        </w:rPr>
      </w:pPr>
    </w:p>
    <w:p w14:paraId="417C2999" w14:textId="2DFD51FA"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Key Words: </w:t>
      </w:r>
      <w:r w:rsidRPr="00F4426B">
        <w:rPr>
          <w:rFonts w:ascii="Book Antiqua" w:eastAsia="Book Antiqua" w:hAnsi="Book Antiqua" w:cs="Book Antiqua"/>
          <w:color w:val="000000"/>
        </w:rPr>
        <w:t>COVID-19; SARS-Co-V-2; Follicular lymphoma; Rituximab</w:t>
      </w:r>
      <w:r w:rsidR="0036473F"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Case report</w:t>
      </w:r>
    </w:p>
    <w:p w14:paraId="7FA1BE86" w14:textId="77777777" w:rsidR="00F4426B" w:rsidRPr="00F4426B" w:rsidRDefault="00F4426B" w:rsidP="00F4426B">
      <w:pPr>
        <w:spacing w:line="360" w:lineRule="auto"/>
        <w:jc w:val="both"/>
        <w:rPr>
          <w:lang w:eastAsia="zh-CN"/>
        </w:rPr>
      </w:pPr>
    </w:p>
    <w:p w14:paraId="7B1712B6" w14:textId="77777777" w:rsidR="00F4426B" w:rsidRPr="00F4426B" w:rsidRDefault="00F4426B" w:rsidP="00F4426B">
      <w:pPr>
        <w:spacing w:line="360" w:lineRule="auto"/>
        <w:jc w:val="both"/>
        <w:rPr>
          <w:rFonts w:ascii="Book Antiqua" w:eastAsia="Book Antiqua" w:hAnsi="Book Antiqua" w:cs="Book Antiqua"/>
          <w:color w:val="000000"/>
        </w:rPr>
      </w:pPr>
      <w:r w:rsidRPr="00F4426B">
        <w:rPr>
          <w:rFonts w:ascii="Book Antiqua" w:eastAsia="Book Antiqua" w:hAnsi="Book Antiqua" w:cs="Book Antiqua" w:hint="eastAsia"/>
          <w:b/>
          <w:color w:val="000000"/>
        </w:rPr>
        <w:t>©</w:t>
      </w:r>
      <w:r w:rsidRPr="00F4426B">
        <w:rPr>
          <w:rFonts w:ascii="Book Antiqua" w:eastAsia="Book Antiqua" w:hAnsi="Book Antiqua" w:cs="Book Antiqua"/>
          <w:b/>
          <w:color w:val="000000"/>
        </w:rPr>
        <w:t>The</w:t>
      </w:r>
      <w:r w:rsidRPr="00F4426B">
        <w:rPr>
          <w:rFonts w:ascii="Book Antiqua" w:eastAsia="Book Antiqua" w:hAnsi="Book Antiqua" w:cs="Book Antiqua"/>
          <w:color w:val="000000"/>
        </w:rPr>
        <w:t xml:space="preserve"> </w:t>
      </w:r>
      <w:r w:rsidRPr="00F4426B">
        <w:rPr>
          <w:rFonts w:ascii="Book Antiqua" w:eastAsia="Book Antiqua" w:hAnsi="Book Antiqua" w:cs="Book Antiqua"/>
          <w:b/>
          <w:color w:val="000000"/>
        </w:rPr>
        <w:t xml:space="preserve">Author(s) 2021. </w:t>
      </w:r>
      <w:r w:rsidRPr="00F4426B">
        <w:rPr>
          <w:rFonts w:ascii="Book Antiqua" w:eastAsia="Book Antiqua" w:hAnsi="Book Antiqua" w:cs="Book Antiqua"/>
          <w:color w:val="000000"/>
        </w:rPr>
        <w:t xml:space="preserve">Published by Baishideng Publishing Group Inc. All rights reserved. </w:t>
      </w:r>
    </w:p>
    <w:p w14:paraId="5354B809" w14:textId="77777777" w:rsidR="00A77B3E" w:rsidRPr="00F4426B" w:rsidRDefault="00A77B3E" w:rsidP="00D66732">
      <w:pPr>
        <w:spacing w:line="360" w:lineRule="auto"/>
        <w:jc w:val="both"/>
        <w:rPr>
          <w:rFonts w:ascii="Book Antiqua" w:hAnsi="Book Antiqua"/>
        </w:rPr>
      </w:pPr>
    </w:p>
    <w:p w14:paraId="376801D6" w14:textId="6937D424" w:rsidR="00236C0E" w:rsidRPr="00F4426B" w:rsidRDefault="00236C0E" w:rsidP="00D66732">
      <w:pPr>
        <w:spacing w:line="360" w:lineRule="auto"/>
        <w:jc w:val="both"/>
        <w:rPr>
          <w:rFonts w:ascii="Book Antiqua" w:hAnsi="Book Antiqua" w:cs="Book Antiqua" w:hint="eastAsia"/>
          <w:color w:val="000000"/>
          <w:lang w:eastAsia="zh-CN"/>
        </w:rPr>
      </w:pPr>
      <w:r w:rsidRPr="00F4426B">
        <w:rPr>
          <w:rFonts w:ascii="Book Antiqua" w:hAnsi="Book Antiqua" w:cs="Book Antiqua" w:hint="eastAsia"/>
          <w:b/>
          <w:color w:val="000000"/>
          <w:lang w:eastAsia="zh-CN"/>
        </w:rPr>
        <w:t xml:space="preserve">Citation: </w:t>
      </w:r>
      <w:r w:rsidR="007E015A" w:rsidRPr="00F4426B">
        <w:rPr>
          <w:rFonts w:ascii="Book Antiqua" w:eastAsia="Book Antiqua" w:hAnsi="Book Antiqua" w:cs="Book Antiqua"/>
          <w:color w:val="000000"/>
        </w:rPr>
        <w:t xml:space="preserve">Łącki S, Wyżgolik K, Nicze M, Georgiew-Nadziakiewicz S, Chudek J, Wdowiak K. Low symptomatic COVID-19 in the elderly patient with follicular lymphoma treated with rituximab-based immunotherapy: A case report. </w:t>
      </w:r>
      <w:r w:rsidR="007E015A" w:rsidRPr="00F4426B">
        <w:rPr>
          <w:rFonts w:ascii="Book Antiqua" w:eastAsia="Book Antiqua" w:hAnsi="Book Antiqua" w:cs="Book Antiqua"/>
          <w:i/>
          <w:iCs/>
          <w:color w:val="000000"/>
        </w:rPr>
        <w:t>World J Clin Cases</w:t>
      </w:r>
      <w:r w:rsidR="007E015A" w:rsidRPr="00F4426B">
        <w:rPr>
          <w:rFonts w:ascii="Book Antiqua" w:eastAsia="Book Antiqua" w:hAnsi="Book Antiqua" w:cs="Book Antiqua"/>
          <w:color w:val="000000"/>
        </w:rPr>
        <w:t xml:space="preserve"> 2021; </w:t>
      </w:r>
      <w:r w:rsidR="004E7145" w:rsidRPr="00F4426B">
        <w:rPr>
          <w:rFonts w:ascii="Book Antiqua" w:eastAsia="Book Antiqua" w:hAnsi="Book Antiqua" w:cs="Book Antiqua"/>
          <w:color w:val="000000"/>
        </w:rPr>
        <w:t xml:space="preserve">9(18): </w:t>
      </w:r>
      <w:r w:rsidRPr="00F4426B">
        <w:rPr>
          <w:rFonts w:ascii="Book Antiqua" w:eastAsia="Book Antiqua" w:hAnsi="Book Antiqua" w:cs="Book Antiqua"/>
          <w:color w:val="000000"/>
        </w:rPr>
        <w:t>4859-4865</w:t>
      </w:r>
      <w:r w:rsidR="004E7145" w:rsidRPr="00F4426B">
        <w:rPr>
          <w:rFonts w:ascii="Book Antiqua" w:eastAsia="Book Antiqua" w:hAnsi="Book Antiqua" w:cs="Book Antiqua"/>
          <w:color w:val="000000"/>
        </w:rPr>
        <w:t xml:space="preserve"> </w:t>
      </w:r>
    </w:p>
    <w:p w14:paraId="2E5786D2" w14:textId="77777777" w:rsidR="00236C0E" w:rsidRPr="00F4426B" w:rsidRDefault="004E7145" w:rsidP="00D66732">
      <w:pPr>
        <w:spacing w:line="360" w:lineRule="auto"/>
        <w:jc w:val="both"/>
        <w:rPr>
          <w:rFonts w:ascii="Book Antiqua" w:hAnsi="Book Antiqua" w:cs="Book Antiqua" w:hint="eastAsia"/>
          <w:color w:val="000000"/>
          <w:lang w:eastAsia="zh-CN"/>
        </w:rPr>
      </w:pPr>
      <w:r w:rsidRPr="00F4426B">
        <w:rPr>
          <w:rFonts w:ascii="Book Antiqua" w:eastAsia="Book Antiqua" w:hAnsi="Book Antiqua" w:cs="Book Antiqua"/>
          <w:b/>
          <w:color w:val="000000"/>
        </w:rPr>
        <w:t xml:space="preserve">URL: </w:t>
      </w:r>
      <w:r w:rsidRPr="00F4426B">
        <w:rPr>
          <w:rFonts w:ascii="Book Antiqua" w:eastAsia="Book Antiqua" w:hAnsi="Book Antiqua" w:cs="Book Antiqua"/>
          <w:color w:val="000000"/>
        </w:rPr>
        <w:t>https://www.wjgnet.com/2307-8960/full/v9/i18/</w:t>
      </w:r>
      <w:r w:rsidR="00236C0E" w:rsidRPr="00F4426B">
        <w:rPr>
          <w:rFonts w:ascii="Book Antiqua" w:eastAsia="Book Antiqua" w:hAnsi="Book Antiqua" w:cs="Book Antiqua"/>
          <w:color w:val="000000"/>
        </w:rPr>
        <w:t>4859</w:t>
      </w:r>
      <w:r w:rsidRPr="00F4426B">
        <w:rPr>
          <w:rFonts w:ascii="Book Antiqua" w:eastAsia="Book Antiqua" w:hAnsi="Book Antiqua" w:cs="Book Antiqua"/>
          <w:color w:val="000000"/>
        </w:rPr>
        <w:t xml:space="preserve">.htm </w:t>
      </w:r>
    </w:p>
    <w:p w14:paraId="742508DC" w14:textId="6EDBE0F5" w:rsidR="00A77B3E" w:rsidRPr="00F4426B" w:rsidRDefault="004E7145" w:rsidP="00D66732">
      <w:pPr>
        <w:spacing w:line="360" w:lineRule="auto"/>
        <w:jc w:val="both"/>
        <w:rPr>
          <w:rFonts w:ascii="Book Antiqua" w:hAnsi="Book Antiqua"/>
        </w:rPr>
      </w:pPr>
      <w:r w:rsidRPr="00F4426B">
        <w:rPr>
          <w:rFonts w:ascii="Book Antiqua" w:eastAsia="Book Antiqua" w:hAnsi="Book Antiqua" w:cs="Book Antiqua"/>
          <w:b/>
          <w:color w:val="000000"/>
        </w:rPr>
        <w:t xml:space="preserve">DOI: </w:t>
      </w:r>
      <w:r w:rsidRPr="00F4426B">
        <w:rPr>
          <w:rFonts w:ascii="Book Antiqua" w:eastAsia="Book Antiqua" w:hAnsi="Book Antiqua" w:cs="Book Antiqua"/>
          <w:color w:val="000000"/>
        </w:rPr>
        <w:t>https://dx.doi.org/10.12998/wjcc.v9.i18.</w:t>
      </w:r>
      <w:r w:rsidR="00236C0E" w:rsidRPr="00F4426B">
        <w:rPr>
          <w:rFonts w:ascii="Book Antiqua" w:eastAsia="Book Antiqua" w:hAnsi="Book Antiqua" w:cs="Book Antiqua"/>
          <w:color w:val="000000"/>
        </w:rPr>
        <w:t>4859</w:t>
      </w:r>
    </w:p>
    <w:p w14:paraId="4BD1C6B9" w14:textId="77777777" w:rsidR="00A77B3E" w:rsidRPr="00F4426B" w:rsidRDefault="00A77B3E" w:rsidP="00D66732">
      <w:pPr>
        <w:spacing w:line="360" w:lineRule="auto"/>
        <w:jc w:val="both"/>
        <w:rPr>
          <w:rFonts w:ascii="Book Antiqua" w:hAnsi="Book Antiqua"/>
        </w:rPr>
      </w:pPr>
    </w:p>
    <w:p w14:paraId="49C18923" w14:textId="7B978ED2"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Core Tip: </w:t>
      </w:r>
      <w:r w:rsidRPr="00F4426B">
        <w:rPr>
          <w:rFonts w:ascii="Book Antiqua" w:eastAsia="Book Antiqua" w:hAnsi="Book Antiqua" w:cs="Book Antiqua"/>
          <w:color w:val="000000"/>
        </w:rPr>
        <w:t>Follicular lymphoma is an indolent lymphoma requiring immunochemotherapy with rituximab. This anti-CD20 monoclonal antibody deplet</w:t>
      </w:r>
      <w:r w:rsidR="004D0C50" w:rsidRPr="00F4426B">
        <w:rPr>
          <w:rFonts w:ascii="Book Antiqua" w:eastAsia="Book Antiqua" w:hAnsi="Book Antiqua" w:cs="Book Antiqua"/>
          <w:color w:val="000000"/>
        </w:rPr>
        <w:t>es</w:t>
      </w:r>
      <w:r w:rsidRPr="00F4426B">
        <w:rPr>
          <w:rFonts w:ascii="Book Antiqua" w:eastAsia="Book Antiqua" w:hAnsi="Book Antiqua" w:cs="Book Antiqua"/>
          <w:color w:val="000000"/>
        </w:rPr>
        <w:t xml:space="preserve"> malignant and normal B-cells, resulting in a significantly increased risk of infectious complications, including the novel coronavirus</w:t>
      </w:r>
      <w:r w:rsidR="004D0C50" w:rsidRPr="00F4426B">
        <w:rPr>
          <w:rFonts w:ascii="Book Antiqua" w:eastAsia="Book Antiqua" w:hAnsi="Book Antiqua" w:cs="Book Antiqua"/>
          <w:color w:val="000000"/>
        </w:rPr>
        <w:t xml:space="preserve">, </w:t>
      </w:r>
      <w:r w:rsidR="0010133C" w:rsidRPr="00F4426B">
        <w:rPr>
          <w:rFonts w:ascii="Book Antiqua" w:eastAsia="Book Antiqua" w:hAnsi="Book Antiqua" w:cs="Book Antiqua"/>
          <w:color w:val="000000"/>
        </w:rPr>
        <w:t>severe acute respiratory syndrome coronavirus 2</w:t>
      </w:r>
      <w:r w:rsidRPr="00F4426B">
        <w:rPr>
          <w:rFonts w:ascii="Book Antiqua" w:eastAsia="Book Antiqua" w:hAnsi="Book Antiqua" w:cs="Book Antiqua"/>
          <w:color w:val="000000"/>
        </w:rPr>
        <w:t xml:space="preserve"> infection (</w:t>
      </w:r>
      <w:r w:rsidR="0010133C" w:rsidRPr="00F4426B">
        <w:rPr>
          <w:rFonts w:ascii="Book Antiqua" w:eastAsia="Book Antiqua" w:hAnsi="Book Antiqua" w:cs="Book Antiqua"/>
          <w:color w:val="000000"/>
        </w:rPr>
        <w:t>coronavirus disease 2019</w:t>
      </w:r>
      <w:r w:rsidRPr="00F4426B">
        <w:rPr>
          <w:rFonts w:ascii="Book Antiqua" w:eastAsia="Book Antiqua" w:hAnsi="Book Antiqua" w:cs="Book Antiqua"/>
          <w:color w:val="000000"/>
        </w:rPr>
        <w:t xml:space="preserve">). We present the first case of mild </w:t>
      </w:r>
      <w:r w:rsidR="00D66732" w:rsidRPr="00F4426B">
        <w:rPr>
          <w:rFonts w:ascii="Book Antiqua" w:eastAsia="Book Antiqua" w:hAnsi="Book Antiqua" w:cs="Book Antiqua"/>
          <w:color w:val="000000"/>
        </w:rPr>
        <w:t>coronavirus disease 2019</w:t>
      </w:r>
      <w:r w:rsidRPr="00F4426B">
        <w:rPr>
          <w:rFonts w:ascii="Book Antiqua" w:eastAsia="Book Antiqua" w:hAnsi="Book Antiqua" w:cs="Book Antiqua"/>
          <w:color w:val="000000"/>
        </w:rPr>
        <w:t xml:space="preserve"> in </w:t>
      </w:r>
      <w:r w:rsidR="004D0C50" w:rsidRPr="00F4426B">
        <w:rPr>
          <w:rFonts w:ascii="Book Antiqua" w:eastAsia="Book Antiqua" w:hAnsi="Book Antiqua" w:cs="Book Antiqua"/>
          <w:color w:val="000000"/>
        </w:rPr>
        <w:t>an</w:t>
      </w:r>
      <w:r w:rsidRPr="00F4426B">
        <w:rPr>
          <w:rFonts w:ascii="Book Antiqua" w:eastAsia="Book Antiqua" w:hAnsi="Book Antiqua" w:cs="Book Antiqua"/>
          <w:color w:val="000000"/>
        </w:rPr>
        <w:t xml:space="preserve"> elderly patient during ongoing </w:t>
      </w:r>
      <w:r w:rsidR="004D0C50" w:rsidRPr="00F4426B">
        <w:rPr>
          <w:rFonts w:ascii="Book Antiqua" w:eastAsia="Book Antiqua" w:hAnsi="Book Antiqua" w:cs="Book Antiqua"/>
          <w:color w:val="000000"/>
        </w:rPr>
        <w:t>f</w:t>
      </w:r>
      <w:r w:rsidR="00D66732" w:rsidRPr="00F4426B">
        <w:rPr>
          <w:rFonts w:ascii="Book Antiqua" w:eastAsia="Book Antiqua" w:hAnsi="Book Antiqua" w:cs="Book Antiqua"/>
          <w:color w:val="000000"/>
        </w:rPr>
        <w:t>ollicular lymphoma</w:t>
      </w:r>
      <w:r w:rsidRPr="00F4426B">
        <w:rPr>
          <w:rFonts w:ascii="Book Antiqua" w:eastAsia="Book Antiqua" w:hAnsi="Book Antiqua" w:cs="Book Antiqua"/>
          <w:color w:val="000000"/>
        </w:rPr>
        <w:t xml:space="preserve"> treatment, without significant deterioration after rituximab administration. This case highlights that rituximab-based therapy may have no evident negative effect on the clinical course of </w:t>
      </w:r>
      <w:r w:rsidR="00D66732" w:rsidRPr="00F4426B">
        <w:rPr>
          <w:rFonts w:ascii="Book Antiqua" w:eastAsia="Book Antiqua" w:hAnsi="Book Antiqua" w:cs="Book Antiqua"/>
          <w:color w:val="000000"/>
        </w:rPr>
        <w:t>coronavirus disease 2019</w:t>
      </w:r>
      <w:r w:rsidRPr="00F4426B">
        <w:rPr>
          <w:rFonts w:ascii="Book Antiqua" w:eastAsia="Book Antiqua" w:hAnsi="Book Antiqua" w:cs="Book Antiqua"/>
          <w:color w:val="000000"/>
        </w:rPr>
        <w:t xml:space="preserve"> in patients with </w:t>
      </w:r>
      <w:r w:rsidR="004D0C50" w:rsidRPr="00F4426B">
        <w:rPr>
          <w:rFonts w:ascii="Book Antiqua" w:eastAsia="Book Antiqua" w:hAnsi="Book Antiqua" w:cs="Book Antiqua"/>
          <w:color w:val="000000"/>
        </w:rPr>
        <w:t>f</w:t>
      </w:r>
      <w:r w:rsidR="00D66732" w:rsidRPr="00F4426B">
        <w:rPr>
          <w:rFonts w:ascii="Book Antiqua" w:eastAsia="Book Antiqua" w:hAnsi="Book Antiqua" w:cs="Book Antiqua"/>
          <w:color w:val="000000"/>
        </w:rPr>
        <w:t>ollicular lymphoma</w:t>
      </w:r>
      <w:r w:rsidRPr="00F4426B">
        <w:rPr>
          <w:rFonts w:ascii="Book Antiqua" w:eastAsia="Book Antiqua" w:hAnsi="Book Antiqua" w:cs="Book Antiqua"/>
          <w:color w:val="000000"/>
        </w:rPr>
        <w:t>, which may be significant during the current pandemic.</w:t>
      </w:r>
    </w:p>
    <w:p w14:paraId="24B1677D" w14:textId="25F1FF10" w:rsidR="00A77B3E" w:rsidRPr="00F4426B" w:rsidRDefault="0010133C" w:rsidP="00D66732">
      <w:pPr>
        <w:spacing w:line="360" w:lineRule="auto"/>
        <w:jc w:val="both"/>
        <w:rPr>
          <w:rFonts w:ascii="Book Antiqua" w:hAnsi="Book Antiqua"/>
        </w:rPr>
      </w:pPr>
      <w:r w:rsidRPr="00F4426B">
        <w:rPr>
          <w:rFonts w:ascii="Book Antiqua" w:hAnsi="Book Antiqua"/>
        </w:rPr>
        <w:br w:type="page"/>
      </w:r>
      <w:r w:rsidR="007E015A" w:rsidRPr="00F4426B">
        <w:rPr>
          <w:rFonts w:ascii="Book Antiqua" w:eastAsia="Book Antiqua" w:hAnsi="Book Antiqua" w:cs="Book Antiqua"/>
          <w:b/>
          <w:caps/>
          <w:color w:val="000000"/>
          <w:u w:val="single"/>
        </w:rPr>
        <w:t>INTRODUCTION</w:t>
      </w:r>
    </w:p>
    <w:p w14:paraId="44DBF6BC" w14:textId="5CA74120"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Follicular lymphoma (FL) is an incurable, indolent form of non-Hodgkin lymphomas, deriving from follicular cente</w:t>
      </w:r>
      <w:r w:rsidR="00873E82" w:rsidRPr="00F4426B">
        <w:rPr>
          <w:rFonts w:ascii="Book Antiqua" w:eastAsia="Book Antiqua" w:hAnsi="Book Antiqua" w:cs="Book Antiqua"/>
          <w:color w:val="000000"/>
        </w:rPr>
        <w:t>r</w:t>
      </w:r>
      <w:r w:rsidRPr="00F4426B">
        <w:rPr>
          <w:rFonts w:ascii="Book Antiqua" w:eastAsia="Book Antiqua" w:hAnsi="Book Antiqua" w:cs="Book Antiqua"/>
          <w:color w:val="000000"/>
        </w:rPr>
        <w:t xml:space="preserve"> B-lymphocytes, mostly connected with asymptomatic lymphadenopathy. In a few recent decades, the occurrence of this neoplasm has significantly increased, amounting to 5/100000 cases, making it the second most frequent nodal lymphoid malignancy in Western Europe</w:t>
      </w:r>
      <w:r w:rsidRPr="00F4426B">
        <w:rPr>
          <w:rFonts w:ascii="Book Antiqua" w:eastAsia="Book Antiqua" w:hAnsi="Book Antiqua" w:cs="Book Antiqua"/>
          <w:color w:val="000000"/>
          <w:vertAlign w:val="superscript"/>
        </w:rPr>
        <w:t>[1]</w:t>
      </w:r>
      <w:r w:rsidRPr="00F4426B">
        <w:rPr>
          <w:rFonts w:ascii="Book Antiqua" w:eastAsia="Book Antiqua" w:hAnsi="Book Antiqua" w:cs="Book Antiqua"/>
          <w:color w:val="000000"/>
        </w:rPr>
        <w:t>. Diagnosis is made based on a surgical specimen or excisional lymph node biopsy, followed with</w:t>
      </w:r>
      <w:r w:rsidR="00F53985" w:rsidRPr="00F4426B">
        <w:rPr>
          <w:rFonts w:ascii="Book Antiqua" w:eastAsia="Book Antiqua" w:hAnsi="Book Antiqua" w:cs="Book Antiqua"/>
          <w:b/>
          <w:bCs/>
          <w:color w:val="000000"/>
        </w:rPr>
        <w:t xml:space="preserve"> </w:t>
      </w:r>
      <w:r w:rsidRPr="00F4426B">
        <w:rPr>
          <w:rFonts w:ascii="Book Antiqua" w:eastAsia="Book Antiqua" w:hAnsi="Book Antiqua" w:cs="Book Antiqua"/>
          <w:color w:val="000000"/>
        </w:rPr>
        <w:t>the</w:t>
      </w:r>
      <w:r w:rsidR="00F53985" w:rsidRPr="00F4426B">
        <w:rPr>
          <w:rFonts w:ascii="Book Antiqua" w:eastAsia="Book Antiqua" w:hAnsi="Book Antiqua" w:cs="Book Antiqua"/>
          <w:b/>
          <w:bCs/>
          <w:color w:val="000000"/>
        </w:rPr>
        <w:t xml:space="preserve"> </w:t>
      </w:r>
      <w:r w:rsidRPr="00F4426B">
        <w:rPr>
          <w:rFonts w:ascii="Book Antiqua" w:eastAsia="Book Antiqua" w:hAnsi="Book Antiqua" w:cs="Book Antiqua"/>
          <w:color w:val="000000"/>
        </w:rPr>
        <w:t>pathological and immunohistological tissue examination. Therapeutic management may differ depending on the FL clinical</w:t>
      </w:r>
      <w:r w:rsidR="00873E82"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stage, presented symptoms, comorbidities and life expectancy, but the front</w:t>
      </w:r>
      <w:r w:rsidR="00873E82" w:rsidRPr="00F4426B">
        <w:rPr>
          <w:rFonts w:ascii="Book Antiqua" w:eastAsia="Book Antiqua" w:hAnsi="Book Antiqua" w:cs="Book Antiqua"/>
          <w:color w:val="000000"/>
        </w:rPr>
        <w:t>-</w:t>
      </w:r>
      <w:r w:rsidRPr="00F4426B">
        <w:rPr>
          <w:rFonts w:ascii="Book Antiqua" w:eastAsia="Book Antiqua" w:hAnsi="Book Antiqua" w:cs="Book Antiqua"/>
          <w:color w:val="000000"/>
        </w:rPr>
        <w:t>line treatment is immunochemotherapy with rituximab-based regimens</w:t>
      </w:r>
      <w:r w:rsidRPr="00F4426B">
        <w:rPr>
          <w:rFonts w:ascii="Book Antiqua" w:eastAsia="Book Antiqua" w:hAnsi="Book Antiqua" w:cs="Book Antiqua"/>
          <w:color w:val="000000"/>
          <w:vertAlign w:val="superscript"/>
        </w:rPr>
        <w:t>[2]</w:t>
      </w:r>
      <w:r w:rsidRPr="00F4426B">
        <w:rPr>
          <w:rFonts w:ascii="Book Antiqua" w:eastAsia="Book Antiqua" w:hAnsi="Book Antiqua" w:cs="Book Antiqua"/>
          <w:color w:val="000000"/>
        </w:rPr>
        <w:t>. This chimeric anti-CD20 monoclonal antibody causes rapid and prolonged (up to 12 mo) depletion of both malignant and normal B-cells</w:t>
      </w:r>
      <w:r w:rsidRPr="00F4426B">
        <w:rPr>
          <w:rFonts w:ascii="Book Antiqua" w:eastAsia="Book Antiqua" w:hAnsi="Book Antiqua" w:cs="Book Antiqua"/>
          <w:color w:val="000000"/>
          <w:vertAlign w:val="superscript"/>
        </w:rPr>
        <w:t>[3]</w:t>
      </w:r>
      <w:r w:rsidRPr="00F4426B">
        <w:rPr>
          <w:rFonts w:ascii="Book Antiqua" w:eastAsia="Book Antiqua" w:hAnsi="Book Antiqua" w:cs="Book Antiqua"/>
          <w:color w:val="000000"/>
        </w:rPr>
        <w:t>, resulting in a significantly increased risk of infectious complications, particularly in immunocompromised patients</w:t>
      </w:r>
      <w:r w:rsidRPr="00F4426B">
        <w:rPr>
          <w:rFonts w:ascii="Book Antiqua" w:eastAsia="Book Antiqua" w:hAnsi="Book Antiqua" w:cs="Book Antiqua"/>
          <w:color w:val="000000"/>
          <w:vertAlign w:val="superscript"/>
        </w:rPr>
        <w:t>[4]</w:t>
      </w:r>
      <w:r w:rsidRPr="00F4426B">
        <w:rPr>
          <w:rFonts w:ascii="Book Antiqua" w:eastAsia="Book Antiqua" w:hAnsi="Book Antiqua" w:cs="Book Antiqua"/>
          <w:color w:val="000000"/>
        </w:rPr>
        <w:t xml:space="preserve">, which seems to be crucial especially during the novel coronavirus disease </w:t>
      </w:r>
      <w:r w:rsidR="00873E82" w:rsidRPr="00F4426B">
        <w:rPr>
          <w:rFonts w:ascii="Book Antiqua" w:eastAsia="Book Antiqua" w:hAnsi="Book Antiqua" w:cs="Book Antiqua"/>
          <w:color w:val="000000"/>
        </w:rPr>
        <w:t xml:space="preserve">2019 </w:t>
      </w:r>
      <w:r w:rsidRPr="00F4426B">
        <w:rPr>
          <w:rFonts w:ascii="Book Antiqua" w:eastAsia="Book Antiqua" w:hAnsi="Book Antiqua" w:cs="Book Antiqua"/>
          <w:color w:val="000000"/>
        </w:rPr>
        <w:t>(COVID-19) ongoing pandemic.</w:t>
      </w:r>
    </w:p>
    <w:p w14:paraId="45955959" w14:textId="43DBDEA9" w:rsidR="00A77B3E" w:rsidRPr="00F4426B" w:rsidRDefault="007E015A"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 xml:space="preserve">Although most human coronavirus infections are mild, </w:t>
      </w:r>
      <w:r w:rsidR="0010133C" w:rsidRPr="00F4426B">
        <w:rPr>
          <w:rFonts w:ascii="Book Antiqua" w:eastAsia="Book Antiqua" w:hAnsi="Book Antiqua" w:cs="Book Antiqua"/>
          <w:color w:val="000000"/>
        </w:rPr>
        <w:t>severe acute respiratory syndrome coronavirus 2 (</w:t>
      </w:r>
      <w:r w:rsidRPr="00F4426B">
        <w:rPr>
          <w:rFonts w:ascii="Book Antiqua" w:eastAsia="Book Antiqua" w:hAnsi="Book Antiqua" w:cs="Book Antiqua"/>
          <w:color w:val="000000"/>
        </w:rPr>
        <w:t>SARS-CoV-2</w:t>
      </w:r>
      <w:r w:rsidR="0010133C" w:rsidRPr="00F4426B">
        <w:rPr>
          <w:rFonts w:ascii="Book Antiqua" w:eastAsia="Book Antiqua" w:hAnsi="Book Antiqua" w:cs="Book Antiqua"/>
          <w:color w:val="000000"/>
        </w:rPr>
        <w:t>)</w:t>
      </w:r>
      <w:r w:rsidRPr="00F4426B">
        <w:rPr>
          <w:rFonts w:ascii="Book Antiqua" w:eastAsia="Book Antiqua" w:hAnsi="Book Antiqua" w:cs="Book Antiqua"/>
          <w:color w:val="000000"/>
        </w:rPr>
        <w:t>, a novel strain of coronavirus causing COVID-19, contributed to numerous severe pneumonia cases, which started in December 2019 in Wuhan (China) and has spread worldwide since then</w:t>
      </w:r>
      <w:r w:rsidRPr="00F4426B">
        <w:rPr>
          <w:rFonts w:ascii="Book Antiqua" w:eastAsia="Book Antiqua" w:hAnsi="Book Antiqua" w:cs="Book Antiqua"/>
          <w:color w:val="000000"/>
          <w:vertAlign w:val="superscript"/>
        </w:rPr>
        <w:t>[5]</w:t>
      </w:r>
      <w:r w:rsidRPr="00F4426B">
        <w:rPr>
          <w:rFonts w:ascii="Book Antiqua" w:eastAsia="Book Antiqua" w:hAnsi="Book Antiqua" w:cs="Book Antiqua"/>
          <w:color w:val="000000"/>
        </w:rPr>
        <w:t>.</w:t>
      </w:r>
    </w:p>
    <w:p w14:paraId="0D917703" w14:textId="325B0ED9" w:rsidR="00A77B3E" w:rsidRPr="00F4426B" w:rsidRDefault="007E015A"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On March 11, 2020, the World Health Organization</w:t>
      </w:r>
      <w:r w:rsidR="00684332"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announced COVID-19 a pandemic</w:t>
      </w:r>
      <w:r w:rsidRPr="00F4426B">
        <w:rPr>
          <w:rFonts w:ascii="Book Antiqua" w:eastAsia="Book Antiqua" w:hAnsi="Book Antiqua" w:cs="Book Antiqua"/>
          <w:color w:val="000000"/>
          <w:vertAlign w:val="superscript"/>
        </w:rPr>
        <w:t>[6]</w:t>
      </w:r>
      <w:r w:rsidRPr="00F4426B">
        <w:rPr>
          <w:rFonts w:ascii="Book Antiqua" w:eastAsia="Book Antiqua" w:hAnsi="Book Antiqua" w:cs="Book Antiqua"/>
          <w:color w:val="000000"/>
        </w:rPr>
        <w:t xml:space="preserve">. To date, </w:t>
      </w:r>
      <w:r w:rsidR="00F53985" w:rsidRPr="00F4426B">
        <w:rPr>
          <w:rFonts w:ascii="Book Antiqua" w:eastAsia="Book Antiqua" w:hAnsi="Book Antiqua" w:cs="Book Antiqua"/>
          <w:color w:val="000000"/>
        </w:rPr>
        <w:t>COVID-19</w:t>
      </w:r>
      <w:r w:rsidRPr="00F4426B">
        <w:rPr>
          <w:rFonts w:ascii="Book Antiqua" w:eastAsia="Book Antiqua" w:hAnsi="Book Antiqua" w:cs="Book Antiqua"/>
          <w:color w:val="000000"/>
        </w:rPr>
        <w:t xml:space="preserve"> has affected almost 100 million patients and caused more than 2 million deaths all over the world</w:t>
      </w:r>
      <w:r w:rsidRPr="00F4426B">
        <w:rPr>
          <w:rFonts w:ascii="Book Antiqua" w:eastAsia="Book Antiqua" w:hAnsi="Book Antiqua" w:cs="Book Antiqua"/>
          <w:color w:val="000000"/>
          <w:vertAlign w:val="superscript"/>
        </w:rPr>
        <w:t>[7]</w:t>
      </w:r>
      <w:r w:rsidRPr="00F4426B">
        <w:rPr>
          <w:rFonts w:ascii="Book Antiqua" w:eastAsia="Book Antiqua" w:hAnsi="Book Antiqua" w:cs="Book Antiqua"/>
          <w:color w:val="000000"/>
        </w:rPr>
        <w:t>, posing a major global healthcare threat. As reported by Yang</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i/>
          <w:iCs/>
          <w:color w:val="000000"/>
        </w:rPr>
        <w:t>et al</w:t>
      </w:r>
      <w:r w:rsidR="00F53985" w:rsidRPr="00F4426B">
        <w:rPr>
          <w:rFonts w:ascii="Book Antiqua" w:eastAsia="Book Antiqua" w:hAnsi="Book Antiqua" w:cs="Book Antiqua"/>
          <w:color w:val="000000"/>
          <w:vertAlign w:val="superscript"/>
        </w:rPr>
        <w:t>[8]</w:t>
      </w:r>
      <w:r w:rsidR="00873E82"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COVID-19 infection in patients under oncological therapy is associated with an increase</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in mortality. However, during the present pandemic, the benefit/risk ratio of cancer treatment may need to be reconsidered individually</w:t>
      </w:r>
      <w:r w:rsidRPr="00F4426B">
        <w:rPr>
          <w:rFonts w:ascii="Book Antiqua" w:eastAsia="Book Antiqua" w:hAnsi="Book Antiqua" w:cs="Book Antiqua"/>
          <w:color w:val="000000"/>
          <w:vertAlign w:val="superscript"/>
        </w:rPr>
        <w:t>[9]</w:t>
      </w:r>
      <w:r w:rsidRPr="00F4426B">
        <w:rPr>
          <w:rFonts w:ascii="Book Antiqua" w:eastAsia="Book Antiqua" w:hAnsi="Book Antiqua" w:cs="Book Antiqua"/>
          <w:color w:val="000000"/>
        </w:rPr>
        <w:t>. The European Society for Medical Oncology has released new guidelines recommending physicians to watch their patients carefully</w:t>
      </w:r>
      <w:r w:rsidR="00873E82"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and while developing COVID-19 symptoms ongoing treatment should be stopped</w:t>
      </w:r>
      <w:r w:rsidRPr="00F4426B">
        <w:rPr>
          <w:rFonts w:ascii="Book Antiqua" w:eastAsia="Book Antiqua" w:hAnsi="Book Antiqua" w:cs="Book Antiqua"/>
          <w:color w:val="000000"/>
          <w:vertAlign w:val="superscript"/>
        </w:rPr>
        <w:t>[10]</w:t>
      </w:r>
      <w:r w:rsidRPr="00F4426B">
        <w:rPr>
          <w:rFonts w:ascii="Book Antiqua" w:eastAsia="Book Antiqua" w:hAnsi="Book Antiqua" w:cs="Book Antiqua"/>
          <w:color w:val="000000"/>
        </w:rPr>
        <w:t xml:space="preserve">. Here we report the case of </w:t>
      </w:r>
      <w:r w:rsidR="00873E82" w:rsidRPr="00F4426B">
        <w:rPr>
          <w:rFonts w:ascii="Book Antiqua" w:eastAsia="Book Antiqua" w:hAnsi="Book Antiqua" w:cs="Book Antiqua"/>
          <w:color w:val="000000"/>
        </w:rPr>
        <w:t xml:space="preserve">a </w:t>
      </w:r>
      <w:r w:rsidRPr="00F4426B">
        <w:rPr>
          <w:rFonts w:ascii="Book Antiqua" w:eastAsia="Book Antiqua" w:hAnsi="Book Antiqua" w:cs="Book Antiqua"/>
          <w:color w:val="000000"/>
        </w:rPr>
        <w:t xml:space="preserve">74-year-old female patient with FL treated with rituximab-based </w:t>
      </w:r>
      <w:r w:rsidR="00873E82" w:rsidRPr="00F4426B">
        <w:rPr>
          <w:rFonts w:ascii="Book Antiqua" w:eastAsia="Book Antiqua" w:hAnsi="Book Antiqua" w:cs="Book Antiqua"/>
          <w:color w:val="000000"/>
        </w:rPr>
        <w:t>immunochemotherapy</w:t>
      </w:r>
      <w:r w:rsidRPr="00F4426B">
        <w:rPr>
          <w:rFonts w:ascii="Book Antiqua" w:eastAsia="Book Antiqua" w:hAnsi="Book Antiqua" w:cs="Book Antiqua"/>
          <w:color w:val="000000"/>
        </w:rPr>
        <w:t xml:space="preserve"> regimen, unexpectedly diagnosed with oligosymptomatic COVID-19 during the </w:t>
      </w:r>
      <w:r w:rsidR="00873E82" w:rsidRPr="00F4426B">
        <w:rPr>
          <w:rFonts w:ascii="Book Antiqua" w:eastAsia="Book Antiqua" w:hAnsi="Book Antiqua" w:cs="Book Antiqua"/>
          <w:color w:val="000000"/>
        </w:rPr>
        <w:t>fourth</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xml:space="preserve">cycle of treatment, which was paused after the administration of rituximab solely. </w:t>
      </w:r>
      <w:r w:rsidR="00873E82" w:rsidRPr="00F4426B">
        <w:rPr>
          <w:rFonts w:ascii="Book Antiqua" w:eastAsia="Book Antiqua" w:hAnsi="Book Antiqua" w:cs="Book Antiqua"/>
          <w:color w:val="000000"/>
        </w:rPr>
        <w:t>After recovery from COVID-19,</w:t>
      </w:r>
      <w:r w:rsidRPr="00F4426B">
        <w:rPr>
          <w:rFonts w:ascii="Book Antiqua" w:eastAsia="Book Antiqua" w:hAnsi="Book Antiqua" w:cs="Book Antiqua"/>
          <w:color w:val="000000"/>
        </w:rPr>
        <w:t xml:space="preserve"> she continued oncological therapy.</w:t>
      </w:r>
    </w:p>
    <w:p w14:paraId="208F731A" w14:textId="77777777" w:rsidR="00A77B3E" w:rsidRPr="00F4426B" w:rsidRDefault="00A77B3E" w:rsidP="00D66732">
      <w:pPr>
        <w:spacing w:line="360" w:lineRule="auto"/>
        <w:jc w:val="both"/>
        <w:rPr>
          <w:rFonts w:ascii="Book Antiqua" w:hAnsi="Book Antiqua"/>
        </w:rPr>
      </w:pPr>
    </w:p>
    <w:p w14:paraId="3A3F6B16"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aps/>
          <w:color w:val="000000"/>
          <w:u w:val="single"/>
        </w:rPr>
        <w:t>CASE PRESENTATION</w:t>
      </w:r>
    </w:p>
    <w:p w14:paraId="2DFBFF23"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i/>
          <w:color w:val="000000"/>
        </w:rPr>
        <w:t>Chief complaints</w:t>
      </w:r>
    </w:p>
    <w:p w14:paraId="3777BAE1" w14:textId="68FCD817" w:rsidR="00A77B3E" w:rsidRPr="00F4426B" w:rsidRDefault="00303747" w:rsidP="00D66732">
      <w:pPr>
        <w:spacing w:line="360" w:lineRule="auto"/>
        <w:jc w:val="both"/>
        <w:rPr>
          <w:rFonts w:ascii="Book Antiqua" w:hAnsi="Book Antiqua"/>
        </w:rPr>
      </w:pPr>
      <w:r w:rsidRPr="00F4426B">
        <w:rPr>
          <w:rFonts w:ascii="Book Antiqua" w:eastAsia="Book Antiqua" w:hAnsi="Book Antiqua" w:cs="Book Antiqua"/>
          <w:color w:val="000000"/>
        </w:rPr>
        <w:t>A</w:t>
      </w:r>
      <w:r w:rsidR="007E015A" w:rsidRPr="00F4426B">
        <w:rPr>
          <w:rFonts w:ascii="Book Antiqua" w:eastAsia="Book Antiqua" w:hAnsi="Book Antiqua" w:cs="Book Antiqua"/>
          <w:color w:val="000000"/>
        </w:rPr>
        <w:t xml:space="preserve"> 74-year-old female patient presented with an enlargement of her right palatine tonsil accompanied by difficulties with swallowing lasting for 2 mo.</w:t>
      </w:r>
    </w:p>
    <w:p w14:paraId="0749296D" w14:textId="77777777" w:rsidR="00A77B3E" w:rsidRPr="00F4426B" w:rsidRDefault="00A77B3E" w:rsidP="00D66732">
      <w:pPr>
        <w:spacing w:line="360" w:lineRule="auto"/>
        <w:jc w:val="both"/>
        <w:rPr>
          <w:rFonts w:ascii="Book Antiqua" w:hAnsi="Book Antiqua"/>
        </w:rPr>
      </w:pPr>
    </w:p>
    <w:p w14:paraId="1CC6EC5A"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i/>
          <w:color w:val="000000"/>
        </w:rPr>
        <w:t>History of present illness</w:t>
      </w:r>
    </w:p>
    <w:p w14:paraId="1666038D" w14:textId="72C6D472"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In May 2020, the patient was referred to a laryngologist</w:t>
      </w:r>
      <w:r w:rsidR="00303747"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and the right-side tonsillectomy was performed, obtaining a surgical specimen measuring 3.5 </w:t>
      </w:r>
      <w:r w:rsidR="00F53985" w:rsidRPr="00F4426B">
        <w:rPr>
          <w:rFonts w:ascii="Book Antiqua" w:eastAsia="Book Antiqua" w:hAnsi="Book Antiqua" w:cs="Book Antiqua"/>
          <w:color w:val="000000"/>
        </w:rPr>
        <w:t>cm ×</w:t>
      </w:r>
      <w:r w:rsidRPr="00F4426B">
        <w:rPr>
          <w:rFonts w:ascii="Book Antiqua" w:eastAsia="Book Antiqua" w:hAnsi="Book Antiqua" w:cs="Book Antiqua"/>
          <w:color w:val="000000"/>
        </w:rPr>
        <w:t xml:space="preserve"> 2.5 </w:t>
      </w:r>
      <w:r w:rsidR="00F53985" w:rsidRPr="00F4426B">
        <w:rPr>
          <w:rFonts w:ascii="Book Antiqua" w:eastAsia="Book Antiqua" w:hAnsi="Book Antiqua" w:cs="Book Antiqua"/>
          <w:color w:val="000000"/>
        </w:rPr>
        <w:t>cm ×</w:t>
      </w:r>
      <w:r w:rsidRPr="00F4426B">
        <w:rPr>
          <w:rFonts w:ascii="Book Antiqua" w:eastAsia="Book Antiqua" w:hAnsi="Book Antiqua" w:cs="Book Antiqua"/>
          <w:color w:val="000000"/>
        </w:rPr>
        <w:t xml:space="preserve"> 2.0 cm. This pathological mass with polypoid lesions was sent for pathological, immunohistochemical and genetic analyses, which confirmed Grade 2 FL with the following marker combination</w:t>
      </w:r>
      <w:r w:rsidR="00303747" w:rsidRPr="00F4426B">
        <w:rPr>
          <w:rFonts w:ascii="Book Antiqua" w:eastAsia="Book Antiqua" w:hAnsi="Book Antiqua" w:cs="Book Antiqua"/>
          <w:color w:val="000000"/>
        </w:rPr>
        <w:t>s</w:t>
      </w:r>
      <w:r w:rsidRPr="00F4426B">
        <w:rPr>
          <w:rFonts w:ascii="Book Antiqua" w:eastAsia="Book Antiqua" w:hAnsi="Book Antiqua" w:cs="Book Antiqua"/>
          <w:color w:val="000000"/>
        </w:rPr>
        <w:t>: CD20</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CD23</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CD3</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CD5</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bcl-2</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bcl-6</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CD10</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w:t>
      </w:r>
      <w:r w:rsidR="00303747" w:rsidRPr="00F4426B">
        <w:rPr>
          <w:rFonts w:ascii="Book Antiqua" w:eastAsia="Book Antiqua" w:hAnsi="Book Antiqua" w:cs="Book Antiqua"/>
          <w:color w:val="000000"/>
        </w:rPr>
        <w:t xml:space="preserve"> and</w:t>
      </w:r>
      <w:r w:rsidRPr="00F4426B">
        <w:rPr>
          <w:rFonts w:ascii="Book Antiqua" w:eastAsia="Book Antiqua" w:hAnsi="Book Antiqua" w:cs="Book Antiqua"/>
          <w:color w:val="000000"/>
        </w:rPr>
        <w:t xml:space="preserve"> Ki-67</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(80%). Afterwards, in July 2020, she was admitted to the Department of Internal Diseases and Oncological Chemotherapy of the Medical University of Silesia in Katowice to evaluate the advancement of the disease and implement the targeted therapy.</w:t>
      </w:r>
    </w:p>
    <w:p w14:paraId="62A2FD4E" w14:textId="77777777" w:rsidR="00A77B3E" w:rsidRPr="00F4426B" w:rsidRDefault="00A77B3E" w:rsidP="00D66732">
      <w:pPr>
        <w:spacing w:line="360" w:lineRule="auto"/>
        <w:jc w:val="both"/>
        <w:rPr>
          <w:rFonts w:ascii="Book Antiqua" w:hAnsi="Book Antiqua"/>
        </w:rPr>
      </w:pPr>
    </w:p>
    <w:p w14:paraId="21DC854F"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i/>
          <w:color w:val="000000"/>
        </w:rPr>
        <w:t>History of past illness</w:t>
      </w:r>
    </w:p>
    <w:p w14:paraId="23F2F7BA" w14:textId="7EB9EC32" w:rsidR="00A77B3E" w:rsidRPr="00F4426B" w:rsidRDefault="00303747" w:rsidP="00D66732">
      <w:pPr>
        <w:spacing w:line="360" w:lineRule="auto"/>
        <w:jc w:val="both"/>
        <w:rPr>
          <w:rFonts w:ascii="Book Antiqua" w:hAnsi="Book Antiqua"/>
        </w:rPr>
      </w:pPr>
      <w:r w:rsidRPr="00F4426B">
        <w:rPr>
          <w:rFonts w:ascii="Book Antiqua" w:eastAsia="Book Antiqua" w:hAnsi="Book Antiqua" w:cs="Book Antiqua"/>
          <w:color w:val="000000"/>
        </w:rPr>
        <w:t>T</w:t>
      </w:r>
      <w:r w:rsidR="007E015A" w:rsidRPr="00F4426B">
        <w:rPr>
          <w:rFonts w:ascii="Book Antiqua" w:eastAsia="Book Antiqua" w:hAnsi="Book Antiqua" w:cs="Book Antiqua"/>
          <w:color w:val="000000"/>
        </w:rPr>
        <w:t xml:space="preserve">he patient reported suffering from arterial hypertension, hypothyroidism, glaucoma and hyperuricemia. She underwent a radical, right-side nephrectomy 25 years ago due to kidney tumor (the </w:t>
      </w:r>
      <w:r w:rsidR="00F35B67" w:rsidRPr="00F4426B">
        <w:rPr>
          <w:rFonts w:ascii="Book Antiqua" w:eastAsia="Book Antiqua" w:hAnsi="Book Antiqua" w:cs="Book Antiqua"/>
          <w:color w:val="000000"/>
        </w:rPr>
        <w:t>estimated glomerular filtration rate</w:t>
      </w:r>
      <w:r w:rsidR="007E015A" w:rsidRPr="00F4426B">
        <w:rPr>
          <w:rFonts w:ascii="Book Antiqua" w:eastAsia="Book Antiqua" w:hAnsi="Book Antiqua" w:cs="Book Antiqua"/>
          <w:color w:val="000000"/>
        </w:rPr>
        <w:t xml:space="preserve"> of the remaining kidney was 41 mL/min</w:t>
      </w:r>
      <w:r w:rsidR="00F53985" w:rsidRPr="00F4426B">
        <w:rPr>
          <w:rFonts w:ascii="Book Antiqua" w:eastAsia="Book Antiqua" w:hAnsi="Book Antiqua" w:cs="Book Antiqua"/>
          <w:color w:val="000000"/>
        </w:rPr>
        <w:t xml:space="preserve"> per </w:t>
      </w:r>
      <w:r w:rsidR="007E015A" w:rsidRPr="00F4426B">
        <w:rPr>
          <w:rFonts w:ascii="Book Antiqua" w:eastAsia="Book Antiqua" w:hAnsi="Book Antiqua" w:cs="Book Antiqua"/>
          <w:color w:val="000000"/>
        </w:rPr>
        <w:t>1.73 m</w:t>
      </w:r>
      <w:r w:rsidR="007E015A" w:rsidRPr="00F4426B">
        <w:rPr>
          <w:rFonts w:ascii="Book Antiqua" w:eastAsia="Book Antiqua" w:hAnsi="Book Antiqua" w:cs="Book Antiqua"/>
          <w:color w:val="000000"/>
          <w:vertAlign w:val="superscript"/>
        </w:rPr>
        <w:t>2</w:t>
      </w:r>
      <w:r w:rsidR="007E015A" w:rsidRPr="00F4426B">
        <w:rPr>
          <w:rFonts w:ascii="Book Antiqua" w:eastAsia="Book Antiqua" w:hAnsi="Book Antiqua" w:cs="Book Antiqua"/>
          <w:color w:val="000000"/>
        </w:rPr>
        <w:t>).</w:t>
      </w:r>
    </w:p>
    <w:p w14:paraId="3B164DBF" w14:textId="77777777" w:rsidR="00A77B3E" w:rsidRPr="00F4426B" w:rsidRDefault="00A77B3E" w:rsidP="00D66732">
      <w:pPr>
        <w:spacing w:line="360" w:lineRule="auto"/>
        <w:jc w:val="both"/>
        <w:rPr>
          <w:rFonts w:ascii="Book Antiqua" w:hAnsi="Book Antiqua"/>
        </w:rPr>
      </w:pPr>
    </w:p>
    <w:p w14:paraId="61B1748C"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i/>
          <w:color w:val="000000"/>
        </w:rPr>
        <w:t>Personal and family history</w:t>
      </w:r>
    </w:p>
    <w:p w14:paraId="6FD108BB" w14:textId="2C27F2D1"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The family history was not relevant as for neoplasms</w:t>
      </w:r>
      <w:r w:rsidR="00EC7D5A"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and there were not any known drug allergies nor use of any psychoactive substances.</w:t>
      </w:r>
    </w:p>
    <w:p w14:paraId="4148E106" w14:textId="77777777" w:rsidR="00A77B3E" w:rsidRPr="00F4426B" w:rsidRDefault="00A77B3E" w:rsidP="00D66732">
      <w:pPr>
        <w:spacing w:line="360" w:lineRule="auto"/>
        <w:jc w:val="both"/>
        <w:rPr>
          <w:rFonts w:ascii="Book Antiqua" w:hAnsi="Book Antiqua"/>
        </w:rPr>
      </w:pPr>
    </w:p>
    <w:p w14:paraId="23ED7D05"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i/>
          <w:color w:val="000000"/>
        </w:rPr>
        <w:t>Physical examination</w:t>
      </w:r>
    </w:p>
    <w:p w14:paraId="68E1FA7C" w14:textId="54544FDC"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On admission, the patient was alert, self-oriented and complained of progressive fatigue (without B symptoms)</w:t>
      </w:r>
      <w:r w:rsidR="00EC7D5A"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w:t>
      </w:r>
      <w:r w:rsidR="00EC7D5A" w:rsidRPr="00F4426B">
        <w:rPr>
          <w:rFonts w:ascii="Book Antiqua" w:eastAsia="Book Antiqua" w:hAnsi="Book Antiqua" w:cs="Book Antiqua"/>
          <w:color w:val="000000"/>
        </w:rPr>
        <w:t>N</w:t>
      </w:r>
      <w:r w:rsidRPr="00F4426B">
        <w:rPr>
          <w:rFonts w:ascii="Book Antiqua" w:eastAsia="Book Antiqua" w:hAnsi="Book Antiqua" w:cs="Book Antiqua"/>
          <w:color w:val="000000"/>
        </w:rPr>
        <w:t>o additional symptoms on the part of other organs or systems were reported. Her general well-being and activities of daily life were assessed as ECOG 1 (symptomatic but completely ambulatory). General examination, apart from obesity (</w:t>
      </w:r>
      <w:r w:rsidR="00F53985" w:rsidRPr="00F4426B">
        <w:rPr>
          <w:rFonts w:ascii="Book Antiqua" w:eastAsia="Book Antiqua" w:hAnsi="Book Antiqua" w:cs="Book Antiqua"/>
          <w:color w:val="000000"/>
        </w:rPr>
        <w:t>body mass index</w:t>
      </w:r>
      <w:r w:rsidRPr="00F4426B">
        <w:rPr>
          <w:rFonts w:ascii="Book Antiqua" w:eastAsia="Book Antiqua" w:hAnsi="Book Antiqua" w:cs="Book Antiqua"/>
          <w:color w:val="000000"/>
        </w:rPr>
        <w:t xml:space="preserve"> 30.5 kg/m</w:t>
      </w:r>
      <w:r w:rsidRPr="00F4426B">
        <w:rPr>
          <w:rFonts w:ascii="Book Antiqua" w:eastAsia="Book Antiqua" w:hAnsi="Book Antiqua" w:cs="Book Antiqua"/>
          <w:color w:val="000000"/>
          <w:vertAlign w:val="superscript"/>
        </w:rPr>
        <w:t>2</w:t>
      </w:r>
      <w:r w:rsidRPr="00F4426B">
        <w:rPr>
          <w:rFonts w:ascii="Book Antiqua" w:eastAsia="Book Antiqua" w:hAnsi="Book Antiqua" w:cs="Book Antiqua"/>
          <w:color w:val="000000"/>
        </w:rPr>
        <w:t>) and the nephrectomy scar, did not reveal any other abnormalities.</w:t>
      </w:r>
    </w:p>
    <w:p w14:paraId="405366CD" w14:textId="77777777" w:rsidR="00A77B3E" w:rsidRPr="00F4426B" w:rsidRDefault="00A77B3E" w:rsidP="00D66732">
      <w:pPr>
        <w:spacing w:line="360" w:lineRule="auto"/>
        <w:jc w:val="both"/>
        <w:rPr>
          <w:rFonts w:ascii="Book Antiqua" w:hAnsi="Book Antiqua"/>
        </w:rPr>
      </w:pPr>
    </w:p>
    <w:p w14:paraId="5A9B94B2"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i/>
          <w:color w:val="000000"/>
        </w:rPr>
        <w:t>Laboratory examinations</w:t>
      </w:r>
    </w:p>
    <w:p w14:paraId="1DA462C8" w14:textId="4E14E7F9"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Conducted blood tests primarily did not indicate infectious background (lymphopenia 0.89 G/L, </w:t>
      </w:r>
      <w:r w:rsidR="00F53985" w:rsidRPr="00F4426B">
        <w:rPr>
          <w:rFonts w:ascii="Book Antiqua" w:eastAsia="Book Antiqua" w:hAnsi="Book Antiqua" w:cs="Book Antiqua"/>
          <w:color w:val="000000"/>
        </w:rPr>
        <w:t>C-reactive protein</w:t>
      </w:r>
      <w:r w:rsidRPr="00F4426B">
        <w:rPr>
          <w:rFonts w:ascii="Book Antiqua" w:eastAsia="Book Antiqua" w:hAnsi="Book Antiqua" w:cs="Book Antiqua"/>
          <w:color w:val="000000"/>
        </w:rPr>
        <w:t xml:space="preserve"> 16.47 mg/L, </w:t>
      </w:r>
      <w:r w:rsidR="00F53985" w:rsidRPr="00F4426B">
        <w:rPr>
          <w:rFonts w:ascii="Book Antiqua" w:eastAsia="Book Antiqua" w:hAnsi="Book Antiqua" w:cs="Book Antiqua"/>
          <w:color w:val="000000"/>
        </w:rPr>
        <w:t>procalcitonin</w:t>
      </w:r>
      <w:r w:rsidRPr="00F4426B">
        <w:rPr>
          <w:rFonts w:ascii="Book Antiqua" w:eastAsia="Book Antiqua" w:hAnsi="Book Antiqua" w:cs="Book Antiqua"/>
          <w:color w:val="000000"/>
        </w:rPr>
        <w:t xml:space="preserve"> &lt; 0.05 ng/mL)</w:t>
      </w:r>
      <w:r w:rsidR="00EC7D5A"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w:t>
      </w:r>
      <w:r w:rsidR="00EC7D5A" w:rsidRPr="00F4426B">
        <w:rPr>
          <w:rFonts w:ascii="Book Antiqua" w:eastAsia="Book Antiqua" w:hAnsi="Book Antiqua" w:cs="Book Antiqua"/>
          <w:color w:val="000000"/>
        </w:rPr>
        <w:t>R</w:t>
      </w:r>
      <w:r w:rsidRPr="00F4426B">
        <w:rPr>
          <w:rFonts w:ascii="Book Antiqua" w:eastAsia="Book Antiqua" w:hAnsi="Book Antiqua" w:cs="Book Antiqua"/>
          <w:color w:val="000000"/>
        </w:rPr>
        <w:t xml:space="preserve">eported symptoms were connected </w:t>
      </w:r>
      <w:r w:rsidR="00EC7D5A" w:rsidRPr="00F4426B">
        <w:rPr>
          <w:rFonts w:ascii="Book Antiqua" w:eastAsia="Book Antiqua" w:hAnsi="Book Antiqua" w:cs="Book Antiqua"/>
          <w:color w:val="000000"/>
        </w:rPr>
        <w:t>to</w:t>
      </w:r>
      <w:r w:rsidRPr="00F4426B">
        <w:rPr>
          <w:rFonts w:ascii="Book Antiqua" w:eastAsia="Book Antiqua" w:hAnsi="Book Antiqua" w:cs="Book Antiqua"/>
          <w:color w:val="000000"/>
        </w:rPr>
        <w:t xml:space="preserve"> the adverse effects of </w:t>
      </w:r>
      <w:r w:rsidR="00EC7D5A" w:rsidRPr="00F4426B">
        <w:rPr>
          <w:rFonts w:ascii="Book Antiqua" w:eastAsia="Book Antiqua" w:hAnsi="Book Antiqua" w:cs="Book Antiqua"/>
          <w:color w:val="000000"/>
        </w:rPr>
        <w:t>immunochemotherapy</w:t>
      </w:r>
      <w:r w:rsidRPr="00F4426B">
        <w:rPr>
          <w:rFonts w:ascii="Book Antiqua" w:eastAsia="Book Antiqua" w:hAnsi="Book Antiqua" w:cs="Book Antiqua"/>
          <w:color w:val="000000"/>
        </w:rPr>
        <w:t>. After infusion of multielectrolyte fluids, the patient felt better.</w:t>
      </w:r>
    </w:p>
    <w:p w14:paraId="466E5EA2" w14:textId="77777777" w:rsidR="00A77B3E" w:rsidRPr="00F4426B" w:rsidRDefault="00A77B3E" w:rsidP="00D66732">
      <w:pPr>
        <w:spacing w:line="360" w:lineRule="auto"/>
        <w:jc w:val="both"/>
        <w:rPr>
          <w:rFonts w:ascii="Book Antiqua" w:hAnsi="Book Antiqua"/>
        </w:rPr>
      </w:pPr>
    </w:p>
    <w:p w14:paraId="13314DBD"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i/>
          <w:color w:val="000000"/>
        </w:rPr>
        <w:t>Imaging examinations</w:t>
      </w:r>
    </w:p>
    <w:p w14:paraId="657FF9D0" w14:textId="3F0B7112"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Interim </w:t>
      </w:r>
      <w:r w:rsidR="0010133C" w:rsidRPr="00F4426B">
        <w:rPr>
          <w:rFonts w:ascii="Book Antiqua" w:eastAsia="Book Antiqua" w:hAnsi="Book Antiqua" w:cs="Book Antiqua"/>
          <w:color w:val="000000"/>
        </w:rPr>
        <w:t>positron emission tomography-computed tomography (PET-CT)</w:t>
      </w:r>
      <w:r w:rsidRPr="00F4426B">
        <w:rPr>
          <w:rFonts w:ascii="Book Antiqua" w:eastAsia="Book Antiqua" w:hAnsi="Book Antiqua" w:cs="Book Antiqua"/>
          <w:color w:val="000000"/>
        </w:rPr>
        <w:t xml:space="preserve"> scan was performed, as planned, before the</w:t>
      </w:r>
      <w:r w:rsidR="00EC7D5A" w:rsidRPr="00F4426B">
        <w:rPr>
          <w:rFonts w:ascii="Book Antiqua" w:eastAsia="Book Antiqua" w:hAnsi="Book Antiqua" w:cs="Book Antiqua"/>
          <w:color w:val="000000"/>
        </w:rPr>
        <w:t xml:space="preserve"> fourth</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cycle</w:t>
      </w:r>
      <w:r w:rsidR="00EC7D5A"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and then rituximab infusion was given (before PET-CT description). The following day, the results of imaging (</w:t>
      </w:r>
      <w:r w:rsidR="008C57EF" w:rsidRPr="00F4426B">
        <w:rPr>
          <w:rFonts w:ascii="Book Antiqua" w:eastAsia="Book Antiqua" w:hAnsi="Book Antiqua" w:cs="Book Antiqua"/>
          <w:color w:val="000000"/>
        </w:rPr>
        <w:t>Figure</w:t>
      </w:r>
      <w:r w:rsidR="00857428" w:rsidRPr="00F4426B">
        <w:rPr>
          <w:rFonts w:ascii="Book Antiqua" w:eastAsia="Book Antiqua" w:hAnsi="Book Antiqua" w:cs="Book Antiqua"/>
          <w:color w:val="000000"/>
        </w:rPr>
        <w:t xml:space="preserve"> 1</w:t>
      </w:r>
      <w:r w:rsidRPr="00F4426B">
        <w:rPr>
          <w:rFonts w:ascii="Book Antiqua" w:eastAsia="Book Antiqua" w:hAnsi="Book Antiqua" w:cs="Book Antiqua"/>
          <w:color w:val="000000"/>
        </w:rPr>
        <w:t>) demonstrated the regression in metabolism and measurements of affected lymph nodes and spleen.</w:t>
      </w:r>
    </w:p>
    <w:p w14:paraId="799F9C91" w14:textId="67C1FD69" w:rsidR="00A77B3E" w:rsidRPr="00F4426B" w:rsidRDefault="00EC7D5A"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N</w:t>
      </w:r>
      <w:r w:rsidR="007E015A" w:rsidRPr="00F4426B">
        <w:rPr>
          <w:rFonts w:ascii="Book Antiqua" w:eastAsia="Book Antiqua" w:hAnsi="Book Antiqua" w:cs="Book Antiqua"/>
          <w:color w:val="000000"/>
        </w:rPr>
        <w:t>onspecific, previously nonexistent pulmonary changes, predominant in the upper and middle lung areas, were described. The differential considerations in the first instance included ongoing inflammatory processes (especially the viral ones) but also drug toxicity reactions.</w:t>
      </w:r>
    </w:p>
    <w:p w14:paraId="7B46581D" w14:textId="77777777" w:rsidR="00A77B3E" w:rsidRPr="00F4426B" w:rsidRDefault="00A77B3E" w:rsidP="00D66732">
      <w:pPr>
        <w:spacing w:line="360" w:lineRule="auto"/>
        <w:jc w:val="both"/>
        <w:rPr>
          <w:rFonts w:ascii="Book Antiqua" w:hAnsi="Book Antiqua"/>
        </w:rPr>
      </w:pPr>
    </w:p>
    <w:p w14:paraId="54AF5109"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i/>
          <w:iCs/>
          <w:color w:val="000000"/>
        </w:rPr>
        <w:t>Initial treatment</w:t>
      </w:r>
    </w:p>
    <w:p w14:paraId="64C4B3E3" w14:textId="0FBFD471"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After the initial routine diagnostic process for the patient with FL, including a PET-CT scan of the neck, thorax, abdomen and pelvis (to stage nodal and extranodal site involvement) as well as laboratory tests such as complete blood count, lactate dehydrogenase, beta-2 microglobulin and uric acid, the clinical stage was evaluated as III according to the Ann Arbor classification system (involved nodes on both sides of the diaphragm and the spleen). Furthermore, Follicular Lymphoma International Prognostic Index was established 3 out of 5 (due to advanced age, anemia and </w:t>
      </w:r>
      <w:r w:rsidR="00EC7D5A" w:rsidRPr="00F4426B">
        <w:rPr>
          <w:rFonts w:ascii="Book Antiqua" w:eastAsia="Book Antiqua" w:hAnsi="Book Antiqua" w:cs="Book Antiqua"/>
          <w:color w:val="000000"/>
        </w:rPr>
        <w:t>clinical stage</w:t>
      </w:r>
      <w:r w:rsidRPr="00F4426B">
        <w:rPr>
          <w:rFonts w:ascii="Book Antiqua" w:eastAsia="Book Antiqua" w:hAnsi="Book Antiqua" w:cs="Book Antiqua"/>
          <w:color w:val="000000"/>
        </w:rPr>
        <w:t xml:space="preserve"> III), predicting a poor prognosis of overall life survival. Although </w:t>
      </w:r>
      <w:r w:rsidR="00873E82" w:rsidRPr="00F4426B">
        <w:rPr>
          <w:rFonts w:ascii="Book Antiqua" w:eastAsia="Book Antiqua" w:hAnsi="Book Antiqua" w:cs="Book Antiqua"/>
          <w:color w:val="000000"/>
        </w:rPr>
        <w:t>European Society for Medical Oncology</w:t>
      </w:r>
      <w:r w:rsidRPr="00F4426B">
        <w:rPr>
          <w:rFonts w:ascii="Book Antiqua" w:eastAsia="Book Antiqua" w:hAnsi="Book Antiqua" w:cs="Book Antiqua"/>
          <w:color w:val="000000"/>
        </w:rPr>
        <w:t xml:space="preserve"> guidelines prefer </w:t>
      </w:r>
      <w:r w:rsidR="00631F42" w:rsidRPr="00F4426B">
        <w:rPr>
          <w:rFonts w:ascii="Book Antiqua" w:eastAsia="Book Antiqua" w:hAnsi="Book Antiqua" w:cs="Book Antiqua"/>
          <w:color w:val="000000"/>
        </w:rPr>
        <w:t>rituximab, cyclophosphamide, doxorubicin, vincristine, prednisone</w:t>
      </w:r>
      <w:r w:rsidRPr="00F4426B">
        <w:rPr>
          <w:rFonts w:ascii="Book Antiqua" w:eastAsia="Book Antiqua" w:hAnsi="Book Antiqua" w:cs="Book Antiqua"/>
          <w:color w:val="000000"/>
        </w:rPr>
        <w:t xml:space="preserve"> regimen as a front</w:t>
      </w:r>
      <w:r w:rsidR="00631F42" w:rsidRPr="00F4426B">
        <w:rPr>
          <w:rFonts w:ascii="Book Antiqua" w:eastAsia="Book Antiqua" w:hAnsi="Book Antiqua" w:cs="Book Antiqua"/>
          <w:color w:val="000000"/>
        </w:rPr>
        <w:t>-</w:t>
      </w:r>
      <w:r w:rsidRPr="00F4426B">
        <w:rPr>
          <w:rFonts w:ascii="Book Antiqua" w:eastAsia="Book Antiqua" w:hAnsi="Book Antiqua" w:cs="Book Antiqua"/>
          <w:color w:val="000000"/>
        </w:rPr>
        <w:t>line treatment of FL</w:t>
      </w:r>
      <w:r w:rsidRPr="00F4426B">
        <w:rPr>
          <w:rFonts w:ascii="Book Antiqua" w:eastAsia="Book Antiqua" w:hAnsi="Book Antiqua" w:cs="Book Antiqua"/>
          <w:color w:val="000000"/>
          <w:vertAlign w:val="superscript"/>
        </w:rPr>
        <w:t>[11]</w:t>
      </w:r>
      <w:r w:rsidRPr="00F4426B">
        <w:rPr>
          <w:rFonts w:ascii="Book Antiqua" w:eastAsia="Book Antiqua" w:hAnsi="Book Antiqua" w:cs="Book Antiqua"/>
          <w:color w:val="000000"/>
        </w:rPr>
        <w:t xml:space="preserve">, patient was qualified for </w:t>
      </w:r>
      <w:r w:rsidR="00631F42" w:rsidRPr="00F4426B">
        <w:rPr>
          <w:rFonts w:ascii="Book Antiqua" w:eastAsia="Book Antiqua" w:hAnsi="Book Antiqua" w:cs="Book Antiqua"/>
          <w:color w:val="000000"/>
        </w:rPr>
        <w:t>immunochemotherapy</w:t>
      </w:r>
      <w:r w:rsidRPr="00F4426B">
        <w:rPr>
          <w:rFonts w:ascii="Book Antiqua" w:eastAsia="Book Antiqua" w:hAnsi="Book Antiqua" w:cs="Book Antiqua"/>
          <w:color w:val="000000"/>
        </w:rPr>
        <w:t xml:space="preserve"> according to </w:t>
      </w:r>
      <w:r w:rsidR="00631F42" w:rsidRPr="00F4426B">
        <w:rPr>
          <w:rFonts w:ascii="Book Antiqua" w:eastAsia="Book Antiqua" w:hAnsi="Book Antiqua" w:cs="Book Antiqua"/>
          <w:color w:val="000000"/>
        </w:rPr>
        <w:t xml:space="preserve">the </w:t>
      </w:r>
      <w:r w:rsidRPr="00F4426B">
        <w:rPr>
          <w:rFonts w:ascii="Book Antiqua" w:eastAsia="Book Antiqua" w:hAnsi="Book Antiqua" w:cs="Book Antiqua"/>
          <w:color w:val="000000"/>
        </w:rPr>
        <w:t>R-CVP protocol (rituximab</w:t>
      </w:r>
      <w:r w:rsidR="00F53985"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375</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mg/m</w:t>
      </w:r>
      <w:r w:rsidRPr="00F4426B">
        <w:rPr>
          <w:rFonts w:ascii="Book Antiqua" w:eastAsia="Book Antiqua" w:hAnsi="Book Antiqua" w:cs="Book Antiqua"/>
          <w:color w:val="000000"/>
          <w:vertAlign w:val="superscript"/>
        </w:rPr>
        <w:t>2</w:t>
      </w:r>
      <w:r w:rsidRPr="00F4426B">
        <w:rPr>
          <w:rFonts w:ascii="Book Antiqua" w:eastAsia="Book Antiqua" w:hAnsi="Book Antiqua" w:cs="Book Antiqua"/>
          <w:color w:val="000000"/>
        </w:rPr>
        <w:t>, cyclophosphamide</w:t>
      </w:r>
      <w:r w:rsidR="00F53985"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1200</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mg, vincristine</w:t>
      </w:r>
      <w:r w:rsidR="00F53985"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1</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mg, prednisone</w:t>
      </w:r>
      <w:r w:rsidR="00F53985"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10</w:t>
      </w:r>
      <w:r w:rsidR="00F53985"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mg)</w:t>
      </w:r>
      <w:r w:rsidRPr="00F4426B">
        <w:rPr>
          <w:rFonts w:ascii="Book Antiqua" w:eastAsia="Book Antiqua" w:hAnsi="Book Antiqua" w:cs="Book Antiqua"/>
          <w:color w:val="000000"/>
          <w:vertAlign w:val="superscript"/>
        </w:rPr>
        <w:t>[12]</w:t>
      </w:r>
      <w:r w:rsidRPr="00F4426B">
        <w:rPr>
          <w:rFonts w:ascii="Book Antiqua" w:eastAsia="Book Antiqua" w:hAnsi="Book Antiqua" w:cs="Book Antiqua"/>
          <w:color w:val="000000"/>
        </w:rPr>
        <w:t xml:space="preserve">. The prevention of </w:t>
      </w:r>
      <w:r w:rsidR="00631F42" w:rsidRPr="00F4426B">
        <w:rPr>
          <w:rFonts w:ascii="Book Antiqua" w:eastAsia="Book Antiqua" w:hAnsi="Book Antiqua" w:cs="Book Antiqua"/>
          <w:color w:val="000000"/>
        </w:rPr>
        <w:t>h</w:t>
      </w:r>
      <w:r w:rsidR="00F53985" w:rsidRPr="00F4426B">
        <w:rPr>
          <w:rFonts w:ascii="Book Antiqua" w:eastAsia="Book Antiqua" w:hAnsi="Book Antiqua" w:cs="Book Antiqua"/>
          <w:color w:val="000000"/>
        </w:rPr>
        <w:t>erpes simplex virus</w:t>
      </w:r>
      <w:r w:rsidRPr="00F4426B">
        <w:rPr>
          <w:rFonts w:ascii="Book Antiqua" w:eastAsia="Book Antiqua" w:hAnsi="Book Antiqua" w:cs="Book Antiqua"/>
          <w:color w:val="000000"/>
        </w:rPr>
        <w:t xml:space="preserve"> and </w:t>
      </w:r>
      <w:r w:rsidR="00631F42" w:rsidRPr="00F4426B">
        <w:rPr>
          <w:rFonts w:ascii="Book Antiqua" w:eastAsia="Book Antiqua" w:hAnsi="Book Antiqua" w:cs="Book Antiqua"/>
          <w:color w:val="000000"/>
        </w:rPr>
        <w:t>p</w:t>
      </w:r>
      <w:r w:rsidRPr="00F4426B">
        <w:rPr>
          <w:rFonts w:ascii="Book Antiqua" w:eastAsia="Book Antiqua" w:hAnsi="Book Antiqua" w:cs="Book Antiqua"/>
          <w:color w:val="000000"/>
        </w:rPr>
        <w:t>neumocystis infections and emetic complications was applied. At home, after the</w:t>
      </w:r>
      <w:r w:rsidR="00631F42" w:rsidRPr="00F4426B">
        <w:rPr>
          <w:rFonts w:ascii="Book Antiqua" w:eastAsia="Book Antiqua" w:hAnsi="Book Antiqua" w:cs="Book Antiqua"/>
          <w:color w:val="000000"/>
        </w:rPr>
        <w:t xml:space="preserve"> third</w:t>
      </w:r>
      <w:r w:rsidR="006751BF"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xml:space="preserve">cycle of therapy, </w:t>
      </w:r>
      <w:r w:rsidR="00631F42" w:rsidRPr="00F4426B">
        <w:rPr>
          <w:rFonts w:ascii="Book Antiqua" w:eastAsia="Book Antiqua" w:hAnsi="Book Antiqua" w:cs="Book Antiqua"/>
          <w:color w:val="000000"/>
        </w:rPr>
        <w:t>the</w:t>
      </w:r>
      <w:r w:rsidRPr="00F4426B">
        <w:rPr>
          <w:rFonts w:ascii="Book Antiqua" w:eastAsia="Book Antiqua" w:hAnsi="Book Antiqua" w:cs="Book Antiqua"/>
          <w:color w:val="000000"/>
        </w:rPr>
        <w:t xml:space="preserve"> patient developed excessive fatigue, loss of appetite and nausea deteriorating since the previous week. During the succeeding hospitali</w:t>
      </w:r>
      <w:r w:rsidR="00631F42" w:rsidRPr="00F4426B">
        <w:rPr>
          <w:rFonts w:ascii="Book Antiqua" w:eastAsia="Book Antiqua" w:hAnsi="Book Antiqua" w:cs="Book Antiqua"/>
          <w:color w:val="000000"/>
        </w:rPr>
        <w:t>z</w:t>
      </w:r>
      <w:r w:rsidRPr="00F4426B">
        <w:rPr>
          <w:rFonts w:ascii="Book Antiqua" w:eastAsia="Book Antiqua" w:hAnsi="Book Antiqua" w:cs="Book Antiqua"/>
          <w:color w:val="000000"/>
        </w:rPr>
        <w:t>ation, the patient’s physical condition weakened</w:t>
      </w:r>
      <w:r w:rsidR="00631F42"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but ECOG remained 1. </w:t>
      </w:r>
    </w:p>
    <w:p w14:paraId="693601B3" w14:textId="77777777" w:rsidR="00A77B3E" w:rsidRPr="00F4426B" w:rsidRDefault="00A77B3E" w:rsidP="00D66732">
      <w:pPr>
        <w:spacing w:line="360" w:lineRule="auto"/>
        <w:jc w:val="both"/>
        <w:rPr>
          <w:rFonts w:ascii="Book Antiqua" w:hAnsi="Book Antiqua"/>
        </w:rPr>
      </w:pPr>
    </w:p>
    <w:p w14:paraId="57EC21FE" w14:textId="5B079A84"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i/>
          <w:color w:val="000000"/>
        </w:rPr>
        <w:t>Further diagnostic work-up</w:t>
      </w:r>
    </w:p>
    <w:p w14:paraId="18E0F1AE" w14:textId="4D45AAF2"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Having regard to the current global epidemiological situation, on </w:t>
      </w:r>
      <w:r w:rsidR="006751BF" w:rsidRPr="00F4426B">
        <w:rPr>
          <w:rFonts w:ascii="Book Antiqua" w:eastAsia="Book Antiqua" w:hAnsi="Book Antiqua" w:cs="Book Antiqua"/>
          <w:color w:val="000000"/>
        </w:rPr>
        <w:t>October 1, 2020</w:t>
      </w:r>
      <w:r w:rsidRPr="00F4426B">
        <w:rPr>
          <w:rFonts w:ascii="Book Antiqua" w:eastAsia="Book Antiqua" w:hAnsi="Book Antiqua" w:cs="Book Antiqua"/>
          <w:color w:val="000000"/>
        </w:rPr>
        <w:t xml:space="preserve"> we extended the diagnostics taking a nasopharyngeal swab to test for SARS-CoV-2, which led to a positive result.</w:t>
      </w:r>
    </w:p>
    <w:p w14:paraId="08A462FA" w14:textId="77777777" w:rsidR="00A77B3E" w:rsidRPr="00F4426B" w:rsidRDefault="00A77B3E" w:rsidP="00D66732">
      <w:pPr>
        <w:spacing w:line="360" w:lineRule="auto"/>
        <w:jc w:val="both"/>
        <w:rPr>
          <w:rFonts w:ascii="Book Antiqua" w:hAnsi="Book Antiqua"/>
        </w:rPr>
      </w:pPr>
    </w:p>
    <w:p w14:paraId="2575BE3B"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aps/>
          <w:color w:val="000000"/>
          <w:u w:val="single"/>
        </w:rPr>
        <w:t>FINAL DIAGNOSIS</w:t>
      </w:r>
    </w:p>
    <w:p w14:paraId="310F93C2" w14:textId="544DD0B9"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SARS-CoV-2 infection during </w:t>
      </w:r>
      <w:r w:rsidR="0010133C" w:rsidRPr="00F4426B">
        <w:rPr>
          <w:rFonts w:ascii="Book Antiqua" w:eastAsia="Book Antiqua" w:hAnsi="Book Antiqua" w:cs="Book Antiqua"/>
          <w:color w:val="000000"/>
        </w:rPr>
        <w:t>FL</w:t>
      </w:r>
      <w:r w:rsidRPr="00F4426B">
        <w:rPr>
          <w:rFonts w:ascii="Book Antiqua" w:eastAsia="Book Antiqua" w:hAnsi="Book Antiqua" w:cs="Book Antiqua"/>
          <w:color w:val="000000"/>
        </w:rPr>
        <w:t xml:space="preserve"> treatment with rituximab. Given the overall clinical picture and the virus incubation period, we could presume community-acquired infection.</w:t>
      </w:r>
    </w:p>
    <w:p w14:paraId="3DA44767" w14:textId="77777777" w:rsidR="00A77B3E" w:rsidRPr="00F4426B" w:rsidRDefault="00A77B3E" w:rsidP="00D66732">
      <w:pPr>
        <w:spacing w:line="360" w:lineRule="auto"/>
        <w:jc w:val="both"/>
        <w:rPr>
          <w:rFonts w:ascii="Book Antiqua" w:hAnsi="Book Antiqua"/>
        </w:rPr>
      </w:pPr>
    </w:p>
    <w:p w14:paraId="625410A9"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aps/>
          <w:color w:val="000000"/>
          <w:u w:val="single"/>
        </w:rPr>
        <w:t>TREATMENT</w:t>
      </w:r>
    </w:p>
    <w:p w14:paraId="4E0FFFDB" w14:textId="39695F6B"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Initiated therapy was limited to rituximab only, with the discontinuation of other regimen components. Despite implementing immunotherapy, the patient remained asymptomatic </w:t>
      </w:r>
      <w:r w:rsidR="00631F42" w:rsidRPr="00F4426B">
        <w:rPr>
          <w:rFonts w:ascii="Book Antiqua" w:eastAsia="Book Antiqua" w:hAnsi="Book Antiqua" w:cs="Book Antiqua"/>
          <w:color w:val="000000"/>
        </w:rPr>
        <w:t xml:space="preserve">for </w:t>
      </w:r>
      <w:r w:rsidRPr="00F4426B">
        <w:rPr>
          <w:rFonts w:ascii="Book Antiqua" w:eastAsia="Book Antiqua" w:hAnsi="Book Antiqua" w:cs="Book Antiqua"/>
          <w:color w:val="000000"/>
        </w:rPr>
        <w:t>fever and typical pulmonary symptoms (cough, dyspnea) accompanying COVID-19. Moreover, her general medical state improved, despite the lack of any other complementary drugs, and she was discharged home for self-isolation.</w:t>
      </w:r>
    </w:p>
    <w:p w14:paraId="56D753F1" w14:textId="77777777" w:rsidR="00A77B3E" w:rsidRPr="00F4426B" w:rsidRDefault="00A77B3E" w:rsidP="00D66732">
      <w:pPr>
        <w:spacing w:line="360" w:lineRule="auto"/>
        <w:jc w:val="both"/>
        <w:rPr>
          <w:rFonts w:ascii="Book Antiqua" w:hAnsi="Book Antiqua"/>
        </w:rPr>
      </w:pPr>
    </w:p>
    <w:p w14:paraId="1DBC2729"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aps/>
          <w:color w:val="000000"/>
          <w:u w:val="single"/>
        </w:rPr>
        <w:t>OUTCOME AND FOLLOW-UP</w:t>
      </w:r>
    </w:p>
    <w:p w14:paraId="563704DE" w14:textId="3ED43A7D"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Having reached a seronegative status along with no auscultation abnormalities or other physical examination findings, the patient successfully received </w:t>
      </w:r>
      <w:r w:rsidR="00631F42" w:rsidRPr="00F4426B">
        <w:rPr>
          <w:rFonts w:ascii="Book Antiqua" w:eastAsia="Book Antiqua" w:hAnsi="Book Antiqua" w:cs="Book Antiqua"/>
          <w:color w:val="000000"/>
        </w:rPr>
        <w:t>six</w:t>
      </w:r>
      <w:r w:rsidRPr="00F4426B">
        <w:rPr>
          <w:rFonts w:ascii="Book Antiqua" w:eastAsia="Book Antiqua" w:hAnsi="Book Antiqua" w:cs="Book Antiqua"/>
          <w:color w:val="000000"/>
        </w:rPr>
        <w:t xml:space="preserve"> cycles</w:t>
      </w:r>
      <w:r w:rsidR="006751BF"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of R-CVP regimen</w:t>
      </w:r>
      <w:r w:rsidR="00631F42"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PET-CT scan was conducted and confirmed complete remission. Then maintenance treatment with rituximab monotherapy was implemented</w:t>
      </w:r>
      <w:r w:rsidR="00631F42"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w:t>
      </w:r>
      <w:r w:rsidR="00631F42" w:rsidRPr="00F4426B">
        <w:rPr>
          <w:rFonts w:ascii="Book Antiqua" w:eastAsia="Book Antiqua" w:hAnsi="Book Antiqua" w:cs="Book Antiqua"/>
          <w:color w:val="000000"/>
        </w:rPr>
        <w:t>A</w:t>
      </w:r>
      <w:r w:rsidRPr="00F4426B">
        <w:rPr>
          <w:rFonts w:ascii="Book Antiqua" w:eastAsia="Book Antiqua" w:hAnsi="Book Antiqua" w:cs="Book Antiqua"/>
          <w:color w:val="000000"/>
        </w:rPr>
        <w:t>t the time of this report</w:t>
      </w:r>
      <w:r w:rsidR="00631F42" w:rsidRPr="00F4426B">
        <w:rPr>
          <w:rFonts w:ascii="Book Antiqua" w:eastAsia="Book Antiqua" w:hAnsi="Book Antiqua" w:cs="Book Antiqua"/>
          <w:color w:val="000000"/>
        </w:rPr>
        <w:t>, the</w:t>
      </w:r>
      <w:r w:rsidRPr="00F4426B">
        <w:rPr>
          <w:rFonts w:ascii="Book Antiqua" w:eastAsia="Book Antiqua" w:hAnsi="Book Antiqua" w:cs="Book Antiqua"/>
          <w:color w:val="000000"/>
        </w:rPr>
        <w:t xml:space="preserve"> patient received</w:t>
      </w:r>
      <w:r w:rsidR="006751BF" w:rsidRPr="00F4426B">
        <w:rPr>
          <w:rFonts w:ascii="Book Antiqua" w:eastAsia="Book Antiqua" w:hAnsi="Book Antiqua" w:cs="Book Antiqua"/>
          <w:color w:val="000000"/>
        </w:rPr>
        <w:t xml:space="preserve"> </w:t>
      </w:r>
      <w:r w:rsidR="00631F42" w:rsidRPr="00F4426B">
        <w:rPr>
          <w:rFonts w:ascii="Book Antiqua" w:eastAsia="Book Antiqua" w:hAnsi="Book Antiqua" w:cs="Book Antiqua"/>
          <w:color w:val="000000"/>
        </w:rPr>
        <w:t>two</w:t>
      </w:r>
      <w:r w:rsidRPr="00F4426B">
        <w:rPr>
          <w:rFonts w:ascii="Book Antiqua" w:eastAsia="Book Antiqua" w:hAnsi="Book Antiqua" w:cs="Book Antiqua"/>
          <w:color w:val="000000"/>
        </w:rPr>
        <w:t xml:space="preserve"> injections of rituximab.</w:t>
      </w:r>
    </w:p>
    <w:p w14:paraId="17C2A29A" w14:textId="77777777" w:rsidR="00A77B3E" w:rsidRPr="00F4426B" w:rsidRDefault="00A77B3E" w:rsidP="00D66732">
      <w:pPr>
        <w:spacing w:line="360" w:lineRule="auto"/>
        <w:jc w:val="both"/>
        <w:rPr>
          <w:rFonts w:ascii="Book Antiqua" w:hAnsi="Book Antiqua"/>
        </w:rPr>
      </w:pPr>
    </w:p>
    <w:p w14:paraId="20E49B47"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aps/>
          <w:color w:val="000000"/>
          <w:u w:val="single"/>
        </w:rPr>
        <w:t>DISCUSSION</w:t>
      </w:r>
    </w:p>
    <w:p w14:paraId="7D25C882" w14:textId="6E3B1E44"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In this paper, we presented the case report of </w:t>
      </w:r>
      <w:r w:rsidR="00591E78" w:rsidRPr="00F4426B">
        <w:rPr>
          <w:rFonts w:ascii="Book Antiqua" w:eastAsia="Book Antiqua" w:hAnsi="Book Antiqua" w:cs="Book Antiqua"/>
          <w:color w:val="000000"/>
        </w:rPr>
        <w:t>an</w:t>
      </w:r>
      <w:r w:rsidRPr="00F4426B">
        <w:rPr>
          <w:rFonts w:ascii="Book Antiqua" w:eastAsia="Book Antiqua" w:hAnsi="Book Antiqua" w:cs="Book Antiqua"/>
          <w:color w:val="000000"/>
        </w:rPr>
        <w:t xml:space="preserve"> elderly woman with FL treated with rituximab, who was diagnosed with COVID-19 during oncological therapy. The course of this infectious disease appeared to be oligosymptomatic with uncharacteristic and nonrelevant to respiratory system symptoms. Such a clinical manifestation mainly suggested the adverse effects of ongoing </w:t>
      </w:r>
      <w:r w:rsidR="00591E78" w:rsidRPr="00F4426B">
        <w:rPr>
          <w:rFonts w:ascii="Book Antiqua" w:eastAsia="Book Antiqua" w:hAnsi="Book Antiqua" w:cs="Book Antiqua"/>
          <w:color w:val="000000"/>
        </w:rPr>
        <w:t>immunochemotherapy</w:t>
      </w:r>
      <w:r w:rsidRPr="00F4426B">
        <w:rPr>
          <w:rFonts w:ascii="Book Antiqua" w:eastAsia="Book Antiqua" w:hAnsi="Book Antiqua" w:cs="Book Antiqua"/>
          <w:color w:val="000000"/>
        </w:rPr>
        <w:t>.</w:t>
      </w:r>
    </w:p>
    <w:p w14:paraId="2D8A1BA3" w14:textId="7D880027" w:rsidR="00A77B3E" w:rsidRPr="00F4426B" w:rsidRDefault="007E015A"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 xml:space="preserve">The recent scientific </w:t>
      </w:r>
      <w:r w:rsidR="00591E78" w:rsidRPr="00F4426B">
        <w:rPr>
          <w:rFonts w:ascii="Book Antiqua" w:eastAsia="Book Antiqua" w:hAnsi="Book Antiqua" w:cs="Book Antiqua"/>
          <w:color w:val="000000"/>
        </w:rPr>
        <w:t>studi</w:t>
      </w:r>
      <w:r w:rsidRPr="00F4426B">
        <w:rPr>
          <w:rFonts w:ascii="Book Antiqua" w:eastAsia="Book Antiqua" w:hAnsi="Book Antiqua" w:cs="Book Antiqua"/>
          <w:color w:val="000000"/>
        </w:rPr>
        <w:t>es report mild to moderate natural history of SARS</w:t>
      </w:r>
      <w:r w:rsidR="00591E78" w:rsidRPr="00F4426B">
        <w:rPr>
          <w:rFonts w:ascii="Book Antiqua" w:eastAsia="Book Antiqua" w:hAnsi="Book Antiqua" w:cs="Book Antiqua"/>
          <w:color w:val="000000"/>
        </w:rPr>
        <w:t>-</w:t>
      </w:r>
      <w:r w:rsidRPr="00F4426B">
        <w:rPr>
          <w:rFonts w:ascii="Book Antiqua" w:eastAsia="Book Antiqua" w:hAnsi="Book Antiqua" w:cs="Book Antiqua"/>
          <w:color w:val="000000"/>
        </w:rPr>
        <w:t>CoV-2 infection as the most frequent one, typically with possible fever, dry cough and tiredness</w:t>
      </w:r>
      <w:r w:rsidRPr="00F4426B">
        <w:rPr>
          <w:rFonts w:ascii="Book Antiqua" w:eastAsia="Book Antiqua" w:hAnsi="Book Antiqua" w:cs="Book Antiqua"/>
          <w:color w:val="000000"/>
          <w:vertAlign w:val="superscript"/>
        </w:rPr>
        <w:t>[13]</w:t>
      </w:r>
      <w:r w:rsidRPr="00F4426B">
        <w:rPr>
          <w:rFonts w:ascii="Book Antiqua" w:eastAsia="Book Antiqua" w:hAnsi="Book Antiqua" w:cs="Book Antiqua"/>
          <w:color w:val="000000"/>
        </w:rPr>
        <w:t>. In COVID-19 positive people, there may also occur other symptoms, in the combination as presented by our patient, but they are not specific enough to test for the novel coronavirus in the first instance. Such a situation can especially be noted in hemato-oncological disorders, where similar manifestations can derive from the targeted treatment as its adverse effects as well as the progression of the neoplasm itself</w:t>
      </w:r>
      <w:r w:rsidRPr="00F4426B">
        <w:rPr>
          <w:rFonts w:ascii="Book Antiqua" w:eastAsia="Book Antiqua" w:hAnsi="Book Antiqua" w:cs="Book Antiqua"/>
          <w:color w:val="000000"/>
          <w:vertAlign w:val="superscript"/>
        </w:rPr>
        <w:t>[14]</w:t>
      </w:r>
      <w:r w:rsidRPr="00F4426B">
        <w:rPr>
          <w:rFonts w:ascii="Book Antiqua" w:eastAsia="Book Antiqua" w:hAnsi="Book Antiqua" w:cs="Book Antiqua"/>
          <w:color w:val="000000"/>
        </w:rPr>
        <w:t>.</w:t>
      </w:r>
    </w:p>
    <w:p w14:paraId="26531229" w14:textId="660F520A" w:rsidR="00A77B3E" w:rsidRPr="00F4426B" w:rsidRDefault="007E015A"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Furthermore, there is scientific evidence that elderliness and conditions such as hematological malignancies, obesity or arterial hypertension predispose to an increased vulnerability to COVID-19 and particularly high risk of serious events related to it</w:t>
      </w:r>
      <w:r w:rsidRPr="00F4426B">
        <w:rPr>
          <w:rFonts w:ascii="Book Antiqua" w:eastAsia="Book Antiqua" w:hAnsi="Book Antiqua" w:cs="Book Antiqua"/>
          <w:color w:val="000000"/>
          <w:vertAlign w:val="superscript"/>
        </w:rPr>
        <w:t>[15-17]</w:t>
      </w:r>
      <w:r w:rsidRPr="00F4426B">
        <w:rPr>
          <w:rFonts w:ascii="Book Antiqua" w:eastAsia="Book Antiqua" w:hAnsi="Book Antiqua" w:cs="Book Antiqua"/>
          <w:color w:val="000000"/>
        </w:rPr>
        <w:t>. According to</w:t>
      </w:r>
      <w:r w:rsidR="00591E78" w:rsidRPr="00F4426B">
        <w:rPr>
          <w:rFonts w:ascii="Book Antiqua" w:eastAsia="Book Antiqua" w:hAnsi="Book Antiqua" w:cs="Book Antiqua"/>
          <w:color w:val="000000"/>
        </w:rPr>
        <w:t xml:space="preserve"> observations from</w:t>
      </w:r>
      <w:r w:rsidRPr="00F4426B">
        <w:rPr>
          <w:rFonts w:ascii="Book Antiqua" w:eastAsia="Book Antiqua" w:hAnsi="Book Antiqua" w:cs="Book Antiqua"/>
          <w:color w:val="000000"/>
        </w:rPr>
        <w:t xml:space="preserve"> Yang </w:t>
      </w:r>
      <w:r w:rsidR="006751BF" w:rsidRPr="00F4426B">
        <w:rPr>
          <w:rFonts w:ascii="Book Antiqua" w:eastAsia="Book Antiqua" w:hAnsi="Book Antiqua" w:cs="Book Antiqua"/>
          <w:i/>
          <w:iCs/>
          <w:color w:val="000000"/>
        </w:rPr>
        <w:t>et al</w:t>
      </w:r>
      <w:r w:rsidR="006751BF" w:rsidRPr="00F4426B">
        <w:rPr>
          <w:rFonts w:ascii="Book Antiqua" w:eastAsia="Book Antiqua" w:hAnsi="Book Antiqua" w:cs="Book Antiqua"/>
          <w:color w:val="000000"/>
          <w:vertAlign w:val="superscript"/>
        </w:rPr>
        <w:t>[8]</w:t>
      </w:r>
      <w:r w:rsidRPr="00F4426B">
        <w:rPr>
          <w:rFonts w:ascii="Book Antiqua" w:eastAsia="Book Antiqua" w:hAnsi="Book Antiqua" w:cs="Book Antiqua"/>
          <w:color w:val="000000"/>
        </w:rPr>
        <w:t xml:space="preserve">, receiving chemotherapy 4 wk before the infection is an unfavorable risk factor. Fortunately, in our case, the course was mild and has not generated any complications so far. Nevertheless, oncologists should always bear in mind the current epidemiological status and have awareness of the possible new viral threat even among asymptomatic people. Similar to our patient, Albano </w:t>
      </w:r>
      <w:r w:rsidRPr="00F4426B">
        <w:rPr>
          <w:rFonts w:ascii="Book Antiqua" w:eastAsia="Book Antiqua" w:hAnsi="Book Antiqua" w:cs="Book Antiqua"/>
          <w:i/>
          <w:iCs/>
          <w:color w:val="000000"/>
        </w:rPr>
        <w:t>et al</w:t>
      </w:r>
      <w:r w:rsidR="006751BF" w:rsidRPr="00F4426B">
        <w:rPr>
          <w:rFonts w:ascii="Book Antiqua" w:eastAsia="Book Antiqua" w:hAnsi="Book Antiqua" w:cs="Book Antiqua"/>
          <w:color w:val="000000"/>
          <w:vertAlign w:val="superscript"/>
        </w:rPr>
        <w:t>[18]</w:t>
      </w:r>
      <w:r w:rsidRPr="00F4426B">
        <w:rPr>
          <w:rFonts w:ascii="Book Antiqua" w:eastAsia="Book Antiqua" w:hAnsi="Book Antiqua" w:cs="Book Antiqua"/>
          <w:color w:val="000000"/>
        </w:rPr>
        <w:t xml:space="preserve"> described five asymptomatic patients undergoing routine PET-CT scans who had radiologically found interstitial pneumonia indeterminate for COVID-19, subsequently proven with reverse transcriptase polymerase chain reaction.</w:t>
      </w:r>
    </w:p>
    <w:p w14:paraId="5BEC6F7B" w14:textId="74CB3BD2" w:rsidR="00A77B3E" w:rsidRPr="00F4426B" w:rsidRDefault="007E015A"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The available literature refers to the treatment during detected COVID-19 in autoimmune and autoinflammatory diseases, such as granulomatosis with polyangiitis, systemic sclerosis, cryopyrin-associated periodic syndrome, spondyloarthritis and pemphigus vulgaris, in which there were severe viral pneumonia or even some fatalities in patients medicated with rituximab</w:t>
      </w:r>
      <w:r w:rsidRPr="00F4426B">
        <w:rPr>
          <w:rFonts w:ascii="Book Antiqua" w:eastAsia="Book Antiqua" w:hAnsi="Book Antiqua" w:cs="Book Antiqua"/>
          <w:color w:val="000000"/>
          <w:vertAlign w:val="superscript"/>
        </w:rPr>
        <w:t>[19</w:t>
      </w:r>
      <w:r w:rsidR="006751BF" w:rsidRPr="00F4426B">
        <w:rPr>
          <w:rFonts w:ascii="Book Antiqua" w:eastAsia="Book Antiqua" w:hAnsi="Book Antiqua" w:cs="Book Antiqua"/>
          <w:color w:val="000000"/>
          <w:vertAlign w:val="superscript"/>
        </w:rPr>
        <w:t>,</w:t>
      </w:r>
      <w:r w:rsidRPr="00F4426B">
        <w:rPr>
          <w:rFonts w:ascii="Book Antiqua" w:eastAsia="Book Antiqua" w:hAnsi="Book Antiqua" w:cs="Book Antiqua"/>
          <w:color w:val="000000"/>
          <w:vertAlign w:val="superscript"/>
        </w:rPr>
        <w:t>20]</w:t>
      </w:r>
      <w:r w:rsidRPr="00F4426B">
        <w:rPr>
          <w:rFonts w:ascii="Book Antiqua" w:eastAsia="Book Antiqua" w:hAnsi="Book Antiqua" w:cs="Book Antiqua"/>
          <w:color w:val="000000"/>
        </w:rPr>
        <w:t>, whereas other drugs widely administered in the foregoing conditions (</w:t>
      </w:r>
      <w:r w:rsidR="006751BF" w:rsidRPr="00F4426B">
        <w:rPr>
          <w:rFonts w:ascii="Book Antiqua" w:eastAsia="Book Antiqua" w:hAnsi="Book Antiqua" w:cs="Book Antiqua"/>
          <w:color w:val="000000"/>
        </w:rPr>
        <w:t>tumor necrosis factor</w:t>
      </w:r>
      <w:r w:rsidRPr="00F4426B">
        <w:rPr>
          <w:rFonts w:ascii="Book Antiqua" w:eastAsia="Book Antiqua" w:hAnsi="Book Antiqua" w:cs="Book Antiqua"/>
          <w:color w:val="000000"/>
        </w:rPr>
        <w:t>-alpha antagonists, anakinra or tocilizumab) did not deteriorate the natural course of COVID-19</w:t>
      </w:r>
      <w:r w:rsidRPr="00F4426B">
        <w:rPr>
          <w:rFonts w:ascii="Book Antiqua" w:eastAsia="Book Antiqua" w:hAnsi="Book Antiqua" w:cs="Book Antiqua"/>
          <w:color w:val="000000"/>
          <w:vertAlign w:val="superscript"/>
        </w:rPr>
        <w:t>[21-24]</w:t>
      </w:r>
      <w:r w:rsidRPr="00F4426B">
        <w:rPr>
          <w:rFonts w:ascii="Book Antiqua" w:eastAsia="Book Antiqua" w:hAnsi="Book Antiqua" w:cs="Book Antiqua"/>
          <w:color w:val="000000"/>
        </w:rPr>
        <w:t>.</w:t>
      </w:r>
    </w:p>
    <w:p w14:paraId="187DB18E" w14:textId="33C2E099" w:rsidR="00A77B3E" w:rsidRPr="00F4426B" w:rsidRDefault="007E015A"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Interestingly, Yasuda</w:t>
      </w:r>
      <w:r w:rsidR="006751BF" w:rsidRPr="00F4426B">
        <w:rPr>
          <w:rFonts w:ascii="Book Antiqua" w:eastAsia="Book Antiqua" w:hAnsi="Book Antiqua" w:cs="Book Antiqua"/>
          <w:color w:val="000000"/>
        </w:rPr>
        <w:t xml:space="preserve"> </w:t>
      </w:r>
      <w:r w:rsidRPr="00F4426B">
        <w:rPr>
          <w:rFonts w:ascii="Book Antiqua" w:eastAsia="Book Antiqua" w:hAnsi="Book Antiqua" w:cs="Book Antiqua"/>
          <w:i/>
          <w:iCs/>
          <w:color w:val="000000"/>
        </w:rPr>
        <w:t>et al</w:t>
      </w:r>
      <w:r w:rsidR="006751BF" w:rsidRPr="00F4426B">
        <w:rPr>
          <w:rFonts w:ascii="Book Antiqua" w:eastAsia="Book Antiqua" w:hAnsi="Book Antiqua" w:cs="Book Antiqua"/>
          <w:color w:val="000000"/>
          <w:vertAlign w:val="superscript"/>
        </w:rPr>
        <w:t>[25]</w:t>
      </w:r>
      <w:r w:rsidRPr="00F4426B">
        <w:rPr>
          <w:rFonts w:ascii="Book Antiqua" w:eastAsia="Book Antiqua" w:hAnsi="Book Antiqua" w:cs="Book Antiqua"/>
          <w:color w:val="000000"/>
        </w:rPr>
        <w:t xml:space="preserve"> reported persistent COVID-19 pneumonia and failure of seroconversion during rituximab maintenance therapy for FL, underlining that rituximab therapy should be avoided whenever possible during the ongoing pandemi</w:t>
      </w:r>
      <w:r w:rsidR="006751BF" w:rsidRPr="00F4426B">
        <w:rPr>
          <w:rFonts w:ascii="Book Antiqua" w:eastAsia="Book Antiqua" w:hAnsi="Book Antiqua" w:cs="Book Antiqua"/>
          <w:color w:val="000000"/>
        </w:rPr>
        <w:t>c</w:t>
      </w:r>
      <w:r w:rsidRPr="00F4426B">
        <w:rPr>
          <w:rFonts w:ascii="Book Antiqua" w:eastAsia="Book Antiqua" w:hAnsi="Book Antiqua" w:cs="Book Antiqua"/>
          <w:color w:val="000000"/>
        </w:rPr>
        <w:t>.</w:t>
      </w:r>
    </w:p>
    <w:p w14:paraId="29114F55" w14:textId="1189C84D" w:rsidR="00A77B3E" w:rsidRPr="00F4426B" w:rsidRDefault="007E015A"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 xml:space="preserve">Another important issue is how treatment with rituximab may affect the success of </w:t>
      </w:r>
      <w:r w:rsidR="00591E78" w:rsidRPr="00F4426B">
        <w:rPr>
          <w:rFonts w:ascii="Book Antiqua" w:eastAsia="Book Antiqua" w:hAnsi="Book Antiqua" w:cs="Book Antiqua"/>
          <w:color w:val="000000"/>
        </w:rPr>
        <w:t xml:space="preserve">a </w:t>
      </w:r>
      <w:r w:rsidRPr="00F4426B">
        <w:rPr>
          <w:rFonts w:ascii="Book Antiqua" w:eastAsia="Book Antiqua" w:hAnsi="Book Antiqua" w:cs="Book Antiqua"/>
          <w:color w:val="000000"/>
        </w:rPr>
        <w:t>possible future vaccine in the patient. According to Rubin</w:t>
      </w:r>
      <w:r w:rsidR="006751BF" w:rsidRPr="00F4426B">
        <w:rPr>
          <w:rFonts w:ascii="Book Antiqua" w:eastAsia="Book Antiqua" w:hAnsi="Book Antiqua" w:cs="Book Antiqua"/>
          <w:color w:val="000000"/>
        </w:rPr>
        <w:t xml:space="preserve"> </w:t>
      </w:r>
      <w:r w:rsidRPr="00F4426B">
        <w:rPr>
          <w:rFonts w:ascii="Book Antiqua" w:eastAsia="Book Antiqua" w:hAnsi="Book Antiqua" w:cs="Book Antiqua"/>
          <w:i/>
          <w:iCs/>
          <w:color w:val="000000"/>
        </w:rPr>
        <w:t>et al</w:t>
      </w:r>
      <w:r w:rsidR="006751BF" w:rsidRPr="00F4426B">
        <w:rPr>
          <w:rFonts w:ascii="Book Antiqua" w:eastAsia="Book Antiqua" w:hAnsi="Book Antiqua" w:cs="Book Antiqua"/>
          <w:color w:val="000000"/>
          <w:vertAlign w:val="superscript"/>
        </w:rPr>
        <w:t>[26]</w:t>
      </w:r>
      <w:r w:rsidRPr="00F4426B">
        <w:rPr>
          <w:rFonts w:ascii="Book Antiqua" w:eastAsia="Book Antiqua" w:hAnsi="Book Antiqua" w:cs="Book Antiqua"/>
          <w:color w:val="000000"/>
        </w:rPr>
        <w:t>, patients receiving rituximab generally should receive the vaccine ≥</w:t>
      </w:r>
      <w:r w:rsidR="006751BF"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6 mo after therapy</w:t>
      </w:r>
      <w:r w:rsidR="00591E78" w:rsidRPr="00F4426B">
        <w:rPr>
          <w:rFonts w:ascii="Book Antiqua" w:eastAsia="Book Antiqua" w:hAnsi="Book Antiqua" w:cs="Book Antiqua"/>
          <w:color w:val="000000"/>
        </w:rPr>
        <w:t xml:space="preserve"> because of their poor immune response.</w:t>
      </w:r>
      <w:r w:rsidR="006751BF" w:rsidRPr="00F4426B">
        <w:rPr>
          <w:rFonts w:ascii="Book Antiqua" w:eastAsia="Book Antiqua" w:hAnsi="Book Antiqua" w:cs="Book Antiqua"/>
          <w:color w:val="000000"/>
        </w:rPr>
        <w:t xml:space="preserve"> </w:t>
      </w:r>
      <w:r w:rsidR="00591E78" w:rsidRPr="00F4426B">
        <w:rPr>
          <w:rFonts w:ascii="Book Antiqua" w:eastAsia="Book Antiqua" w:hAnsi="Book Antiqua" w:cs="Book Antiqua"/>
          <w:color w:val="000000"/>
        </w:rPr>
        <w:t>O</w:t>
      </w:r>
      <w:r w:rsidRPr="00F4426B">
        <w:rPr>
          <w:rFonts w:ascii="Book Antiqua" w:eastAsia="Book Antiqua" w:hAnsi="Book Antiqua" w:cs="Book Antiqua"/>
          <w:color w:val="000000"/>
        </w:rPr>
        <w:t>ur patient</w:t>
      </w:r>
      <w:r w:rsidR="00591E78" w:rsidRPr="00F4426B">
        <w:rPr>
          <w:rFonts w:ascii="Book Antiqua" w:eastAsia="Book Antiqua" w:hAnsi="Book Antiqua" w:cs="Book Antiqua"/>
          <w:color w:val="000000"/>
        </w:rPr>
        <w:t xml:space="preserve"> should wait this long as well</w:t>
      </w:r>
      <w:r w:rsidRPr="00F4426B">
        <w:rPr>
          <w:rFonts w:ascii="Book Antiqua" w:eastAsia="Book Antiqua" w:hAnsi="Book Antiqua" w:cs="Book Antiqua"/>
          <w:color w:val="000000"/>
        </w:rPr>
        <w:t>.</w:t>
      </w:r>
    </w:p>
    <w:p w14:paraId="181D32F1" w14:textId="0551E777" w:rsidR="00A77B3E" w:rsidRPr="00F4426B" w:rsidRDefault="007E015A"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Given the abovementioned, it is worth emphasiz</w:t>
      </w:r>
      <w:r w:rsidR="00056CBD" w:rsidRPr="00F4426B">
        <w:rPr>
          <w:rFonts w:ascii="Book Antiqua" w:eastAsia="Book Antiqua" w:hAnsi="Book Antiqua" w:cs="Book Antiqua"/>
          <w:color w:val="000000"/>
        </w:rPr>
        <w:t>ing</w:t>
      </w:r>
      <w:r w:rsidRPr="00F4426B">
        <w:rPr>
          <w:rFonts w:ascii="Book Antiqua" w:eastAsia="Book Antiqua" w:hAnsi="Book Antiqua" w:cs="Book Antiqua"/>
          <w:color w:val="000000"/>
        </w:rPr>
        <w:t xml:space="preserve"> that we did not find any data concerning the course of COVID-19 while ongoing immunotherapy with monoclonal ant</w:t>
      </w:r>
      <w:r w:rsidR="00056CBD" w:rsidRPr="00F4426B">
        <w:rPr>
          <w:rFonts w:ascii="Book Antiqua" w:eastAsia="Book Antiqua" w:hAnsi="Book Antiqua" w:cs="Book Antiqua"/>
          <w:color w:val="000000"/>
        </w:rPr>
        <w:t>i</w:t>
      </w:r>
      <w:r w:rsidRPr="00F4426B">
        <w:rPr>
          <w:rFonts w:ascii="Book Antiqua" w:eastAsia="Book Antiqua" w:hAnsi="Book Antiqua" w:cs="Book Antiqua"/>
          <w:color w:val="000000"/>
        </w:rPr>
        <w:t>-CD20 antibodies due to oncological purposes</w:t>
      </w:r>
      <w:r w:rsidR="00056CBD"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w:t>
      </w:r>
      <w:r w:rsidR="00056CBD" w:rsidRPr="00F4426B">
        <w:rPr>
          <w:rFonts w:ascii="Book Antiqua" w:eastAsia="Book Antiqua" w:hAnsi="Book Antiqua" w:cs="Book Antiqua"/>
          <w:color w:val="000000"/>
        </w:rPr>
        <w:t>A</w:t>
      </w:r>
      <w:r w:rsidRPr="00F4426B">
        <w:rPr>
          <w:rFonts w:ascii="Book Antiqua" w:eastAsia="Book Antiqua" w:hAnsi="Book Antiqua" w:cs="Book Antiqua"/>
          <w:color w:val="000000"/>
        </w:rPr>
        <w:t>ccording to our knowledge, the presented patient is the first one ever described with such a favorable course of this infection and therefore becomes the unique case.</w:t>
      </w:r>
    </w:p>
    <w:p w14:paraId="333810D5" w14:textId="77777777" w:rsidR="00A77B3E" w:rsidRPr="00F4426B" w:rsidRDefault="00A77B3E" w:rsidP="00D66732">
      <w:pPr>
        <w:spacing w:line="360" w:lineRule="auto"/>
        <w:jc w:val="both"/>
        <w:rPr>
          <w:rFonts w:ascii="Book Antiqua" w:hAnsi="Book Antiqua"/>
        </w:rPr>
      </w:pPr>
    </w:p>
    <w:p w14:paraId="08EA8796"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aps/>
          <w:color w:val="000000"/>
          <w:u w:val="single"/>
        </w:rPr>
        <w:t>CONCLUSION</w:t>
      </w:r>
    </w:p>
    <w:p w14:paraId="28602E8E" w14:textId="32297ECC" w:rsidR="00A77B3E" w:rsidRPr="00F4426B" w:rsidRDefault="007E015A" w:rsidP="00D66732">
      <w:pPr>
        <w:spacing w:line="360" w:lineRule="auto"/>
        <w:jc w:val="both"/>
        <w:rPr>
          <w:rFonts w:ascii="Book Antiqua" w:hAnsi="Book Antiqua"/>
        </w:rPr>
      </w:pPr>
      <w:r w:rsidRPr="00F4426B">
        <w:rPr>
          <w:rStyle w:val="jlqj4b"/>
          <w:rFonts w:ascii="Book Antiqua" w:eastAsia="Book Antiqua" w:hAnsi="Book Antiqua" w:cs="Book Antiqua"/>
          <w:color w:val="000000"/>
        </w:rPr>
        <w:t>From our point of view, this case report may be important,</w:t>
      </w:r>
      <w:r w:rsidR="006751BF" w:rsidRPr="00F4426B">
        <w:rPr>
          <w:rStyle w:val="jlqj4b"/>
          <w:rFonts w:ascii="Book Antiqua" w:eastAsia="Book Antiqua" w:hAnsi="Book Antiqua" w:cs="Book Antiqua"/>
          <w:color w:val="000000"/>
        </w:rPr>
        <w:t xml:space="preserve"> </w:t>
      </w:r>
      <w:r w:rsidRPr="00F4426B">
        <w:rPr>
          <w:rStyle w:val="jlqj4b"/>
          <w:rFonts w:ascii="Book Antiqua" w:eastAsia="Book Antiqua" w:hAnsi="Book Antiqua" w:cs="Book Antiqua"/>
          <w:color w:val="000000"/>
        </w:rPr>
        <w:t>especially regarding patients with an oligosymptomatic course of COVID-19 but requiring urgent lymphoma treatment.</w:t>
      </w:r>
    </w:p>
    <w:p w14:paraId="0CE6C5BF" w14:textId="328015BF" w:rsidR="00A77B3E" w:rsidRPr="00F4426B" w:rsidRDefault="00056CBD" w:rsidP="00D66732">
      <w:pPr>
        <w:spacing w:line="360" w:lineRule="auto"/>
        <w:ind w:firstLineChars="100" w:firstLine="240"/>
        <w:jc w:val="both"/>
        <w:rPr>
          <w:rFonts w:ascii="Book Antiqua" w:hAnsi="Book Antiqua"/>
        </w:rPr>
      </w:pPr>
      <w:r w:rsidRPr="00F4426B">
        <w:rPr>
          <w:rFonts w:ascii="Book Antiqua" w:eastAsia="Book Antiqua" w:hAnsi="Book Antiqua" w:cs="Book Antiqua"/>
          <w:color w:val="000000"/>
        </w:rPr>
        <w:t>The p</w:t>
      </w:r>
      <w:r w:rsidR="007E015A" w:rsidRPr="00F4426B">
        <w:rPr>
          <w:rFonts w:ascii="Book Antiqua" w:eastAsia="Book Antiqua" w:hAnsi="Book Antiqua" w:cs="Book Antiqua"/>
          <w:color w:val="000000"/>
        </w:rPr>
        <w:t>resented course of events was not a standard one</w:t>
      </w:r>
      <w:r w:rsidRPr="00F4426B">
        <w:rPr>
          <w:rFonts w:ascii="Book Antiqua" w:eastAsia="Book Antiqua" w:hAnsi="Book Antiqua" w:cs="Book Antiqua"/>
          <w:color w:val="000000"/>
        </w:rPr>
        <w:t>,</w:t>
      </w:r>
      <w:r w:rsidR="007E015A" w:rsidRPr="00F4426B">
        <w:rPr>
          <w:rFonts w:ascii="Book Antiqua" w:eastAsia="Book Antiqua" w:hAnsi="Book Antiqua" w:cs="Book Antiqua"/>
          <w:color w:val="000000"/>
        </w:rPr>
        <w:t xml:space="preserve"> and the rituximab-containing regimen was administered to the SARS-CoV-2 positive patient before having possessed the knowledge about </w:t>
      </w:r>
      <w:r w:rsidRPr="00F4426B">
        <w:rPr>
          <w:rFonts w:ascii="Book Antiqua" w:eastAsia="Book Antiqua" w:hAnsi="Book Antiqua" w:cs="Book Antiqua"/>
          <w:color w:val="000000"/>
        </w:rPr>
        <w:t>the</w:t>
      </w:r>
      <w:r w:rsidR="007E015A" w:rsidRPr="00F4426B">
        <w:rPr>
          <w:rFonts w:ascii="Book Antiqua" w:eastAsia="Book Antiqua" w:hAnsi="Book Antiqua" w:cs="Book Antiqua"/>
          <w:color w:val="000000"/>
        </w:rPr>
        <w:t xml:space="preserve"> viral status. Although the described case report shows that rituximab-based therapy may have no evident negative effect on the clinical course of COVID-19 in patients with FL, it should be remembered that the administration of cancer chemotherapy in patients with COVID-19 is associated with increased mortality</w:t>
      </w:r>
      <w:r w:rsidRPr="00F4426B">
        <w:rPr>
          <w:rFonts w:ascii="Book Antiqua" w:eastAsia="Book Antiqua" w:hAnsi="Book Antiqua" w:cs="Book Antiqua"/>
          <w:color w:val="000000"/>
        </w:rPr>
        <w:t>.</w:t>
      </w:r>
      <w:r w:rsidR="007E015A"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C</w:t>
      </w:r>
      <w:r w:rsidR="007E015A" w:rsidRPr="00F4426B">
        <w:rPr>
          <w:rFonts w:ascii="Book Antiqua" w:eastAsia="Book Antiqua" w:hAnsi="Book Antiqua" w:cs="Book Antiqua"/>
          <w:color w:val="000000"/>
        </w:rPr>
        <w:t>ertainly</w:t>
      </w:r>
      <w:r w:rsidR="00FB0721" w:rsidRPr="00F4426B">
        <w:rPr>
          <w:rFonts w:ascii="Book Antiqua" w:eastAsia="Book Antiqua" w:hAnsi="Book Antiqua" w:cs="Book Antiqua"/>
          <w:color w:val="000000"/>
        </w:rPr>
        <w:t>,</w:t>
      </w:r>
      <w:r w:rsidR="007E015A" w:rsidRPr="00F4426B">
        <w:rPr>
          <w:rFonts w:ascii="Book Antiqua" w:eastAsia="Book Antiqua" w:hAnsi="Book Antiqua" w:cs="Book Antiqua"/>
          <w:color w:val="000000"/>
        </w:rPr>
        <w:t xml:space="preserve"> further research is needed to learn the causes of distinct COVID-19 clinical courses in patients undergoing the same anti-CD20 treatment.</w:t>
      </w:r>
    </w:p>
    <w:p w14:paraId="0C3CE0CB" w14:textId="77777777" w:rsidR="00A77B3E" w:rsidRPr="00F4426B" w:rsidRDefault="00A77B3E" w:rsidP="00D66732">
      <w:pPr>
        <w:spacing w:line="360" w:lineRule="auto"/>
        <w:jc w:val="both"/>
        <w:rPr>
          <w:rFonts w:ascii="Book Antiqua" w:hAnsi="Book Antiqua"/>
        </w:rPr>
      </w:pPr>
    </w:p>
    <w:p w14:paraId="16888C43"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REFERENCES</w:t>
      </w:r>
    </w:p>
    <w:p w14:paraId="0F79A8E1"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 </w:t>
      </w:r>
      <w:r w:rsidRPr="00F4426B">
        <w:rPr>
          <w:rFonts w:ascii="Book Antiqua" w:eastAsia="Book Antiqua" w:hAnsi="Book Antiqua" w:cs="Book Antiqua"/>
          <w:b/>
          <w:bCs/>
          <w:color w:val="000000"/>
        </w:rPr>
        <w:t>Mounier M</w:t>
      </w:r>
      <w:r w:rsidRPr="00F4426B">
        <w:rPr>
          <w:rFonts w:ascii="Book Antiqua" w:eastAsia="Book Antiqua" w:hAnsi="Book Antiqua" w:cs="Book Antiqua"/>
          <w:color w:val="000000"/>
        </w:rPr>
        <w:t xml:space="preserve">, Bossard N, Remontet L, Belot A, Minicozzi P, De Angelis R, Capocaccia R, Iwaz J, Monnereau A, Troussard X, Sant M, Maynadié M, Giorgi R; EUROCARE-5 Working Group; CENSUR Working Survival Group. Changes in dynamics of excess mortality rates and net survival after diagnosis of follicular lymphoma or diffuse large B-cell lymphoma: comparison between European population-based data (EUROCARE-5). </w:t>
      </w:r>
      <w:r w:rsidRPr="00F4426B">
        <w:rPr>
          <w:rFonts w:ascii="Book Antiqua" w:eastAsia="Book Antiqua" w:hAnsi="Book Antiqua" w:cs="Book Antiqua"/>
          <w:i/>
          <w:iCs/>
          <w:color w:val="000000"/>
        </w:rPr>
        <w:t>Lancet Haematol</w:t>
      </w:r>
      <w:r w:rsidRPr="00F4426B">
        <w:rPr>
          <w:rFonts w:ascii="Book Antiqua" w:eastAsia="Book Antiqua" w:hAnsi="Book Antiqua" w:cs="Book Antiqua"/>
          <w:color w:val="000000"/>
        </w:rPr>
        <w:t xml:space="preserve"> 2015; </w:t>
      </w:r>
      <w:r w:rsidRPr="00F4426B">
        <w:rPr>
          <w:rFonts w:ascii="Book Antiqua" w:eastAsia="Book Antiqua" w:hAnsi="Book Antiqua" w:cs="Book Antiqua"/>
          <w:b/>
          <w:bCs/>
          <w:color w:val="000000"/>
        </w:rPr>
        <w:t>2</w:t>
      </w:r>
      <w:r w:rsidRPr="00F4426B">
        <w:rPr>
          <w:rFonts w:ascii="Book Antiqua" w:eastAsia="Book Antiqua" w:hAnsi="Book Antiqua" w:cs="Book Antiqua"/>
          <w:color w:val="000000"/>
        </w:rPr>
        <w:t>: e481-e491 [PMID: 26686258 DOI: 10.1016/S2352-3026(15)00155-6]</w:t>
      </w:r>
    </w:p>
    <w:p w14:paraId="49507E9A"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2 </w:t>
      </w:r>
      <w:r w:rsidRPr="00F4426B">
        <w:rPr>
          <w:rFonts w:ascii="Book Antiqua" w:eastAsia="Book Antiqua" w:hAnsi="Book Antiqua" w:cs="Book Antiqua"/>
          <w:b/>
          <w:bCs/>
          <w:color w:val="000000"/>
        </w:rPr>
        <w:t>Bargetzi M</w:t>
      </w:r>
      <w:r w:rsidRPr="00F4426B">
        <w:rPr>
          <w:rFonts w:ascii="Book Antiqua" w:eastAsia="Book Antiqua" w:hAnsi="Book Antiqua" w:cs="Book Antiqua"/>
          <w:color w:val="000000"/>
        </w:rPr>
        <w:t xml:space="preserve">, Baumann R, Cogliatti S, Dietrich PY, Duchosal M, Goede J, Hitz F, Konermann C, Lohri A, Mey U, Novak U, Papachristofilou A, Stenner F, Taverna C, Zander T, Renner C. Diagnosis and treatment of follicular lymphoma: an update. </w:t>
      </w:r>
      <w:r w:rsidRPr="00F4426B">
        <w:rPr>
          <w:rFonts w:ascii="Book Antiqua" w:eastAsia="Book Antiqua" w:hAnsi="Book Antiqua" w:cs="Book Antiqua"/>
          <w:i/>
          <w:iCs/>
          <w:color w:val="000000"/>
        </w:rPr>
        <w:t>Swiss Med Wkly</w:t>
      </w:r>
      <w:r w:rsidRPr="00F4426B">
        <w:rPr>
          <w:rFonts w:ascii="Book Antiqua" w:eastAsia="Book Antiqua" w:hAnsi="Book Antiqua" w:cs="Book Antiqua"/>
          <w:color w:val="000000"/>
        </w:rPr>
        <w:t xml:space="preserve"> 2018; </w:t>
      </w:r>
      <w:r w:rsidRPr="00F4426B">
        <w:rPr>
          <w:rFonts w:ascii="Book Antiqua" w:eastAsia="Book Antiqua" w:hAnsi="Book Antiqua" w:cs="Book Antiqua"/>
          <w:b/>
          <w:bCs/>
          <w:color w:val="000000"/>
        </w:rPr>
        <w:t>148</w:t>
      </w:r>
      <w:r w:rsidRPr="00F4426B">
        <w:rPr>
          <w:rFonts w:ascii="Book Antiqua" w:eastAsia="Book Antiqua" w:hAnsi="Book Antiqua" w:cs="Book Antiqua"/>
          <w:color w:val="000000"/>
        </w:rPr>
        <w:t>: w14635 [PMID: 30044476 DOI: 10.4414/smw.2018.14635]</w:t>
      </w:r>
    </w:p>
    <w:p w14:paraId="3015C2FF"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3 </w:t>
      </w:r>
      <w:r w:rsidRPr="00F4426B">
        <w:rPr>
          <w:rFonts w:ascii="Book Antiqua" w:eastAsia="Book Antiqua" w:hAnsi="Book Antiqua" w:cs="Book Antiqua"/>
          <w:b/>
          <w:bCs/>
          <w:color w:val="000000"/>
        </w:rPr>
        <w:t>Plosker GL</w:t>
      </w:r>
      <w:r w:rsidRPr="00F4426B">
        <w:rPr>
          <w:rFonts w:ascii="Book Antiqua" w:eastAsia="Book Antiqua" w:hAnsi="Book Antiqua" w:cs="Book Antiqua"/>
          <w:color w:val="000000"/>
        </w:rPr>
        <w:t xml:space="preserve">, Figgitt DP. Rituximab: a review of its use in non-Hodgkin's lymphoma and chronic lymphocytic leukaemia. </w:t>
      </w:r>
      <w:r w:rsidRPr="00F4426B">
        <w:rPr>
          <w:rFonts w:ascii="Book Antiqua" w:eastAsia="Book Antiqua" w:hAnsi="Book Antiqua" w:cs="Book Antiqua"/>
          <w:i/>
          <w:iCs/>
          <w:color w:val="000000"/>
        </w:rPr>
        <w:t>Drugs</w:t>
      </w:r>
      <w:r w:rsidRPr="00F4426B">
        <w:rPr>
          <w:rFonts w:ascii="Book Antiqua" w:eastAsia="Book Antiqua" w:hAnsi="Book Antiqua" w:cs="Book Antiqua"/>
          <w:color w:val="000000"/>
        </w:rPr>
        <w:t xml:space="preserve"> 2003; </w:t>
      </w:r>
      <w:r w:rsidRPr="00F4426B">
        <w:rPr>
          <w:rFonts w:ascii="Book Antiqua" w:eastAsia="Book Antiqua" w:hAnsi="Book Antiqua" w:cs="Book Antiqua"/>
          <w:b/>
          <w:bCs/>
          <w:color w:val="000000"/>
        </w:rPr>
        <w:t>63</w:t>
      </w:r>
      <w:r w:rsidRPr="00F4426B">
        <w:rPr>
          <w:rFonts w:ascii="Book Antiqua" w:eastAsia="Book Antiqua" w:hAnsi="Book Antiqua" w:cs="Book Antiqua"/>
          <w:color w:val="000000"/>
        </w:rPr>
        <w:t>: 803-843 [PMID: 12662126 DOI: 10.2165/00003495-200363080-00005]</w:t>
      </w:r>
    </w:p>
    <w:p w14:paraId="4DE67D70"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4 </w:t>
      </w:r>
      <w:r w:rsidRPr="00F4426B">
        <w:rPr>
          <w:rFonts w:ascii="Book Antiqua" w:eastAsia="Book Antiqua" w:hAnsi="Book Antiqua" w:cs="Book Antiqua"/>
          <w:b/>
          <w:bCs/>
          <w:color w:val="000000"/>
        </w:rPr>
        <w:t>Kelesidis T</w:t>
      </w:r>
      <w:r w:rsidRPr="00F4426B">
        <w:rPr>
          <w:rFonts w:ascii="Book Antiqua" w:eastAsia="Book Antiqua" w:hAnsi="Book Antiqua" w:cs="Book Antiqua"/>
          <w:color w:val="000000"/>
        </w:rPr>
        <w:t xml:space="preserve">, Daikos G, Boumpas D, Tsiodras S. Does rituximab increase the incidence of infectious complications? A narrative review. </w:t>
      </w:r>
      <w:r w:rsidRPr="00F4426B">
        <w:rPr>
          <w:rFonts w:ascii="Book Antiqua" w:eastAsia="Book Antiqua" w:hAnsi="Book Antiqua" w:cs="Book Antiqua"/>
          <w:i/>
          <w:iCs/>
          <w:color w:val="000000"/>
        </w:rPr>
        <w:t>Int J Infect Dis</w:t>
      </w:r>
      <w:r w:rsidRPr="00F4426B">
        <w:rPr>
          <w:rFonts w:ascii="Book Antiqua" w:eastAsia="Book Antiqua" w:hAnsi="Book Antiqua" w:cs="Book Antiqua"/>
          <w:color w:val="000000"/>
        </w:rPr>
        <w:t xml:space="preserve"> 2011; </w:t>
      </w:r>
      <w:r w:rsidRPr="00F4426B">
        <w:rPr>
          <w:rFonts w:ascii="Book Antiqua" w:eastAsia="Book Antiqua" w:hAnsi="Book Antiqua" w:cs="Book Antiqua"/>
          <w:b/>
          <w:bCs/>
          <w:color w:val="000000"/>
        </w:rPr>
        <w:t>15</w:t>
      </w:r>
      <w:r w:rsidRPr="00F4426B">
        <w:rPr>
          <w:rFonts w:ascii="Book Antiqua" w:eastAsia="Book Antiqua" w:hAnsi="Book Antiqua" w:cs="Book Antiqua"/>
          <w:color w:val="000000"/>
        </w:rPr>
        <w:t>: e2-16 [PMID: 21074471 DOI: 10.1016/j.ijid.2010.03.025]</w:t>
      </w:r>
    </w:p>
    <w:p w14:paraId="1E67127F"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5 </w:t>
      </w:r>
      <w:r w:rsidRPr="00F4426B">
        <w:rPr>
          <w:rFonts w:ascii="Book Antiqua" w:eastAsia="Book Antiqua" w:hAnsi="Book Antiqua" w:cs="Book Antiqua"/>
          <w:b/>
          <w:bCs/>
          <w:color w:val="000000"/>
        </w:rPr>
        <w:t>Huang C</w:t>
      </w:r>
      <w:r w:rsidRPr="00F4426B">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F4426B">
        <w:rPr>
          <w:rFonts w:ascii="Book Antiqua" w:eastAsia="Book Antiqua" w:hAnsi="Book Antiqua" w:cs="Book Antiqua"/>
          <w:i/>
          <w:iCs/>
          <w:color w:val="000000"/>
        </w:rPr>
        <w:t>Lancet</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395</w:t>
      </w:r>
      <w:r w:rsidRPr="00F4426B">
        <w:rPr>
          <w:rFonts w:ascii="Book Antiqua" w:eastAsia="Book Antiqua" w:hAnsi="Book Antiqua" w:cs="Book Antiqua"/>
          <w:color w:val="000000"/>
        </w:rPr>
        <w:t>: 497-506 [PMID: 31986264 DOI: 10.1016/S0140-6736(20)30183-5]</w:t>
      </w:r>
    </w:p>
    <w:p w14:paraId="733D5FAF" w14:textId="395011AD"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6 </w:t>
      </w:r>
      <w:r w:rsidRPr="00F4426B">
        <w:rPr>
          <w:rFonts w:ascii="Book Antiqua" w:eastAsia="Book Antiqua" w:hAnsi="Book Antiqua" w:cs="Book Antiqua"/>
          <w:b/>
          <w:bCs/>
          <w:color w:val="000000"/>
        </w:rPr>
        <w:t>World Health Organi</w:t>
      </w:r>
      <w:r w:rsidR="00D93916" w:rsidRPr="00F4426B">
        <w:rPr>
          <w:rFonts w:ascii="Book Antiqua" w:eastAsia="Book Antiqua" w:hAnsi="Book Antiqua" w:cs="Book Antiqua"/>
          <w:b/>
          <w:bCs/>
          <w:color w:val="000000"/>
        </w:rPr>
        <w:t>z</w:t>
      </w:r>
      <w:r w:rsidRPr="00F4426B">
        <w:rPr>
          <w:rFonts w:ascii="Book Antiqua" w:eastAsia="Book Antiqua" w:hAnsi="Book Antiqua" w:cs="Book Antiqua"/>
          <w:b/>
          <w:bCs/>
          <w:color w:val="000000"/>
        </w:rPr>
        <w:t>ation</w:t>
      </w:r>
      <w:r w:rsidR="00D93916"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World Health Organization Regional Office for Europe: WHO announces COVID-19 outbreak a pandemic, 2019. </w:t>
      </w:r>
      <w:r w:rsidR="00D93916" w:rsidRPr="00F4426B">
        <w:rPr>
          <w:rFonts w:ascii="Book Antiqua" w:eastAsia="Book Antiqua" w:hAnsi="Book Antiqua" w:cs="Book Antiqua"/>
          <w:color w:val="000000"/>
        </w:rPr>
        <w:t xml:space="preserve">[cited 8 November 2020]. In: World Health Organization [Internet]. </w:t>
      </w:r>
      <w:r w:rsidRPr="00F4426B">
        <w:rPr>
          <w:rFonts w:ascii="Book Antiqua" w:eastAsia="Book Antiqua" w:hAnsi="Book Antiqua" w:cs="Book Antiqua"/>
          <w:color w:val="000000"/>
        </w:rPr>
        <w:t>Available from: https://www.euro.who.int/en/health-topics/health-emergencies/coronavirus-covid-19/news/news/2020/3/who-announces-covid-19-outbreak-a-pandemic</w:t>
      </w:r>
    </w:p>
    <w:p w14:paraId="148CBCB4" w14:textId="4B40D2BA"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7 </w:t>
      </w:r>
      <w:r w:rsidRPr="00F4426B">
        <w:rPr>
          <w:rFonts w:ascii="Book Antiqua" w:eastAsia="Book Antiqua" w:hAnsi="Book Antiqua" w:cs="Book Antiqua"/>
          <w:b/>
          <w:bCs/>
          <w:color w:val="000000"/>
        </w:rPr>
        <w:t>World Health Organi</w:t>
      </w:r>
      <w:r w:rsidR="00D93916" w:rsidRPr="00F4426B">
        <w:rPr>
          <w:rFonts w:ascii="Book Antiqua" w:eastAsia="Book Antiqua" w:hAnsi="Book Antiqua" w:cs="Book Antiqua"/>
          <w:b/>
          <w:bCs/>
          <w:color w:val="000000"/>
        </w:rPr>
        <w:t>z</w:t>
      </w:r>
      <w:r w:rsidRPr="00F4426B">
        <w:rPr>
          <w:rFonts w:ascii="Book Antiqua" w:eastAsia="Book Antiqua" w:hAnsi="Book Antiqua" w:cs="Book Antiqua"/>
          <w:b/>
          <w:bCs/>
          <w:color w:val="000000"/>
        </w:rPr>
        <w:t>ation</w:t>
      </w:r>
      <w:r w:rsidR="00D93916"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Coronavirus disease (COVID-19) Weekly Epidemiological Update and Weekly Operational Update, 2021. </w:t>
      </w:r>
      <w:r w:rsidR="00D93916" w:rsidRPr="00F4426B">
        <w:rPr>
          <w:rFonts w:ascii="Book Antiqua" w:eastAsia="Book Antiqua" w:hAnsi="Book Antiqua" w:cs="Book Antiqua"/>
          <w:color w:val="000000"/>
        </w:rPr>
        <w:t xml:space="preserve">[cited 19 January 2021]. In: World Health Organization [Internet]. </w:t>
      </w:r>
      <w:r w:rsidRPr="00F4426B">
        <w:rPr>
          <w:rFonts w:ascii="Book Antiqua" w:eastAsia="Book Antiqua" w:hAnsi="Book Antiqua" w:cs="Book Antiqua"/>
          <w:color w:val="000000"/>
        </w:rPr>
        <w:t>Available from: https://www.who.int/emergencies/diseases/novel-coronavirus-2019/situation-reports?fbclid=IwAR2 Ls-e9P7a-xWYuxmRZQ0VhErC-VTJ80qQL8uU7FQObYh6hBXjFi_1Jpo8</w:t>
      </w:r>
    </w:p>
    <w:p w14:paraId="7630103E"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8 </w:t>
      </w:r>
      <w:r w:rsidRPr="00F4426B">
        <w:rPr>
          <w:rFonts w:ascii="Book Antiqua" w:eastAsia="Book Antiqua" w:hAnsi="Book Antiqua" w:cs="Book Antiqua"/>
          <w:b/>
          <w:bCs/>
          <w:color w:val="000000"/>
        </w:rPr>
        <w:t>Yang K</w:t>
      </w:r>
      <w:r w:rsidRPr="00F4426B">
        <w:rPr>
          <w:rFonts w:ascii="Book Antiqua" w:eastAsia="Book Antiqua" w:hAnsi="Book Antiqua" w:cs="Book Antiqua"/>
          <w:color w:val="000000"/>
        </w:rPr>
        <w:t xml:space="preserve">, Sheng Y, Huang C, Jin Y, Xiong N, Jiang K, Lu H, Liu J, Yang J, Dong Y, Pan D, Shu C, Li J, Wei J, Huang Y, Peng L, Wu M, Zhang R, Wu B, Li Y, Cai L, Li G, Zhang T, Wu G. Clinical characteristics, outcomes, and risk factors for mortality in patients with cancer and COVID-19 in Hubei, China: a multicentre, retrospective, cohort study. </w:t>
      </w:r>
      <w:r w:rsidRPr="00F4426B">
        <w:rPr>
          <w:rFonts w:ascii="Book Antiqua" w:eastAsia="Book Antiqua" w:hAnsi="Book Antiqua" w:cs="Book Antiqua"/>
          <w:i/>
          <w:iCs/>
          <w:color w:val="000000"/>
        </w:rPr>
        <w:t>Lancet Oncol</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21</w:t>
      </w:r>
      <w:r w:rsidRPr="00F4426B">
        <w:rPr>
          <w:rFonts w:ascii="Book Antiqua" w:eastAsia="Book Antiqua" w:hAnsi="Book Antiqua" w:cs="Book Antiqua"/>
          <w:color w:val="000000"/>
        </w:rPr>
        <w:t>: 904-913 [PMID: 32479787 DOI: 10.1016/S1470-2045(20)30310-7]</w:t>
      </w:r>
    </w:p>
    <w:p w14:paraId="2CEC05F9" w14:textId="2AA7EEDF"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9 </w:t>
      </w:r>
      <w:r w:rsidRPr="00F4426B">
        <w:rPr>
          <w:rFonts w:ascii="Book Antiqua" w:eastAsia="Book Antiqua" w:hAnsi="Book Antiqua" w:cs="Book Antiqua"/>
          <w:b/>
          <w:bCs/>
          <w:color w:val="000000"/>
        </w:rPr>
        <w:t xml:space="preserve">European Society </w:t>
      </w:r>
      <w:r w:rsidR="00F53985" w:rsidRPr="00F4426B">
        <w:rPr>
          <w:rFonts w:ascii="Book Antiqua" w:eastAsia="Book Antiqua" w:hAnsi="Book Antiqua" w:cs="Book Antiqua"/>
          <w:b/>
          <w:bCs/>
          <w:color w:val="000000"/>
        </w:rPr>
        <w:t>for</w:t>
      </w:r>
      <w:r w:rsidRPr="00F4426B">
        <w:rPr>
          <w:rFonts w:ascii="Book Antiqua" w:eastAsia="Book Antiqua" w:hAnsi="Book Antiqua" w:cs="Book Antiqua"/>
          <w:b/>
          <w:bCs/>
          <w:color w:val="000000"/>
        </w:rPr>
        <w:t xml:space="preserve"> Medical Oncology</w:t>
      </w:r>
      <w:r w:rsidR="00D93916" w:rsidRPr="00F4426B">
        <w:rPr>
          <w:rFonts w:ascii="Book Antiqua" w:eastAsia="Book Antiqua" w:hAnsi="Book Antiqua" w:cs="Book Antiqua"/>
          <w:color w:val="000000"/>
        </w:rPr>
        <w:t>.</w:t>
      </w:r>
      <w:r w:rsidRPr="00F4426B">
        <w:rPr>
          <w:rFonts w:ascii="Book Antiqua" w:eastAsia="Book Antiqua" w:hAnsi="Book Antiqua" w:cs="Book Antiqua"/>
          <w:color w:val="000000"/>
        </w:rPr>
        <w:t xml:space="preserve"> Cancer patient management during the COVID-19 pandemic, 2020. </w:t>
      </w:r>
      <w:r w:rsidR="00D93916" w:rsidRPr="00F4426B">
        <w:rPr>
          <w:rFonts w:ascii="Book Antiqua" w:eastAsia="Book Antiqua" w:hAnsi="Book Antiqua" w:cs="Book Antiqua"/>
          <w:color w:val="000000"/>
        </w:rPr>
        <w:t xml:space="preserve">[cited 9 November 2020]. In: European Society </w:t>
      </w:r>
      <w:r w:rsidR="00F53985" w:rsidRPr="00F4426B">
        <w:rPr>
          <w:rFonts w:ascii="Book Antiqua" w:eastAsia="Book Antiqua" w:hAnsi="Book Antiqua" w:cs="Book Antiqua"/>
          <w:color w:val="000000"/>
        </w:rPr>
        <w:t>for</w:t>
      </w:r>
      <w:r w:rsidR="00D93916" w:rsidRPr="00F4426B">
        <w:rPr>
          <w:rFonts w:ascii="Book Antiqua" w:eastAsia="Book Antiqua" w:hAnsi="Book Antiqua" w:cs="Book Antiqua"/>
          <w:color w:val="000000"/>
        </w:rPr>
        <w:t xml:space="preserve"> Medical Oncology [Internet]. </w:t>
      </w:r>
      <w:r w:rsidRPr="00F4426B">
        <w:rPr>
          <w:rFonts w:ascii="Book Antiqua" w:eastAsia="Book Antiqua" w:hAnsi="Book Antiqua" w:cs="Book Antiqua"/>
          <w:color w:val="000000"/>
        </w:rPr>
        <w:t>Available from: https://www.esmo.org/content/download/300571/5991421/1/ESMO-Recommendations-Covid-19-General-Slide-Set.pptx</w:t>
      </w:r>
    </w:p>
    <w:p w14:paraId="75ADE736" w14:textId="6D7CBEAC"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10 </w:t>
      </w:r>
      <w:r w:rsidRPr="00F4426B">
        <w:rPr>
          <w:rFonts w:ascii="Book Antiqua" w:eastAsia="Book Antiqua" w:hAnsi="Book Antiqua" w:cs="Book Antiqua"/>
          <w:b/>
          <w:bCs/>
          <w:color w:val="000000"/>
        </w:rPr>
        <w:t xml:space="preserve">European Society </w:t>
      </w:r>
      <w:r w:rsidR="00F53985" w:rsidRPr="00F4426B">
        <w:rPr>
          <w:rFonts w:ascii="Book Antiqua" w:eastAsia="Book Antiqua" w:hAnsi="Book Antiqua" w:cs="Book Antiqua"/>
          <w:b/>
          <w:bCs/>
          <w:color w:val="000000"/>
        </w:rPr>
        <w:t>for</w:t>
      </w:r>
      <w:r w:rsidRPr="00F4426B">
        <w:rPr>
          <w:rFonts w:ascii="Book Antiqua" w:eastAsia="Book Antiqua" w:hAnsi="Book Antiqua" w:cs="Book Antiqua"/>
          <w:b/>
          <w:bCs/>
          <w:color w:val="000000"/>
        </w:rPr>
        <w:t xml:space="preserve"> Medical Oncology</w:t>
      </w:r>
      <w:r w:rsidR="00D93916"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 xml:space="preserve">ESMO Management and treatment adapted recommendations in the COVID-19 era: Indolent B-NHL (follicular lymphoma, marginal zone lymphoma, Waldenström’s macroglobulinemia, 2020. </w:t>
      </w:r>
      <w:r w:rsidR="00D93916" w:rsidRPr="00F4426B">
        <w:rPr>
          <w:rFonts w:ascii="Book Antiqua" w:eastAsia="Book Antiqua" w:hAnsi="Book Antiqua" w:cs="Book Antiqua"/>
          <w:color w:val="000000"/>
        </w:rPr>
        <w:t xml:space="preserve">[cited 9 November 2020]. In: European Society </w:t>
      </w:r>
      <w:r w:rsidR="00F53985" w:rsidRPr="00F4426B">
        <w:rPr>
          <w:rFonts w:ascii="Book Antiqua" w:eastAsia="Book Antiqua" w:hAnsi="Book Antiqua" w:cs="Book Antiqua"/>
          <w:color w:val="000000"/>
        </w:rPr>
        <w:t>for</w:t>
      </w:r>
      <w:r w:rsidR="00D93916" w:rsidRPr="00F4426B">
        <w:rPr>
          <w:rFonts w:ascii="Book Antiqua" w:eastAsia="Book Antiqua" w:hAnsi="Book Antiqua" w:cs="Book Antiqua"/>
          <w:color w:val="000000"/>
        </w:rPr>
        <w:t xml:space="preserve"> Medical Oncology [Internet]. </w:t>
      </w:r>
      <w:r w:rsidRPr="00F4426B">
        <w:rPr>
          <w:rFonts w:ascii="Book Antiqua" w:eastAsia="Book Antiqua" w:hAnsi="Book Antiqua" w:cs="Book Antiqua"/>
          <w:color w:val="000000"/>
        </w:rPr>
        <w:t>Available from: https://www.esmo.org/content/download/301081/5998774/1/ESMO-Recommendations-Covid-19-Indolent-Lymphoma-Slide-Set.pptx</w:t>
      </w:r>
    </w:p>
    <w:p w14:paraId="2B8C06F1"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11 </w:t>
      </w:r>
      <w:r w:rsidRPr="00F4426B">
        <w:rPr>
          <w:rFonts w:ascii="Book Antiqua" w:eastAsia="Book Antiqua" w:hAnsi="Book Antiqua" w:cs="Book Antiqua"/>
          <w:b/>
          <w:bCs/>
          <w:color w:val="000000"/>
        </w:rPr>
        <w:t>Dreyling M</w:t>
      </w:r>
      <w:r w:rsidRPr="00F4426B">
        <w:rPr>
          <w:rFonts w:ascii="Book Antiqua" w:eastAsia="Book Antiqua" w:hAnsi="Book Antiqua" w:cs="Book Antiqua"/>
          <w:color w:val="000000"/>
        </w:rPr>
        <w:t xml:space="preserve">, Ghielmini M, Rule S, Salles G, Ladetto M, Tonino SH, Herfarth K, Seymour JF, Jerkeman M; ESMO Guidelines Committee. Electronic address: clinicalguidelines@esmo.org. Newly diagnosed and relapsed follicular lymphoma: ESMO Clinical Practice Guidelines for diagnosis, treatment and follow-up. </w:t>
      </w:r>
      <w:r w:rsidRPr="00F4426B">
        <w:rPr>
          <w:rFonts w:ascii="Book Antiqua" w:eastAsia="Book Antiqua" w:hAnsi="Book Antiqua" w:cs="Book Antiqua"/>
          <w:i/>
          <w:iCs/>
          <w:color w:val="000000"/>
        </w:rPr>
        <w:t>Ann Oncol</w:t>
      </w:r>
      <w:r w:rsidRPr="00F4426B">
        <w:rPr>
          <w:rFonts w:ascii="Book Antiqua" w:eastAsia="Book Antiqua" w:hAnsi="Book Antiqua" w:cs="Book Antiqua"/>
          <w:color w:val="000000"/>
        </w:rPr>
        <w:t xml:space="preserve"> 2021; </w:t>
      </w:r>
      <w:r w:rsidRPr="00F4426B">
        <w:rPr>
          <w:rFonts w:ascii="Book Antiqua" w:eastAsia="Book Antiqua" w:hAnsi="Book Antiqua" w:cs="Book Antiqua"/>
          <w:b/>
          <w:bCs/>
          <w:color w:val="000000"/>
        </w:rPr>
        <w:t>32</w:t>
      </w:r>
      <w:r w:rsidRPr="00F4426B">
        <w:rPr>
          <w:rFonts w:ascii="Book Antiqua" w:eastAsia="Book Antiqua" w:hAnsi="Book Antiqua" w:cs="Book Antiqua"/>
          <w:color w:val="000000"/>
        </w:rPr>
        <w:t>: 298-308 [PMID: 33249059 DOI: 10.1016/j.annonc.2020.11.008]</w:t>
      </w:r>
    </w:p>
    <w:p w14:paraId="35F31D00"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12 </w:t>
      </w:r>
      <w:r w:rsidRPr="00F4426B">
        <w:rPr>
          <w:rFonts w:ascii="Book Antiqua" w:eastAsia="Book Antiqua" w:hAnsi="Book Antiqua" w:cs="Book Antiqua"/>
          <w:b/>
          <w:bCs/>
          <w:color w:val="000000"/>
        </w:rPr>
        <w:t>Walewski J</w:t>
      </w:r>
      <w:r w:rsidRPr="00F4426B">
        <w:rPr>
          <w:rFonts w:ascii="Book Antiqua" w:eastAsia="Book Antiqua" w:hAnsi="Book Antiqua" w:cs="Book Antiqua"/>
          <w:color w:val="000000"/>
        </w:rPr>
        <w:t xml:space="preserve">, Paszkiewicz-Kozik E, Michalski W, Rymkiewicz G, Szpila T, Butrym A, Giza A, Zaucha JM, Kalinka-Warzocha E, Wieczorkiewicz A, Zimowska-Curyło D, Knopińska-Posłuszny W, Tyczyńska A, Romejko-Jarosińska J, Dąbrowska-Iwanicka A, Gruszecka B, Jamrozek-Jedlińska M, Borawska A, Hołda W, Porowska A, Romanowicz A, Hellmann A, Stella-Hołowiecka B, Deptała A, Jurczak W. First-line R-CVP </w:t>
      </w:r>
      <w:r w:rsidRPr="00F4426B">
        <w:rPr>
          <w:rFonts w:ascii="Book Antiqua" w:eastAsia="Book Antiqua" w:hAnsi="Book Antiqua" w:cs="Book Antiqua"/>
          <w:i/>
          <w:iCs/>
          <w:color w:val="000000"/>
        </w:rPr>
        <w:t>vs</w:t>
      </w:r>
      <w:r w:rsidRPr="00F4426B">
        <w:rPr>
          <w:rFonts w:ascii="Book Antiqua" w:eastAsia="Book Antiqua" w:hAnsi="Book Antiqua" w:cs="Book Antiqua"/>
          <w:color w:val="000000"/>
        </w:rPr>
        <w:t xml:space="preserve"> R-CHOP induction immunochemotherapy for indolent lymphoma with rituximab maintenance. A multicentre, phase III randomized study by the Polish Lymphoma Research Group PLRG4. </w:t>
      </w:r>
      <w:r w:rsidRPr="00F4426B">
        <w:rPr>
          <w:rFonts w:ascii="Book Antiqua" w:eastAsia="Book Antiqua" w:hAnsi="Book Antiqua" w:cs="Book Antiqua"/>
          <w:i/>
          <w:iCs/>
          <w:color w:val="000000"/>
        </w:rPr>
        <w:t>Br J Haematol</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188</w:t>
      </w:r>
      <w:r w:rsidRPr="00F4426B">
        <w:rPr>
          <w:rFonts w:ascii="Book Antiqua" w:eastAsia="Book Antiqua" w:hAnsi="Book Antiqua" w:cs="Book Antiqua"/>
          <w:color w:val="000000"/>
        </w:rPr>
        <w:t>: 898-906 [PMID: 31792945 DOI: 10.1111/bjh.16264]</w:t>
      </w:r>
    </w:p>
    <w:p w14:paraId="4AAC4D7C"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13 </w:t>
      </w:r>
      <w:r w:rsidRPr="00F4426B">
        <w:rPr>
          <w:rFonts w:ascii="Book Antiqua" w:eastAsia="Book Antiqua" w:hAnsi="Book Antiqua" w:cs="Book Antiqua"/>
          <w:b/>
          <w:bCs/>
          <w:color w:val="000000"/>
        </w:rPr>
        <w:t>Grant MC</w:t>
      </w:r>
      <w:r w:rsidRPr="00F4426B">
        <w:rPr>
          <w:rFonts w:ascii="Book Antiqua" w:eastAsia="Book Antiqua" w:hAnsi="Book Antiqua" w:cs="Book Antiqua"/>
          <w:color w:val="000000"/>
        </w:rPr>
        <w:t xml:space="preserve">, Geoghegan L, Arbyn M, Mohammed Z, McGuinness L, Clarke EL, Wade RG. The prevalence of symptoms in 24,410 adults infected by the novel coronavirus (SARS-CoV-2; COVID-19): A systematic review and meta-analysis of 148 studies from 9 countries. </w:t>
      </w:r>
      <w:r w:rsidRPr="00F4426B">
        <w:rPr>
          <w:rFonts w:ascii="Book Antiqua" w:eastAsia="Book Antiqua" w:hAnsi="Book Antiqua" w:cs="Book Antiqua"/>
          <w:i/>
          <w:iCs/>
          <w:color w:val="000000"/>
        </w:rPr>
        <w:t>PLoS One</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15</w:t>
      </w:r>
      <w:r w:rsidRPr="00F4426B">
        <w:rPr>
          <w:rFonts w:ascii="Book Antiqua" w:eastAsia="Book Antiqua" w:hAnsi="Book Antiqua" w:cs="Book Antiqua"/>
          <w:color w:val="000000"/>
        </w:rPr>
        <w:t>: e0234765 [PMID: 32574165 DOI: 10.1371/journal.pone.0234765]</w:t>
      </w:r>
    </w:p>
    <w:p w14:paraId="4F2568A2"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14 </w:t>
      </w:r>
      <w:r w:rsidRPr="00F4426B">
        <w:rPr>
          <w:rFonts w:ascii="Book Antiqua" w:eastAsia="Book Antiqua" w:hAnsi="Book Antiqua" w:cs="Book Antiqua"/>
          <w:b/>
          <w:bCs/>
          <w:color w:val="000000"/>
        </w:rPr>
        <w:t>Carbone A</w:t>
      </w:r>
      <w:r w:rsidRPr="00F4426B">
        <w:rPr>
          <w:rFonts w:ascii="Book Antiqua" w:eastAsia="Book Antiqua" w:hAnsi="Book Antiqua" w:cs="Book Antiqua"/>
          <w:color w:val="000000"/>
        </w:rPr>
        <w:t xml:space="preserve">, Roulland S, Gloghini A, Younes A, von Keudell G, López-Guillermo A, Fitzgibbon J. Follicular lymphoma. </w:t>
      </w:r>
      <w:r w:rsidRPr="00F4426B">
        <w:rPr>
          <w:rFonts w:ascii="Book Antiqua" w:eastAsia="Book Antiqua" w:hAnsi="Book Antiqua" w:cs="Book Antiqua"/>
          <w:i/>
          <w:iCs/>
          <w:color w:val="000000"/>
        </w:rPr>
        <w:t>Nat Rev Dis Primers</w:t>
      </w:r>
      <w:r w:rsidRPr="00F4426B">
        <w:rPr>
          <w:rFonts w:ascii="Book Antiqua" w:eastAsia="Book Antiqua" w:hAnsi="Book Antiqua" w:cs="Book Antiqua"/>
          <w:color w:val="000000"/>
        </w:rPr>
        <w:t xml:space="preserve"> 2019; </w:t>
      </w:r>
      <w:r w:rsidRPr="00F4426B">
        <w:rPr>
          <w:rFonts w:ascii="Book Antiqua" w:eastAsia="Book Antiqua" w:hAnsi="Book Antiqua" w:cs="Book Antiqua"/>
          <w:b/>
          <w:bCs/>
          <w:color w:val="000000"/>
        </w:rPr>
        <w:t>5</w:t>
      </w:r>
      <w:r w:rsidRPr="00F4426B">
        <w:rPr>
          <w:rFonts w:ascii="Book Antiqua" w:eastAsia="Book Antiqua" w:hAnsi="Book Antiqua" w:cs="Book Antiqua"/>
          <w:color w:val="000000"/>
        </w:rPr>
        <w:t>: 83 [PMID: 31831752 DOI: 10.1038/s41572-019-0132-x]</w:t>
      </w:r>
    </w:p>
    <w:p w14:paraId="692BFFD7"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15 </w:t>
      </w:r>
      <w:r w:rsidRPr="00F4426B">
        <w:rPr>
          <w:rFonts w:ascii="Book Antiqua" w:eastAsia="Book Antiqua" w:hAnsi="Book Antiqua" w:cs="Book Antiqua"/>
          <w:b/>
          <w:bCs/>
          <w:color w:val="000000"/>
        </w:rPr>
        <w:t>Yigenoglu TN</w:t>
      </w:r>
      <w:r w:rsidRPr="00F4426B">
        <w:rPr>
          <w:rFonts w:ascii="Book Antiqua" w:eastAsia="Book Antiqua" w:hAnsi="Book Antiqua" w:cs="Book Antiqua"/>
          <w:color w:val="000000"/>
        </w:rPr>
        <w:t xml:space="preserve">, Bascı S, Dal MS, Korkmaz S, Turgut B, Altuntas F. The outcome ofancy. COVID-19 in patients with hematological malign </w:t>
      </w:r>
      <w:r w:rsidRPr="00F4426B">
        <w:rPr>
          <w:rFonts w:ascii="Book Antiqua" w:eastAsia="Book Antiqua" w:hAnsi="Book Antiqua" w:cs="Book Antiqua"/>
          <w:i/>
          <w:iCs/>
          <w:color w:val="000000"/>
        </w:rPr>
        <w:t>J Med Virol</w:t>
      </w:r>
      <w:r w:rsidRPr="00F4426B">
        <w:rPr>
          <w:rFonts w:ascii="Book Antiqua" w:eastAsia="Book Antiqua" w:hAnsi="Book Antiqua" w:cs="Book Antiqua"/>
          <w:color w:val="000000"/>
        </w:rPr>
        <w:t xml:space="preserve"> 2021; </w:t>
      </w:r>
      <w:r w:rsidRPr="00F4426B">
        <w:rPr>
          <w:rFonts w:ascii="Book Antiqua" w:eastAsia="Book Antiqua" w:hAnsi="Book Antiqua" w:cs="Book Antiqua"/>
          <w:b/>
          <w:bCs/>
          <w:color w:val="000000"/>
        </w:rPr>
        <w:t>93</w:t>
      </w:r>
      <w:r w:rsidRPr="00F4426B">
        <w:rPr>
          <w:rFonts w:ascii="Book Antiqua" w:eastAsia="Book Antiqua" w:hAnsi="Book Antiqua" w:cs="Book Antiqua"/>
          <w:color w:val="000000"/>
        </w:rPr>
        <w:t>: 1255 [PMID: 33064307 DOI: 10.1002/jmv.26607]</w:t>
      </w:r>
    </w:p>
    <w:p w14:paraId="5802D803"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16 </w:t>
      </w:r>
      <w:r w:rsidRPr="00F4426B">
        <w:rPr>
          <w:rFonts w:ascii="Book Antiqua" w:eastAsia="Book Antiqua" w:hAnsi="Book Antiqua" w:cs="Book Antiqua"/>
          <w:b/>
          <w:bCs/>
          <w:color w:val="000000"/>
        </w:rPr>
        <w:t>He W</w:t>
      </w:r>
      <w:r w:rsidRPr="00F4426B">
        <w:rPr>
          <w:rFonts w:ascii="Book Antiqua" w:eastAsia="Book Antiqua" w:hAnsi="Book Antiqua" w:cs="Book Antiqua"/>
          <w:color w:val="000000"/>
        </w:rPr>
        <w:t xml:space="preserve">, Chen L, Chen L, Yuan G, Fang Y, Chen W, Wu D, Liang B, Lu X, Ma Y, Li L, Wang H, Chen Z, Li Q, Gale RP. COVID-19 in persons with haematological cancers. </w:t>
      </w:r>
      <w:r w:rsidRPr="00F4426B">
        <w:rPr>
          <w:rFonts w:ascii="Book Antiqua" w:eastAsia="Book Antiqua" w:hAnsi="Book Antiqua" w:cs="Book Antiqua"/>
          <w:i/>
          <w:iCs/>
          <w:color w:val="000000"/>
        </w:rPr>
        <w:t>Leukemia</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34</w:t>
      </w:r>
      <w:r w:rsidRPr="00F4426B">
        <w:rPr>
          <w:rFonts w:ascii="Book Antiqua" w:eastAsia="Book Antiqua" w:hAnsi="Book Antiqua" w:cs="Book Antiqua"/>
          <w:color w:val="000000"/>
        </w:rPr>
        <w:t>: 1637-1645 [PMID: 32332856 DOI: 10.1038/s41375-020-0836-7]</w:t>
      </w:r>
    </w:p>
    <w:p w14:paraId="0025BD11"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17 </w:t>
      </w:r>
      <w:r w:rsidRPr="00F4426B">
        <w:rPr>
          <w:rFonts w:ascii="Book Antiqua" w:eastAsia="Book Antiqua" w:hAnsi="Book Antiqua" w:cs="Book Antiqua"/>
          <w:b/>
          <w:bCs/>
          <w:color w:val="000000"/>
        </w:rPr>
        <w:t>Giovannoni G</w:t>
      </w:r>
      <w:r w:rsidRPr="00F4426B">
        <w:rPr>
          <w:rFonts w:ascii="Book Antiqua" w:eastAsia="Book Antiqua" w:hAnsi="Book Antiqua" w:cs="Book Antiqua"/>
          <w:color w:val="000000"/>
        </w:rPr>
        <w:t xml:space="preserve">. Anti-CD20 immunosuppressive disease-modifying therapies and COVID-19. </w:t>
      </w:r>
      <w:r w:rsidRPr="00F4426B">
        <w:rPr>
          <w:rFonts w:ascii="Book Antiqua" w:eastAsia="Book Antiqua" w:hAnsi="Book Antiqua" w:cs="Book Antiqua"/>
          <w:i/>
          <w:iCs/>
          <w:color w:val="000000"/>
        </w:rPr>
        <w:t>Mult Scler Relat Disord</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41</w:t>
      </w:r>
      <w:r w:rsidRPr="00F4426B">
        <w:rPr>
          <w:rFonts w:ascii="Book Antiqua" w:eastAsia="Book Antiqua" w:hAnsi="Book Antiqua" w:cs="Book Antiqua"/>
          <w:color w:val="000000"/>
        </w:rPr>
        <w:t>: 102135 [PMID: 32339915 DOI: 10.1016/j.msard.2020.102135]</w:t>
      </w:r>
    </w:p>
    <w:p w14:paraId="42D2DDB6"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18 </w:t>
      </w:r>
      <w:r w:rsidRPr="00F4426B">
        <w:rPr>
          <w:rFonts w:ascii="Book Antiqua" w:eastAsia="Book Antiqua" w:hAnsi="Book Antiqua" w:cs="Book Antiqua"/>
          <w:b/>
          <w:bCs/>
          <w:color w:val="000000"/>
        </w:rPr>
        <w:t>Albano D</w:t>
      </w:r>
      <w:r w:rsidRPr="00F4426B">
        <w:rPr>
          <w:rFonts w:ascii="Book Antiqua" w:eastAsia="Book Antiqua" w:hAnsi="Book Antiqua" w:cs="Book Antiqua"/>
          <w:color w:val="000000"/>
        </w:rPr>
        <w:t xml:space="preserve">, Bertagna F, Bertoli M, Bosio G, Lucchini S, Motta F, Panarotto MB, Peli A, Camoni L, Bengel FM, Giubbini R. Incidental Findings Suggestive of COVID-19 in Asymptomatic Patients Undergoing Nuclear Medicine Procedures in a High-Prevalence Region. </w:t>
      </w:r>
      <w:r w:rsidRPr="00F4426B">
        <w:rPr>
          <w:rFonts w:ascii="Book Antiqua" w:eastAsia="Book Antiqua" w:hAnsi="Book Antiqua" w:cs="Book Antiqua"/>
          <w:i/>
          <w:iCs/>
          <w:color w:val="000000"/>
        </w:rPr>
        <w:t>J Nucl Med</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61</w:t>
      </w:r>
      <w:r w:rsidRPr="00F4426B">
        <w:rPr>
          <w:rFonts w:ascii="Book Antiqua" w:eastAsia="Book Antiqua" w:hAnsi="Book Antiqua" w:cs="Book Antiqua"/>
          <w:color w:val="000000"/>
        </w:rPr>
        <w:t>: 632-636 [PMID: 32238429 DOI: 10.2967/jnumed.120.246256]</w:t>
      </w:r>
    </w:p>
    <w:p w14:paraId="2E907339"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19 </w:t>
      </w:r>
      <w:r w:rsidRPr="00F4426B">
        <w:rPr>
          <w:rFonts w:ascii="Book Antiqua" w:eastAsia="Book Antiqua" w:hAnsi="Book Antiqua" w:cs="Book Antiqua"/>
          <w:b/>
          <w:bCs/>
          <w:color w:val="000000"/>
        </w:rPr>
        <w:t>Rondaan C</w:t>
      </w:r>
      <w:r w:rsidRPr="00F4426B">
        <w:rPr>
          <w:rFonts w:ascii="Book Antiqua" w:eastAsia="Book Antiqua" w:hAnsi="Book Antiqua" w:cs="Book Antiqua"/>
          <w:color w:val="000000"/>
        </w:rPr>
        <w:t xml:space="preserve">, Furer V, Heijstek MW, Agmon-Levin N, Bijl M, Breedveld FC, D'Amelio R, Dougados M, Kapetanovic MC, van Laar JM, Ladefoged de Thurah A, Landewé R, Molto A, Müller-Ladner U, Schreiber K, Smolar L, Walker J, Warnatz K, Wulffraat NM, van Assen S, Elkayam O. Efficacy, immunogenicity and safety of vaccination in adult patients with autoimmune inflammatory rheumatic diseases: a systematic literature review for the 2019 update of EULAR recommendations. </w:t>
      </w:r>
      <w:r w:rsidRPr="00F4426B">
        <w:rPr>
          <w:rFonts w:ascii="Book Antiqua" w:eastAsia="Book Antiqua" w:hAnsi="Book Antiqua" w:cs="Book Antiqua"/>
          <w:i/>
          <w:iCs/>
          <w:color w:val="000000"/>
        </w:rPr>
        <w:t>RMD Open</w:t>
      </w:r>
      <w:r w:rsidRPr="00F4426B">
        <w:rPr>
          <w:rFonts w:ascii="Book Antiqua" w:eastAsia="Book Antiqua" w:hAnsi="Book Antiqua" w:cs="Book Antiqua"/>
          <w:color w:val="000000"/>
        </w:rPr>
        <w:t xml:space="preserve"> 2019; </w:t>
      </w:r>
      <w:r w:rsidRPr="00F4426B">
        <w:rPr>
          <w:rFonts w:ascii="Book Antiqua" w:eastAsia="Book Antiqua" w:hAnsi="Book Antiqua" w:cs="Book Antiqua"/>
          <w:b/>
          <w:bCs/>
          <w:color w:val="000000"/>
        </w:rPr>
        <w:t>5</w:t>
      </w:r>
      <w:r w:rsidRPr="00F4426B">
        <w:rPr>
          <w:rFonts w:ascii="Book Antiqua" w:eastAsia="Book Antiqua" w:hAnsi="Book Antiqua" w:cs="Book Antiqua"/>
          <w:color w:val="000000"/>
        </w:rPr>
        <w:t>: e001035 [PMID: 31565247 DOI: 10.1136/rmdopen-2019-001035]</w:t>
      </w:r>
    </w:p>
    <w:p w14:paraId="76A12D57"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20 </w:t>
      </w:r>
      <w:r w:rsidRPr="00F4426B">
        <w:rPr>
          <w:rFonts w:ascii="Book Antiqua" w:eastAsia="Book Antiqua" w:hAnsi="Book Antiqua" w:cs="Book Antiqua"/>
          <w:b/>
          <w:bCs/>
          <w:color w:val="000000"/>
        </w:rPr>
        <w:t>Avouac J</w:t>
      </w:r>
      <w:r w:rsidRPr="00F4426B">
        <w:rPr>
          <w:rFonts w:ascii="Book Antiqua" w:eastAsia="Book Antiqua" w:hAnsi="Book Antiqua" w:cs="Book Antiqua"/>
          <w:color w:val="000000"/>
        </w:rPr>
        <w:t xml:space="preserve">, Airó P, Carlier N, Matucci-Cerinic M, Allanore Y. Severe COVID-19-associated pneumonia in 3 patients with systemic sclerosis treated with rituximab. </w:t>
      </w:r>
      <w:r w:rsidRPr="00F4426B">
        <w:rPr>
          <w:rFonts w:ascii="Book Antiqua" w:eastAsia="Book Antiqua" w:hAnsi="Book Antiqua" w:cs="Book Antiqua"/>
          <w:i/>
          <w:iCs/>
          <w:color w:val="000000"/>
        </w:rPr>
        <w:t>Ann Rheum Dis</w:t>
      </w:r>
      <w:r w:rsidRPr="00F4426B">
        <w:rPr>
          <w:rFonts w:ascii="Book Antiqua" w:eastAsia="Book Antiqua" w:hAnsi="Book Antiqua" w:cs="Book Antiqua"/>
          <w:color w:val="000000"/>
        </w:rPr>
        <w:t xml:space="preserve"> 2020 [PMID: 32503849 DOI: 10.1136/annrheumdis-2020-217864]</w:t>
      </w:r>
    </w:p>
    <w:p w14:paraId="2055686E"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21 </w:t>
      </w:r>
      <w:r w:rsidRPr="00F4426B">
        <w:rPr>
          <w:rFonts w:ascii="Book Antiqua" w:eastAsia="Book Antiqua" w:hAnsi="Book Antiqua" w:cs="Book Antiqua"/>
          <w:b/>
          <w:bCs/>
          <w:color w:val="000000"/>
        </w:rPr>
        <w:t>Duret PM</w:t>
      </w:r>
      <w:r w:rsidRPr="00F4426B">
        <w:rPr>
          <w:rFonts w:ascii="Book Antiqua" w:eastAsia="Book Antiqua" w:hAnsi="Book Antiqua" w:cs="Book Antiqua"/>
          <w:color w:val="000000"/>
        </w:rPr>
        <w:t xml:space="preserve">, Sebbag E, Mallick A, Gravier S, Spielmann L, Messer L. Recovery from COVID-19 in a patient with spondyloarthritis treated with TNF-alpha inhibitor etanercept. </w:t>
      </w:r>
      <w:r w:rsidRPr="00F4426B">
        <w:rPr>
          <w:rFonts w:ascii="Book Antiqua" w:eastAsia="Book Antiqua" w:hAnsi="Book Antiqua" w:cs="Book Antiqua"/>
          <w:i/>
          <w:iCs/>
          <w:color w:val="000000"/>
        </w:rPr>
        <w:t>Ann Rheum Dis</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79</w:t>
      </w:r>
      <w:r w:rsidRPr="00F4426B">
        <w:rPr>
          <w:rFonts w:ascii="Book Antiqua" w:eastAsia="Book Antiqua" w:hAnsi="Book Antiqua" w:cs="Book Antiqua"/>
          <w:color w:val="000000"/>
        </w:rPr>
        <w:t>: 1251-1252 [PMID: 32354772 DOI: 10.1136/annrheumdis-2020-217362]</w:t>
      </w:r>
    </w:p>
    <w:p w14:paraId="07940753"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22 </w:t>
      </w:r>
      <w:r w:rsidRPr="00F4426B">
        <w:rPr>
          <w:rFonts w:ascii="Book Antiqua" w:eastAsia="Book Antiqua" w:hAnsi="Book Antiqua" w:cs="Book Antiqua"/>
          <w:b/>
          <w:bCs/>
          <w:color w:val="000000"/>
        </w:rPr>
        <w:t>Moutsopoulos HM</w:t>
      </w:r>
      <w:r w:rsidRPr="00F4426B">
        <w:rPr>
          <w:rFonts w:ascii="Book Antiqua" w:eastAsia="Book Antiqua" w:hAnsi="Book Antiqua" w:cs="Book Antiqua"/>
          <w:color w:val="000000"/>
        </w:rPr>
        <w:t xml:space="preserve">. Anti-inflammatory therapy may ameliorate the clinical picture of COVID-19. </w:t>
      </w:r>
      <w:r w:rsidRPr="00F4426B">
        <w:rPr>
          <w:rFonts w:ascii="Book Antiqua" w:eastAsia="Book Antiqua" w:hAnsi="Book Antiqua" w:cs="Book Antiqua"/>
          <w:i/>
          <w:iCs/>
          <w:color w:val="000000"/>
        </w:rPr>
        <w:t>Ann Rheum Dis</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79</w:t>
      </w:r>
      <w:r w:rsidRPr="00F4426B">
        <w:rPr>
          <w:rFonts w:ascii="Book Antiqua" w:eastAsia="Book Antiqua" w:hAnsi="Book Antiqua" w:cs="Book Antiqua"/>
          <w:color w:val="000000"/>
        </w:rPr>
        <w:t>: 1253-1254 [PMID: 32345616 DOI: 10.1136/annrheumdis-2020-217562]</w:t>
      </w:r>
    </w:p>
    <w:p w14:paraId="54E9B9F1"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23 </w:t>
      </w:r>
      <w:r w:rsidRPr="00F4426B">
        <w:rPr>
          <w:rFonts w:ascii="Book Antiqua" w:eastAsia="Book Antiqua" w:hAnsi="Book Antiqua" w:cs="Book Antiqua"/>
          <w:b/>
          <w:bCs/>
          <w:color w:val="000000"/>
        </w:rPr>
        <w:t>Mihai C</w:t>
      </w:r>
      <w:r w:rsidRPr="00F4426B">
        <w:rPr>
          <w:rFonts w:ascii="Book Antiqua" w:eastAsia="Book Antiqua" w:hAnsi="Book Antiqua" w:cs="Book Antiqua"/>
          <w:color w:val="000000"/>
        </w:rPr>
        <w:t xml:space="preserve">, Dobrota R, Schröder M, Garaiman A, Jordan S, Becker MO, Maurer B, Distler O. COVID-19 in a patient with systemic sclerosis treated with tocilizumab for SSc-ILD. </w:t>
      </w:r>
      <w:r w:rsidRPr="00F4426B">
        <w:rPr>
          <w:rFonts w:ascii="Book Antiqua" w:eastAsia="Book Antiqua" w:hAnsi="Book Antiqua" w:cs="Book Antiqua"/>
          <w:i/>
          <w:iCs/>
          <w:color w:val="000000"/>
        </w:rPr>
        <w:t>Ann Rheum Dis</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79</w:t>
      </w:r>
      <w:r w:rsidRPr="00F4426B">
        <w:rPr>
          <w:rFonts w:ascii="Book Antiqua" w:eastAsia="Book Antiqua" w:hAnsi="Book Antiqua" w:cs="Book Antiqua"/>
          <w:color w:val="000000"/>
        </w:rPr>
        <w:t>: 668-669 [PMID: 32241792 DOI: 10.1136/annrheumdis-2020-217442]</w:t>
      </w:r>
    </w:p>
    <w:p w14:paraId="258F34A2"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24 </w:t>
      </w:r>
      <w:r w:rsidRPr="00F4426B">
        <w:rPr>
          <w:rFonts w:ascii="Book Antiqua" w:eastAsia="Book Antiqua" w:hAnsi="Book Antiqua" w:cs="Book Antiqua"/>
          <w:b/>
          <w:bCs/>
          <w:color w:val="000000"/>
        </w:rPr>
        <w:t>Beyzaee AM</w:t>
      </w:r>
      <w:r w:rsidRPr="00F4426B">
        <w:rPr>
          <w:rFonts w:ascii="Book Antiqua" w:eastAsia="Book Antiqua" w:hAnsi="Book Antiqua" w:cs="Book Antiqua"/>
          <w:color w:val="000000"/>
        </w:rPr>
        <w:t xml:space="preserve">, Rahmatpour Rokni G, Patil A, Goldust M. Rituximab as the treatment of pemphigus vulgaris in the COVID-19 pandemic era: A narrative review. </w:t>
      </w:r>
      <w:r w:rsidRPr="00F4426B">
        <w:rPr>
          <w:rFonts w:ascii="Book Antiqua" w:eastAsia="Book Antiqua" w:hAnsi="Book Antiqua" w:cs="Book Antiqua"/>
          <w:i/>
          <w:iCs/>
          <w:color w:val="000000"/>
        </w:rPr>
        <w:t>Dermatol Ther</w:t>
      </w:r>
      <w:r w:rsidRPr="00F4426B">
        <w:rPr>
          <w:rFonts w:ascii="Book Antiqua" w:eastAsia="Book Antiqua" w:hAnsi="Book Antiqua" w:cs="Book Antiqua"/>
          <w:color w:val="000000"/>
        </w:rPr>
        <w:t xml:space="preserve"> 2021; </w:t>
      </w:r>
      <w:r w:rsidRPr="00F4426B">
        <w:rPr>
          <w:rFonts w:ascii="Book Antiqua" w:eastAsia="Book Antiqua" w:hAnsi="Book Antiqua" w:cs="Book Antiqua"/>
          <w:b/>
          <w:bCs/>
          <w:color w:val="000000"/>
        </w:rPr>
        <w:t>34</w:t>
      </w:r>
      <w:r w:rsidRPr="00F4426B">
        <w:rPr>
          <w:rFonts w:ascii="Book Antiqua" w:eastAsia="Book Antiqua" w:hAnsi="Book Antiqua" w:cs="Book Antiqua"/>
          <w:color w:val="000000"/>
        </w:rPr>
        <w:t>: e14405 [PMID: 33051960 DOI: 10.1111/dth.14405]</w:t>
      </w:r>
    </w:p>
    <w:p w14:paraId="01E2FBC7"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25 </w:t>
      </w:r>
      <w:r w:rsidRPr="00F4426B">
        <w:rPr>
          <w:rFonts w:ascii="Book Antiqua" w:eastAsia="Book Antiqua" w:hAnsi="Book Antiqua" w:cs="Book Antiqua"/>
          <w:b/>
          <w:bCs/>
          <w:color w:val="000000"/>
        </w:rPr>
        <w:t>Yasuda H</w:t>
      </w:r>
      <w:r w:rsidRPr="00F4426B">
        <w:rPr>
          <w:rFonts w:ascii="Book Antiqua" w:eastAsia="Book Antiqua" w:hAnsi="Book Antiqua" w:cs="Book Antiqua"/>
          <w:color w:val="000000"/>
        </w:rPr>
        <w:t xml:space="preserve">, Tsukune Y, Watanabe N, Sugimoto K, Uchimura A, Tateyama M, Miyashita Y, Ochi Y, Komatsu N. Persistent COVID-19 Pneumonia and Failure to Develop Anti-SARS-CoV-2 Antibodies During Rituximab Maintenance Therapy for Follicular Lymphoma. </w:t>
      </w:r>
      <w:r w:rsidRPr="00F4426B">
        <w:rPr>
          <w:rFonts w:ascii="Book Antiqua" w:eastAsia="Book Antiqua" w:hAnsi="Book Antiqua" w:cs="Book Antiqua"/>
          <w:i/>
          <w:iCs/>
          <w:color w:val="000000"/>
        </w:rPr>
        <w:t>Clin Lymphoma Myeloma Leuk</w:t>
      </w:r>
      <w:r w:rsidRPr="00F4426B">
        <w:rPr>
          <w:rFonts w:ascii="Book Antiqua" w:eastAsia="Book Antiqua" w:hAnsi="Book Antiqua" w:cs="Book Antiqua"/>
          <w:color w:val="000000"/>
        </w:rPr>
        <w:t xml:space="preserve"> 2020; </w:t>
      </w:r>
      <w:r w:rsidRPr="00F4426B">
        <w:rPr>
          <w:rFonts w:ascii="Book Antiqua" w:eastAsia="Book Antiqua" w:hAnsi="Book Antiqua" w:cs="Book Antiqua"/>
          <w:b/>
          <w:bCs/>
          <w:color w:val="000000"/>
        </w:rPr>
        <w:t>20</w:t>
      </w:r>
      <w:r w:rsidRPr="00F4426B">
        <w:rPr>
          <w:rFonts w:ascii="Book Antiqua" w:eastAsia="Book Antiqua" w:hAnsi="Book Antiqua" w:cs="Book Antiqua"/>
          <w:color w:val="000000"/>
        </w:rPr>
        <w:t>: 774-776 [PMID: 32933879 DOI: 10.1016/j.clml.2020.08.017]</w:t>
      </w:r>
    </w:p>
    <w:p w14:paraId="7BE1BB5C"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 xml:space="preserve">26 </w:t>
      </w:r>
      <w:r w:rsidRPr="00F4426B">
        <w:rPr>
          <w:rFonts w:ascii="Book Antiqua" w:eastAsia="Book Antiqua" w:hAnsi="Book Antiqua" w:cs="Book Antiqua"/>
          <w:b/>
          <w:bCs/>
          <w:color w:val="000000"/>
        </w:rPr>
        <w:t>Rubin LG</w:t>
      </w:r>
      <w:r w:rsidRPr="00F4426B">
        <w:rPr>
          <w:rFonts w:ascii="Book Antiqua" w:eastAsia="Book Antiqua" w:hAnsi="Book Antiqua" w:cs="Book Antiqua"/>
          <w:color w:val="000000"/>
        </w:rPr>
        <w:t xml:space="preserve">, Levin MJ, Ljungman P, Davies EG, Avery R, Tomblyn M, Bousvaros A, Dhanireddy S, Sung L, Keyserling H, Kang I; Infectious Diseases Society of America. 2013 IDSA clinical practice guideline for vaccination of the immunocompromised host. </w:t>
      </w:r>
      <w:r w:rsidRPr="00F4426B">
        <w:rPr>
          <w:rFonts w:ascii="Book Antiqua" w:eastAsia="Book Antiqua" w:hAnsi="Book Antiqua" w:cs="Book Antiqua"/>
          <w:i/>
          <w:iCs/>
          <w:color w:val="000000"/>
        </w:rPr>
        <w:t>Clin Infect Dis</w:t>
      </w:r>
      <w:r w:rsidRPr="00F4426B">
        <w:rPr>
          <w:rFonts w:ascii="Book Antiqua" w:eastAsia="Book Antiqua" w:hAnsi="Book Antiqua" w:cs="Book Antiqua"/>
          <w:color w:val="000000"/>
        </w:rPr>
        <w:t xml:space="preserve"> 2014; </w:t>
      </w:r>
      <w:r w:rsidRPr="00F4426B">
        <w:rPr>
          <w:rFonts w:ascii="Book Antiqua" w:eastAsia="Book Antiqua" w:hAnsi="Book Antiqua" w:cs="Book Antiqua"/>
          <w:b/>
          <w:bCs/>
          <w:color w:val="000000"/>
        </w:rPr>
        <w:t>58</w:t>
      </w:r>
      <w:r w:rsidRPr="00F4426B">
        <w:rPr>
          <w:rFonts w:ascii="Book Antiqua" w:eastAsia="Book Antiqua" w:hAnsi="Book Antiqua" w:cs="Book Antiqua"/>
          <w:color w:val="000000"/>
        </w:rPr>
        <w:t>: 309-318 [PMID: 24421306 DOI: 10.1093/cid/cit816]</w:t>
      </w:r>
    </w:p>
    <w:p w14:paraId="1DDDAFDD" w14:textId="77777777" w:rsidR="00A77B3E" w:rsidRPr="00F4426B" w:rsidRDefault="00A77B3E" w:rsidP="00D66732">
      <w:pPr>
        <w:spacing w:line="360" w:lineRule="auto"/>
        <w:jc w:val="both"/>
        <w:rPr>
          <w:rFonts w:ascii="Book Antiqua" w:hAnsi="Book Antiqua"/>
        </w:rPr>
        <w:sectPr w:rsidR="00A77B3E" w:rsidRPr="00F4426B" w:rsidSect="00857428">
          <w:pgSz w:w="12240" w:h="15840"/>
          <w:pgMar w:top="1440" w:right="1440" w:bottom="1440" w:left="1440" w:header="720" w:footer="720" w:gutter="0"/>
          <w:cols w:space="720"/>
          <w:docGrid w:linePitch="360"/>
        </w:sectPr>
      </w:pPr>
    </w:p>
    <w:p w14:paraId="5CB06A01"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Footnotes</w:t>
      </w:r>
    </w:p>
    <w:p w14:paraId="76DF9575" w14:textId="1633D144"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Informed consent statement: </w:t>
      </w:r>
      <w:r w:rsidRPr="00F4426B">
        <w:rPr>
          <w:rFonts w:ascii="Book Antiqua" w:eastAsia="Book Antiqua" w:hAnsi="Book Antiqua" w:cs="Book Antiqua"/>
          <w:color w:val="000000"/>
        </w:rPr>
        <w:t>Informed written consent was obtained from the patient for publication of this report and any accompanying images.</w:t>
      </w:r>
    </w:p>
    <w:p w14:paraId="7A759553" w14:textId="77777777" w:rsidR="00A77B3E" w:rsidRPr="00F4426B" w:rsidRDefault="00A77B3E" w:rsidP="00D66732">
      <w:pPr>
        <w:spacing w:line="360" w:lineRule="auto"/>
        <w:jc w:val="both"/>
        <w:rPr>
          <w:rFonts w:ascii="Book Antiqua" w:hAnsi="Book Antiqua"/>
        </w:rPr>
      </w:pPr>
    </w:p>
    <w:p w14:paraId="0BEE79AE" w14:textId="5CEFD96B"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Conflict-of-interest statement: </w:t>
      </w:r>
      <w:r w:rsidRPr="00F4426B">
        <w:rPr>
          <w:rFonts w:ascii="Book Antiqua" w:eastAsia="Book Antiqua" w:hAnsi="Book Antiqua" w:cs="Book Antiqua"/>
          <w:color w:val="000000"/>
        </w:rPr>
        <w:t>The authors declare that they have no conflict of interest.</w:t>
      </w:r>
    </w:p>
    <w:p w14:paraId="56BECAAC" w14:textId="77777777" w:rsidR="00A77B3E" w:rsidRPr="00F4426B" w:rsidRDefault="00A77B3E" w:rsidP="00D66732">
      <w:pPr>
        <w:spacing w:line="360" w:lineRule="auto"/>
        <w:jc w:val="both"/>
        <w:rPr>
          <w:rFonts w:ascii="Book Antiqua" w:hAnsi="Book Antiqua"/>
        </w:rPr>
      </w:pPr>
    </w:p>
    <w:p w14:paraId="707206BE" w14:textId="7874D52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CARE Checklist (2016) statement: </w:t>
      </w:r>
      <w:r w:rsidRPr="00F4426B">
        <w:rPr>
          <w:rFonts w:ascii="Book Antiqua" w:eastAsia="Book Antiqua" w:hAnsi="Book Antiqua" w:cs="Book Antiqua"/>
          <w:color w:val="000000"/>
        </w:rPr>
        <w:t>The authors have read the CARE Checklist (2016), and the manuscript was prepared and revised according to the CARE Checklist (2016).</w:t>
      </w:r>
    </w:p>
    <w:p w14:paraId="61799431" w14:textId="77777777" w:rsidR="00A77B3E" w:rsidRPr="00F4426B" w:rsidRDefault="00A77B3E" w:rsidP="00D66732">
      <w:pPr>
        <w:spacing w:line="360" w:lineRule="auto"/>
        <w:jc w:val="both"/>
        <w:rPr>
          <w:rFonts w:ascii="Book Antiqua" w:hAnsi="Book Antiqua"/>
        </w:rPr>
      </w:pPr>
    </w:p>
    <w:p w14:paraId="10370EAB"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bCs/>
          <w:color w:val="000000"/>
        </w:rPr>
        <w:t xml:space="preserve">Open-Access: </w:t>
      </w:r>
      <w:r w:rsidRPr="00F4426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3A7B0F" w14:textId="77777777" w:rsidR="00A77B3E" w:rsidRPr="00F4426B" w:rsidRDefault="00A77B3E" w:rsidP="00D66732">
      <w:pPr>
        <w:spacing w:line="360" w:lineRule="auto"/>
        <w:jc w:val="both"/>
        <w:rPr>
          <w:rFonts w:ascii="Book Antiqua" w:hAnsi="Book Antiqua"/>
        </w:rPr>
      </w:pPr>
    </w:p>
    <w:p w14:paraId="7D8FA61E" w14:textId="0A0FB775" w:rsidR="00A77B3E" w:rsidRPr="00F4426B" w:rsidRDefault="007E015A" w:rsidP="00D66732">
      <w:pPr>
        <w:spacing w:line="360" w:lineRule="auto"/>
        <w:jc w:val="both"/>
        <w:rPr>
          <w:rFonts w:ascii="Book Antiqua" w:eastAsia="Book Antiqua" w:hAnsi="Book Antiqua" w:cs="Book Antiqua"/>
          <w:color w:val="000000"/>
        </w:rPr>
      </w:pPr>
      <w:r w:rsidRPr="00F4426B">
        <w:rPr>
          <w:rFonts w:ascii="Book Antiqua" w:eastAsia="Book Antiqua" w:hAnsi="Book Antiqua" w:cs="Book Antiqua"/>
          <w:b/>
          <w:color w:val="000000"/>
        </w:rPr>
        <w:t xml:space="preserve">Manuscript source: </w:t>
      </w:r>
      <w:r w:rsidRPr="00F4426B">
        <w:rPr>
          <w:rFonts w:ascii="Book Antiqua" w:eastAsia="Book Antiqua" w:hAnsi="Book Antiqua" w:cs="Book Antiqua"/>
          <w:color w:val="000000"/>
        </w:rPr>
        <w:t>Unsolicited</w:t>
      </w:r>
      <w:r w:rsidR="00D93916" w:rsidRPr="00F4426B">
        <w:rPr>
          <w:rFonts w:ascii="Book Antiqua" w:eastAsia="Book Antiqua" w:hAnsi="Book Antiqua" w:cs="Book Antiqua"/>
          <w:color w:val="000000"/>
        </w:rPr>
        <w:t xml:space="preserve"> ma</w:t>
      </w:r>
      <w:r w:rsidRPr="00F4426B">
        <w:rPr>
          <w:rFonts w:ascii="Book Antiqua" w:eastAsia="Book Antiqua" w:hAnsi="Book Antiqua" w:cs="Book Antiqua"/>
          <w:color w:val="000000"/>
        </w:rPr>
        <w:t>nuscript</w:t>
      </w:r>
    </w:p>
    <w:p w14:paraId="17FDBD20" w14:textId="77777777" w:rsidR="00684332" w:rsidRPr="00F4426B" w:rsidRDefault="00684332" w:rsidP="00D66732">
      <w:pPr>
        <w:spacing w:line="360" w:lineRule="auto"/>
        <w:jc w:val="both"/>
        <w:rPr>
          <w:rFonts w:ascii="Book Antiqua" w:hAnsi="Book Antiqua"/>
        </w:rPr>
      </w:pPr>
    </w:p>
    <w:p w14:paraId="0AE4CB88" w14:textId="76CF1055"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Corresponding Author</w:t>
      </w:r>
      <w:r w:rsidR="00056CBD" w:rsidRPr="00F4426B">
        <w:rPr>
          <w:rFonts w:ascii="Book Antiqua" w:eastAsia="Book Antiqua" w:hAnsi="Book Antiqua" w:cs="Book Antiqua"/>
          <w:b/>
          <w:color w:val="000000"/>
        </w:rPr>
        <w:t>’</w:t>
      </w:r>
      <w:r w:rsidRPr="00F4426B">
        <w:rPr>
          <w:rFonts w:ascii="Book Antiqua" w:eastAsia="Book Antiqua" w:hAnsi="Book Antiqua" w:cs="Book Antiqua"/>
          <w:b/>
          <w:color w:val="000000"/>
        </w:rPr>
        <w:t xml:space="preserve">s Membership in Professional Societies: </w:t>
      </w:r>
      <w:r w:rsidRPr="00F4426B">
        <w:rPr>
          <w:rFonts w:ascii="Book Antiqua" w:eastAsia="Book Antiqua" w:hAnsi="Book Antiqua" w:cs="Book Antiqua"/>
          <w:color w:val="000000"/>
        </w:rPr>
        <w:t xml:space="preserve">European Society for Medical Oncology, </w:t>
      </w:r>
      <w:r w:rsidR="00D93916" w:rsidRPr="00F4426B">
        <w:rPr>
          <w:rFonts w:ascii="Book Antiqua" w:eastAsia="Book Antiqua" w:hAnsi="Book Antiqua" w:cs="Book Antiqua"/>
          <w:color w:val="000000"/>
        </w:rPr>
        <w:t xml:space="preserve">No. </w:t>
      </w:r>
      <w:r w:rsidRPr="00F4426B">
        <w:rPr>
          <w:rFonts w:ascii="Book Antiqua" w:eastAsia="Book Antiqua" w:hAnsi="Book Antiqua" w:cs="Book Antiqua"/>
          <w:color w:val="000000"/>
        </w:rPr>
        <w:t>445708.</w:t>
      </w:r>
    </w:p>
    <w:p w14:paraId="0660D2FD" w14:textId="77777777" w:rsidR="00A77B3E" w:rsidRPr="00F4426B" w:rsidRDefault="00A77B3E" w:rsidP="00D66732">
      <w:pPr>
        <w:spacing w:line="360" w:lineRule="auto"/>
        <w:jc w:val="both"/>
        <w:rPr>
          <w:rFonts w:ascii="Book Antiqua" w:hAnsi="Book Antiqua"/>
        </w:rPr>
      </w:pPr>
    </w:p>
    <w:p w14:paraId="4B8AD853"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 xml:space="preserve">Peer-review started: </w:t>
      </w:r>
      <w:r w:rsidRPr="00F4426B">
        <w:rPr>
          <w:rFonts w:ascii="Book Antiqua" w:eastAsia="Book Antiqua" w:hAnsi="Book Antiqua" w:cs="Book Antiqua"/>
          <w:color w:val="000000"/>
        </w:rPr>
        <w:t>February 8, 2021</w:t>
      </w:r>
    </w:p>
    <w:p w14:paraId="2899CCA2"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 xml:space="preserve">First decision: </w:t>
      </w:r>
      <w:r w:rsidRPr="00F4426B">
        <w:rPr>
          <w:rFonts w:ascii="Book Antiqua" w:eastAsia="Book Antiqua" w:hAnsi="Book Antiqua" w:cs="Book Antiqua"/>
          <w:color w:val="000000"/>
        </w:rPr>
        <w:t>April 4, 2021</w:t>
      </w:r>
    </w:p>
    <w:p w14:paraId="2F4C2C95" w14:textId="3BAFED13"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 xml:space="preserve">Article in press: </w:t>
      </w:r>
      <w:r w:rsidR="004E7145" w:rsidRPr="00F4426B">
        <w:rPr>
          <w:rFonts w:ascii="Book Antiqua" w:eastAsia="Book Antiqua" w:hAnsi="Book Antiqua" w:cs="Book Antiqua"/>
          <w:color w:val="000000"/>
        </w:rPr>
        <w:t>May 6, 2021</w:t>
      </w:r>
    </w:p>
    <w:p w14:paraId="18571FC8" w14:textId="77777777" w:rsidR="00A77B3E" w:rsidRPr="00F4426B" w:rsidRDefault="00A77B3E" w:rsidP="00D66732">
      <w:pPr>
        <w:spacing w:line="360" w:lineRule="auto"/>
        <w:jc w:val="both"/>
        <w:rPr>
          <w:rFonts w:ascii="Book Antiqua" w:hAnsi="Book Antiqua"/>
        </w:rPr>
      </w:pPr>
    </w:p>
    <w:p w14:paraId="616AF25A" w14:textId="1402C42A"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 xml:space="preserve">Specialty type: </w:t>
      </w:r>
      <w:r w:rsidR="00D93916" w:rsidRPr="00F4426B">
        <w:rPr>
          <w:rFonts w:ascii="Book Antiqua" w:eastAsia="Book Antiqua" w:hAnsi="Book Antiqua" w:cs="Book Antiqua"/>
          <w:color w:val="000000"/>
        </w:rPr>
        <w:t>Medicine, research and experimental</w:t>
      </w:r>
    </w:p>
    <w:p w14:paraId="5EE05776"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 xml:space="preserve">Country/Territory of origin: </w:t>
      </w:r>
      <w:r w:rsidRPr="00F4426B">
        <w:rPr>
          <w:rFonts w:ascii="Book Antiqua" w:eastAsia="Book Antiqua" w:hAnsi="Book Antiqua" w:cs="Book Antiqua"/>
          <w:color w:val="000000"/>
        </w:rPr>
        <w:t>Poland</w:t>
      </w:r>
    </w:p>
    <w:p w14:paraId="5F8831DE"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b/>
          <w:color w:val="000000"/>
        </w:rPr>
        <w:t>Peer-review report’s scientific quality classification</w:t>
      </w:r>
    </w:p>
    <w:p w14:paraId="06EDEFFD"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Grade A (Excellent): A</w:t>
      </w:r>
    </w:p>
    <w:p w14:paraId="711C6452"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Grade B (Very good): 0</w:t>
      </w:r>
    </w:p>
    <w:p w14:paraId="69418C75"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Grade C (Good): 0</w:t>
      </w:r>
    </w:p>
    <w:p w14:paraId="12B64949"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Grade D (Fair): D</w:t>
      </w:r>
    </w:p>
    <w:p w14:paraId="762634C2" w14:textId="77777777" w:rsidR="00A77B3E" w:rsidRPr="00F4426B" w:rsidRDefault="007E015A" w:rsidP="00D66732">
      <w:pPr>
        <w:spacing w:line="360" w:lineRule="auto"/>
        <w:jc w:val="both"/>
        <w:rPr>
          <w:rFonts w:ascii="Book Antiqua" w:hAnsi="Book Antiqua"/>
        </w:rPr>
      </w:pPr>
      <w:r w:rsidRPr="00F4426B">
        <w:rPr>
          <w:rFonts w:ascii="Book Antiqua" w:eastAsia="Book Antiqua" w:hAnsi="Book Antiqua" w:cs="Book Antiqua"/>
          <w:color w:val="000000"/>
        </w:rPr>
        <w:t>Grade E (Poor): 0</w:t>
      </w:r>
    </w:p>
    <w:p w14:paraId="32C2DC01" w14:textId="77777777" w:rsidR="00A77B3E" w:rsidRPr="00F4426B" w:rsidRDefault="00A77B3E" w:rsidP="00D66732">
      <w:pPr>
        <w:spacing w:line="360" w:lineRule="auto"/>
        <w:jc w:val="both"/>
        <w:rPr>
          <w:rFonts w:ascii="Book Antiqua" w:hAnsi="Book Antiqua"/>
        </w:rPr>
      </w:pPr>
    </w:p>
    <w:p w14:paraId="787EF0FF" w14:textId="7D12CFAE" w:rsidR="00A77B3E" w:rsidRPr="00F4426B" w:rsidRDefault="007E015A" w:rsidP="004E7145">
      <w:pPr>
        <w:spacing w:line="360" w:lineRule="auto"/>
        <w:rPr>
          <w:rFonts w:ascii="Book Antiqua" w:hAnsi="Book Antiqua"/>
        </w:rPr>
        <w:sectPr w:rsidR="00A77B3E" w:rsidRPr="00F4426B" w:rsidSect="00857428">
          <w:pgSz w:w="12240" w:h="15840"/>
          <w:pgMar w:top="1440" w:right="1440" w:bottom="1440" w:left="1440" w:header="720" w:footer="720" w:gutter="0"/>
          <w:cols w:space="720"/>
          <w:docGrid w:linePitch="360"/>
        </w:sectPr>
      </w:pPr>
      <w:r w:rsidRPr="00F4426B">
        <w:rPr>
          <w:rFonts w:ascii="Book Antiqua" w:eastAsia="Book Antiqua" w:hAnsi="Book Antiqua" w:cs="Book Antiqua"/>
          <w:b/>
          <w:color w:val="000000"/>
        </w:rPr>
        <w:t xml:space="preserve">P-Reviewer: </w:t>
      </w:r>
      <w:r w:rsidRPr="00F4426B">
        <w:rPr>
          <w:rFonts w:ascii="Book Antiqua" w:eastAsia="Book Antiqua" w:hAnsi="Book Antiqua" w:cs="Book Antiqua"/>
          <w:color w:val="000000"/>
        </w:rPr>
        <w:t>Nagaraju GP, Villalba R</w:t>
      </w:r>
      <w:r w:rsidRPr="00F4426B">
        <w:rPr>
          <w:rFonts w:ascii="Book Antiqua" w:eastAsia="Book Antiqua" w:hAnsi="Book Antiqua" w:cs="Book Antiqua"/>
          <w:b/>
          <w:color w:val="000000"/>
        </w:rPr>
        <w:t xml:space="preserve"> S-Editor: </w:t>
      </w:r>
      <w:r w:rsidRPr="00F4426B">
        <w:rPr>
          <w:rFonts w:ascii="Book Antiqua" w:eastAsia="Book Antiqua" w:hAnsi="Book Antiqua" w:cs="Book Antiqua"/>
          <w:color w:val="000000"/>
        </w:rPr>
        <w:t>Gao CC</w:t>
      </w:r>
      <w:r w:rsidRPr="00F4426B">
        <w:rPr>
          <w:rFonts w:ascii="Book Antiqua" w:eastAsia="Book Antiqua" w:hAnsi="Book Antiqua" w:cs="Book Antiqua"/>
          <w:b/>
          <w:color w:val="000000"/>
        </w:rPr>
        <w:t xml:space="preserve"> L-Editor:</w:t>
      </w:r>
      <w:r w:rsidR="002924DF" w:rsidRPr="00F4426B">
        <w:rPr>
          <w:rFonts w:ascii="Book Antiqua" w:eastAsia="Book Antiqua" w:hAnsi="Book Antiqua" w:cs="Book Antiqua"/>
          <w:bCs/>
          <w:color w:val="000000"/>
        </w:rPr>
        <w:t xml:space="preserve"> Filipodia</w:t>
      </w:r>
      <w:r w:rsidRPr="00F4426B">
        <w:rPr>
          <w:rFonts w:ascii="Book Antiqua" w:eastAsia="Book Antiqua" w:hAnsi="Book Antiqua" w:cs="Book Antiqua"/>
          <w:b/>
          <w:color w:val="000000"/>
        </w:rPr>
        <w:t xml:space="preserve"> P-Editor: </w:t>
      </w:r>
      <w:r w:rsidR="004E7145" w:rsidRPr="00F4426B">
        <w:rPr>
          <w:rFonts w:ascii="Book Antiqua" w:eastAsia="Book Antiqua" w:hAnsi="Book Antiqua" w:cs="Book Antiqua"/>
          <w:color w:val="000000"/>
        </w:rPr>
        <w:t>Xing YX</w:t>
      </w:r>
    </w:p>
    <w:p w14:paraId="38F05049" w14:textId="35223FF7" w:rsidR="00A77B3E" w:rsidRPr="00F4426B" w:rsidRDefault="007E015A" w:rsidP="00D66732">
      <w:pPr>
        <w:spacing w:line="360" w:lineRule="auto"/>
        <w:jc w:val="both"/>
        <w:rPr>
          <w:rFonts w:ascii="Book Antiqua" w:eastAsia="Book Antiqua" w:hAnsi="Book Antiqua" w:cs="Book Antiqua"/>
          <w:b/>
          <w:color w:val="000000"/>
        </w:rPr>
      </w:pPr>
      <w:r w:rsidRPr="00F4426B">
        <w:rPr>
          <w:rFonts w:ascii="Book Antiqua" w:eastAsia="Book Antiqua" w:hAnsi="Book Antiqua" w:cs="Book Antiqua"/>
          <w:b/>
          <w:color w:val="000000"/>
        </w:rPr>
        <w:t>Figure Legends</w:t>
      </w:r>
    </w:p>
    <w:p w14:paraId="7DFCB7E0" w14:textId="0EC65B8A" w:rsidR="006751BF" w:rsidRPr="00F4426B" w:rsidRDefault="005632AF" w:rsidP="00D66732">
      <w:pPr>
        <w:spacing w:line="360" w:lineRule="auto"/>
        <w:jc w:val="both"/>
        <w:rPr>
          <w:rFonts w:ascii="Book Antiqua" w:hAnsi="Book Antiqua"/>
        </w:rPr>
      </w:pPr>
      <w:r w:rsidRPr="00F4426B">
        <w:rPr>
          <w:rFonts w:ascii="Book Antiqua" w:hAnsi="Book Antiqua"/>
          <w:noProof/>
          <w:lang w:eastAsia="zh-CN"/>
        </w:rPr>
        <w:drawing>
          <wp:inline distT="0" distB="0" distL="0" distR="0" wp14:anchorId="6AB27B05" wp14:editId="36D67284">
            <wp:extent cx="5943600" cy="3749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49675"/>
                    </a:xfrm>
                    <a:prstGeom prst="rect">
                      <a:avLst/>
                    </a:prstGeom>
                  </pic:spPr>
                </pic:pic>
              </a:graphicData>
            </a:graphic>
          </wp:inline>
        </w:drawing>
      </w:r>
    </w:p>
    <w:p w14:paraId="5DE671F2" w14:textId="030CE5E1" w:rsidR="00F4426B" w:rsidRDefault="007E015A" w:rsidP="00D66732">
      <w:pPr>
        <w:spacing w:line="360" w:lineRule="auto"/>
        <w:jc w:val="both"/>
        <w:rPr>
          <w:rFonts w:ascii="Book Antiqua" w:eastAsia="Book Antiqua" w:hAnsi="Book Antiqua" w:cs="Book Antiqua"/>
          <w:color w:val="000000"/>
        </w:rPr>
      </w:pPr>
      <w:r w:rsidRPr="00F4426B">
        <w:rPr>
          <w:rFonts w:ascii="Book Antiqua" w:eastAsia="Book Antiqua" w:hAnsi="Book Antiqua" w:cs="Book Antiqua"/>
          <w:b/>
          <w:bCs/>
          <w:color w:val="000000"/>
        </w:rPr>
        <w:t xml:space="preserve">Figure 1 Radiological findings </w:t>
      </w:r>
      <w:r w:rsidR="00EC7D5A" w:rsidRPr="00F4426B">
        <w:rPr>
          <w:rFonts w:ascii="Book Antiqua" w:eastAsia="Book Antiqua" w:hAnsi="Book Antiqua" w:cs="Book Antiqua"/>
          <w:b/>
          <w:bCs/>
          <w:color w:val="000000"/>
        </w:rPr>
        <w:t xml:space="preserve">from </w:t>
      </w:r>
      <w:r w:rsidR="002B19B0" w:rsidRPr="00F4426B">
        <w:rPr>
          <w:rFonts w:ascii="Book Antiqua" w:eastAsia="Book Antiqua" w:hAnsi="Book Antiqua" w:cs="Book Antiqua"/>
          <w:b/>
          <w:bCs/>
          <w:color w:val="000000"/>
        </w:rPr>
        <w:t>positron emission tomography-computed tomography</w:t>
      </w:r>
      <w:r w:rsidRPr="00F4426B">
        <w:rPr>
          <w:rFonts w:ascii="Book Antiqua" w:eastAsia="Book Antiqua" w:hAnsi="Book Antiqua" w:cs="Book Antiqua"/>
          <w:b/>
          <w:bCs/>
          <w:color w:val="000000"/>
        </w:rPr>
        <w:t>.</w:t>
      </w:r>
      <w:r w:rsidR="002B19B0" w:rsidRPr="00F4426B">
        <w:rPr>
          <w:rFonts w:ascii="Book Antiqua" w:eastAsia="Book Antiqua" w:hAnsi="Book Antiqua" w:cs="Book Antiqua"/>
          <w:color w:val="000000"/>
        </w:rPr>
        <w:t xml:space="preserve"> </w:t>
      </w:r>
      <w:r w:rsidRPr="00F4426B">
        <w:rPr>
          <w:rFonts w:ascii="Book Antiqua" w:eastAsia="Book Antiqua" w:hAnsi="Book Antiqua" w:cs="Book Antiqua"/>
          <w:color w:val="000000"/>
        </w:rPr>
        <w:t>Regression in metabolism and measurement of affected lymph nodes and spleen. Previously nonexistent pulmonary changes, metabolically active, disseminated areas of pulmonary parenchyma in both lungs, with central and subpleural distribution, with greater intensity in the upper and middle lung areas.</w:t>
      </w:r>
    </w:p>
    <w:p w14:paraId="740EAE9E" w14:textId="77777777" w:rsidR="00F4426B" w:rsidRDefault="00F4426B" w:rsidP="00F4426B">
      <w:pPr>
        <w:jc w:val="center"/>
        <w:rPr>
          <w:rFonts w:ascii="Book Antiqua" w:hAnsi="Book Antiqua"/>
          <w:lang w:eastAsia="zh-CN"/>
        </w:rPr>
      </w:pPr>
      <w:r>
        <w:rPr>
          <w:rFonts w:ascii="Book Antiqua" w:eastAsia="Book Antiqua" w:hAnsi="Book Antiqua" w:cs="Book Antiqua"/>
          <w:color w:val="000000"/>
        </w:rPr>
        <w:br w:type="page"/>
      </w:r>
      <w:bookmarkStart w:id="1" w:name="OLE_LINK1"/>
      <w:bookmarkStart w:id="2" w:name="OLE_LINK2"/>
    </w:p>
    <w:p w14:paraId="724DE53F" w14:textId="77777777" w:rsidR="00F4426B" w:rsidRDefault="00F4426B" w:rsidP="00F4426B">
      <w:pPr>
        <w:jc w:val="center"/>
        <w:rPr>
          <w:rFonts w:ascii="Book Antiqua" w:hAnsi="Book Antiqua"/>
          <w:lang w:eastAsia="zh-CN"/>
        </w:rPr>
      </w:pPr>
    </w:p>
    <w:p w14:paraId="316099D9" w14:textId="77777777" w:rsidR="00F4426B" w:rsidRDefault="00F4426B" w:rsidP="00F4426B">
      <w:pPr>
        <w:jc w:val="center"/>
        <w:rPr>
          <w:rFonts w:ascii="Book Antiqua" w:hAnsi="Book Antiqua"/>
          <w:lang w:eastAsia="zh-CN"/>
        </w:rPr>
      </w:pPr>
    </w:p>
    <w:p w14:paraId="61FAEC54" w14:textId="77777777" w:rsidR="00F4426B" w:rsidRDefault="00F4426B" w:rsidP="00F4426B">
      <w:pPr>
        <w:jc w:val="center"/>
        <w:rPr>
          <w:rFonts w:ascii="Book Antiqua" w:hAnsi="Book Antiqua"/>
          <w:lang w:eastAsia="zh-CN"/>
        </w:rPr>
      </w:pPr>
    </w:p>
    <w:p w14:paraId="72492BD4" w14:textId="77777777" w:rsidR="00F4426B" w:rsidRDefault="00F4426B" w:rsidP="00F4426B">
      <w:pPr>
        <w:jc w:val="center"/>
        <w:rPr>
          <w:rFonts w:ascii="Book Antiqua" w:hAnsi="Book Antiqua"/>
          <w:lang w:eastAsia="zh-CN"/>
        </w:rPr>
      </w:pPr>
    </w:p>
    <w:p w14:paraId="7C2351A2" w14:textId="77777777" w:rsidR="00F4426B" w:rsidRDefault="00F4426B" w:rsidP="00F4426B">
      <w:pPr>
        <w:jc w:val="center"/>
        <w:rPr>
          <w:rFonts w:ascii="Book Antiqua" w:hAnsi="Book Antiqua"/>
          <w:lang w:eastAsia="zh-CN"/>
        </w:rPr>
      </w:pPr>
      <w:r>
        <w:rPr>
          <w:rFonts w:ascii="Book Antiqua" w:hAnsi="Book Antiqua"/>
          <w:noProof/>
          <w:lang w:eastAsia="zh-CN"/>
        </w:rPr>
        <w:drawing>
          <wp:inline distT="0" distB="0" distL="0" distR="0" wp14:anchorId="0CE90ED8" wp14:editId="63EB318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FFAA29" w14:textId="77777777" w:rsidR="00F4426B" w:rsidRDefault="00F4426B" w:rsidP="00F4426B">
      <w:pPr>
        <w:jc w:val="center"/>
        <w:rPr>
          <w:rFonts w:ascii="Book Antiqua" w:hAnsi="Book Antiqua"/>
          <w:lang w:eastAsia="zh-CN"/>
        </w:rPr>
      </w:pPr>
    </w:p>
    <w:p w14:paraId="782FDFE7" w14:textId="77777777" w:rsidR="00F4426B" w:rsidRPr="00763D22" w:rsidRDefault="00F4426B" w:rsidP="00F4426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FAD883E" w14:textId="77777777" w:rsidR="00F4426B" w:rsidRPr="00763D22" w:rsidRDefault="00F4426B" w:rsidP="00F4426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F509EF2" w14:textId="77777777" w:rsidR="00F4426B" w:rsidRPr="00763D22" w:rsidRDefault="00F4426B" w:rsidP="00F4426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2EE7D62" w14:textId="77777777" w:rsidR="00F4426B" w:rsidRPr="00763D22" w:rsidRDefault="00F4426B" w:rsidP="00F4426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24CFFC7" w14:textId="77777777" w:rsidR="00F4426B" w:rsidRPr="00763D22" w:rsidRDefault="00F4426B" w:rsidP="00F4426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EFD53C8" w14:textId="77777777" w:rsidR="00F4426B" w:rsidRPr="00763D22" w:rsidRDefault="00F4426B" w:rsidP="00F4426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783D501" w14:textId="77777777" w:rsidR="00F4426B" w:rsidRDefault="00F4426B" w:rsidP="00F4426B">
      <w:pPr>
        <w:jc w:val="center"/>
        <w:rPr>
          <w:rFonts w:ascii="Book Antiqua" w:hAnsi="Book Antiqua"/>
          <w:lang w:eastAsia="zh-CN"/>
        </w:rPr>
      </w:pPr>
    </w:p>
    <w:p w14:paraId="178F6DCB" w14:textId="77777777" w:rsidR="00F4426B" w:rsidRDefault="00F4426B" w:rsidP="00F4426B">
      <w:pPr>
        <w:jc w:val="center"/>
        <w:rPr>
          <w:rFonts w:ascii="Book Antiqua" w:hAnsi="Book Antiqua"/>
          <w:lang w:eastAsia="zh-CN"/>
        </w:rPr>
      </w:pPr>
    </w:p>
    <w:p w14:paraId="7473C3E8" w14:textId="77777777" w:rsidR="00F4426B" w:rsidRDefault="00F4426B" w:rsidP="00F4426B">
      <w:pPr>
        <w:jc w:val="center"/>
        <w:rPr>
          <w:rFonts w:ascii="Book Antiqua" w:hAnsi="Book Antiqua"/>
          <w:lang w:eastAsia="zh-CN"/>
        </w:rPr>
      </w:pPr>
    </w:p>
    <w:p w14:paraId="182FA035" w14:textId="77777777" w:rsidR="00F4426B" w:rsidRDefault="00F4426B" w:rsidP="00F4426B">
      <w:pPr>
        <w:jc w:val="center"/>
        <w:rPr>
          <w:rFonts w:ascii="Book Antiqua" w:hAnsi="Book Antiqua"/>
          <w:lang w:eastAsia="zh-CN"/>
        </w:rPr>
      </w:pPr>
      <w:r>
        <w:rPr>
          <w:rFonts w:ascii="Book Antiqua" w:hAnsi="Book Antiqua"/>
          <w:noProof/>
          <w:lang w:eastAsia="zh-CN"/>
        </w:rPr>
        <w:drawing>
          <wp:inline distT="0" distB="0" distL="0" distR="0" wp14:anchorId="50D83008" wp14:editId="10B785E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21CD91" w14:textId="77777777" w:rsidR="00F4426B" w:rsidRDefault="00F4426B" w:rsidP="00F4426B">
      <w:pPr>
        <w:jc w:val="center"/>
        <w:rPr>
          <w:rFonts w:ascii="Book Antiqua" w:hAnsi="Book Antiqua"/>
          <w:lang w:eastAsia="zh-CN"/>
        </w:rPr>
      </w:pPr>
    </w:p>
    <w:p w14:paraId="09D83C59" w14:textId="77777777" w:rsidR="00F4426B" w:rsidRDefault="00F4426B" w:rsidP="00F4426B">
      <w:pPr>
        <w:jc w:val="center"/>
        <w:rPr>
          <w:rFonts w:ascii="Book Antiqua" w:hAnsi="Book Antiqua"/>
          <w:lang w:eastAsia="zh-CN"/>
        </w:rPr>
      </w:pPr>
    </w:p>
    <w:p w14:paraId="478FE1CC" w14:textId="77777777" w:rsidR="00F4426B" w:rsidRDefault="00F4426B" w:rsidP="00F4426B">
      <w:pPr>
        <w:jc w:val="center"/>
        <w:rPr>
          <w:rFonts w:ascii="Book Antiqua" w:hAnsi="Book Antiqua"/>
          <w:lang w:eastAsia="zh-CN"/>
        </w:rPr>
      </w:pPr>
    </w:p>
    <w:p w14:paraId="75D6232D" w14:textId="77777777" w:rsidR="00F4426B" w:rsidRDefault="00F4426B" w:rsidP="00F4426B">
      <w:pPr>
        <w:jc w:val="center"/>
        <w:rPr>
          <w:rFonts w:ascii="Book Antiqua" w:hAnsi="Book Antiqua"/>
          <w:lang w:eastAsia="zh-CN"/>
        </w:rPr>
      </w:pPr>
    </w:p>
    <w:p w14:paraId="33106DE9" w14:textId="77777777" w:rsidR="00F4426B" w:rsidRDefault="00F4426B" w:rsidP="00F4426B">
      <w:pPr>
        <w:jc w:val="center"/>
        <w:rPr>
          <w:rFonts w:ascii="Book Antiqua" w:hAnsi="Book Antiqua"/>
          <w:lang w:eastAsia="zh-CN"/>
        </w:rPr>
      </w:pPr>
    </w:p>
    <w:p w14:paraId="1855412A" w14:textId="77777777" w:rsidR="00F4426B" w:rsidRDefault="00F4426B" w:rsidP="00F4426B">
      <w:pPr>
        <w:jc w:val="center"/>
        <w:rPr>
          <w:rFonts w:ascii="Book Antiqua" w:hAnsi="Book Antiqua"/>
          <w:lang w:eastAsia="zh-CN"/>
        </w:rPr>
      </w:pPr>
    </w:p>
    <w:p w14:paraId="19B1A09B" w14:textId="77777777" w:rsidR="00F4426B" w:rsidRDefault="00F4426B" w:rsidP="00F4426B">
      <w:pPr>
        <w:jc w:val="center"/>
        <w:rPr>
          <w:rFonts w:ascii="Book Antiqua" w:hAnsi="Book Antiqua"/>
          <w:lang w:eastAsia="zh-CN"/>
        </w:rPr>
      </w:pPr>
    </w:p>
    <w:p w14:paraId="4E6B2490" w14:textId="77777777" w:rsidR="00F4426B" w:rsidRDefault="00F4426B" w:rsidP="00F4426B">
      <w:pPr>
        <w:jc w:val="center"/>
        <w:rPr>
          <w:rFonts w:ascii="Book Antiqua" w:hAnsi="Book Antiqua"/>
          <w:lang w:eastAsia="zh-CN"/>
        </w:rPr>
      </w:pPr>
    </w:p>
    <w:p w14:paraId="7F66825F" w14:textId="77777777" w:rsidR="00F4426B" w:rsidRDefault="00F4426B" w:rsidP="00F4426B">
      <w:pPr>
        <w:jc w:val="center"/>
        <w:rPr>
          <w:rFonts w:ascii="Book Antiqua" w:hAnsi="Book Antiqua"/>
          <w:lang w:eastAsia="zh-CN"/>
        </w:rPr>
      </w:pPr>
    </w:p>
    <w:p w14:paraId="1AA48374" w14:textId="77777777" w:rsidR="00F4426B" w:rsidRPr="00763D22" w:rsidRDefault="00F4426B" w:rsidP="00F4426B">
      <w:pPr>
        <w:jc w:val="right"/>
        <w:rPr>
          <w:rFonts w:ascii="Book Antiqua" w:hAnsi="Book Antiqua"/>
          <w:color w:val="000000" w:themeColor="text1"/>
          <w:lang w:eastAsia="zh-CN"/>
        </w:rPr>
      </w:pPr>
    </w:p>
    <w:p w14:paraId="3453C63E" w14:textId="77777777" w:rsidR="00F4426B" w:rsidRPr="00763D22" w:rsidRDefault="00F4426B" w:rsidP="00F4426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236C0BC9" w14:textId="77777777" w:rsidR="008C57EF" w:rsidRPr="00D66732" w:rsidRDefault="008C57EF" w:rsidP="00D66732">
      <w:pPr>
        <w:spacing w:line="360" w:lineRule="auto"/>
        <w:jc w:val="both"/>
        <w:rPr>
          <w:rFonts w:ascii="Book Antiqua" w:eastAsia="Book Antiqua" w:hAnsi="Book Antiqua" w:cs="Book Antiqua"/>
          <w:color w:val="000000"/>
        </w:rPr>
      </w:pPr>
      <w:bookmarkStart w:id="3" w:name="_GoBack"/>
      <w:bookmarkEnd w:id="3"/>
    </w:p>
    <w:sectPr w:rsidR="008C57EF" w:rsidRPr="00D66732" w:rsidSect="008574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83E76" w14:textId="77777777" w:rsidR="00AA1184" w:rsidRDefault="00AA1184" w:rsidP="00604A8B">
      <w:r>
        <w:separator/>
      </w:r>
    </w:p>
  </w:endnote>
  <w:endnote w:type="continuationSeparator" w:id="0">
    <w:p w14:paraId="7A0D8B0B" w14:textId="77777777" w:rsidR="00AA1184" w:rsidRDefault="00AA1184" w:rsidP="00604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819622899"/>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0636CCDA" w14:textId="41B35916" w:rsidR="00604A8B" w:rsidRPr="00604A8B" w:rsidRDefault="00604A8B" w:rsidP="00604A8B">
            <w:pPr>
              <w:pStyle w:val="a7"/>
              <w:jc w:val="right"/>
              <w:rPr>
                <w:rFonts w:ascii="Book Antiqua" w:hAnsi="Book Antiqua"/>
                <w:sz w:val="24"/>
                <w:szCs w:val="24"/>
              </w:rPr>
            </w:pPr>
            <w:r w:rsidRPr="00604A8B">
              <w:rPr>
                <w:rFonts w:ascii="Book Antiqua" w:hAnsi="Book Antiqua"/>
                <w:sz w:val="24"/>
                <w:szCs w:val="24"/>
                <w:lang w:val="zh-CN" w:eastAsia="zh-CN"/>
              </w:rPr>
              <w:t xml:space="preserve"> </w:t>
            </w:r>
            <w:r w:rsidRPr="00604A8B">
              <w:rPr>
                <w:rFonts w:ascii="Book Antiqua" w:hAnsi="Book Antiqua"/>
                <w:sz w:val="24"/>
                <w:szCs w:val="24"/>
              </w:rPr>
              <w:fldChar w:fldCharType="begin"/>
            </w:r>
            <w:r w:rsidRPr="00604A8B">
              <w:rPr>
                <w:rFonts w:ascii="Book Antiqua" w:hAnsi="Book Antiqua"/>
                <w:sz w:val="24"/>
                <w:szCs w:val="24"/>
              </w:rPr>
              <w:instrText>PAGE</w:instrText>
            </w:r>
            <w:r w:rsidRPr="00604A8B">
              <w:rPr>
                <w:rFonts w:ascii="Book Antiqua" w:hAnsi="Book Antiqua"/>
                <w:sz w:val="24"/>
                <w:szCs w:val="24"/>
              </w:rPr>
              <w:fldChar w:fldCharType="separate"/>
            </w:r>
            <w:r w:rsidR="00AA1184">
              <w:rPr>
                <w:rFonts w:ascii="Book Antiqua" w:hAnsi="Book Antiqua"/>
                <w:noProof/>
                <w:sz w:val="24"/>
                <w:szCs w:val="24"/>
              </w:rPr>
              <w:t>1</w:t>
            </w:r>
            <w:r w:rsidRPr="00604A8B">
              <w:rPr>
                <w:rFonts w:ascii="Book Antiqua" w:hAnsi="Book Antiqua"/>
                <w:sz w:val="24"/>
                <w:szCs w:val="24"/>
              </w:rPr>
              <w:fldChar w:fldCharType="end"/>
            </w:r>
            <w:r w:rsidRPr="00604A8B">
              <w:rPr>
                <w:rFonts w:ascii="Book Antiqua" w:hAnsi="Book Antiqua"/>
                <w:sz w:val="24"/>
                <w:szCs w:val="24"/>
                <w:lang w:val="zh-CN" w:eastAsia="zh-CN"/>
              </w:rPr>
              <w:t xml:space="preserve"> / </w:t>
            </w:r>
            <w:r w:rsidRPr="00604A8B">
              <w:rPr>
                <w:rFonts w:ascii="Book Antiqua" w:hAnsi="Book Antiqua"/>
                <w:sz w:val="24"/>
                <w:szCs w:val="24"/>
              </w:rPr>
              <w:fldChar w:fldCharType="begin"/>
            </w:r>
            <w:r w:rsidRPr="00604A8B">
              <w:rPr>
                <w:rFonts w:ascii="Book Antiqua" w:hAnsi="Book Antiqua"/>
                <w:sz w:val="24"/>
                <w:szCs w:val="24"/>
              </w:rPr>
              <w:instrText>NUMPAGES</w:instrText>
            </w:r>
            <w:r w:rsidRPr="00604A8B">
              <w:rPr>
                <w:rFonts w:ascii="Book Antiqua" w:hAnsi="Book Antiqua"/>
                <w:sz w:val="24"/>
                <w:szCs w:val="24"/>
              </w:rPr>
              <w:fldChar w:fldCharType="separate"/>
            </w:r>
            <w:r w:rsidR="00AA1184">
              <w:rPr>
                <w:rFonts w:ascii="Book Antiqua" w:hAnsi="Book Antiqua"/>
                <w:noProof/>
                <w:sz w:val="24"/>
                <w:szCs w:val="24"/>
              </w:rPr>
              <w:t>1</w:t>
            </w:r>
            <w:r w:rsidRPr="00604A8B">
              <w:rPr>
                <w:rFonts w:ascii="Book Antiqua" w:hAnsi="Book Antiqua"/>
                <w:sz w:val="24"/>
                <w:szCs w:val="24"/>
              </w:rPr>
              <w:fldChar w:fldCharType="end"/>
            </w:r>
          </w:p>
        </w:sdtContent>
      </w:sdt>
    </w:sdtContent>
  </w:sdt>
  <w:p w14:paraId="74A9816A" w14:textId="77777777" w:rsidR="00604A8B" w:rsidRPr="00604A8B" w:rsidRDefault="00604A8B" w:rsidP="00604A8B">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59A10" w14:textId="77777777" w:rsidR="00AA1184" w:rsidRDefault="00AA1184" w:rsidP="00604A8B">
      <w:r>
        <w:separator/>
      </w:r>
    </w:p>
  </w:footnote>
  <w:footnote w:type="continuationSeparator" w:id="0">
    <w:p w14:paraId="4E10D817" w14:textId="77777777" w:rsidR="00AA1184" w:rsidRDefault="00AA1184" w:rsidP="00604A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67E2"/>
    <w:rsid w:val="00056CBD"/>
    <w:rsid w:val="000A3C6F"/>
    <w:rsid w:val="000B56E9"/>
    <w:rsid w:val="0010133C"/>
    <w:rsid w:val="00185660"/>
    <w:rsid w:val="00236C0E"/>
    <w:rsid w:val="002924DF"/>
    <w:rsid w:val="002947EB"/>
    <w:rsid w:val="002B19B0"/>
    <w:rsid w:val="002E5AB6"/>
    <w:rsid w:val="00303747"/>
    <w:rsid w:val="0036473F"/>
    <w:rsid w:val="00370218"/>
    <w:rsid w:val="0037766B"/>
    <w:rsid w:val="00402C9E"/>
    <w:rsid w:val="00456A88"/>
    <w:rsid w:val="00491623"/>
    <w:rsid w:val="004A1635"/>
    <w:rsid w:val="004D0C50"/>
    <w:rsid w:val="004E7145"/>
    <w:rsid w:val="004F51BD"/>
    <w:rsid w:val="005632AF"/>
    <w:rsid w:val="00591E78"/>
    <w:rsid w:val="005C4626"/>
    <w:rsid w:val="00604A8B"/>
    <w:rsid w:val="00631F42"/>
    <w:rsid w:val="00652087"/>
    <w:rsid w:val="00652B90"/>
    <w:rsid w:val="006677B3"/>
    <w:rsid w:val="006751BF"/>
    <w:rsid w:val="00681205"/>
    <w:rsid w:val="00684332"/>
    <w:rsid w:val="007562F5"/>
    <w:rsid w:val="0077059D"/>
    <w:rsid w:val="00784815"/>
    <w:rsid w:val="007E015A"/>
    <w:rsid w:val="008439C6"/>
    <w:rsid w:val="00857428"/>
    <w:rsid w:val="00873E82"/>
    <w:rsid w:val="008C57EF"/>
    <w:rsid w:val="009D6391"/>
    <w:rsid w:val="00A10BD5"/>
    <w:rsid w:val="00A77B3E"/>
    <w:rsid w:val="00AA1184"/>
    <w:rsid w:val="00AE3689"/>
    <w:rsid w:val="00B40DA0"/>
    <w:rsid w:val="00B57633"/>
    <w:rsid w:val="00C04968"/>
    <w:rsid w:val="00C47A50"/>
    <w:rsid w:val="00CA2A55"/>
    <w:rsid w:val="00D62785"/>
    <w:rsid w:val="00D66732"/>
    <w:rsid w:val="00D93916"/>
    <w:rsid w:val="00EC7D5A"/>
    <w:rsid w:val="00F35B67"/>
    <w:rsid w:val="00F4426B"/>
    <w:rsid w:val="00F53985"/>
    <w:rsid w:val="00F93F2D"/>
    <w:rsid w:val="00FA5E95"/>
    <w:rsid w:val="00FB0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E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styleId="a3">
    <w:name w:val="annotation reference"/>
    <w:basedOn w:val="a0"/>
    <w:semiHidden/>
    <w:unhideWhenUsed/>
    <w:rsid w:val="002B19B0"/>
    <w:rPr>
      <w:sz w:val="21"/>
      <w:szCs w:val="21"/>
    </w:rPr>
  </w:style>
  <w:style w:type="paragraph" w:styleId="a4">
    <w:name w:val="annotation text"/>
    <w:basedOn w:val="a"/>
    <w:link w:val="Char"/>
    <w:semiHidden/>
    <w:unhideWhenUsed/>
    <w:rsid w:val="002B19B0"/>
  </w:style>
  <w:style w:type="character" w:customStyle="1" w:styleId="Char">
    <w:name w:val="批注文字 Char"/>
    <w:basedOn w:val="a0"/>
    <w:link w:val="a4"/>
    <w:semiHidden/>
    <w:rsid w:val="002B19B0"/>
    <w:rPr>
      <w:sz w:val="24"/>
      <w:szCs w:val="24"/>
    </w:rPr>
  </w:style>
  <w:style w:type="paragraph" w:styleId="a5">
    <w:name w:val="annotation subject"/>
    <w:basedOn w:val="a4"/>
    <w:next w:val="a4"/>
    <w:link w:val="Char0"/>
    <w:semiHidden/>
    <w:unhideWhenUsed/>
    <w:rsid w:val="002B19B0"/>
    <w:rPr>
      <w:b/>
      <w:bCs/>
    </w:rPr>
  </w:style>
  <w:style w:type="character" w:customStyle="1" w:styleId="Char0">
    <w:name w:val="批注主题 Char"/>
    <w:basedOn w:val="Char"/>
    <w:link w:val="a5"/>
    <w:semiHidden/>
    <w:rsid w:val="002B19B0"/>
    <w:rPr>
      <w:b/>
      <w:bCs/>
      <w:sz w:val="24"/>
      <w:szCs w:val="24"/>
    </w:rPr>
  </w:style>
  <w:style w:type="paragraph" w:styleId="a6">
    <w:name w:val="header"/>
    <w:basedOn w:val="a"/>
    <w:link w:val="Char1"/>
    <w:unhideWhenUsed/>
    <w:rsid w:val="00604A8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04A8B"/>
    <w:rPr>
      <w:sz w:val="18"/>
      <w:szCs w:val="18"/>
    </w:rPr>
  </w:style>
  <w:style w:type="paragraph" w:styleId="a7">
    <w:name w:val="footer"/>
    <w:basedOn w:val="a"/>
    <w:link w:val="Char2"/>
    <w:uiPriority w:val="99"/>
    <w:unhideWhenUsed/>
    <w:rsid w:val="00604A8B"/>
    <w:pPr>
      <w:tabs>
        <w:tab w:val="center" w:pos="4153"/>
        <w:tab w:val="right" w:pos="8306"/>
      </w:tabs>
      <w:snapToGrid w:val="0"/>
    </w:pPr>
    <w:rPr>
      <w:sz w:val="18"/>
      <w:szCs w:val="18"/>
    </w:rPr>
  </w:style>
  <w:style w:type="character" w:customStyle="1" w:styleId="Char2">
    <w:name w:val="页脚 Char"/>
    <w:basedOn w:val="a0"/>
    <w:link w:val="a7"/>
    <w:uiPriority w:val="99"/>
    <w:rsid w:val="00604A8B"/>
    <w:rPr>
      <w:sz w:val="18"/>
      <w:szCs w:val="18"/>
    </w:rPr>
  </w:style>
  <w:style w:type="table" w:styleId="a8">
    <w:name w:val="Table Grid"/>
    <w:basedOn w:val="a1"/>
    <w:rsid w:val="00370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3702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9">
    <w:name w:val="Revision"/>
    <w:hidden/>
    <w:uiPriority w:val="99"/>
    <w:semiHidden/>
    <w:rsid w:val="00491623"/>
    <w:rPr>
      <w:sz w:val="24"/>
      <w:szCs w:val="24"/>
    </w:rPr>
  </w:style>
  <w:style w:type="paragraph" w:styleId="HTML">
    <w:name w:val="HTML Preformatted"/>
    <w:basedOn w:val="a"/>
    <w:link w:val="HTMLChar"/>
    <w:semiHidden/>
    <w:unhideWhenUsed/>
    <w:rsid w:val="00F93F2D"/>
    <w:rPr>
      <w:rFonts w:ascii="Consolas" w:hAnsi="Consolas"/>
      <w:sz w:val="20"/>
      <w:szCs w:val="20"/>
    </w:rPr>
  </w:style>
  <w:style w:type="character" w:customStyle="1" w:styleId="HTMLChar">
    <w:name w:val="HTML 预设格式 Char"/>
    <w:basedOn w:val="a0"/>
    <w:link w:val="HTML"/>
    <w:semiHidden/>
    <w:rsid w:val="00F93F2D"/>
    <w:rPr>
      <w:rFonts w:ascii="Consolas" w:hAnsi="Consolas"/>
    </w:rPr>
  </w:style>
  <w:style w:type="paragraph" w:styleId="aa">
    <w:name w:val="Balloon Text"/>
    <w:basedOn w:val="a"/>
    <w:link w:val="Char3"/>
    <w:rsid w:val="004E7145"/>
    <w:rPr>
      <w:sz w:val="18"/>
      <w:szCs w:val="18"/>
    </w:rPr>
  </w:style>
  <w:style w:type="character" w:customStyle="1" w:styleId="Char3">
    <w:name w:val="批注框文本 Char"/>
    <w:basedOn w:val="a0"/>
    <w:link w:val="aa"/>
    <w:rsid w:val="004E7145"/>
    <w:rPr>
      <w:sz w:val="18"/>
      <w:szCs w:val="18"/>
    </w:rPr>
  </w:style>
  <w:style w:type="character" w:styleId="ab">
    <w:name w:val="Hyperlink"/>
    <w:basedOn w:val="a0"/>
    <w:unhideWhenUsed/>
    <w:rsid w:val="00236C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835973">
      <w:bodyDiv w:val="1"/>
      <w:marLeft w:val="0"/>
      <w:marRight w:val="0"/>
      <w:marTop w:val="0"/>
      <w:marBottom w:val="0"/>
      <w:divBdr>
        <w:top w:val="none" w:sz="0" w:space="0" w:color="auto"/>
        <w:left w:val="none" w:sz="0" w:space="0" w:color="auto"/>
        <w:bottom w:val="none" w:sz="0" w:space="0" w:color="auto"/>
        <w:right w:val="none" w:sz="0" w:space="0" w:color="auto"/>
      </w:divBdr>
    </w:div>
    <w:div w:id="1498879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4112</Words>
  <Characters>23443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2021-05-07T17:39:00Z</dcterms:created>
  <dcterms:modified xsi:type="dcterms:W3CDTF">2021-06-08T10:29:00Z</dcterms:modified>
</cp:coreProperties>
</file>