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9E327" w14:textId="77777777" w:rsidR="00A77B3E" w:rsidRDefault="00DB0E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1C3D89" w14:textId="77777777" w:rsidR="00A77B3E" w:rsidRDefault="00DB0E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64632</w:t>
      </w:r>
    </w:p>
    <w:p w14:paraId="7C71A009" w14:textId="77777777" w:rsidR="00A77B3E" w:rsidRDefault="00DB0E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E156F5C" w14:textId="77777777" w:rsidR="00A77B3E" w:rsidRDefault="00A77B3E">
      <w:pPr>
        <w:spacing w:line="360" w:lineRule="auto"/>
        <w:jc w:val="both"/>
      </w:pPr>
    </w:p>
    <w:p w14:paraId="075DDA17" w14:textId="77777777" w:rsidR="00A77B3E" w:rsidRDefault="00DB0EE1">
      <w:pPr>
        <w:spacing w:line="360" w:lineRule="auto"/>
        <w:jc w:val="both"/>
      </w:pPr>
      <w:r>
        <w:rPr>
          <w:rFonts w:ascii="Book Antiqua" w:eastAsia="Book Antiqua" w:hAnsi="Book Antiqua" w:cs="Book Antiqua"/>
          <w:b/>
          <w:bCs/>
          <w:color w:val="000000"/>
          <w:szCs w:val="22"/>
        </w:rPr>
        <w:t>Treatment strategies for hepatocellular carcinoma with extrahepatic metastasis</w:t>
      </w:r>
    </w:p>
    <w:p w14:paraId="36846AA4" w14:textId="77777777" w:rsidR="00A77B3E" w:rsidRDefault="00A77B3E">
      <w:pPr>
        <w:spacing w:line="360" w:lineRule="auto"/>
        <w:jc w:val="both"/>
      </w:pPr>
    </w:p>
    <w:p w14:paraId="10FBD798" w14:textId="141E291D" w:rsidR="00A77B3E" w:rsidRDefault="00CF7847">
      <w:pPr>
        <w:spacing w:line="360" w:lineRule="auto"/>
        <w:jc w:val="both"/>
      </w:pPr>
      <w:r>
        <w:rPr>
          <w:rFonts w:ascii="Book Antiqua" w:eastAsia="Book Antiqua" w:hAnsi="Book Antiqua" w:cs="Book Antiqua"/>
          <w:color w:val="000000"/>
        </w:rPr>
        <w:t xml:space="preserve">Long HY </w:t>
      </w:r>
      <w:r w:rsidRPr="00CF78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B0EE1">
        <w:rPr>
          <w:rFonts w:ascii="Book Antiqua" w:eastAsia="Book Antiqua" w:hAnsi="Book Antiqua" w:cs="Book Antiqua"/>
          <w:color w:val="000000"/>
        </w:rPr>
        <w:t>Extrahepatic metastasis of HCC</w:t>
      </w:r>
    </w:p>
    <w:p w14:paraId="288A96AC" w14:textId="77777777" w:rsidR="00A77B3E" w:rsidRDefault="00A77B3E">
      <w:pPr>
        <w:spacing w:line="360" w:lineRule="auto"/>
        <w:jc w:val="both"/>
      </w:pPr>
    </w:p>
    <w:p w14:paraId="67C2FDA7" w14:textId="77777777" w:rsidR="00A77B3E" w:rsidRDefault="00DB0EE1">
      <w:pPr>
        <w:spacing w:line="360" w:lineRule="auto"/>
        <w:jc w:val="both"/>
      </w:pPr>
      <w:r>
        <w:rPr>
          <w:rFonts w:ascii="Book Antiqua" w:eastAsia="Book Antiqua" w:hAnsi="Book Antiqua" w:cs="Book Antiqua"/>
          <w:color w:val="000000"/>
        </w:rPr>
        <w:t>Hai-Yi Long, Tong-Yi Huang, Xiao-Yan Xie, Jian-Ting Long, Bao-Xian Liu</w:t>
      </w:r>
    </w:p>
    <w:p w14:paraId="3E89E036" w14:textId="77777777" w:rsidR="00A77B3E" w:rsidRDefault="00A77B3E">
      <w:pPr>
        <w:spacing w:line="360" w:lineRule="auto"/>
        <w:jc w:val="both"/>
      </w:pPr>
    </w:p>
    <w:p w14:paraId="4A6B4AB6" w14:textId="77777777" w:rsidR="00A77B3E" w:rsidRDefault="00DB0EE1">
      <w:pPr>
        <w:spacing w:line="360" w:lineRule="auto"/>
        <w:jc w:val="both"/>
      </w:pPr>
      <w:r>
        <w:rPr>
          <w:rFonts w:ascii="Book Antiqua" w:eastAsia="Book Antiqua" w:hAnsi="Book Antiqua" w:cs="Book Antiqua"/>
          <w:b/>
          <w:bCs/>
          <w:color w:val="000000"/>
        </w:rPr>
        <w:t xml:space="preserve">Hai-Yi Long, Tong-Yi Huang, Xiao-Yan Xie, Bao-Xian Liu, </w:t>
      </w:r>
      <w:r>
        <w:rPr>
          <w:rFonts w:ascii="Book Antiqua" w:eastAsia="Book Antiqua" w:hAnsi="Book Antiqua" w:cs="Book Antiqua"/>
          <w:color w:val="000000"/>
        </w:rPr>
        <w:t>Department of Medical Ultrasonics, Institute of Diagnostic and Interventional Ultrasound, the First Affiliated Hospital of Sun Yat-Sen University, Guangzhou 510080, Guangdong Province, China</w:t>
      </w:r>
    </w:p>
    <w:p w14:paraId="111E12D1" w14:textId="77777777" w:rsidR="00A77B3E" w:rsidRDefault="00A77B3E">
      <w:pPr>
        <w:spacing w:line="360" w:lineRule="auto"/>
        <w:jc w:val="both"/>
      </w:pPr>
    </w:p>
    <w:p w14:paraId="49C4A894" w14:textId="77777777" w:rsidR="00A77B3E" w:rsidRDefault="00DB0EE1">
      <w:pPr>
        <w:spacing w:line="360" w:lineRule="auto"/>
        <w:jc w:val="both"/>
      </w:pPr>
      <w:r>
        <w:rPr>
          <w:rFonts w:ascii="Book Antiqua" w:eastAsia="Book Antiqua" w:hAnsi="Book Antiqua" w:cs="Book Antiqua"/>
          <w:b/>
          <w:bCs/>
          <w:color w:val="000000"/>
        </w:rPr>
        <w:t xml:space="preserve">Jian-Ting Long, </w:t>
      </w:r>
      <w:r>
        <w:rPr>
          <w:rFonts w:ascii="Book Antiqua" w:eastAsia="Book Antiqua" w:hAnsi="Book Antiqua" w:cs="Book Antiqua"/>
          <w:color w:val="000000"/>
        </w:rPr>
        <w:t>Department of Medical Oncology, The First Affiliated Hospital of Sun Yat-sen University, Guangzhou 510080, Guangdong Province, China</w:t>
      </w:r>
    </w:p>
    <w:p w14:paraId="188408A4" w14:textId="77777777" w:rsidR="00A77B3E" w:rsidRDefault="00A77B3E">
      <w:pPr>
        <w:spacing w:line="360" w:lineRule="auto"/>
        <w:jc w:val="both"/>
      </w:pPr>
    </w:p>
    <w:p w14:paraId="1C4C2B03" w14:textId="4B8D9114" w:rsidR="00A77B3E" w:rsidRDefault="00DB0EE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Long </w:t>
      </w:r>
      <w:r w:rsidR="00CF7847">
        <w:rPr>
          <w:rFonts w:ascii="Book Antiqua" w:eastAsia="Book Antiqua" w:hAnsi="Book Antiqua" w:cs="Book Antiqua"/>
          <w:color w:val="000000"/>
          <w:szCs w:val="22"/>
        </w:rPr>
        <w:t xml:space="preserve">HY </w:t>
      </w:r>
      <w:r>
        <w:rPr>
          <w:rFonts w:ascii="Book Antiqua" w:eastAsia="Book Antiqua" w:hAnsi="Book Antiqua" w:cs="Book Antiqua"/>
          <w:color w:val="000000"/>
          <w:szCs w:val="22"/>
        </w:rPr>
        <w:t xml:space="preserve">and Huang </w:t>
      </w:r>
      <w:r w:rsidR="00CF7847">
        <w:rPr>
          <w:rFonts w:ascii="Book Antiqua" w:eastAsia="Book Antiqua" w:hAnsi="Book Antiqua" w:cs="Book Antiqua"/>
          <w:color w:val="000000"/>
          <w:szCs w:val="22"/>
        </w:rPr>
        <w:t xml:space="preserve">TY </w:t>
      </w:r>
      <w:r>
        <w:rPr>
          <w:rFonts w:ascii="Book Antiqua" w:eastAsia="Book Antiqua" w:hAnsi="Book Antiqua" w:cs="Book Antiqua"/>
          <w:color w:val="000000"/>
          <w:szCs w:val="22"/>
        </w:rPr>
        <w:t xml:space="preserve">were involved in review design and drafting of the manuscript; Xie </w:t>
      </w:r>
      <w:r w:rsidR="00CF7847">
        <w:rPr>
          <w:rFonts w:ascii="Book Antiqua" w:eastAsia="Book Antiqua" w:hAnsi="Book Antiqua" w:cs="Book Antiqua"/>
          <w:color w:val="000000"/>
          <w:szCs w:val="22"/>
        </w:rPr>
        <w:t xml:space="preserve">XY </w:t>
      </w:r>
      <w:r>
        <w:rPr>
          <w:rFonts w:ascii="Book Antiqua" w:eastAsia="Book Antiqua" w:hAnsi="Book Antiqua" w:cs="Book Antiqua"/>
          <w:color w:val="000000"/>
          <w:szCs w:val="22"/>
        </w:rPr>
        <w:t xml:space="preserve">and Long </w:t>
      </w:r>
      <w:r w:rsidR="00CF7847">
        <w:rPr>
          <w:rFonts w:ascii="Book Antiqua" w:eastAsia="Book Antiqua" w:hAnsi="Book Antiqua" w:cs="Book Antiqua"/>
          <w:color w:val="000000"/>
          <w:szCs w:val="22"/>
        </w:rPr>
        <w:t xml:space="preserve">JT </w:t>
      </w:r>
      <w:r>
        <w:rPr>
          <w:rFonts w:ascii="Book Antiqua" w:eastAsia="Book Antiqua" w:hAnsi="Book Antiqua" w:cs="Book Antiqua"/>
          <w:color w:val="000000"/>
          <w:szCs w:val="22"/>
        </w:rPr>
        <w:t xml:space="preserve">were involved in the critical revision of the manuscript; Liu </w:t>
      </w:r>
      <w:r w:rsidR="00CF7847">
        <w:rPr>
          <w:rFonts w:ascii="Book Antiqua" w:eastAsia="Book Antiqua" w:hAnsi="Book Antiqua" w:cs="Book Antiqua"/>
          <w:color w:val="000000"/>
          <w:szCs w:val="22"/>
        </w:rPr>
        <w:t xml:space="preserve">BX </w:t>
      </w:r>
      <w:r>
        <w:rPr>
          <w:rFonts w:ascii="Book Antiqua" w:eastAsia="Book Antiqua" w:hAnsi="Book Antiqua" w:cs="Book Antiqua"/>
          <w:color w:val="000000"/>
          <w:szCs w:val="22"/>
        </w:rPr>
        <w:t>was involved in review design and critical revision of the manuscript.</w:t>
      </w:r>
    </w:p>
    <w:p w14:paraId="311AC4BE" w14:textId="01956902" w:rsidR="00A77B3E" w:rsidRDefault="00A77B3E">
      <w:pPr>
        <w:spacing w:line="360" w:lineRule="auto"/>
        <w:jc w:val="both"/>
      </w:pPr>
    </w:p>
    <w:p w14:paraId="3FA7B106" w14:textId="77777777" w:rsidR="00AD06A2" w:rsidRDefault="00AD06A2" w:rsidP="00AD06A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2"/>
        </w:rPr>
        <w:t>Natural Science Foundation of Guangdong Province of China, No. 2018A0303130165; and Science and Technology Program of Guangzhou, No. 201904010046.</w:t>
      </w:r>
    </w:p>
    <w:p w14:paraId="5BEA1F22" w14:textId="77777777" w:rsidR="00AD06A2" w:rsidRDefault="00AD06A2">
      <w:pPr>
        <w:spacing w:line="360" w:lineRule="auto"/>
        <w:jc w:val="both"/>
      </w:pPr>
    </w:p>
    <w:p w14:paraId="3447ED5A" w14:textId="77777777" w:rsidR="00A77B3E" w:rsidRDefault="00DB0EE1">
      <w:pPr>
        <w:spacing w:line="360" w:lineRule="auto"/>
        <w:jc w:val="both"/>
      </w:pPr>
      <w:r>
        <w:rPr>
          <w:rFonts w:ascii="Book Antiqua" w:eastAsia="Book Antiqua" w:hAnsi="Book Antiqua" w:cs="Book Antiqua"/>
          <w:b/>
          <w:bCs/>
          <w:color w:val="000000"/>
        </w:rPr>
        <w:t xml:space="preserve">Corresponding author: Bao-Xian Liu, MD, PhD, Assistant Professor, </w:t>
      </w:r>
      <w:r>
        <w:rPr>
          <w:rFonts w:ascii="Book Antiqua" w:eastAsia="Book Antiqua" w:hAnsi="Book Antiqua" w:cs="Book Antiqua"/>
          <w:color w:val="000000"/>
        </w:rPr>
        <w:t xml:space="preserve">Department of Medical Ultrasonics, Institute of Diagnostic and Interventional Ultrasound, the First </w:t>
      </w:r>
      <w:r>
        <w:rPr>
          <w:rFonts w:ascii="Book Antiqua" w:eastAsia="Book Antiqua" w:hAnsi="Book Antiqua" w:cs="Book Antiqua"/>
          <w:color w:val="000000"/>
        </w:rPr>
        <w:lastRenderedPageBreak/>
        <w:t>Affiliated Hospital of Sun Yat-Sen University, No. 58 Zhongshan Road 2, Guangzhou 510080, Guangdong Province, China. liubxian@mail.sysu.edu.cn</w:t>
      </w:r>
    </w:p>
    <w:p w14:paraId="46696FC2" w14:textId="77777777" w:rsidR="00A77B3E" w:rsidRDefault="00A77B3E">
      <w:pPr>
        <w:spacing w:line="360" w:lineRule="auto"/>
        <w:jc w:val="both"/>
      </w:pPr>
    </w:p>
    <w:p w14:paraId="55F14C0D" w14:textId="77777777" w:rsidR="00A77B3E" w:rsidRDefault="00DB0E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24FF821D" w14:textId="77777777" w:rsidR="00A77B3E" w:rsidRDefault="00DB0E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2021</w:t>
      </w:r>
    </w:p>
    <w:p w14:paraId="792F61E2" w14:textId="32DA5D2C" w:rsidR="00A77B3E" w:rsidRDefault="00DB0EE1">
      <w:pPr>
        <w:spacing w:line="360" w:lineRule="auto"/>
        <w:jc w:val="both"/>
      </w:pPr>
      <w:r>
        <w:rPr>
          <w:rFonts w:ascii="Book Antiqua" w:eastAsia="Book Antiqua" w:hAnsi="Book Antiqua" w:cs="Book Antiqua"/>
          <w:b/>
          <w:bCs/>
          <w:color w:val="000000"/>
        </w:rPr>
        <w:t xml:space="preserve">Accepted: </w:t>
      </w:r>
      <w:r w:rsidR="000B2BA1" w:rsidRPr="000B2BA1">
        <w:rPr>
          <w:rFonts w:ascii="Book Antiqua" w:eastAsia="Book Antiqua" w:hAnsi="Book Antiqua" w:cs="Book Antiqua"/>
          <w:color w:val="000000"/>
        </w:rPr>
        <w:t>May 25, 2021</w:t>
      </w:r>
    </w:p>
    <w:p w14:paraId="29CB02A7" w14:textId="1F0AA4FF" w:rsidR="00A77B3E" w:rsidRDefault="00DB0EE1">
      <w:pPr>
        <w:spacing w:line="360" w:lineRule="auto"/>
        <w:jc w:val="both"/>
      </w:pPr>
      <w:r>
        <w:rPr>
          <w:rFonts w:ascii="Book Antiqua" w:eastAsia="Book Antiqua" w:hAnsi="Book Antiqua" w:cs="Book Antiqua"/>
          <w:b/>
          <w:bCs/>
          <w:color w:val="000000"/>
        </w:rPr>
        <w:t xml:space="preserve">Published online: </w:t>
      </w:r>
      <w:r w:rsidR="00101EE9" w:rsidRPr="00A619A5">
        <w:rPr>
          <w:rFonts w:ascii="Book Antiqua" w:eastAsia="Book Antiqua" w:hAnsi="Book Antiqua" w:cs="Book Antiqua"/>
          <w:bCs/>
          <w:color w:val="000000"/>
        </w:rPr>
        <w:t xml:space="preserve">July </w:t>
      </w:r>
      <w:r w:rsidR="00101EE9">
        <w:rPr>
          <w:rFonts w:ascii="Book Antiqua" w:hAnsi="Book Antiqua" w:cs="Book Antiqua" w:hint="eastAsia"/>
          <w:bCs/>
          <w:color w:val="000000"/>
          <w:lang w:eastAsia="zh-CN"/>
        </w:rPr>
        <w:t>2</w:t>
      </w:r>
      <w:r w:rsidR="00101EE9" w:rsidRPr="00A619A5">
        <w:rPr>
          <w:rFonts w:ascii="Book Antiqua" w:eastAsia="Book Antiqua" w:hAnsi="Book Antiqua" w:cs="Book Antiqua"/>
          <w:bCs/>
          <w:color w:val="000000"/>
        </w:rPr>
        <w:t>6</w:t>
      </w:r>
      <w:r w:rsidR="00101EE9" w:rsidRPr="00A619A5">
        <w:rPr>
          <w:rFonts w:ascii="Book Antiqua" w:hAnsi="Book Antiqua" w:cs="Book Antiqua" w:hint="eastAsia"/>
          <w:bCs/>
          <w:color w:val="000000"/>
          <w:lang w:eastAsia="zh-CN"/>
        </w:rPr>
        <w:t>, 2021</w:t>
      </w:r>
    </w:p>
    <w:p w14:paraId="6C319BB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62F3CD4" w14:textId="77777777" w:rsidR="00A77B3E" w:rsidRDefault="00DB0EE1">
      <w:pPr>
        <w:spacing w:line="360" w:lineRule="auto"/>
        <w:jc w:val="both"/>
      </w:pPr>
      <w:r>
        <w:rPr>
          <w:rFonts w:ascii="Book Antiqua" w:eastAsia="Book Antiqua" w:hAnsi="Book Antiqua" w:cs="Book Antiqua"/>
          <w:b/>
          <w:color w:val="000000"/>
        </w:rPr>
        <w:t>Abstract</w:t>
      </w:r>
    </w:p>
    <w:p w14:paraId="59CB9320" w14:textId="220B070D" w:rsidR="00A77B3E" w:rsidRDefault="00DB0EE1">
      <w:pPr>
        <w:spacing w:line="360" w:lineRule="auto"/>
        <w:jc w:val="both"/>
      </w:pPr>
      <w:r>
        <w:rPr>
          <w:rFonts w:ascii="Book Antiqua" w:eastAsia="Book Antiqua" w:hAnsi="Book Antiqua" w:cs="Book Antiqua"/>
          <w:color w:val="000000"/>
          <w:szCs w:val="21"/>
        </w:rPr>
        <w:t xml:space="preserve">Extrahepatic metastasis (EHM) of hepatocellular carcinoma (HCC) has </w:t>
      </w:r>
      <w:r w:rsidR="0009418D" w:rsidRPr="0009418D">
        <w:rPr>
          <w:rFonts w:ascii="Book Antiqua" w:eastAsia="Book Antiqua" w:hAnsi="Book Antiqua" w:cs="Book Antiqua"/>
          <w:color w:val="000000"/>
          <w:szCs w:val="21"/>
        </w:rPr>
        <w:t xml:space="preserve">increasingly </w:t>
      </w:r>
      <w:r>
        <w:rPr>
          <w:rFonts w:ascii="Book Antiqua" w:eastAsia="Book Antiqua" w:hAnsi="Book Antiqua" w:cs="Book Antiqua"/>
          <w:color w:val="000000"/>
          <w:szCs w:val="21"/>
        </w:rPr>
        <w:t>been seen due to improved survival with effective management of intrahepatic lesions. The presence of EHM indicates an advanced stage of HCC</w:t>
      </w:r>
      <w:r w:rsidR="0009418D">
        <w:rPr>
          <w:rFonts w:ascii="Book Antiqua" w:eastAsia="Book Antiqua" w:hAnsi="Book Antiqua" w:cs="Book Antiqua"/>
          <w:color w:val="000000"/>
          <w:szCs w:val="21"/>
        </w:rPr>
        <w:t xml:space="preserve">, for </w:t>
      </w:r>
      <w:r>
        <w:rPr>
          <w:rFonts w:ascii="Book Antiqua" w:eastAsia="Book Antiqua" w:hAnsi="Book Antiqua" w:cs="Book Antiqua"/>
          <w:color w:val="000000"/>
          <w:szCs w:val="21"/>
        </w:rPr>
        <w:t>which systemic therapy serves as the standard treatment modality. Since the approval of Sorafenib as the first systemic agent in 2007, it took almost a decade to show its efficacy in both first and further lines of setting until the landscape of systemic drugs</w:t>
      </w:r>
      <w:r w:rsidR="00E0436F">
        <w:rPr>
          <w:rFonts w:ascii="Book Antiqua" w:eastAsia="Book Antiqua" w:hAnsi="Book Antiqua" w:cs="Book Antiqua"/>
          <w:color w:val="000000"/>
          <w:szCs w:val="21"/>
        </w:rPr>
        <w:t xml:space="preserve"> was</w:t>
      </w:r>
      <w:r>
        <w:rPr>
          <w:rFonts w:ascii="Book Antiqua" w:eastAsia="Book Antiqua" w:hAnsi="Book Antiqua" w:cs="Book Antiqua"/>
          <w:color w:val="000000"/>
          <w:szCs w:val="21"/>
        </w:rPr>
        <w:t xml:space="preserve"> finally expanded. Moreover, with inspiring results from immunotherapy trials in HCC, it appears that the introduction of immunotherapy may lead to an evolution in the portfolio of HCC treatment. Although the locoregional approach in the management of EHM is not recommended for advanced-stage HCC, efforts have been made to demonstrate its efficacy in symptom relief and potential benefit for overall survival.</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 review provides a summary of recent updates of the systemic agents in the treatment of advanced HCC, with an emphasis on aggressive locoregional management of EHM by various treatment modalities.</w:t>
      </w:r>
    </w:p>
    <w:p w14:paraId="71D80A83" w14:textId="77777777" w:rsidR="00A77B3E" w:rsidRDefault="00A77B3E">
      <w:pPr>
        <w:spacing w:line="360" w:lineRule="auto"/>
        <w:jc w:val="both"/>
      </w:pPr>
    </w:p>
    <w:p w14:paraId="08184645" w14:textId="77777777" w:rsidR="00A77B3E" w:rsidRDefault="00DB0E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Extrahepatic metastasis; Systemic therapy; Targeted therapy; Immunotherapy; Locoregional therapy</w:t>
      </w:r>
    </w:p>
    <w:p w14:paraId="5080771A" w14:textId="77777777" w:rsidR="009E59AE" w:rsidRDefault="009E59AE" w:rsidP="009E59AE">
      <w:pPr>
        <w:spacing w:line="360" w:lineRule="auto"/>
        <w:jc w:val="both"/>
        <w:rPr>
          <w:lang w:eastAsia="zh-CN"/>
        </w:rPr>
      </w:pPr>
    </w:p>
    <w:p w14:paraId="6B6606CC" w14:textId="77777777" w:rsidR="009E59AE" w:rsidRPr="00026CB8" w:rsidRDefault="009E59AE" w:rsidP="009E59A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64C7027" w14:textId="77777777" w:rsidR="00A77B3E" w:rsidRDefault="00A77B3E">
      <w:pPr>
        <w:spacing w:line="360" w:lineRule="auto"/>
        <w:jc w:val="both"/>
      </w:pPr>
    </w:p>
    <w:p w14:paraId="24D1A0C2" w14:textId="6E0EE16D" w:rsidR="00BB4A11" w:rsidRDefault="00BB4A11">
      <w:pPr>
        <w:spacing w:line="360" w:lineRule="auto"/>
        <w:jc w:val="both"/>
        <w:rPr>
          <w:rFonts w:ascii="Book Antiqua" w:hAnsi="Book Antiqua" w:hint="eastAsia"/>
          <w:lang w:eastAsia="zh-CN"/>
        </w:rPr>
      </w:pPr>
      <w:r w:rsidRPr="00BB4A11">
        <w:rPr>
          <w:rFonts w:ascii="Book Antiqua" w:eastAsia="Book Antiqua" w:hAnsi="Book Antiqua" w:cs="Book Antiqua"/>
          <w:b/>
          <w:color w:val="000000"/>
        </w:rPr>
        <w:t>Citation</w:t>
      </w:r>
      <w:r w:rsidRPr="00BB4A11">
        <w:rPr>
          <w:rFonts w:ascii="Book Antiqua" w:hAnsi="Book Antiqua" w:cs="Book Antiqua" w:hint="eastAsia"/>
          <w:b/>
          <w:color w:val="000000"/>
          <w:lang w:eastAsia="zh-CN"/>
        </w:rPr>
        <w:t xml:space="preserve">: </w:t>
      </w:r>
      <w:r w:rsidR="00DB0EE1">
        <w:rPr>
          <w:rFonts w:ascii="Book Antiqua" w:eastAsia="Book Antiqua" w:hAnsi="Book Antiqua" w:cs="Book Antiqua"/>
          <w:color w:val="000000"/>
        </w:rPr>
        <w:t xml:space="preserve">Long HY, Huang TY, Xie XY, Long JT, Liu BX. Treatment strategies for hepatocellular carcinoma with extrahepatic metastasis. </w:t>
      </w:r>
      <w:r w:rsidR="00DB0EE1">
        <w:rPr>
          <w:rFonts w:ascii="Book Antiqua" w:eastAsia="Book Antiqua" w:hAnsi="Book Antiqua" w:cs="Book Antiqua"/>
          <w:i/>
          <w:iCs/>
          <w:color w:val="000000"/>
        </w:rPr>
        <w:t>World J Clin Cases</w:t>
      </w:r>
      <w:r w:rsidR="00DB0EE1">
        <w:rPr>
          <w:rFonts w:ascii="Book Antiqua" w:eastAsia="Book Antiqua" w:hAnsi="Book Antiqua" w:cs="Book Antiqua"/>
          <w:color w:val="000000"/>
        </w:rPr>
        <w:t xml:space="preserve"> </w:t>
      </w:r>
      <w:r w:rsidR="00FF19A4" w:rsidRPr="00EE6A3B">
        <w:rPr>
          <w:rFonts w:ascii="Book Antiqua" w:hAnsi="Book Antiqua"/>
        </w:rPr>
        <w:t>202</w:t>
      </w:r>
      <w:r w:rsidR="00FF19A4">
        <w:rPr>
          <w:rFonts w:ascii="Book Antiqua" w:hAnsi="Book Antiqua" w:hint="eastAsia"/>
          <w:lang w:eastAsia="zh-CN"/>
        </w:rPr>
        <w:t>1</w:t>
      </w:r>
      <w:r w:rsidR="00FF19A4" w:rsidRPr="00EE6A3B">
        <w:rPr>
          <w:rFonts w:ascii="Book Antiqua" w:hAnsi="Book Antiqua"/>
        </w:rPr>
        <w:t xml:space="preserve">; </w:t>
      </w:r>
      <w:r w:rsidR="00FF19A4">
        <w:rPr>
          <w:rFonts w:ascii="Book Antiqua" w:hAnsi="Book Antiqua" w:hint="eastAsia"/>
          <w:lang w:eastAsia="zh-CN"/>
        </w:rPr>
        <w:t>9</w:t>
      </w:r>
      <w:r w:rsidR="00FF19A4" w:rsidRPr="00EE6A3B">
        <w:rPr>
          <w:rFonts w:ascii="Book Antiqua" w:hAnsi="Book Antiqua"/>
        </w:rPr>
        <w:t>(</w:t>
      </w:r>
      <w:r w:rsidR="00FF19A4">
        <w:rPr>
          <w:rFonts w:ascii="Book Antiqua" w:hAnsi="Book Antiqua" w:hint="eastAsia"/>
          <w:lang w:eastAsia="zh-CN"/>
        </w:rPr>
        <w:t>21</w:t>
      </w:r>
      <w:r w:rsidR="00FF19A4" w:rsidRPr="00EE6A3B">
        <w:rPr>
          <w:rFonts w:ascii="Book Antiqua" w:hAnsi="Book Antiqua"/>
        </w:rPr>
        <w:t xml:space="preserve">): </w:t>
      </w:r>
      <w:r w:rsidR="00CE35ED" w:rsidRPr="00CE35ED">
        <w:rPr>
          <w:rFonts w:ascii="Book Antiqua" w:hAnsi="Book Antiqua"/>
        </w:rPr>
        <w:t>5754-5768</w:t>
      </w:r>
      <w:r w:rsidR="00FF19A4" w:rsidRPr="00EE6A3B">
        <w:rPr>
          <w:rFonts w:ascii="Book Antiqua" w:hAnsi="Book Antiqua"/>
        </w:rPr>
        <w:t xml:space="preserve"> </w:t>
      </w:r>
    </w:p>
    <w:p w14:paraId="3A46BCCF" w14:textId="77777777" w:rsidR="00BB4A11" w:rsidRDefault="00FF19A4">
      <w:pPr>
        <w:spacing w:line="360" w:lineRule="auto"/>
        <w:jc w:val="both"/>
        <w:rPr>
          <w:rFonts w:ascii="Book Antiqua" w:hAnsi="Book Antiqua" w:hint="eastAsia"/>
          <w:lang w:eastAsia="zh-CN"/>
        </w:rPr>
      </w:pPr>
      <w:r w:rsidRPr="00BB4A11">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B90139" w:rsidRPr="00CE35ED">
        <w:rPr>
          <w:rFonts w:ascii="Book Antiqua" w:hAnsi="Book Antiqua"/>
        </w:rPr>
        <w:t>5754</w:t>
      </w:r>
      <w:r w:rsidRPr="00EE6A3B">
        <w:rPr>
          <w:rFonts w:ascii="Book Antiqua" w:hAnsi="Book Antiqua"/>
        </w:rPr>
        <w:t xml:space="preserve">.htm  </w:t>
      </w:r>
    </w:p>
    <w:p w14:paraId="5D774CA7" w14:textId="46C6366D" w:rsidR="00A77B3E" w:rsidRDefault="00FF19A4">
      <w:pPr>
        <w:spacing w:line="360" w:lineRule="auto"/>
        <w:jc w:val="both"/>
      </w:pPr>
      <w:r w:rsidRPr="00BB4A11">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B90139" w:rsidRPr="00B90139">
        <w:rPr>
          <w:rFonts w:ascii="Book Antiqua" w:hAnsi="Book Antiqua"/>
        </w:rPr>
        <w:t>5754</w:t>
      </w:r>
    </w:p>
    <w:p w14:paraId="44C47D42" w14:textId="77777777" w:rsidR="00A77B3E" w:rsidRDefault="00A77B3E">
      <w:pPr>
        <w:spacing w:line="360" w:lineRule="auto"/>
        <w:jc w:val="both"/>
      </w:pPr>
    </w:p>
    <w:p w14:paraId="4106179B" w14:textId="36B5827B" w:rsidR="00CF7847" w:rsidRDefault="00DB0EE1">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The presence of extrahepatic metastasis (EHM)</w:t>
      </w:r>
      <w:r w:rsidR="0009418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indicates an advanced stage</w:t>
      </w:r>
      <w:r w:rsidR="0009418D">
        <w:rPr>
          <w:rFonts w:ascii="Book Antiqua" w:eastAsia="Book Antiqua" w:hAnsi="Book Antiqua" w:cs="Book Antiqua"/>
          <w:color w:val="000000"/>
          <w:szCs w:val="21"/>
        </w:rPr>
        <w:t xml:space="preserve"> of hepatocellular carcinoma (HCC), for </w:t>
      </w:r>
      <w:r>
        <w:rPr>
          <w:rFonts w:ascii="Book Antiqua" w:eastAsia="Book Antiqua" w:hAnsi="Book Antiqua" w:cs="Book Antiqua"/>
          <w:color w:val="000000"/>
          <w:szCs w:val="21"/>
        </w:rPr>
        <w:t>which systemic therapy serves as the standard treatment modality. Efforts have been made to demonstrate the efficacy of locoregional management of EHM in symptom relief and potential benefit for overall survival. This review provides a summary of recent updates of the systemic agents for advanced HCC, with an emphasis on aggressive locoregional management of EHM by various treatment modalities.</w:t>
      </w:r>
    </w:p>
    <w:p w14:paraId="076A5C2C" w14:textId="6B9321D7" w:rsidR="00A77B3E" w:rsidRDefault="00CF7847">
      <w:pPr>
        <w:spacing w:line="360" w:lineRule="auto"/>
        <w:jc w:val="both"/>
      </w:pPr>
      <w:r>
        <w:rPr>
          <w:rFonts w:ascii="Book Antiqua" w:eastAsia="Book Antiqua" w:hAnsi="Book Antiqua" w:cs="Book Antiqua"/>
          <w:color w:val="000000"/>
          <w:szCs w:val="21"/>
        </w:rPr>
        <w:br w:type="page"/>
      </w:r>
      <w:r w:rsidR="00DB0EE1">
        <w:rPr>
          <w:rFonts w:ascii="Book Antiqua" w:eastAsia="Book Antiqua" w:hAnsi="Book Antiqua" w:cs="Book Antiqua"/>
          <w:b/>
          <w:caps/>
          <w:color w:val="000000"/>
          <w:u w:val="single"/>
        </w:rPr>
        <w:t>INTRODUCTION</w:t>
      </w:r>
    </w:p>
    <w:p w14:paraId="165EAC86" w14:textId="6C5B7B41" w:rsidR="00A77B3E" w:rsidRDefault="00DB0EE1" w:rsidP="00CF7847">
      <w:pPr>
        <w:spacing w:line="360" w:lineRule="auto"/>
        <w:jc w:val="both"/>
      </w:pPr>
      <w:r>
        <w:rPr>
          <w:rFonts w:ascii="Book Antiqua" w:eastAsia="Book Antiqua" w:hAnsi="Book Antiqua" w:cs="Book Antiqua"/>
          <w:color w:val="000000"/>
          <w:szCs w:val="21"/>
        </w:rPr>
        <w:t xml:space="preserve">Hepatocellular carcinoma (HCC) is ranked as the sixth most common neoplasm and the </w:t>
      </w:r>
      <w:r w:rsidR="0005019D">
        <w:rPr>
          <w:rFonts w:ascii="Book Antiqua" w:eastAsia="Book Antiqua" w:hAnsi="Book Antiqua" w:cs="Book Antiqua"/>
          <w:color w:val="000000"/>
          <w:szCs w:val="21"/>
        </w:rPr>
        <w:t xml:space="preserve">fourth </w:t>
      </w:r>
      <w:r>
        <w:rPr>
          <w:rFonts w:ascii="Book Antiqua" w:eastAsia="Book Antiqua" w:hAnsi="Book Antiqua" w:cs="Book Antiqua"/>
          <w:color w:val="000000"/>
          <w:szCs w:val="21"/>
        </w:rPr>
        <w:t>leading cause of cancer death worldwide</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Extrahepatic metastasis (EHM) of HCC is relatively rare at the time of initial diagnosis, even in those with advanced intrahepatic lesions. However, EHM is of growing significance as the overall survival </w:t>
      </w:r>
      <w:r w:rsidR="00CF7847">
        <w:rPr>
          <w:rFonts w:ascii="Book Antiqua" w:eastAsia="Book Antiqua" w:hAnsi="Book Antiqua" w:cs="Book Antiqua"/>
          <w:color w:val="000000"/>
          <w:szCs w:val="21"/>
        </w:rPr>
        <w:t xml:space="preserve">(OS) </w:t>
      </w:r>
      <w:r>
        <w:rPr>
          <w:rFonts w:ascii="Book Antiqua" w:eastAsia="Book Antiqua" w:hAnsi="Book Antiqua" w:cs="Book Antiqua"/>
          <w:color w:val="000000"/>
          <w:szCs w:val="21"/>
        </w:rPr>
        <w:t>of patients has been improved due to advances in the management of intrahepatic lesions</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According to the Barcelona Clinic Liver Cancer (BCLC) staging, the presence of EHM indicates an advanced stage, with </w:t>
      </w:r>
      <w:r w:rsidR="00E0436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poor prognosis pertaining to an expected median survival time of 6 </w:t>
      </w:r>
      <w:r w:rsidR="00CF7847">
        <w:rPr>
          <w:rFonts w:ascii="Book Antiqua" w:eastAsia="Book Antiqua" w:hAnsi="Book Antiqua" w:cs="Book Antiqua"/>
          <w:color w:val="000000"/>
          <w:szCs w:val="21"/>
        </w:rPr>
        <w:t xml:space="preserve">mo </w:t>
      </w:r>
      <w:r>
        <w:rPr>
          <w:rFonts w:ascii="Book Antiqua" w:eastAsia="Book Antiqua" w:hAnsi="Book Antiqua" w:cs="Book Antiqua"/>
          <w:color w:val="000000"/>
          <w:szCs w:val="21"/>
        </w:rPr>
        <w:t>to 8 mo or a quartered survival rate at one year</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w:t>
      </w:r>
    </w:p>
    <w:p w14:paraId="490D4E6C" w14:textId="0CA2E358" w:rsidR="00A77B3E" w:rsidRDefault="00DB0EE1" w:rsidP="00CF7847">
      <w:pPr>
        <w:spacing w:line="360" w:lineRule="auto"/>
        <w:ind w:firstLineChars="100" w:firstLine="240"/>
        <w:jc w:val="both"/>
      </w:pPr>
      <w:r>
        <w:rPr>
          <w:rFonts w:ascii="Book Antiqua" w:eastAsia="Book Antiqua" w:hAnsi="Book Antiqua" w:cs="Book Antiqua"/>
          <w:color w:val="000000"/>
          <w:szCs w:val="21"/>
        </w:rPr>
        <w:t>Most patients in advanced stage would die of liver failure due to the progression of intrahepatic lesions rather than extrahepatic metastatic dissemination</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Even in patients with EHM, therapeutic approaches to control intrahepatic tumors are still beneficial for improving survival</w:t>
      </w:r>
      <w:r>
        <w:rPr>
          <w:rFonts w:ascii="Book Antiqua" w:eastAsia="Book Antiqua" w:hAnsi="Book Antiqua" w:cs="Book Antiqua"/>
          <w:color w:val="000000"/>
          <w:szCs w:val="26"/>
          <w:vertAlign w:val="superscript"/>
        </w:rPr>
        <w:t>[5,6]</w:t>
      </w:r>
      <w:r>
        <w:rPr>
          <w:rFonts w:ascii="Book Antiqua" w:eastAsia="Book Antiqua" w:hAnsi="Book Antiqua" w:cs="Book Antiqua"/>
          <w:color w:val="000000"/>
          <w:szCs w:val="21"/>
        </w:rPr>
        <w:t>. Therefore, current studies are mainly focused on the development and validation of systemic agents in improvement of survival and relief of symptoms. First-line Sorafenib, a tyrosine kinase inhibitor (TKI), has been taken as the standard of care for over a decade</w:t>
      </w:r>
      <w:r>
        <w:rPr>
          <w:rFonts w:ascii="Book Antiqua" w:eastAsia="Book Antiqua" w:hAnsi="Book Antiqua" w:cs="Book Antiqua"/>
          <w:color w:val="000000"/>
          <w:szCs w:val="26"/>
          <w:vertAlign w:val="superscript"/>
        </w:rPr>
        <w:t>[7,8]</w:t>
      </w:r>
      <w:r>
        <w:rPr>
          <w:rFonts w:ascii="Book Antiqua" w:eastAsia="Book Antiqua" w:hAnsi="Book Antiqua" w:cs="Book Antiqua"/>
          <w:color w:val="000000"/>
          <w:szCs w:val="21"/>
        </w:rPr>
        <w:t>. With the treatment landscape being expanded, another TKI, Lenvatinib</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has shown to have noninferior performance in survival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sorafenib and thus has joined Sorafenib as a preferred agent for first-line treatment</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Other TKIs</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including Regorafenib and Cabozantinib, </w:t>
      </w:r>
      <w:r w:rsidR="00E0436F">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shown significant improvement in </w:t>
      </w:r>
      <w:r w:rsidR="00CF7847">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after the failure of Sorafenib, which subsequently led to regulatory approval in a second-line setting</w:t>
      </w:r>
      <w:r>
        <w:rPr>
          <w:rFonts w:ascii="Book Antiqua" w:eastAsia="Book Antiqua" w:hAnsi="Book Antiqua" w:cs="Book Antiqua"/>
          <w:color w:val="000000"/>
          <w:szCs w:val="26"/>
          <w:vertAlign w:val="superscript"/>
        </w:rPr>
        <w:t>[10,11]</w:t>
      </w:r>
      <w:r>
        <w:rPr>
          <w:rFonts w:ascii="Book Antiqua" w:eastAsia="Book Antiqua" w:hAnsi="Book Antiqua" w:cs="Book Antiqua"/>
          <w:color w:val="000000"/>
          <w:szCs w:val="21"/>
        </w:rPr>
        <w:t>. In addition, anti-angiogenetic agent Ramucirumab is a potential second-line option for patients with high α-fetoprotein (AFP) levels (400 ng/mL or greater)</w:t>
      </w:r>
      <w:r>
        <w:rPr>
          <w:rFonts w:ascii="Book Antiqua" w:eastAsia="Book Antiqua" w:hAnsi="Book Antiqua" w:cs="Book Antiqua"/>
          <w:color w:val="000000"/>
          <w:szCs w:val="26"/>
          <w:vertAlign w:val="superscript"/>
        </w:rPr>
        <w:t>[12,13]</w:t>
      </w:r>
      <w:r>
        <w:rPr>
          <w:rFonts w:ascii="Book Antiqua" w:eastAsia="Book Antiqua" w:hAnsi="Book Antiqua" w:cs="Book Antiqua"/>
          <w:color w:val="000000"/>
          <w:szCs w:val="21"/>
        </w:rPr>
        <w:t>. More recently, immune checkpoint blockade (ICB) therapy targeting programmed death 1/programmed death ligand 1</w:t>
      </w:r>
      <w:r w:rsidR="0066694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(PD-1/PD-L1) and cytotoxic T lymphocyte-associated protein 4 (CTLA-4</w:t>
      </w:r>
      <w:r w:rsidR="00E0436F">
        <w:rPr>
          <w:rFonts w:ascii="Book Antiqua" w:eastAsia="Book Antiqua" w:hAnsi="Book Antiqua" w:cs="Book Antiqua"/>
          <w:color w:val="000000"/>
          <w:szCs w:val="21"/>
        </w:rPr>
        <w:t xml:space="preserve">) has </w:t>
      </w:r>
      <w:r>
        <w:rPr>
          <w:rFonts w:ascii="Book Antiqua" w:eastAsia="Book Antiqua" w:hAnsi="Book Antiqua" w:cs="Book Antiqua"/>
          <w:color w:val="000000"/>
          <w:szCs w:val="21"/>
        </w:rPr>
        <w:t>marked a new era in immune-oncological treatment of advanced HCC.</w:t>
      </w:r>
    </w:p>
    <w:p w14:paraId="1E86527D" w14:textId="5FF8689B" w:rsidR="00A77B3E" w:rsidRDefault="00DB0EE1" w:rsidP="00CF7847">
      <w:pPr>
        <w:spacing w:line="360" w:lineRule="auto"/>
        <w:ind w:firstLineChars="100" w:firstLine="240"/>
        <w:jc w:val="both"/>
      </w:pPr>
      <w:r>
        <w:rPr>
          <w:rFonts w:ascii="Book Antiqua" w:eastAsia="Book Antiqua" w:hAnsi="Book Antiqua" w:cs="Book Antiqua"/>
          <w:color w:val="000000"/>
          <w:szCs w:val="21"/>
        </w:rPr>
        <w:t>It remains controversial whether patients in advanced stage HCC would benefit from aggressive locoregional control of EHM, including surgical resection, thermal ablation, radiotherapy</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00CF7847">
        <w:rPr>
          <w:rFonts w:ascii="Book Antiqua" w:eastAsia="Book Antiqua" w:hAnsi="Book Antiqua" w:cs="Book Antiqua"/>
          <w:color w:val="000000"/>
          <w:szCs w:val="21"/>
        </w:rPr>
        <w:t>transcatheter arterial chemoembolization</w:t>
      </w:r>
      <w:r>
        <w:rPr>
          <w:rFonts w:ascii="Book Antiqua" w:eastAsia="Book Antiqua" w:hAnsi="Book Antiqua" w:cs="Book Antiqua"/>
          <w:color w:val="000000"/>
          <w:szCs w:val="21"/>
        </w:rPr>
        <w:t xml:space="preserve"> (TACE). Previous studies have demonstrated that palliative locoregional treatment </w:t>
      </w:r>
      <w:r w:rsidR="00E0436F">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beneficial for symptom relief and might improve survival.</w:t>
      </w:r>
    </w:p>
    <w:p w14:paraId="2217434E" w14:textId="57D1F7A3" w:rsidR="00A77B3E" w:rsidRDefault="00DB0EE1" w:rsidP="00CF7847">
      <w:pPr>
        <w:spacing w:line="360" w:lineRule="auto"/>
        <w:ind w:firstLineChars="100" w:firstLine="240"/>
        <w:jc w:val="both"/>
      </w:pPr>
      <w:r>
        <w:rPr>
          <w:rFonts w:ascii="Book Antiqua" w:eastAsia="Book Antiqua" w:hAnsi="Book Antiqua" w:cs="Book Antiqua"/>
          <w:color w:val="000000"/>
          <w:szCs w:val="21"/>
        </w:rPr>
        <w:t>Herein, we review the recent updates in the systemic agents for treatment of advanced stage HCC. In addition, emphasis is laid upon aggressive locoregional control of EHM by various treatment modalities.</w:t>
      </w:r>
    </w:p>
    <w:p w14:paraId="717DBC28" w14:textId="77777777" w:rsidR="00A77B3E" w:rsidRDefault="00A77B3E" w:rsidP="00CF7847">
      <w:pPr>
        <w:spacing w:line="360" w:lineRule="auto"/>
        <w:jc w:val="both"/>
      </w:pPr>
    </w:p>
    <w:p w14:paraId="7FA84CE7" w14:textId="77777777" w:rsidR="00A77B3E" w:rsidRDefault="00DB0EE1">
      <w:pPr>
        <w:spacing w:line="360" w:lineRule="auto"/>
        <w:jc w:val="both"/>
      </w:pPr>
      <w:r>
        <w:rPr>
          <w:rFonts w:ascii="Book Antiqua" w:eastAsia="Book Antiqua" w:hAnsi="Book Antiqua" w:cs="Book Antiqua"/>
          <w:b/>
          <w:caps/>
          <w:color w:val="000000"/>
          <w:szCs w:val="22"/>
          <w:u w:val="single"/>
        </w:rPr>
        <w:t>Systemic therapy</w:t>
      </w:r>
    </w:p>
    <w:p w14:paraId="769B3C37" w14:textId="2D160401"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Systemic therapy is the main treatment modality for the majority of patients with advanced HCC, broadly categorized as cytotoxic chemotherapy, targeted therapy</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immunotherapy. In this section, we focus on the recent updates in targeted therapy and immunotherapy. While the prospective data for systemic therapies is expanding, there is limited data for sub-group analysis in</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 with EHM and thus the efficacy of systemic agents in extrahepatic lesions is still unknown.</w:t>
      </w:r>
    </w:p>
    <w:p w14:paraId="1014A9CF" w14:textId="77777777" w:rsidR="00CF7847" w:rsidRDefault="00CF7847" w:rsidP="00CF7847">
      <w:pPr>
        <w:spacing w:line="360" w:lineRule="auto"/>
        <w:jc w:val="both"/>
      </w:pPr>
    </w:p>
    <w:p w14:paraId="3C620563" w14:textId="77777777" w:rsidR="00A77B3E" w:rsidRPr="00CF7847" w:rsidRDefault="00DB0EE1">
      <w:pPr>
        <w:spacing w:line="360" w:lineRule="auto"/>
        <w:jc w:val="both"/>
        <w:rPr>
          <w:i/>
          <w:iCs/>
        </w:rPr>
      </w:pPr>
      <w:r w:rsidRPr="00CF7847">
        <w:rPr>
          <w:rFonts w:ascii="Book Antiqua" w:eastAsia="Book Antiqua" w:hAnsi="Book Antiqua" w:cs="Book Antiqua"/>
          <w:b/>
          <w:bCs/>
          <w:i/>
          <w:iCs/>
          <w:color w:val="000000"/>
          <w:szCs w:val="21"/>
        </w:rPr>
        <w:t>Targeted therapy</w:t>
      </w:r>
    </w:p>
    <w:p w14:paraId="12CCA5A6" w14:textId="4290DAF6"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Sorafenib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No effective treatment modalities for patients who were diagnosed as </w:t>
      </w:r>
      <w:r w:rsidR="00E0436F">
        <w:rPr>
          <w:rFonts w:ascii="Book Antiqua" w:eastAsia="Book Antiqua" w:hAnsi="Book Antiqua" w:cs="Book Antiqua"/>
          <w:color w:val="000000"/>
          <w:szCs w:val="21"/>
        </w:rPr>
        <w:t xml:space="preserve">having </w:t>
      </w:r>
      <w:r>
        <w:rPr>
          <w:rFonts w:ascii="Book Antiqua" w:eastAsia="Book Antiqua" w:hAnsi="Book Antiqua" w:cs="Book Antiqua"/>
          <w:color w:val="000000"/>
          <w:szCs w:val="21"/>
        </w:rPr>
        <w:t>advanced HCC or those who progressed into advanced stage after failure in initial therapies were available until 2007 when a randomized, controlled phase III SHARP trial (Sorafenib HCC Assessment Randomized Protocol trial)</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revealed the efficacy of Sorafenib</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Sorafenib, a small molecule inhibitor in advanced HCC, is an oral multi-targeted TKI against vascular endothelial growth factor receptor (VEGFR), platelet-derived growth factor receptor (PDGFR)</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RAF kinase, with anti-proliferative and anti-angiogenic effects.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SHARP trial, 602 patients with advanced HCC who had not received previous systemic therapy were randomized to receive Sorafenib or placebo, with</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OS and</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time to symptomatic progression</w:t>
      </w:r>
      <w:r w:rsidR="00E0436F" w:rsidRPr="00E0436F">
        <w:rPr>
          <w:rFonts w:ascii="Book Antiqua" w:eastAsia="Book Antiqua" w:hAnsi="Book Antiqua" w:cs="Book Antiqua"/>
          <w:color w:val="000000"/>
          <w:szCs w:val="21"/>
        </w:rPr>
        <w:t xml:space="preserve"> </w:t>
      </w:r>
      <w:r w:rsidR="00E0436F">
        <w:rPr>
          <w:rFonts w:ascii="Book Antiqua" w:eastAsia="Book Antiqua" w:hAnsi="Book Antiqua" w:cs="Book Antiqua"/>
          <w:color w:val="000000"/>
          <w:szCs w:val="21"/>
        </w:rPr>
        <w:t>used as primary outcomes</w:t>
      </w:r>
      <w:r>
        <w:rPr>
          <w:rFonts w:ascii="Book Antiqua" w:eastAsia="Book Antiqua" w:hAnsi="Book Antiqua" w:cs="Book Antiqua"/>
          <w:color w:val="000000"/>
          <w:szCs w:val="21"/>
        </w:rPr>
        <w:t xml:space="preserve">. Median OS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Sorafenib group was 10.7 mo </w:t>
      </w:r>
      <w:r>
        <w:rPr>
          <w:rFonts w:ascii="Book Antiqua" w:eastAsia="Book Antiqua" w:hAnsi="Book Antiqua" w:cs="Book Antiqua"/>
          <w:i/>
          <w:iCs/>
          <w:color w:val="000000"/>
          <w:szCs w:val="21"/>
        </w:rPr>
        <w:t>vs</w:t>
      </w:r>
      <w:r>
        <w:rPr>
          <w:rFonts w:ascii="Book Antiqua" w:eastAsia="Book Antiqua" w:hAnsi="Book Antiqua" w:cs="Book Antiqua"/>
          <w:color w:val="000000"/>
        </w:rPr>
        <w:t xml:space="preserve"> 7.9 mo in </w:t>
      </w:r>
      <w:r w:rsidR="00E0436F">
        <w:rPr>
          <w:rFonts w:ascii="Book Antiqua" w:eastAsia="Book Antiqua" w:hAnsi="Book Antiqua" w:cs="Book Antiqua"/>
          <w:color w:val="000000"/>
        </w:rPr>
        <w:t xml:space="preserve">the </w:t>
      </w:r>
      <w:r>
        <w:rPr>
          <w:rFonts w:ascii="Book Antiqua" w:eastAsia="Book Antiqua" w:hAnsi="Book Antiqua" w:cs="Book Antiqua"/>
          <w:color w:val="000000"/>
        </w:rPr>
        <w:t xml:space="preserve">placebo group </w:t>
      </w:r>
      <w:r w:rsidR="00CF7847">
        <w:rPr>
          <w:rFonts w:ascii="Book Antiqua" w:eastAsia="Book Antiqua" w:hAnsi="Book Antiqua" w:cs="Book Antiqua"/>
          <w:color w:val="000000"/>
        </w:rPr>
        <w:t>[h</w:t>
      </w:r>
      <w:r>
        <w:rPr>
          <w:rFonts w:ascii="Book Antiqua" w:eastAsia="Book Antiqua" w:hAnsi="Book Antiqua" w:cs="Book Antiqua"/>
          <w:color w:val="000000"/>
        </w:rPr>
        <w:t xml:space="preserve">azard ratio </w:t>
      </w:r>
      <w:r w:rsidR="00CF7847">
        <w:rPr>
          <w:rFonts w:ascii="Book Antiqua" w:eastAsia="Book Antiqua" w:hAnsi="Book Antiqua" w:cs="Book Antiqua"/>
          <w:color w:val="000000"/>
        </w:rPr>
        <w:t>(</w:t>
      </w:r>
      <w:r>
        <w:rPr>
          <w:rFonts w:ascii="Book Antiqua" w:eastAsia="Book Antiqua" w:hAnsi="Book Antiqua" w:cs="Book Antiqua"/>
          <w:color w:val="000000"/>
        </w:rPr>
        <w:t>HR</w:t>
      </w:r>
      <w:r w:rsidR="00E0436F">
        <w:rPr>
          <w:rFonts w:ascii="Book Antiqua" w:eastAsia="Book Antiqua" w:hAnsi="Book Antiqua" w:cs="Book Antiqua"/>
          <w:color w:val="000000"/>
        </w:rPr>
        <w:t xml:space="preserve">) = </w:t>
      </w:r>
      <w:r>
        <w:rPr>
          <w:rFonts w:ascii="Book Antiqua" w:eastAsia="Book Antiqua" w:hAnsi="Book Antiqua" w:cs="Book Antiqua"/>
          <w:color w:val="000000"/>
        </w:rPr>
        <w:t xml:space="preserve">0.69; 95% confidence interval </w:t>
      </w:r>
      <w:r w:rsidR="00CF7847">
        <w:rPr>
          <w:rFonts w:ascii="Book Antiqua" w:eastAsia="Book Antiqua" w:hAnsi="Book Antiqua" w:cs="Book Antiqua"/>
          <w:color w:val="000000"/>
        </w:rPr>
        <w:t>(</w:t>
      </w:r>
      <w:r>
        <w:rPr>
          <w:rFonts w:ascii="Book Antiqua" w:eastAsia="Book Antiqua" w:hAnsi="Book Antiqua" w:cs="Book Antiqua"/>
          <w:color w:val="000000"/>
        </w:rPr>
        <w:t>CI</w:t>
      </w:r>
      <w:r w:rsidR="00CF7847">
        <w:rPr>
          <w:rFonts w:ascii="Book Antiqua" w:eastAsia="Book Antiqua" w:hAnsi="Book Antiqua" w:cs="Book Antiqua"/>
          <w:color w:val="000000"/>
        </w:rPr>
        <w:t>):</w:t>
      </w:r>
      <w:r>
        <w:rPr>
          <w:rFonts w:ascii="Book Antiqua" w:eastAsia="Book Antiqua" w:hAnsi="Book Antiqua" w:cs="Book Antiqua"/>
          <w:color w:val="000000"/>
        </w:rPr>
        <w:t xml:space="preserve"> 0.55-0.87;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Although only </w:t>
      </w:r>
      <w:r w:rsidR="00E0436F">
        <w:rPr>
          <w:rFonts w:ascii="Book Antiqua" w:eastAsia="Book Antiqua" w:hAnsi="Book Antiqua" w:cs="Book Antiqua"/>
          <w:color w:val="000000"/>
          <w:szCs w:val="21"/>
        </w:rPr>
        <w:t xml:space="preserve">seven </w:t>
      </w:r>
      <w:r>
        <w:rPr>
          <w:rFonts w:ascii="Book Antiqua" w:eastAsia="Book Antiqua" w:hAnsi="Book Antiqua" w:cs="Book Antiqua"/>
          <w:color w:val="000000"/>
          <w:szCs w:val="21"/>
        </w:rPr>
        <w:t xml:space="preserve">patients in the sorafenib arm (2%) had a partial response (PR) and none had a complete response (CR) by RECIST, the median time to radiologic progression was 5.5 mo in the Sorafenib arm, which was longer than that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placebo arm (HR</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 0.58,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0.45</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0.74,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Similar results were demonstrated in another parallel phase III trial in the Asia-Pacific region</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Based on the positive results from the two multi-center phase III trials, Sorafenib was approved as the first systemic standard of care for advanced HCC.</w:t>
      </w:r>
    </w:p>
    <w:p w14:paraId="74AFB770" w14:textId="77777777" w:rsidR="00CF7847" w:rsidRDefault="00CF7847" w:rsidP="00CF7847">
      <w:pPr>
        <w:spacing w:line="360" w:lineRule="auto"/>
        <w:jc w:val="both"/>
      </w:pPr>
    </w:p>
    <w:p w14:paraId="7EEE00A7" w14:textId="6A4DF70C"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Lenvatinib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Sorafenib has dominated the treatment of advanced HCC for a decade, until Lenvatinib, another oral multi-TKI with anti-angiogenic activity against VEGFR1-3, PDGFR alpha, fibroblast growth factor receptor 1-4 (FGFR1-4), RET</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KIT</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xml:space="preserve">. In 2017, an open-label phase III REFLECT trial involving mainly Asian patients demonstrated that Lenvatinib was non-inferior to Sorafenib in </w:t>
      </w:r>
      <w:r w:rsidR="00CF7847">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in untreated advanced HCC</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 Median OS in the Lenvatinib arm was 13.6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12.3 mo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Sorafenib arm (HR 0.92,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0.79-1.06). Significant improvements in secondary endpoints were identified, including progression-free survival (PFS, 7.4</w:t>
      </w:r>
      <w:r w:rsidR="00CF7847">
        <w:rPr>
          <w:rFonts w:ascii="Book Antiqua" w:eastAsia="Book Antiqua" w:hAnsi="Book Antiqua" w:cs="Book Antiqua"/>
          <w:color w:val="000000"/>
          <w:szCs w:val="21"/>
        </w:rPr>
        <w:t xml:space="preserve">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3.7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0.66,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0.57-0.77) and time to progression (TTP, 8.9 </w:t>
      </w:r>
      <w:r w:rsidR="00CF7847">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3.7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0.63,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0.53-0.73). Interestingly, objective response rate by mRECIST was significantly higher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Lenvatinib arm </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24.1% </w:t>
      </w:r>
      <w:r>
        <w:rPr>
          <w:rFonts w:ascii="Book Antiqua" w:eastAsia="Book Antiqua" w:hAnsi="Book Antiqua" w:cs="Book Antiqua"/>
          <w:i/>
          <w:iCs/>
          <w:color w:val="000000"/>
          <w:szCs w:val="21"/>
        </w:rPr>
        <w:t>vs</w:t>
      </w:r>
      <w:r>
        <w:rPr>
          <w:rFonts w:ascii="Book Antiqua" w:eastAsia="Book Antiqua" w:hAnsi="Book Antiqua" w:cs="Book Antiqua"/>
          <w:color w:val="000000"/>
        </w:rPr>
        <w:t xml:space="preserve"> 9.2%; </w:t>
      </w:r>
      <w:r w:rsidR="00CF7847">
        <w:rPr>
          <w:rFonts w:ascii="Book Antiqua" w:eastAsia="Book Antiqua" w:hAnsi="Book Antiqua" w:cs="Book Antiqua"/>
          <w:color w:val="000000"/>
        </w:rPr>
        <w:t>o</w:t>
      </w:r>
      <w:r>
        <w:rPr>
          <w:rFonts w:ascii="Book Antiqua" w:eastAsia="Book Antiqua" w:hAnsi="Book Antiqua" w:cs="Book Antiqua"/>
          <w:color w:val="000000"/>
        </w:rPr>
        <w:t xml:space="preserve">dd ratio </w:t>
      </w:r>
      <w:r w:rsidR="00CF7847">
        <w:rPr>
          <w:rFonts w:ascii="Book Antiqua" w:eastAsia="Book Antiqua" w:hAnsi="Book Antiqua" w:cs="Book Antiqua"/>
          <w:color w:val="000000"/>
        </w:rPr>
        <w:t>(</w:t>
      </w:r>
      <w:r>
        <w:rPr>
          <w:rFonts w:ascii="Book Antiqua" w:eastAsia="Book Antiqua" w:hAnsi="Book Antiqua" w:cs="Book Antiqua"/>
          <w:color w:val="000000"/>
        </w:rPr>
        <w:t>OR</w:t>
      </w:r>
      <w:r w:rsidR="00E0436F">
        <w:rPr>
          <w:rFonts w:ascii="Book Antiqua" w:eastAsia="Book Antiqua" w:hAnsi="Book Antiqua" w:cs="Book Antiqua"/>
          <w:color w:val="000000"/>
        </w:rPr>
        <w:t xml:space="preserve">) = </w:t>
      </w:r>
      <w:r>
        <w:rPr>
          <w:rFonts w:ascii="Book Antiqua" w:eastAsia="Book Antiqua" w:hAnsi="Book Antiqua" w:cs="Book Antiqua"/>
          <w:color w:val="000000"/>
        </w:rPr>
        <w:t>3.1; 95%CI</w:t>
      </w:r>
      <w:r w:rsidR="00CF7847">
        <w:rPr>
          <w:rFonts w:ascii="Book Antiqua" w:eastAsia="Book Antiqua" w:hAnsi="Book Antiqua" w:cs="Book Antiqua"/>
          <w:color w:val="000000"/>
        </w:rPr>
        <w:t>:</w:t>
      </w:r>
      <w:r>
        <w:rPr>
          <w:rFonts w:ascii="Book Antiqua" w:eastAsia="Book Antiqua" w:hAnsi="Book Antiqua" w:cs="Book Antiqua"/>
          <w:color w:val="000000"/>
        </w:rPr>
        <w:t xml:space="preserve"> 2.2</w:t>
      </w:r>
      <w:r w:rsidR="00CF7847">
        <w:rPr>
          <w:rFonts w:ascii="Book Antiqua" w:eastAsia="Book Antiqua" w:hAnsi="Book Antiqua" w:cs="Book Antiqua"/>
          <w:color w:val="000000"/>
        </w:rPr>
        <w:t>-</w:t>
      </w:r>
      <w:r>
        <w:rPr>
          <w:rFonts w:ascii="Book Antiqua" w:eastAsia="Book Antiqua" w:hAnsi="Book Antiqua" w:cs="Book Antiqua"/>
          <w:color w:val="000000"/>
        </w:rPr>
        <w:t>4.6</w:t>
      </w:r>
      <w:r w:rsidR="00CF7847">
        <w:rPr>
          <w:rFonts w:ascii="Book Antiqua" w:eastAsia="Book Antiqua" w:hAnsi="Book Antiqua" w:cs="Book Antiqua"/>
          <w:color w:val="000000"/>
        </w:rPr>
        <w:t>]</w:t>
      </w:r>
      <w:r>
        <w:rPr>
          <w:rFonts w:ascii="Book Antiqua" w:eastAsia="Book Antiqua" w:hAnsi="Book Antiqua" w:cs="Book Antiqua"/>
          <w:color w:val="000000"/>
        </w:rPr>
        <w:t>, which was subsequently confirmed as an independent predictor of OS in a multivariate Cox regression analysis</w:t>
      </w:r>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xml:space="preserve">. Notably, the REFLECT trial excluded patients with adverse prognostic tumor characteristics, such as main branch portal vein thrombosis or greater than 50% tumor occupation of the liver, which are commonly seen in advanced stage and nearly unavoidable in routine clinical decision making. Recent studies have </w:t>
      </w:r>
      <w:r w:rsidR="00E0436F">
        <w:rPr>
          <w:rFonts w:ascii="Book Antiqua" w:eastAsia="Book Antiqua" w:hAnsi="Book Antiqua" w:cs="Book Antiqua"/>
          <w:color w:val="000000"/>
          <w:szCs w:val="21"/>
        </w:rPr>
        <w:t xml:space="preserve">found </w:t>
      </w:r>
      <w:r>
        <w:rPr>
          <w:rFonts w:ascii="Book Antiqua" w:eastAsia="Book Antiqua" w:hAnsi="Book Antiqua" w:cs="Book Antiqua"/>
          <w:color w:val="000000"/>
          <w:szCs w:val="21"/>
        </w:rPr>
        <w:t>that Lenvatinib also offered a survival benefit in patients with highly advanced HCC and may lead to more favorable outcomes compared with Sorafenib</w:t>
      </w:r>
      <w:r>
        <w:rPr>
          <w:rFonts w:ascii="Book Antiqua" w:eastAsia="Book Antiqua" w:hAnsi="Book Antiqua" w:cs="Book Antiqua"/>
          <w:color w:val="000000"/>
          <w:szCs w:val="26"/>
          <w:vertAlign w:val="superscript"/>
        </w:rPr>
        <w:t>[16-18]</w:t>
      </w:r>
      <w:r>
        <w:rPr>
          <w:rFonts w:ascii="Book Antiqua" w:eastAsia="Book Antiqua" w:hAnsi="Book Antiqua" w:cs="Book Antiqua"/>
          <w:color w:val="000000"/>
          <w:szCs w:val="21"/>
        </w:rPr>
        <w:t xml:space="preserve">. Approval for Lenvatinib was granted by the </w:t>
      </w:r>
      <w:r w:rsidR="00C00A43" w:rsidRPr="00C00A43">
        <w:rPr>
          <w:rFonts w:ascii="Book Antiqua" w:eastAsia="Book Antiqua" w:hAnsi="Book Antiqua" w:cs="Book Antiqua"/>
          <w:color w:val="000000"/>
          <w:szCs w:val="21"/>
        </w:rPr>
        <w:t>Food and Drug Administration</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FDA</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as the first-line agent, and it was included in the latest BCLC and EASL guidelines</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w:t>
      </w:r>
    </w:p>
    <w:p w14:paraId="24ECD4B6" w14:textId="77777777" w:rsidR="00CF7847" w:rsidRDefault="00CF7847" w:rsidP="00CF7847">
      <w:pPr>
        <w:spacing w:line="360" w:lineRule="auto"/>
        <w:jc w:val="both"/>
      </w:pPr>
    </w:p>
    <w:p w14:paraId="7B4D6FEE" w14:textId="1E4235C0"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Regorafenib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For those who have failed</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Sorafenib</w:t>
      </w:r>
      <w:r w:rsidR="00467DBA">
        <w:rPr>
          <w:rFonts w:ascii="Book Antiqua" w:eastAsia="Book Antiqua" w:hAnsi="Book Antiqua" w:cs="Book Antiqua"/>
          <w:color w:val="000000"/>
          <w:szCs w:val="21"/>
        </w:rPr>
        <w:t xml:space="preserve"> treatment</w:t>
      </w:r>
      <w:r>
        <w:rPr>
          <w:rFonts w:ascii="Book Antiqua" w:eastAsia="Book Antiqua" w:hAnsi="Book Antiqua" w:cs="Book Antiqua"/>
          <w:color w:val="000000"/>
          <w:szCs w:val="21"/>
        </w:rPr>
        <w:t>, the OS is about 8 mo</w:t>
      </w:r>
      <w:r>
        <w:rPr>
          <w:rFonts w:ascii="Book Antiqua" w:eastAsia="Book Antiqua" w:hAnsi="Book Antiqua" w:cs="Book Antiqua"/>
          <w:color w:val="000000"/>
          <w:szCs w:val="26"/>
          <w:vertAlign w:val="superscript"/>
        </w:rPr>
        <w:t>[19</w:t>
      </w:r>
      <w:r w:rsidR="00CF7847">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There </w:t>
      </w:r>
      <w:r w:rsidR="00E0436F">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an urgent need to develop an effective second line agent to improve prognosis after the failure of Sorafenib. In 2017, a randomized controlled phase III RESORCE trial proved the efficacy of Regorafenib in </w:t>
      </w:r>
      <w:r w:rsidR="00CF7847">
        <w:rPr>
          <w:rFonts w:ascii="Book Antiqua" w:eastAsia="Book Antiqua" w:hAnsi="Book Antiqua" w:cs="Book Antiqua"/>
          <w:color w:val="000000"/>
          <w:szCs w:val="21"/>
        </w:rPr>
        <w:t>OS</w:t>
      </w:r>
      <w:r>
        <w:rPr>
          <w:rFonts w:ascii="Book Antiqua" w:eastAsia="Book Antiqua" w:hAnsi="Book Antiqua" w:cs="Book Antiqua"/>
          <w:color w:val="000000"/>
          <w:szCs w:val="21"/>
        </w:rPr>
        <w:t xml:space="preserve"> in patients with HCC progressing during Sorafenib treatment</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xml:space="preserve">. As an oral fluorinated analog of Sorafenib, Regorafenib shares a similar spectrum of molecular targets and significantly inhibits neo-angiogenesis and tumor proliferation. Median OS in the Regorafenib arm was 10.6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7.8 mo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placebo arm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0.63,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0.50-0.79,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with a consistent benefit across all subgroups (region, portal vein thrombosis, AFP levels</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presence of </w:t>
      </w:r>
      <w:r w:rsidR="00CF7847">
        <w:rPr>
          <w:rFonts w:ascii="Book Antiqua" w:eastAsia="Book Antiqua" w:hAnsi="Book Antiqua" w:cs="Book Antiqua"/>
          <w:color w:val="000000"/>
          <w:szCs w:val="21"/>
        </w:rPr>
        <w:t>EHM</w:t>
      </w:r>
      <w:r>
        <w:rPr>
          <w:rFonts w:ascii="Book Antiqua" w:eastAsia="Book Antiqua" w:hAnsi="Book Antiqua" w:cs="Book Antiqua"/>
          <w:color w:val="000000"/>
          <w:szCs w:val="21"/>
        </w:rPr>
        <w:t xml:space="preserve">). Regorafenib was also noted to provide </w:t>
      </w:r>
      <w:r w:rsidR="00E0436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significant improvement in median TTP (3.2 mo </w:t>
      </w:r>
      <w:r w:rsidR="00CF7847" w:rsidRPr="00CF7847">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1.5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0.44,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0.36</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0.55, </w:t>
      </w:r>
      <w:r w:rsidR="00CF7847">
        <w:rPr>
          <w:rFonts w:ascii="Book Antiqua" w:eastAsia="Book Antiqua" w:hAnsi="Book Antiqua" w:cs="Book Antiqua"/>
          <w:i/>
          <w:iCs/>
          <w:color w:val="000000"/>
          <w:szCs w:val="21"/>
        </w:rPr>
        <w:t xml:space="preserve">P </w:t>
      </w:r>
      <w:r w:rsidR="00CF7847">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and objective response rates (10.6% </w:t>
      </w:r>
      <w:r w:rsidRPr="00CF7847">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4.1%,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0.005). An exploratory analysis based on data from RESORCE showed that Regorafenib conferred a clinical benefit regardless of the last Sorafenib dose or TTP on prior Sorafenib</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xml:space="preserve">. Subsequently, Regorafenib was approved by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FDA as a second line agent for patients with advanced HCC who failed Sorafenib. Recent cohort studies have verified the efficacy and safety of Regorafenib, which were consistent with those of the previous RESORCE trial</w:t>
      </w:r>
      <w:r>
        <w:rPr>
          <w:rFonts w:ascii="Book Antiqua" w:eastAsia="Book Antiqua" w:hAnsi="Book Antiqua" w:cs="Book Antiqua"/>
          <w:color w:val="000000"/>
          <w:szCs w:val="26"/>
          <w:vertAlign w:val="superscript"/>
        </w:rPr>
        <w:t>[23,24]</w:t>
      </w:r>
      <w:r>
        <w:rPr>
          <w:rFonts w:ascii="Book Antiqua" w:eastAsia="Book Antiqua" w:hAnsi="Book Antiqua" w:cs="Book Antiqua"/>
          <w:color w:val="000000"/>
          <w:szCs w:val="21"/>
        </w:rPr>
        <w:t>. Notably, Regorafenib was not recommended as a treatment agent for patients with impaired liver function (Child-Pugh grade B population), due to the poor clinical outcomes and increased frequency of severe adverse event</w:t>
      </w:r>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As the first systemic agent</w:t>
      </w:r>
      <w:r w:rsidR="00E0436F">
        <w:rPr>
          <w:rFonts w:ascii="Book Antiqua" w:eastAsia="Book Antiqua" w:hAnsi="Book Antiqua" w:cs="Book Antiqua"/>
          <w:color w:val="000000"/>
          <w:szCs w:val="21"/>
        </w:rPr>
        <w:t xml:space="preserve"> demonstrating a </w:t>
      </w:r>
      <w:r>
        <w:rPr>
          <w:rFonts w:ascii="Book Antiqua" w:eastAsia="Book Antiqua" w:hAnsi="Book Antiqua" w:cs="Book Antiqua"/>
          <w:color w:val="000000"/>
          <w:szCs w:val="21"/>
        </w:rPr>
        <w:t>significant improvement in OS in second-line setting, it is currently approved for patients with advanced HCC who tolerated Sorafenib but experienced radiological progression.</w:t>
      </w:r>
    </w:p>
    <w:p w14:paraId="43BF2FA6" w14:textId="77777777" w:rsidR="00CF7847" w:rsidRDefault="00CF7847" w:rsidP="00CF7847">
      <w:pPr>
        <w:spacing w:line="360" w:lineRule="auto"/>
        <w:jc w:val="both"/>
      </w:pPr>
    </w:p>
    <w:p w14:paraId="7DBE77E2" w14:textId="021CA506" w:rsidR="00A77B3E" w:rsidRDefault="00DB0EE1" w:rsidP="00CF7847">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Cabozantinib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Cabozantinib, an TKI targeting VEGF receptors, MET</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AXL, has showed clinical activity in patients with advanced HCC, regardless of previous treatment</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in a randomized phase II trial</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xml:space="preserve">. In the phase III CESETIAL trail, Cabozantinib was compared with placebo in second- and </w:t>
      </w:r>
      <w:r w:rsidR="00E0436F">
        <w:rPr>
          <w:rFonts w:ascii="Book Antiqua" w:eastAsia="Book Antiqua" w:hAnsi="Book Antiqua" w:cs="Book Antiqua"/>
          <w:color w:val="000000"/>
          <w:szCs w:val="21"/>
        </w:rPr>
        <w:t>third-</w:t>
      </w:r>
      <w:r>
        <w:rPr>
          <w:rFonts w:ascii="Book Antiqua" w:eastAsia="Book Antiqua" w:hAnsi="Book Antiqua" w:cs="Book Antiqua"/>
          <w:color w:val="000000"/>
          <w:szCs w:val="21"/>
        </w:rPr>
        <w:t>line setting</w:t>
      </w:r>
      <w:r w:rsidR="00E0436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for advanced HCC with preserved liver function (Child-Pugh grade A) and good performance status</w:t>
      </w:r>
      <w:r w:rsidRPr="00467DBA">
        <w:rPr>
          <w:rFonts w:ascii="Book Antiqua" w:eastAsia="Book Antiqua" w:hAnsi="Book Antiqua" w:cs="Book Antiqua"/>
          <w:color w:val="000000"/>
          <w:szCs w:val="21"/>
        </w:rPr>
        <w:t xml:space="preserve"> (</w:t>
      </w:r>
      <w:r w:rsidR="00467DBA" w:rsidRPr="00467DBA">
        <w:rPr>
          <w:rFonts w:ascii="Book Antiqua" w:hAnsi="Book Antiqua"/>
          <w:lang w:eastAsia="zh-CN"/>
        </w:rPr>
        <w:t xml:space="preserve">Eastern Cooperative Oncology Group Performance Status </w:t>
      </w:r>
      <w:r w:rsidRPr="00467DBA">
        <w:rPr>
          <w:rFonts w:ascii="Book Antiqua" w:eastAsia="Book Antiqua" w:hAnsi="Book Antiqua" w:cs="Book Antiqua"/>
          <w:color w:val="000000"/>
          <w:szCs w:val="21"/>
        </w:rPr>
        <w:t>0-1). Median OS in the Cabozanti</w:t>
      </w:r>
      <w:r>
        <w:rPr>
          <w:rFonts w:ascii="Book Antiqua" w:eastAsia="Book Antiqua" w:hAnsi="Book Antiqua" w:cs="Book Antiqua"/>
          <w:color w:val="000000"/>
          <w:szCs w:val="21"/>
        </w:rPr>
        <w:t xml:space="preserve">nib arm was 10.2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8.0 mo in </w:t>
      </w:r>
      <w:r w:rsidR="00E0436F">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placebo arm (HR 0.76,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0.63-0.92). Also, there was</w:t>
      </w:r>
      <w:r w:rsidR="00E0436F">
        <w:rPr>
          <w:rFonts w:ascii="Book Antiqua" w:eastAsia="Book Antiqua" w:hAnsi="Book Antiqua" w:cs="Book Antiqua"/>
          <w:color w:val="000000"/>
          <w:szCs w:val="21"/>
        </w:rPr>
        <w:t xml:space="preserve"> an</w:t>
      </w:r>
      <w:r>
        <w:rPr>
          <w:rFonts w:ascii="Book Antiqua" w:eastAsia="Book Antiqua" w:hAnsi="Book Antiqua" w:cs="Book Antiqua"/>
          <w:color w:val="000000"/>
          <w:szCs w:val="21"/>
        </w:rPr>
        <w:t xml:space="preserve"> improvement in secondary endpoints, including PFS (5.2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1.9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0.44,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0.36-0.52, </w:t>
      </w:r>
      <w:r w:rsidR="00CF7847">
        <w:rPr>
          <w:rFonts w:ascii="Book Antiqua" w:eastAsia="Book Antiqua" w:hAnsi="Book Antiqua" w:cs="Book Antiqua"/>
          <w:i/>
          <w:iCs/>
          <w:color w:val="000000"/>
          <w:szCs w:val="21"/>
        </w:rPr>
        <w:t xml:space="preserve">P </w:t>
      </w:r>
      <w:r w:rsidR="00CF7847">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and objective response rates (4%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0.4%,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by RECIST 1.1</w:t>
      </w:r>
      <w:r>
        <w:rPr>
          <w:rFonts w:ascii="Book Antiqua" w:eastAsia="Book Antiqua" w:hAnsi="Book Antiqua" w:cs="Book Antiqua"/>
          <w:color w:val="000000"/>
          <w:szCs w:val="26"/>
          <w:vertAlign w:val="superscript"/>
        </w:rPr>
        <w:t>[27]</w:t>
      </w:r>
      <w:r>
        <w:rPr>
          <w:rFonts w:ascii="Book Antiqua" w:eastAsia="Book Antiqua" w:hAnsi="Book Antiqua" w:cs="Book Antiqua"/>
          <w:color w:val="000000"/>
          <w:szCs w:val="21"/>
        </w:rPr>
        <w:t xml:space="preserve">. Subgroup analysis showed that among those who had received Sorafenib, Cabozantinib continued to provide benefit in OS compared to placebo (11.3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7.2 mo,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0.70,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0.55-088). The results above confirmed the role of Cabozantinib as a second- </w:t>
      </w:r>
      <w:r w:rsidR="00E0436F">
        <w:rPr>
          <w:rFonts w:ascii="Book Antiqua" w:eastAsia="Book Antiqua" w:hAnsi="Book Antiqua" w:cs="Book Antiqua"/>
          <w:color w:val="000000"/>
          <w:szCs w:val="21"/>
        </w:rPr>
        <w:t xml:space="preserve">or </w:t>
      </w:r>
      <w:r>
        <w:rPr>
          <w:rFonts w:ascii="Book Antiqua" w:eastAsia="Book Antiqua" w:hAnsi="Book Antiqua" w:cs="Book Antiqua"/>
          <w:color w:val="000000"/>
          <w:szCs w:val="21"/>
        </w:rPr>
        <w:t>third-line therapeutic agent of advanced HCC regardless previous systemic therapies. Recently</w:t>
      </w:r>
      <w:r w:rsidR="00E0436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 matching-adjusted indirect comparison analysis showed that Cabozantinib may achieve </w:t>
      </w:r>
      <w:r w:rsidR="00E0436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similar OS and prolonged PFS compared with Regorafenib in patients with progressive advanced HCC after Sorafenib</w:t>
      </w:r>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Currently Cabozantinib is approved for patients with advanced HCC who are either intolerant, or experience radiological progression on Sorafenib.</w:t>
      </w:r>
    </w:p>
    <w:p w14:paraId="7DAFF9EC" w14:textId="77777777" w:rsidR="00CF7847" w:rsidRDefault="00CF7847" w:rsidP="00CF7847">
      <w:pPr>
        <w:spacing w:line="360" w:lineRule="auto"/>
        <w:jc w:val="both"/>
      </w:pPr>
    </w:p>
    <w:p w14:paraId="0F9F4C80" w14:textId="6E0D05FC" w:rsidR="00A77B3E" w:rsidRDefault="00DB0EE1" w:rsidP="00CF7847">
      <w:pPr>
        <w:spacing w:line="360" w:lineRule="auto"/>
        <w:jc w:val="both"/>
      </w:pPr>
      <w:r>
        <w:rPr>
          <w:rFonts w:ascii="Book Antiqua" w:eastAsia="Book Antiqua" w:hAnsi="Book Antiqua" w:cs="Book Antiqua"/>
          <w:b/>
          <w:bCs/>
          <w:color w:val="000000"/>
          <w:szCs w:val="21"/>
        </w:rPr>
        <w:t>Ramucirumab</w:t>
      </w:r>
      <w:r w:rsidR="00CF7847">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Different from TKI agents, Ramucirumab is an anti-VEGF recombinant monoclonal IgG antibody that specifically binds to the VEGF2 domain and thus blocks the ligand-receptor interaction. Although promising results were demonstrated initially in the phase II study for advanced HCC, Ramucirumab failed to achieve the expected improvement in OS in the randomized controlled phase III REACH trial, with a median OS of 9.2 mo compared to 7.6 mo with placebo (HR </w:t>
      </w:r>
      <w:r w:rsidR="00E0436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0.87, 95%CI</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0.72</w:t>
      </w:r>
      <w:r w:rsidR="00CF784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1.05, </w:t>
      </w:r>
      <w:r w:rsidR="00CF7847">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0.14)</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However, a sub-group analysis of patients with baseline serum AFP higher than 400</w:t>
      </w:r>
      <w:r w:rsidR="00CF784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mg/mL revealed a potential survival benefit</w:t>
      </w:r>
      <w:r>
        <w:rPr>
          <w:rFonts w:ascii="Book Antiqua" w:eastAsia="Book Antiqua" w:hAnsi="Book Antiqua" w:cs="Book Antiqua"/>
          <w:color w:val="000000"/>
          <w:szCs w:val="26"/>
          <w:vertAlign w:val="superscript"/>
        </w:rPr>
        <w:t>[29]</w:t>
      </w:r>
      <w:r>
        <w:rPr>
          <w:rFonts w:ascii="Book Antiqua" w:eastAsia="Book Antiqua" w:hAnsi="Book Antiqua" w:cs="Book Antiqua"/>
          <w:color w:val="000000"/>
          <w:szCs w:val="21"/>
        </w:rPr>
        <w:t>. Thereafter, the REACH-2 trail was launched to investigate the efficacy of Ramucirumab in patients with serum AFP concentrations at 400 ng/mL or greater</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xml:space="preserve">. Mean OS was improved from 7.3 mo in the placebo group to 8.5 mo in the Ramucirumab group (HR </w:t>
      </w:r>
      <w:r w:rsidR="003866A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0.71,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0.53-0.95,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0.019), and RFS was improved from 1.6 mo to 2.8 mo (HR </w:t>
      </w:r>
      <w:r w:rsidR="003866A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0.45,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0.40-0.60,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0.0001). In a combined analysis pooling results from REACH and REACH-II trials, </w:t>
      </w:r>
      <w:r w:rsidR="003866AF">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significant improvement in OS was confirmed in patients with serum AFP concentrations at 400 ng/mL or higher (8.1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5.0 mo, HR </w:t>
      </w:r>
      <w:r w:rsidR="003866A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0.69,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0.57</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0.84,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0.0002)</w:t>
      </w:r>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 Ramucirumab is an important second-line option specifically for those with high AFP levels who were either intolerant or progressed on Sorafenib.</w:t>
      </w:r>
    </w:p>
    <w:p w14:paraId="6D4680E5" w14:textId="77777777" w:rsidR="00A77B3E" w:rsidRDefault="00A77B3E" w:rsidP="00C00A43">
      <w:pPr>
        <w:spacing w:line="360" w:lineRule="auto"/>
        <w:jc w:val="both"/>
      </w:pPr>
    </w:p>
    <w:p w14:paraId="44CBCC73" w14:textId="77777777" w:rsidR="00A77B3E" w:rsidRPr="00CF7847" w:rsidRDefault="00DB0EE1">
      <w:pPr>
        <w:spacing w:line="360" w:lineRule="auto"/>
        <w:jc w:val="both"/>
        <w:rPr>
          <w:i/>
          <w:iCs/>
        </w:rPr>
      </w:pPr>
      <w:r w:rsidRPr="00CF7847">
        <w:rPr>
          <w:rFonts w:ascii="Book Antiqua" w:eastAsia="Book Antiqua" w:hAnsi="Book Antiqua" w:cs="Book Antiqua"/>
          <w:b/>
          <w:bCs/>
          <w:i/>
          <w:iCs/>
          <w:color w:val="000000"/>
          <w:szCs w:val="21"/>
        </w:rPr>
        <w:t>Immunotherapy</w:t>
      </w:r>
    </w:p>
    <w:p w14:paraId="596F29F9" w14:textId="1FF39346"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recent years, immunotherapy represented by immune checkpoint inhibitors (ICIs) including anti-PD-1/PD-L1 and anti-CTLA-4 antibodies </w:t>
      </w:r>
      <w:r w:rsidR="003866AF">
        <w:rPr>
          <w:rFonts w:ascii="Book Antiqua" w:eastAsia="Book Antiqua" w:hAnsi="Book Antiqua" w:cs="Book Antiqua"/>
          <w:color w:val="000000"/>
          <w:szCs w:val="21"/>
        </w:rPr>
        <w:t xml:space="preserve">has </w:t>
      </w:r>
      <w:r>
        <w:rPr>
          <w:rFonts w:ascii="Book Antiqua" w:eastAsia="Book Antiqua" w:hAnsi="Book Antiqua" w:cs="Book Antiqua"/>
          <w:color w:val="000000"/>
          <w:szCs w:val="21"/>
        </w:rPr>
        <w:t>exhibited potential therapeutic effects for advanced HCC. Inspired by the promising outcomes in phase II trials, more phase III trials have been launched to investigate the potency of immune-oncological agents in advanced HCC.</w:t>
      </w:r>
    </w:p>
    <w:p w14:paraId="2C116767" w14:textId="77777777" w:rsidR="00C00A43" w:rsidRDefault="00C00A43" w:rsidP="00C00A43">
      <w:pPr>
        <w:spacing w:line="360" w:lineRule="auto"/>
        <w:jc w:val="both"/>
      </w:pPr>
    </w:p>
    <w:p w14:paraId="18AA1944"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AtezoBev</w:t>
      </w:r>
    </w:p>
    <w:p w14:paraId="5097F715" w14:textId="5E65B1D5"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Atezolizumab is a monoclonal antibody that selectively targets PD-L1 to prevent receptor-ligand interaction with receptors PD-1 and B7-1, thus reversing T-cell suppression</w:t>
      </w:r>
      <w:r>
        <w:rPr>
          <w:rFonts w:ascii="Book Antiqua" w:eastAsia="Book Antiqua" w:hAnsi="Book Antiqua" w:cs="Book Antiqua"/>
          <w:color w:val="000000"/>
          <w:szCs w:val="26"/>
          <w:vertAlign w:val="superscript"/>
        </w:rPr>
        <w:t>[31]</w:t>
      </w:r>
      <w:r>
        <w:rPr>
          <w:rFonts w:ascii="Book Antiqua" w:eastAsia="Book Antiqua" w:hAnsi="Book Antiqua" w:cs="Book Antiqua"/>
          <w:color w:val="000000"/>
          <w:szCs w:val="21"/>
        </w:rPr>
        <w:t>. Bevacizumab is a monoclonal antibody that targets VEGF and thus inhibits angiogenesis and tumor growth</w:t>
      </w:r>
      <w:r>
        <w:rPr>
          <w:rFonts w:ascii="Book Antiqua" w:eastAsia="Book Antiqua" w:hAnsi="Book Antiqua" w:cs="Book Antiqua"/>
          <w:color w:val="000000"/>
          <w:szCs w:val="26"/>
          <w:vertAlign w:val="superscript"/>
        </w:rPr>
        <w:t>[32]</w:t>
      </w:r>
      <w:r>
        <w:rPr>
          <w:rFonts w:ascii="Book Antiqua" w:eastAsia="Book Antiqua" w:hAnsi="Book Antiqua" w:cs="Book Antiqua"/>
          <w:color w:val="000000"/>
          <w:szCs w:val="21"/>
        </w:rPr>
        <w:t>. Despite the modest activity of Bevacizumab alone in advanced HCC in some small phase II studies</w:t>
      </w:r>
      <w:r>
        <w:rPr>
          <w:rFonts w:ascii="Book Antiqua" w:eastAsia="Book Antiqua" w:hAnsi="Book Antiqua" w:cs="Book Antiqua"/>
          <w:color w:val="000000"/>
          <w:szCs w:val="26"/>
          <w:vertAlign w:val="superscript"/>
        </w:rPr>
        <w:t>[33,34]</w:t>
      </w:r>
      <w:r>
        <w:rPr>
          <w:rFonts w:ascii="Book Antiqua" w:eastAsia="Book Antiqua" w:hAnsi="Book Antiqua" w:cs="Book Antiqua"/>
          <w:color w:val="000000"/>
          <w:szCs w:val="21"/>
        </w:rPr>
        <w:t>, the combination of Atezolizumab and Bevacizumab (AtezoBev) demonstrated a promising antitumor activity in untreated and unresectable HCC in a phase Ib trial, with an objective response rate of 36% including 12 patients with CR. Median OS and PFS were 17.2 and 7.0 mo, respectively</w:t>
      </w:r>
      <w:r>
        <w:rPr>
          <w:rFonts w:ascii="Book Antiqua" w:eastAsia="Book Antiqua" w:hAnsi="Book Antiqua" w:cs="Book Antiqua"/>
          <w:color w:val="000000"/>
          <w:szCs w:val="26"/>
          <w:vertAlign w:val="superscript"/>
        </w:rPr>
        <w:t>[35]</w:t>
      </w:r>
      <w:r>
        <w:rPr>
          <w:rFonts w:ascii="Book Antiqua" w:eastAsia="Book Antiqua" w:hAnsi="Book Antiqua" w:cs="Book Antiqua"/>
          <w:color w:val="000000"/>
          <w:szCs w:val="21"/>
        </w:rPr>
        <w:t>. Subsequently, a multicenter, open-label, randomized phase III trial, IMbrave150, was conducted to determine the safety and efficacy of AtezoBev compared with Sorafenib in patients with unresectable HCC</w:t>
      </w:r>
      <w:r>
        <w:rPr>
          <w:rFonts w:ascii="Book Antiqua" w:eastAsia="Book Antiqua" w:hAnsi="Book Antiqua" w:cs="Book Antiqua"/>
          <w:color w:val="000000"/>
          <w:szCs w:val="26"/>
          <w:vertAlign w:val="superscript"/>
        </w:rPr>
        <w:t>[36]</w:t>
      </w:r>
      <w:r>
        <w:rPr>
          <w:rFonts w:ascii="Book Antiqua" w:eastAsia="Book Antiqua" w:hAnsi="Book Antiqua" w:cs="Book Antiqua"/>
          <w:color w:val="000000"/>
          <w:szCs w:val="21"/>
        </w:rPr>
        <w:t>. Although median OS was out of reach for AtezoBev, the HR for death with</w:t>
      </w:r>
      <w:r w:rsidR="00EC27AC">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AtezoBev arm as compared with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Sorafenib arm was 0.58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0.42-0.79,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0.0001). The 6-mo and 12-mo survival rates were 84.8% and 67.2%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AtezoBev arm</w:t>
      </w:r>
      <w:r w:rsidR="00EC27AC">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72.2% and 54.6%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Sorafenib arm, respectively. Median PFS was significantly improved from 4.3 mo to 6.8 mo compared with Sorafenib (HR </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0.59,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0.47-0.76,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0.0001). The 6-mo</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PFS rates were 54.5%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37.2% in AtezoBev arm and Sorafenib arm, respectively. HR for disease progression or death was 0.59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0.47-0.76,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0.0001). The overall response rates were 27%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AtezoBev arm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12%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Sorafenib arm according to RECIST 1.1 criteria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which was still of significance when HCC-specific mRECIST was applied (33.2%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13.3%, </w:t>
      </w:r>
      <w:r w:rsidR="00C00A43">
        <w:rPr>
          <w:rFonts w:ascii="Book Antiqua" w:eastAsia="Book Antiqua" w:hAnsi="Book Antiqua" w:cs="Book Antiqua"/>
          <w:i/>
          <w:iCs/>
          <w:color w:val="000000"/>
          <w:szCs w:val="21"/>
        </w:rPr>
        <w:t xml:space="preserve">P </w:t>
      </w:r>
      <w:r w:rsidR="00C00A43">
        <w:rPr>
          <w:rFonts w:ascii="Book Antiqua" w:eastAsia="Book Antiqua" w:hAnsi="Book Antiqua" w:cs="Book Antiqua"/>
          <w:color w:val="000000"/>
          <w:szCs w:val="21"/>
        </w:rPr>
        <w:t xml:space="preserve">&lt; </w:t>
      </w:r>
      <w:r>
        <w:rPr>
          <w:rFonts w:ascii="Book Antiqua" w:eastAsia="Book Antiqua" w:hAnsi="Book Antiqua" w:cs="Book Antiqua"/>
          <w:color w:val="000000"/>
          <w:szCs w:val="21"/>
        </w:rPr>
        <w:t xml:space="preserve">0.001). It was the first phase III trial with positive results showing a significant improvement in both OS and PFS compared to Sorafenib. Consequently, approval for Atezolizumab plus Bevacizumab in the treatment of adult patients with unresectable locally advanced or metastatic HCC without prior systemic treatment was granted by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FDA on May 29, 2020</w:t>
      </w:r>
      <w:r>
        <w:rPr>
          <w:rFonts w:ascii="Book Antiqua" w:eastAsia="Book Antiqua" w:hAnsi="Book Antiqua" w:cs="Book Antiqua"/>
          <w:color w:val="000000"/>
          <w:szCs w:val="26"/>
          <w:vertAlign w:val="superscript"/>
        </w:rPr>
        <w:t>[37]</w:t>
      </w:r>
      <w:r>
        <w:rPr>
          <w:rFonts w:ascii="Book Antiqua" w:eastAsia="Book Antiqua" w:hAnsi="Book Antiqua" w:cs="Book Antiqua"/>
          <w:color w:val="000000"/>
          <w:szCs w:val="21"/>
        </w:rPr>
        <w:t>.</w:t>
      </w:r>
    </w:p>
    <w:p w14:paraId="03AC9561" w14:textId="77777777" w:rsidR="00C00A43" w:rsidRDefault="00C00A43" w:rsidP="00C00A43">
      <w:pPr>
        <w:spacing w:line="360" w:lineRule="auto"/>
        <w:jc w:val="both"/>
      </w:pPr>
    </w:p>
    <w:p w14:paraId="0FBC930E" w14:textId="2E4D7E7B"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Nivolumab</w:t>
      </w:r>
      <w:r w:rsidR="00C00A43">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Nivolumab was the first immunotherapeutic agent applied in clinical trial of HCC. The phase I/II, open-label, non-comparative dose escalation and expansion trial CheckMate 040</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unprecedentedly demonstrated the manageable safety profile and potential efficacy of anti-PD-1 antibody in advanced HCC, with high objective response rates and disease control rates at 20% and 64% in the dose-expansion phase, and 15% and 58% in the dose-escalation phase, respectively</w:t>
      </w:r>
      <w:r>
        <w:rPr>
          <w:rFonts w:ascii="Book Antiqua" w:eastAsia="Book Antiqua" w:hAnsi="Book Antiqua" w:cs="Book Antiqua"/>
          <w:color w:val="000000"/>
          <w:szCs w:val="26"/>
          <w:vertAlign w:val="superscript"/>
        </w:rPr>
        <w:t>[38]</w:t>
      </w:r>
      <w:r>
        <w:rPr>
          <w:rFonts w:ascii="Book Antiqua" w:eastAsia="Book Antiqua" w:hAnsi="Book Antiqua" w:cs="Book Antiqua"/>
          <w:color w:val="000000"/>
          <w:szCs w:val="21"/>
        </w:rPr>
        <w:t xml:space="preserve">. Based on the exciting findings, accelerated approval was granted to Nivolumab by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FDA as </w:t>
      </w:r>
      <w:r w:rsidR="00EB179A">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second-line </w:t>
      </w:r>
      <w:r w:rsidR="00EB179A">
        <w:rPr>
          <w:rFonts w:ascii="Book Antiqua" w:eastAsia="Book Antiqua" w:hAnsi="Book Antiqua" w:cs="Book Antiqua"/>
          <w:color w:val="000000"/>
          <w:szCs w:val="21"/>
        </w:rPr>
        <w:t xml:space="preserve">treatment </w:t>
      </w:r>
      <w:r>
        <w:rPr>
          <w:rFonts w:ascii="Book Antiqua" w:eastAsia="Book Antiqua" w:hAnsi="Book Antiqua" w:cs="Book Antiqua"/>
          <w:color w:val="000000"/>
          <w:szCs w:val="21"/>
        </w:rPr>
        <w:t xml:space="preserve">for advanced HCC. Thereafter, a randomized, multi-center phase III study of Nivolumab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sorafenib as first-line treatment for advanced HCC was launched</w:t>
      </w:r>
      <w:r>
        <w:rPr>
          <w:rFonts w:ascii="Book Antiqua" w:eastAsia="Book Antiqua" w:hAnsi="Book Antiqua" w:cs="Book Antiqua"/>
          <w:color w:val="000000"/>
          <w:szCs w:val="26"/>
          <w:vertAlign w:val="superscript"/>
        </w:rPr>
        <w:t>[39]</w:t>
      </w:r>
      <w:r>
        <w:rPr>
          <w:rFonts w:ascii="Book Antiqua" w:eastAsia="Book Antiqua" w:hAnsi="Book Antiqua" w:cs="Book Antiqua"/>
          <w:color w:val="000000"/>
          <w:szCs w:val="21"/>
        </w:rPr>
        <w:t xml:space="preserve">. Nivolumab did improve OS compared to Sorafenib but failed to reach the specified criteria of statistical significance (HR </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0.84,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0.0419). Median OS was 16.4 mo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Nivolumab arm and 14.7 mo in </w:t>
      </w:r>
      <w:r w:rsidR="00EC27AC">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Sorafenib arm (HR </w:t>
      </w:r>
      <w:r w:rsidR="00EC27A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0.85,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0.72</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1.02,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0.0752). Similar median PFS was identified in both arms, 3.7 </w:t>
      </w:r>
      <w:r w:rsidR="00C00A43">
        <w:rPr>
          <w:rFonts w:ascii="Book Antiqua" w:eastAsia="Book Antiqua" w:hAnsi="Book Antiqua" w:cs="Book Antiqua"/>
          <w:color w:val="000000"/>
          <w:szCs w:val="21"/>
        </w:rPr>
        <w:t xml:space="preserve">mo </w:t>
      </w:r>
      <w:r>
        <w:rPr>
          <w:rFonts w:ascii="Book Antiqua" w:eastAsia="Book Antiqua" w:hAnsi="Book Antiqua" w:cs="Book Antiqua"/>
          <w:color w:val="000000"/>
          <w:szCs w:val="21"/>
        </w:rPr>
        <w:t>and 3.8 mo for Nivolumab and Sorafenib, respectively. Although Nivolumab failed to show satisfying results as being expected in this CheckMate 459 trial, relatively long median OS, high objective response rate</w:t>
      </w:r>
      <w:r w:rsidR="00EC27A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significantly lower treatment-related adverse event by Nivolumab were still inspiring as it was the first clinical trial to demonstrate the potential of immunotherapy in advanced HCC.</w:t>
      </w:r>
    </w:p>
    <w:p w14:paraId="6EA8494C" w14:textId="77777777" w:rsidR="00C00A43" w:rsidRDefault="00C00A43" w:rsidP="00C00A43">
      <w:pPr>
        <w:spacing w:line="360" w:lineRule="auto"/>
        <w:jc w:val="both"/>
      </w:pPr>
    </w:p>
    <w:p w14:paraId="64D390CA" w14:textId="6DEA88A8" w:rsidR="00A77B3E" w:rsidRDefault="00DB0EE1" w:rsidP="00C00A43">
      <w:pPr>
        <w:spacing w:line="360" w:lineRule="auto"/>
        <w:jc w:val="both"/>
      </w:pPr>
      <w:r>
        <w:rPr>
          <w:rFonts w:ascii="Book Antiqua" w:eastAsia="Book Antiqua" w:hAnsi="Book Antiqua" w:cs="Book Antiqua"/>
          <w:b/>
          <w:bCs/>
          <w:color w:val="000000"/>
          <w:szCs w:val="21"/>
        </w:rPr>
        <w:t>Pembrolizumab</w:t>
      </w:r>
      <w:r w:rsidR="00C00A43">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Another PD-1 monoclonal antibody, Pembrolizumab, was approved by FDA as a second-line agent for HCC in 2018 based on the phase II KEYNOTE-224 trial</w:t>
      </w:r>
      <w:r>
        <w:rPr>
          <w:rFonts w:ascii="Book Antiqua" w:eastAsia="Book Antiqua" w:hAnsi="Book Antiqua" w:cs="Book Antiqua"/>
          <w:color w:val="000000"/>
          <w:szCs w:val="26"/>
          <w:vertAlign w:val="superscript"/>
        </w:rPr>
        <w:t>[40]</w:t>
      </w:r>
      <w:r>
        <w:rPr>
          <w:rFonts w:ascii="Book Antiqua" w:eastAsia="Book Antiqua" w:hAnsi="Book Antiqua" w:cs="Book Antiqua"/>
          <w:color w:val="000000"/>
          <w:szCs w:val="21"/>
        </w:rPr>
        <w:t>. Different from Nivolumab, Pembrolizumab was primarily set as a second-line agent, for the KEYNOTE 224 trial was carried out in patients who were previously treated with Sorafenib but experienced either intolerance or radiographic progression. Subsequently, the KEYNOTE-240 was launched as a randomized, placebo controlled, phase III study in patients with prior administration of Sorafenib</w:t>
      </w:r>
      <w:r>
        <w:rPr>
          <w:rFonts w:ascii="Book Antiqua" w:eastAsia="Book Antiqua" w:hAnsi="Book Antiqua" w:cs="Book Antiqua"/>
          <w:color w:val="000000"/>
          <w:szCs w:val="26"/>
          <w:vertAlign w:val="superscript"/>
        </w:rPr>
        <w:t>[41]</w:t>
      </w:r>
      <w:r>
        <w:rPr>
          <w:rFonts w:ascii="Book Antiqua" w:eastAsia="Book Antiqua" w:hAnsi="Book Antiqua" w:cs="Book Antiqua"/>
          <w:color w:val="000000"/>
          <w:szCs w:val="21"/>
        </w:rPr>
        <w:t xml:space="preserve">. Prolonged median OS and PFS were observed in </w:t>
      </w:r>
      <w:r w:rsidR="00EB179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Pembrolizumab arm compared with </w:t>
      </w:r>
      <w:r w:rsidR="00EB179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placebo arm (OS</w:t>
      </w:r>
      <w:r w:rsidR="00EB179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13.9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10.6 mo, HR </w:t>
      </w:r>
      <w:r w:rsidR="00EB179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0.781,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0.611-0.998,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0.0238; PFS</w:t>
      </w:r>
      <w:r w:rsidR="00EB179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3.0 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2.8 mo, HR </w:t>
      </w:r>
      <w:r w:rsidR="00EB179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0.718,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0.570-0.904,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0.0238). However, both of OS and PFS did not reach statistical significance </w:t>
      </w:r>
      <w:r w:rsidRPr="00467DBA">
        <w:rPr>
          <w:rFonts w:ascii="Book Antiqua" w:eastAsia="Book Antiqua" w:hAnsi="Book Antiqua" w:cs="Book Antiqua"/>
          <w:i/>
          <w:color w:val="000000"/>
          <w:szCs w:val="21"/>
        </w:rPr>
        <w:t>per</w:t>
      </w:r>
      <w:r>
        <w:rPr>
          <w:rFonts w:ascii="Book Antiqua" w:eastAsia="Book Antiqua" w:hAnsi="Book Antiqua" w:cs="Book Antiqua"/>
          <w:color w:val="000000"/>
          <w:szCs w:val="21"/>
        </w:rPr>
        <w:t xml:space="preserve"> predefined threshold, although </w:t>
      </w:r>
      <w:r w:rsidR="00EB179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objective response rate was significantly higher at 16.9% and duration of response was relatively long with a median of 13.8 mo. Another phase III trial, KEYNOTE-394, is ongoing to continue the investigation of Pembrolizumab </w:t>
      </w:r>
      <w:r w:rsidR="00EB179A">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a second-line setting after failure of Sorafenib in Asia area. Strong evidence of Pembrolizumab in survival improvement makes it necessary to support its feasibility as a second-line </w:t>
      </w:r>
      <w:r w:rsidR="00EB179A">
        <w:rPr>
          <w:rFonts w:ascii="Book Antiqua" w:eastAsia="Book Antiqua" w:hAnsi="Book Antiqua" w:cs="Book Antiqua"/>
          <w:color w:val="000000"/>
          <w:szCs w:val="21"/>
        </w:rPr>
        <w:t>treatment</w:t>
      </w:r>
      <w:r>
        <w:rPr>
          <w:rFonts w:ascii="Book Antiqua" w:eastAsia="Book Antiqua" w:hAnsi="Book Antiqua" w:cs="Book Antiqua"/>
          <w:color w:val="000000"/>
          <w:szCs w:val="21"/>
        </w:rPr>
        <w:t>.</w:t>
      </w:r>
    </w:p>
    <w:p w14:paraId="2F0D099E" w14:textId="798D932E" w:rsidR="00A77B3E" w:rsidRDefault="00DB0EE1" w:rsidP="00C00A43">
      <w:pPr>
        <w:spacing w:line="360" w:lineRule="auto"/>
        <w:ind w:firstLineChars="100" w:firstLine="240"/>
        <w:jc w:val="both"/>
      </w:pPr>
      <w:r>
        <w:rPr>
          <w:rFonts w:ascii="Book Antiqua" w:eastAsia="Book Antiqua" w:hAnsi="Book Antiqua" w:cs="Book Antiqua"/>
          <w:color w:val="000000"/>
          <w:szCs w:val="21"/>
        </w:rPr>
        <w:t>To conclude, systemic treatment options for advanced HCC have substantially increased over the past years (Table 1). A question to be answered is the sequence of clinical application of the systemic agents. According to the ASCO guideline (Edition 2020)</w:t>
      </w:r>
      <w:r>
        <w:rPr>
          <w:rFonts w:ascii="Book Antiqua" w:eastAsia="Book Antiqua" w:hAnsi="Book Antiqua" w:cs="Book Antiqua"/>
          <w:color w:val="000000"/>
          <w:szCs w:val="26"/>
          <w:vertAlign w:val="superscript"/>
        </w:rPr>
        <w:t>[42]</w:t>
      </w:r>
      <w:r>
        <w:rPr>
          <w:rFonts w:ascii="Book Antiqua" w:eastAsia="Book Antiqua" w:hAnsi="Book Antiqua" w:cs="Book Antiqua"/>
          <w:color w:val="000000"/>
          <w:szCs w:val="21"/>
        </w:rPr>
        <w:t>, Sorafenib and Lenvatinib are set as the first-line therapy. Second-line therapy options for appropriate candidates include Cabozantinib, Regorafenib</w:t>
      </w:r>
      <w:r w:rsidR="00EB179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Ramucirumab. Combination of Atezolizumab and Bevacizumab is also an option as first-line therapy while patients do not have access to Sorafenib or Lenvatinib. Potential second-line setting Pembrolizumab and Nivolumab are also reasonable options for appropriate patients following Sorafenib or Lenvatinib</w:t>
      </w:r>
      <w:r w:rsidR="00EB179A">
        <w:rPr>
          <w:rFonts w:ascii="Book Antiqua" w:eastAsia="Book Antiqua" w:hAnsi="Book Antiqua" w:cs="Book Antiqua"/>
          <w:color w:val="000000"/>
          <w:szCs w:val="21"/>
        </w:rPr>
        <w:t xml:space="preserve"> treatment</w:t>
      </w:r>
      <w:r>
        <w:rPr>
          <w:rFonts w:ascii="Book Antiqua" w:eastAsia="Book Antiqua" w:hAnsi="Book Antiqua" w:cs="Book Antiqua"/>
          <w:color w:val="000000"/>
          <w:szCs w:val="21"/>
        </w:rPr>
        <w:t>. In a latest systematic review and network meta-analysis of 14 phase III trials</w:t>
      </w:r>
      <w:r>
        <w:rPr>
          <w:rFonts w:ascii="Book Antiqua" w:eastAsia="Book Antiqua" w:hAnsi="Book Antiqua" w:cs="Book Antiqua"/>
          <w:color w:val="000000"/>
          <w:szCs w:val="26"/>
          <w:vertAlign w:val="superscript"/>
        </w:rPr>
        <w:t>[43]</w:t>
      </w:r>
      <w:r>
        <w:rPr>
          <w:rFonts w:ascii="Book Antiqua" w:eastAsia="Book Antiqua" w:hAnsi="Book Antiqua" w:cs="Book Antiqua"/>
          <w:color w:val="000000"/>
          <w:szCs w:val="21"/>
        </w:rPr>
        <w:t>, combination of Atezolizumab and Bevacizumab is considered the standard of care in the first-line setting. Regorafenib and Cabozantinib remain preferred options in refractory patients, with Ramucirumab as an additional option in those with AFP at 400 ng/mL or higher.</w:t>
      </w:r>
    </w:p>
    <w:p w14:paraId="2236BDB4" w14:textId="4754453F" w:rsidR="00A77B3E" w:rsidRDefault="00DB0EE1" w:rsidP="00C00A43">
      <w:pPr>
        <w:spacing w:line="360" w:lineRule="auto"/>
        <w:ind w:firstLineChars="100" w:firstLine="240"/>
        <w:jc w:val="both"/>
      </w:pPr>
      <w:r>
        <w:rPr>
          <w:rFonts w:ascii="Book Antiqua" w:eastAsia="Book Antiqua" w:hAnsi="Book Antiqua" w:cs="Book Antiqua"/>
          <w:color w:val="000000"/>
          <w:szCs w:val="21"/>
        </w:rPr>
        <w:t xml:space="preserve">Another issue </w:t>
      </w:r>
      <w:r w:rsidR="00EB179A">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we concern about is the efficacy of systemic agent in the local control of EHM lesions. Unfortunately, data was not available on these phase II/III trials, though the presence of EHM was identified as a prognostic factor related to poor survival of advanced HCC after systemic therapy</w:t>
      </w:r>
      <w:r>
        <w:rPr>
          <w:rFonts w:ascii="Book Antiqua" w:eastAsia="Book Antiqua" w:hAnsi="Book Antiqua" w:cs="Book Antiqua"/>
          <w:color w:val="000000"/>
          <w:szCs w:val="26"/>
          <w:vertAlign w:val="superscript"/>
        </w:rPr>
        <w:t>[44-46]</w:t>
      </w:r>
      <w:r>
        <w:rPr>
          <w:rFonts w:ascii="Book Antiqua" w:eastAsia="Book Antiqua" w:hAnsi="Book Antiqua" w:cs="Book Antiqua"/>
          <w:color w:val="000000"/>
          <w:szCs w:val="21"/>
        </w:rPr>
        <w:t>. Sporadic case reports were available to describe the complete remission of extrahepatic metastatic lesions after administration of systemic agents</w:t>
      </w:r>
      <w:r>
        <w:rPr>
          <w:rFonts w:ascii="Book Antiqua" w:eastAsia="Book Antiqua" w:hAnsi="Book Antiqua" w:cs="Book Antiqua"/>
          <w:color w:val="000000"/>
          <w:szCs w:val="26"/>
          <w:vertAlign w:val="superscript"/>
        </w:rPr>
        <w:t>[47-53]</w:t>
      </w:r>
      <w:r>
        <w:rPr>
          <w:rFonts w:ascii="Book Antiqua" w:eastAsia="Book Antiqua" w:hAnsi="Book Antiqua" w:cs="Book Antiqua"/>
          <w:color w:val="000000"/>
          <w:szCs w:val="21"/>
        </w:rPr>
        <w:t>. Further investigation remains in need to demonstrate the effect of systemic agents in the local control of EHM.</w:t>
      </w:r>
    </w:p>
    <w:p w14:paraId="29186AEC" w14:textId="77777777" w:rsidR="00A77B3E" w:rsidRDefault="00A77B3E" w:rsidP="00C00A43">
      <w:pPr>
        <w:spacing w:line="360" w:lineRule="auto"/>
        <w:jc w:val="both"/>
      </w:pPr>
    </w:p>
    <w:p w14:paraId="28CAB2FB" w14:textId="77777777" w:rsidR="00A77B3E" w:rsidRDefault="00DB0EE1">
      <w:pPr>
        <w:spacing w:line="360" w:lineRule="auto"/>
        <w:jc w:val="both"/>
      </w:pPr>
      <w:r>
        <w:rPr>
          <w:rFonts w:ascii="Book Antiqua" w:eastAsia="Book Antiqua" w:hAnsi="Book Antiqua" w:cs="Book Antiqua"/>
          <w:b/>
          <w:bCs/>
          <w:caps/>
          <w:color w:val="000000"/>
          <w:szCs w:val="22"/>
          <w:u w:val="single"/>
        </w:rPr>
        <w:t>Locoregional therapy</w:t>
      </w:r>
    </w:p>
    <w:p w14:paraId="03411975" w14:textId="59899190" w:rsidR="00A77B3E" w:rsidRDefault="00DB0EE1" w:rsidP="00C00A4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 presence of EHM indicates an advanced stage when locoregional management of extrahepatic lesions is no longer considered a proper option, according to the mainstream HCC guidelines. Systemic therapy, somehow, cannot completely eradicate the lesions and the prolongation in survival is still unsatisfactory. Attempts to manage extrahepatic lesions by locoregional modalities have been made in the clinical practice, in order to facilitate systemic therapy or relieve the symptoms. Given the fact that most patients with advanced HCC die of liver failure or of the progression of intrahepatic lesions, proper management of intrahepatic lesions is the key for better outcomes. However, previous studies have shown that even for patients in advanced stage HCC, locoregional control of extrahepatic lesions is still beneficial for survival in the premise of proper management of intrahepatic lesions and preserved hepatic reserve</w:t>
      </w:r>
      <w:r>
        <w:rPr>
          <w:rFonts w:ascii="Book Antiqua" w:eastAsia="Book Antiqua" w:hAnsi="Book Antiqua" w:cs="Book Antiqua"/>
          <w:color w:val="000000"/>
          <w:szCs w:val="26"/>
          <w:vertAlign w:val="superscript"/>
        </w:rPr>
        <w:t>[54</w:t>
      </w:r>
      <w:r w:rsidR="00C00A43">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57]</w:t>
      </w:r>
      <w:r>
        <w:rPr>
          <w:rFonts w:ascii="Book Antiqua" w:eastAsia="Book Antiqua" w:hAnsi="Book Antiqua" w:cs="Book Antiqua"/>
          <w:color w:val="000000"/>
          <w:szCs w:val="21"/>
        </w:rPr>
        <w:t xml:space="preserve">. In this section, we focus on the locoregional treatment modalities </w:t>
      </w:r>
      <w:r w:rsidR="001D34B4">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EHM, including surgical resection, ablation, TACE</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radiotherapy.</w:t>
      </w:r>
    </w:p>
    <w:p w14:paraId="4C7693EC" w14:textId="77777777" w:rsidR="00C00A43" w:rsidRDefault="00C00A43" w:rsidP="00C00A43">
      <w:pPr>
        <w:spacing w:line="360" w:lineRule="auto"/>
        <w:jc w:val="both"/>
      </w:pPr>
    </w:p>
    <w:p w14:paraId="737A61E9"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Surgical resection</w:t>
      </w:r>
    </w:p>
    <w:p w14:paraId="390B21A2" w14:textId="1DF57F44" w:rsidR="00A77B3E" w:rsidRDefault="00DB0EE1" w:rsidP="00C00A43">
      <w:pPr>
        <w:spacing w:line="360" w:lineRule="auto"/>
        <w:jc w:val="both"/>
      </w:pPr>
      <w:r>
        <w:rPr>
          <w:rFonts w:ascii="Book Antiqua" w:eastAsia="Book Antiqua" w:hAnsi="Book Antiqua" w:cs="Book Antiqua"/>
          <w:color w:val="000000"/>
          <w:szCs w:val="21"/>
        </w:rPr>
        <w:t xml:space="preserve">There is no consensus on whether surgical resection of extrahepatic lesions should be performed in patients with advanced HCC. A prospective study including 64 patients with resectable extrahepatic recurrent HCC at various sites have demonstrated that surgical resection could benefit patients with </w:t>
      </w:r>
      <w:r w:rsidR="001D34B4">
        <w:rPr>
          <w:rFonts w:ascii="Book Antiqua" w:eastAsia="Book Antiqua" w:hAnsi="Book Antiqua" w:cs="Book Antiqua"/>
          <w:color w:val="000000"/>
          <w:szCs w:val="21"/>
        </w:rPr>
        <w:t xml:space="preserve">an </w:t>
      </w:r>
      <w:r>
        <w:rPr>
          <w:rFonts w:ascii="Book Antiqua" w:eastAsia="Book Antiqua" w:hAnsi="Book Antiqua" w:cs="Book Antiqua"/>
          <w:color w:val="000000"/>
          <w:szCs w:val="21"/>
        </w:rPr>
        <w:t>improved survival under the condition of properly controlled intrahepatic recurrent lesions by locoregional therapies</w:t>
      </w:r>
      <w:r>
        <w:rPr>
          <w:rFonts w:ascii="Book Antiqua" w:eastAsia="Book Antiqua" w:hAnsi="Book Antiqua" w:cs="Book Antiqua"/>
          <w:color w:val="000000"/>
          <w:szCs w:val="26"/>
          <w:vertAlign w:val="superscript"/>
        </w:rPr>
        <w:t>[55]</w:t>
      </w:r>
      <w:r>
        <w:rPr>
          <w:rFonts w:ascii="Book Antiqua" w:eastAsia="Book Antiqua" w:hAnsi="Book Antiqua" w:cs="Book Antiqua"/>
          <w:color w:val="000000"/>
          <w:szCs w:val="21"/>
        </w:rPr>
        <w:t>. The median OS was 5.3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2.5-8.8)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1.1 (95%CI</w:t>
      </w:r>
      <w:r w:rsidR="00C00A4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0.8-2.3) years in the surgical and non-surgical groups, respectively (</w:t>
      </w:r>
      <w:r w:rsidR="00C00A43">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 The 5-year survival rates were 55.9% and 9.1% in the surgical and non-surgical groups, respectively. Similar results were found in a retrospective study</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of which the patients who had metastatic HCC and underwent extrahepatic metastasectomy had </w:t>
      </w:r>
      <w:r w:rsidR="001D34B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superior median OS compared to those who were treated with Sorafenib without metastasectomy during the study period (27.2</w:t>
      </w:r>
      <w:r w:rsidR="00C00A43">
        <w:rPr>
          <w:rFonts w:ascii="Book Antiqua" w:eastAsia="Book Antiqua" w:hAnsi="Book Antiqua" w:cs="Book Antiqua"/>
          <w:color w:val="000000"/>
          <w:szCs w:val="21"/>
        </w:rPr>
        <w:t xml:space="preserve"> mo</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7.4 mo, </w:t>
      </w:r>
      <w:r w:rsidR="00C00A43">
        <w:rPr>
          <w:rFonts w:ascii="Book Antiqua" w:eastAsia="Book Antiqua" w:hAnsi="Book Antiqua" w:cs="Book Antiqua"/>
          <w:i/>
          <w:iCs/>
          <w:color w:val="000000"/>
          <w:szCs w:val="21"/>
        </w:rPr>
        <w:t>P</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r>
        <w:rPr>
          <w:rFonts w:ascii="Book Antiqua" w:eastAsia="Book Antiqua" w:hAnsi="Book Antiqua" w:cs="Book Antiqua"/>
          <w:color w:val="000000"/>
          <w:szCs w:val="26"/>
          <w:vertAlign w:val="superscript"/>
        </w:rPr>
        <w:t>[57]</w:t>
      </w:r>
      <w:r>
        <w:rPr>
          <w:rFonts w:ascii="Book Antiqua" w:eastAsia="Book Antiqua" w:hAnsi="Book Antiqua" w:cs="Book Antiqua"/>
          <w:color w:val="000000"/>
          <w:szCs w:val="21"/>
        </w:rPr>
        <w:t>.</w:t>
      </w:r>
    </w:p>
    <w:p w14:paraId="7B160350" w14:textId="1E578016" w:rsidR="00A77B3E" w:rsidRDefault="001D34B4" w:rsidP="00C00A43">
      <w:pPr>
        <w:spacing w:line="360" w:lineRule="auto"/>
        <w:ind w:firstLineChars="100" w:firstLine="240"/>
        <w:jc w:val="both"/>
      </w:pPr>
      <w:r>
        <w:rPr>
          <w:rFonts w:ascii="Book Antiqua" w:eastAsia="Book Antiqua" w:hAnsi="Book Antiqua" w:cs="Book Antiqua"/>
          <w:color w:val="000000"/>
          <w:szCs w:val="21"/>
        </w:rPr>
        <w:t xml:space="preserve">The lung </w:t>
      </w:r>
      <w:r w:rsidR="00DB0EE1">
        <w:rPr>
          <w:rFonts w:ascii="Book Antiqua" w:eastAsia="Book Antiqua" w:hAnsi="Book Antiqua" w:cs="Book Antiqua"/>
          <w:color w:val="000000"/>
          <w:szCs w:val="21"/>
        </w:rPr>
        <w:t xml:space="preserve">is the most common site of extrahepatic spread from HCC. Several studies have reported the safety and efficacy of pulmonary metastasectomy of HCC following liver transplantation or liver resection, with a 5-year OS rate </w:t>
      </w:r>
      <w:r>
        <w:rPr>
          <w:rFonts w:ascii="Book Antiqua" w:eastAsia="Book Antiqua" w:hAnsi="Book Antiqua" w:cs="Book Antiqua"/>
          <w:color w:val="000000"/>
          <w:szCs w:val="21"/>
        </w:rPr>
        <w:t xml:space="preserve">ranging </w:t>
      </w:r>
      <w:r w:rsidR="00DB0EE1">
        <w:rPr>
          <w:rFonts w:ascii="Book Antiqua" w:eastAsia="Book Antiqua" w:hAnsi="Book Antiqua" w:cs="Book Antiqua"/>
          <w:color w:val="000000"/>
          <w:szCs w:val="21"/>
        </w:rPr>
        <w:t>from 27.5% to 48%</w:t>
      </w:r>
      <w:r w:rsidR="00DB0EE1">
        <w:rPr>
          <w:rFonts w:ascii="Book Antiqua" w:eastAsia="Book Antiqua" w:hAnsi="Book Antiqua" w:cs="Book Antiqua"/>
          <w:color w:val="000000"/>
          <w:szCs w:val="26"/>
          <w:vertAlign w:val="superscript"/>
        </w:rPr>
        <w:t>[58-66]</w:t>
      </w:r>
      <w:r w:rsidR="00DB0EE1">
        <w:rPr>
          <w:rFonts w:ascii="Book Antiqua" w:eastAsia="Book Antiqua" w:hAnsi="Book Antiqua" w:cs="Book Antiqua"/>
          <w:color w:val="000000"/>
          <w:szCs w:val="21"/>
        </w:rPr>
        <w:t>. Significant prognostic factors for pulmonary metastasectomy were identified</w:t>
      </w:r>
      <w:r>
        <w:rPr>
          <w:rFonts w:ascii="Book Antiqua" w:eastAsia="Book Antiqua" w:hAnsi="Book Antiqua" w:cs="Book Antiqua"/>
          <w:color w:val="000000"/>
          <w:szCs w:val="21"/>
        </w:rPr>
        <w:t>,</w:t>
      </w:r>
      <w:r w:rsidR="00DB0EE1">
        <w:rPr>
          <w:rFonts w:ascii="Book Antiqua" w:eastAsia="Book Antiqua" w:hAnsi="Book Antiqua" w:cs="Book Antiqua"/>
          <w:color w:val="000000"/>
          <w:szCs w:val="21"/>
        </w:rPr>
        <w:t xml:space="preserve"> including remission status of intrahepatic lesions, disease-free interval, and serum level of AFP</w:t>
      </w:r>
      <w:r w:rsidR="00DB0EE1">
        <w:rPr>
          <w:rFonts w:ascii="Book Antiqua" w:eastAsia="Book Antiqua" w:hAnsi="Book Antiqua" w:cs="Book Antiqua"/>
          <w:color w:val="000000"/>
          <w:szCs w:val="26"/>
          <w:vertAlign w:val="superscript"/>
        </w:rPr>
        <w:t>[63,67,68]</w:t>
      </w:r>
      <w:r w:rsidR="00DB0EE1">
        <w:rPr>
          <w:rFonts w:ascii="Book Antiqua" w:eastAsia="Book Antiqua" w:hAnsi="Book Antiqua" w:cs="Book Antiqua"/>
          <w:color w:val="000000"/>
          <w:szCs w:val="21"/>
        </w:rPr>
        <w:t>. Surgical resection of metastasis to other sites including the lymph nodes, adrenal gland, and rarely spinal cord and pancreas has been reported in previous studies</w:t>
      </w:r>
      <w:r w:rsidR="00DB0EE1">
        <w:rPr>
          <w:rFonts w:ascii="Book Antiqua" w:eastAsia="Book Antiqua" w:hAnsi="Book Antiqua" w:cs="Book Antiqua"/>
          <w:color w:val="000000"/>
          <w:szCs w:val="26"/>
          <w:vertAlign w:val="superscript"/>
        </w:rPr>
        <w:t>[69-73]</w:t>
      </w:r>
      <w:r w:rsidR="00DB0EE1">
        <w:rPr>
          <w:rFonts w:ascii="Book Antiqua" w:eastAsia="Book Antiqua" w:hAnsi="Book Antiqua" w:cs="Book Antiqua"/>
          <w:color w:val="000000"/>
          <w:szCs w:val="21"/>
        </w:rPr>
        <w:t>. To conclude, most surgical resection of EHM was reported in pulmonary metastasis with safety, effectiveness, and survival benefit under the condition of eradication or proper control of intrahepatic lesions.</w:t>
      </w:r>
    </w:p>
    <w:p w14:paraId="168A0E80" w14:textId="77777777" w:rsidR="00A77B3E" w:rsidRDefault="00A77B3E" w:rsidP="00C00A43">
      <w:pPr>
        <w:spacing w:line="360" w:lineRule="auto"/>
        <w:jc w:val="both"/>
      </w:pPr>
    </w:p>
    <w:p w14:paraId="6125F3E4" w14:textId="77777777" w:rsidR="00C00A43" w:rsidRPr="00C00A43" w:rsidRDefault="00DB0EE1" w:rsidP="00C00A43">
      <w:pPr>
        <w:spacing w:line="360" w:lineRule="auto"/>
        <w:jc w:val="both"/>
        <w:rPr>
          <w:rFonts w:ascii="Book Antiqua" w:eastAsia="Book Antiqua" w:hAnsi="Book Antiqua" w:cs="Book Antiqua"/>
          <w:b/>
          <w:bCs/>
          <w:i/>
          <w:iCs/>
          <w:color w:val="000000"/>
          <w:szCs w:val="21"/>
        </w:rPr>
      </w:pPr>
      <w:r w:rsidRPr="00C00A43">
        <w:rPr>
          <w:rFonts w:ascii="Book Antiqua" w:eastAsia="Book Antiqua" w:hAnsi="Book Antiqua" w:cs="Book Antiqua"/>
          <w:b/>
          <w:bCs/>
          <w:i/>
          <w:iCs/>
          <w:color w:val="000000"/>
          <w:szCs w:val="21"/>
        </w:rPr>
        <w:t>Ablation</w:t>
      </w:r>
    </w:p>
    <w:p w14:paraId="40C8906D" w14:textId="71577208" w:rsidR="00A77B3E" w:rsidRDefault="00DB0EE1" w:rsidP="00C00A43">
      <w:pPr>
        <w:spacing w:line="360" w:lineRule="auto"/>
        <w:jc w:val="both"/>
      </w:pPr>
      <w:r>
        <w:rPr>
          <w:rFonts w:ascii="Book Antiqua" w:eastAsia="Book Antiqua" w:hAnsi="Book Antiqua" w:cs="Book Antiqua"/>
          <w:color w:val="000000"/>
          <w:szCs w:val="21"/>
        </w:rPr>
        <w:t>Ablation induces tumor necrosis by temperature modification (radiofrequency, microwave, laser, or cryoablation) or injection of chemical agents (most frequently ethanol). Radiofrequency ablation (RFA) is the first-line ablation for primary HCC, and the application of RFA in treatment of extrahepatic metastatic HCC to the lung, bone, adrenal glands</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other sites has been reported in previous studies</w:t>
      </w:r>
      <w:r>
        <w:rPr>
          <w:rFonts w:ascii="Book Antiqua" w:eastAsia="Book Antiqua" w:hAnsi="Book Antiqua" w:cs="Book Antiqua"/>
          <w:color w:val="000000"/>
          <w:szCs w:val="26"/>
          <w:vertAlign w:val="superscript"/>
        </w:rPr>
        <w:t>[74,75]</w:t>
      </w:r>
      <w:r>
        <w:rPr>
          <w:rFonts w:ascii="Book Antiqua" w:eastAsia="Book Antiqua" w:hAnsi="Book Antiqua" w:cs="Book Antiqua"/>
          <w:color w:val="000000"/>
          <w:szCs w:val="21"/>
        </w:rPr>
        <w:t>. Other ablative modalities, including percutaneous ethanol injection, microwave ablation, laser ablation</w:t>
      </w:r>
      <w:r w:rsidR="001D34B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cryoablation, have also been reported being applied in EHM</w:t>
      </w:r>
      <w:r>
        <w:rPr>
          <w:rFonts w:ascii="Book Antiqua" w:eastAsia="Book Antiqua" w:hAnsi="Book Antiqua" w:cs="Book Antiqua"/>
          <w:color w:val="000000"/>
          <w:szCs w:val="26"/>
          <w:vertAlign w:val="superscript"/>
        </w:rPr>
        <w:t>[76-79]</w:t>
      </w:r>
      <w:r>
        <w:rPr>
          <w:rFonts w:ascii="Book Antiqua" w:eastAsia="Book Antiqua" w:hAnsi="Book Antiqua" w:cs="Book Antiqua"/>
          <w:color w:val="000000"/>
          <w:szCs w:val="21"/>
        </w:rPr>
        <w:t>.</w:t>
      </w:r>
    </w:p>
    <w:p w14:paraId="69597518" w14:textId="3C01B002" w:rsidR="00A77B3E" w:rsidRDefault="00C00A43" w:rsidP="00C00A43">
      <w:pPr>
        <w:spacing w:line="360" w:lineRule="auto"/>
        <w:ind w:firstLineChars="100" w:firstLine="240"/>
        <w:jc w:val="both"/>
      </w:pPr>
      <w:r w:rsidRPr="00FC58BB">
        <w:rPr>
          <w:rFonts w:ascii="Book Antiqua" w:eastAsia="Book Antiqua" w:hAnsi="Book Antiqua" w:cs="Book Antiqua"/>
          <w:color w:val="000000"/>
        </w:rPr>
        <w:t>Computed tomography</w:t>
      </w:r>
      <w:r w:rsidR="00DB0EE1">
        <w:rPr>
          <w:rFonts w:ascii="Book Antiqua" w:eastAsia="Book Antiqua" w:hAnsi="Book Antiqua" w:cs="Book Antiqua"/>
          <w:color w:val="000000"/>
          <w:szCs w:val="21"/>
        </w:rPr>
        <w:t xml:space="preserve">-guided RFA has been demonstrated as a safe and effective therapeutic option for unresectable metastatic HCC to </w:t>
      </w:r>
      <w:r w:rsidR="00C70323">
        <w:rPr>
          <w:rFonts w:ascii="Book Antiqua" w:eastAsia="Book Antiqua" w:hAnsi="Book Antiqua" w:cs="Book Antiqua"/>
          <w:color w:val="000000"/>
          <w:szCs w:val="21"/>
        </w:rPr>
        <w:t xml:space="preserve">the </w:t>
      </w:r>
      <w:r w:rsidR="00DB0EE1">
        <w:rPr>
          <w:rFonts w:ascii="Book Antiqua" w:eastAsia="Book Antiqua" w:hAnsi="Book Antiqua" w:cs="Book Antiqua"/>
          <w:color w:val="000000"/>
          <w:szCs w:val="21"/>
        </w:rPr>
        <w:t>lung, with</w:t>
      </w:r>
      <w:r w:rsidR="00C70323">
        <w:rPr>
          <w:rFonts w:ascii="Book Antiqua" w:eastAsia="Book Antiqua" w:hAnsi="Book Antiqua" w:cs="Book Antiqua"/>
          <w:color w:val="000000"/>
          <w:szCs w:val="21"/>
        </w:rPr>
        <w:t xml:space="preserve"> </w:t>
      </w:r>
      <w:r w:rsidR="00DB0EE1">
        <w:rPr>
          <w:rFonts w:ascii="Book Antiqua" w:eastAsia="Book Antiqua" w:hAnsi="Book Antiqua" w:cs="Book Antiqua"/>
          <w:color w:val="000000"/>
          <w:szCs w:val="21"/>
        </w:rPr>
        <w:t>reported 1- and 3-year OS rates ranging from 73.4% to 88.5%, and from 30% to 69.8%, respectively</w:t>
      </w:r>
      <w:r w:rsidR="00DB0EE1">
        <w:rPr>
          <w:rFonts w:ascii="Book Antiqua" w:eastAsia="Book Antiqua" w:hAnsi="Book Antiqua" w:cs="Book Antiqua"/>
          <w:color w:val="000000"/>
          <w:szCs w:val="26"/>
          <w:vertAlign w:val="superscript"/>
        </w:rPr>
        <w:t>[80</w:t>
      </w:r>
      <w:r>
        <w:rPr>
          <w:rFonts w:ascii="Book Antiqua" w:eastAsia="Book Antiqua" w:hAnsi="Book Antiqua" w:cs="Book Antiqua"/>
          <w:color w:val="000000"/>
          <w:szCs w:val="26"/>
          <w:vertAlign w:val="superscript"/>
        </w:rPr>
        <w:t>-</w:t>
      </w:r>
      <w:r w:rsidR="00DB0EE1">
        <w:rPr>
          <w:rFonts w:ascii="Book Antiqua" w:eastAsia="Book Antiqua" w:hAnsi="Book Antiqua" w:cs="Book Antiqua"/>
          <w:color w:val="000000"/>
          <w:szCs w:val="26"/>
          <w:vertAlign w:val="superscript"/>
        </w:rPr>
        <w:t>82]</w:t>
      </w:r>
      <w:r w:rsidR="00DB0EE1">
        <w:rPr>
          <w:rFonts w:ascii="Book Antiqua" w:eastAsia="Book Antiqua" w:hAnsi="Book Antiqua" w:cs="Book Antiqua"/>
          <w:color w:val="000000"/>
          <w:szCs w:val="21"/>
        </w:rPr>
        <w:t>. For lymph node metastases, especially to retroperitoneal space which is considered unresectable, minimally-invasive ablation would be an optimal option</w:t>
      </w:r>
      <w:r w:rsidR="00DB0EE1">
        <w:rPr>
          <w:rFonts w:ascii="Book Antiqua" w:eastAsia="Book Antiqua" w:hAnsi="Book Antiqua" w:cs="Book Antiqua"/>
          <w:color w:val="000000"/>
          <w:szCs w:val="26"/>
          <w:vertAlign w:val="superscript"/>
        </w:rPr>
        <w:t>[83,84]</w:t>
      </w:r>
      <w:r w:rsidR="00DB0EE1">
        <w:rPr>
          <w:rFonts w:ascii="Book Antiqua" w:eastAsia="Book Antiqua" w:hAnsi="Book Antiqua" w:cs="Book Antiqua"/>
          <w:color w:val="000000"/>
          <w:szCs w:val="21"/>
        </w:rPr>
        <w:t xml:space="preserve">. For bone metastases from HCC, pain relief could be achieved by RFA in most patients, regardless </w:t>
      </w:r>
      <w:r w:rsidR="00C70323">
        <w:rPr>
          <w:rFonts w:ascii="Book Antiqua" w:eastAsia="Book Antiqua" w:hAnsi="Book Antiqua" w:cs="Book Antiqua"/>
          <w:color w:val="000000"/>
          <w:szCs w:val="21"/>
        </w:rPr>
        <w:t xml:space="preserve">of </w:t>
      </w:r>
      <w:r w:rsidR="00DB0EE1">
        <w:rPr>
          <w:rFonts w:ascii="Book Antiqua" w:eastAsia="Book Antiqua" w:hAnsi="Book Antiqua" w:cs="Book Antiqua"/>
          <w:color w:val="000000"/>
          <w:szCs w:val="21"/>
        </w:rPr>
        <w:t>a poor 3-year OS rate at 10.0%</w:t>
      </w:r>
      <w:r w:rsidR="00DB0EE1">
        <w:rPr>
          <w:rFonts w:ascii="Book Antiqua" w:eastAsia="Book Antiqua" w:hAnsi="Book Antiqua" w:cs="Book Antiqua"/>
          <w:color w:val="000000"/>
          <w:szCs w:val="26"/>
          <w:vertAlign w:val="superscript"/>
        </w:rPr>
        <w:t>[85,86]</w:t>
      </w:r>
      <w:r w:rsidR="00DB0EE1">
        <w:rPr>
          <w:rFonts w:ascii="Book Antiqua" w:eastAsia="Book Antiqua" w:hAnsi="Book Antiqua" w:cs="Book Antiqua"/>
          <w:color w:val="000000"/>
          <w:szCs w:val="21"/>
        </w:rPr>
        <w:t xml:space="preserve">. Moreover, according to experience from our center, management of metastasis to </w:t>
      </w:r>
      <w:r w:rsidR="00C70323">
        <w:rPr>
          <w:rFonts w:ascii="Book Antiqua" w:eastAsia="Book Antiqua" w:hAnsi="Book Antiqua" w:cs="Book Antiqua"/>
          <w:color w:val="000000"/>
          <w:szCs w:val="21"/>
        </w:rPr>
        <w:t xml:space="preserve">the </w:t>
      </w:r>
      <w:r w:rsidR="00DB0EE1">
        <w:rPr>
          <w:rFonts w:ascii="Book Antiqua" w:eastAsia="Book Antiqua" w:hAnsi="Book Antiqua" w:cs="Book Antiqua"/>
          <w:color w:val="000000"/>
          <w:szCs w:val="21"/>
        </w:rPr>
        <w:t xml:space="preserve">adrenal gland by RFA could achieve </w:t>
      </w:r>
      <w:r w:rsidR="00C70323">
        <w:rPr>
          <w:rFonts w:ascii="Book Antiqua" w:eastAsia="Book Antiqua" w:hAnsi="Book Antiqua" w:cs="Book Antiqua"/>
          <w:color w:val="000000"/>
          <w:szCs w:val="21"/>
        </w:rPr>
        <w:t xml:space="preserve">a </w:t>
      </w:r>
      <w:r w:rsidR="00DB0EE1">
        <w:rPr>
          <w:rFonts w:ascii="Book Antiqua" w:eastAsia="Book Antiqua" w:hAnsi="Book Antiqua" w:cs="Book Antiqua"/>
          <w:color w:val="000000"/>
          <w:szCs w:val="21"/>
        </w:rPr>
        <w:t>high technical success rate and low complication rate of 86.4% and 4.5%, respectively</w:t>
      </w:r>
      <w:r w:rsidR="00DB0EE1">
        <w:rPr>
          <w:rFonts w:ascii="Book Antiqua" w:eastAsia="Book Antiqua" w:hAnsi="Book Antiqua" w:cs="Book Antiqua"/>
          <w:color w:val="000000"/>
          <w:szCs w:val="26"/>
          <w:vertAlign w:val="superscript"/>
        </w:rPr>
        <w:t>[87]</w:t>
      </w:r>
      <w:r w:rsidR="00DB0EE1">
        <w:rPr>
          <w:rFonts w:ascii="Book Antiqua" w:eastAsia="Book Antiqua" w:hAnsi="Book Antiqua" w:cs="Book Antiqua"/>
          <w:color w:val="000000"/>
          <w:szCs w:val="21"/>
        </w:rPr>
        <w:t>.</w:t>
      </w:r>
    </w:p>
    <w:p w14:paraId="27EE0F35" w14:textId="34C405EC" w:rsidR="00A77B3E" w:rsidRDefault="00DB0EE1" w:rsidP="00C00A43">
      <w:pPr>
        <w:spacing w:line="360" w:lineRule="auto"/>
        <w:ind w:firstLineChars="100" w:firstLine="240"/>
        <w:jc w:val="both"/>
      </w:pPr>
      <w:r>
        <w:rPr>
          <w:rFonts w:ascii="Book Antiqua" w:eastAsia="Book Antiqua" w:hAnsi="Book Antiqua" w:cs="Book Antiqua"/>
          <w:color w:val="000000"/>
          <w:szCs w:val="21"/>
        </w:rPr>
        <w:t>To conclude, RFA has demonstrated several advantages, including high technical success rate, obvious relief of symptoms, minimal invasiveness</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safety, which makes it an option of alternative treatment in patients who are not potential candidates to surgery.</w:t>
      </w:r>
    </w:p>
    <w:p w14:paraId="72CA36E6" w14:textId="77777777" w:rsidR="00A77B3E" w:rsidRDefault="00A77B3E" w:rsidP="00C00A43">
      <w:pPr>
        <w:spacing w:line="360" w:lineRule="auto"/>
        <w:jc w:val="both"/>
      </w:pPr>
    </w:p>
    <w:p w14:paraId="52A8FCCE"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Radiotherapy</w:t>
      </w:r>
    </w:p>
    <w:p w14:paraId="37F7505D" w14:textId="40D2FA7D" w:rsidR="00A77B3E" w:rsidRDefault="00DB0EE1" w:rsidP="00C00A43">
      <w:pPr>
        <w:spacing w:line="360" w:lineRule="auto"/>
        <w:jc w:val="both"/>
      </w:pPr>
      <w:r>
        <w:rPr>
          <w:rFonts w:ascii="Book Antiqua" w:eastAsia="Book Antiqua" w:hAnsi="Book Antiqua" w:cs="Book Antiqua"/>
          <w:color w:val="000000"/>
          <w:szCs w:val="21"/>
        </w:rPr>
        <w:t>Radiation therapy has been shown to be adaptable for various stages of HCC</w:t>
      </w:r>
      <w:r>
        <w:rPr>
          <w:rFonts w:ascii="Book Antiqua" w:eastAsia="Book Antiqua" w:hAnsi="Book Antiqua" w:cs="Book Antiqua"/>
          <w:color w:val="000000"/>
          <w:szCs w:val="26"/>
          <w:vertAlign w:val="superscript"/>
        </w:rPr>
        <w:t>[88]</w:t>
      </w:r>
      <w:r>
        <w:rPr>
          <w:rFonts w:ascii="Book Antiqua" w:eastAsia="Book Antiqua" w:hAnsi="Book Antiqua" w:cs="Book Antiqua"/>
          <w:color w:val="000000"/>
          <w:szCs w:val="21"/>
        </w:rPr>
        <w:t xml:space="preserve">. For those with extrahepatic lesions spreading to sites where invasive modalities such as surgical resection and ablation are not available, the non-invasive radiotherapy has shown its safety and efficacy with palliative intention. A study enrolling 12 patients with pulmonary metastatic HCC has shown that significant symptom relief (completely or partially) in most patients with an objective response of 76.9% after external beam radiotherapy was </w:t>
      </w:r>
      <w:r w:rsidR="00C70323">
        <w:rPr>
          <w:rFonts w:ascii="Book Antiqua" w:eastAsia="Book Antiqua" w:hAnsi="Book Antiqua" w:cs="Book Antiqua"/>
          <w:color w:val="000000"/>
          <w:szCs w:val="21"/>
        </w:rPr>
        <w:t>achieved</w:t>
      </w:r>
      <w:r>
        <w:rPr>
          <w:rFonts w:ascii="Book Antiqua" w:eastAsia="Book Antiqua" w:hAnsi="Book Antiqua" w:cs="Book Antiqua"/>
          <w:color w:val="000000"/>
          <w:szCs w:val="21"/>
        </w:rPr>
        <w:t>, although another study has demonstrated that symptomatic radiation pneumonitis is a common complication with a morbidity of 65.2%</w:t>
      </w:r>
      <w:r>
        <w:rPr>
          <w:rFonts w:ascii="Book Antiqua" w:eastAsia="Book Antiqua" w:hAnsi="Book Antiqua" w:cs="Book Antiqua"/>
          <w:color w:val="000000"/>
          <w:szCs w:val="26"/>
          <w:vertAlign w:val="superscript"/>
        </w:rPr>
        <w:t>[89,90]</w:t>
      </w:r>
      <w:r>
        <w:rPr>
          <w:rFonts w:ascii="Book Antiqua" w:eastAsia="Book Antiqua" w:hAnsi="Book Antiqua" w:cs="Book Antiqua"/>
          <w:color w:val="000000"/>
          <w:szCs w:val="21"/>
        </w:rPr>
        <w:t>. For lymph node metastasis, radiotherapy could palliate symptoms with a pooled response rate of 73.1%</w:t>
      </w:r>
      <w:r>
        <w:rPr>
          <w:rFonts w:ascii="Book Antiqua" w:eastAsia="Book Antiqua" w:hAnsi="Book Antiqua" w:cs="Book Antiqua"/>
          <w:color w:val="000000"/>
          <w:szCs w:val="26"/>
          <w:vertAlign w:val="superscript"/>
        </w:rPr>
        <w:t>[91]</w:t>
      </w:r>
      <w:r>
        <w:rPr>
          <w:rFonts w:ascii="Book Antiqua" w:eastAsia="Book Antiqua" w:hAnsi="Book Antiqua" w:cs="Book Antiqua"/>
          <w:color w:val="000000"/>
          <w:szCs w:val="21"/>
        </w:rPr>
        <w:t>. Delivered by intensity-modulated radiotherapy (IMRT), excellent local control of metastatic lymph node</w:t>
      </w:r>
      <w:r w:rsidR="00C70323">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was achieved with minimal toxicity, with 1-year local progress</w:t>
      </w:r>
      <w:r w:rsidR="00C70323">
        <w:rPr>
          <w:rFonts w:ascii="Book Antiqua" w:eastAsia="Book Antiqua" w:hAnsi="Book Antiqua" w:cs="Book Antiqua"/>
          <w:color w:val="000000"/>
          <w:szCs w:val="21"/>
        </w:rPr>
        <w:t>ion-free</w:t>
      </w:r>
      <w:r>
        <w:rPr>
          <w:rFonts w:ascii="Book Antiqua" w:eastAsia="Book Antiqua" w:hAnsi="Book Antiqua" w:cs="Book Antiqua"/>
          <w:color w:val="000000"/>
          <w:szCs w:val="21"/>
        </w:rPr>
        <w:t xml:space="preserve"> rate</w:t>
      </w:r>
      <w:r w:rsidR="00C7032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1-year PFS rate</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1-year OS rate of 100%, 46.7</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12.9%</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73.3</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C00A4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11.4%, respectively</w:t>
      </w:r>
      <w:r>
        <w:rPr>
          <w:rFonts w:ascii="Book Antiqua" w:eastAsia="Book Antiqua" w:hAnsi="Book Antiqua" w:cs="Book Antiqua"/>
          <w:color w:val="000000"/>
          <w:szCs w:val="26"/>
          <w:vertAlign w:val="superscript"/>
        </w:rPr>
        <w:t>[92]</w:t>
      </w:r>
      <w:r>
        <w:rPr>
          <w:rFonts w:ascii="Book Antiqua" w:eastAsia="Book Antiqua" w:hAnsi="Book Antiqua" w:cs="Book Antiqua"/>
          <w:color w:val="000000"/>
          <w:szCs w:val="21"/>
        </w:rPr>
        <w:t>. Compared with non-</w:t>
      </w:r>
      <w:r w:rsidR="00C70323">
        <w:rPr>
          <w:rFonts w:ascii="Book Antiqua" w:eastAsia="Book Antiqua" w:hAnsi="Book Antiqua" w:cs="Book Antiqua"/>
          <w:color w:val="000000"/>
          <w:szCs w:val="21"/>
        </w:rPr>
        <w:t>imaging</w:t>
      </w:r>
      <w:r>
        <w:rPr>
          <w:rFonts w:ascii="Book Antiqua" w:eastAsia="Book Antiqua" w:hAnsi="Book Antiqua" w:cs="Book Antiqua"/>
          <w:color w:val="000000"/>
          <w:szCs w:val="21"/>
        </w:rPr>
        <w:t>-guided</w:t>
      </w:r>
      <w:r w:rsidR="00C70323" w:rsidRPr="00C70323">
        <w:rPr>
          <w:rFonts w:ascii="Book Antiqua" w:eastAsia="Book Antiqua" w:hAnsi="Book Antiqua" w:cs="Book Antiqua"/>
          <w:color w:val="000000"/>
          <w:szCs w:val="21"/>
        </w:rPr>
        <w:t xml:space="preserve"> </w:t>
      </w:r>
      <w:r w:rsidR="00C70323">
        <w:rPr>
          <w:rFonts w:ascii="Book Antiqua" w:eastAsia="Book Antiqua" w:hAnsi="Book Antiqua" w:cs="Book Antiqua"/>
          <w:color w:val="000000"/>
          <w:szCs w:val="21"/>
        </w:rPr>
        <w:t>IMRT</w:t>
      </w:r>
      <w:r>
        <w:rPr>
          <w:rFonts w:ascii="Book Antiqua" w:eastAsia="Book Antiqua" w:hAnsi="Book Antiqua" w:cs="Book Antiqua"/>
          <w:color w:val="000000"/>
          <w:szCs w:val="21"/>
        </w:rPr>
        <w:t xml:space="preserve">, image-guided IMRT resulted in </w:t>
      </w:r>
      <w:r w:rsidR="00C70323">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slightly higher delivery dose and showed </w:t>
      </w:r>
      <w:r w:rsidR="00C70323">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superior short-term survival and local control of lymph node metastasis</w:t>
      </w:r>
      <w:r>
        <w:rPr>
          <w:rFonts w:ascii="Book Antiqua" w:eastAsia="Book Antiqua" w:hAnsi="Book Antiqua" w:cs="Book Antiqua"/>
          <w:color w:val="000000"/>
          <w:szCs w:val="26"/>
          <w:vertAlign w:val="superscript"/>
        </w:rPr>
        <w:t>[93]</w:t>
      </w:r>
      <w:r>
        <w:rPr>
          <w:rFonts w:ascii="Book Antiqua" w:eastAsia="Book Antiqua" w:hAnsi="Book Antiqua" w:cs="Book Antiqua"/>
          <w:color w:val="000000"/>
          <w:szCs w:val="21"/>
        </w:rPr>
        <w:t>. A maximal dose prescription of 50 Gy was recommended for palliative purposes to relieve symptoms and minimize radiotherapy-induced morbidity</w:t>
      </w:r>
      <w:r>
        <w:rPr>
          <w:rFonts w:ascii="Book Antiqua" w:eastAsia="Book Antiqua" w:hAnsi="Book Antiqua" w:cs="Book Antiqua"/>
          <w:color w:val="000000"/>
          <w:szCs w:val="26"/>
          <w:vertAlign w:val="superscript"/>
        </w:rPr>
        <w:t>[94-96]</w:t>
      </w:r>
      <w:r>
        <w:rPr>
          <w:rFonts w:ascii="Book Antiqua" w:eastAsia="Book Antiqua" w:hAnsi="Book Antiqua" w:cs="Book Antiqua"/>
          <w:color w:val="000000"/>
          <w:szCs w:val="21"/>
        </w:rPr>
        <w:t xml:space="preserve">. For adrenal gland metastasis, Yuan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[97]</w:t>
      </w:r>
      <w:r>
        <w:rPr>
          <w:rFonts w:ascii="Book Antiqua" w:eastAsia="Book Antiqua" w:hAnsi="Book Antiqua" w:cs="Book Antiqua"/>
          <w:color w:val="000000"/>
          <w:szCs w:val="21"/>
        </w:rPr>
        <w:t xml:space="preserve"> and Jung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[98]</w:t>
      </w:r>
      <w:r>
        <w:rPr>
          <w:rFonts w:ascii="Book Antiqua" w:eastAsia="Book Antiqua" w:hAnsi="Book Antiqua" w:cs="Book Antiqua"/>
          <w:color w:val="000000"/>
          <w:szCs w:val="21"/>
        </w:rPr>
        <w:t xml:space="preserve"> reported an objective response of 55.6% and 38.3%, and 1-year OS rates of 59.9% and 53.1%, respectively, while Zhou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[99]</w:t>
      </w:r>
      <w:r>
        <w:rPr>
          <w:rFonts w:ascii="Book Antiqua" w:eastAsia="Book Antiqua" w:hAnsi="Book Antiqua" w:cs="Book Antiqua"/>
          <w:color w:val="000000"/>
          <w:szCs w:val="21"/>
        </w:rPr>
        <w:t xml:space="preserve"> reported a 100% pain relief after completion of radiotherapy with reasonable safety. For bone metastasis, the pain relief rate ranging from 77% to 96.7% has been reported, although treatment-related lymphopenia associated with </w:t>
      </w:r>
      <w:r w:rsidR="00C70323">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poor survival in patients receiving radiotherapy for bone metastasis from HCC needed to be attended</w:t>
      </w:r>
      <w:r>
        <w:rPr>
          <w:rFonts w:ascii="Book Antiqua" w:eastAsia="Book Antiqua" w:hAnsi="Book Antiqua" w:cs="Book Antiqua"/>
          <w:color w:val="000000"/>
          <w:szCs w:val="26"/>
          <w:vertAlign w:val="superscript"/>
        </w:rPr>
        <w:t>[100</w:t>
      </w:r>
      <w:r w:rsidR="00C00A43">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103]</w:t>
      </w:r>
      <w:r>
        <w:rPr>
          <w:rFonts w:ascii="Book Antiqua" w:eastAsia="Book Antiqua" w:hAnsi="Book Antiqua" w:cs="Book Antiqua"/>
          <w:color w:val="000000"/>
          <w:szCs w:val="21"/>
        </w:rPr>
        <w:t xml:space="preserve">. For brain metastasis which is rare with </w:t>
      </w:r>
      <w:r w:rsidR="00C70323">
        <w:rPr>
          <w:rFonts w:ascii="Book Antiqua" w:eastAsia="Book Antiqua" w:hAnsi="Book Antiqua" w:cs="Book Antiqua"/>
          <w:color w:val="000000"/>
          <w:szCs w:val="21"/>
        </w:rPr>
        <w:t xml:space="preserve">an </w:t>
      </w:r>
      <w:r>
        <w:rPr>
          <w:rFonts w:ascii="Book Antiqua" w:eastAsia="Book Antiqua" w:hAnsi="Book Antiqua" w:cs="Book Antiqua"/>
          <w:color w:val="000000"/>
          <w:szCs w:val="21"/>
        </w:rPr>
        <w:t>extremely poor prognosis</w:t>
      </w:r>
      <w:r w:rsidR="00C7032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median OS around 3 mo</w:t>
      </w:r>
      <w:r w:rsidR="00C70323">
        <w:rPr>
          <w:rFonts w:ascii="Book Antiqua" w:eastAsia="Book Antiqua" w:hAnsi="Book Antiqua" w:cs="Book Antiqua"/>
          <w:color w:val="000000"/>
          <w:szCs w:val="21"/>
        </w:rPr>
        <w:t>)</w:t>
      </w:r>
      <w:r>
        <w:rPr>
          <w:rFonts w:ascii="Book Antiqua" w:eastAsia="Book Antiqua" w:hAnsi="Book Antiqua" w:cs="Book Antiqua"/>
          <w:color w:val="000000"/>
          <w:szCs w:val="21"/>
        </w:rPr>
        <w:t>, palliative treatments using whole-brain radiotherapy stereotactic radiosurgery might improve survival by controlling intracranial tumor and preventing intracranial hemorrhage</w:t>
      </w:r>
      <w:r>
        <w:rPr>
          <w:rFonts w:ascii="Book Antiqua" w:eastAsia="Book Antiqua" w:hAnsi="Book Antiqua" w:cs="Book Antiqua"/>
          <w:color w:val="000000"/>
          <w:szCs w:val="26"/>
          <w:vertAlign w:val="superscript"/>
        </w:rPr>
        <w:t>[104-107]</w:t>
      </w:r>
      <w:r>
        <w:rPr>
          <w:rFonts w:ascii="Book Antiqua" w:eastAsia="Book Antiqua" w:hAnsi="Book Antiqua" w:cs="Book Antiqua"/>
          <w:color w:val="000000"/>
          <w:szCs w:val="21"/>
        </w:rPr>
        <w:t>.</w:t>
      </w:r>
    </w:p>
    <w:p w14:paraId="25D2DE59" w14:textId="78E06B4B" w:rsidR="00A77B3E" w:rsidRDefault="00DB0EE1" w:rsidP="00C00A43">
      <w:pPr>
        <w:spacing w:line="360" w:lineRule="auto"/>
        <w:ind w:firstLineChars="100" w:firstLine="240"/>
        <w:jc w:val="both"/>
      </w:pPr>
      <w:r>
        <w:rPr>
          <w:rFonts w:ascii="Book Antiqua" w:eastAsia="Book Antiqua" w:hAnsi="Book Antiqua" w:cs="Book Antiqua"/>
          <w:color w:val="000000"/>
          <w:szCs w:val="21"/>
        </w:rPr>
        <w:t xml:space="preserve">To conclude, radiotherapy has attracted increasing attention in recent years as a treatment modality </w:t>
      </w:r>
      <w:r w:rsidR="00C70323">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HCC. For extrahepatic lesions, the application of radiotherapy was for palliative purposes such as local tumor control and pain relief. Therefore, dose prescription should be limited to avoid adverse treatment-related events.</w:t>
      </w:r>
    </w:p>
    <w:p w14:paraId="25A8B8A7" w14:textId="77777777" w:rsidR="00A77B3E" w:rsidRDefault="00A77B3E" w:rsidP="00C00A43">
      <w:pPr>
        <w:spacing w:line="360" w:lineRule="auto"/>
        <w:jc w:val="both"/>
      </w:pPr>
    </w:p>
    <w:p w14:paraId="54C09A9C" w14:textId="77777777" w:rsidR="00A77B3E" w:rsidRPr="00C00A43" w:rsidRDefault="00DB0EE1">
      <w:pPr>
        <w:spacing w:line="360" w:lineRule="auto"/>
        <w:jc w:val="both"/>
        <w:rPr>
          <w:i/>
          <w:iCs/>
        </w:rPr>
      </w:pPr>
      <w:r w:rsidRPr="00C00A43">
        <w:rPr>
          <w:rFonts w:ascii="Book Antiqua" w:eastAsia="Book Antiqua" w:hAnsi="Book Antiqua" w:cs="Book Antiqua"/>
          <w:b/>
          <w:bCs/>
          <w:i/>
          <w:iCs/>
          <w:color w:val="000000"/>
          <w:szCs w:val="21"/>
        </w:rPr>
        <w:t>TACE</w:t>
      </w:r>
    </w:p>
    <w:p w14:paraId="7BF8387F" w14:textId="0960FCC6" w:rsidR="00A77B3E" w:rsidRDefault="00DB0EE1" w:rsidP="00C00A43">
      <w:pPr>
        <w:spacing w:line="360" w:lineRule="auto"/>
        <w:jc w:val="both"/>
      </w:pPr>
      <w:r>
        <w:rPr>
          <w:rFonts w:ascii="Book Antiqua" w:eastAsia="Book Antiqua" w:hAnsi="Book Antiqua" w:cs="Book Antiqua"/>
          <w:color w:val="000000"/>
          <w:szCs w:val="21"/>
        </w:rPr>
        <w:t>The application of TACE in extrahepatic lesions of HCC was, less reported in previous studies, involving metastatic sites of</w:t>
      </w:r>
      <w:r w:rsidR="006B73D7">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lung, lymph node</w:t>
      </w:r>
      <w:r w:rsidR="006B73D7">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and adrenal gland</w:t>
      </w:r>
      <w:r>
        <w:rPr>
          <w:rFonts w:ascii="Book Antiqua" w:eastAsia="Book Antiqua" w:hAnsi="Book Antiqua" w:cs="Book Antiqua"/>
          <w:color w:val="000000"/>
          <w:szCs w:val="26"/>
          <w:vertAlign w:val="superscript"/>
        </w:rPr>
        <w:t>[108-110]</w:t>
      </w:r>
      <w:r>
        <w:rPr>
          <w:rFonts w:ascii="Book Antiqua" w:eastAsia="Book Antiqua" w:hAnsi="Book Antiqua" w:cs="Book Antiqua"/>
          <w:color w:val="000000"/>
          <w:szCs w:val="21"/>
        </w:rPr>
        <w:t>. We assume that the reason why TACE was less investigated in extrahepatic lesions is that TACE procedure is technically difficult, since the feeding arteries might be too thin to be accessed.</w:t>
      </w:r>
    </w:p>
    <w:p w14:paraId="154B6563" w14:textId="0700C807" w:rsidR="00A77B3E" w:rsidRDefault="00DB0EE1" w:rsidP="00C00A43">
      <w:pPr>
        <w:spacing w:line="360" w:lineRule="auto"/>
        <w:ind w:firstLineChars="100" w:firstLine="240"/>
        <w:jc w:val="both"/>
      </w:pPr>
      <w:r>
        <w:rPr>
          <w:rFonts w:ascii="Book Antiqua" w:eastAsia="Book Antiqua" w:hAnsi="Book Antiqua" w:cs="Book Antiqua"/>
          <w:color w:val="000000"/>
          <w:szCs w:val="21"/>
        </w:rPr>
        <w:t xml:space="preserve">Since most patients with advanced HCC would die of liver failure due to intrahepatic progression, locoregional management of EHM </w:t>
      </w:r>
      <w:r w:rsidR="006B73D7">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adopted </w:t>
      </w:r>
      <w:r w:rsidR="006B73D7">
        <w:rPr>
          <w:rFonts w:ascii="Book Antiqua" w:eastAsia="Book Antiqua" w:hAnsi="Book Antiqua" w:cs="Book Antiqua"/>
          <w:color w:val="000000"/>
          <w:szCs w:val="21"/>
        </w:rPr>
        <w:t xml:space="preserve">for the </w:t>
      </w:r>
      <w:r>
        <w:rPr>
          <w:rFonts w:ascii="Book Antiqua" w:eastAsia="Book Antiqua" w:hAnsi="Book Antiqua" w:cs="Book Antiqua"/>
          <w:color w:val="000000"/>
          <w:szCs w:val="21"/>
        </w:rPr>
        <w:t>palliative purpose in most cases. Although some studies have demonstrated the potential survival benefit by locoregional control of EHM, patients from such studies were carefully selected with strict inclusion criteria of preserved liver function (</w:t>
      </w:r>
      <w:r w:rsidRPr="00C00A43">
        <w:rPr>
          <w:rFonts w:ascii="Book Antiqua" w:eastAsia="Book Antiqua" w:hAnsi="Book Antiqua" w:cs="Book Antiqua"/>
          <w:i/>
          <w:iCs/>
          <w:color w:val="000000"/>
          <w:szCs w:val="21"/>
        </w:rPr>
        <w:t>e.g.</w:t>
      </w:r>
      <w:r>
        <w:rPr>
          <w:rFonts w:ascii="Book Antiqua" w:eastAsia="Book Antiqua" w:hAnsi="Book Antiqua" w:cs="Book Antiqua"/>
          <w:color w:val="000000"/>
          <w:szCs w:val="21"/>
        </w:rPr>
        <w:t xml:space="preserve">, Child-Pugh grade A), oligometastatic lesion to a single organ, </w:t>
      </w:r>
      <w:r w:rsidR="006B73D7">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absence or remission of intrahepatic lesions. Moreover, most studies were in small sample size and retrospective</w:t>
      </w:r>
      <w:r w:rsidR="006B73D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 unavoidable bias. Therefore, the efficacy of locoregional therapy in prolonging survival of advanced HCC is still pending.</w:t>
      </w:r>
    </w:p>
    <w:p w14:paraId="087D526C" w14:textId="77777777" w:rsidR="00A77B3E" w:rsidRDefault="00A77B3E" w:rsidP="00C00A43">
      <w:pPr>
        <w:spacing w:line="360" w:lineRule="auto"/>
        <w:jc w:val="both"/>
      </w:pPr>
    </w:p>
    <w:p w14:paraId="4ACFA957" w14:textId="77777777" w:rsidR="00A77B3E" w:rsidRDefault="00DB0EE1">
      <w:pPr>
        <w:spacing w:line="360" w:lineRule="auto"/>
        <w:jc w:val="both"/>
      </w:pPr>
      <w:r>
        <w:rPr>
          <w:rFonts w:ascii="Book Antiqua" w:eastAsia="Book Antiqua" w:hAnsi="Book Antiqua" w:cs="Book Antiqua"/>
          <w:b/>
          <w:bCs/>
          <w:caps/>
          <w:color w:val="000000"/>
          <w:szCs w:val="22"/>
          <w:u w:val="single"/>
        </w:rPr>
        <w:t>Multidisciplinary therapy</w:t>
      </w:r>
    </w:p>
    <w:p w14:paraId="1BA0399C" w14:textId="44CE799E" w:rsidR="00A77B3E" w:rsidRDefault="00DB0EE1" w:rsidP="00C00A43">
      <w:pPr>
        <w:spacing w:line="360" w:lineRule="auto"/>
        <w:jc w:val="both"/>
      </w:pPr>
      <w:r>
        <w:rPr>
          <w:rFonts w:ascii="Book Antiqua" w:eastAsia="Book Antiqua" w:hAnsi="Book Antiqua" w:cs="Book Antiqua"/>
          <w:color w:val="000000"/>
          <w:szCs w:val="21"/>
        </w:rPr>
        <w:t xml:space="preserve">Whether patients with advanced HCC would benefit from combination of systemic therapy and locoregional management of EHM is still under debate. Compared with Sorafenib monotherapy, Sorafenib in combination with radiotherapy targeting EHM achieved better outcomes including median PFS of EHM or macrovascular invasion (13.5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3.3 mo,</w:t>
      </w:r>
      <w:r>
        <w:rPr>
          <w:rFonts w:ascii="Book Antiqua" w:eastAsia="Book Antiqua" w:hAnsi="Book Antiqua" w:cs="Book Antiqua"/>
          <w:i/>
          <w:iCs/>
          <w:color w:val="000000"/>
          <w:szCs w:val="21"/>
        </w:rPr>
        <w:t xml:space="preserve"> </w:t>
      </w:r>
      <w:r w:rsidR="002C4BD9">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 PFS of whole lesions (10.6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3.5 mo,</w:t>
      </w:r>
      <w:r>
        <w:rPr>
          <w:rFonts w:ascii="Book Antiqua" w:eastAsia="Book Antiqua" w:hAnsi="Book Antiqua" w:cs="Book Antiqua"/>
          <w:i/>
          <w:iCs/>
          <w:color w:val="000000"/>
          <w:szCs w:val="21"/>
        </w:rPr>
        <w:t xml:space="preserve">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 and OS (31.2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12.1 mo,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0.01)</w:t>
      </w:r>
      <w:r>
        <w:rPr>
          <w:rFonts w:ascii="Book Antiqua" w:eastAsia="Book Antiqua" w:hAnsi="Book Antiqua" w:cs="Book Antiqua"/>
          <w:color w:val="000000"/>
          <w:szCs w:val="26"/>
          <w:vertAlign w:val="superscript"/>
        </w:rPr>
        <w:t>[111]</w:t>
      </w:r>
      <w:r>
        <w:rPr>
          <w:rFonts w:ascii="Book Antiqua" w:eastAsia="Book Antiqua" w:hAnsi="Book Antiqua" w:cs="Book Antiqua"/>
          <w:color w:val="000000"/>
          <w:szCs w:val="21"/>
        </w:rPr>
        <w:t xml:space="preserve">. A study including HCC patients with pulmonary oligometastases showed that Sorafenib combined with regional therapies may be associated with </w:t>
      </w:r>
      <w:r w:rsidR="006B73D7">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prolonged OS (18.37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7.13 mo,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0.002) and TTP (2.93 </w:t>
      </w:r>
      <w:r w:rsidR="002C4BD9">
        <w:rPr>
          <w:rFonts w:ascii="Book Antiqua" w:eastAsia="Book Antiqua" w:hAnsi="Book Antiqua" w:cs="Book Antiqua"/>
          <w:color w:val="000000"/>
          <w:szCs w:val="21"/>
        </w:rPr>
        <w:t xml:space="preserve">mo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2.23 mo, </w:t>
      </w:r>
      <w:r w:rsidR="002C4BD9">
        <w:rPr>
          <w:rFonts w:ascii="Book Antiqua" w:eastAsia="Book Antiqua" w:hAnsi="Book Antiqua" w:cs="Book Antiqua"/>
          <w:i/>
          <w:iCs/>
          <w:color w:val="000000"/>
          <w:szCs w:val="21"/>
        </w:rPr>
        <w:t>P</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0.004), compared with Sorafenib monotherapy</w:t>
      </w:r>
      <w:r>
        <w:rPr>
          <w:rFonts w:ascii="Book Antiqua" w:eastAsia="Book Antiqua" w:hAnsi="Book Antiqua" w:cs="Book Antiqua"/>
          <w:color w:val="000000"/>
          <w:szCs w:val="26"/>
          <w:vertAlign w:val="superscript"/>
        </w:rPr>
        <w:t>[112]</w:t>
      </w:r>
      <w:r>
        <w:rPr>
          <w:rFonts w:ascii="Book Antiqua" w:eastAsia="Book Antiqua" w:hAnsi="Book Antiqua" w:cs="Book Antiqua"/>
          <w:color w:val="000000"/>
          <w:szCs w:val="21"/>
        </w:rPr>
        <w:t>. Another study showed that stereotactic body radiotherapy (SBRT) was associated with encouraging outcomes for patients with macrovascular invasion especially in those patients who received Sorafenib after radiotherapy, with a median OS of 37.9</w:t>
      </w:r>
      <w:r w:rsidR="002C4BD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w:t>
      </w:r>
      <w:r>
        <w:rPr>
          <w:rFonts w:ascii="Book Antiqua" w:eastAsia="Book Antiqua" w:hAnsi="Book Antiqua" w:cs="Book Antiqua"/>
          <w:color w:val="000000"/>
          <w:szCs w:val="26"/>
          <w:vertAlign w:val="superscript"/>
        </w:rPr>
        <w:t>[113]</w:t>
      </w:r>
      <w:r>
        <w:rPr>
          <w:rFonts w:ascii="Book Antiqua" w:eastAsia="Book Antiqua" w:hAnsi="Book Antiqua" w:cs="Book Antiqua"/>
          <w:color w:val="000000"/>
          <w:szCs w:val="21"/>
        </w:rPr>
        <w:t>. A large, multicenter, open-label, randomized controlled trial prospective clinic trial (Chinese Clinical Trial Registration No. ChiCTR1900027102) is ongoing, with the aim of evaluating the efficacy and safety of SBRT combined with Camrelizumab (a PD-1 inhibitor) and Apatinib (a VEGFR inhibitor) in HCC patients with portal vein tumor thrombosis</w:t>
      </w:r>
      <w:r>
        <w:rPr>
          <w:rFonts w:ascii="Book Antiqua" w:eastAsia="Book Antiqua" w:hAnsi="Book Antiqua" w:cs="Book Antiqua"/>
          <w:color w:val="000000"/>
          <w:szCs w:val="26"/>
          <w:vertAlign w:val="superscript"/>
        </w:rPr>
        <w:t>[114]</w:t>
      </w:r>
      <w:r>
        <w:rPr>
          <w:rFonts w:ascii="Book Antiqua" w:eastAsia="Book Antiqua" w:hAnsi="Book Antiqua" w:cs="Book Antiqua"/>
          <w:color w:val="000000"/>
          <w:szCs w:val="21"/>
        </w:rPr>
        <w:t xml:space="preserve">. The feasibility and efficacy </w:t>
      </w:r>
      <w:r w:rsidR="006B73D7">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combining systemic and locoregional therapy targeting EHM need to be verified with strong evidence supported by large clinical trials, although primary results from previous studies seem to be promising.</w:t>
      </w:r>
    </w:p>
    <w:p w14:paraId="6CCEE8B1" w14:textId="77777777" w:rsidR="00A77B3E" w:rsidRDefault="00A77B3E" w:rsidP="002C4BD9">
      <w:pPr>
        <w:spacing w:line="360" w:lineRule="auto"/>
        <w:jc w:val="both"/>
      </w:pPr>
    </w:p>
    <w:p w14:paraId="58C1B207" w14:textId="77777777" w:rsidR="00A77B3E" w:rsidRDefault="00DB0EE1">
      <w:pPr>
        <w:spacing w:line="360" w:lineRule="auto"/>
        <w:jc w:val="both"/>
      </w:pPr>
      <w:r>
        <w:rPr>
          <w:rFonts w:ascii="Book Antiqua" w:eastAsia="Book Antiqua" w:hAnsi="Book Antiqua" w:cs="Book Antiqua"/>
          <w:b/>
          <w:caps/>
          <w:color w:val="000000"/>
          <w:u w:val="single"/>
        </w:rPr>
        <w:t>CONCLUSION</w:t>
      </w:r>
    </w:p>
    <w:p w14:paraId="19D7ADC2" w14:textId="3BADAABA" w:rsidR="00A77B3E" w:rsidRDefault="00DB0EE1" w:rsidP="002C4BD9">
      <w:pPr>
        <w:spacing w:line="360" w:lineRule="auto"/>
        <w:jc w:val="both"/>
      </w:pPr>
      <w:r>
        <w:rPr>
          <w:rFonts w:ascii="Book Antiqua" w:eastAsia="Book Antiqua" w:hAnsi="Book Antiqua" w:cs="Book Antiqua"/>
          <w:color w:val="000000"/>
          <w:szCs w:val="21"/>
        </w:rPr>
        <w:t xml:space="preserve">Systemic therapy remains the standard treatment modality for patients with EHM of HCC. A rapid expansion of therapeutic options for advanced HCC has been witnessed in recent years. Nowadays, there are two approved agents (Sorafenib and Lenvatinib) as the first-line </w:t>
      </w:r>
      <w:r w:rsidR="006B73D7">
        <w:rPr>
          <w:rFonts w:ascii="Book Antiqua" w:eastAsia="Book Antiqua" w:hAnsi="Book Antiqua" w:cs="Book Antiqua"/>
          <w:color w:val="000000"/>
          <w:szCs w:val="21"/>
        </w:rPr>
        <w:t xml:space="preserve">options </w:t>
      </w:r>
      <w:r>
        <w:rPr>
          <w:rFonts w:ascii="Book Antiqua" w:eastAsia="Book Antiqua" w:hAnsi="Book Antiqua" w:cs="Book Antiqua"/>
          <w:color w:val="000000"/>
          <w:szCs w:val="21"/>
        </w:rPr>
        <w:t>and several agents (Regorafenib, Cabozantinib, Ramucirumab, Nivolumab</w:t>
      </w:r>
      <w:r w:rsidR="006B73D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Pembrolizumab) as the second-line </w:t>
      </w:r>
      <w:r w:rsidR="006B73D7">
        <w:rPr>
          <w:rFonts w:ascii="Book Antiqua" w:eastAsia="Book Antiqua" w:hAnsi="Book Antiqua" w:cs="Book Antiqua"/>
          <w:color w:val="000000"/>
          <w:szCs w:val="21"/>
        </w:rPr>
        <w:t>options</w:t>
      </w:r>
      <w:r>
        <w:rPr>
          <w:rFonts w:ascii="Book Antiqua" w:eastAsia="Book Antiqua" w:hAnsi="Book Antiqua" w:cs="Book Antiqua"/>
          <w:color w:val="000000"/>
          <w:szCs w:val="21"/>
        </w:rPr>
        <w:t>. Promising results from clinical trial of immunotherapy combining Atezolizumab and Bevacizumab may reshape the treatment landscape. Aggressive locoregional management of EHM</w:t>
      </w:r>
      <w:r w:rsidR="004114E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multidisciplinary therapy combining systemic and locoregional management of EHM have demonstrated the safety and efficacy in symptom relief and potential benefit in survival. Large, multicenter clinical trials are warranted to further verify such findings.</w:t>
      </w:r>
    </w:p>
    <w:p w14:paraId="02319E95" w14:textId="77777777" w:rsidR="00A77B3E" w:rsidRDefault="00A77B3E" w:rsidP="002C4BD9">
      <w:pPr>
        <w:spacing w:line="360" w:lineRule="auto"/>
        <w:jc w:val="both"/>
      </w:pPr>
    </w:p>
    <w:p w14:paraId="449D68F6" w14:textId="77777777" w:rsidR="00A77B3E" w:rsidRDefault="00DB0EE1" w:rsidP="002C4BD9">
      <w:pPr>
        <w:spacing w:line="360" w:lineRule="auto"/>
        <w:jc w:val="both"/>
      </w:pPr>
      <w:r>
        <w:rPr>
          <w:rFonts w:ascii="Book Antiqua" w:eastAsia="Book Antiqua" w:hAnsi="Book Antiqua" w:cs="Book Antiqua"/>
          <w:b/>
          <w:color w:val="000000"/>
        </w:rPr>
        <w:t>REFERENCES</w:t>
      </w:r>
    </w:p>
    <w:p w14:paraId="65D06D00" w14:textId="5345041C" w:rsidR="00A77B3E" w:rsidRDefault="00DB0EE1">
      <w:pPr>
        <w:spacing w:line="360" w:lineRule="auto"/>
        <w:jc w:val="both"/>
      </w:pPr>
      <w:bookmarkStart w:id="0" w:name="OLE_LINK108"/>
      <w:r>
        <w:rPr>
          <w:rFonts w:ascii="Book Antiqua" w:eastAsia="Book Antiqua" w:hAnsi="Book Antiqua" w:cs="Book Antiqua"/>
          <w:color w:val="000000"/>
        </w:rPr>
        <w:t>1</w:t>
      </w:r>
      <w:r w:rsidRPr="002A0309">
        <w:rPr>
          <w:rFonts w:ascii="Book Antiqua" w:eastAsia="Book Antiqua" w:hAnsi="Book Antiqua" w:cs="Book Antiqua"/>
          <w:color w:val="000000"/>
        </w:rPr>
        <w:t xml:space="preserve"> </w:t>
      </w:r>
      <w:r w:rsidR="002A0309" w:rsidRPr="002A0309">
        <w:rPr>
          <w:rFonts w:ascii="Book Antiqua" w:hAnsi="Book Antiqua"/>
          <w:b/>
        </w:rPr>
        <w:t>Sung H</w:t>
      </w:r>
      <w:r w:rsidR="002A0309" w:rsidRPr="002A0309">
        <w:rPr>
          <w:rFonts w:ascii="Book Antiqua" w:hAnsi="Book Antiqua"/>
        </w:rPr>
        <w:t xml:space="preserve">, Ferlay J, Siegel RL, Laversanne M, Soerjomataram I, Jemal A, Bray F. Global cancer statistics 2020: GLOBOCAN estimates of incidence and mortality worldwide for 36 cancers in 185 countries. </w:t>
      </w:r>
      <w:r w:rsidR="002A0309" w:rsidRPr="002A0309">
        <w:rPr>
          <w:rFonts w:ascii="Book Antiqua" w:hAnsi="Book Antiqua"/>
          <w:i/>
        </w:rPr>
        <w:t>CA Cancer J Clin</w:t>
      </w:r>
      <w:r w:rsidR="002A0309" w:rsidRPr="002A0309">
        <w:rPr>
          <w:rFonts w:ascii="Book Antiqua" w:hAnsi="Book Antiqua"/>
        </w:rPr>
        <w:t xml:space="preserve"> 2021;</w:t>
      </w:r>
      <w:r w:rsidR="002A0309">
        <w:rPr>
          <w:rFonts w:ascii="Book Antiqua" w:hAnsi="Book Antiqua"/>
        </w:rPr>
        <w:t xml:space="preserve"> </w:t>
      </w:r>
      <w:r w:rsidR="002A0309" w:rsidRPr="002A0309">
        <w:rPr>
          <w:rFonts w:ascii="Book Antiqua" w:hAnsi="Book Antiqua"/>
          <w:b/>
        </w:rPr>
        <w:t>71</w:t>
      </w:r>
      <w:r w:rsidR="002A0309" w:rsidRPr="002A0309">
        <w:rPr>
          <w:rFonts w:ascii="Book Antiqua" w:hAnsi="Book Antiqua"/>
        </w:rPr>
        <w:t>:</w:t>
      </w:r>
      <w:r w:rsidR="002A0309">
        <w:rPr>
          <w:rFonts w:ascii="Book Antiqua" w:hAnsi="Book Antiqua"/>
        </w:rPr>
        <w:t xml:space="preserve"> </w:t>
      </w:r>
      <w:r w:rsidR="002A0309" w:rsidRPr="002A0309">
        <w:rPr>
          <w:rFonts w:ascii="Book Antiqua" w:hAnsi="Book Antiqua"/>
        </w:rPr>
        <w:t xml:space="preserve">209–249 </w:t>
      </w:r>
      <w:r w:rsidR="002A0309">
        <w:rPr>
          <w:rFonts w:ascii="Book Antiqua" w:hAnsi="Book Antiqua"/>
        </w:rPr>
        <w:t>[</w:t>
      </w:r>
      <w:r w:rsidR="002A0309" w:rsidRPr="002A0309">
        <w:rPr>
          <w:rFonts w:ascii="Book Antiqua" w:hAnsi="Book Antiqua"/>
        </w:rPr>
        <w:t xml:space="preserve">PMID: 33538338 </w:t>
      </w:r>
      <w:r w:rsidR="002A0309">
        <w:rPr>
          <w:rFonts w:ascii="Book Antiqua" w:eastAsia="Book Antiqua" w:hAnsi="Book Antiqua" w:cs="Book Antiqua"/>
          <w:color w:val="000000"/>
        </w:rPr>
        <w:t>DOI</w:t>
      </w:r>
      <w:r w:rsidR="002A0309" w:rsidRPr="002A0309">
        <w:rPr>
          <w:rFonts w:ascii="Book Antiqua" w:hAnsi="Book Antiqua"/>
        </w:rPr>
        <w:t>: 10.3322/caac.21660</w:t>
      </w:r>
      <w:r w:rsidR="002A0309">
        <w:rPr>
          <w:rFonts w:ascii="Book Antiqua" w:hAnsi="Book Antiqua"/>
        </w:rPr>
        <w:t>]</w:t>
      </w:r>
    </w:p>
    <w:p w14:paraId="07F27C5C" w14:textId="77777777" w:rsidR="00A77B3E" w:rsidRDefault="00DB0E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Kanda M</w:t>
      </w:r>
      <w:r>
        <w:rPr>
          <w:rFonts w:ascii="Book Antiqua" w:eastAsia="Book Antiqua" w:hAnsi="Book Antiqua" w:cs="Book Antiqua"/>
          <w:color w:val="000000"/>
        </w:rPr>
        <w:t xml:space="preserve">, Tateishi R, Yoshida H, Sato T, Masuzaki R, Ohki T, Imamura J, Goto T, Yoshida H, Hamamura K, Obi S, Kanai F, Shiina S, Omata M. Extrahepatic metastasis of hepatocellular carcinoma: incidence and risk factors.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1256-1263 [PMID: 18710423 DOI: 10.1111/j.1478-3231.2008.01864.x]</w:t>
      </w:r>
    </w:p>
    <w:p w14:paraId="7C998359" w14:textId="37E487E1" w:rsidR="00A77B3E" w:rsidRDefault="00DB0EE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2850FACC" w14:textId="77777777" w:rsidR="00A77B3E" w:rsidRDefault="00DB0EE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Uchino K</w:t>
      </w:r>
      <w:r>
        <w:rPr>
          <w:rFonts w:ascii="Book Antiqua" w:eastAsia="Book Antiqua" w:hAnsi="Book Antiqua" w:cs="Book Antiqua"/>
          <w:color w:val="000000"/>
        </w:rPr>
        <w:t xml:space="preserve">, Tateishi R, Shiina S, Kanda M, Masuzaki R, Kondo Y, Goto T, Omata M, Yoshida H, Koike K. Hepatocellular carcinoma with extrahepatic metastasis: clinical features and prognostic factors.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4475-4483 [PMID: 21437884 DOI: 10.1002/cncr.25960]</w:t>
      </w:r>
    </w:p>
    <w:p w14:paraId="45B23B8D" w14:textId="77777777" w:rsidR="00A77B3E" w:rsidRDefault="00DB0EE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JI</w:t>
      </w:r>
      <w:r>
        <w:rPr>
          <w:rFonts w:ascii="Book Antiqua" w:eastAsia="Book Antiqua" w:hAnsi="Book Antiqua" w:cs="Book Antiqua"/>
          <w:color w:val="000000"/>
        </w:rPr>
        <w:t xml:space="preserve">, Kim JK, Kim DY, Ahn SH, Park JY, Kim SU, Kim BK, Han KH, Lee KS. Prognosis of hepatocellular carcinoma patients with extrahepatic metastasis and the controllability of intrahepatic lesions.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475-482 [PMID: 24496959 DOI: 10.1007/s10585-014-9641-x]</w:t>
      </w:r>
    </w:p>
    <w:p w14:paraId="61A36916" w14:textId="77777777" w:rsidR="00A77B3E" w:rsidRDefault="00DB0E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Jung SM</w:t>
      </w:r>
      <w:r>
        <w:rPr>
          <w:rFonts w:ascii="Book Antiqua" w:eastAsia="Book Antiqua" w:hAnsi="Book Antiqua" w:cs="Book Antiqua"/>
          <w:color w:val="000000"/>
        </w:rPr>
        <w:t xml:space="preserve">, Jang JW, You CR, Yoo SH, Kwon JH, Bae SH, Choi JY, Yoon SK, Chung KW, Kay CS, Jung HS. Role of intrahepatic tumor control in the prognosis of patients with hepatocellular carcinoma and extrahepatic metastases.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684-689 [PMID: 21916984 DOI: 10.1111/j.1440-1746.2011.06917.x]</w:t>
      </w:r>
    </w:p>
    <w:p w14:paraId="55035B2A" w14:textId="77777777" w:rsidR="00A77B3E" w:rsidRDefault="00DB0E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7CCD42DB" w14:textId="77777777" w:rsidR="00A77B3E" w:rsidRDefault="00DB0E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698ABB46" w14:textId="77777777" w:rsidR="00A77B3E" w:rsidRDefault="00DB0EE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randomised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0A3F660B" w14:textId="77777777" w:rsidR="00A77B3E" w:rsidRDefault="00DB0EE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3D3A5FE8" w14:textId="77777777" w:rsidR="00A77B3E" w:rsidRDefault="00DB0EE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54-63 [PMID: 29972759 DOI: 10.1056/NEJMoa1717002]</w:t>
      </w:r>
    </w:p>
    <w:p w14:paraId="037E0BB2" w14:textId="77777777" w:rsidR="00A77B3E" w:rsidRDefault="00DB0EE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Zhu AX</w:t>
      </w:r>
      <w:r>
        <w:rPr>
          <w:rFonts w:ascii="Book Antiqua" w:eastAsia="Book Antiqua" w:hAnsi="Book Antiqua" w:cs="Book Antiqua"/>
          <w:color w:val="000000"/>
        </w:rPr>
        <w:t xml:space="preserve">, Park JO, Ryoo BY, Yen CJ, Poon R, Pastorelli D, Blanc JF, Chung HC, Baron AD, Pfiffer TE, Okusaka T, Kubackova K, Trojan J, Sastre J, Chau I, Chang SC, Abada PB, Yang L, Schwartz JD, Kudo M; REACH Trial Investigators.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following first-line therapy with sorafenib (REACH): a randomised, double-blind, multicentre,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859-870 [PMID: 26095784 DOI: 10.1016/S1470-2045(15)00050-9]</w:t>
      </w:r>
    </w:p>
    <w:p w14:paraId="159358EC" w14:textId="77777777" w:rsidR="00A77B3E" w:rsidRDefault="00DB0EE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Zhu AX</w:t>
      </w:r>
      <w:r>
        <w:rPr>
          <w:rFonts w:ascii="Book Antiqua" w:eastAsia="Book Antiqua" w:hAnsi="Book Antiqua" w:cs="Book Antiqua"/>
          <w:color w:val="000000"/>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282-296 [PMID: 30665869 DOI: 10.1016/S1470-2045(18)30937-9]</w:t>
      </w:r>
    </w:p>
    <w:p w14:paraId="50C7247C" w14:textId="77777777" w:rsidR="00A77B3E" w:rsidRDefault="00DB0EE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Ikeda K</w:t>
      </w:r>
      <w:r>
        <w:rPr>
          <w:rFonts w:ascii="Book Antiqua" w:eastAsia="Book Antiqua" w:hAnsi="Book Antiqua" w:cs="Book Antiqua"/>
          <w:color w:val="000000"/>
        </w:rPr>
        <w:t xml:space="preserve">, Kudo M, Kawazoe S, Osaki Y, Ikeda M, Okusaka T, Tamai T, Suzuki T, Hisai T, Hayato S, Okita K, Kumada H. Phase 2 study of lenvatinib in patients with advanced hepatocellular 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512-519 [PMID: 27704266 DOI: 10.1007/s00535-016-1263-4]</w:t>
      </w:r>
    </w:p>
    <w:p w14:paraId="02CF7F38" w14:textId="489F62E1" w:rsidR="00A77B3E" w:rsidRDefault="00DB0E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Kudo M</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Finn RS, Qin SK, Han KH, Ikeda K, Cheng AL, Piscaglia F, Ueshima K, Aikata H, Vogel A, Lopez C, Pracht M, Meng ZQ, Daniele B, Park JW, Palmer DH, Dutcus CE, Tamai T, Saito K, Lencioni R. Analysis of survival and objective response (OR) in patients with hepatocellular carcinoma in a phase III study of lenvatinib (REFLECT).</w:t>
      </w:r>
      <w:r w:rsidRPr="00A30458">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w:t>
      </w:r>
      <w:r w:rsidR="00A30458">
        <w:rPr>
          <w:rFonts w:ascii="Book Antiqua" w:eastAsia="Book Antiqua" w:hAnsi="Book Antiqua" w:cs="Book Antiqua"/>
          <w:color w:val="000000"/>
        </w:rPr>
        <w:t xml:space="preserve">; </w:t>
      </w:r>
      <w:r w:rsidR="00A30458" w:rsidRPr="00A30458">
        <w:rPr>
          <w:rFonts w:ascii="Book Antiqua" w:eastAsia="Book Antiqua" w:hAnsi="Book Antiqua" w:cs="Book Antiqua"/>
          <w:b/>
          <w:bCs/>
          <w:color w:val="000000"/>
        </w:rPr>
        <w:t>37</w:t>
      </w:r>
      <w:r w:rsidR="00A30458">
        <w:rPr>
          <w:rFonts w:ascii="Book Antiqua" w:eastAsia="Book Antiqua" w:hAnsi="Book Antiqua" w:cs="Book Antiqua"/>
          <w:color w:val="000000"/>
        </w:rPr>
        <w:t>:</w:t>
      </w:r>
      <w:r>
        <w:rPr>
          <w:rFonts w:ascii="Book Antiqua" w:eastAsia="Book Antiqua" w:hAnsi="Book Antiqua" w:cs="Book Antiqua"/>
          <w:color w:val="000000"/>
        </w:rPr>
        <w:t xml:space="preserve"> 2 </w:t>
      </w:r>
      <w:r w:rsidR="00A30458">
        <w:rPr>
          <w:rFonts w:ascii="Book Antiqua" w:eastAsia="Book Antiqua" w:hAnsi="Book Antiqua" w:cs="Book Antiqua"/>
          <w:color w:val="000000"/>
        </w:rPr>
        <w:t>[</w:t>
      </w:r>
      <w:r>
        <w:rPr>
          <w:rFonts w:ascii="Book Antiqua" w:eastAsia="Book Antiqua" w:hAnsi="Book Antiqua" w:cs="Book Antiqua"/>
          <w:color w:val="000000"/>
        </w:rPr>
        <w:t>DOI:</w:t>
      </w:r>
      <w:r w:rsidR="00A30458">
        <w:rPr>
          <w:rFonts w:ascii="Book Antiqua" w:eastAsia="Book Antiqua" w:hAnsi="Book Antiqua" w:cs="Book Antiqua"/>
          <w:color w:val="000000"/>
        </w:rPr>
        <w:t xml:space="preserve"> </w:t>
      </w:r>
      <w:r>
        <w:rPr>
          <w:rFonts w:ascii="Book Antiqua" w:eastAsia="Book Antiqua" w:hAnsi="Book Antiqua" w:cs="Book Antiqua"/>
          <w:color w:val="000000"/>
        </w:rPr>
        <w:t>10.1200/JCO.2019.37.4_suppl.186]</w:t>
      </w:r>
    </w:p>
    <w:p w14:paraId="6D503679" w14:textId="77777777" w:rsidR="00A77B3E" w:rsidRDefault="00DB0EE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Kuzuya T</w:t>
      </w:r>
      <w:r>
        <w:rPr>
          <w:rFonts w:ascii="Book Antiqua" w:eastAsia="Book Antiqua" w:hAnsi="Book Antiqua" w:cs="Book Antiqua"/>
          <w:color w:val="000000"/>
        </w:rPr>
        <w:t xml:space="preserve">, Ishigami M, Ito T, Ishizu Y, Honda T, Ishikawa T, Fujishiro M.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Lenvatinib as First-line Therapy for Advanced Hepatocellular Carcinoma With Portal Vein Tumor Thrombosis.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2283-2290 [PMID: 32234927 DOI: 10.21873/anticanres.14193]</w:t>
      </w:r>
    </w:p>
    <w:p w14:paraId="3946A377" w14:textId="77777777" w:rsidR="00A77B3E" w:rsidRDefault="00DB0EE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Maruta S</w:t>
      </w:r>
      <w:r>
        <w:rPr>
          <w:rFonts w:ascii="Book Antiqua" w:eastAsia="Book Antiqua" w:hAnsi="Book Antiqua" w:cs="Book Antiqua"/>
          <w:color w:val="000000"/>
        </w:rPr>
        <w:t xml:space="preserve">, Ogasawara S, Ooka Y, Obu M, Inoue M, Itokawa N, Haga Y, Seki A, Okabe S, Azemoto R, Itobayashi E, Atsukawa M, Sugiura N, Mizumoto H, Koroki K, Kanayama K, Kanzaki H, Kobayashi K, Kiyono S, Nakamura M, Kanogawa N, Saito T, Kondo T, Suzuki E, Nakamoto S, Tawada A, Chiba T, Arai M, Kanda T, Maruyama H, Kato N. Potential of Lenvatinib for an Expanded Indication from the REFLECT Trial in Patients with Advanced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382-396 [PMID: 32999866 DOI: 10.1159/000507022]</w:t>
      </w:r>
    </w:p>
    <w:p w14:paraId="65F9DF2D" w14:textId="77777777" w:rsidR="00A77B3E" w:rsidRDefault="00DB0EE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Chuma M</w:t>
      </w:r>
      <w:r>
        <w:rPr>
          <w:rFonts w:ascii="Book Antiqua" w:eastAsia="Book Antiqua" w:hAnsi="Book Antiqua" w:cs="Book Antiqua"/>
          <w:color w:val="000000"/>
        </w:rPr>
        <w:t xml:space="preserve">, Uojima H, Hiraoka A, Kobayashi S, Toyoda H, Tada T, Hidaka H, Iwabuchi S, Numata K, Itobayashi E, Itokawa N, Kariyama K, Ohama H, Hattori N, Hirose S, Shibata H, Tani J, Imai M, Tajiri K, Moriya S, Wada N, Iwasaki S, Fukushima T, Ueno M, Yasuda S, Atsukawa M, Nouso K, Fukunishi S, Watanabe T, Ishikawa T, Nakamura S, Morimoto M, Kagawa T, Sakamoto M, Kumada T, Maeda S. Analysis of efficacy of lenvatinib treatment in highly advanced hepatocellular carcinoma with tumor thrombus in the main trunk of the portal vein or tumor with more than 50% liver occupation: A multicenter analysis.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201-215 [PMID: 33270323 DOI: 10.1111/hepr.13592]</w:t>
      </w:r>
    </w:p>
    <w:p w14:paraId="3DF39E1C" w14:textId="77777777" w:rsidR="00A77B3E" w:rsidRDefault="00DB0EE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3509-3516 [PMID: 23980090 DOI: 10.1200/JCO.2012.47.3009]</w:t>
      </w:r>
    </w:p>
    <w:p w14:paraId="46056D11" w14:textId="77777777" w:rsidR="00A77B3E" w:rsidRDefault="00DB0EE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Zhu AX</w:t>
      </w:r>
      <w:r>
        <w:rPr>
          <w:rFonts w:ascii="Book Antiqua" w:eastAsia="Book Antiqua" w:hAnsi="Book Antiqua" w:cs="Book Antiqua"/>
          <w:color w:val="000000"/>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57-67 [PMID: 25058218 DOI: 10.1001/jama.2014.7189]</w:t>
      </w:r>
    </w:p>
    <w:p w14:paraId="5935F74C" w14:textId="77777777" w:rsidR="00A77B3E" w:rsidRDefault="00DB0EE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Qin S, Ryoo BY, Lu SN, Yen CJ, Feng YH, Lim HY, Izzo F, Colombo M, Sarker D, Bolondi L, Vaccaro G, Harris WP, Chen Z, Hubner RA, Meyer T, Sun W, Harding JJ, Hollywood EM, Ma J, Wan PJ, Ly M, Bomalaski J, Johnston A, Lin CC, Chao Y, Chen LT. Phase III randomized study of second line ADI-PEG 20 plus best supportive care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best supportive care in patients with advanced hepatocellular carcinoma.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1402-1408 [PMID: 29659672 DOI: 10.1093/annonc/mdy101]</w:t>
      </w:r>
    </w:p>
    <w:p w14:paraId="065CFB73" w14:textId="77777777" w:rsidR="00A77B3E" w:rsidRDefault="00DB0EE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Merle P, Granito A, Huang YH, Bodoky G, Pracht M, Yokosuka O, Rosmorduc O, Gerolami R, Caparello C, Cabrera R, Chang C, Sun W, LeBerre MA, Baumhauer A, Meinhardt G, Bruix J. Outcomes of sequential treatment with sorafenib followed by regorafenib for HCC: Additional analyses from the phase III RESORCE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353-358 [PMID: 29704513 DOI: 10.1016/j.jhep.2018.04.010]</w:t>
      </w:r>
    </w:p>
    <w:p w14:paraId="38272047" w14:textId="77777777" w:rsidR="00A77B3E" w:rsidRDefault="00DB0EE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Ogasawara S</w:t>
      </w:r>
      <w:r>
        <w:rPr>
          <w:rFonts w:ascii="Book Antiqua" w:eastAsia="Book Antiqua" w:hAnsi="Book Antiqua" w:cs="Book Antiqua"/>
          <w:color w:val="000000"/>
        </w:rPr>
        <w:t xml:space="preserve">, Ooka Y, Itokawa N, Inoue M, Okabe S, Seki A, Haga Y, Obu M, Atsukawa M, Itobayashi E, Mizumoto H, Sugiura N, Azemoto R, Kanayama K, Kanzaki H, Maruta S, Maeda T, Kusakabe Y, Yokoyama M, Kobayashi K, Kiyono S, Nakamura M, Saito T, Suzuki E, Nakamoto S, Yasui S, Tawada A, Chiba T, Arai M, Kanda T, Maruyama H, Kato N. Sequential therapy with sorafenib and regorafenib for advanced hepatocellular carcinoma: a multicenter retrospective study in Japan.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172-180 [PMID: 31172442 DOI: 10.1007/s10637-019-00801-8]</w:t>
      </w:r>
    </w:p>
    <w:p w14:paraId="500E11CB" w14:textId="77777777" w:rsidR="00A77B3E" w:rsidRDefault="00DB0EE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Yoo C</w:t>
      </w:r>
      <w:r>
        <w:rPr>
          <w:rFonts w:ascii="Book Antiqua" w:eastAsia="Book Antiqua" w:hAnsi="Book Antiqua" w:cs="Book Antiqua"/>
          <w:color w:val="000000"/>
        </w:rPr>
        <w:t xml:space="preserve">, Park JW, Kim YJ, Kim DY, Yu SJ, Lim TS, Lee SJ, Ryoo BY, Lim HY. Multicenter retrospective analysis of the safety and efficacy of regorafenib after progression on sorafenib in Korean patients with hepatocellular carcinoma.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567-572 [PMID: 30523474 DOI: 10.1007/s10637-018-0707-5]</w:t>
      </w:r>
    </w:p>
    <w:p w14:paraId="46CD75F5" w14:textId="2965EC3C" w:rsidR="00A77B3E" w:rsidRDefault="00DB0EE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Kim HD</w:t>
      </w:r>
      <w:r>
        <w:rPr>
          <w:rFonts w:ascii="Book Antiqua" w:eastAsia="Book Antiqua" w:hAnsi="Book Antiqua" w:cs="Book Antiqua"/>
          <w:color w:val="000000"/>
        </w:rPr>
        <w:t xml:space="preserve">, Bang Y, Lee MA, Kim JW, Kim JH, Chon HJ, Kang B, Kang MJ, Kim I, Cheon J, Hwang JE, Kang JH, Byeon S, Hong JY, Ryoo BY, Lim HY, Yoo C. Regorafenib in patients with advanced Child-Pugh B hepatocellular carcinoma: A multicentre retrospective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2544-2552 [PMID: 32563213 DOI: 10.1111/</w:t>
      </w:r>
      <w:r w:rsidR="003C1C66">
        <w:rPr>
          <w:rFonts w:ascii="Book Antiqua" w:eastAsia="Book Antiqua" w:hAnsi="Book Antiqua" w:cs="Book Antiqua"/>
          <w:color w:val="000000"/>
        </w:rPr>
        <w:t>l</w:t>
      </w:r>
      <w:r>
        <w:rPr>
          <w:rFonts w:ascii="Book Antiqua" w:eastAsia="Book Antiqua" w:hAnsi="Book Antiqua" w:cs="Book Antiqua"/>
          <w:color w:val="000000"/>
        </w:rPr>
        <w:t>iv.14573]</w:t>
      </w:r>
    </w:p>
    <w:p w14:paraId="53331058" w14:textId="77777777" w:rsidR="00A77B3E" w:rsidRDefault="00DB0EE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Verslype C, Cohn AL, Yang TS, Su WC, Burris H, Braiteh F, Vogelzang N, Spira A, Foster P, Lee Y, Van Cutsem E. Cabozantinib in hepatocellular carcinoma: results of a phase 2 placebo-controlled randomized discontinuation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528-534 [PMID: 28426123 DOI: 10.1093/annonc/mdw651]</w:t>
      </w:r>
    </w:p>
    <w:p w14:paraId="6906DFBA" w14:textId="77777777" w:rsidR="00A77B3E" w:rsidRDefault="00DB0EE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47C1C1A7" w14:textId="77777777" w:rsidR="00A77B3E" w:rsidRDefault="00DB0EE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Mollon P, Blanc JF, Daniele B, Yau T, Cheng AL, Valcheva V, Marteau F, Guerra I, Abou-Alfa GK. Comparative Efficacy of Cabozantinib and Regorafenib for Advanced Hepatocellular Carcinoma. </w:t>
      </w:r>
      <w:r>
        <w:rPr>
          <w:rFonts w:ascii="Book Antiqua" w:eastAsia="Book Antiqua" w:hAnsi="Book Antiqua" w:cs="Book Antiqua"/>
          <w:i/>
          <w:iCs/>
          <w:color w:val="000000"/>
        </w:rPr>
        <w:t>Adv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2678-2695 [PMID: 32424805 DOI: 10.1007/s12325-020-01378-y]</w:t>
      </w:r>
    </w:p>
    <w:p w14:paraId="6F2F10C3" w14:textId="77777777" w:rsidR="00A77B3E" w:rsidRDefault="00DB0EE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Gilabert M</w:t>
      </w:r>
      <w:r>
        <w:rPr>
          <w:rFonts w:ascii="Book Antiqua" w:eastAsia="Book Antiqua" w:hAnsi="Book Antiqua" w:cs="Book Antiqua"/>
          <w:color w:val="000000"/>
        </w:rPr>
        <w:t xml:space="preserve">, Raoul JL. Potential of ramucirumab in treating hepatocellular carcinoma patients with elevated baseline alpha-fetoprotein.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91-98 [PMID: 30464931 DOI: 10.2147/JHC.S157413]</w:t>
      </w:r>
    </w:p>
    <w:p w14:paraId="7BA2F4A9" w14:textId="777BC2DD" w:rsidR="00A77B3E" w:rsidRDefault="00DB0EE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Kudo M</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Okusaka T, Motomura K, Ohno I, Morimoto M, Seo S, Wada Y, Sato S, Yamashita T, Furukawa M, Aramaki T, Nadano S, Ohkawa K, Fujii H, Kudo T, Furuse J, Takai H, Homma G, Yoshikawa R, Zhu AX. Ramucirumab as second-line treatment in patients with advanced hepatocellular carcinoma (HCC) and elevated alpha-fetoprotein (AFP) following first-line sorafenib: Pooled efficacy and safety in Japanese patients across two global randomized phase III studies (REACH-2 and REACH). </w:t>
      </w:r>
      <w:r w:rsidRPr="00A30458">
        <w:rPr>
          <w:rFonts w:ascii="Book Antiqua" w:eastAsia="Book Antiqua" w:hAnsi="Book Antiqua" w:cs="Book Antiqua"/>
          <w:i/>
          <w:iCs/>
          <w:color w:val="000000"/>
        </w:rPr>
        <w:t>J Clin Oncol</w:t>
      </w:r>
      <w:r w:rsidR="00A30458">
        <w:rPr>
          <w:rFonts w:ascii="Book Antiqua" w:eastAsia="Book Antiqua" w:hAnsi="Book Antiqua" w:cs="Book Antiqua"/>
          <w:color w:val="000000"/>
        </w:rPr>
        <w:t xml:space="preserve"> 2019; </w:t>
      </w:r>
      <w:r w:rsidR="00A30458" w:rsidRPr="00A30458">
        <w:rPr>
          <w:rFonts w:ascii="Book Antiqua" w:eastAsia="Book Antiqua" w:hAnsi="Book Antiqua" w:cs="Book Antiqua"/>
          <w:b/>
          <w:bCs/>
          <w:color w:val="000000"/>
        </w:rPr>
        <w:t>37</w:t>
      </w:r>
      <w:r w:rsidR="00A30458">
        <w:rPr>
          <w:rFonts w:ascii="Book Antiqua" w:eastAsia="Book Antiqua" w:hAnsi="Book Antiqua" w:cs="Book Antiqua"/>
          <w:color w:val="000000"/>
        </w:rPr>
        <w:t xml:space="preserve">: </w:t>
      </w:r>
      <w:r w:rsidR="00A30458" w:rsidRPr="00A30458">
        <w:rPr>
          <w:rFonts w:ascii="Book Antiqua" w:eastAsia="Book Antiqua" w:hAnsi="Book Antiqua" w:cs="Book Antiqua"/>
          <w:color w:val="000000"/>
        </w:rPr>
        <w:t xml:space="preserve">320-320 </w:t>
      </w:r>
      <w:r w:rsidR="00A30458">
        <w:rPr>
          <w:rFonts w:ascii="Book Antiqua" w:eastAsia="Book Antiqua" w:hAnsi="Book Antiqua" w:cs="Book Antiqua"/>
          <w:color w:val="000000"/>
        </w:rPr>
        <w:t>[</w:t>
      </w:r>
      <w:r>
        <w:rPr>
          <w:rFonts w:ascii="Book Antiqua" w:eastAsia="Book Antiqua" w:hAnsi="Book Antiqua" w:cs="Book Antiqua"/>
          <w:color w:val="000000"/>
        </w:rPr>
        <w:t>DOI:</w:t>
      </w:r>
      <w:r w:rsidR="00A30458">
        <w:rPr>
          <w:rFonts w:ascii="Book Antiqua" w:eastAsia="Book Antiqua" w:hAnsi="Book Antiqua" w:cs="Book Antiqua"/>
          <w:color w:val="000000"/>
        </w:rPr>
        <w:t xml:space="preserve"> </w:t>
      </w:r>
      <w:r>
        <w:rPr>
          <w:rFonts w:ascii="Book Antiqua" w:eastAsia="Book Antiqua" w:hAnsi="Book Antiqua" w:cs="Book Antiqua"/>
          <w:color w:val="000000"/>
        </w:rPr>
        <w:t>10.1200/JCO.2019.37.4_suppl.320]</w:t>
      </w:r>
    </w:p>
    <w:p w14:paraId="3590DFEC" w14:textId="77777777" w:rsidR="00A77B3E" w:rsidRDefault="00DB0EE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Herbst RS</w:t>
      </w:r>
      <w:r>
        <w:rPr>
          <w:rFonts w:ascii="Book Antiqua" w:eastAsia="Book Antiqua" w:hAnsi="Book Antiqua" w:cs="Book Antiqua"/>
          <w:color w:val="000000"/>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563-567 [PMID: 25428504 DOI: 10.1038/nature14011]</w:t>
      </w:r>
    </w:p>
    <w:p w14:paraId="11EB2333" w14:textId="77777777" w:rsidR="00A77B3E" w:rsidRDefault="00DB0EE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Bentley G, Britten CD, Amado R, Busuttil RW. Targeting vascular endothelial growth factor with the monoclonal antibody bevacizumab inhibits human hepatocellular carcinoma cells growing in an orthotopic mouse model.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284-290 [PMID: 18482274 DOI: 10.1111/j.1478-3231.2008.01762.x]</w:t>
      </w:r>
    </w:p>
    <w:p w14:paraId="04B2136E" w14:textId="77777777" w:rsidR="00A77B3E" w:rsidRDefault="00DB0EE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Siegel AB</w:t>
      </w:r>
      <w:r>
        <w:rPr>
          <w:rFonts w:ascii="Book Antiqua" w:eastAsia="Book Antiqua" w:hAnsi="Book Antiqua" w:cs="Book Antiqua"/>
          <w:color w:val="000000"/>
        </w:rPr>
        <w:t xml:space="preserve">, Cohen EI, Ocean A, Lehrer D, Goldenberg A, Knox JJ, Chen H, Clark-Garvey S, Weinberg A, Mandeli J, Christos P, Mazumdar M, Popa E, Brown RS Jr, Rafii S, Schwartz JD. Phase II trial evaluating the clinical and biologic effects of bevacizumab in unresectable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2992-2998 [PMID: 18565886 DOI: 10.1200/JCO.2007.15.9947]</w:t>
      </w:r>
    </w:p>
    <w:p w14:paraId="3EA00368" w14:textId="77777777" w:rsidR="00A77B3E" w:rsidRDefault="00DB0EE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Boige V</w:t>
      </w:r>
      <w:r>
        <w:rPr>
          <w:rFonts w:ascii="Book Antiqua" w:eastAsia="Book Antiqua" w:hAnsi="Book Antiqua" w:cs="Book Antiqua"/>
          <w:color w:val="000000"/>
        </w:rPr>
        <w:t xml:space="preserve">, Malka D, Bourredjem A, Dromain C, Baey C, Jacques N, Pignon JP, Vimond N, Bouvet-Forteau N, De Baere T, Ducreux M, Farace F. Efficacy, safety, and biomarkers of single-agent bevacizumab therapy in patients with advanced hepatocellular carcinoma.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1063-1072 [PMID: 22707516 DOI: 10.1634/theoncologist.2011-0465]</w:t>
      </w:r>
    </w:p>
    <w:p w14:paraId="1BAF7936" w14:textId="405ABDEA" w:rsidR="00A77B3E" w:rsidRDefault="00DB0EE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M</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Ryoo BY, Hsu CH, Numata K, Stein S, Verret W, Hack S, Spahn J, Liu B, Abdullah H, He R, Lee KH. Randomised efficacy and safety results for atezolizumab (Atezo) plus bevacizumab (Bev) in patients (pts) with previously untreated, unresectable hepatocellular carcinoma (HCC). </w:t>
      </w:r>
      <w:r w:rsidRPr="00A30458">
        <w:rPr>
          <w:rFonts w:ascii="Book Antiqua" w:eastAsia="Book Antiqua" w:hAnsi="Book Antiqua" w:cs="Book Antiqua"/>
          <w:i/>
          <w:iCs/>
          <w:color w:val="000000"/>
        </w:rPr>
        <w:t>Ann Oncol</w:t>
      </w:r>
      <w:r>
        <w:rPr>
          <w:rFonts w:ascii="Book Antiqua" w:eastAsia="Book Antiqua" w:hAnsi="Book Antiqua" w:cs="Book Antiqua"/>
          <w:color w:val="000000"/>
        </w:rPr>
        <w:t xml:space="preserve"> 2019: 875</w:t>
      </w:r>
    </w:p>
    <w:p w14:paraId="35C9CA95" w14:textId="77777777" w:rsidR="00A77B3E" w:rsidRDefault="00DB0EE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196D984A" w14:textId="77777777" w:rsidR="00A77B3E" w:rsidRDefault="00DB0EE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Casak SJ</w:t>
      </w:r>
      <w:r>
        <w:rPr>
          <w:rFonts w:ascii="Book Antiqua" w:eastAsia="Book Antiqua" w:hAnsi="Book Antiqua" w:cs="Book Antiqua"/>
          <w:color w:val="000000"/>
        </w:rPr>
        <w:t xml:space="preserve">, Donoghue M, Fashoyin-Aje L, Jiang X, Rodriguez L, Shen YL, Xu Y, Jiang X, Liu J, Zhao H, Pierce WF, Mehta S, Goldberg KB, Theoret MR, Kluetz PG, Pazdur R, Lemery SJ. FDA Approval Summary: Atezolizumab Plus Bevacizumab for the Treatment of Patients with Advanced Unresectable or Metastatic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1836-1841 [PMID: 33139264 DOI: 10.1158/1078-0432.CCR-20-3407]</w:t>
      </w:r>
    </w:p>
    <w:p w14:paraId="1C78006A" w14:textId="77777777" w:rsidR="00A77B3E" w:rsidRDefault="00DB0EE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42B49875" w14:textId="77E584B0" w:rsidR="00A77B3E" w:rsidRDefault="00DB0EE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Yau T</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Park JW, Finn RS, Cheng AL, Mathurin P, Edeline J, Kudo M, Han KH, Harding JJ, Merle P, Rosmorduc O, Wyrwicz L, Schott E, Choo SP, Kelley RK, Begic D, Chen G, Neely J, Anderson J, Sangro B. CheckMate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(aHCC). </w:t>
      </w:r>
      <w:r w:rsidRPr="00A30458">
        <w:rPr>
          <w:rFonts w:ascii="Book Antiqua" w:eastAsia="Book Antiqua" w:hAnsi="Book Antiqua" w:cs="Book Antiqua"/>
          <w:i/>
          <w:iCs/>
          <w:color w:val="000000"/>
        </w:rPr>
        <w:t>Ann Oncol</w:t>
      </w:r>
      <w:r>
        <w:rPr>
          <w:rFonts w:ascii="Book Antiqua" w:eastAsia="Book Antiqua" w:hAnsi="Book Antiqua" w:cs="Book Antiqua"/>
          <w:color w:val="000000"/>
        </w:rPr>
        <w:t xml:space="preserve"> 2019: 874</w:t>
      </w:r>
    </w:p>
    <w:p w14:paraId="254991F4" w14:textId="77777777" w:rsidR="00A77B3E" w:rsidRDefault="00DB0EE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12710221" w14:textId="77777777" w:rsidR="00A77B3E" w:rsidRDefault="00DB0EE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146B6037" w14:textId="77777777" w:rsidR="00A77B3E" w:rsidRDefault="00DB0EE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Gordan JD</w:t>
      </w:r>
      <w:r>
        <w:rPr>
          <w:rFonts w:ascii="Book Antiqua" w:eastAsia="Book Antiqua" w:hAnsi="Book Antiqua" w:cs="Book Antiqua"/>
          <w:color w:val="000000"/>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4317-4345 [PMID: 33197225 DOI: 10.1200/JCO.20.02672]</w:t>
      </w:r>
    </w:p>
    <w:p w14:paraId="7656E89B" w14:textId="77777777" w:rsidR="00A77B3E" w:rsidRDefault="00DB0EE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Sonbol MB</w:t>
      </w:r>
      <w:r>
        <w:rPr>
          <w:rFonts w:ascii="Book Antiqua" w:eastAsia="Book Antiqua" w:hAnsi="Book Antiqua" w:cs="Book Antiqua"/>
          <w:color w:val="000000"/>
        </w:rPr>
        <w:t xml:space="preserve">, Riaz IB, Naqvi SAA, Almquist DR, Mina S, Almasri J, Shah S, Almader-Douglas D, Uson Junior PLS, Mahipal A, Ma WW, Jin Z, Mody K, Starr J, Borad MJ, Ahn DH, Murad MH, Bekaii-Saab T. Systemic Therapy and Sequencing Options in Advanced Hepatocellular Carcinoma: A Systematic Review and Network Meta-analysis.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e204930 [PMID: 33090186 DOI: 10.1001/jamaoncol.2020.4930]</w:t>
      </w:r>
    </w:p>
    <w:p w14:paraId="7F267F36" w14:textId="77777777" w:rsidR="00A77B3E" w:rsidRDefault="00DB0EE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Yau T</w:t>
      </w:r>
      <w:r>
        <w:rPr>
          <w:rFonts w:ascii="Book Antiqua" w:eastAsia="Book Antiqua" w:hAnsi="Book Antiqua" w:cs="Book Antiqua"/>
          <w:color w:val="000000"/>
        </w:rPr>
        <w:t xml:space="preserve">, Chan P, Ng KK, Chok SH, Cheung TT, Fan ST, Poon RT. Phase 2 open-label study of single-agent sorafenib in treating advanced hepatocellular carcinoma in a hepatitis B-endemic Asian population: presence of lung metastasis predicts poor response.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428-436 [PMID: 19107763 DOI: 10.1002/cncr.24029]</w:t>
      </w:r>
    </w:p>
    <w:p w14:paraId="02EB3308" w14:textId="77777777" w:rsidR="00A77B3E" w:rsidRDefault="00DB0EE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Cheng AL, Meinhardt G, Nakajima K, De Sanctis Y, Llovet J. Prognostic factors and predictors of sorafenib benefit in patients with hepatocellular carcinoma: Analysis of two phase III studies.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999-1008 [PMID: 28687477 DOI: 10.1016/j.jhep.2017.06.026]</w:t>
      </w:r>
    </w:p>
    <w:p w14:paraId="1411697D" w14:textId="77777777" w:rsidR="00A77B3E" w:rsidRDefault="00DB0EE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Berhane S</w:t>
      </w:r>
      <w:r>
        <w:rPr>
          <w:rFonts w:ascii="Book Antiqua" w:eastAsia="Book Antiqua" w:hAnsi="Book Antiqua" w:cs="Book Antiqua"/>
          <w:color w:val="000000"/>
        </w:rPr>
        <w:t xml:space="preserve">, Fox R, García-Fiñana M, Cucchetti A, Johnson P. Using prognostic and predictive clinical features to make personalised survival prediction in advanced hepatocellular carcinoma patients undergoing sorafenib treatment.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121</w:t>
      </w:r>
      <w:r>
        <w:rPr>
          <w:rFonts w:ascii="Book Antiqua" w:eastAsia="Book Antiqua" w:hAnsi="Book Antiqua" w:cs="Book Antiqua"/>
          <w:color w:val="000000"/>
        </w:rPr>
        <w:t>: 117-124 [PMID: 31182766 DOI: 10.1038/s41416-019-0488-4]</w:t>
      </w:r>
    </w:p>
    <w:p w14:paraId="7B08A0FF" w14:textId="77777777" w:rsidR="00A77B3E" w:rsidRDefault="00DB0EE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Kudo M</w:t>
      </w:r>
      <w:r>
        <w:rPr>
          <w:rFonts w:ascii="Book Antiqua" w:eastAsia="Book Antiqua" w:hAnsi="Book Antiqua" w:cs="Book Antiqua"/>
          <w:color w:val="000000"/>
        </w:rPr>
        <w:t xml:space="preserve">, Ueshima K. Positioning of a molecular-targeted agent, sorafenib, in the treatment algorithm for hepatocellular carcinoma and implication of many complete remission cases in Japan.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78 Suppl 1</w:t>
      </w:r>
      <w:r>
        <w:rPr>
          <w:rFonts w:ascii="Book Antiqua" w:eastAsia="Book Antiqua" w:hAnsi="Book Antiqua" w:cs="Book Antiqua"/>
          <w:color w:val="000000"/>
        </w:rPr>
        <w:t>: 154-166 [PMID: 20616599 DOI: 10.1159/000315245]</w:t>
      </w:r>
    </w:p>
    <w:p w14:paraId="15155D83" w14:textId="77777777" w:rsidR="00A77B3E" w:rsidRDefault="00DB0EE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Park JG</w:t>
      </w:r>
      <w:r>
        <w:rPr>
          <w:rFonts w:ascii="Book Antiqua" w:eastAsia="Book Antiqua" w:hAnsi="Book Antiqua" w:cs="Book Antiqua"/>
          <w:color w:val="000000"/>
        </w:rPr>
        <w:t xml:space="preserve">. Long-term outcomes of patients with advanced hepatocellular carcinoma who achieved complete remission after sorafenib therapy.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287-294 [PMID: 26527250 DOI: 10.3350/cmh.2015.21.3.287]</w:t>
      </w:r>
    </w:p>
    <w:p w14:paraId="6FB11C44" w14:textId="77777777" w:rsidR="00A77B3E" w:rsidRDefault="00DB0EE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Inuzuka T</w:t>
      </w:r>
      <w:r>
        <w:rPr>
          <w:rFonts w:ascii="Book Antiqua" w:eastAsia="Book Antiqua" w:hAnsi="Book Antiqua" w:cs="Book Antiqua"/>
          <w:color w:val="000000"/>
        </w:rPr>
        <w:t xml:space="preserve">, Nishikawa H, Sekikawa A, Takeda H, Henmi S, Sakamoto A, Saito S, Kita R, Kimura T, Osaki Y, Kudo M. Complete response of advanced hepatocellular carcinoma with multiple lung metastases treated with sorafenib: a case report.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81 Suppl 1</w:t>
      </w:r>
      <w:r>
        <w:rPr>
          <w:rFonts w:ascii="Book Antiqua" w:eastAsia="Book Antiqua" w:hAnsi="Book Antiqua" w:cs="Book Antiqua"/>
          <w:color w:val="000000"/>
        </w:rPr>
        <w:t>: 152-157 [PMID: 22212950 DOI: 10.1159/000333279]</w:t>
      </w:r>
    </w:p>
    <w:p w14:paraId="789646F3" w14:textId="77777777" w:rsidR="00A77B3E" w:rsidRDefault="00DB0EE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Mizukami H</w:t>
      </w:r>
      <w:r>
        <w:rPr>
          <w:rFonts w:ascii="Book Antiqua" w:eastAsia="Book Antiqua" w:hAnsi="Book Antiqua" w:cs="Book Antiqua"/>
          <w:color w:val="000000"/>
        </w:rPr>
        <w:t xml:space="preserve">, Kagawa T, Arase Y, Nakahara F, Tsuruya K, Anzai K, Hirose S, Shiraishi K, Shomura M, Koizumi J, Tobita K, Mine T. Complete response after short-term sorafenib treatment in a patient with lymph node metastasis of hepatocellular carcinoma.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380-384 [PMID: 23525021 DOI: 10.1159/000341259]</w:t>
      </w:r>
    </w:p>
    <w:p w14:paraId="382CC7FF" w14:textId="77777777" w:rsidR="00A77B3E" w:rsidRDefault="00DB0EE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Hagihara A</w:t>
      </w:r>
      <w:r>
        <w:rPr>
          <w:rFonts w:ascii="Book Antiqua" w:eastAsia="Book Antiqua" w:hAnsi="Book Antiqua" w:cs="Book Antiqua"/>
          <w:color w:val="000000"/>
        </w:rPr>
        <w:t xml:space="preserve">, Teranishi Y, Kawamura E, Fujii H, Iwai S, Morikawa H, Enomoto M, Tamori A, Kawada N. A complete response induced by 21-day sorafenib therapy in a patient with advanced hepatocellular carcinoma.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1589-1592 [PMID: 23857091 DOI: 10.2169/internalmedicine.52.9340]</w:t>
      </w:r>
    </w:p>
    <w:p w14:paraId="290154E2" w14:textId="77777777" w:rsidR="00A77B3E" w:rsidRDefault="00DB0EE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Katafuchi E</w:t>
      </w:r>
      <w:r>
        <w:rPr>
          <w:rFonts w:ascii="Book Antiqua" w:eastAsia="Book Antiqua" w:hAnsi="Book Antiqua" w:cs="Book Antiqua"/>
          <w:color w:val="000000"/>
        </w:rPr>
        <w:t xml:space="preserve">, Takami Y, Wada Y, Tateishi M, Ryu T, Mikagi K, Saitsu H. Long-Term Maintenance of Complete Response after Sorafenib Treatment for Multiple Lung Metastases from Hepatocellular Carcinoma.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285-290 [PMID: 26351418 DOI: 10.1159/000438746]</w:t>
      </w:r>
    </w:p>
    <w:p w14:paraId="33223460" w14:textId="77777777" w:rsidR="00A77B3E" w:rsidRDefault="00DB0EE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Zhu SG</w:t>
      </w:r>
      <w:r>
        <w:rPr>
          <w:rFonts w:ascii="Book Antiqua" w:eastAsia="Book Antiqua" w:hAnsi="Book Antiqua" w:cs="Book Antiqua"/>
          <w:color w:val="000000"/>
        </w:rPr>
        <w:t xml:space="preserve">, Li HB, Yuan ZN, Liu W, Yang Q, Cheng Y, Wang WJ, Wang GY, Li H. Achievement of complete response to nivolumab in a patient with advanced sarcomatoid hepatocellular carcinoma: A case report.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1209-1215 [PMID: 33133387 DOI: 10.4251/wjgo.v12.i10.1209]</w:t>
      </w:r>
    </w:p>
    <w:p w14:paraId="42400B49" w14:textId="77777777" w:rsidR="00A77B3E" w:rsidRDefault="00DB0EE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Nakagawa T</w:t>
      </w:r>
      <w:r>
        <w:rPr>
          <w:rFonts w:ascii="Book Antiqua" w:eastAsia="Book Antiqua" w:hAnsi="Book Antiqua" w:cs="Book Antiqua"/>
          <w:color w:val="000000"/>
        </w:rPr>
        <w:t xml:space="preserve">, Kamiyama T, Nakanishi K, Yokoo H, Kamachi H, Matsushita M, Todo S. Pulmonary resection for metastases from hepatocellular carcinoma: factors influencing prognosis.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1248-1254 [PMID: 16733153 DOI: 10.1016/j.jtcvs.2006.02.009]</w:t>
      </w:r>
    </w:p>
    <w:p w14:paraId="2DFDC324" w14:textId="77777777" w:rsidR="00A77B3E" w:rsidRDefault="00DB0EE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Midorikawa Y</w:t>
      </w:r>
      <w:r>
        <w:rPr>
          <w:rFonts w:ascii="Book Antiqua" w:eastAsia="Book Antiqua" w:hAnsi="Book Antiqua" w:cs="Book Antiqua"/>
          <w:color w:val="000000"/>
        </w:rPr>
        <w:t xml:space="preserve">, Takayama T, Nakayama H, Moriguchi M, Aramaki O, Yamazaki S, Teramoto K, Yoshida N, Kobayashi N, Tsuji S, Higaki T. Favorable outcomes of surgical resection for extrahepatic recurrent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978-984 [PMID: 32573905 DOI: 10.1111/hepr.13526]</w:t>
      </w:r>
    </w:p>
    <w:p w14:paraId="7B340AD3" w14:textId="77777777" w:rsidR="00A77B3E" w:rsidRDefault="00DB0EE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Hirokawa F</w:t>
      </w:r>
      <w:r>
        <w:rPr>
          <w:rFonts w:ascii="Book Antiqua" w:eastAsia="Book Antiqua" w:hAnsi="Book Antiqua" w:cs="Book Antiqua"/>
          <w:color w:val="000000"/>
        </w:rPr>
        <w:t xml:space="preserve">, Hayashi M, Miyamoto Y, Asakuma M, Shimizu T, Komeda K, Inoue Y, Uchiyama K. Surgical treatment of extrahepatic recurrence of hepatocellular carcinoma.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399</w:t>
      </w:r>
      <w:r>
        <w:rPr>
          <w:rFonts w:ascii="Book Antiqua" w:eastAsia="Book Antiqua" w:hAnsi="Book Antiqua" w:cs="Book Antiqua"/>
          <w:color w:val="000000"/>
        </w:rPr>
        <w:t>: 1057-1064 [PMID: 25030500 DOI: 10.1007/s00423-014-1230-6]</w:t>
      </w:r>
    </w:p>
    <w:p w14:paraId="16903D30" w14:textId="77777777" w:rsidR="00A77B3E" w:rsidRDefault="00DB0EE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Berger Y</w:t>
      </w:r>
      <w:r>
        <w:rPr>
          <w:rFonts w:ascii="Book Antiqua" w:eastAsia="Book Antiqua" w:hAnsi="Book Antiqua" w:cs="Book Antiqua"/>
          <w:color w:val="000000"/>
        </w:rPr>
        <w:t xml:space="preserve">, Spivack JH, Heskel M, Aycart SN, Labow DM, Sarpel U. Extrahepatic metastasectomy for hepatocellular carcinoma: Predictors of long-term survival.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505-506 [PMID: 28334437 DOI: 10.1002/jso.24555]</w:t>
      </w:r>
    </w:p>
    <w:p w14:paraId="368809B8" w14:textId="77777777" w:rsidR="00A77B3E" w:rsidRDefault="00DB0EE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Kitano K</w:t>
      </w:r>
      <w:r>
        <w:rPr>
          <w:rFonts w:ascii="Book Antiqua" w:eastAsia="Book Antiqua" w:hAnsi="Book Antiqua" w:cs="Book Antiqua"/>
          <w:color w:val="000000"/>
        </w:rPr>
        <w:t xml:space="preserve">, Murayama T, Sakamoto M, Nagayama K, Ueno K, Murakawa T, Nakajima J. Outcome and survival analysis of pulmonary metastasectomy for hepatocellular carcinoma. </w:t>
      </w:r>
      <w:r>
        <w:rPr>
          <w:rFonts w:ascii="Book Antiqua" w:eastAsia="Book Antiqua" w:hAnsi="Book Antiqua" w:cs="Book Antiqua"/>
          <w:i/>
          <w:iCs/>
          <w:color w:val="000000"/>
        </w:rPr>
        <w:t>Eur J Cardiothorac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376-382 [PMID: 21727012 DOI: 10.1016/j.ejcts.2011.05.052]</w:t>
      </w:r>
    </w:p>
    <w:p w14:paraId="1BE9A2ED" w14:textId="77777777" w:rsidR="00A77B3E" w:rsidRDefault="00DB0EE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Yoon YS</w:t>
      </w:r>
      <w:r>
        <w:rPr>
          <w:rFonts w:ascii="Book Antiqua" w:eastAsia="Book Antiqua" w:hAnsi="Book Antiqua" w:cs="Book Antiqua"/>
          <w:color w:val="000000"/>
        </w:rPr>
        <w:t xml:space="preserve">, Kim HK, Kim J, Choi YS, Shim YM, Paik SW, Kim K. Long-term survival and prognostic factors after pulmonary metastasectomy in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2795-2801 [PMID: 20517683 DOI: 10.1245/s10434-010-1073-5]</w:t>
      </w:r>
    </w:p>
    <w:p w14:paraId="6D1C11B9" w14:textId="77777777" w:rsidR="00A77B3E" w:rsidRDefault="00DB0EE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Wang L</w:t>
      </w:r>
      <w:r>
        <w:rPr>
          <w:rFonts w:ascii="Book Antiqua" w:eastAsia="Book Antiqua" w:hAnsi="Book Antiqua" w:cs="Book Antiqua"/>
          <w:color w:val="000000"/>
        </w:rPr>
        <w:t xml:space="preserve">, Ye G, Zhan C, Sun F, Lin Z, Jiang W, Wang Q. Clinical Factors Predictive of a Better Prognosis of Pulmonary Metastasectomy for Hepatocellular Carcinoma.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1685-1691 [PMID: 31445050 DOI: 10.1016/j.athoracsur.2019.06.086]</w:t>
      </w:r>
    </w:p>
    <w:p w14:paraId="68E0C5D0" w14:textId="77777777" w:rsidR="00A77B3E" w:rsidRDefault="00DB0EE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Mizuguchi S</w:t>
      </w:r>
      <w:r>
        <w:rPr>
          <w:rFonts w:ascii="Book Antiqua" w:eastAsia="Book Antiqua" w:hAnsi="Book Antiqua" w:cs="Book Antiqua"/>
          <w:color w:val="000000"/>
        </w:rPr>
        <w:t xml:space="preserve">, Nishiyama N, Izumi N, Tsukioka T, Komatsu H, Iwata T, Tanaka S, Takemura S, Kubo S. Clinical Significance of Multiple Pulmonary Metastasectomy for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380-387 [PMID: 26306890 DOI: 10.1007/s00268-015-3213-3]</w:t>
      </w:r>
    </w:p>
    <w:p w14:paraId="1211B414" w14:textId="77777777" w:rsidR="00A77B3E" w:rsidRDefault="00DB0EE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Invenizzi F</w:t>
      </w:r>
      <w:r>
        <w:rPr>
          <w:rFonts w:ascii="Book Antiqua" w:eastAsia="Book Antiqua" w:hAnsi="Book Antiqua" w:cs="Book Antiqua"/>
          <w:color w:val="000000"/>
        </w:rPr>
        <w:t xml:space="preserve">, Iavarone M, Donato MF, Mazzucco A, Torre M, Conforti S, Rimessi A, Zavaglia C, Schiavon M, Comacchio G, Rea F, Boetto R, Cillo U, Dondossola D, De Carlis L, Lampertico P, Nosotti M, Mendogni P. Pulmonary Resection for Metastasis of Hepatocellular Carcinoma Recurring After Liver Transplant: An Italian Multicenter Experience.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381 [PMID: 32351877 DOI: 10.3389/fonc.2020.00381]</w:t>
      </w:r>
    </w:p>
    <w:p w14:paraId="4C360BE0" w14:textId="77777777" w:rsidR="00A77B3E" w:rsidRDefault="00DB0EE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Ohba T</w:t>
      </w:r>
      <w:r>
        <w:rPr>
          <w:rFonts w:ascii="Book Antiqua" w:eastAsia="Book Antiqua" w:hAnsi="Book Antiqua" w:cs="Book Antiqua"/>
          <w:color w:val="000000"/>
        </w:rPr>
        <w:t xml:space="preserve">, Yano T, Yoshida T, Kawano D, Tsukamoto S, Shoji F, Taketomi A, Saitsu H, Takeo S, Maehara Y. Results of a surgical resection of pulmonary metastasis from hepatocellular carcinoma: prognostic impact of the preoperative serum alpha-fetoprotein level.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526-531 [PMID: 22173647 DOI: 10.1007/s00595-011-0090-8]</w:t>
      </w:r>
    </w:p>
    <w:p w14:paraId="50727B72" w14:textId="77777777" w:rsidR="00A77B3E" w:rsidRDefault="00DB0EE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Hwang S</w:t>
      </w:r>
      <w:r>
        <w:rPr>
          <w:rFonts w:ascii="Book Antiqua" w:eastAsia="Book Antiqua" w:hAnsi="Book Antiqua" w:cs="Book Antiqua"/>
          <w:color w:val="000000"/>
        </w:rPr>
        <w:t xml:space="preserve">, Kim YH, Kim DK, Ahn CS, Moon DB, Kim KH, Ha TY, Song GW, Jung DH, Kim HR, Park GC, Namgoong JM, Yoon SY, Jung SW, Park SI, Lee SG. Resection of pulmonary metastases from hepatocellular carcinoma following liver transplantation.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1592-1602 [PMID: 22411088 DOI: 10.1007/s00268-012-1533-0]</w:t>
      </w:r>
    </w:p>
    <w:p w14:paraId="52F6B3E8" w14:textId="77777777" w:rsidR="00A77B3E" w:rsidRDefault="00DB0EE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Kuo SW</w:t>
      </w:r>
      <w:r>
        <w:rPr>
          <w:rFonts w:ascii="Book Antiqua" w:eastAsia="Book Antiqua" w:hAnsi="Book Antiqua" w:cs="Book Antiqua"/>
          <w:color w:val="000000"/>
        </w:rPr>
        <w:t xml:space="preserve">, Chang YL, Huang PM, Hsu HH, Chen JS, Lee JM, Lee PH, Lee YC. Prognostic factors for pulmonary metastasectomy in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992-997 [PMID: 17151787 DOI: 10.1245/s10434-006-9217-3]</w:t>
      </w:r>
    </w:p>
    <w:p w14:paraId="5D60AFE9" w14:textId="77777777" w:rsidR="00A77B3E" w:rsidRDefault="00DB0EE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Wang C</w:t>
      </w:r>
      <w:r>
        <w:rPr>
          <w:rFonts w:ascii="Book Antiqua" w:eastAsia="Book Antiqua" w:hAnsi="Book Antiqua" w:cs="Book Antiqua"/>
          <w:color w:val="000000"/>
        </w:rPr>
        <w:t xml:space="preserve">, Yang L, Liang Z, Liu Y, Liu S. Long-Term Survival and Prognostic Factors of Pulmonary Metastasectomy in Liver Cancer: A Systematic Review and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2153-2163 [PMID: 29435629 DOI: 10.1007/s00268-017-4431-7]</w:t>
      </w:r>
    </w:p>
    <w:p w14:paraId="6149554F" w14:textId="77777777" w:rsidR="00A77B3E" w:rsidRDefault="00DB0EE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Kuo TM</w:t>
      </w:r>
      <w:r>
        <w:rPr>
          <w:rFonts w:ascii="Book Antiqua" w:eastAsia="Book Antiqua" w:hAnsi="Book Antiqua" w:cs="Book Antiqua"/>
          <w:color w:val="000000"/>
        </w:rPr>
        <w:t xml:space="preserve">, Chang KM, Cheng TI, Kao KJ. Clinical Factors Predicting Better Survival Outcome for Pulmonary Metastasectomy of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297-306 [PMID: 29234633 DOI: 10.1159/000477134]</w:t>
      </w:r>
    </w:p>
    <w:p w14:paraId="555AA578" w14:textId="77777777" w:rsidR="00A77B3E" w:rsidRDefault="00DB0EE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Ikeda N, Nakajima J, Sawabata N, Chida M, Horio H, Okumura S, Kawamura M; Metastatic Lung Tumor Study Group of Japan. Prognostic Analysis of Surgical Resection for Pulmonary Metastasis from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2178-2185 [PMID: 27255943 DOI: 10.1007/s00268-016-3580-4]</w:t>
      </w:r>
    </w:p>
    <w:p w14:paraId="118ACA68" w14:textId="77777777" w:rsidR="00A77B3E" w:rsidRDefault="00DB0EE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Hornstein I</w:t>
      </w:r>
      <w:r>
        <w:rPr>
          <w:rFonts w:ascii="Book Antiqua" w:eastAsia="Book Antiqua" w:hAnsi="Book Antiqua" w:cs="Book Antiqua"/>
          <w:color w:val="000000"/>
        </w:rPr>
        <w:t xml:space="preserve">, Schwarz C, Ebbing S, Hoppe-Lotichius M, Otto G, Lang H, Musholt TJ. Surgical resection of metastases to the adrenal gland: a single center experience.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333-339 [PMID: 25726026 DOI: 10.1007/s00423-015-1293-z]</w:t>
      </w:r>
    </w:p>
    <w:p w14:paraId="1483BB25" w14:textId="77777777" w:rsidR="00A77B3E" w:rsidRDefault="00DB0EE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Ikegami T</w:t>
      </w:r>
      <w:r>
        <w:rPr>
          <w:rFonts w:ascii="Book Antiqua" w:eastAsia="Book Antiqua" w:hAnsi="Book Antiqua" w:cs="Book Antiqua"/>
          <w:color w:val="000000"/>
        </w:rPr>
        <w:t xml:space="preserve">, Yoshizumi T, Kawasaki J, Nagatsu A, Uchiyama H, Harada N, Harimoto N, Itoh S, Motomura T, Soejima Y, Maehara Y. Surgical Resection for Lymph Node Metastasis After Liver Transplantation for Hepatocellular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891-895 [PMID: 28179348 DOI: 10.21873/anticanres.11395]</w:t>
      </w:r>
    </w:p>
    <w:p w14:paraId="1CAF393C" w14:textId="77777777" w:rsidR="00A77B3E" w:rsidRDefault="00DB0EE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Kim CH</w:t>
      </w:r>
      <w:r>
        <w:rPr>
          <w:rFonts w:ascii="Book Antiqua" w:eastAsia="Book Antiqua" w:hAnsi="Book Antiqua" w:cs="Book Antiqua"/>
          <w:color w:val="000000"/>
        </w:rPr>
        <w:t xml:space="preserve">, Chung CK, Jahng TA, Kim HJ. Surgical outcome of spinal hepatocellular carcinoma metastases.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888-896 [PMID: 21221023 DOI: 10.1227/NEU.0b013e3182098c18]</w:t>
      </w:r>
    </w:p>
    <w:p w14:paraId="09336E85" w14:textId="77777777" w:rsidR="00A77B3E" w:rsidRDefault="00DB0EE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Staubitz JI</w:t>
      </w:r>
      <w:r>
        <w:rPr>
          <w:rFonts w:ascii="Book Antiqua" w:eastAsia="Book Antiqua" w:hAnsi="Book Antiqua" w:cs="Book Antiqua"/>
          <w:color w:val="000000"/>
        </w:rPr>
        <w:t xml:space="preserve">, Hoppe-Lotichius M, Baumgart J, Mittler J, Lang H, Musholt TJ. Survival After Adrenalectomy for Metastatic Hepatocellular Carcinoma: A 25-year Institutional Experience.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1118-1125 [PMID: 33354731 DOI: 10.1007/s00268-020-05909-0]</w:t>
      </w:r>
    </w:p>
    <w:p w14:paraId="15238EE1" w14:textId="77777777" w:rsidR="00A77B3E" w:rsidRDefault="00DB0EE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Woo SM</w:t>
      </w:r>
      <w:r>
        <w:rPr>
          <w:rFonts w:ascii="Book Antiqua" w:eastAsia="Book Antiqua" w:hAnsi="Book Antiqua" w:cs="Book Antiqua"/>
          <w:color w:val="000000"/>
        </w:rPr>
        <w:t xml:space="preserve">, Park JW, Han SS, Choi JI, Lee WJ, Park SJ, Hong EK, Kim CM. Isolated pancreatic metastasis of hepatocellular carcinoma after curative resection.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209-212 [PMID: 21160600 DOI: 10.4251/wjgo.v2.i4.209]</w:t>
      </w:r>
    </w:p>
    <w:p w14:paraId="102D07D0" w14:textId="77777777" w:rsidR="00A77B3E" w:rsidRDefault="00DB0EE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Doreille A</w:t>
      </w:r>
      <w:r>
        <w:rPr>
          <w:rFonts w:ascii="Book Antiqua" w:eastAsia="Book Antiqua" w:hAnsi="Book Antiqua" w:cs="Book Antiqua"/>
          <w:color w:val="000000"/>
        </w:rPr>
        <w:t xml:space="preserve">, N'Kontchou G, Halimi A, Bouhafs F, Coderc E, Sellier N, Seror O. Percutaneous treatment of extrahepatic recurrence of hepatocellular carcinoma. </w:t>
      </w:r>
      <w:r>
        <w:rPr>
          <w:rFonts w:ascii="Book Antiqua" w:eastAsia="Book Antiqua" w:hAnsi="Book Antiqua" w:cs="Book Antiqua"/>
          <w:i/>
          <w:iCs/>
          <w:color w:val="000000"/>
        </w:rPr>
        <w:t>Diagn Interv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1117-1123 [PMID: 27138073 DOI: 10.1016/j.diii.2015.11.020]</w:t>
      </w:r>
    </w:p>
    <w:p w14:paraId="2A916146" w14:textId="77777777" w:rsidR="00A77B3E" w:rsidRDefault="00DB0EE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Mu L</w:t>
      </w:r>
      <w:r>
        <w:rPr>
          <w:rFonts w:ascii="Book Antiqua" w:eastAsia="Book Antiqua" w:hAnsi="Book Antiqua" w:cs="Book Antiqua"/>
          <w:color w:val="000000"/>
        </w:rPr>
        <w:t xml:space="preserve">, Sun L, Pan T, Lyu N, Li S, Li X, Wang J, Xie Q, Deng H, Zheng L, Peng J, Shen L, Fan W, Wu P, Zhao M. Percutaneous CT-guided radiofrequency ablation for patients with extrahepatic oligometastases of hepatocellular carcinoma: long-term results.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59-67 [PMID: 28540809 DOI: 10.1080/02656736.2017.1318332]</w:t>
      </w:r>
    </w:p>
    <w:p w14:paraId="264D8270" w14:textId="77777777" w:rsidR="00A77B3E" w:rsidRDefault="00DB0EE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Giovannini M</w:t>
      </w:r>
      <w:r>
        <w:rPr>
          <w:rFonts w:ascii="Book Antiqua" w:eastAsia="Book Antiqua" w:hAnsi="Book Antiqua" w:cs="Book Antiqua"/>
          <w:color w:val="000000"/>
        </w:rPr>
        <w:t xml:space="preserve">. Percutaneous alcohol ablation for liver metastasis.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29</w:t>
      </w:r>
      <w:r>
        <w:rPr>
          <w:rFonts w:ascii="Book Antiqua" w:eastAsia="Book Antiqua" w:hAnsi="Book Antiqua" w:cs="Book Antiqua"/>
          <w:color w:val="000000"/>
        </w:rPr>
        <w:t>: 192-195 [PMID: 11951217 DOI: 10.1053/sonc.2002.31677]</w:t>
      </w:r>
    </w:p>
    <w:p w14:paraId="0691CB86" w14:textId="77777777" w:rsidR="00A77B3E" w:rsidRDefault="00DB0EE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Gao Y</w:t>
      </w:r>
      <w:r>
        <w:rPr>
          <w:rFonts w:ascii="Book Antiqua" w:eastAsia="Book Antiqua" w:hAnsi="Book Antiqua" w:cs="Book Antiqua"/>
          <w:color w:val="000000"/>
        </w:rPr>
        <w:t xml:space="preserve">, Zheng L, Liang P, Cheng Z, Han Z, Tan SL, Yu X. Evaluating the efficacy and safety of ultrasound-guided percutaneous microwave ablation for the treatment of adrenal metastasis.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1088-1092 [PMID: 33004752 DOI: 10.4103/jcrt.JCRT_1119_19]</w:t>
      </w:r>
    </w:p>
    <w:p w14:paraId="22397613" w14:textId="0DF60AF1" w:rsidR="00A77B3E" w:rsidRDefault="00DB0EE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Long H</w:t>
      </w:r>
      <w:r w:rsidRPr="00A30458">
        <w:rPr>
          <w:rFonts w:ascii="Book Antiqua" w:eastAsia="Book Antiqua" w:hAnsi="Book Antiqua" w:cs="Book Antiqua"/>
          <w:color w:val="000000"/>
        </w:rPr>
        <w:t xml:space="preserve">, </w:t>
      </w:r>
      <w:r>
        <w:rPr>
          <w:rFonts w:ascii="Book Antiqua" w:eastAsia="Book Antiqua" w:hAnsi="Book Antiqua" w:cs="Book Antiqua"/>
          <w:color w:val="000000"/>
        </w:rPr>
        <w:t xml:space="preserve">Zhuang B, Huang G, Li X, Lin M, Long J, Xie X, Liu B. Safety and Local Efficacy of Laser Ablation for the Extrahepatic Metastasis of Hepatocellular Carcinoma: An Available Treatment Strategy. </w:t>
      </w:r>
      <w:r w:rsidRPr="00A30458">
        <w:rPr>
          <w:rFonts w:ascii="Book Antiqua" w:eastAsia="Book Antiqua" w:hAnsi="Book Antiqua" w:cs="Book Antiqua"/>
          <w:i/>
          <w:iCs/>
          <w:color w:val="000000"/>
        </w:rPr>
        <w:t>Coatings</w:t>
      </w:r>
      <w:r>
        <w:rPr>
          <w:rFonts w:ascii="Book Antiqua" w:eastAsia="Book Antiqua" w:hAnsi="Book Antiqua" w:cs="Book Antiqua"/>
          <w:color w:val="000000"/>
        </w:rPr>
        <w:t xml:space="preserve"> 2020</w:t>
      </w:r>
      <w:r w:rsidR="00A30458">
        <w:rPr>
          <w:rFonts w:ascii="Book Antiqua" w:eastAsia="Book Antiqua" w:hAnsi="Book Antiqua" w:cs="Book Antiqua"/>
          <w:color w:val="000000"/>
        </w:rPr>
        <w:t xml:space="preserve">; </w:t>
      </w:r>
      <w:r w:rsidR="00A30458" w:rsidRPr="00A30458">
        <w:rPr>
          <w:rFonts w:ascii="Book Antiqua" w:eastAsia="Book Antiqua" w:hAnsi="Book Antiqua" w:cs="Book Antiqua"/>
          <w:b/>
          <w:bCs/>
          <w:color w:val="000000"/>
        </w:rPr>
        <w:t>10</w:t>
      </w:r>
      <w:r>
        <w:rPr>
          <w:rFonts w:ascii="Book Antiqua" w:eastAsia="Book Antiqua" w:hAnsi="Book Antiqua" w:cs="Book Antiqua"/>
          <w:color w:val="000000"/>
        </w:rPr>
        <w:t xml:space="preserve">: </w:t>
      </w:r>
      <w:r w:rsidR="00A30458">
        <w:rPr>
          <w:rFonts w:ascii="Book Antiqua" w:eastAsia="Book Antiqua" w:hAnsi="Book Antiqua" w:cs="Book Antiqua"/>
          <w:color w:val="000000"/>
        </w:rPr>
        <w:t xml:space="preserve">951 </w:t>
      </w:r>
      <w:r>
        <w:rPr>
          <w:rFonts w:ascii="Book Antiqua" w:eastAsia="Book Antiqua" w:hAnsi="Book Antiqua" w:cs="Book Antiqua"/>
          <w:color w:val="000000"/>
        </w:rPr>
        <w:t>[DOI:10.3390/coatings10100951]</w:t>
      </w:r>
    </w:p>
    <w:p w14:paraId="117378B1" w14:textId="77777777" w:rsidR="00A77B3E" w:rsidRDefault="00DB0EE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Ma J</w:t>
      </w:r>
      <w:r>
        <w:rPr>
          <w:rFonts w:ascii="Book Antiqua" w:eastAsia="Book Antiqua" w:hAnsi="Book Antiqua" w:cs="Book Antiqua"/>
          <w:color w:val="000000"/>
        </w:rPr>
        <w:t xml:space="preserve">, Wang F, Zhang W, Wang L, Yang X, Qian Y, Huang J, Wang J, Yang J. Percutaneous cryoablation for the treatment of liver cancer at special sites: an assessment of efficacy and safety. </w:t>
      </w:r>
      <w:r>
        <w:rPr>
          <w:rFonts w:ascii="Book Antiqua" w:eastAsia="Book Antiqua" w:hAnsi="Book Antiqua" w:cs="Book Antiqua"/>
          <w:i/>
          <w:iCs/>
          <w:color w:val="000000"/>
        </w:rPr>
        <w:t>Quant Imaging Med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1948-1957 [PMID: 31929967 DOI: 10.21037/qims.2019.11.12]</w:t>
      </w:r>
    </w:p>
    <w:p w14:paraId="15E9E436" w14:textId="77777777" w:rsidR="00A77B3E" w:rsidRDefault="00DB0EE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Lassandro G</w:t>
      </w:r>
      <w:r>
        <w:rPr>
          <w:rFonts w:ascii="Book Antiqua" w:eastAsia="Book Antiqua" w:hAnsi="Book Antiqua" w:cs="Book Antiqua"/>
          <w:color w:val="000000"/>
        </w:rPr>
        <w:t xml:space="preserve">, Picchi SG, Bianco A, Di Costanzo G, Coppola A, Ierardi AM, Lassandro F. Effectiveness and safety in radiofrequency ablation of pulmonary metastases from HCC: a five years study.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25 [PMID: 32166529 DOI: 10.1007/s12032-020-01352-2]</w:t>
      </w:r>
    </w:p>
    <w:p w14:paraId="48E4B127" w14:textId="77777777" w:rsidR="00A77B3E" w:rsidRDefault="00DB0EE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Hiraki T</w:t>
      </w:r>
      <w:r>
        <w:rPr>
          <w:rFonts w:ascii="Book Antiqua" w:eastAsia="Book Antiqua" w:hAnsi="Book Antiqua" w:cs="Book Antiqua"/>
          <w:color w:val="000000"/>
        </w:rPr>
        <w:t xml:space="preserve">, Yamakado K, Ikeda O, Matsuoka T, Kaminou T, Yamagami T, Gobara H, Mimura H, Kawanaka K, Takeda K, Yamashita Y, Inoue Y, Ogawa T, Nishimura T, Kanazawa S. Percutaneous radiofrequency ablation for pulmonary metastases from hepatocellular carcinoma: results of a multicenter study in Japan.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741-748 [PMID: 21531575 DOI: 10.1016/j.jvir.2011.02.030]</w:t>
      </w:r>
    </w:p>
    <w:p w14:paraId="086CEE3A" w14:textId="77777777" w:rsidR="00A77B3E" w:rsidRDefault="00DB0EE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Li X</w:t>
      </w:r>
      <w:r>
        <w:rPr>
          <w:rFonts w:ascii="Book Antiqua" w:eastAsia="Book Antiqua" w:hAnsi="Book Antiqua" w:cs="Book Antiqua"/>
          <w:color w:val="000000"/>
        </w:rPr>
        <w:t xml:space="preserve">, Wang J, Li W, Huang Z, Fan W, Chen Y, Shen L, Pan T, Wu P, Zhao M. Percutaneous CT-guided radiofrequency ablation for unresectable hepatocellular carcinoma pulmonary metastases.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721-728 [PMID: 23153217 DOI: 10.3109/02656736.2012.736669]</w:t>
      </w:r>
    </w:p>
    <w:p w14:paraId="55FBDE5E" w14:textId="77777777" w:rsidR="00A77B3E" w:rsidRDefault="00DB0EE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Gao F</w:t>
      </w:r>
      <w:r>
        <w:rPr>
          <w:rFonts w:ascii="Book Antiqua" w:eastAsia="Book Antiqua" w:hAnsi="Book Antiqua" w:cs="Book Antiqua"/>
          <w:color w:val="000000"/>
        </w:rPr>
        <w:t xml:space="preserve">, Gu Y, Huang J, Zhao M, Wu P. Radiofrequency ablation of retroperitoneal metastatic lymph nodes from hepatocellular carcinoma. </w:t>
      </w:r>
      <w:r>
        <w:rPr>
          <w:rFonts w:ascii="Book Antiqua" w:eastAsia="Book Antiqua" w:hAnsi="Book Antiqua" w:cs="Book Antiqua"/>
          <w:i/>
          <w:iCs/>
          <w:color w:val="000000"/>
        </w:rPr>
        <w:t>Acad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1035-1040 [PMID: 22591723 DOI: 10.1016/j.acra.2012.04.003]</w:t>
      </w:r>
    </w:p>
    <w:p w14:paraId="3A8E97F0" w14:textId="77777777" w:rsidR="00A77B3E" w:rsidRDefault="00DB0EE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Mou Y</w:t>
      </w:r>
      <w:r>
        <w:rPr>
          <w:rFonts w:ascii="Book Antiqua" w:eastAsia="Book Antiqua" w:hAnsi="Book Antiqua" w:cs="Book Antiqua"/>
          <w:color w:val="000000"/>
        </w:rPr>
        <w:t xml:space="preserve">, Zhao Q, Zhong L, Chen F, Jiang T. Preliminary results of ultrasound-guided laser ablation for unresectable metastases to retroperitoneal and hepatic portal lymph nodes.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165 [PMID: 27338093 DOI: 10.1186/s12957-016-0917-2]</w:t>
      </w:r>
    </w:p>
    <w:p w14:paraId="0B679939" w14:textId="77777777" w:rsidR="00A77B3E" w:rsidRDefault="00DB0EE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Kashima M</w:t>
      </w:r>
      <w:r>
        <w:rPr>
          <w:rFonts w:ascii="Book Antiqua" w:eastAsia="Book Antiqua" w:hAnsi="Book Antiqua" w:cs="Book Antiqua"/>
          <w:color w:val="000000"/>
        </w:rPr>
        <w:t xml:space="preserve">, Yamakado K, Takaki H, Kaminou T, Tanigawa N, Nakatsuka A, Takeda K. Radiofrequency ablation for the treatment of bone metastases from hepatocellular carcinoma.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194</w:t>
      </w:r>
      <w:r>
        <w:rPr>
          <w:rFonts w:ascii="Book Antiqua" w:eastAsia="Book Antiqua" w:hAnsi="Book Antiqua" w:cs="Book Antiqua"/>
          <w:color w:val="000000"/>
        </w:rPr>
        <w:t>: 536-541 [PMID: 20093621 DOI: 10.2214/AJR.09.2975]</w:t>
      </w:r>
    </w:p>
    <w:p w14:paraId="206DDAAE" w14:textId="77777777" w:rsidR="00A77B3E" w:rsidRDefault="00DB0EE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Carrafiello G</w:t>
      </w:r>
      <w:r>
        <w:rPr>
          <w:rFonts w:ascii="Book Antiqua" w:eastAsia="Book Antiqua" w:hAnsi="Book Antiqua" w:cs="Book Antiqua"/>
          <w:color w:val="000000"/>
        </w:rPr>
        <w:t xml:space="preserve">, Laganà D, Ianniello A, Nicotera P, Fontana F, Dizonno M, Cuffari S, Fugazzola C. Radiofrequency thermal ablation for pain control in patients with single painful bone metastasis from hepatocellular carcinoma.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363-368 [PMID: 18514456 DOI: 10.1016/j.ejrad.2008.04.019]</w:t>
      </w:r>
    </w:p>
    <w:p w14:paraId="316AF6D1" w14:textId="77777777" w:rsidR="00A77B3E" w:rsidRDefault="00DB0EE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Xie X, Lin J, Wang W, Zhang X, Liu M, Li X, Huang G, Liu B, Xie X. Percutaneous radiofrequency ablation of adrenal metastases from hepatocellular carcinoma: a single-center experience.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44 [PMID: 31242934 DOI: 10.1186/s40644-019-0231-7]</w:t>
      </w:r>
    </w:p>
    <w:p w14:paraId="6F8B6CD7" w14:textId="77777777" w:rsidR="00A77B3E" w:rsidRDefault="00DB0EE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Kondo Y</w:t>
      </w:r>
      <w:r>
        <w:rPr>
          <w:rFonts w:ascii="Book Antiqua" w:eastAsia="Book Antiqua" w:hAnsi="Book Antiqua" w:cs="Book Antiqua"/>
          <w:color w:val="000000"/>
        </w:rPr>
        <w:t xml:space="preserve">, Kimura O, Shimosegawa T. Radiation therapy has been shown to be adaptable for various stages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94-101 [PMID: 25574082 DOI: 10.3748/wjg.v21.i1.94]</w:t>
      </w:r>
    </w:p>
    <w:p w14:paraId="52DB67CB" w14:textId="77777777" w:rsidR="00A77B3E" w:rsidRDefault="00DB0EE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Zeng ZC, Zhang JY, Fan J, Zeng MS, Zhou J. Palliative radiation therapy for pulmonary metastases from hepatocellular carcinoma.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197-205 [PMID: 22173728 DOI: 10.1007/s10585-011-9442-4]</w:t>
      </w:r>
    </w:p>
    <w:p w14:paraId="4629C1F8" w14:textId="77777777" w:rsidR="00A77B3E" w:rsidRDefault="00DB0EE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Lin G</w:t>
      </w:r>
      <w:r>
        <w:rPr>
          <w:rFonts w:ascii="Book Antiqua" w:eastAsia="Book Antiqua" w:hAnsi="Book Antiqua" w:cs="Book Antiqua"/>
          <w:color w:val="000000"/>
        </w:rPr>
        <w:t xml:space="preserve">, Xiao H, Zeng Z, Xu Z, He J, Sun T, Liu J, Guo G, Ji W, Hu Y. Constraints for symptomatic radiation pneumonitis of helical tomotherapy hypofractionated simultaneous multitarget radiotherapy for pulmonary metastasis from hepatocellular carcinoma.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246-250 [PMID: 28314468 DOI: 10.1016/j.radonc.2017.02.015]</w:t>
      </w:r>
    </w:p>
    <w:p w14:paraId="4B031E29" w14:textId="77777777" w:rsidR="00A77B3E" w:rsidRDefault="00DB0EE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Rim CH</w:t>
      </w:r>
      <w:r>
        <w:rPr>
          <w:rFonts w:ascii="Book Antiqua" w:eastAsia="Book Antiqua" w:hAnsi="Book Antiqua" w:cs="Book Antiqua"/>
          <w:color w:val="000000"/>
        </w:rPr>
        <w:t xml:space="preserve">, Kim CY, Yang DS, Yoon WS. The role of external beam radiotherapy for hepatocellular carcinoma patients with lymph node metastasis: a meta-analysis of observational studies.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3305-3315 [PMID: 30233246 DOI: 10.2147/CMAR.S175703]</w:t>
      </w:r>
    </w:p>
    <w:p w14:paraId="51A8E748" w14:textId="77777777" w:rsidR="00A77B3E" w:rsidRDefault="00DB0EE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Matoba M</w:t>
      </w:r>
      <w:r>
        <w:rPr>
          <w:rFonts w:ascii="Book Antiqua" w:eastAsia="Book Antiqua" w:hAnsi="Book Antiqua" w:cs="Book Antiqua"/>
          <w:color w:val="000000"/>
        </w:rPr>
        <w:t xml:space="preserve">, Tsuchiya H, Kondo T, Ota K. Stereotactic body radiotherapy delivered with IMRT for oligometastatic regional lymph node metastases in hepatocellular carcinoma: a single-institutional study. </w:t>
      </w:r>
      <w:r>
        <w:rPr>
          <w:rFonts w:ascii="Book Antiqua" w:eastAsia="Book Antiqua" w:hAnsi="Book Antiqua" w:cs="Book Antiqua"/>
          <w:i/>
          <w:iCs/>
          <w:color w:val="000000"/>
        </w:rPr>
        <w:t>J Radiat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776-783 [PMID: 32845298 DOI: 10.1093/jrr/rraa067]</w:t>
      </w:r>
    </w:p>
    <w:p w14:paraId="57BD8D92" w14:textId="77777777" w:rsidR="00A77B3E" w:rsidRDefault="00DB0EE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Chen Y, Hu Y, Yang P, Wang B, Zhang J, Sun J, Zeng Z. Image-guided intensity-modulated radiotherapy improves short-term survival for abdominal lymph node metastases from hepatocellular carcinoma. </w:t>
      </w:r>
      <w:r>
        <w:rPr>
          <w:rFonts w:ascii="Book Antiqua" w:eastAsia="Book Antiqua" w:hAnsi="Book Antiqua" w:cs="Book Antiqua"/>
          <w:i/>
          <w:iCs/>
          <w:color w:val="000000"/>
        </w:rPr>
        <w:t>Ann Palliat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717-727 [PMID: 31865732 DOI: 10.21037/apm.2019.11.17]</w:t>
      </w:r>
    </w:p>
    <w:p w14:paraId="1DED00C5" w14:textId="77777777" w:rsidR="00A77B3E" w:rsidRDefault="00DB0EE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Park YJ</w:t>
      </w:r>
      <w:r>
        <w:rPr>
          <w:rFonts w:ascii="Book Antiqua" w:eastAsia="Book Antiqua" w:hAnsi="Book Antiqua" w:cs="Book Antiqua"/>
          <w:color w:val="000000"/>
        </w:rPr>
        <w:t xml:space="preserve">, Lim DH, Paik SW, Koh KC, Lee JH, Choi MS, Yoo BC, Nam HR, Oh DR, Park W, Ahn YC, Huh SJ. Radiation therapy for abdominal lymph node metastasis from hepatocellular 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1099-1106 [PMID: 17160521 DOI: 10.1007/s00535-006-1895-x]</w:t>
      </w:r>
    </w:p>
    <w:p w14:paraId="28433A2B" w14:textId="77777777" w:rsidR="00A77B3E" w:rsidRDefault="00DB0EE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Nakagawa K, Shiraishi K, Tago M, Igaki H, Nakamura N, Sasano N, Siina S, Omata M, Ohtomo K. Radiotherapy for lymph node metastases in patients with hepatocellular carcinoma: retrospective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523-527 [PMID: 17376045 DOI: 10.1111/j.1440-1746.2006.04450.x]</w:t>
      </w:r>
    </w:p>
    <w:p w14:paraId="361B4ABB" w14:textId="77777777" w:rsidR="00A77B3E" w:rsidRDefault="00DB0EE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Zeng ZC</w:t>
      </w:r>
      <w:r>
        <w:rPr>
          <w:rFonts w:ascii="Book Antiqua" w:eastAsia="Book Antiqua" w:hAnsi="Book Antiqua" w:cs="Book Antiqua"/>
          <w:color w:val="000000"/>
        </w:rPr>
        <w:t xml:space="preserve">, Tang ZY, Fan J, Qin LX, Ye SL, Zhou J, Sun HC, Wang BL, Wang JH. Consideration of role of radiotherapy for lymph node metastases in patients with HCC: retrospective analysis for prognostic factors from 125 patients.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2005; </w:t>
      </w:r>
      <w:r>
        <w:rPr>
          <w:rFonts w:ascii="Book Antiqua" w:eastAsia="Book Antiqua" w:hAnsi="Book Antiqua" w:cs="Book Antiqua"/>
          <w:b/>
          <w:bCs/>
          <w:color w:val="000000"/>
        </w:rPr>
        <w:t>63</w:t>
      </w:r>
      <w:r>
        <w:rPr>
          <w:rFonts w:ascii="Book Antiqua" w:eastAsia="Book Antiqua" w:hAnsi="Book Antiqua" w:cs="Book Antiqua"/>
          <w:color w:val="000000"/>
        </w:rPr>
        <w:t>: 1067-1076 [PMID: 15913915 DOI: 10.1016/j.ijrobp.2005.03.058]</w:t>
      </w:r>
    </w:p>
    <w:p w14:paraId="500EA9DF" w14:textId="77777777" w:rsidR="00A77B3E" w:rsidRDefault="00DB0EE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Yuan BY</w:t>
      </w:r>
      <w:r>
        <w:rPr>
          <w:rFonts w:ascii="Book Antiqua" w:eastAsia="Book Antiqua" w:hAnsi="Book Antiqua" w:cs="Book Antiqua"/>
          <w:color w:val="000000"/>
        </w:rPr>
        <w:t xml:space="preserve">, Hu Y, Zhang L, Chen YH, Dong YY, Zeng ZC. Radiotherapy for adrenal gland metastases from hepatocellular carcinoma.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1154-1160 [PMID: 28357632 DOI: 10.1007/s12094-017-1654-x]</w:t>
      </w:r>
    </w:p>
    <w:p w14:paraId="5D97A3DB" w14:textId="77777777" w:rsidR="00A77B3E" w:rsidRDefault="00DB0EE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Jung J</w:t>
      </w:r>
      <w:r>
        <w:rPr>
          <w:rFonts w:ascii="Book Antiqua" w:eastAsia="Book Antiqua" w:hAnsi="Book Antiqua" w:cs="Book Antiqua"/>
          <w:color w:val="000000"/>
        </w:rPr>
        <w:t xml:space="preserve">, Yoon SM, Park HC, Nam TK, Seong J, Chie EK, Kim TH, Kim MS, Kim CY, Jang HS, Kim JH. Radiotherapy for Adrenal Metastasis from Hepatocellular Carcinoma: A Multi-Institutional Retrospective Study (KROG 13-05).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e0152642 [PMID: 27022932 DOI: 10.1371/journal.pone.0152642]</w:t>
      </w:r>
    </w:p>
    <w:p w14:paraId="1D75EC37" w14:textId="77777777" w:rsidR="00A77B3E" w:rsidRDefault="00DB0EE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Zhou LY</w:t>
      </w:r>
      <w:r>
        <w:rPr>
          <w:rFonts w:ascii="Book Antiqua" w:eastAsia="Book Antiqua" w:hAnsi="Book Antiqua" w:cs="Book Antiqua"/>
          <w:color w:val="000000"/>
        </w:rPr>
        <w:t xml:space="preserve">, Zeng ZC, Fan J, Chen B, Rao SX, He J, Yang P, Hou JZ, Wu ZF, Zhang JY, Hu Y. Radiotherapy treatment of adrenal gland metastases from hepatocellular carcinoma: clinical features and prognostic factors.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878 [PMID: 25421498 DOI: 10.1186/1471-2407-14-878]</w:t>
      </w:r>
    </w:p>
    <w:p w14:paraId="4FF3C3C9" w14:textId="77777777" w:rsidR="00A77B3E" w:rsidRDefault="00DB0EE1">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Habermehl D</w:t>
      </w:r>
      <w:r>
        <w:rPr>
          <w:rFonts w:ascii="Book Antiqua" w:eastAsia="Book Antiqua" w:hAnsi="Book Antiqua" w:cs="Book Antiqua"/>
          <w:color w:val="000000"/>
        </w:rPr>
        <w:t xml:space="preserve">, Haase K, Rieken S, Debus J, Combs SE. Defining the role of palliative radiotherapy in bone metastasis from primary liver cancer: an analysis of survival and treatment efficacy.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2011; </w:t>
      </w:r>
      <w:r>
        <w:rPr>
          <w:rFonts w:ascii="Book Antiqua" w:eastAsia="Book Antiqua" w:hAnsi="Book Antiqua" w:cs="Book Antiqua"/>
          <w:b/>
          <w:bCs/>
          <w:color w:val="000000"/>
        </w:rPr>
        <w:t>97</w:t>
      </w:r>
      <w:r>
        <w:rPr>
          <w:rFonts w:ascii="Book Antiqua" w:eastAsia="Book Antiqua" w:hAnsi="Book Antiqua" w:cs="Book Antiqua"/>
          <w:color w:val="000000"/>
        </w:rPr>
        <w:t>: 609-613 [PMID: 22158492 DOI: 10.1700/989.10720]</w:t>
      </w:r>
    </w:p>
    <w:p w14:paraId="55AACCA3" w14:textId="77777777" w:rsidR="00A77B3E" w:rsidRDefault="00DB0EE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Jung IH</w:t>
      </w:r>
      <w:r>
        <w:rPr>
          <w:rFonts w:ascii="Book Antiqua" w:eastAsia="Book Antiqua" w:hAnsi="Book Antiqua" w:cs="Book Antiqua"/>
          <w:color w:val="000000"/>
        </w:rPr>
        <w:t xml:space="preserve">, Yoon SM, Kwak J, Park JH, Song SY, Lee SW, Ahn SD, Choi EK, Kim JH. High-dose radiotherapy is associated with better local control of bone metastasis from hepatocellular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15182-15192 [PMID: 28146433 DOI: 10.18632/oncotarget.14858]</w:t>
      </w:r>
    </w:p>
    <w:p w14:paraId="14796228" w14:textId="77777777" w:rsidR="00A77B3E" w:rsidRDefault="00DB0EE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He J</w:t>
      </w:r>
      <w:r>
        <w:rPr>
          <w:rFonts w:ascii="Book Antiqua" w:eastAsia="Book Antiqua" w:hAnsi="Book Antiqua" w:cs="Book Antiqua"/>
          <w:color w:val="000000"/>
        </w:rPr>
        <w:t xml:space="preserve">, Zeng ZC, Tang ZY, Fan J, Zhou J, Zeng MS, Wang JH, Sun J, Chen B, Yang P, Pan BS. Clinical features and prognostic factors in patients with bone metastases from hepatocellular carcinoma receiving external beam radiotherapy.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2710-2720 [PMID: 19382203 DOI: 10.1002/cncr.24300]</w:t>
      </w:r>
    </w:p>
    <w:p w14:paraId="0FB76350" w14:textId="77777777" w:rsidR="00A77B3E" w:rsidRDefault="00DB0EE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Park S</w:t>
      </w:r>
      <w:r>
        <w:rPr>
          <w:rFonts w:ascii="Book Antiqua" w:eastAsia="Book Antiqua" w:hAnsi="Book Antiqua" w:cs="Book Antiqua"/>
          <w:color w:val="000000"/>
        </w:rPr>
        <w:t xml:space="preserve">, Byun HK, Seong J. Irradiation-Related Lymphopenia for Bone Metastasis from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468-479 [PMID: 31799204 DOI: 10.1159/000500461]</w:t>
      </w:r>
    </w:p>
    <w:p w14:paraId="0969B22F" w14:textId="77777777" w:rsidR="00A77B3E" w:rsidRDefault="00DB0EE1">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Yamakawa Y</w:t>
      </w:r>
      <w:r>
        <w:rPr>
          <w:rFonts w:ascii="Book Antiqua" w:eastAsia="Book Antiqua" w:hAnsi="Book Antiqua" w:cs="Book Antiqua"/>
          <w:color w:val="000000"/>
        </w:rPr>
        <w:t xml:space="preserve">, Moriguchi M, Aramaki T, Mitsuya K, Asakura K, Sawada A, Endo M, Nakasu Y. Brain metastasis from hepatocellular carcinoma: The impact of radiotherapy on control of intracranial hemorrhage.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1071-1075 [PMID: 25470452 DOI: 10.1111/hepr.12457]</w:t>
      </w:r>
    </w:p>
    <w:p w14:paraId="36E55871" w14:textId="77777777" w:rsidR="00A77B3E" w:rsidRDefault="00DB0EE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Park Y</w:t>
      </w:r>
      <w:r>
        <w:rPr>
          <w:rFonts w:ascii="Book Antiqua" w:eastAsia="Book Antiqua" w:hAnsi="Book Antiqua" w:cs="Book Antiqua"/>
          <w:color w:val="000000"/>
        </w:rPr>
        <w:t xml:space="preserve">, Kim KS, Kim K, Chie EK, Kim JH, Kim JS, Kim TH, Kim DY, Jang WI, Kim MS, Koo TR, Chang AR. Nomogram prediction of survival in patients with brain metastases from hepatocellular carcinoma treated with whole-brain radiotherapy: a multicenter retrospective study.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377-383 [PMID: 26342711 DOI: 10.1007/s11060-015-1926-7]</w:t>
      </w:r>
    </w:p>
    <w:p w14:paraId="177EB6B4" w14:textId="77777777" w:rsidR="00A77B3E" w:rsidRDefault="00DB0EE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Jiang XB</w:t>
      </w:r>
      <w:r>
        <w:rPr>
          <w:rFonts w:ascii="Book Antiqua" w:eastAsia="Book Antiqua" w:hAnsi="Book Antiqua" w:cs="Book Antiqua"/>
          <w:color w:val="000000"/>
        </w:rPr>
        <w:t xml:space="preserve">, Ke C, Zhang GH, Zhang XH, Sai K, Chen ZP, Mou YG. Brain metastases from hepatocellular carcinoma: clinical features and prognostic factors.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49 [PMID: 22292912 DOI: 10.1186/1471-2407-12-49]</w:t>
      </w:r>
    </w:p>
    <w:p w14:paraId="7333CE16" w14:textId="77777777" w:rsidR="00A77B3E" w:rsidRDefault="00DB0EE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Nam HC</w:t>
      </w:r>
      <w:r>
        <w:rPr>
          <w:rFonts w:ascii="Book Antiqua" w:eastAsia="Book Antiqua" w:hAnsi="Book Antiqua" w:cs="Book Antiqua"/>
          <w:color w:val="000000"/>
        </w:rPr>
        <w:t xml:space="preserve">, Sung PS, Song DS, Kwon JH, Nam SW, Yoon DJ, Jang JW, Choi JY, Yoon SK, Moon SW, Jang HS, Park JS, Jeun SS, Hong YK, Bae SH. Control of intracranial disease is associated with improved survival in patients with brain metastasis from hepatocellular carcinoma.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666-676 [PMID: 30788672 DOI: 10.1007/s10147-019-01407-z]</w:t>
      </w:r>
    </w:p>
    <w:p w14:paraId="257612C3" w14:textId="77777777" w:rsidR="00A77B3E" w:rsidRDefault="00DB0EE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Momoi H</w:t>
      </w:r>
      <w:r>
        <w:rPr>
          <w:rFonts w:ascii="Book Antiqua" w:eastAsia="Book Antiqua" w:hAnsi="Book Antiqua" w:cs="Book Antiqua"/>
          <w:color w:val="000000"/>
        </w:rPr>
        <w:t xml:space="preserve">, Shimahara Y, Terajima H, Iimuro Y, Yamamoto N, Yamamoto Y, Ikai I, Yamaoka Y. Management of adrenal metastasis from hepatocellular carcinoma.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2002; </w:t>
      </w:r>
      <w:r>
        <w:rPr>
          <w:rFonts w:ascii="Book Antiqua" w:eastAsia="Book Antiqua" w:hAnsi="Book Antiqua" w:cs="Book Antiqua"/>
          <w:b/>
          <w:bCs/>
          <w:color w:val="000000"/>
        </w:rPr>
        <w:t>32</w:t>
      </w:r>
      <w:r>
        <w:rPr>
          <w:rFonts w:ascii="Book Antiqua" w:eastAsia="Book Antiqua" w:hAnsi="Book Antiqua" w:cs="Book Antiqua"/>
          <w:color w:val="000000"/>
        </w:rPr>
        <w:t>: 1035-1041 [PMID: 12541019 DOI: 10.1007/s005950200210]</w:t>
      </w:r>
    </w:p>
    <w:p w14:paraId="3DBA848D" w14:textId="77777777" w:rsidR="00A77B3E" w:rsidRDefault="00DB0EE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Wu H</w:t>
      </w:r>
      <w:r>
        <w:rPr>
          <w:rFonts w:ascii="Book Antiqua" w:eastAsia="Book Antiqua" w:hAnsi="Book Antiqua" w:cs="Book Antiqua"/>
          <w:color w:val="000000"/>
        </w:rPr>
        <w:t xml:space="preserve">, Liu S, Zheng J, Ji G, Han J, Xie Y. Transcatheter arterial chemoembolization (TACE) for lymph node metastases in patients with hepatocellular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372-376 [PMID: 26368066 DOI: 10.1002/jso.23994]</w:t>
      </w:r>
    </w:p>
    <w:p w14:paraId="377BFA87" w14:textId="77777777" w:rsidR="00A77B3E" w:rsidRDefault="00DB0EE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Hori A</w:t>
      </w:r>
      <w:r>
        <w:rPr>
          <w:rFonts w:ascii="Book Antiqua" w:eastAsia="Book Antiqua" w:hAnsi="Book Antiqua" w:cs="Book Antiqua"/>
          <w:color w:val="000000"/>
        </w:rPr>
        <w:t xml:space="preserve">, Ohira R, Nakamura T, Kimura Y, Ueda S, Torii M, Kennoki N, Hori S. Transarterial chemoembolization for pulmonary or mediastinal metastases from hepatocellular carcinoma.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20190407 [PMID: 32142364 DOI: 10.1259/bjr.20190407]</w:t>
      </w:r>
    </w:p>
    <w:p w14:paraId="2A46D6B3" w14:textId="77777777" w:rsidR="00A77B3E" w:rsidRDefault="00DB0EE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Wada Y</w:t>
      </w:r>
      <w:r>
        <w:rPr>
          <w:rFonts w:ascii="Book Antiqua" w:eastAsia="Book Antiqua" w:hAnsi="Book Antiqua" w:cs="Book Antiqua"/>
          <w:color w:val="000000"/>
        </w:rPr>
        <w:t xml:space="preserve">, Takami Y, Matsushima H, Tateishi M, Ryu T, Yoshitomi M, Matsumura T, Saitsu H. The Safety and Efficacy of Combination Therapy of Sorafenib and Radiotherapy for Advanced Hepatocellular Carcinoma: A Retrospective Study.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1345-1353 [PMID: 29279513 DOI: 10.2169/internalmedicine.9826-17]</w:t>
      </w:r>
    </w:p>
    <w:p w14:paraId="7AA759B4" w14:textId="77777777" w:rsidR="00A77B3E" w:rsidRDefault="00DB0EE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Chen J</w:t>
      </w:r>
      <w:r>
        <w:rPr>
          <w:rFonts w:ascii="Book Antiqua" w:eastAsia="Book Antiqua" w:hAnsi="Book Antiqua" w:cs="Book Antiqua"/>
          <w:color w:val="000000"/>
        </w:rPr>
        <w:t xml:space="preserve">, Lu S, Zhang Y, Xu L, Chen J, Wang J, Chen M, Zhang R, Zhou Z. Sorafenib Monotherapy Versus Sorafenib Combined with Regional Therapies for Hepatocellular Carcinoma Patients with Pulmonary Oligometastases: A Propensity Score-matched 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1745-1753 [PMID: 29805700 DOI: 10.7150/jca.24568]</w:t>
      </w:r>
    </w:p>
    <w:p w14:paraId="012955F1" w14:textId="77777777" w:rsidR="00A77B3E" w:rsidRDefault="00DB0EE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Munoz-Schuffenegger P</w:t>
      </w:r>
      <w:r>
        <w:rPr>
          <w:rFonts w:ascii="Book Antiqua" w:eastAsia="Book Antiqua" w:hAnsi="Book Antiqua" w:cs="Book Antiqua"/>
          <w:color w:val="000000"/>
        </w:rPr>
        <w:t xml:space="preserve">, Barry A, Atenafu EG, Kim J, Brierley J, Ringash J, Brade A, Dinniwell R, Wong RKS, Cho C, Kim TK, Sapisochin G, Dawson LA. Stereotactic body radiation therapy for hepatocellular carcinoma with Macrovascular invasion.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156</w:t>
      </w:r>
      <w:r>
        <w:rPr>
          <w:rFonts w:ascii="Book Antiqua" w:eastAsia="Book Antiqua" w:hAnsi="Book Antiqua" w:cs="Book Antiqua"/>
          <w:color w:val="000000"/>
        </w:rPr>
        <w:t>: 120-126 [PMID: 33285195 DOI: 10.1016/j.radonc.2020.11.033]</w:t>
      </w:r>
    </w:p>
    <w:p w14:paraId="29D2A24B" w14:textId="77777777" w:rsidR="00A77B3E" w:rsidRDefault="00DB0EE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Hu Y</w:t>
      </w:r>
      <w:r>
        <w:rPr>
          <w:rFonts w:ascii="Book Antiqua" w:eastAsia="Book Antiqua" w:hAnsi="Book Antiqua" w:cs="Book Antiqua"/>
          <w:color w:val="000000"/>
        </w:rPr>
        <w:t xml:space="preserve">, Qin T, Li S, Zhang T, Xue J. Efficacy and Safety of SBRT Combined With Camrelizumab and Apatinib in HCC Patients With PVTT: Study Protocol of a Randomized Controlled Trial.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1589 [PMID: 32984021 DOI: 10.3389/fonc.2020.01589]</w:t>
      </w:r>
    </w:p>
    <w:bookmarkEnd w:id="0"/>
    <w:p w14:paraId="10A8E3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27ADD5" w14:textId="77777777" w:rsidR="00A77B3E" w:rsidRDefault="00DB0EE1">
      <w:pPr>
        <w:spacing w:line="360" w:lineRule="auto"/>
        <w:jc w:val="both"/>
      </w:pPr>
      <w:r>
        <w:rPr>
          <w:rFonts w:ascii="Book Antiqua" w:eastAsia="Book Antiqua" w:hAnsi="Book Antiqua" w:cs="Book Antiqua"/>
          <w:b/>
          <w:color w:val="000000"/>
        </w:rPr>
        <w:t>Footnotes</w:t>
      </w:r>
    </w:p>
    <w:p w14:paraId="1F449F4F" w14:textId="77777777" w:rsidR="00A77B3E" w:rsidRDefault="00DB0EE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have no conflicts of interest to declare.</w:t>
      </w:r>
    </w:p>
    <w:p w14:paraId="26A04A1B" w14:textId="77777777" w:rsidR="00A77B3E" w:rsidRDefault="00A77B3E">
      <w:pPr>
        <w:spacing w:line="360" w:lineRule="auto"/>
        <w:jc w:val="both"/>
      </w:pPr>
    </w:p>
    <w:p w14:paraId="6E47AE52" w14:textId="77777777" w:rsidR="00A77B3E" w:rsidRDefault="00DB0E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F768B0" w14:textId="77777777" w:rsidR="00A77B3E" w:rsidRDefault="00A77B3E">
      <w:pPr>
        <w:spacing w:line="360" w:lineRule="auto"/>
        <w:jc w:val="both"/>
      </w:pPr>
    </w:p>
    <w:p w14:paraId="04780D2B" w14:textId="40AC7AE4" w:rsidR="00A77B3E" w:rsidRDefault="00DB0E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30458">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0C9DED50" w14:textId="77777777" w:rsidR="00A77B3E" w:rsidRDefault="00A77B3E">
      <w:pPr>
        <w:spacing w:line="360" w:lineRule="auto"/>
        <w:jc w:val="both"/>
      </w:pPr>
    </w:p>
    <w:p w14:paraId="21A5BC81" w14:textId="77777777" w:rsidR="00A77B3E" w:rsidRDefault="00DB0E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6E3D5B4E" w14:textId="77777777" w:rsidR="00A77B3E" w:rsidRDefault="00DB0E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42E4B340" w14:textId="27267036" w:rsidR="00A77B3E" w:rsidRDefault="00DB0EE1">
      <w:pPr>
        <w:spacing w:line="360" w:lineRule="auto"/>
        <w:jc w:val="both"/>
      </w:pPr>
      <w:r>
        <w:rPr>
          <w:rFonts w:ascii="Book Antiqua" w:eastAsia="Book Antiqua" w:hAnsi="Book Antiqua" w:cs="Book Antiqua"/>
          <w:b/>
          <w:color w:val="000000"/>
        </w:rPr>
        <w:t xml:space="preserve">Article in press: </w:t>
      </w:r>
      <w:r w:rsidR="00101EE9" w:rsidRPr="000B2BA1">
        <w:rPr>
          <w:rFonts w:ascii="Book Antiqua" w:eastAsia="Book Antiqua" w:hAnsi="Book Antiqua" w:cs="Book Antiqua"/>
          <w:color w:val="000000"/>
        </w:rPr>
        <w:t>May 25, 2021</w:t>
      </w:r>
    </w:p>
    <w:p w14:paraId="5ABD7816" w14:textId="77777777" w:rsidR="00A77B3E" w:rsidRDefault="00A77B3E">
      <w:pPr>
        <w:spacing w:line="360" w:lineRule="auto"/>
        <w:jc w:val="both"/>
      </w:pPr>
    </w:p>
    <w:p w14:paraId="31B4DC07" w14:textId="66BCE4E7" w:rsidR="00A77B3E" w:rsidRDefault="00DB0EE1">
      <w:pPr>
        <w:spacing w:line="360" w:lineRule="auto"/>
        <w:jc w:val="both"/>
      </w:pPr>
      <w:r>
        <w:rPr>
          <w:rFonts w:ascii="Book Antiqua" w:eastAsia="Book Antiqua" w:hAnsi="Book Antiqua" w:cs="Book Antiqua"/>
          <w:b/>
          <w:color w:val="000000"/>
        </w:rPr>
        <w:t xml:space="preserve">Specialty type: </w:t>
      </w:r>
      <w:r w:rsidR="00A30458" w:rsidRPr="00A30458">
        <w:rPr>
          <w:rFonts w:ascii="Book Antiqua" w:eastAsia="Book Antiqua" w:hAnsi="Book Antiqua" w:cs="Book Antiqua"/>
          <w:color w:val="000000"/>
        </w:rPr>
        <w:t>Medicine, research and experimental</w:t>
      </w:r>
    </w:p>
    <w:p w14:paraId="0269D1F0" w14:textId="77777777" w:rsidR="00A77B3E" w:rsidRDefault="00DB0E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A78C0D" w14:textId="77777777" w:rsidR="00A77B3E" w:rsidRDefault="00DB0EE1">
      <w:pPr>
        <w:spacing w:line="360" w:lineRule="auto"/>
        <w:jc w:val="both"/>
      </w:pPr>
      <w:r>
        <w:rPr>
          <w:rFonts w:ascii="Book Antiqua" w:eastAsia="Book Antiqua" w:hAnsi="Book Antiqua" w:cs="Book Antiqua"/>
          <w:b/>
          <w:color w:val="000000"/>
        </w:rPr>
        <w:t>Peer-review report’s scientific quality classification</w:t>
      </w:r>
    </w:p>
    <w:p w14:paraId="26B49A7B" w14:textId="77777777" w:rsidR="00A77B3E" w:rsidRDefault="00DB0EE1">
      <w:pPr>
        <w:spacing w:line="360" w:lineRule="auto"/>
        <w:jc w:val="both"/>
      </w:pPr>
      <w:r>
        <w:rPr>
          <w:rFonts w:ascii="Book Antiqua" w:eastAsia="Book Antiqua" w:hAnsi="Book Antiqua" w:cs="Book Antiqua"/>
          <w:color w:val="000000"/>
        </w:rPr>
        <w:t>Grade A (Excellent): 0</w:t>
      </w:r>
    </w:p>
    <w:p w14:paraId="79971D4C" w14:textId="77777777" w:rsidR="00A77B3E" w:rsidRDefault="00DB0EE1">
      <w:pPr>
        <w:spacing w:line="360" w:lineRule="auto"/>
        <w:jc w:val="both"/>
      </w:pPr>
      <w:r>
        <w:rPr>
          <w:rFonts w:ascii="Book Antiqua" w:eastAsia="Book Antiqua" w:hAnsi="Book Antiqua" w:cs="Book Antiqua"/>
          <w:color w:val="000000"/>
        </w:rPr>
        <w:t>Grade B (Very good): 0</w:t>
      </w:r>
    </w:p>
    <w:p w14:paraId="354BEACA" w14:textId="77777777" w:rsidR="00A77B3E" w:rsidRDefault="00DB0EE1">
      <w:pPr>
        <w:spacing w:line="360" w:lineRule="auto"/>
        <w:jc w:val="both"/>
      </w:pPr>
      <w:r>
        <w:rPr>
          <w:rFonts w:ascii="Book Antiqua" w:eastAsia="Book Antiqua" w:hAnsi="Book Antiqua" w:cs="Book Antiqua"/>
          <w:color w:val="000000"/>
        </w:rPr>
        <w:t>Grade C (Good): C</w:t>
      </w:r>
    </w:p>
    <w:p w14:paraId="3C7B1CBA" w14:textId="77777777" w:rsidR="00A77B3E" w:rsidRDefault="00DB0EE1">
      <w:pPr>
        <w:spacing w:line="360" w:lineRule="auto"/>
        <w:jc w:val="both"/>
      </w:pPr>
      <w:r>
        <w:rPr>
          <w:rFonts w:ascii="Book Antiqua" w:eastAsia="Book Antiqua" w:hAnsi="Book Antiqua" w:cs="Book Antiqua"/>
          <w:color w:val="000000"/>
        </w:rPr>
        <w:t>Grade D (Fair): 0</w:t>
      </w:r>
    </w:p>
    <w:p w14:paraId="5A09E123" w14:textId="77777777" w:rsidR="00A77B3E" w:rsidRDefault="00DB0EE1">
      <w:pPr>
        <w:spacing w:line="360" w:lineRule="auto"/>
        <w:jc w:val="both"/>
      </w:pPr>
      <w:r>
        <w:rPr>
          <w:rFonts w:ascii="Book Antiqua" w:eastAsia="Book Antiqua" w:hAnsi="Book Antiqua" w:cs="Book Antiqua"/>
          <w:color w:val="000000"/>
        </w:rPr>
        <w:t>Grade E (Poor): 0</w:t>
      </w:r>
    </w:p>
    <w:p w14:paraId="480EE630" w14:textId="77777777" w:rsidR="00A77B3E" w:rsidRDefault="00A77B3E">
      <w:pPr>
        <w:spacing w:line="360" w:lineRule="auto"/>
        <w:jc w:val="both"/>
      </w:pPr>
    </w:p>
    <w:p w14:paraId="4226571C" w14:textId="451FD84A" w:rsidR="002C4BD9" w:rsidRPr="00101EE9" w:rsidRDefault="00DB0EE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A30458">
        <w:rPr>
          <w:rFonts w:ascii="Book Antiqua" w:hAnsi="Book Antiqua" w:cs="Book Antiqua" w:hint="eastAsia"/>
          <w:color w:val="000000"/>
          <w:lang w:eastAsia="zh-CN"/>
        </w:rPr>
        <w:t>Z</w:t>
      </w:r>
      <w:r w:rsidR="00A30458">
        <w:rPr>
          <w:rFonts w:ascii="Book Antiqua" w:hAnsi="Book Antiqua" w:cs="Book Antiqua"/>
          <w:color w:val="000000"/>
          <w:lang w:eastAsia="zh-CN"/>
        </w:rPr>
        <w:t>heng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A1859" w:rsidRPr="00467DBA">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Pr="00101EE9">
        <w:rPr>
          <w:rFonts w:ascii="Book Antiqua" w:eastAsia="Book Antiqua" w:hAnsi="Book Antiqua" w:cs="Book Antiqua"/>
          <w:color w:val="000000"/>
        </w:rPr>
        <w:t xml:space="preserve"> </w:t>
      </w:r>
      <w:r w:rsidR="00101EE9" w:rsidRPr="00101EE9">
        <w:rPr>
          <w:rFonts w:ascii="Book Antiqua" w:hAnsi="Book Antiqua" w:cs="Book Antiqua" w:hint="eastAsia"/>
          <w:color w:val="000000"/>
          <w:lang w:eastAsia="zh-CN"/>
        </w:rPr>
        <w:t>Liu JH</w:t>
      </w:r>
    </w:p>
    <w:p w14:paraId="6192B435" w14:textId="54184545" w:rsidR="002C4BD9" w:rsidRDefault="002C4BD9">
      <w:pPr>
        <w:spacing w:line="360" w:lineRule="auto"/>
        <w:jc w:val="both"/>
        <w:rPr>
          <w:rFonts w:ascii="Book Antiqua" w:eastAsia="Book Antiqua" w:hAnsi="Book Antiqua" w:cs="Book Antiqua"/>
          <w:b/>
          <w:color w:val="000000"/>
        </w:rPr>
        <w:sectPr w:rsidR="002C4BD9">
          <w:pgSz w:w="12240" w:h="15840"/>
          <w:pgMar w:top="1440" w:right="1440" w:bottom="1440" w:left="1440" w:header="720" w:footer="720" w:gutter="0"/>
          <w:cols w:space="720"/>
          <w:docGrid w:linePitch="360"/>
        </w:sectPr>
      </w:pPr>
    </w:p>
    <w:p w14:paraId="7EA19D8B" w14:textId="0A0DE2AF" w:rsidR="00A77B3E" w:rsidRDefault="002C4BD9">
      <w:pPr>
        <w:spacing w:line="360" w:lineRule="auto"/>
        <w:jc w:val="both"/>
        <w:rPr>
          <w:rFonts w:ascii="Book Antiqua" w:hAnsi="Book Antiqua"/>
          <w:b/>
          <w:bCs/>
        </w:rPr>
      </w:pPr>
      <w:r w:rsidRPr="002C4BD9">
        <w:rPr>
          <w:rFonts w:ascii="Book Antiqua" w:hAnsi="Book Antiqua"/>
          <w:b/>
          <w:bCs/>
        </w:rPr>
        <w:t>Table 1 Data from phase III trials for first</w:t>
      </w:r>
      <w:r>
        <w:rPr>
          <w:rFonts w:ascii="Book Antiqua" w:hAnsi="Book Antiqua"/>
          <w:b/>
          <w:bCs/>
        </w:rPr>
        <w:t>-</w:t>
      </w:r>
      <w:r w:rsidRPr="002C4BD9">
        <w:rPr>
          <w:rFonts w:ascii="Book Antiqua" w:hAnsi="Book Antiqua"/>
          <w:b/>
          <w:bCs/>
        </w:rPr>
        <w:t>line and second</w:t>
      </w:r>
      <w:r>
        <w:rPr>
          <w:rFonts w:ascii="Book Antiqua" w:hAnsi="Book Antiqua"/>
          <w:b/>
          <w:bCs/>
        </w:rPr>
        <w:t>-</w:t>
      </w:r>
      <w:r w:rsidRPr="002C4BD9">
        <w:rPr>
          <w:rFonts w:ascii="Book Antiqua" w:hAnsi="Book Antiqua"/>
          <w:b/>
          <w:bCs/>
        </w:rPr>
        <w:t>line therapy of hepatocellular carcinoma</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3"/>
        <w:gridCol w:w="1630"/>
        <w:gridCol w:w="1248"/>
        <w:gridCol w:w="1519"/>
        <w:gridCol w:w="2736"/>
        <w:gridCol w:w="2020"/>
        <w:gridCol w:w="2170"/>
      </w:tblGrid>
      <w:tr w:rsidR="00213B1A" w:rsidRPr="002C4BD9" w14:paraId="5FAC822B" w14:textId="77777777" w:rsidTr="00213B1A">
        <w:tc>
          <w:tcPr>
            <w:tcW w:w="1853" w:type="dxa"/>
            <w:tcBorders>
              <w:top w:val="single" w:sz="4" w:space="0" w:color="auto"/>
              <w:bottom w:val="single" w:sz="4" w:space="0" w:color="auto"/>
            </w:tcBorders>
          </w:tcPr>
          <w:p w14:paraId="6EFB8ADA" w14:textId="77777777" w:rsidR="002C4BD9" w:rsidRPr="002C4BD9" w:rsidRDefault="002C4BD9" w:rsidP="002C4BD9">
            <w:pPr>
              <w:spacing w:line="360" w:lineRule="auto"/>
              <w:jc w:val="both"/>
              <w:rPr>
                <w:rFonts w:ascii="Book Antiqua" w:hAnsi="Book Antiqua" w:cs="Times New Roman"/>
                <w:b/>
                <w:bCs/>
              </w:rPr>
            </w:pPr>
          </w:p>
        </w:tc>
        <w:tc>
          <w:tcPr>
            <w:tcW w:w="1630" w:type="dxa"/>
            <w:tcBorders>
              <w:top w:val="single" w:sz="4" w:space="0" w:color="auto"/>
              <w:bottom w:val="single" w:sz="4" w:space="0" w:color="auto"/>
            </w:tcBorders>
          </w:tcPr>
          <w:p w14:paraId="430AB0DA"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Drugs</w:t>
            </w:r>
          </w:p>
        </w:tc>
        <w:tc>
          <w:tcPr>
            <w:tcW w:w="1248" w:type="dxa"/>
            <w:tcBorders>
              <w:top w:val="single" w:sz="4" w:space="0" w:color="auto"/>
              <w:bottom w:val="single" w:sz="4" w:space="0" w:color="auto"/>
            </w:tcBorders>
          </w:tcPr>
          <w:p w14:paraId="0C2F6527"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Level of evidence</w:t>
            </w:r>
          </w:p>
        </w:tc>
        <w:tc>
          <w:tcPr>
            <w:tcW w:w="1519" w:type="dxa"/>
            <w:tcBorders>
              <w:top w:val="single" w:sz="4" w:space="0" w:color="auto"/>
              <w:bottom w:val="single" w:sz="4" w:space="0" w:color="auto"/>
            </w:tcBorders>
          </w:tcPr>
          <w:p w14:paraId="1148475D"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Absolute OS (mo)</w:t>
            </w:r>
          </w:p>
        </w:tc>
        <w:tc>
          <w:tcPr>
            <w:tcW w:w="2736" w:type="dxa"/>
            <w:tcBorders>
              <w:top w:val="single" w:sz="4" w:space="0" w:color="auto"/>
              <w:bottom w:val="single" w:sz="4" w:space="0" w:color="auto"/>
            </w:tcBorders>
          </w:tcPr>
          <w:p w14:paraId="1CE6651F"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Comparison between OS</w:t>
            </w:r>
          </w:p>
        </w:tc>
        <w:tc>
          <w:tcPr>
            <w:tcW w:w="2020" w:type="dxa"/>
            <w:tcBorders>
              <w:top w:val="single" w:sz="4" w:space="0" w:color="auto"/>
              <w:bottom w:val="single" w:sz="4" w:space="0" w:color="auto"/>
            </w:tcBorders>
          </w:tcPr>
          <w:p w14:paraId="4DC221CA" w14:textId="77777777"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ORR</w:t>
            </w:r>
          </w:p>
        </w:tc>
        <w:tc>
          <w:tcPr>
            <w:tcW w:w="2170" w:type="dxa"/>
            <w:tcBorders>
              <w:top w:val="single" w:sz="4" w:space="0" w:color="auto"/>
              <w:bottom w:val="single" w:sz="4" w:space="0" w:color="auto"/>
            </w:tcBorders>
          </w:tcPr>
          <w:p w14:paraId="2B971FD2" w14:textId="327A5CD9" w:rsidR="002C4BD9" w:rsidRPr="002C4BD9" w:rsidRDefault="002C4BD9" w:rsidP="002C4BD9">
            <w:pPr>
              <w:spacing w:line="360" w:lineRule="auto"/>
              <w:jc w:val="both"/>
              <w:rPr>
                <w:rFonts w:ascii="Book Antiqua" w:hAnsi="Book Antiqua" w:cs="Times New Roman"/>
                <w:b/>
                <w:bCs/>
              </w:rPr>
            </w:pPr>
            <w:r w:rsidRPr="002C4BD9">
              <w:rPr>
                <w:rFonts w:ascii="Book Antiqua" w:hAnsi="Book Antiqua" w:cs="Times New Roman"/>
                <w:b/>
                <w:bCs/>
              </w:rPr>
              <w:t xml:space="preserve">ClinicalTrials.gov </w:t>
            </w:r>
            <w:r w:rsidR="009D6BFE">
              <w:rPr>
                <w:rFonts w:ascii="Book Antiqua" w:hAnsi="Book Antiqua" w:cs="Times New Roman"/>
                <w:b/>
                <w:bCs/>
              </w:rPr>
              <w:t>Number</w:t>
            </w:r>
          </w:p>
        </w:tc>
      </w:tr>
      <w:tr w:rsidR="002C4BD9" w:rsidRPr="002C4BD9" w14:paraId="4B775A72" w14:textId="77777777" w:rsidTr="00002D5A">
        <w:tc>
          <w:tcPr>
            <w:tcW w:w="13176" w:type="dxa"/>
            <w:gridSpan w:val="7"/>
            <w:tcBorders>
              <w:top w:val="single" w:sz="4" w:space="0" w:color="auto"/>
            </w:tcBorders>
          </w:tcPr>
          <w:p w14:paraId="780AA560" w14:textId="77777777" w:rsidR="002C4BD9" w:rsidRPr="00F21958" w:rsidRDefault="002C4BD9" w:rsidP="002C4BD9">
            <w:pPr>
              <w:spacing w:line="360" w:lineRule="auto"/>
              <w:jc w:val="both"/>
              <w:rPr>
                <w:rFonts w:ascii="Book Antiqua" w:hAnsi="Book Antiqua" w:cs="Times New Roman"/>
                <w:b/>
                <w:bCs/>
              </w:rPr>
            </w:pPr>
            <w:r w:rsidRPr="00F21958">
              <w:rPr>
                <w:rFonts w:ascii="Book Antiqua" w:hAnsi="Book Antiqua" w:cs="Times New Roman"/>
                <w:b/>
                <w:bCs/>
              </w:rPr>
              <w:t>First-line setting</w:t>
            </w:r>
          </w:p>
        </w:tc>
      </w:tr>
      <w:tr w:rsidR="00213B1A" w:rsidRPr="002C4BD9" w14:paraId="4C6510B7" w14:textId="77777777" w:rsidTr="00002D5A">
        <w:tc>
          <w:tcPr>
            <w:tcW w:w="1853" w:type="dxa"/>
          </w:tcPr>
          <w:p w14:paraId="3CD5A9F2" w14:textId="2F51DDA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SHARP</w:t>
            </w:r>
            <w:r w:rsidRPr="002C4BD9">
              <w:rPr>
                <w:rFonts w:ascii="Book Antiqua" w:hAnsi="Book Antiqua" w:cs="Times New Roman"/>
                <w:vertAlign w:val="superscript"/>
              </w:rPr>
              <w:t>[7]</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602)</w:t>
            </w:r>
          </w:p>
        </w:tc>
        <w:tc>
          <w:tcPr>
            <w:tcW w:w="1630" w:type="dxa"/>
          </w:tcPr>
          <w:p w14:paraId="5E042139" w14:textId="5081352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Sorafenib </w:t>
            </w:r>
            <w:r w:rsidRPr="002C4BD9">
              <w:rPr>
                <w:rFonts w:ascii="Book Antiqua" w:hAnsi="Book Antiqua" w:cs="Times New Roman"/>
                <w:i/>
                <w:iCs/>
              </w:rPr>
              <w:t>vs</w:t>
            </w:r>
            <w:r>
              <w:rPr>
                <w:rFonts w:ascii="Book Antiqua" w:hAnsi="Book Antiqua" w:cs="Times New Roman"/>
              </w:rPr>
              <w:t xml:space="preserve"> </w:t>
            </w:r>
            <w:r w:rsidRPr="002C4BD9">
              <w:rPr>
                <w:rFonts w:ascii="Book Antiqua" w:hAnsi="Book Antiqua" w:cs="Times New Roman"/>
              </w:rPr>
              <w:t>placebo</w:t>
            </w:r>
          </w:p>
        </w:tc>
        <w:tc>
          <w:tcPr>
            <w:tcW w:w="1248" w:type="dxa"/>
          </w:tcPr>
          <w:p w14:paraId="5F7B8177"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20229271"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10.7 </w:t>
            </w:r>
            <w:r w:rsidRPr="002C4BD9">
              <w:rPr>
                <w:rFonts w:ascii="Book Antiqua" w:hAnsi="Book Antiqua" w:cs="Times New Roman"/>
                <w:i/>
                <w:iCs/>
              </w:rPr>
              <w:t>vs</w:t>
            </w:r>
            <w:r w:rsidRPr="002C4BD9">
              <w:rPr>
                <w:rFonts w:ascii="Book Antiqua" w:hAnsi="Book Antiqua" w:cs="Times New Roman"/>
              </w:rPr>
              <w:t xml:space="preserve"> 7.9</w:t>
            </w:r>
          </w:p>
        </w:tc>
        <w:tc>
          <w:tcPr>
            <w:tcW w:w="2736" w:type="dxa"/>
          </w:tcPr>
          <w:p w14:paraId="6958B537" w14:textId="393FE6A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0.69 (95%CI</w:t>
            </w:r>
            <w:r>
              <w:rPr>
                <w:rFonts w:ascii="Book Antiqua" w:hAnsi="Book Antiqua" w:cs="Times New Roman"/>
              </w:rPr>
              <w:t>:</w:t>
            </w:r>
            <w:r w:rsidRPr="002C4BD9">
              <w:rPr>
                <w:rFonts w:ascii="Book Antiqua" w:hAnsi="Book Antiqua" w:cs="Times New Roman"/>
              </w:rPr>
              <w:t xml:space="preserve"> 0.55-0.78)</w:t>
            </w:r>
          </w:p>
        </w:tc>
        <w:tc>
          <w:tcPr>
            <w:tcW w:w="2020" w:type="dxa"/>
          </w:tcPr>
          <w:p w14:paraId="5774A930" w14:textId="527D8C0B"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w:t>
            </w:r>
            <w:r>
              <w:rPr>
                <w:rFonts w:ascii="Book Antiqua" w:hAnsi="Book Antiqua" w:cs="Times New Roman"/>
              </w:rPr>
              <w:t>,</w:t>
            </w:r>
            <w:r w:rsidRPr="002C4BD9">
              <w:rPr>
                <w:rFonts w:ascii="Book Antiqua" w:hAnsi="Book Antiqua" w:cs="Times New Roman"/>
              </w:rPr>
              <w:t xml:space="preserve"> 2% </w:t>
            </w:r>
            <w:r w:rsidRPr="002C4BD9">
              <w:rPr>
                <w:rFonts w:ascii="Book Antiqua" w:hAnsi="Book Antiqua" w:cs="Times New Roman"/>
                <w:i/>
                <w:iCs/>
              </w:rPr>
              <w:t>vs</w:t>
            </w:r>
            <w:r w:rsidRPr="002C4BD9">
              <w:rPr>
                <w:rFonts w:ascii="Book Antiqua" w:hAnsi="Book Antiqua" w:cs="Times New Roman"/>
              </w:rPr>
              <w:t xml:space="preserve"> 1%</w:t>
            </w:r>
          </w:p>
        </w:tc>
        <w:tc>
          <w:tcPr>
            <w:tcW w:w="2170" w:type="dxa"/>
          </w:tcPr>
          <w:p w14:paraId="318B69C2"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NCT00105443</w:t>
            </w:r>
          </w:p>
        </w:tc>
      </w:tr>
      <w:tr w:rsidR="00213B1A" w:rsidRPr="002C4BD9" w14:paraId="17048003" w14:textId="77777777" w:rsidTr="00213B1A">
        <w:tc>
          <w:tcPr>
            <w:tcW w:w="1853" w:type="dxa"/>
          </w:tcPr>
          <w:p w14:paraId="5C3F2321" w14:textId="4491D03A"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Asia-Pacific</w:t>
            </w:r>
            <w:r w:rsidRPr="002C4BD9">
              <w:rPr>
                <w:rFonts w:ascii="Book Antiqua" w:hAnsi="Book Antiqua" w:cs="Times New Roman"/>
                <w:vertAlign w:val="superscript"/>
              </w:rPr>
              <w:t>[</w:t>
            </w:r>
            <w:r>
              <w:rPr>
                <w:rFonts w:ascii="Book Antiqua" w:hAnsi="Book Antiqua" w:cs="Times New Roman"/>
                <w:vertAlign w:val="superscript"/>
              </w:rPr>
              <w:t>8</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271)</w:t>
            </w:r>
          </w:p>
        </w:tc>
        <w:tc>
          <w:tcPr>
            <w:tcW w:w="1630" w:type="dxa"/>
          </w:tcPr>
          <w:p w14:paraId="410E588F" w14:textId="48EDCF6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Sorafenib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5E684DE0"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628061BD" w14:textId="3699E71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6.5 </w:t>
            </w:r>
            <w:r w:rsidRPr="002C4BD9">
              <w:rPr>
                <w:rFonts w:ascii="Book Antiqua" w:hAnsi="Book Antiqua" w:cs="Times New Roman"/>
                <w:i/>
                <w:iCs/>
              </w:rPr>
              <w:t>vs</w:t>
            </w:r>
            <w:r w:rsidRPr="002C4BD9">
              <w:rPr>
                <w:rFonts w:ascii="Book Antiqua" w:hAnsi="Book Antiqua" w:cs="Times New Roman"/>
              </w:rPr>
              <w:t xml:space="preserve"> 4.2</w:t>
            </w:r>
          </w:p>
        </w:tc>
        <w:tc>
          <w:tcPr>
            <w:tcW w:w="2736" w:type="dxa"/>
          </w:tcPr>
          <w:p w14:paraId="723287EB" w14:textId="3857D24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0.68 (95%CI</w:t>
            </w:r>
            <w:r>
              <w:rPr>
                <w:rFonts w:ascii="Book Antiqua" w:hAnsi="Book Antiqua" w:cs="Times New Roman"/>
              </w:rPr>
              <w:t>:</w:t>
            </w:r>
            <w:r w:rsidRPr="002C4BD9">
              <w:rPr>
                <w:rFonts w:ascii="Book Antiqua" w:hAnsi="Book Antiqua" w:cs="Times New Roman"/>
              </w:rPr>
              <w:t xml:space="preserve"> 0.50-0.93)</w:t>
            </w:r>
          </w:p>
        </w:tc>
        <w:tc>
          <w:tcPr>
            <w:tcW w:w="2020" w:type="dxa"/>
          </w:tcPr>
          <w:p w14:paraId="5178D1FB" w14:textId="3572677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w:t>
            </w:r>
            <w:r>
              <w:rPr>
                <w:rFonts w:ascii="Book Antiqua" w:hAnsi="Book Antiqua" w:cs="Times New Roman"/>
              </w:rPr>
              <w:t>,</w:t>
            </w:r>
            <w:r w:rsidRPr="002C4BD9">
              <w:rPr>
                <w:rFonts w:ascii="Book Antiqua" w:hAnsi="Book Antiqua" w:cs="Times New Roman"/>
              </w:rPr>
              <w:t xml:space="preserve"> 3.3% </w:t>
            </w:r>
            <w:r w:rsidRPr="002C4BD9">
              <w:rPr>
                <w:rFonts w:ascii="Book Antiqua" w:hAnsi="Book Antiqua" w:cs="Times New Roman"/>
                <w:i/>
                <w:iCs/>
              </w:rPr>
              <w:t>vs</w:t>
            </w:r>
            <w:r w:rsidRPr="002C4BD9">
              <w:rPr>
                <w:rFonts w:ascii="Book Antiqua" w:hAnsi="Book Antiqua" w:cs="Times New Roman"/>
              </w:rPr>
              <w:t xml:space="preserve"> 1.3%</w:t>
            </w:r>
          </w:p>
        </w:tc>
        <w:tc>
          <w:tcPr>
            <w:tcW w:w="2170" w:type="dxa"/>
          </w:tcPr>
          <w:p w14:paraId="231C7D6D"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kern w:val="0"/>
              </w:rPr>
              <w:t>NCT00492752</w:t>
            </w:r>
          </w:p>
        </w:tc>
      </w:tr>
      <w:tr w:rsidR="00213B1A" w:rsidRPr="002C4BD9" w14:paraId="5154C8C5" w14:textId="77777777" w:rsidTr="00213B1A">
        <w:tc>
          <w:tcPr>
            <w:tcW w:w="1853" w:type="dxa"/>
          </w:tcPr>
          <w:p w14:paraId="22AFBC86" w14:textId="53CE03A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REFLECT</w:t>
            </w:r>
            <w:r w:rsidRPr="002C4BD9">
              <w:rPr>
                <w:rFonts w:ascii="Book Antiqua" w:hAnsi="Book Antiqua" w:cs="Times New Roman"/>
                <w:vertAlign w:val="superscript"/>
              </w:rPr>
              <w:t>[</w:t>
            </w:r>
            <w:r>
              <w:rPr>
                <w:rFonts w:ascii="Book Antiqua" w:hAnsi="Book Antiqua" w:cs="Times New Roman"/>
                <w:vertAlign w:val="superscript"/>
              </w:rPr>
              <w:t>9</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954)</w:t>
            </w:r>
          </w:p>
        </w:tc>
        <w:tc>
          <w:tcPr>
            <w:tcW w:w="1630" w:type="dxa"/>
          </w:tcPr>
          <w:p w14:paraId="117D93B0" w14:textId="643970AC"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Lenvatinib </w:t>
            </w:r>
            <w:r w:rsidRPr="002C4BD9">
              <w:rPr>
                <w:rFonts w:ascii="Book Antiqua" w:hAnsi="Book Antiqua" w:cs="Times New Roman"/>
                <w:i/>
                <w:iCs/>
              </w:rPr>
              <w:t>vs</w:t>
            </w:r>
            <w:r w:rsidRPr="002C4BD9">
              <w:rPr>
                <w:rFonts w:ascii="Book Antiqua" w:hAnsi="Book Antiqua" w:cs="Times New Roman"/>
              </w:rPr>
              <w:t xml:space="preserve"> Sorafenib</w:t>
            </w:r>
          </w:p>
        </w:tc>
        <w:tc>
          <w:tcPr>
            <w:tcW w:w="1248" w:type="dxa"/>
          </w:tcPr>
          <w:p w14:paraId="19978FD8"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66762131" w14:textId="195D0E36"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13.6 </w:t>
            </w:r>
            <w:r w:rsidRPr="002C4BD9">
              <w:rPr>
                <w:rFonts w:ascii="Book Antiqua" w:hAnsi="Book Antiqua" w:cs="Times New Roman"/>
                <w:i/>
                <w:iCs/>
              </w:rPr>
              <w:t>vs</w:t>
            </w:r>
            <w:r w:rsidRPr="002C4BD9">
              <w:rPr>
                <w:rFonts w:ascii="Book Antiqua" w:hAnsi="Book Antiqua" w:cs="Times New Roman"/>
              </w:rPr>
              <w:t xml:space="preserve"> 12.3</w:t>
            </w:r>
          </w:p>
        </w:tc>
        <w:tc>
          <w:tcPr>
            <w:tcW w:w="2736" w:type="dxa"/>
          </w:tcPr>
          <w:p w14:paraId="5CE438D4" w14:textId="1C2BAE6A"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0.92 (95%CI</w:t>
            </w:r>
            <w:r>
              <w:rPr>
                <w:rFonts w:ascii="Book Antiqua" w:hAnsi="Book Antiqua" w:cs="Times New Roman"/>
              </w:rPr>
              <w:t>:</w:t>
            </w:r>
            <w:r w:rsidRPr="002C4BD9">
              <w:rPr>
                <w:rFonts w:ascii="Book Antiqua" w:hAnsi="Book Antiqua" w:cs="Times New Roman"/>
              </w:rPr>
              <w:t xml:space="preserve"> 0.79-1.06)</w:t>
            </w:r>
          </w:p>
        </w:tc>
        <w:tc>
          <w:tcPr>
            <w:tcW w:w="2020" w:type="dxa"/>
          </w:tcPr>
          <w:p w14:paraId="513080C5" w14:textId="00F77E5F"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mRECIST</w:t>
            </w:r>
            <w:r>
              <w:rPr>
                <w:rFonts w:ascii="Book Antiqua" w:hAnsi="Book Antiqua" w:cs="Times New Roman"/>
              </w:rPr>
              <w:t>,</w:t>
            </w:r>
            <w:r w:rsidRPr="002C4BD9">
              <w:rPr>
                <w:rFonts w:ascii="Book Antiqua" w:hAnsi="Book Antiqua" w:cs="Times New Roman"/>
              </w:rPr>
              <w:t xml:space="preserve"> 24.1% </w:t>
            </w:r>
            <w:r w:rsidRPr="002C4BD9">
              <w:rPr>
                <w:rFonts w:ascii="Book Antiqua" w:hAnsi="Book Antiqua" w:cs="Times New Roman"/>
                <w:i/>
                <w:iCs/>
              </w:rPr>
              <w:t>vs</w:t>
            </w:r>
            <w:r w:rsidRPr="002C4BD9">
              <w:rPr>
                <w:rFonts w:ascii="Book Antiqua" w:hAnsi="Book Antiqua" w:cs="Times New Roman"/>
              </w:rPr>
              <w:t xml:space="preserve"> 9.2%</w:t>
            </w:r>
          </w:p>
        </w:tc>
        <w:tc>
          <w:tcPr>
            <w:tcW w:w="2170" w:type="dxa"/>
          </w:tcPr>
          <w:p w14:paraId="4CC8E061"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NCT01761266</w:t>
            </w:r>
          </w:p>
        </w:tc>
      </w:tr>
      <w:tr w:rsidR="00213B1A" w:rsidRPr="002C4BD9" w14:paraId="087C187A" w14:textId="77777777" w:rsidTr="009D6BFE">
        <w:tc>
          <w:tcPr>
            <w:tcW w:w="1853" w:type="dxa"/>
          </w:tcPr>
          <w:p w14:paraId="3CA71E1C" w14:textId="1437A56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IMbrave150</w:t>
            </w:r>
            <w:r w:rsidRPr="002C4BD9">
              <w:rPr>
                <w:rFonts w:ascii="Book Antiqua" w:hAnsi="Book Antiqua" w:cs="Times New Roman"/>
                <w:vertAlign w:val="superscript"/>
              </w:rPr>
              <w:t>[</w:t>
            </w:r>
            <w:r>
              <w:rPr>
                <w:rFonts w:ascii="Book Antiqua" w:hAnsi="Book Antiqua" w:cs="Times New Roman"/>
                <w:vertAlign w:val="superscript"/>
              </w:rPr>
              <w:t>36</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501)</w:t>
            </w:r>
          </w:p>
        </w:tc>
        <w:tc>
          <w:tcPr>
            <w:tcW w:w="1630" w:type="dxa"/>
          </w:tcPr>
          <w:p w14:paraId="65448E11" w14:textId="2DA9D06C"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Atezolizumab</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 xml:space="preserve">Bevacizumab </w:t>
            </w:r>
            <w:r w:rsidRPr="002C4BD9">
              <w:rPr>
                <w:rFonts w:ascii="Book Antiqua" w:hAnsi="Book Antiqua" w:cs="Times New Roman"/>
                <w:i/>
                <w:iCs/>
              </w:rPr>
              <w:t>vs</w:t>
            </w:r>
            <w:r w:rsidRPr="002C4BD9">
              <w:rPr>
                <w:rFonts w:ascii="Book Antiqua" w:hAnsi="Book Antiqua" w:cs="Times New Roman"/>
              </w:rPr>
              <w:t xml:space="preserve"> Sorafenib</w:t>
            </w:r>
          </w:p>
        </w:tc>
        <w:tc>
          <w:tcPr>
            <w:tcW w:w="1248" w:type="dxa"/>
          </w:tcPr>
          <w:p w14:paraId="120B1B6A"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4F2760F0" w14:textId="173486BF"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NE </w:t>
            </w:r>
            <w:r w:rsidRPr="002C4BD9">
              <w:rPr>
                <w:rFonts w:ascii="Book Antiqua" w:hAnsi="Book Antiqua" w:cs="Times New Roman"/>
                <w:i/>
                <w:iCs/>
              </w:rPr>
              <w:t>vs</w:t>
            </w:r>
            <w:r w:rsidRPr="002C4BD9">
              <w:rPr>
                <w:rFonts w:ascii="Book Antiqua" w:hAnsi="Book Antiqua" w:cs="Times New Roman"/>
              </w:rPr>
              <w:t xml:space="preserve"> 13.2</w:t>
            </w:r>
          </w:p>
        </w:tc>
        <w:tc>
          <w:tcPr>
            <w:tcW w:w="2736" w:type="dxa"/>
          </w:tcPr>
          <w:p w14:paraId="34BEB034" w14:textId="52CED533"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0.58 (95%CI</w:t>
            </w:r>
            <w:r>
              <w:rPr>
                <w:rFonts w:ascii="Book Antiqua" w:hAnsi="Book Antiqua" w:cs="Times New Roman"/>
              </w:rPr>
              <w:t>:</w:t>
            </w:r>
            <w:r w:rsidRPr="002C4BD9">
              <w:rPr>
                <w:rFonts w:ascii="Book Antiqua" w:hAnsi="Book Antiqua" w:cs="Times New Roman"/>
              </w:rPr>
              <w:t xml:space="preserve"> 0.42-0.79)</w:t>
            </w:r>
          </w:p>
        </w:tc>
        <w:tc>
          <w:tcPr>
            <w:tcW w:w="2020" w:type="dxa"/>
          </w:tcPr>
          <w:p w14:paraId="6CB3655B" w14:textId="71BEC63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27% </w:t>
            </w:r>
            <w:r w:rsidRPr="002C4BD9">
              <w:rPr>
                <w:rFonts w:ascii="Book Antiqua" w:hAnsi="Book Antiqua" w:cs="Times New Roman"/>
                <w:i/>
                <w:iCs/>
              </w:rPr>
              <w:t>vs</w:t>
            </w:r>
            <w:r w:rsidRPr="002C4BD9">
              <w:rPr>
                <w:rFonts w:ascii="Book Antiqua" w:hAnsi="Book Antiqua" w:cs="Times New Roman"/>
              </w:rPr>
              <w:t xml:space="preserve"> 12%</w:t>
            </w:r>
            <w:r>
              <w:rPr>
                <w:rFonts w:ascii="Book Antiqua" w:hAnsi="Book Antiqua" w:cs="Times New Roman"/>
              </w:rPr>
              <w:t xml:space="preserve">; </w:t>
            </w:r>
            <w:r w:rsidRPr="002C4BD9">
              <w:rPr>
                <w:rFonts w:ascii="Book Antiqua" w:hAnsi="Book Antiqua" w:cs="Times New Roman"/>
              </w:rPr>
              <w:t>mRECIST</w:t>
            </w:r>
            <w:r>
              <w:rPr>
                <w:rFonts w:ascii="Book Antiqua" w:hAnsi="Book Antiqua" w:cs="Times New Roman"/>
              </w:rPr>
              <w:t>,</w:t>
            </w:r>
            <w:r w:rsidRPr="002C4BD9">
              <w:rPr>
                <w:rFonts w:ascii="Book Antiqua" w:hAnsi="Book Antiqua" w:cs="Times New Roman"/>
              </w:rPr>
              <w:t xml:space="preserve"> 33.2% </w:t>
            </w:r>
            <w:r w:rsidRPr="002C4BD9">
              <w:rPr>
                <w:rFonts w:ascii="Book Antiqua" w:hAnsi="Book Antiqua" w:cs="Times New Roman"/>
                <w:i/>
                <w:iCs/>
              </w:rPr>
              <w:t>vs</w:t>
            </w:r>
            <w:r w:rsidRPr="002C4BD9">
              <w:rPr>
                <w:rFonts w:ascii="Book Antiqua" w:hAnsi="Book Antiqua" w:cs="Times New Roman"/>
              </w:rPr>
              <w:t xml:space="preserve"> 13.3%</w:t>
            </w:r>
          </w:p>
        </w:tc>
        <w:tc>
          <w:tcPr>
            <w:tcW w:w="2170" w:type="dxa"/>
          </w:tcPr>
          <w:p w14:paraId="39443398"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NCT03434379</w:t>
            </w:r>
          </w:p>
        </w:tc>
      </w:tr>
      <w:tr w:rsidR="002C4BD9" w:rsidRPr="002C4BD9" w14:paraId="3DDE0A65" w14:textId="77777777" w:rsidTr="009D6BFE">
        <w:tc>
          <w:tcPr>
            <w:tcW w:w="13176" w:type="dxa"/>
            <w:gridSpan w:val="7"/>
          </w:tcPr>
          <w:p w14:paraId="1BC3B406" w14:textId="77777777" w:rsidR="002C4BD9" w:rsidRPr="00F21958" w:rsidRDefault="002C4BD9" w:rsidP="002C4BD9">
            <w:pPr>
              <w:spacing w:line="360" w:lineRule="auto"/>
              <w:jc w:val="both"/>
              <w:rPr>
                <w:rFonts w:ascii="Book Antiqua" w:hAnsi="Book Antiqua" w:cs="Times New Roman"/>
                <w:b/>
                <w:bCs/>
              </w:rPr>
            </w:pPr>
            <w:r w:rsidRPr="00F21958">
              <w:rPr>
                <w:rFonts w:ascii="Book Antiqua" w:hAnsi="Book Antiqua" w:cs="Times New Roman"/>
                <w:b/>
                <w:bCs/>
              </w:rPr>
              <w:t>Second-line setting</w:t>
            </w:r>
          </w:p>
        </w:tc>
      </w:tr>
      <w:tr w:rsidR="00213B1A" w:rsidRPr="002C4BD9" w14:paraId="0CDCD293" w14:textId="77777777" w:rsidTr="009D6BFE">
        <w:tc>
          <w:tcPr>
            <w:tcW w:w="1853" w:type="dxa"/>
          </w:tcPr>
          <w:p w14:paraId="0A4191B9" w14:textId="6C04C91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RESORCE</w:t>
            </w:r>
            <w:r w:rsidRPr="002C4BD9">
              <w:rPr>
                <w:rFonts w:ascii="Book Antiqua" w:hAnsi="Book Antiqua" w:cs="Times New Roman"/>
                <w:vertAlign w:val="superscript"/>
              </w:rPr>
              <w:t>[</w:t>
            </w:r>
            <w:r>
              <w:rPr>
                <w:rFonts w:ascii="Book Antiqua" w:hAnsi="Book Antiqua" w:cs="Times New Roman"/>
                <w:vertAlign w:val="superscript"/>
              </w:rPr>
              <w:t>10</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573)</w:t>
            </w:r>
          </w:p>
        </w:tc>
        <w:tc>
          <w:tcPr>
            <w:tcW w:w="1630" w:type="dxa"/>
          </w:tcPr>
          <w:p w14:paraId="1BD3B25B" w14:textId="4E295FC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Regorafenib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236E0196"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4E3F97A1" w14:textId="171FF216"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10.6 </w:t>
            </w:r>
            <w:r w:rsidRPr="002C4BD9">
              <w:rPr>
                <w:rFonts w:ascii="Book Antiqua" w:hAnsi="Book Antiqua" w:cs="Times New Roman"/>
                <w:i/>
                <w:iCs/>
              </w:rPr>
              <w:t>vs</w:t>
            </w:r>
            <w:r w:rsidRPr="002C4BD9">
              <w:rPr>
                <w:rFonts w:ascii="Book Antiqua" w:hAnsi="Book Antiqua" w:cs="Times New Roman"/>
              </w:rPr>
              <w:t xml:space="preserve"> 7.8</w:t>
            </w:r>
          </w:p>
        </w:tc>
        <w:tc>
          <w:tcPr>
            <w:tcW w:w="2736" w:type="dxa"/>
          </w:tcPr>
          <w:p w14:paraId="78A8E7E8" w14:textId="63D5E44F"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0.63 (95%CI</w:t>
            </w:r>
            <w:r>
              <w:rPr>
                <w:rFonts w:ascii="Book Antiqua" w:hAnsi="Book Antiqua" w:cs="Times New Roman"/>
              </w:rPr>
              <w:t>:</w:t>
            </w:r>
            <w:r w:rsidRPr="002C4BD9">
              <w:rPr>
                <w:rFonts w:ascii="Book Antiqua" w:hAnsi="Book Antiqua" w:cs="Times New Roman"/>
              </w:rPr>
              <w:t xml:space="preserve"> 0.50-0.79)</w:t>
            </w:r>
          </w:p>
        </w:tc>
        <w:tc>
          <w:tcPr>
            <w:tcW w:w="2020" w:type="dxa"/>
          </w:tcPr>
          <w:p w14:paraId="59C5A4DC" w14:textId="3EC6D41B" w:rsidR="002C4BD9" w:rsidRPr="002C4BD9" w:rsidRDefault="002C4BD9" w:rsidP="002C4BD9">
            <w:pPr>
              <w:spacing w:line="360" w:lineRule="auto"/>
              <w:ind w:left="120" w:hangingChars="50" w:hanging="120"/>
              <w:jc w:val="both"/>
              <w:rPr>
                <w:rFonts w:ascii="Book Antiqua" w:hAnsi="Book Antiqua" w:cs="Times New Roman"/>
              </w:rPr>
            </w:pPr>
            <w:r w:rsidRPr="002C4BD9">
              <w:rPr>
                <w:rFonts w:ascii="Book Antiqua" w:hAnsi="Book Antiqua" w:cs="Times New Roman"/>
              </w:rPr>
              <w:t>mRECIST</w:t>
            </w:r>
            <w:r>
              <w:rPr>
                <w:rFonts w:ascii="Book Antiqua" w:hAnsi="Book Antiqua" w:cs="Times New Roman"/>
              </w:rPr>
              <w:t>,</w:t>
            </w:r>
            <w:r w:rsidRPr="002C4BD9">
              <w:rPr>
                <w:rFonts w:ascii="Book Antiqua" w:hAnsi="Book Antiqua" w:cs="Times New Roman"/>
              </w:rPr>
              <w:t xml:space="preserve"> 10.6% </w:t>
            </w:r>
            <w:r w:rsidRPr="002C4BD9">
              <w:rPr>
                <w:rFonts w:ascii="Book Antiqua" w:hAnsi="Book Antiqua" w:cs="Times New Roman"/>
                <w:i/>
                <w:iCs/>
              </w:rPr>
              <w:t>vs</w:t>
            </w:r>
            <w:r w:rsidRPr="002C4BD9">
              <w:rPr>
                <w:rFonts w:ascii="Book Antiqua" w:hAnsi="Book Antiqua" w:cs="Times New Roman"/>
              </w:rPr>
              <w:t xml:space="preserve"> 4.1%</w:t>
            </w:r>
          </w:p>
        </w:tc>
        <w:tc>
          <w:tcPr>
            <w:tcW w:w="2170" w:type="dxa"/>
          </w:tcPr>
          <w:p w14:paraId="0E527846"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NCT01774344</w:t>
            </w:r>
          </w:p>
        </w:tc>
      </w:tr>
      <w:tr w:rsidR="00213B1A" w:rsidRPr="002C4BD9" w14:paraId="5F567A44" w14:textId="77777777" w:rsidTr="00213B1A">
        <w:tc>
          <w:tcPr>
            <w:tcW w:w="1853" w:type="dxa"/>
          </w:tcPr>
          <w:p w14:paraId="0E870D46" w14:textId="5DDF8168"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CESETIAL</w:t>
            </w:r>
            <w:r w:rsidRPr="002C4BD9">
              <w:rPr>
                <w:rFonts w:ascii="Book Antiqua" w:hAnsi="Book Antiqua" w:cs="Times New Roman"/>
                <w:vertAlign w:val="superscript"/>
              </w:rPr>
              <w:t>[</w:t>
            </w:r>
            <w:r>
              <w:rPr>
                <w:rFonts w:ascii="Book Antiqua" w:hAnsi="Book Antiqua" w:cs="Times New Roman"/>
                <w:vertAlign w:val="superscript"/>
              </w:rPr>
              <w:t>11</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707)</w:t>
            </w:r>
          </w:p>
        </w:tc>
        <w:tc>
          <w:tcPr>
            <w:tcW w:w="1630" w:type="dxa"/>
          </w:tcPr>
          <w:p w14:paraId="6E14EEEC" w14:textId="78CA185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Cabozantinib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341ED24A"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1D7632C8" w14:textId="1C8746C2"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10.2 </w:t>
            </w:r>
            <w:r w:rsidRPr="002C4BD9">
              <w:rPr>
                <w:rFonts w:ascii="Book Antiqua" w:hAnsi="Book Antiqua" w:cs="Times New Roman"/>
                <w:i/>
                <w:iCs/>
              </w:rPr>
              <w:t>vs</w:t>
            </w:r>
            <w:r w:rsidRPr="002C4BD9">
              <w:rPr>
                <w:rFonts w:ascii="Book Antiqua" w:hAnsi="Book Antiqua" w:cs="Times New Roman"/>
              </w:rPr>
              <w:t xml:space="preserve"> 8.0</w:t>
            </w:r>
          </w:p>
        </w:tc>
        <w:tc>
          <w:tcPr>
            <w:tcW w:w="2736" w:type="dxa"/>
          </w:tcPr>
          <w:p w14:paraId="5A86EA96" w14:textId="1FA4A249"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0.76 (95%CI</w:t>
            </w:r>
            <w:r>
              <w:rPr>
                <w:rFonts w:ascii="Book Antiqua" w:hAnsi="Book Antiqua" w:cs="Times New Roman"/>
              </w:rPr>
              <w:t>:</w:t>
            </w:r>
            <w:r w:rsidRPr="002C4BD9">
              <w:rPr>
                <w:rFonts w:ascii="Book Antiqua" w:hAnsi="Book Antiqua" w:cs="Times New Roman"/>
              </w:rPr>
              <w:t xml:space="preserve"> 0.63-0.92)</w:t>
            </w:r>
          </w:p>
        </w:tc>
        <w:tc>
          <w:tcPr>
            <w:tcW w:w="2020" w:type="dxa"/>
          </w:tcPr>
          <w:p w14:paraId="7C3EB3B8" w14:textId="6CC3E0CE"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4% </w:t>
            </w:r>
            <w:r w:rsidRPr="002C4BD9">
              <w:rPr>
                <w:rFonts w:ascii="Book Antiqua" w:hAnsi="Book Antiqua" w:cs="Times New Roman"/>
                <w:i/>
                <w:iCs/>
              </w:rPr>
              <w:t>vs</w:t>
            </w:r>
            <w:r w:rsidRPr="002C4BD9">
              <w:rPr>
                <w:rFonts w:ascii="Book Antiqua" w:hAnsi="Book Antiqua" w:cs="Times New Roman"/>
              </w:rPr>
              <w:t xml:space="preserve"> 0.4%</w:t>
            </w:r>
          </w:p>
        </w:tc>
        <w:tc>
          <w:tcPr>
            <w:tcW w:w="2170" w:type="dxa"/>
          </w:tcPr>
          <w:p w14:paraId="0C81819F"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NCT01908426</w:t>
            </w:r>
          </w:p>
        </w:tc>
      </w:tr>
      <w:tr w:rsidR="00213B1A" w:rsidRPr="002C4BD9" w14:paraId="4D3E299A" w14:textId="77777777" w:rsidTr="00213B1A">
        <w:tc>
          <w:tcPr>
            <w:tcW w:w="1853" w:type="dxa"/>
          </w:tcPr>
          <w:p w14:paraId="139D63D0" w14:textId="12EA022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REACH-2</w:t>
            </w:r>
            <w:r w:rsidRPr="002C4BD9">
              <w:rPr>
                <w:rFonts w:ascii="Book Antiqua" w:hAnsi="Book Antiqua" w:cs="Times New Roman"/>
                <w:vertAlign w:val="superscript"/>
              </w:rPr>
              <w:t>[</w:t>
            </w:r>
            <w:r>
              <w:rPr>
                <w:rFonts w:ascii="Book Antiqua" w:hAnsi="Book Antiqua" w:cs="Times New Roman"/>
                <w:vertAlign w:val="superscript"/>
              </w:rPr>
              <w:t>13</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292)</w:t>
            </w:r>
          </w:p>
        </w:tc>
        <w:tc>
          <w:tcPr>
            <w:tcW w:w="1630" w:type="dxa"/>
          </w:tcPr>
          <w:p w14:paraId="180AE5A0" w14:textId="382FD48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Ramucirumab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Pr>
          <w:p w14:paraId="7517F467"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330805FC" w14:textId="2DF56CFE"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8.5 </w:t>
            </w:r>
            <w:r w:rsidRPr="002C4BD9">
              <w:rPr>
                <w:rFonts w:ascii="Book Antiqua" w:hAnsi="Book Antiqua" w:cs="Times New Roman"/>
                <w:i/>
                <w:iCs/>
              </w:rPr>
              <w:t>vs</w:t>
            </w:r>
            <w:r w:rsidRPr="002C4BD9">
              <w:rPr>
                <w:rFonts w:ascii="Book Antiqua" w:hAnsi="Book Antiqua" w:cs="Times New Roman"/>
              </w:rPr>
              <w:t xml:space="preserve"> 7.3</w:t>
            </w:r>
          </w:p>
        </w:tc>
        <w:tc>
          <w:tcPr>
            <w:tcW w:w="2736" w:type="dxa"/>
          </w:tcPr>
          <w:p w14:paraId="55DA640B" w14:textId="09F2A0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0.71 (95%CI</w:t>
            </w:r>
            <w:r>
              <w:rPr>
                <w:rFonts w:ascii="Book Antiqua" w:hAnsi="Book Antiqua" w:cs="Times New Roman"/>
              </w:rPr>
              <w:t>:</w:t>
            </w:r>
            <w:r w:rsidRPr="002C4BD9">
              <w:rPr>
                <w:rFonts w:ascii="Book Antiqua" w:hAnsi="Book Antiqua" w:cs="Times New Roman"/>
              </w:rPr>
              <w:t xml:space="preserve"> 0.53-0.95)</w:t>
            </w:r>
          </w:p>
        </w:tc>
        <w:tc>
          <w:tcPr>
            <w:tcW w:w="2020" w:type="dxa"/>
          </w:tcPr>
          <w:p w14:paraId="5ABC3AB1" w14:textId="3194263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4.6% </w:t>
            </w:r>
            <w:r w:rsidRPr="002C4BD9">
              <w:rPr>
                <w:rFonts w:ascii="Book Antiqua" w:hAnsi="Book Antiqua" w:cs="Times New Roman"/>
                <w:i/>
                <w:iCs/>
              </w:rPr>
              <w:t>vs</w:t>
            </w:r>
            <w:r w:rsidRPr="002C4BD9">
              <w:rPr>
                <w:rFonts w:ascii="Book Antiqua" w:hAnsi="Book Antiqua" w:cs="Times New Roman"/>
              </w:rPr>
              <w:t xml:space="preserve"> 1.1%</w:t>
            </w:r>
          </w:p>
        </w:tc>
        <w:tc>
          <w:tcPr>
            <w:tcW w:w="2170" w:type="dxa"/>
          </w:tcPr>
          <w:p w14:paraId="02247F8E"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NCT02435433</w:t>
            </w:r>
          </w:p>
        </w:tc>
      </w:tr>
      <w:tr w:rsidR="00213B1A" w:rsidRPr="002C4BD9" w14:paraId="041C4867" w14:textId="77777777" w:rsidTr="00213B1A">
        <w:tc>
          <w:tcPr>
            <w:tcW w:w="1853" w:type="dxa"/>
          </w:tcPr>
          <w:p w14:paraId="64CEC992" w14:textId="30F0042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CheckMate 459</w:t>
            </w:r>
            <w:r w:rsidRPr="002C4BD9">
              <w:rPr>
                <w:rFonts w:ascii="Book Antiqua" w:hAnsi="Book Antiqua" w:cs="Times New Roman"/>
                <w:vertAlign w:val="superscript"/>
              </w:rPr>
              <w:t>[</w:t>
            </w:r>
            <w:r>
              <w:rPr>
                <w:rFonts w:ascii="Book Antiqua" w:hAnsi="Book Antiqua" w:cs="Times New Roman"/>
                <w:vertAlign w:val="superscript"/>
              </w:rPr>
              <w:t>39</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743)</w:t>
            </w:r>
          </w:p>
        </w:tc>
        <w:tc>
          <w:tcPr>
            <w:tcW w:w="1630" w:type="dxa"/>
          </w:tcPr>
          <w:p w14:paraId="666B096F" w14:textId="7BC2276E"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Nivolumab </w:t>
            </w:r>
            <w:r w:rsidRPr="002C4BD9">
              <w:rPr>
                <w:rFonts w:ascii="Book Antiqua" w:hAnsi="Book Antiqua" w:cs="Times New Roman"/>
                <w:i/>
                <w:iCs/>
              </w:rPr>
              <w:t>vs</w:t>
            </w:r>
            <w:r w:rsidRPr="002C4BD9">
              <w:rPr>
                <w:rFonts w:ascii="Book Antiqua" w:hAnsi="Book Antiqua" w:cs="Times New Roman"/>
              </w:rPr>
              <w:t xml:space="preserve"> Sorafenib</w:t>
            </w:r>
          </w:p>
        </w:tc>
        <w:tc>
          <w:tcPr>
            <w:tcW w:w="1248" w:type="dxa"/>
          </w:tcPr>
          <w:p w14:paraId="3355D518"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Pr>
          <w:p w14:paraId="7EDCD787" w14:textId="62A37BC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16.4 </w:t>
            </w:r>
            <w:r w:rsidRPr="002C4BD9">
              <w:rPr>
                <w:rFonts w:ascii="Book Antiqua" w:hAnsi="Book Antiqua" w:cs="Times New Roman"/>
                <w:i/>
                <w:iCs/>
              </w:rPr>
              <w:t>vs</w:t>
            </w:r>
            <w:r w:rsidRPr="002C4BD9">
              <w:rPr>
                <w:rFonts w:ascii="Book Antiqua" w:hAnsi="Book Antiqua" w:cs="Times New Roman"/>
              </w:rPr>
              <w:t xml:space="preserve"> 14.7</w:t>
            </w:r>
          </w:p>
        </w:tc>
        <w:tc>
          <w:tcPr>
            <w:tcW w:w="2736" w:type="dxa"/>
          </w:tcPr>
          <w:p w14:paraId="79453FC3" w14:textId="3C02B5D2"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0.85 (95%CI</w:t>
            </w:r>
            <w:r>
              <w:rPr>
                <w:rFonts w:ascii="Book Antiqua" w:hAnsi="Book Antiqua" w:cs="Times New Roman"/>
              </w:rPr>
              <w:t>:</w:t>
            </w:r>
            <w:r w:rsidRPr="002C4BD9">
              <w:rPr>
                <w:rFonts w:ascii="Book Antiqua" w:hAnsi="Book Antiqua" w:cs="Times New Roman"/>
              </w:rPr>
              <w:t xml:space="preserve"> 0.72-1.02)</w:t>
            </w:r>
          </w:p>
        </w:tc>
        <w:tc>
          <w:tcPr>
            <w:tcW w:w="2020" w:type="dxa"/>
          </w:tcPr>
          <w:p w14:paraId="17719017" w14:textId="1B8BBF1D"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w:t>
            </w:r>
            <w:r>
              <w:rPr>
                <w:rFonts w:ascii="Book Antiqua" w:hAnsi="Book Antiqua" w:cs="Times New Roman"/>
              </w:rPr>
              <w:t>,</w:t>
            </w:r>
            <w:r w:rsidRPr="002C4BD9">
              <w:rPr>
                <w:rFonts w:ascii="Book Antiqua" w:hAnsi="Book Antiqua" w:cs="Times New Roman"/>
              </w:rPr>
              <w:t xml:space="preserve"> 15% </w:t>
            </w:r>
            <w:r w:rsidRPr="002C4BD9">
              <w:rPr>
                <w:rFonts w:ascii="Book Antiqua" w:hAnsi="Book Antiqua" w:cs="Times New Roman"/>
                <w:i/>
                <w:iCs/>
              </w:rPr>
              <w:t>vs</w:t>
            </w:r>
            <w:r w:rsidRPr="002C4BD9">
              <w:rPr>
                <w:rFonts w:ascii="Book Antiqua" w:hAnsi="Book Antiqua" w:cs="Times New Roman"/>
              </w:rPr>
              <w:t xml:space="preserve"> 7%</w:t>
            </w:r>
          </w:p>
        </w:tc>
        <w:tc>
          <w:tcPr>
            <w:tcW w:w="2170" w:type="dxa"/>
          </w:tcPr>
          <w:p w14:paraId="7AB16FD5"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NCT02576509</w:t>
            </w:r>
          </w:p>
        </w:tc>
      </w:tr>
      <w:tr w:rsidR="00213B1A" w:rsidRPr="002C4BD9" w14:paraId="14D20C4A" w14:textId="77777777" w:rsidTr="00213B1A">
        <w:tc>
          <w:tcPr>
            <w:tcW w:w="1853" w:type="dxa"/>
            <w:tcBorders>
              <w:bottom w:val="single" w:sz="4" w:space="0" w:color="auto"/>
            </w:tcBorders>
          </w:tcPr>
          <w:p w14:paraId="4C123B02" w14:textId="249476A1"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KEYNOTE-240</w:t>
            </w:r>
            <w:r w:rsidRPr="002C4BD9">
              <w:rPr>
                <w:rFonts w:ascii="Book Antiqua" w:hAnsi="Book Antiqua" w:cs="Times New Roman"/>
                <w:vertAlign w:val="superscript"/>
              </w:rPr>
              <w:t>[</w:t>
            </w:r>
            <w:r>
              <w:rPr>
                <w:rFonts w:ascii="Book Antiqua" w:hAnsi="Book Antiqua" w:cs="Times New Roman"/>
                <w:vertAlign w:val="superscript"/>
              </w:rPr>
              <w:t>41</w:t>
            </w:r>
            <w:r w:rsidRPr="002C4BD9">
              <w:rPr>
                <w:rFonts w:ascii="Book Antiqua" w:hAnsi="Book Antiqua" w:cs="Times New Roman"/>
                <w:vertAlign w:val="superscript"/>
              </w:rPr>
              <w:t>]</w:t>
            </w:r>
            <w:r w:rsidRPr="002C4BD9">
              <w:rPr>
                <w:rFonts w:ascii="Book Antiqua" w:hAnsi="Book Antiqua" w:cs="Times New Roman"/>
              </w:rPr>
              <w:t xml:space="preserve"> (</w:t>
            </w:r>
            <w:r w:rsidRPr="002C4BD9">
              <w:rPr>
                <w:rFonts w:ascii="Book Antiqua" w:hAnsi="Book Antiqua" w:cs="Times New Roman"/>
                <w:i/>
                <w:iCs/>
              </w:rPr>
              <w:t>n</w:t>
            </w:r>
            <w:r>
              <w:rPr>
                <w:rFonts w:ascii="Book Antiqua" w:hAnsi="Book Antiqua" w:cs="Times New Roman"/>
              </w:rPr>
              <w:t xml:space="preserve"> </w:t>
            </w:r>
            <w:r w:rsidRPr="002C4BD9">
              <w:rPr>
                <w:rFonts w:ascii="Book Antiqua" w:hAnsi="Book Antiqua" w:cs="Times New Roman"/>
              </w:rPr>
              <w:t>=</w:t>
            </w:r>
            <w:r>
              <w:rPr>
                <w:rFonts w:ascii="Book Antiqua" w:hAnsi="Book Antiqua" w:cs="Times New Roman"/>
              </w:rPr>
              <w:t xml:space="preserve"> </w:t>
            </w:r>
            <w:r w:rsidRPr="002C4BD9">
              <w:rPr>
                <w:rFonts w:ascii="Book Antiqua" w:hAnsi="Book Antiqua" w:cs="Times New Roman"/>
              </w:rPr>
              <w:t>413)</w:t>
            </w:r>
          </w:p>
        </w:tc>
        <w:tc>
          <w:tcPr>
            <w:tcW w:w="1630" w:type="dxa"/>
            <w:tcBorders>
              <w:bottom w:val="single" w:sz="4" w:space="0" w:color="auto"/>
            </w:tcBorders>
          </w:tcPr>
          <w:p w14:paraId="726EA047" w14:textId="70D72324"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Pembrolizumab </w:t>
            </w:r>
            <w:r w:rsidRPr="002C4BD9">
              <w:rPr>
                <w:rFonts w:ascii="Book Antiqua" w:hAnsi="Book Antiqua" w:cs="Times New Roman"/>
                <w:i/>
                <w:iCs/>
              </w:rPr>
              <w:t>vs</w:t>
            </w:r>
            <w:r w:rsidRPr="002C4BD9">
              <w:rPr>
                <w:rFonts w:ascii="Book Antiqua" w:hAnsi="Book Antiqua" w:cs="Times New Roman"/>
              </w:rPr>
              <w:t xml:space="preserve"> placebo</w:t>
            </w:r>
          </w:p>
        </w:tc>
        <w:tc>
          <w:tcPr>
            <w:tcW w:w="1248" w:type="dxa"/>
            <w:tcBorders>
              <w:bottom w:val="single" w:sz="4" w:space="0" w:color="auto"/>
            </w:tcBorders>
          </w:tcPr>
          <w:p w14:paraId="1907BADB"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Phase III</w:t>
            </w:r>
          </w:p>
        </w:tc>
        <w:tc>
          <w:tcPr>
            <w:tcW w:w="1519" w:type="dxa"/>
            <w:tcBorders>
              <w:bottom w:val="single" w:sz="4" w:space="0" w:color="auto"/>
            </w:tcBorders>
          </w:tcPr>
          <w:p w14:paraId="58982F29" w14:textId="26FFAA95"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 xml:space="preserve">13.9 </w:t>
            </w:r>
            <w:r w:rsidRPr="002C4BD9">
              <w:rPr>
                <w:rFonts w:ascii="Book Antiqua" w:hAnsi="Book Antiqua" w:cs="Times New Roman"/>
                <w:i/>
                <w:iCs/>
              </w:rPr>
              <w:t>vs</w:t>
            </w:r>
            <w:r w:rsidRPr="002C4BD9">
              <w:rPr>
                <w:rFonts w:ascii="Book Antiqua" w:hAnsi="Book Antiqua" w:cs="Times New Roman"/>
              </w:rPr>
              <w:t xml:space="preserve"> 13.6 </w:t>
            </w:r>
            <w:r w:rsidRPr="002C4BD9">
              <w:rPr>
                <w:rFonts w:ascii="Book Antiqua" w:hAnsi="Book Antiqua" w:cs="Times New Roman"/>
                <w:i/>
                <w:iCs/>
              </w:rPr>
              <w:t>vs</w:t>
            </w:r>
            <w:r w:rsidRPr="002C4BD9">
              <w:rPr>
                <w:rFonts w:ascii="Book Antiqua" w:hAnsi="Book Antiqua" w:cs="Times New Roman"/>
              </w:rPr>
              <w:t xml:space="preserve"> 10.9 </w:t>
            </w:r>
          </w:p>
        </w:tc>
        <w:tc>
          <w:tcPr>
            <w:tcW w:w="2736" w:type="dxa"/>
            <w:tcBorders>
              <w:bottom w:val="single" w:sz="4" w:space="0" w:color="auto"/>
            </w:tcBorders>
          </w:tcPr>
          <w:p w14:paraId="61561C4C" w14:textId="4F0602CB"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HR 0.78, 95% CI</w:t>
            </w:r>
            <w:r>
              <w:rPr>
                <w:rFonts w:ascii="Book Antiqua" w:hAnsi="Book Antiqua" w:cs="Times New Roman"/>
              </w:rPr>
              <w:t>:</w:t>
            </w:r>
            <w:r w:rsidRPr="002C4BD9">
              <w:rPr>
                <w:rFonts w:ascii="Book Antiqua" w:hAnsi="Book Antiqua" w:cs="Times New Roman"/>
              </w:rPr>
              <w:t xml:space="preserve"> 0.61-0.99)</w:t>
            </w:r>
          </w:p>
        </w:tc>
        <w:tc>
          <w:tcPr>
            <w:tcW w:w="2020" w:type="dxa"/>
            <w:tcBorders>
              <w:bottom w:val="single" w:sz="4" w:space="0" w:color="auto"/>
            </w:tcBorders>
          </w:tcPr>
          <w:p w14:paraId="718C9810" w14:textId="5B2F83EA"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RECIST 1.1</w:t>
            </w:r>
            <w:r>
              <w:rPr>
                <w:rFonts w:ascii="Book Antiqua" w:hAnsi="Book Antiqua" w:cs="Times New Roman"/>
              </w:rPr>
              <w:t>,</w:t>
            </w:r>
            <w:r w:rsidRPr="002C4BD9">
              <w:rPr>
                <w:rFonts w:ascii="Book Antiqua" w:hAnsi="Book Antiqua" w:cs="Times New Roman"/>
              </w:rPr>
              <w:t xml:space="preserve"> 18.3% </w:t>
            </w:r>
            <w:r w:rsidRPr="002C4BD9">
              <w:rPr>
                <w:rFonts w:ascii="Book Antiqua" w:hAnsi="Book Antiqua" w:cs="Times New Roman"/>
                <w:i/>
                <w:iCs/>
              </w:rPr>
              <w:t>vs</w:t>
            </w:r>
            <w:r w:rsidRPr="002C4BD9">
              <w:rPr>
                <w:rFonts w:ascii="Book Antiqua" w:hAnsi="Book Antiqua" w:cs="Times New Roman"/>
              </w:rPr>
              <w:t xml:space="preserve"> 4.4%</w:t>
            </w:r>
          </w:p>
        </w:tc>
        <w:tc>
          <w:tcPr>
            <w:tcW w:w="2170" w:type="dxa"/>
            <w:tcBorders>
              <w:bottom w:val="single" w:sz="4" w:space="0" w:color="auto"/>
            </w:tcBorders>
          </w:tcPr>
          <w:p w14:paraId="39B2A0DD" w14:textId="77777777" w:rsidR="002C4BD9" w:rsidRPr="002C4BD9" w:rsidRDefault="002C4BD9" w:rsidP="002C4BD9">
            <w:pPr>
              <w:spacing w:line="360" w:lineRule="auto"/>
              <w:jc w:val="both"/>
              <w:rPr>
                <w:rFonts w:ascii="Book Antiqua" w:hAnsi="Book Antiqua" w:cs="Times New Roman"/>
              </w:rPr>
            </w:pPr>
            <w:r w:rsidRPr="002C4BD9">
              <w:rPr>
                <w:rFonts w:ascii="Book Antiqua" w:hAnsi="Book Antiqua" w:cs="Times New Roman"/>
              </w:rPr>
              <w:t>NCT02702401</w:t>
            </w:r>
          </w:p>
        </w:tc>
      </w:tr>
    </w:tbl>
    <w:p w14:paraId="77AA58C1" w14:textId="77777777" w:rsidR="009E59AE" w:rsidRDefault="002C4BD9">
      <w:pPr>
        <w:spacing w:line="360" w:lineRule="auto"/>
        <w:jc w:val="both"/>
        <w:rPr>
          <w:rFonts w:ascii="Book Antiqua" w:hAnsi="Book Antiqua"/>
        </w:rPr>
        <w:sectPr w:rsidR="009E59AE" w:rsidSect="002C4BD9">
          <w:pgSz w:w="15840" w:h="12240" w:orient="landscape"/>
          <w:pgMar w:top="1440" w:right="1440" w:bottom="1440" w:left="1440" w:header="720" w:footer="720" w:gutter="0"/>
          <w:cols w:space="720"/>
          <w:docGrid w:linePitch="360"/>
        </w:sectPr>
      </w:pPr>
      <w:r w:rsidRPr="002C4BD9">
        <w:rPr>
          <w:rFonts w:ascii="Book Antiqua" w:hAnsi="Book Antiqua"/>
        </w:rPr>
        <w:t xml:space="preserve">HCC: </w:t>
      </w:r>
      <w:r>
        <w:rPr>
          <w:rFonts w:ascii="Book Antiqua" w:hAnsi="Book Antiqua"/>
        </w:rPr>
        <w:t>H</w:t>
      </w:r>
      <w:r w:rsidRPr="002C4BD9">
        <w:rPr>
          <w:rFonts w:ascii="Book Antiqua" w:hAnsi="Book Antiqua"/>
        </w:rPr>
        <w:t xml:space="preserve">epatocellular carcinoma; OS: </w:t>
      </w:r>
      <w:r>
        <w:rPr>
          <w:rFonts w:ascii="Book Antiqua" w:hAnsi="Book Antiqua"/>
        </w:rPr>
        <w:t>O</w:t>
      </w:r>
      <w:r w:rsidRPr="002C4BD9">
        <w:rPr>
          <w:rFonts w:ascii="Book Antiqua" w:hAnsi="Book Antiqua"/>
        </w:rPr>
        <w:t xml:space="preserve">verall survival; ORR: </w:t>
      </w:r>
      <w:r>
        <w:rPr>
          <w:rFonts w:ascii="Book Antiqua" w:hAnsi="Book Antiqua"/>
        </w:rPr>
        <w:t>O</w:t>
      </w:r>
      <w:r w:rsidRPr="002C4BD9">
        <w:rPr>
          <w:rFonts w:ascii="Book Antiqua" w:hAnsi="Book Antiqua"/>
        </w:rPr>
        <w:t xml:space="preserve">bjective response rate; HR: </w:t>
      </w:r>
      <w:r>
        <w:rPr>
          <w:rFonts w:ascii="Book Antiqua" w:hAnsi="Book Antiqua"/>
        </w:rPr>
        <w:t>H</w:t>
      </w:r>
      <w:r w:rsidR="00874BB7">
        <w:rPr>
          <w:rFonts w:ascii="Book Antiqua" w:hAnsi="Book Antiqua"/>
        </w:rPr>
        <w:t>azard ratio; 95%</w:t>
      </w:r>
      <w:r w:rsidRPr="002C4BD9">
        <w:rPr>
          <w:rFonts w:ascii="Book Antiqua" w:hAnsi="Book Antiqua"/>
        </w:rPr>
        <w:t xml:space="preserve">CI: 95% </w:t>
      </w:r>
      <w:r>
        <w:rPr>
          <w:rFonts w:ascii="Book Antiqua" w:hAnsi="Book Antiqua"/>
        </w:rPr>
        <w:t>C</w:t>
      </w:r>
      <w:r w:rsidRPr="002C4BD9">
        <w:rPr>
          <w:rFonts w:ascii="Book Antiqua" w:hAnsi="Book Antiqua"/>
        </w:rPr>
        <w:t xml:space="preserve">onfidence interval; RECIST: </w:t>
      </w:r>
      <w:r>
        <w:rPr>
          <w:rFonts w:ascii="Book Antiqua" w:hAnsi="Book Antiqua"/>
        </w:rPr>
        <w:t>R</w:t>
      </w:r>
      <w:r w:rsidRPr="002C4BD9">
        <w:rPr>
          <w:rFonts w:ascii="Book Antiqua" w:hAnsi="Book Antiqua"/>
        </w:rPr>
        <w:t xml:space="preserve">esponse evaluation criteria in solid tumors; mRECIST: </w:t>
      </w:r>
      <w:r>
        <w:rPr>
          <w:rFonts w:ascii="Book Antiqua" w:hAnsi="Book Antiqua"/>
        </w:rPr>
        <w:t>M</w:t>
      </w:r>
      <w:r w:rsidRPr="002C4BD9">
        <w:rPr>
          <w:rFonts w:ascii="Book Antiqua" w:hAnsi="Book Antiqua"/>
        </w:rPr>
        <w:t xml:space="preserve">odified RECIST for hepatocellular carcinoma; NE: </w:t>
      </w:r>
      <w:r>
        <w:rPr>
          <w:rFonts w:ascii="Book Antiqua" w:hAnsi="Book Antiqua"/>
        </w:rPr>
        <w:t>C</w:t>
      </w:r>
      <w:r w:rsidRPr="002C4BD9">
        <w:rPr>
          <w:rFonts w:ascii="Book Antiqua" w:hAnsi="Book Antiqua"/>
        </w:rPr>
        <w:t>ould not be evaluated.</w:t>
      </w:r>
    </w:p>
    <w:p w14:paraId="4ADA04C9" w14:textId="77777777" w:rsidR="009E59AE" w:rsidRDefault="009E59AE" w:rsidP="009E59AE">
      <w:pPr>
        <w:jc w:val="center"/>
        <w:rPr>
          <w:rFonts w:ascii="Book Antiqua" w:hAnsi="Book Antiqua"/>
          <w:lang w:eastAsia="zh-CN"/>
        </w:rPr>
      </w:pPr>
      <w:bookmarkStart w:id="1" w:name="OLE_LINK1"/>
      <w:bookmarkStart w:id="2" w:name="OLE_LINK2"/>
    </w:p>
    <w:p w14:paraId="28F67733" w14:textId="77777777" w:rsidR="009E59AE" w:rsidRDefault="009E59AE" w:rsidP="009E59AE">
      <w:pPr>
        <w:jc w:val="center"/>
        <w:rPr>
          <w:rFonts w:ascii="Book Antiqua" w:hAnsi="Book Antiqua"/>
          <w:lang w:eastAsia="zh-CN"/>
        </w:rPr>
      </w:pPr>
    </w:p>
    <w:p w14:paraId="1247B3C0" w14:textId="77777777" w:rsidR="009E59AE" w:rsidRDefault="009E59AE" w:rsidP="009E59AE">
      <w:pPr>
        <w:jc w:val="center"/>
        <w:rPr>
          <w:rFonts w:ascii="Book Antiqua" w:hAnsi="Book Antiqua"/>
          <w:lang w:eastAsia="zh-CN"/>
        </w:rPr>
      </w:pPr>
    </w:p>
    <w:p w14:paraId="63C78685" w14:textId="77777777" w:rsidR="009E59AE" w:rsidRDefault="009E59AE" w:rsidP="009E59AE">
      <w:pPr>
        <w:jc w:val="center"/>
        <w:rPr>
          <w:rFonts w:ascii="Book Antiqua" w:hAnsi="Book Antiqua"/>
          <w:lang w:eastAsia="zh-CN"/>
        </w:rPr>
      </w:pPr>
    </w:p>
    <w:p w14:paraId="788077E0" w14:textId="77777777" w:rsidR="009E59AE" w:rsidRDefault="009E59AE" w:rsidP="009E59AE">
      <w:pPr>
        <w:jc w:val="center"/>
        <w:rPr>
          <w:rFonts w:ascii="Book Antiqua" w:hAnsi="Book Antiqua"/>
          <w:lang w:eastAsia="zh-CN"/>
        </w:rPr>
      </w:pPr>
    </w:p>
    <w:p w14:paraId="7383CB3A" w14:textId="77777777" w:rsidR="009E59AE" w:rsidRDefault="009E59AE" w:rsidP="009E59AE">
      <w:pPr>
        <w:jc w:val="center"/>
        <w:rPr>
          <w:rFonts w:ascii="Book Antiqua" w:hAnsi="Book Antiqua"/>
          <w:lang w:eastAsia="zh-CN"/>
        </w:rPr>
      </w:pPr>
      <w:r>
        <w:rPr>
          <w:rFonts w:ascii="Book Antiqua" w:hAnsi="Book Antiqua"/>
          <w:noProof/>
          <w:lang w:eastAsia="zh-CN"/>
        </w:rPr>
        <w:drawing>
          <wp:inline distT="0" distB="0" distL="0" distR="0" wp14:anchorId="0DA1930A" wp14:editId="0A92B1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185DD8" w14:textId="77777777" w:rsidR="009E59AE" w:rsidRDefault="009E59AE" w:rsidP="009E59AE">
      <w:pPr>
        <w:jc w:val="center"/>
        <w:rPr>
          <w:rFonts w:ascii="Book Antiqua" w:hAnsi="Book Antiqua"/>
          <w:lang w:eastAsia="zh-CN"/>
        </w:rPr>
      </w:pPr>
    </w:p>
    <w:p w14:paraId="1BD4DEFE" w14:textId="77777777" w:rsidR="009E59AE" w:rsidRPr="00763D22" w:rsidRDefault="009E59AE" w:rsidP="009E59A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07B809A" w14:textId="77777777" w:rsidR="009E59AE" w:rsidRPr="00763D22" w:rsidRDefault="009E59AE" w:rsidP="009E59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0174FB" w14:textId="77777777" w:rsidR="009E59AE" w:rsidRPr="00763D22" w:rsidRDefault="009E59AE" w:rsidP="009E59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F17D47" w14:textId="77777777" w:rsidR="009E59AE" w:rsidRPr="00763D22" w:rsidRDefault="009E59AE" w:rsidP="009E59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5FDA31" w14:textId="77777777" w:rsidR="009E59AE" w:rsidRPr="00763D22" w:rsidRDefault="009E59AE" w:rsidP="009E59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427BFD" w14:textId="77777777" w:rsidR="009E59AE" w:rsidRPr="00763D22" w:rsidRDefault="009E59AE" w:rsidP="009E59A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9B9238" w14:textId="77777777" w:rsidR="009E59AE" w:rsidRDefault="009E59AE" w:rsidP="009E59AE">
      <w:pPr>
        <w:jc w:val="center"/>
        <w:rPr>
          <w:rFonts w:ascii="Book Antiqua" w:hAnsi="Book Antiqua"/>
          <w:lang w:eastAsia="zh-CN"/>
        </w:rPr>
      </w:pPr>
    </w:p>
    <w:p w14:paraId="62454B2E" w14:textId="77777777" w:rsidR="009E59AE" w:rsidRDefault="009E59AE" w:rsidP="009E59AE">
      <w:pPr>
        <w:jc w:val="center"/>
        <w:rPr>
          <w:rFonts w:ascii="Book Antiqua" w:hAnsi="Book Antiqua"/>
          <w:lang w:eastAsia="zh-CN"/>
        </w:rPr>
      </w:pPr>
    </w:p>
    <w:p w14:paraId="1761FF93" w14:textId="77777777" w:rsidR="009E59AE" w:rsidRDefault="009E59AE" w:rsidP="009E59AE">
      <w:pPr>
        <w:jc w:val="center"/>
        <w:rPr>
          <w:rFonts w:ascii="Book Antiqua" w:hAnsi="Book Antiqua"/>
          <w:lang w:eastAsia="zh-CN"/>
        </w:rPr>
      </w:pPr>
    </w:p>
    <w:p w14:paraId="25967868" w14:textId="77777777" w:rsidR="009E59AE" w:rsidRDefault="009E59AE" w:rsidP="009E59AE">
      <w:pPr>
        <w:jc w:val="center"/>
        <w:rPr>
          <w:rFonts w:ascii="Book Antiqua" w:hAnsi="Book Antiqua"/>
          <w:lang w:eastAsia="zh-CN"/>
        </w:rPr>
      </w:pPr>
      <w:r>
        <w:rPr>
          <w:rFonts w:ascii="Book Antiqua" w:hAnsi="Book Antiqua"/>
          <w:noProof/>
          <w:lang w:eastAsia="zh-CN"/>
        </w:rPr>
        <w:drawing>
          <wp:inline distT="0" distB="0" distL="0" distR="0" wp14:anchorId="389E8E45" wp14:editId="35C4CB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95E4A2" w14:textId="77777777" w:rsidR="009E59AE" w:rsidRDefault="009E59AE" w:rsidP="009E59AE">
      <w:pPr>
        <w:jc w:val="center"/>
        <w:rPr>
          <w:rFonts w:ascii="Book Antiqua" w:hAnsi="Book Antiqua"/>
          <w:lang w:eastAsia="zh-CN"/>
        </w:rPr>
      </w:pPr>
    </w:p>
    <w:p w14:paraId="4970CCD4" w14:textId="77777777" w:rsidR="009E59AE" w:rsidRDefault="009E59AE" w:rsidP="009E59AE">
      <w:pPr>
        <w:jc w:val="center"/>
        <w:rPr>
          <w:rFonts w:ascii="Book Antiqua" w:hAnsi="Book Antiqua"/>
          <w:lang w:eastAsia="zh-CN"/>
        </w:rPr>
      </w:pPr>
    </w:p>
    <w:p w14:paraId="076EC0C7" w14:textId="77777777" w:rsidR="009E59AE" w:rsidRDefault="009E59AE" w:rsidP="009E59AE">
      <w:pPr>
        <w:jc w:val="center"/>
        <w:rPr>
          <w:rFonts w:ascii="Book Antiqua" w:hAnsi="Book Antiqua"/>
          <w:lang w:eastAsia="zh-CN"/>
        </w:rPr>
      </w:pPr>
    </w:p>
    <w:p w14:paraId="3EE64B04" w14:textId="77777777" w:rsidR="009E59AE" w:rsidRDefault="009E59AE" w:rsidP="009E59AE">
      <w:pPr>
        <w:jc w:val="center"/>
        <w:rPr>
          <w:rFonts w:ascii="Book Antiqua" w:hAnsi="Book Antiqua"/>
          <w:lang w:eastAsia="zh-CN"/>
        </w:rPr>
      </w:pPr>
    </w:p>
    <w:p w14:paraId="23D89F30" w14:textId="77777777" w:rsidR="009E59AE" w:rsidRDefault="009E59AE" w:rsidP="009E59AE">
      <w:pPr>
        <w:jc w:val="center"/>
        <w:rPr>
          <w:rFonts w:ascii="Book Antiqua" w:hAnsi="Book Antiqua"/>
          <w:lang w:eastAsia="zh-CN"/>
        </w:rPr>
      </w:pPr>
    </w:p>
    <w:p w14:paraId="485FB9E5" w14:textId="77777777" w:rsidR="009E59AE" w:rsidRDefault="009E59AE" w:rsidP="009E59AE">
      <w:pPr>
        <w:jc w:val="center"/>
        <w:rPr>
          <w:rFonts w:ascii="Book Antiqua" w:hAnsi="Book Antiqua"/>
          <w:lang w:eastAsia="zh-CN"/>
        </w:rPr>
      </w:pPr>
    </w:p>
    <w:p w14:paraId="1B6B6EA5" w14:textId="77777777" w:rsidR="009E59AE" w:rsidRDefault="009E59AE" w:rsidP="009E59AE">
      <w:pPr>
        <w:jc w:val="center"/>
        <w:rPr>
          <w:rFonts w:ascii="Book Antiqua" w:hAnsi="Book Antiqua"/>
          <w:lang w:eastAsia="zh-CN"/>
        </w:rPr>
      </w:pPr>
    </w:p>
    <w:p w14:paraId="03806B5D" w14:textId="77777777" w:rsidR="009E59AE" w:rsidRDefault="009E59AE" w:rsidP="009E59AE">
      <w:pPr>
        <w:jc w:val="center"/>
        <w:rPr>
          <w:rFonts w:ascii="Book Antiqua" w:hAnsi="Book Antiqua"/>
          <w:lang w:eastAsia="zh-CN"/>
        </w:rPr>
      </w:pPr>
    </w:p>
    <w:p w14:paraId="70A383D5" w14:textId="77777777" w:rsidR="009E59AE" w:rsidRDefault="009E59AE" w:rsidP="009E59AE">
      <w:pPr>
        <w:jc w:val="center"/>
        <w:rPr>
          <w:rFonts w:ascii="Book Antiqua" w:hAnsi="Book Antiqua"/>
          <w:lang w:eastAsia="zh-CN"/>
        </w:rPr>
      </w:pPr>
    </w:p>
    <w:p w14:paraId="4C05734C" w14:textId="77777777" w:rsidR="009E59AE" w:rsidRPr="00763D22" w:rsidRDefault="009E59AE" w:rsidP="009E59AE">
      <w:pPr>
        <w:jc w:val="right"/>
        <w:rPr>
          <w:rFonts w:ascii="Book Antiqua" w:hAnsi="Book Antiqua"/>
          <w:color w:val="000000" w:themeColor="text1"/>
          <w:lang w:eastAsia="zh-CN"/>
        </w:rPr>
      </w:pPr>
    </w:p>
    <w:p w14:paraId="0824FA43" w14:textId="77777777" w:rsidR="009E59AE" w:rsidRPr="00763D22" w:rsidRDefault="009E59AE" w:rsidP="009E59A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51BE02B4" w14:textId="0C140902" w:rsidR="002C4BD9" w:rsidRPr="002C4BD9" w:rsidRDefault="002C4BD9">
      <w:pPr>
        <w:spacing w:line="360" w:lineRule="auto"/>
        <w:jc w:val="both"/>
        <w:rPr>
          <w:rFonts w:ascii="Book Antiqua" w:hAnsi="Book Antiqua"/>
        </w:rPr>
      </w:pPr>
      <w:bookmarkStart w:id="3" w:name="_GoBack"/>
      <w:bookmarkEnd w:id="3"/>
    </w:p>
    <w:sectPr w:rsidR="002C4BD9" w:rsidRPr="002C4BD9" w:rsidSect="00BD7A2A">
      <w:pgSz w:w="11907" w:h="16839" w:code="9"/>
      <w:pgMar w:top="1440" w:right="1797" w:bottom="1440" w:left="179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8F0" w16cex:dateUtc="2021-06-03T02:09:00Z"/>
  <w16cex:commentExtensible w16cex:durableId="24632E62" w16cex:dateUtc="2021-06-03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2C0BC" w16cid:durableId="246328F0"/>
  <w16cid:commentId w16cid:paraId="193039F9" w16cid:durableId="24632E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59EC" w14:textId="77777777" w:rsidR="00415D0B" w:rsidRDefault="00415D0B" w:rsidP="00D8149C">
      <w:r>
        <w:separator/>
      </w:r>
    </w:p>
  </w:endnote>
  <w:endnote w:type="continuationSeparator" w:id="0">
    <w:p w14:paraId="6410F641" w14:textId="77777777" w:rsidR="00415D0B" w:rsidRDefault="00415D0B" w:rsidP="00D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8266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992BAB" w14:textId="480E99E7" w:rsidR="006B73D7" w:rsidRPr="00D8149C" w:rsidRDefault="006B73D7" w:rsidP="00D8149C">
            <w:pPr>
              <w:pStyle w:val="a8"/>
              <w:jc w:val="right"/>
              <w:rPr>
                <w:rFonts w:ascii="Book Antiqua" w:hAnsi="Book Antiqua"/>
                <w:sz w:val="24"/>
                <w:szCs w:val="24"/>
              </w:rPr>
            </w:pPr>
            <w:r w:rsidRPr="00D8149C">
              <w:rPr>
                <w:rFonts w:ascii="Book Antiqua" w:hAnsi="Book Antiqua"/>
                <w:sz w:val="24"/>
                <w:szCs w:val="24"/>
                <w:lang w:val="zh-CN" w:eastAsia="zh-CN"/>
              </w:rPr>
              <w:t xml:space="preserve"> </w:t>
            </w:r>
            <w:r w:rsidRPr="00D8149C">
              <w:rPr>
                <w:rFonts w:ascii="Book Antiqua" w:hAnsi="Book Antiqua"/>
                <w:sz w:val="24"/>
                <w:szCs w:val="24"/>
              </w:rPr>
              <w:fldChar w:fldCharType="begin"/>
            </w:r>
            <w:r w:rsidRPr="00D8149C">
              <w:rPr>
                <w:rFonts w:ascii="Book Antiqua" w:hAnsi="Book Antiqua"/>
                <w:sz w:val="24"/>
                <w:szCs w:val="24"/>
              </w:rPr>
              <w:instrText>PAGE</w:instrText>
            </w:r>
            <w:r w:rsidRPr="00D8149C">
              <w:rPr>
                <w:rFonts w:ascii="Book Antiqua" w:hAnsi="Book Antiqua"/>
                <w:sz w:val="24"/>
                <w:szCs w:val="24"/>
              </w:rPr>
              <w:fldChar w:fldCharType="separate"/>
            </w:r>
            <w:r w:rsidR="00415D0B">
              <w:rPr>
                <w:rFonts w:ascii="Book Antiqua" w:hAnsi="Book Antiqua"/>
                <w:noProof/>
                <w:sz w:val="24"/>
                <w:szCs w:val="24"/>
              </w:rPr>
              <w:t>1</w:t>
            </w:r>
            <w:r w:rsidRPr="00D8149C">
              <w:rPr>
                <w:rFonts w:ascii="Book Antiqua" w:hAnsi="Book Antiqua"/>
                <w:sz w:val="24"/>
                <w:szCs w:val="24"/>
              </w:rPr>
              <w:fldChar w:fldCharType="end"/>
            </w:r>
            <w:r w:rsidRPr="00D8149C">
              <w:rPr>
                <w:rFonts w:ascii="Book Antiqua" w:hAnsi="Book Antiqua"/>
                <w:sz w:val="24"/>
                <w:szCs w:val="24"/>
                <w:lang w:val="zh-CN" w:eastAsia="zh-CN"/>
              </w:rPr>
              <w:t xml:space="preserve"> / </w:t>
            </w:r>
            <w:r w:rsidRPr="00D8149C">
              <w:rPr>
                <w:rFonts w:ascii="Book Antiqua" w:hAnsi="Book Antiqua"/>
                <w:sz w:val="24"/>
                <w:szCs w:val="24"/>
              </w:rPr>
              <w:fldChar w:fldCharType="begin"/>
            </w:r>
            <w:r w:rsidRPr="00D8149C">
              <w:rPr>
                <w:rFonts w:ascii="Book Antiqua" w:hAnsi="Book Antiqua"/>
                <w:sz w:val="24"/>
                <w:szCs w:val="24"/>
              </w:rPr>
              <w:instrText>NUMPAGES</w:instrText>
            </w:r>
            <w:r w:rsidRPr="00D8149C">
              <w:rPr>
                <w:rFonts w:ascii="Book Antiqua" w:hAnsi="Book Antiqua"/>
                <w:sz w:val="24"/>
                <w:szCs w:val="24"/>
              </w:rPr>
              <w:fldChar w:fldCharType="separate"/>
            </w:r>
            <w:r w:rsidR="00415D0B">
              <w:rPr>
                <w:rFonts w:ascii="Book Antiqua" w:hAnsi="Book Antiqua"/>
                <w:noProof/>
                <w:sz w:val="24"/>
                <w:szCs w:val="24"/>
              </w:rPr>
              <w:t>1</w:t>
            </w:r>
            <w:r w:rsidRPr="00D8149C">
              <w:rPr>
                <w:rFonts w:ascii="Book Antiqua" w:hAnsi="Book Antiqua"/>
                <w:sz w:val="24"/>
                <w:szCs w:val="24"/>
              </w:rPr>
              <w:fldChar w:fldCharType="end"/>
            </w:r>
          </w:p>
        </w:sdtContent>
      </w:sdt>
    </w:sdtContent>
  </w:sdt>
  <w:p w14:paraId="09D43C05" w14:textId="77777777" w:rsidR="006B73D7" w:rsidRPr="00D8149C" w:rsidRDefault="006B73D7" w:rsidP="00D8149C">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29DD3" w14:textId="77777777" w:rsidR="00415D0B" w:rsidRDefault="00415D0B" w:rsidP="00D8149C">
      <w:r>
        <w:separator/>
      </w:r>
    </w:p>
  </w:footnote>
  <w:footnote w:type="continuationSeparator" w:id="0">
    <w:p w14:paraId="0EC9207C" w14:textId="77777777" w:rsidR="00415D0B" w:rsidRDefault="00415D0B" w:rsidP="00D81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D5A"/>
    <w:rsid w:val="0005019D"/>
    <w:rsid w:val="0009418D"/>
    <w:rsid w:val="000B1F7A"/>
    <w:rsid w:val="000B2BA1"/>
    <w:rsid w:val="00101EE9"/>
    <w:rsid w:val="001D34B4"/>
    <w:rsid w:val="00213B1A"/>
    <w:rsid w:val="002A029A"/>
    <w:rsid w:val="002A0309"/>
    <w:rsid w:val="002C4BD9"/>
    <w:rsid w:val="002D4004"/>
    <w:rsid w:val="00340AC3"/>
    <w:rsid w:val="003866AF"/>
    <w:rsid w:val="003C1C66"/>
    <w:rsid w:val="004114EC"/>
    <w:rsid w:val="00415D0B"/>
    <w:rsid w:val="00435A98"/>
    <w:rsid w:val="00440213"/>
    <w:rsid w:val="00467DBA"/>
    <w:rsid w:val="00503EC4"/>
    <w:rsid w:val="005536B7"/>
    <w:rsid w:val="005C66F4"/>
    <w:rsid w:val="0066694C"/>
    <w:rsid w:val="006A2241"/>
    <w:rsid w:val="006B73D7"/>
    <w:rsid w:val="00874BB7"/>
    <w:rsid w:val="008A1859"/>
    <w:rsid w:val="009D6BFE"/>
    <w:rsid w:val="009E59AE"/>
    <w:rsid w:val="00A30458"/>
    <w:rsid w:val="00A77B3E"/>
    <w:rsid w:val="00AA4EC8"/>
    <w:rsid w:val="00AD06A2"/>
    <w:rsid w:val="00AE653D"/>
    <w:rsid w:val="00B053C9"/>
    <w:rsid w:val="00B174AF"/>
    <w:rsid w:val="00B90139"/>
    <w:rsid w:val="00BB3140"/>
    <w:rsid w:val="00BB4A11"/>
    <w:rsid w:val="00BF09DC"/>
    <w:rsid w:val="00C00A43"/>
    <w:rsid w:val="00C70323"/>
    <w:rsid w:val="00C84D26"/>
    <w:rsid w:val="00CA2A55"/>
    <w:rsid w:val="00CB38C8"/>
    <w:rsid w:val="00CE35ED"/>
    <w:rsid w:val="00CF7847"/>
    <w:rsid w:val="00D1373F"/>
    <w:rsid w:val="00D8149C"/>
    <w:rsid w:val="00DB0EE1"/>
    <w:rsid w:val="00DD7532"/>
    <w:rsid w:val="00E0436F"/>
    <w:rsid w:val="00E748C1"/>
    <w:rsid w:val="00EA13D1"/>
    <w:rsid w:val="00EB179A"/>
    <w:rsid w:val="00EC27AC"/>
    <w:rsid w:val="00F21958"/>
    <w:rsid w:val="00F36577"/>
    <w:rsid w:val="00F6378D"/>
    <w:rsid w:val="00FF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F7847"/>
    <w:rPr>
      <w:sz w:val="21"/>
      <w:szCs w:val="21"/>
    </w:rPr>
  </w:style>
  <w:style w:type="paragraph" w:styleId="a4">
    <w:name w:val="annotation text"/>
    <w:basedOn w:val="a"/>
    <w:link w:val="Char"/>
    <w:semiHidden/>
    <w:unhideWhenUsed/>
    <w:rsid w:val="00CF7847"/>
  </w:style>
  <w:style w:type="character" w:customStyle="1" w:styleId="Char">
    <w:name w:val="批注文字 Char"/>
    <w:basedOn w:val="a0"/>
    <w:link w:val="a4"/>
    <w:semiHidden/>
    <w:rsid w:val="00CF7847"/>
    <w:rPr>
      <w:sz w:val="24"/>
      <w:szCs w:val="24"/>
    </w:rPr>
  </w:style>
  <w:style w:type="paragraph" w:styleId="a5">
    <w:name w:val="annotation subject"/>
    <w:basedOn w:val="a4"/>
    <w:next w:val="a4"/>
    <w:link w:val="Char0"/>
    <w:semiHidden/>
    <w:unhideWhenUsed/>
    <w:rsid w:val="00CF7847"/>
    <w:rPr>
      <w:b/>
      <w:bCs/>
    </w:rPr>
  </w:style>
  <w:style w:type="character" w:customStyle="1" w:styleId="Char0">
    <w:name w:val="批注主题 Char"/>
    <w:basedOn w:val="Char"/>
    <w:link w:val="a5"/>
    <w:semiHidden/>
    <w:rsid w:val="00CF7847"/>
    <w:rPr>
      <w:b/>
      <w:bCs/>
      <w:sz w:val="24"/>
      <w:szCs w:val="24"/>
    </w:rPr>
  </w:style>
  <w:style w:type="paragraph" w:customStyle="1" w:styleId="1">
    <w:name w:val="正文1"/>
    <w:uiPriority w:val="99"/>
    <w:rsid w:val="00CF7847"/>
    <w:pPr>
      <w:spacing w:line="276" w:lineRule="auto"/>
    </w:pPr>
    <w:rPr>
      <w:rFonts w:ascii="Arial" w:eastAsia="宋体" w:hAnsi="Arial" w:cs="Arial"/>
      <w:color w:val="000000"/>
      <w:sz w:val="22"/>
      <w:lang w:val="pl-PL" w:eastAsia="pl-PL"/>
    </w:rPr>
  </w:style>
  <w:style w:type="table" w:styleId="a6">
    <w:name w:val="Table Grid"/>
    <w:basedOn w:val="a1"/>
    <w:uiPriority w:val="39"/>
    <w:rsid w:val="002C4B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D814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8149C"/>
    <w:rPr>
      <w:sz w:val="18"/>
      <w:szCs w:val="18"/>
    </w:rPr>
  </w:style>
  <w:style w:type="paragraph" w:styleId="a8">
    <w:name w:val="footer"/>
    <w:basedOn w:val="a"/>
    <w:link w:val="Char2"/>
    <w:uiPriority w:val="99"/>
    <w:unhideWhenUsed/>
    <w:rsid w:val="00D8149C"/>
    <w:pPr>
      <w:tabs>
        <w:tab w:val="center" w:pos="4153"/>
        <w:tab w:val="right" w:pos="8306"/>
      </w:tabs>
      <w:snapToGrid w:val="0"/>
    </w:pPr>
    <w:rPr>
      <w:sz w:val="18"/>
      <w:szCs w:val="18"/>
    </w:rPr>
  </w:style>
  <w:style w:type="character" w:customStyle="1" w:styleId="Char2">
    <w:name w:val="页脚 Char"/>
    <w:basedOn w:val="a0"/>
    <w:link w:val="a8"/>
    <w:uiPriority w:val="99"/>
    <w:rsid w:val="00D8149C"/>
    <w:rPr>
      <w:sz w:val="18"/>
      <w:szCs w:val="18"/>
    </w:rPr>
  </w:style>
  <w:style w:type="paragraph" w:styleId="a9">
    <w:name w:val="Balloon Text"/>
    <w:basedOn w:val="a"/>
    <w:link w:val="Char3"/>
    <w:semiHidden/>
    <w:unhideWhenUsed/>
    <w:rsid w:val="002A0309"/>
    <w:rPr>
      <w:sz w:val="18"/>
      <w:szCs w:val="18"/>
    </w:rPr>
  </w:style>
  <w:style w:type="character" w:customStyle="1" w:styleId="Char3">
    <w:name w:val="批注框文本 Char"/>
    <w:basedOn w:val="a0"/>
    <w:link w:val="a9"/>
    <w:semiHidden/>
    <w:rsid w:val="002A03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F7847"/>
    <w:rPr>
      <w:sz w:val="21"/>
      <w:szCs w:val="21"/>
    </w:rPr>
  </w:style>
  <w:style w:type="paragraph" w:styleId="a4">
    <w:name w:val="annotation text"/>
    <w:basedOn w:val="a"/>
    <w:link w:val="Char"/>
    <w:semiHidden/>
    <w:unhideWhenUsed/>
    <w:rsid w:val="00CF7847"/>
  </w:style>
  <w:style w:type="character" w:customStyle="1" w:styleId="Char">
    <w:name w:val="批注文字 Char"/>
    <w:basedOn w:val="a0"/>
    <w:link w:val="a4"/>
    <w:semiHidden/>
    <w:rsid w:val="00CF7847"/>
    <w:rPr>
      <w:sz w:val="24"/>
      <w:szCs w:val="24"/>
    </w:rPr>
  </w:style>
  <w:style w:type="paragraph" w:styleId="a5">
    <w:name w:val="annotation subject"/>
    <w:basedOn w:val="a4"/>
    <w:next w:val="a4"/>
    <w:link w:val="Char0"/>
    <w:semiHidden/>
    <w:unhideWhenUsed/>
    <w:rsid w:val="00CF7847"/>
    <w:rPr>
      <w:b/>
      <w:bCs/>
    </w:rPr>
  </w:style>
  <w:style w:type="character" w:customStyle="1" w:styleId="Char0">
    <w:name w:val="批注主题 Char"/>
    <w:basedOn w:val="Char"/>
    <w:link w:val="a5"/>
    <w:semiHidden/>
    <w:rsid w:val="00CF7847"/>
    <w:rPr>
      <w:b/>
      <w:bCs/>
      <w:sz w:val="24"/>
      <w:szCs w:val="24"/>
    </w:rPr>
  </w:style>
  <w:style w:type="paragraph" w:customStyle="1" w:styleId="1">
    <w:name w:val="正文1"/>
    <w:uiPriority w:val="99"/>
    <w:rsid w:val="00CF7847"/>
    <w:pPr>
      <w:spacing w:line="276" w:lineRule="auto"/>
    </w:pPr>
    <w:rPr>
      <w:rFonts w:ascii="Arial" w:eastAsia="宋体" w:hAnsi="Arial" w:cs="Arial"/>
      <w:color w:val="000000"/>
      <w:sz w:val="22"/>
      <w:lang w:val="pl-PL" w:eastAsia="pl-PL"/>
    </w:rPr>
  </w:style>
  <w:style w:type="table" w:styleId="a6">
    <w:name w:val="Table Grid"/>
    <w:basedOn w:val="a1"/>
    <w:uiPriority w:val="39"/>
    <w:rsid w:val="002C4BD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D814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8149C"/>
    <w:rPr>
      <w:sz w:val="18"/>
      <w:szCs w:val="18"/>
    </w:rPr>
  </w:style>
  <w:style w:type="paragraph" w:styleId="a8">
    <w:name w:val="footer"/>
    <w:basedOn w:val="a"/>
    <w:link w:val="Char2"/>
    <w:uiPriority w:val="99"/>
    <w:unhideWhenUsed/>
    <w:rsid w:val="00D8149C"/>
    <w:pPr>
      <w:tabs>
        <w:tab w:val="center" w:pos="4153"/>
        <w:tab w:val="right" w:pos="8306"/>
      </w:tabs>
      <w:snapToGrid w:val="0"/>
    </w:pPr>
    <w:rPr>
      <w:sz w:val="18"/>
      <w:szCs w:val="18"/>
    </w:rPr>
  </w:style>
  <w:style w:type="character" w:customStyle="1" w:styleId="Char2">
    <w:name w:val="页脚 Char"/>
    <w:basedOn w:val="a0"/>
    <w:link w:val="a8"/>
    <w:uiPriority w:val="99"/>
    <w:rsid w:val="00D8149C"/>
    <w:rPr>
      <w:sz w:val="18"/>
      <w:szCs w:val="18"/>
    </w:rPr>
  </w:style>
  <w:style w:type="paragraph" w:styleId="a9">
    <w:name w:val="Balloon Text"/>
    <w:basedOn w:val="a"/>
    <w:link w:val="Char3"/>
    <w:semiHidden/>
    <w:unhideWhenUsed/>
    <w:rsid w:val="002A0309"/>
    <w:rPr>
      <w:sz w:val="18"/>
      <w:szCs w:val="18"/>
    </w:rPr>
  </w:style>
  <w:style w:type="character" w:customStyle="1" w:styleId="Char3">
    <w:name w:val="批注框文本 Char"/>
    <w:basedOn w:val="a0"/>
    <w:link w:val="a9"/>
    <w:semiHidden/>
    <w:rsid w:val="002A0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39</Pages>
  <Words>10741</Words>
  <Characters>61227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2021-06-06T08:04:00Z</dcterms:created>
  <dcterms:modified xsi:type="dcterms:W3CDTF">2021-07-15T05:44:00Z</dcterms:modified>
</cp:coreProperties>
</file>