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9590" w14:textId="77777777" w:rsidR="007D4E69" w:rsidRDefault="005A2594">
      <w:pPr>
        <w:spacing w:line="360" w:lineRule="auto"/>
        <w:rPr>
          <w:rFonts w:ascii="Book Antiqua" w:hAnsi="Book Antiqua"/>
          <w:b/>
          <w:sz w:val="24"/>
          <w:szCs w:val="24"/>
        </w:rPr>
      </w:pPr>
      <w:bookmarkStart w:id="0" w:name="OLE_LINK307"/>
      <w:bookmarkStart w:id="1" w:name="OLE_LINK306"/>
      <w:bookmarkStart w:id="2" w:name="OLE_LINK125"/>
      <w:r>
        <w:rPr>
          <w:rFonts w:ascii="Book Antiqua" w:hAnsi="Book Antiqua"/>
          <w:b/>
          <w:sz w:val="24"/>
          <w:szCs w:val="24"/>
        </w:rPr>
        <w:t xml:space="preserve">Name of Journal: </w:t>
      </w:r>
      <w:r>
        <w:rPr>
          <w:rFonts w:ascii="Book Antiqua" w:hAnsi="Book Antiqua"/>
          <w:i/>
          <w:sz w:val="24"/>
          <w:szCs w:val="24"/>
        </w:rPr>
        <w:t>World Journal of Clinical Cases</w:t>
      </w:r>
    </w:p>
    <w:p w14:paraId="24508470" w14:textId="77777777" w:rsidR="007D4E69" w:rsidRDefault="005A2594">
      <w:pPr>
        <w:spacing w:line="360" w:lineRule="auto"/>
        <w:rPr>
          <w:rFonts w:ascii="Book Antiqua" w:hAnsi="Book Antiqua"/>
          <w:b/>
          <w:sz w:val="24"/>
          <w:szCs w:val="24"/>
        </w:rPr>
      </w:pPr>
      <w:r>
        <w:rPr>
          <w:rFonts w:ascii="Book Antiqua" w:hAnsi="Book Antiqua"/>
          <w:b/>
          <w:sz w:val="24"/>
          <w:szCs w:val="24"/>
        </w:rPr>
        <w:t xml:space="preserve">Manuscript NO: </w:t>
      </w:r>
      <w:r>
        <w:rPr>
          <w:rFonts w:ascii="Book Antiqua" w:hAnsi="Book Antiqua"/>
          <w:sz w:val="24"/>
          <w:szCs w:val="24"/>
        </w:rPr>
        <w:t>65790</w:t>
      </w:r>
    </w:p>
    <w:p w14:paraId="3FF58F55" w14:textId="77777777" w:rsidR="007D4E69" w:rsidRDefault="005A2594">
      <w:pPr>
        <w:spacing w:line="360" w:lineRule="auto"/>
        <w:rPr>
          <w:rFonts w:ascii="Book Antiqua" w:hAnsi="Book Antiqua"/>
          <w:b/>
          <w:sz w:val="24"/>
          <w:szCs w:val="24"/>
        </w:rPr>
      </w:pPr>
      <w:r>
        <w:rPr>
          <w:rFonts w:ascii="Book Antiqua" w:hAnsi="Book Antiqua"/>
          <w:b/>
          <w:sz w:val="24"/>
          <w:szCs w:val="24"/>
        </w:rPr>
        <w:t xml:space="preserve">Manuscript Type: </w:t>
      </w:r>
      <w:r>
        <w:rPr>
          <w:rFonts w:ascii="Book Antiqua" w:hAnsi="Book Antiqua"/>
          <w:sz w:val="24"/>
          <w:szCs w:val="24"/>
        </w:rPr>
        <w:t>CASE REPORT</w:t>
      </w:r>
    </w:p>
    <w:p w14:paraId="4A889721" w14:textId="77777777" w:rsidR="007D4E69" w:rsidRDefault="007D4E69">
      <w:pPr>
        <w:spacing w:line="360" w:lineRule="auto"/>
        <w:rPr>
          <w:rFonts w:ascii="Book Antiqua" w:hAnsi="Book Antiqua"/>
          <w:b/>
          <w:sz w:val="24"/>
          <w:szCs w:val="24"/>
        </w:rPr>
      </w:pPr>
    </w:p>
    <w:p w14:paraId="751AB25D" w14:textId="77777777" w:rsidR="007D4E69" w:rsidRDefault="005A2594">
      <w:pPr>
        <w:spacing w:line="360" w:lineRule="auto"/>
        <w:rPr>
          <w:rFonts w:ascii="Book Antiqua" w:hAnsi="Book Antiqua"/>
          <w:b/>
          <w:bCs/>
          <w:sz w:val="24"/>
          <w:szCs w:val="24"/>
        </w:rPr>
      </w:pPr>
      <w:bookmarkStart w:id="3" w:name="OLE_LINK408"/>
      <w:bookmarkStart w:id="4" w:name="OLE_LINK406"/>
      <w:bookmarkStart w:id="5" w:name="OLE_LINK407"/>
      <w:r>
        <w:rPr>
          <w:rFonts w:ascii="Book Antiqua" w:hAnsi="Book Antiqua"/>
          <w:b/>
          <w:bCs/>
          <w:i/>
          <w:sz w:val="24"/>
          <w:szCs w:val="24"/>
        </w:rPr>
        <w:t>SATB2</w:t>
      </w:r>
      <w:r>
        <w:rPr>
          <w:rFonts w:ascii="Book Antiqua" w:hAnsi="Book Antiqua"/>
          <w:b/>
          <w:bCs/>
          <w:sz w:val="24"/>
          <w:szCs w:val="24"/>
        </w:rPr>
        <w:t xml:space="preserve">-associated syndrome caused by a novel </w:t>
      </w:r>
      <w:r>
        <w:rPr>
          <w:rFonts w:ascii="Book Antiqua" w:hAnsi="Book Antiqua"/>
          <w:b/>
          <w:bCs/>
          <w:i/>
          <w:iCs/>
          <w:sz w:val="24"/>
          <w:szCs w:val="24"/>
        </w:rPr>
        <w:t>SATB2</w:t>
      </w:r>
      <w:r>
        <w:rPr>
          <w:rFonts w:ascii="Book Antiqua" w:hAnsi="Book Antiqua"/>
          <w:b/>
          <w:bCs/>
          <w:sz w:val="24"/>
          <w:szCs w:val="24"/>
        </w:rPr>
        <w:t xml:space="preserve"> mutation in a Chinese boy: A case report</w:t>
      </w:r>
      <w:r>
        <w:rPr>
          <w:rFonts w:ascii="Book Antiqua" w:eastAsia="宋体" w:hAnsi="Book Antiqua"/>
          <w:b/>
          <w:bCs/>
          <w:sz w:val="24"/>
          <w:szCs w:val="24"/>
        </w:rPr>
        <w:t xml:space="preserve"> and literature review</w:t>
      </w:r>
      <w:bookmarkEnd w:id="3"/>
      <w:bookmarkEnd w:id="4"/>
      <w:bookmarkEnd w:id="5"/>
    </w:p>
    <w:p w14:paraId="1C3990C6" w14:textId="77777777" w:rsidR="007D4E69" w:rsidRDefault="007D4E69">
      <w:pPr>
        <w:spacing w:line="360" w:lineRule="auto"/>
        <w:rPr>
          <w:rFonts w:ascii="Book Antiqua" w:hAnsi="Book Antiqua"/>
          <w:bCs/>
          <w:sz w:val="24"/>
          <w:szCs w:val="24"/>
        </w:rPr>
      </w:pPr>
      <w:bookmarkStart w:id="6" w:name="OLE_LINK326"/>
      <w:bookmarkStart w:id="7" w:name="OLE_LINK327"/>
      <w:bookmarkStart w:id="8" w:name="OLE_LINK166"/>
      <w:bookmarkStart w:id="9" w:name="OLE_LINK6"/>
      <w:bookmarkEnd w:id="0"/>
      <w:bookmarkEnd w:id="1"/>
    </w:p>
    <w:p w14:paraId="6773C07D" w14:textId="77777777" w:rsidR="007D4E69" w:rsidRDefault="005A2594">
      <w:pPr>
        <w:spacing w:line="360" w:lineRule="auto"/>
        <w:rPr>
          <w:rFonts w:ascii="Book Antiqua" w:hAnsi="Book Antiqua"/>
          <w:b/>
          <w:sz w:val="24"/>
          <w:szCs w:val="24"/>
        </w:rPr>
      </w:pPr>
      <w:r>
        <w:rPr>
          <w:rFonts w:ascii="Book Antiqua" w:hAnsi="Book Antiqua"/>
          <w:bCs/>
          <w:sz w:val="24"/>
          <w:szCs w:val="24"/>
        </w:rPr>
        <w:t>Zhu Y</w:t>
      </w:r>
      <w:r>
        <w:rPr>
          <w:rFonts w:ascii="Book Antiqua" w:hAnsi="Book Antiqua"/>
          <w:bCs/>
          <w:caps/>
          <w:sz w:val="24"/>
          <w:szCs w:val="24"/>
        </w:rPr>
        <w:t xml:space="preserve">y </w:t>
      </w:r>
      <w:r>
        <w:rPr>
          <w:rFonts w:ascii="Book Antiqua" w:hAnsi="Book Antiqua"/>
          <w:bCs/>
          <w:i/>
          <w:iCs/>
          <w:sz w:val="24"/>
          <w:szCs w:val="24"/>
        </w:rPr>
        <w:t>et al</w:t>
      </w:r>
      <w:r>
        <w:rPr>
          <w:rFonts w:ascii="Book Antiqua" w:hAnsi="Book Antiqua"/>
          <w:sz w:val="24"/>
          <w:szCs w:val="24"/>
        </w:rPr>
        <w:t xml:space="preserve">. A novel </w:t>
      </w:r>
      <w:r>
        <w:rPr>
          <w:rFonts w:ascii="Book Antiqua" w:hAnsi="Book Antiqua"/>
          <w:i/>
          <w:iCs/>
          <w:sz w:val="24"/>
          <w:szCs w:val="24"/>
        </w:rPr>
        <w:t>SATB2</w:t>
      </w:r>
      <w:r>
        <w:rPr>
          <w:rFonts w:ascii="Book Antiqua" w:hAnsi="Book Antiqua"/>
          <w:sz w:val="24"/>
          <w:szCs w:val="24"/>
        </w:rPr>
        <w:t xml:space="preserve"> mutation for SAS</w:t>
      </w:r>
      <w:bookmarkEnd w:id="6"/>
      <w:bookmarkEnd w:id="7"/>
    </w:p>
    <w:p w14:paraId="5EAC5CF7" w14:textId="77777777" w:rsidR="007D4E69" w:rsidRDefault="007D4E69">
      <w:pPr>
        <w:spacing w:line="360" w:lineRule="auto"/>
        <w:rPr>
          <w:rFonts w:ascii="Book Antiqua" w:hAnsi="Book Antiqua"/>
          <w:sz w:val="24"/>
          <w:szCs w:val="24"/>
        </w:rPr>
      </w:pPr>
    </w:p>
    <w:p w14:paraId="15775C9B" w14:textId="77777777" w:rsidR="007D4E69" w:rsidRDefault="005A2594">
      <w:pPr>
        <w:spacing w:line="360" w:lineRule="auto"/>
        <w:rPr>
          <w:rFonts w:ascii="Book Antiqua" w:hAnsi="Book Antiqua"/>
          <w:sz w:val="24"/>
          <w:szCs w:val="24"/>
        </w:rPr>
      </w:pPr>
      <w:r>
        <w:rPr>
          <w:rFonts w:ascii="Book Antiqua" w:hAnsi="Book Antiqua"/>
          <w:sz w:val="24"/>
          <w:szCs w:val="24"/>
        </w:rPr>
        <w:t>Yan-</w:t>
      </w:r>
      <w:r>
        <w:rPr>
          <w:rFonts w:ascii="Book Antiqua" w:hAnsi="Book Antiqua"/>
          <w:caps/>
          <w:sz w:val="24"/>
          <w:szCs w:val="24"/>
        </w:rPr>
        <w:t>y</w:t>
      </w:r>
      <w:r>
        <w:rPr>
          <w:rFonts w:ascii="Book Antiqua" w:hAnsi="Book Antiqua"/>
          <w:sz w:val="24"/>
          <w:szCs w:val="24"/>
        </w:rPr>
        <w:t>an Zhu, Gui-</w:t>
      </w:r>
      <w:r>
        <w:rPr>
          <w:rFonts w:ascii="Book Antiqua" w:hAnsi="Book Antiqua"/>
          <w:caps/>
          <w:sz w:val="24"/>
          <w:szCs w:val="24"/>
        </w:rPr>
        <w:t>l</w:t>
      </w:r>
      <w:r>
        <w:rPr>
          <w:rFonts w:ascii="Book Antiqua" w:hAnsi="Book Antiqua"/>
          <w:sz w:val="24"/>
          <w:szCs w:val="24"/>
        </w:rPr>
        <w:t>ian Sun, Zhi-</w:t>
      </w:r>
      <w:r>
        <w:rPr>
          <w:rFonts w:ascii="Book Antiqua" w:hAnsi="Book Antiqua"/>
          <w:caps/>
          <w:sz w:val="24"/>
          <w:szCs w:val="24"/>
        </w:rPr>
        <w:t>l</w:t>
      </w:r>
      <w:r>
        <w:rPr>
          <w:rFonts w:ascii="Book Antiqua" w:hAnsi="Book Antiqua"/>
          <w:sz w:val="24"/>
          <w:szCs w:val="24"/>
        </w:rPr>
        <w:t>iang Yang</w:t>
      </w:r>
    </w:p>
    <w:p w14:paraId="1F2856DD" w14:textId="77777777" w:rsidR="007D4E69" w:rsidRDefault="007D4E69">
      <w:pPr>
        <w:autoSpaceDE w:val="0"/>
        <w:autoSpaceDN w:val="0"/>
        <w:adjustRightInd w:val="0"/>
        <w:snapToGrid w:val="0"/>
        <w:spacing w:line="360" w:lineRule="auto"/>
        <w:rPr>
          <w:rFonts w:ascii="Book Antiqua" w:hAnsi="Book Antiqua"/>
          <w:sz w:val="24"/>
          <w:szCs w:val="24"/>
        </w:rPr>
      </w:pPr>
    </w:p>
    <w:p w14:paraId="69992ABC" w14:textId="77777777" w:rsidR="007D4E69" w:rsidRDefault="005A2594">
      <w:pPr>
        <w:spacing w:line="360" w:lineRule="auto"/>
        <w:rPr>
          <w:rFonts w:ascii="Book Antiqua" w:hAnsi="Book Antiqua"/>
          <w:sz w:val="24"/>
          <w:szCs w:val="24"/>
        </w:rPr>
      </w:pPr>
      <w:r>
        <w:rPr>
          <w:rFonts w:ascii="Book Antiqua" w:hAnsi="Book Antiqua"/>
          <w:b/>
          <w:sz w:val="24"/>
          <w:szCs w:val="24"/>
        </w:rPr>
        <w:t>Yan-</w:t>
      </w:r>
      <w:r>
        <w:rPr>
          <w:rFonts w:ascii="Book Antiqua" w:hAnsi="Book Antiqua"/>
          <w:b/>
          <w:caps/>
          <w:sz w:val="24"/>
          <w:szCs w:val="24"/>
        </w:rPr>
        <w:t>y</w:t>
      </w:r>
      <w:r>
        <w:rPr>
          <w:rFonts w:ascii="Book Antiqua" w:hAnsi="Book Antiqua"/>
          <w:b/>
          <w:sz w:val="24"/>
          <w:szCs w:val="24"/>
        </w:rPr>
        <w:t>an Zhu, Gui-</w:t>
      </w:r>
      <w:r>
        <w:rPr>
          <w:rFonts w:ascii="Book Antiqua" w:hAnsi="Book Antiqua"/>
          <w:b/>
          <w:caps/>
          <w:sz w:val="24"/>
          <w:szCs w:val="24"/>
        </w:rPr>
        <w:t>l</w:t>
      </w:r>
      <w:r>
        <w:rPr>
          <w:rFonts w:ascii="Book Antiqua" w:hAnsi="Book Antiqua"/>
          <w:b/>
          <w:sz w:val="24"/>
          <w:szCs w:val="24"/>
        </w:rPr>
        <w:t>ian Sun, Zhi-</w:t>
      </w:r>
      <w:r>
        <w:rPr>
          <w:rFonts w:ascii="Book Antiqua" w:hAnsi="Book Antiqua"/>
          <w:b/>
          <w:caps/>
          <w:sz w:val="24"/>
          <w:szCs w:val="24"/>
        </w:rPr>
        <w:t>l</w:t>
      </w:r>
      <w:r>
        <w:rPr>
          <w:rFonts w:ascii="Book Antiqua" w:hAnsi="Book Antiqua"/>
          <w:b/>
          <w:sz w:val="24"/>
          <w:szCs w:val="24"/>
        </w:rPr>
        <w:t xml:space="preserve">iang Yang, </w:t>
      </w:r>
      <w:r>
        <w:rPr>
          <w:rFonts w:ascii="Book Antiqua" w:hAnsi="Book Antiqua"/>
          <w:sz w:val="24"/>
          <w:szCs w:val="24"/>
        </w:rPr>
        <w:t>Department of Pediatrics, The First Hospital of China Medical University, Shenyang 110001, Liaoning Province, China</w:t>
      </w:r>
    </w:p>
    <w:p w14:paraId="34094EF5" w14:textId="77777777" w:rsidR="007D4E69" w:rsidRDefault="007D4E69">
      <w:pPr>
        <w:autoSpaceDE w:val="0"/>
        <w:autoSpaceDN w:val="0"/>
        <w:adjustRightInd w:val="0"/>
        <w:snapToGrid w:val="0"/>
        <w:spacing w:line="360" w:lineRule="auto"/>
        <w:rPr>
          <w:rFonts w:ascii="Book Antiqua" w:hAnsi="Book Antiqua"/>
          <w:sz w:val="24"/>
          <w:szCs w:val="24"/>
        </w:rPr>
      </w:pPr>
    </w:p>
    <w:p w14:paraId="6426CC9E" w14:textId="77777777" w:rsidR="007D4E69" w:rsidRDefault="005A2594">
      <w:pPr>
        <w:spacing w:line="360" w:lineRule="auto"/>
        <w:rPr>
          <w:rFonts w:ascii="Book Antiqua" w:hAnsi="Book Antiqua"/>
          <w:sz w:val="24"/>
          <w:szCs w:val="24"/>
        </w:rPr>
      </w:pPr>
      <w:bookmarkStart w:id="10" w:name="OLE_LINK330"/>
      <w:bookmarkStart w:id="11" w:name="OLE_LINK329"/>
      <w:bookmarkStart w:id="12" w:name="OLE_LINK172"/>
      <w:r>
        <w:rPr>
          <w:rFonts w:ascii="Book Antiqua" w:eastAsia="Book Antiqua" w:hAnsi="Book Antiqua" w:cs="Book Antiqua"/>
          <w:b/>
          <w:bCs/>
          <w:color w:val="000000"/>
          <w:sz w:val="24"/>
          <w:szCs w:val="24"/>
        </w:rPr>
        <w:t>Author contributions:</w:t>
      </w:r>
      <w:r>
        <w:rPr>
          <w:rFonts w:ascii="Book Antiqua" w:hAnsi="Book Antiqua"/>
          <w:sz w:val="24"/>
          <w:szCs w:val="24"/>
        </w:rPr>
        <w:t xml:space="preserve"> Zhu YY</w:t>
      </w:r>
      <w:bookmarkEnd w:id="10"/>
      <w:bookmarkEnd w:id="11"/>
      <w:r>
        <w:rPr>
          <w:rFonts w:ascii="Book Antiqua" w:hAnsi="Book Antiqua"/>
          <w:sz w:val="24"/>
          <w:szCs w:val="24"/>
        </w:rPr>
        <w:t xml:space="preserve"> and Yang ZL were responsible for acquisition of the clinical information and writing up and reviewing the manuscript; Sun GL was responsible for acquisition of the clinical information and reviewing the manuscript; all authors read and approved the final manuscript.</w:t>
      </w:r>
    </w:p>
    <w:p w14:paraId="3F84AB68" w14:textId="77777777" w:rsidR="007D4E69" w:rsidRDefault="007D4E69">
      <w:pPr>
        <w:autoSpaceDE w:val="0"/>
        <w:autoSpaceDN w:val="0"/>
        <w:adjustRightInd w:val="0"/>
        <w:snapToGrid w:val="0"/>
        <w:spacing w:line="360" w:lineRule="auto"/>
        <w:rPr>
          <w:rFonts w:ascii="Book Antiqua" w:hAnsi="Book Antiqua"/>
          <w:sz w:val="24"/>
          <w:szCs w:val="24"/>
        </w:rPr>
      </w:pPr>
    </w:p>
    <w:bookmarkEnd w:id="12"/>
    <w:p w14:paraId="5FB07EBC" w14:textId="77777777" w:rsidR="007D4E69" w:rsidRDefault="005A2594">
      <w:pPr>
        <w:spacing w:line="360" w:lineRule="auto"/>
        <w:rPr>
          <w:rFonts w:ascii="Book Antiqua" w:hAnsi="Book Antiqua"/>
          <w:sz w:val="24"/>
          <w:szCs w:val="24"/>
        </w:rPr>
      </w:pPr>
      <w:r>
        <w:rPr>
          <w:rFonts w:ascii="Book Antiqua" w:hAnsi="Book Antiqua"/>
          <w:b/>
          <w:bCs/>
          <w:sz w:val="24"/>
          <w:szCs w:val="24"/>
        </w:rPr>
        <w:t>Corresponding author: Zhi-</w:t>
      </w:r>
      <w:r>
        <w:rPr>
          <w:rFonts w:ascii="Book Antiqua" w:hAnsi="Book Antiqua"/>
          <w:b/>
          <w:bCs/>
          <w:caps/>
          <w:sz w:val="24"/>
          <w:szCs w:val="24"/>
        </w:rPr>
        <w:t>l</w:t>
      </w:r>
      <w:r>
        <w:rPr>
          <w:rFonts w:ascii="Book Antiqua" w:hAnsi="Book Antiqua"/>
          <w:b/>
          <w:bCs/>
          <w:sz w:val="24"/>
          <w:szCs w:val="24"/>
        </w:rPr>
        <w:t xml:space="preserve">iang Yan, MD, PhD, Associate Professor, </w:t>
      </w:r>
      <w:r>
        <w:rPr>
          <w:rFonts w:ascii="Book Antiqua" w:hAnsi="Book Antiqua"/>
          <w:sz w:val="24"/>
          <w:szCs w:val="24"/>
        </w:rPr>
        <w:t xml:space="preserve">Department of Pediatrics, The First Hospital of China Medical University, No. 155 Nanjing North Street, Heping District, Shenyang 110001, Liaoning Province, China. </w:t>
      </w:r>
      <w:bookmarkStart w:id="13" w:name="OLE_LINK421"/>
      <w:bookmarkStart w:id="14" w:name="OLE_LINK422"/>
      <w:r>
        <w:fldChar w:fldCharType="begin"/>
      </w:r>
      <w:r>
        <w:rPr>
          <w:rFonts w:ascii="Book Antiqua" w:hAnsi="Book Antiqua"/>
          <w:sz w:val="24"/>
          <w:szCs w:val="24"/>
        </w:rPr>
        <w:instrText xml:space="preserve"> HYPERLINK "mailto:sizhewujiu@163.com" </w:instrText>
      </w:r>
      <w:r>
        <w:fldChar w:fldCharType="separate"/>
      </w:r>
      <w:r>
        <w:rPr>
          <w:rStyle w:val="af0"/>
          <w:rFonts w:ascii="Book Antiqua" w:hAnsi="Book Antiqua"/>
          <w:color w:val="auto"/>
          <w:sz w:val="24"/>
          <w:szCs w:val="24"/>
          <w:u w:val="none"/>
        </w:rPr>
        <w:t>sizhewujiu@163.com</w:t>
      </w:r>
      <w:r>
        <w:rPr>
          <w:rStyle w:val="af0"/>
          <w:rFonts w:ascii="Book Antiqua" w:hAnsi="Book Antiqua"/>
          <w:color w:val="auto"/>
          <w:sz w:val="24"/>
          <w:szCs w:val="24"/>
          <w:u w:val="none"/>
        </w:rPr>
        <w:fldChar w:fldCharType="end"/>
      </w:r>
      <w:bookmarkEnd w:id="13"/>
      <w:bookmarkEnd w:id="14"/>
    </w:p>
    <w:p w14:paraId="10FAD6DB" w14:textId="77777777" w:rsidR="007D4E69" w:rsidRDefault="007D4E69">
      <w:pPr>
        <w:spacing w:line="360" w:lineRule="auto"/>
        <w:rPr>
          <w:rFonts w:ascii="Book Antiqua" w:hAnsi="Book Antiqua"/>
          <w:sz w:val="24"/>
          <w:szCs w:val="24"/>
        </w:rPr>
      </w:pPr>
    </w:p>
    <w:p w14:paraId="021139E6" w14:textId="77777777" w:rsidR="007D4E69" w:rsidRDefault="005A2594">
      <w:pPr>
        <w:spacing w:line="360" w:lineRule="auto"/>
        <w:rPr>
          <w:rFonts w:ascii="Book Antiqua" w:hAnsi="Book Antiqua"/>
          <w:sz w:val="24"/>
          <w:szCs w:val="24"/>
        </w:rPr>
      </w:pPr>
      <w:r>
        <w:rPr>
          <w:rFonts w:ascii="Book Antiqua" w:hAnsi="Book Antiqua"/>
          <w:b/>
          <w:bCs/>
          <w:sz w:val="24"/>
          <w:szCs w:val="24"/>
        </w:rPr>
        <w:t xml:space="preserve">Received: </w:t>
      </w:r>
      <w:r>
        <w:rPr>
          <w:rFonts w:ascii="Book Antiqua" w:hAnsi="Book Antiqua"/>
          <w:sz w:val="24"/>
          <w:szCs w:val="24"/>
        </w:rPr>
        <w:t>March 16, 2021</w:t>
      </w:r>
    </w:p>
    <w:p w14:paraId="69E6D1B8" w14:textId="77777777" w:rsidR="007D4E69" w:rsidRDefault="005A2594">
      <w:pPr>
        <w:spacing w:line="360" w:lineRule="auto"/>
        <w:rPr>
          <w:rFonts w:ascii="Book Antiqua" w:hAnsi="Book Antiqua"/>
          <w:sz w:val="24"/>
          <w:szCs w:val="24"/>
        </w:rPr>
      </w:pPr>
      <w:r>
        <w:rPr>
          <w:rFonts w:ascii="Book Antiqua" w:hAnsi="Book Antiqua"/>
          <w:b/>
          <w:bCs/>
          <w:sz w:val="24"/>
          <w:szCs w:val="24"/>
        </w:rPr>
        <w:t xml:space="preserve">Revised: </w:t>
      </w:r>
      <w:r>
        <w:rPr>
          <w:rFonts w:ascii="Book Antiqua" w:hAnsi="Book Antiqua"/>
          <w:sz w:val="24"/>
          <w:szCs w:val="24"/>
        </w:rPr>
        <w:t>May 4, 2021</w:t>
      </w:r>
    </w:p>
    <w:p w14:paraId="57085D48" w14:textId="77777777" w:rsidR="007D4E69" w:rsidRDefault="005A2594">
      <w:pPr>
        <w:spacing w:line="360" w:lineRule="auto"/>
        <w:rPr>
          <w:rFonts w:ascii="Book Antiqua" w:hAnsi="Book Antiqua"/>
          <w:sz w:val="24"/>
          <w:szCs w:val="24"/>
        </w:rPr>
      </w:pPr>
      <w:r>
        <w:rPr>
          <w:rFonts w:ascii="Book Antiqua" w:hAnsi="Book Antiqua"/>
          <w:b/>
          <w:bCs/>
          <w:sz w:val="24"/>
          <w:szCs w:val="24"/>
        </w:rPr>
        <w:t>Accepted:</w:t>
      </w:r>
      <w:r>
        <w:rPr>
          <w:rFonts w:ascii="Book Antiqua" w:hAnsi="Book Antiqua"/>
          <w:sz w:val="24"/>
          <w:szCs w:val="24"/>
        </w:rPr>
        <w:t xml:space="preserve"> May 19, 2021</w:t>
      </w:r>
      <w:r>
        <w:rPr>
          <w:rFonts w:ascii="Book Antiqua" w:hAnsi="Book Antiqua"/>
          <w:b/>
          <w:bCs/>
          <w:sz w:val="24"/>
          <w:szCs w:val="24"/>
        </w:rPr>
        <w:t xml:space="preserve"> </w:t>
      </w:r>
    </w:p>
    <w:p w14:paraId="76EF710A" w14:textId="77777777" w:rsidR="007D4E69" w:rsidRDefault="005A2594">
      <w:pPr>
        <w:spacing w:line="360" w:lineRule="auto"/>
        <w:rPr>
          <w:rFonts w:ascii="Book Antiqua" w:hAnsi="Book Antiqua"/>
          <w:sz w:val="24"/>
          <w:szCs w:val="24"/>
        </w:rPr>
      </w:pPr>
      <w:r>
        <w:rPr>
          <w:rFonts w:ascii="Book Antiqua" w:hAnsi="Book Antiqua"/>
          <w:b/>
          <w:bCs/>
          <w:sz w:val="24"/>
          <w:szCs w:val="24"/>
        </w:rPr>
        <w:t xml:space="preserve">Published online: </w:t>
      </w:r>
      <w:r w:rsidR="00492DC4" w:rsidRPr="00343FB9">
        <w:rPr>
          <w:rFonts w:ascii="Book Antiqua" w:hAnsi="Book Antiqua"/>
        </w:rPr>
        <w:t>Ju</w:t>
      </w:r>
      <w:r w:rsidR="00492DC4">
        <w:rPr>
          <w:rFonts w:ascii="Book Antiqua" w:hAnsi="Book Antiqua"/>
        </w:rPr>
        <w:t>ly</w:t>
      </w:r>
      <w:r w:rsidR="00492DC4" w:rsidRPr="00343FB9">
        <w:rPr>
          <w:rFonts w:ascii="Book Antiqua" w:hAnsi="Book Antiqua"/>
        </w:rPr>
        <w:t xml:space="preserve"> 26, 2021</w:t>
      </w:r>
    </w:p>
    <w:p w14:paraId="5AD07D53" w14:textId="77777777" w:rsidR="007D4E69" w:rsidRDefault="007D4E69">
      <w:pPr>
        <w:widowControl/>
        <w:spacing w:line="360" w:lineRule="auto"/>
        <w:rPr>
          <w:rFonts w:ascii="Book Antiqua" w:hAnsi="Book Antiqua"/>
          <w:sz w:val="24"/>
          <w:szCs w:val="24"/>
        </w:rPr>
      </w:pPr>
    </w:p>
    <w:p w14:paraId="0B64BA30" w14:textId="77777777" w:rsidR="007D4E69" w:rsidRDefault="005A2594">
      <w:pPr>
        <w:widowControl/>
        <w:jc w:val="left"/>
        <w:rPr>
          <w:rFonts w:ascii="Book Antiqua" w:hAnsi="Book Antiqua"/>
          <w:b/>
          <w:sz w:val="24"/>
          <w:szCs w:val="24"/>
        </w:rPr>
      </w:pPr>
      <w:r>
        <w:rPr>
          <w:rFonts w:ascii="Book Antiqua" w:hAnsi="Book Antiqua"/>
          <w:b/>
          <w:sz w:val="24"/>
          <w:szCs w:val="24"/>
        </w:rPr>
        <w:br w:type="page"/>
      </w:r>
    </w:p>
    <w:p w14:paraId="32477F88" w14:textId="77777777" w:rsidR="007D4E69" w:rsidRDefault="005A2594">
      <w:pPr>
        <w:spacing w:line="360" w:lineRule="auto"/>
        <w:rPr>
          <w:rFonts w:ascii="Book Antiqua" w:hAnsi="Book Antiqua"/>
          <w:b/>
          <w:sz w:val="24"/>
          <w:szCs w:val="24"/>
        </w:rPr>
      </w:pPr>
      <w:r>
        <w:rPr>
          <w:rFonts w:ascii="Book Antiqua" w:hAnsi="Book Antiqua"/>
          <w:b/>
          <w:sz w:val="24"/>
          <w:szCs w:val="24"/>
        </w:rPr>
        <w:lastRenderedPageBreak/>
        <w:t>Abstract</w:t>
      </w:r>
    </w:p>
    <w:p w14:paraId="7BF451CE" w14:textId="77777777" w:rsidR="007D4E69" w:rsidRDefault="005A2594">
      <w:pPr>
        <w:spacing w:line="360" w:lineRule="auto"/>
        <w:rPr>
          <w:rFonts w:ascii="Book Antiqua" w:hAnsi="Book Antiqua"/>
          <w:sz w:val="24"/>
          <w:szCs w:val="24"/>
        </w:rPr>
      </w:pPr>
      <w:r>
        <w:rPr>
          <w:rFonts w:ascii="Book Antiqua" w:hAnsi="Book Antiqua"/>
          <w:sz w:val="24"/>
          <w:szCs w:val="24"/>
        </w:rPr>
        <w:t>BACKGROUND</w:t>
      </w:r>
    </w:p>
    <w:p w14:paraId="66F33E06" w14:textId="77777777" w:rsidR="007D4E69" w:rsidRDefault="005A2594">
      <w:pPr>
        <w:spacing w:line="360" w:lineRule="auto"/>
        <w:rPr>
          <w:rFonts w:ascii="Book Antiqua" w:hAnsi="Book Antiqua"/>
          <w:b/>
          <w:sz w:val="24"/>
          <w:szCs w:val="24"/>
        </w:rPr>
      </w:pPr>
      <w:r>
        <w:rPr>
          <w:rFonts w:ascii="Book Antiqua" w:hAnsi="Book Antiqua"/>
          <w:bCs/>
          <w:sz w:val="24"/>
          <w:szCs w:val="24"/>
        </w:rPr>
        <w:t>Special AT-rich sequence binding protein 2 (SATB2)-associated syndrome (SAS; OMIM 612313) is an autosomal dominant disorder. Alterations in the</w:t>
      </w:r>
      <w:r>
        <w:rPr>
          <w:rFonts w:ascii="Book Antiqua" w:hAnsi="Book Antiqua"/>
          <w:bCs/>
          <w:i/>
          <w:sz w:val="24"/>
          <w:szCs w:val="24"/>
        </w:rPr>
        <w:t xml:space="preserve"> SATB2</w:t>
      </w:r>
      <w:r>
        <w:rPr>
          <w:rFonts w:ascii="Book Antiqua" w:hAnsi="Book Antiqua"/>
          <w:bCs/>
          <w:sz w:val="24"/>
          <w:szCs w:val="24"/>
        </w:rPr>
        <w:t xml:space="preserve"> gene have been identified as causative. </w:t>
      </w:r>
    </w:p>
    <w:p w14:paraId="1C9F657E" w14:textId="77777777" w:rsidR="007D4E69" w:rsidRDefault="007D4E69">
      <w:pPr>
        <w:spacing w:line="360" w:lineRule="auto"/>
        <w:rPr>
          <w:rFonts w:ascii="Book Antiqua" w:hAnsi="Book Antiqua"/>
          <w:b/>
          <w:sz w:val="24"/>
          <w:szCs w:val="24"/>
        </w:rPr>
      </w:pPr>
    </w:p>
    <w:p w14:paraId="2A05492C" w14:textId="77777777" w:rsidR="007D4E69" w:rsidRDefault="005A2594">
      <w:pPr>
        <w:spacing w:line="360" w:lineRule="auto"/>
        <w:rPr>
          <w:rFonts w:ascii="Book Antiqua" w:hAnsi="Book Antiqua"/>
          <w:sz w:val="24"/>
          <w:szCs w:val="24"/>
        </w:rPr>
      </w:pPr>
      <w:r>
        <w:rPr>
          <w:rFonts w:ascii="Book Antiqua" w:hAnsi="Book Antiqua"/>
          <w:sz w:val="24"/>
          <w:szCs w:val="24"/>
        </w:rPr>
        <w:t>CASE SUMMARY</w:t>
      </w:r>
    </w:p>
    <w:p w14:paraId="27D4F1E1" w14:textId="77777777" w:rsidR="007D4E69" w:rsidRDefault="005A2594">
      <w:pPr>
        <w:spacing w:line="360" w:lineRule="auto"/>
        <w:rPr>
          <w:rFonts w:ascii="Book Antiqua" w:hAnsi="Book Antiqua"/>
          <w:bCs/>
          <w:sz w:val="24"/>
          <w:szCs w:val="24"/>
        </w:rPr>
      </w:pPr>
      <w:r>
        <w:rPr>
          <w:rFonts w:ascii="Book Antiqua" w:hAnsi="Book Antiqua"/>
          <w:bCs/>
          <w:sz w:val="24"/>
          <w:szCs w:val="24"/>
        </w:rPr>
        <w:t xml:space="preserve">We report a case of a 13-year-old Chinese boy with lifelong global developmental delay, speech and language delay, and intellectual disabilities. He had short stature and irregular dentition, but no other abnormal clinical findings. A </w:t>
      </w:r>
      <w:r w:rsidRPr="00E4527E">
        <w:rPr>
          <w:rFonts w:ascii="Book Antiqua" w:hAnsi="Book Antiqua"/>
          <w:bCs/>
          <w:i/>
          <w:iCs/>
          <w:sz w:val="24"/>
          <w:szCs w:val="24"/>
        </w:rPr>
        <w:t>de novo</w:t>
      </w:r>
      <w:r>
        <w:rPr>
          <w:rFonts w:ascii="Book Antiqua" w:hAnsi="Book Antiqua"/>
          <w:bCs/>
          <w:sz w:val="24"/>
          <w:szCs w:val="24"/>
        </w:rPr>
        <w:t xml:space="preserve"> heterozygous nonsense point mutation was detected by genetic analysis in exon 6 of </w:t>
      </w:r>
      <w:r w:rsidRPr="00E4527E">
        <w:rPr>
          <w:rFonts w:ascii="Book Antiqua" w:hAnsi="Book Antiqua"/>
          <w:bCs/>
          <w:i/>
          <w:iCs/>
          <w:sz w:val="24"/>
          <w:szCs w:val="24"/>
        </w:rPr>
        <w:t>SATB2</w:t>
      </w:r>
      <w:r>
        <w:rPr>
          <w:rFonts w:ascii="Book Antiqua" w:hAnsi="Book Antiqua"/>
          <w:bCs/>
          <w:sz w:val="24"/>
          <w:szCs w:val="24"/>
        </w:rPr>
        <w:t xml:space="preserve">, c.687C&gt;A (p.Y229X) (NCBI reference sequence: NM_001172509.2), and neither of his parents had the mutation. This mutation is the first reported and was evaluated as pathogenic according to the guidelines from the American College of Medical Genetics and Genomics. SAS was diagnosed, and special education performed. Our report of a SAS case in China caused by a </w:t>
      </w:r>
      <w:r>
        <w:rPr>
          <w:rFonts w:ascii="Book Antiqua" w:hAnsi="Book Antiqua"/>
          <w:bCs/>
          <w:i/>
          <w:sz w:val="24"/>
          <w:szCs w:val="24"/>
        </w:rPr>
        <w:t xml:space="preserve">SATB2 </w:t>
      </w:r>
      <w:r>
        <w:rPr>
          <w:rFonts w:ascii="Book Antiqua" w:hAnsi="Book Antiqua"/>
          <w:bCs/>
          <w:sz w:val="24"/>
          <w:szCs w:val="24"/>
        </w:rPr>
        <w:t xml:space="preserve">mutation expanded the genotype options for the disease. The heterogeneous manifestations can be induced by complicated pathogenic involvements and functions of SATB2 from reviewed literatures: (1) SATB2 haploinsufficiency; (2) the interference of truncated SATB2 protein to wild-type SATB2; and (3) </w:t>
      </w:r>
      <w:r w:rsidRPr="00E4527E">
        <w:rPr>
          <w:rFonts w:ascii="Book Antiqua" w:hAnsi="Book Antiqua"/>
          <w:bCs/>
          <w:sz w:val="24"/>
          <w:szCs w:val="24"/>
        </w:rPr>
        <w:t>d</w:t>
      </w:r>
      <w:r>
        <w:rPr>
          <w:rFonts w:ascii="Book Antiqua" w:hAnsi="Book Antiqua"/>
          <w:bCs/>
          <w:sz w:val="24"/>
          <w:szCs w:val="24"/>
        </w:rPr>
        <w:t>ifferent numerous genes regulated by SATB2 in brain and skeletal development in different developmental stages.</w:t>
      </w:r>
    </w:p>
    <w:p w14:paraId="2F5016DC" w14:textId="77777777" w:rsidR="007D4E69" w:rsidRDefault="007D4E69">
      <w:pPr>
        <w:spacing w:line="360" w:lineRule="auto"/>
        <w:rPr>
          <w:rFonts w:ascii="Book Antiqua" w:hAnsi="Book Antiqua"/>
          <w:bCs/>
          <w:sz w:val="24"/>
          <w:szCs w:val="24"/>
        </w:rPr>
      </w:pPr>
    </w:p>
    <w:p w14:paraId="2E89D2C2" w14:textId="77777777" w:rsidR="007D4E69" w:rsidRDefault="005A2594">
      <w:pPr>
        <w:spacing w:line="360" w:lineRule="auto"/>
        <w:rPr>
          <w:rFonts w:ascii="Book Antiqua" w:hAnsi="Book Antiqua"/>
          <w:sz w:val="24"/>
          <w:szCs w:val="24"/>
        </w:rPr>
      </w:pPr>
      <w:bookmarkStart w:id="15" w:name="OLE_LINK7"/>
      <w:bookmarkStart w:id="16" w:name="OLE_LINK409"/>
      <w:bookmarkStart w:id="17" w:name="OLE_LINK396"/>
      <w:bookmarkEnd w:id="8"/>
      <w:bookmarkEnd w:id="9"/>
      <w:r>
        <w:rPr>
          <w:rFonts w:ascii="Book Antiqua" w:hAnsi="Book Antiqua"/>
          <w:sz w:val="24"/>
          <w:szCs w:val="24"/>
        </w:rPr>
        <w:t>CONCLUSION</w:t>
      </w:r>
    </w:p>
    <w:p w14:paraId="78673856" w14:textId="77777777" w:rsidR="007D4E69" w:rsidRDefault="005A2594">
      <w:pPr>
        <w:spacing w:line="360" w:lineRule="auto"/>
        <w:rPr>
          <w:rFonts w:ascii="Book Antiqua" w:hAnsi="Book Antiqua"/>
          <w:sz w:val="24"/>
          <w:szCs w:val="24"/>
        </w:rPr>
      </w:pPr>
      <w:r>
        <w:rPr>
          <w:rFonts w:ascii="Book Antiqua" w:hAnsi="Book Antiqua"/>
          <w:bCs/>
          <w:sz w:val="24"/>
          <w:szCs w:val="24"/>
        </w:rPr>
        <w:t>Global developmental delay</w:t>
      </w:r>
      <w:bookmarkEnd w:id="15"/>
      <w:r>
        <w:rPr>
          <w:rFonts w:ascii="Book Antiqua" w:hAnsi="Book Antiqua"/>
          <w:sz w:val="24"/>
          <w:szCs w:val="24"/>
        </w:rPr>
        <w:t>s are usually the initial presentations, and the diagnosis was challenging before other prese</w:t>
      </w:r>
      <w:bookmarkStart w:id="18" w:name="OLE_LINK5"/>
      <w:bookmarkStart w:id="19" w:name="OLE_LINK4"/>
      <w:r>
        <w:rPr>
          <w:rFonts w:ascii="Book Antiqua" w:hAnsi="Book Antiqua"/>
          <w:sz w:val="24"/>
          <w:szCs w:val="24"/>
        </w:rPr>
        <w:t>ntations occurred. Regular follow-up and genetic analysis can help to diagnos</w:t>
      </w:r>
      <w:bookmarkStart w:id="20" w:name="OLE_LINK3"/>
      <w:bookmarkEnd w:id="18"/>
      <w:bookmarkEnd w:id="19"/>
      <w:r>
        <w:rPr>
          <w:rFonts w:ascii="Book Antiqua" w:hAnsi="Book Antiqua"/>
          <w:sz w:val="24"/>
          <w:szCs w:val="24"/>
        </w:rPr>
        <w:t xml:space="preserve">e SAS early. Verification for genes affected by </w:t>
      </w:r>
      <w:r>
        <w:rPr>
          <w:rFonts w:ascii="Book Antiqua" w:hAnsi="Book Antiqua"/>
          <w:i/>
          <w:sz w:val="24"/>
          <w:szCs w:val="24"/>
        </w:rPr>
        <w:t>SATB2</w:t>
      </w:r>
      <w:r>
        <w:rPr>
          <w:rFonts w:ascii="Book Antiqua" w:hAnsi="Book Antiqua"/>
          <w:sz w:val="24"/>
          <w:szCs w:val="24"/>
        </w:rPr>
        <w:t xml:space="preserve"> mutations for heterogeneous manifestations may help to clarify the possible pathogenesis of SAS in the future.</w:t>
      </w:r>
      <w:bookmarkEnd w:id="16"/>
    </w:p>
    <w:bookmarkEnd w:id="17"/>
    <w:p w14:paraId="2AE92F9C" w14:textId="77777777" w:rsidR="007D4E69" w:rsidRDefault="007D4E69">
      <w:pPr>
        <w:spacing w:line="360" w:lineRule="auto"/>
        <w:rPr>
          <w:rFonts w:ascii="Book Antiqua" w:hAnsi="Book Antiqua"/>
          <w:sz w:val="24"/>
          <w:szCs w:val="24"/>
        </w:rPr>
      </w:pPr>
    </w:p>
    <w:bookmarkEnd w:id="20"/>
    <w:p w14:paraId="4ED42A98" w14:textId="77777777" w:rsidR="007D4E69" w:rsidRDefault="005A2594">
      <w:pPr>
        <w:spacing w:line="360" w:lineRule="auto"/>
        <w:rPr>
          <w:rFonts w:ascii="Book Antiqua" w:hAnsi="Book Antiqua"/>
          <w:b/>
          <w:sz w:val="24"/>
          <w:szCs w:val="24"/>
        </w:rPr>
      </w:pPr>
      <w:r>
        <w:rPr>
          <w:rFonts w:ascii="Book Antiqua" w:hAnsi="Book Antiqua"/>
          <w:b/>
          <w:sz w:val="24"/>
          <w:szCs w:val="24"/>
        </w:rPr>
        <w:t xml:space="preserve">Key </w:t>
      </w:r>
      <w:r>
        <w:rPr>
          <w:rFonts w:ascii="Book Antiqua" w:hAnsi="Book Antiqua"/>
          <w:b/>
          <w:caps/>
          <w:sz w:val="24"/>
          <w:szCs w:val="24"/>
        </w:rPr>
        <w:t>w</w:t>
      </w:r>
      <w:r>
        <w:rPr>
          <w:rFonts w:ascii="Book Antiqua" w:hAnsi="Book Antiqua"/>
          <w:b/>
          <w:sz w:val="24"/>
          <w:szCs w:val="24"/>
        </w:rPr>
        <w:t xml:space="preserve">ords: </w:t>
      </w:r>
      <w:bookmarkStart w:id="21" w:name="OLE_LINK397"/>
      <w:r>
        <w:rPr>
          <w:rFonts w:ascii="Book Antiqua" w:hAnsi="Book Antiqua"/>
          <w:sz w:val="24"/>
          <w:szCs w:val="24"/>
        </w:rPr>
        <w:t xml:space="preserve">Special AT-rich sequence binding protein 2; </w:t>
      </w:r>
      <w:r>
        <w:rPr>
          <w:rFonts w:ascii="Book Antiqua" w:hAnsi="Book Antiqua"/>
          <w:i/>
          <w:sz w:val="24"/>
          <w:szCs w:val="24"/>
        </w:rPr>
        <w:t>SATB2</w:t>
      </w:r>
      <w:r>
        <w:rPr>
          <w:rFonts w:ascii="Book Antiqua" w:hAnsi="Book Antiqua"/>
          <w:sz w:val="24"/>
          <w:szCs w:val="24"/>
        </w:rPr>
        <w:t xml:space="preserve">-associated syndrome; Global developmental delay; Developmental speech and </w:t>
      </w:r>
      <w:bookmarkStart w:id="22" w:name="OLE_LINK410"/>
      <w:bookmarkStart w:id="23" w:name="OLE_LINK411"/>
      <w:r>
        <w:rPr>
          <w:rFonts w:ascii="Book Antiqua" w:hAnsi="Book Antiqua"/>
          <w:sz w:val="24"/>
          <w:szCs w:val="24"/>
        </w:rPr>
        <w:t>language delay;</w:t>
      </w:r>
      <w:bookmarkEnd w:id="22"/>
      <w:bookmarkEnd w:id="23"/>
      <w:r>
        <w:rPr>
          <w:rFonts w:ascii="Book Antiqua" w:hAnsi="Book Antiqua"/>
          <w:sz w:val="24"/>
          <w:szCs w:val="24"/>
        </w:rPr>
        <w:t xml:space="preserve"> Case report</w:t>
      </w:r>
    </w:p>
    <w:bookmarkEnd w:id="21"/>
    <w:p w14:paraId="3C72E887" w14:textId="77777777" w:rsidR="006C4A5B" w:rsidRDefault="006C4A5B" w:rsidP="006C4A5B">
      <w:pPr>
        <w:spacing w:line="360" w:lineRule="auto"/>
      </w:pPr>
    </w:p>
    <w:p w14:paraId="1F4F5EAF" w14:textId="77777777" w:rsidR="006C4A5B" w:rsidRPr="00026CB8" w:rsidRDefault="006C4A5B" w:rsidP="006C4A5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2F018AB" w14:textId="77777777" w:rsidR="007D4E69" w:rsidRDefault="007D4E69">
      <w:pPr>
        <w:spacing w:line="360" w:lineRule="auto"/>
        <w:rPr>
          <w:rFonts w:ascii="Book Antiqua" w:hAnsi="Book Antiqua"/>
          <w:b/>
          <w:sz w:val="24"/>
          <w:szCs w:val="24"/>
        </w:rPr>
      </w:pPr>
    </w:p>
    <w:p w14:paraId="0FEF41B3" w14:textId="77777777" w:rsidR="008D2618" w:rsidRPr="00F12D34" w:rsidRDefault="00511C74" w:rsidP="008D2618">
      <w:pPr>
        <w:spacing w:line="360" w:lineRule="auto"/>
        <w:rPr>
          <w:rFonts w:ascii="Book Antiqua" w:hAnsi="Book Antiqua" w:cs="Book Antiqua"/>
          <w:sz w:val="24"/>
          <w:szCs w:val="24"/>
        </w:rPr>
      </w:pPr>
      <w:r w:rsidRPr="00511C74">
        <w:rPr>
          <w:rFonts w:ascii="Book Antiqua" w:hAnsi="Book Antiqua" w:hint="eastAsia"/>
          <w:b/>
          <w:sz w:val="24"/>
          <w:szCs w:val="24"/>
        </w:rPr>
        <w:t xml:space="preserve">Citation: </w:t>
      </w:r>
      <w:r w:rsidR="005A2594">
        <w:rPr>
          <w:rFonts w:ascii="Book Antiqua" w:hAnsi="Book Antiqua"/>
          <w:sz w:val="24"/>
          <w:szCs w:val="24"/>
        </w:rPr>
        <w:t xml:space="preserve">Zhu YY, Sun GL, Yang ZL. </w:t>
      </w:r>
      <w:r w:rsidR="005A2594">
        <w:rPr>
          <w:rFonts w:ascii="Book Antiqua" w:hAnsi="Book Antiqua"/>
          <w:i/>
          <w:sz w:val="24"/>
          <w:szCs w:val="24"/>
        </w:rPr>
        <w:t>SATB2</w:t>
      </w:r>
      <w:r w:rsidR="005A2594">
        <w:rPr>
          <w:rFonts w:ascii="Book Antiqua" w:hAnsi="Book Antiqua"/>
          <w:sz w:val="24"/>
          <w:szCs w:val="24"/>
        </w:rPr>
        <w:t xml:space="preserve">-associated syndrome caused by a novel </w:t>
      </w:r>
      <w:r w:rsidR="005A2594">
        <w:rPr>
          <w:rFonts w:ascii="Book Antiqua" w:hAnsi="Book Antiqua"/>
          <w:i/>
          <w:sz w:val="24"/>
          <w:szCs w:val="24"/>
        </w:rPr>
        <w:t>SATB2</w:t>
      </w:r>
      <w:r w:rsidR="005A2594">
        <w:rPr>
          <w:rFonts w:ascii="Book Antiqua" w:hAnsi="Book Antiqua"/>
          <w:sz w:val="24"/>
          <w:szCs w:val="24"/>
        </w:rPr>
        <w:t xml:space="preserve"> mutation in a Chinese boy: A case report and literature review. </w:t>
      </w:r>
      <w:r w:rsidR="005A2594">
        <w:rPr>
          <w:rFonts w:ascii="Book Antiqua" w:hAnsi="Book Antiqua"/>
          <w:i/>
          <w:sz w:val="24"/>
          <w:szCs w:val="24"/>
        </w:rPr>
        <w:t xml:space="preserve">World J Clin </w:t>
      </w:r>
      <w:r w:rsidR="005A2594" w:rsidRPr="00F12D34">
        <w:rPr>
          <w:rFonts w:ascii="Book Antiqua" w:hAnsi="Book Antiqua"/>
          <w:i/>
          <w:sz w:val="24"/>
          <w:szCs w:val="24"/>
        </w:rPr>
        <w:t>Cases</w:t>
      </w:r>
      <w:r w:rsidR="005A2594" w:rsidRPr="00F12D34">
        <w:rPr>
          <w:rFonts w:ascii="Book Antiqua" w:hAnsi="Book Antiqua"/>
          <w:sz w:val="24"/>
          <w:szCs w:val="24"/>
        </w:rPr>
        <w:t xml:space="preserve"> </w:t>
      </w:r>
      <w:bookmarkStart w:id="24" w:name="OLE_LINK153"/>
      <w:bookmarkStart w:id="25" w:name="OLE_LINK161"/>
      <w:bookmarkStart w:id="26" w:name="OLE_LINK173"/>
      <w:bookmarkStart w:id="27" w:name="OLE_LINK205"/>
      <w:r w:rsidR="008D2618" w:rsidRPr="00F12D34">
        <w:rPr>
          <w:rFonts w:ascii="Book Antiqua" w:eastAsia="Book Antiqua" w:hAnsi="Book Antiqua" w:cs="Book Antiqua"/>
          <w:sz w:val="24"/>
          <w:szCs w:val="24"/>
        </w:rPr>
        <w:t xml:space="preserve">2021; 9(21): </w:t>
      </w:r>
      <w:bookmarkStart w:id="28" w:name="OLE_LINK245"/>
      <w:bookmarkStart w:id="29" w:name="OLE_LINK257"/>
      <w:r w:rsidRPr="00F12D34">
        <w:rPr>
          <w:rFonts w:ascii="Book Antiqua" w:eastAsia="Book Antiqua" w:hAnsi="Book Antiqua" w:cs="Book Antiqua"/>
          <w:sz w:val="24"/>
          <w:szCs w:val="24"/>
        </w:rPr>
        <w:t>608</w:t>
      </w:r>
      <w:bookmarkEnd w:id="24"/>
      <w:bookmarkEnd w:id="25"/>
      <w:r w:rsidRPr="00F12D34">
        <w:rPr>
          <w:rFonts w:ascii="Book Antiqua" w:eastAsia="Book Antiqua" w:hAnsi="Book Antiqua" w:cs="Book Antiqua"/>
          <w:sz w:val="24"/>
          <w:szCs w:val="24"/>
        </w:rPr>
        <w:t>1</w:t>
      </w:r>
      <w:bookmarkEnd w:id="28"/>
      <w:bookmarkEnd w:id="29"/>
      <w:r w:rsidRPr="00F12D34">
        <w:rPr>
          <w:rFonts w:ascii="Book Antiqua" w:eastAsia="Book Antiqua" w:hAnsi="Book Antiqua" w:cs="Book Antiqua"/>
          <w:sz w:val="24"/>
          <w:szCs w:val="24"/>
        </w:rPr>
        <w:t>-6090</w:t>
      </w:r>
      <w:bookmarkEnd w:id="26"/>
      <w:bookmarkEnd w:id="27"/>
      <w:r w:rsidR="008D2618" w:rsidRPr="00F12D34">
        <w:rPr>
          <w:rFonts w:ascii="Book Antiqua" w:eastAsia="Book Antiqua" w:hAnsi="Book Antiqua" w:cs="Book Antiqua"/>
          <w:sz w:val="24"/>
          <w:szCs w:val="24"/>
        </w:rPr>
        <w:t xml:space="preserve">  </w:t>
      </w:r>
    </w:p>
    <w:p w14:paraId="68B820E1" w14:textId="77777777" w:rsidR="008D2618" w:rsidRPr="00F12D34" w:rsidRDefault="008D2618" w:rsidP="008D2618">
      <w:pPr>
        <w:spacing w:line="360" w:lineRule="auto"/>
        <w:rPr>
          <w:rFonts w:ascii="Book Antiqua" w:hAnsi="Book Antiqua" w:cs="Book Antiqua"/>
          <w:sz w:val="24"/>
          <w:szCs w:val="24"/>
        </w:rPr>
      </w:pPr>
      <w:r w:rsidRPr="00F12D34">
        <w:rPr>
          <w:rFonts w:ascii="Book Antiqua" w:eastAsia="Book Antiqua" w:hAnsi="Book Antiqua" w:cs="Book Antiqua"/>
          <w:b/>
          <w:sz w:val="24"/>
          <w:szCs w:val="24"/>
        </w:rPr>
        <w:t>URL:</w:t>
      </w:r>
      <w:r w:rsidRPr="00F12D34">
        <w:rPr>
          <w:rFonts w:ascii="Book Antiqua" w:eastAsia="Book Antiqua" w:hAnsi="Book Antiqua" w:cs="Book Antiqua"/>
          <w:sz w:val="24"/>
          <w:szCs w:val="24"/>
        </w:rPr>
        <w:t xml:space="preserve"> </w:t>
      </w:r>
      <w:bookmarkStart w:id="30" w:name="OLE_LINK213"/>
      <w:r w:rsidRPr="00F12D34">
        <w:rPr>
          <w:rFonts w:ascii="Book Antiqua" w:eastAsia="Book Antiqua" w:hAnsi="Book Antiqua" w:cs="Book Antiqua"/>
          <w:sz w:val="24"/>
          <w:szCs w:val="24"/>
        </w:rPr>
        <w:t>https://www.wjgnet.com/2307-8960/full/v9/i21/</w:t>
      </w:r>
      <w:r w:rsidR="00511C74" w:rsidRPr="00F12D34">
        <w:rPr>
          <w:rFonts w:ascii="Book Antiqua" w:eastAsia="Book Antiqua" w:hAnsi="Book Antiqua" w:cs="Book Antiqua"/>
          <w:sz w:val="24"/>
          <w:szCs w:val="24"/>
        </w:rPr>
        <w:t>6081</w:t>
      </w:r>
      <w:r w:rsidRPr="00F12D34">
        <w:rPr>
          <w:rFonts w:ascii="Book Antiqua" w:eastAsia="Book Antiqua" w:hAnsi="Book Antiqua" w:cs="Book Antiqua"/>
          <w:sz w:val="24"/>
          <w:szCs w:val="24"/>
        </w:rPr>
        <w:t>.htm</w:t>
      </w:r>
      <w:bookmarkEnd w:id="30"/>
      <w:r w:rsidRPr="00F12D34">
        <w:rPr>
          <w:rFonts w:ascii="Book Antiqua" w:eastAsia="Book Antiqua" w:hAnsi="Book Antiqua" w:cs="Book Antiqua"/>
          <w:sz w:val="24"/>
          <w:szCs w:val="24"/>
        </w:rPr>
        <w:t xml:space="preserve">  </w:t>
      </w:r>
    </w:p>
    <w:p w14:paraId="7AD2420F" w14:textId="77777777" w:rsidR="008D2618" w:rsidRPr="00F12D34" w:rsidRDefault="008D2618" w:rsidP="008D2618">
      <w:pPr>
        <w:spacing w:line="360" w:lineRule="auto"/>
        <w:rPr>
          <w:sz w:val="24"/>
          <w:szCs w:val="24"/>
        </w:rPr>
      </w:pPr>
      <w:r w:rsidRPr="00F12D34">
        <w:rPr>
          <w:rFonts w:ascii="Book Antiqua" w:eastAsia="Book Antiqua" w:hAnsi="Book Antiqua" w:cs="Book Antiqua"/>
          <w:b/>
          <w:sz w:val="24"/>
          <w:szCs w:val="24"/>
        </w:rPr>
        <w:t>DOI:</w:t>
      </w:r>
      <w:r w:rsidRPr="00F12D34">
        <w:rPr>
          <w:rFonts w:ascii="Book Antiqua" w:eastAsia="Book Antiqua" w:hAnsi="Book Antiqua" w:cs="Book Antiqua"/>
          <w:sz w:val="24"/>
          <w:szCs w:val="24"/>
        </w:rPr>
        <w:t xml:space="preserve"> </w:t>
      </w:r>
      <w:bookmarkStart w:id="31" w:name="OLE_LINK151"/>
      <w:bookmarkStart w:id="32" w:name="OLE_LINK214"/>
      <w:r w:rsidRPr="00F12D34">
        <w:rPr>
          <w:rFonts w:ascii="Book Antiqua" w:eastAsia="Book Antiqua" w:hAnsi="Book Antiqua" w:cs="Book Antiqua"/>
          <w:sz w:val="24"/>
          <w:szCs w:val="24"/>
        </w:rPr>
        <w:t>https://dx.doi.org/10.12998/wjcc.v9.i21.</w:t>
      </w:r>
      <w:bookmarkEnd w:id="31"/>
      <w:r w:rsidR="00511C74" w:rsidRPr="00F12D34">
        <w:rPr>
          <w:rFonts w:ascii="Book Antiqua" w:eastAsia="Book Antiqua" w:hAnsi="Book Antiqua" w:cs="Book Antiqua"/>
          <w:sz w:val="24"/>
          <w:szCs w:val="24"/>
        </w:rPr>
        <w:t>6081</w:t>
      </w:r>
      <w:bookmarkEnd w:id="32"/>
    </w:p>
    <w:p w14:paraId="6F3D2FFC" w14:textId="77777777" w:rsidR="007D4E69" w:rsidRPr="008D2618" w:rsidRDefault="007D4E69">
      <w:pPr>
        <w:spacing w:line="360" w:lineRule="auto"/>
        <w:rPr>
          <w:rFonts w:ascii="Book Antiqua" w:hAnsi="Book Antiqua"/>
          <w:sz w:val="24"/>
          <w:szCs w:val="24"/>
        </w:rPr>
      </w:pPr>
    </w:p>
    <w:p w14:paraId="1966BE2D" w14:textId="77777777" w:rsidR="007D4E69" w:rsidRDefault="007D4E69">
      <w:pPr>
        <w:spacing w:line="360" w:lineRule="auto"/>
        <w:rPr>
          <w:rFonts w:ascii="Book Antiqua" w:hAnsi="Book Antiqua"/>
          <w:b/>
          <w:sz w:val="24"/>
          <w:szCs w:val="24"/>
        </w:rPr>
      </w:pPr>
    </w:p>
    <w:p w14:paraId="159A7FEB" w14:textId="77777777" w:rsidR="007D4E69" w:rsidRDefault="005A2594">
      <w:pPr>
        <w:spacing w:line="360" w:lineRule="auto"/>
        <w:rPr>
          <w:rFonts w:ascii="Book Antiqua" w:hAnsi="Book Antiqua"/>
          <w:b/>
          <w:sz w:val="24"/>
          <w:szCs w:val="24"/>
        </w:rPr>
      </w:pPr>
      <w:r>
        <w:rPr>
          <w:rFonts w:ascii="Book Antiqua" w:hAnsi="Book Antiqua"/>
          <w:b/>
          <w:sz w:val="24"/>
          <w:szCs w:val="24"/>
        </w:rPr>
        <w:t>Core tip:</w:t>
      </w:r>
      <w:bookmarkStart w:id="33" w:name="OLE_LINK404"/>
      <w:bookmarkStart w:id="34" w:name="OLE_LINK403"/>
      <w:bookmarkStart w:id="35" w:name="OLE_LINK405"/>
      <w:r>
        <w:rPr>
          <w:rFonts w:ascii="Book Antiqua" w:hAnsi="Book Antiqua"/>
          <w:sz w:val="24"/>
          <w:szCs w:val="24"/>
        </w:rPr>
        <w:t xml:space="preserve"> Our findings contribute to a growing list of special AT-rich sequence binding protein 2 (</w:t>
      </w:r>
      <w:r>
        <w:rPr>
          <w:rFonts w:ascii="Book Antiqua" w:hAnsi="Book Antiqua"/>
          <w:i/>
          <w:sz w:val="24"/>
          <w:szCs w:val="24"/>
        </w:rPr>
        <w:t>SATB2</w:t>
      </w:r>
      <w:r>
        <w:rPr>
          <w:rFonts w:ascii="Book Antiqua" w:hAnsi="Book Antiqua"/>
          <w:iCs/>
          <w:sz w:val="24"/>
          <w:szCs w:val="24"/>
        </w:rPr>
        <w:t>)</w:t>
      </w:r>
      <w:r>
        <w:rPr>
          <w:rFonts w:ascii="Book Antiqua" w:hAnsi="Book Antiqua"/>
          <w:sz w:val="24"/>
          <w:szCs w:val="24"/>
        </w:rPr>
        <w:t xml:space="preserve"> mutations associated with SATB2-associated syndrome, which is a rare autosomal dominant disorder. The diagnosis was quite challenging when only developmental delays occurred without other manifestations. The heterogeneous manifestations can be induced by complicated pathogenic involvements and functions of SATB2 from reviewed literatures: (1) SATB2 haploinsufficiency; (2) </w:t>
      </w:r>
      <w:r w:rsidR="00207F82">
        <w:rPr>
          <w:rFonts w:ascii="Book Antiqua" w:hAnsi="Book Antiqua"/>
          <w:sz w:val="24"/>
          <w:szCs w:val="24"/>
        </w:rPr>
        <w:t>T</w:t>
      </w:r>
      <w:r>
        <w:rPr>
          <w:rFonts w:ascii="Book Antiqua" w:hAnsi="Book Antiqua"/>
          <w:sz w:val="24"/>
          <w:szCs w:val="24"/>
        </w:rPr>
        <w:t xml:space="preserve">he interference of truncated SATB2 protein to wild-type SATB2; and (3) </w:t>
      </w:r>
      <w:r w:rsidR="00207F82">
        <w:rPr>
          <w:rFonts w:ascii="Book Antiqua" w:hAnsi="Book Antiqua"/>
          <w:sz w:val="24"/>
          <w:szCs w:val="24"/>
        </w:rPr>
        <w:t>D</w:t>
      </w:r>
      <w:r>
        <w:rPr>
          <w:rFonts w:ascii="Book Antiqua" w:hAnsi="Book Antiqua"/>
          <w:sz w:val="24"/>
          <w:szCs w:val="24"/>
        </w:rPr>
        <w:t>ifferent numerous genes regulated by SATB2 in brain and skeletal development in different developmental stages. We think our case can help the practitioners to learn more about SATB2-associated syndrome.</w:t>
      </w:r>
      <w:bookmarkEnd w:id="33"/>
      <w:bookmarkEnd w:id="34"/>
      <w:bookmarkEnd w:id="35"/>
    </w:p>
    <w:p w14:paraId="632A1D5B" w14:textId="77777777" w:rsidR="007D4E69" w:rsidRDefault="007D4E69">
      <w:pPr>
        <w:spacing w:line="360" w:lineRule="auto"/>
        <w:rPr>
          <w:rFonts w:ascii="Book Antiqua" w:eastAsia="宋体" w:hAnsi="Book Antiqua"/>
          <w:b/>
          <w:sz w:val="24"/>
          <w:szCs w:val="24"/>
        </w:rPr>
      </w:pPr>
      <w:bookmarkStart w:id="36" w:name="OLE_LINK22"/>
      <w:bookmarkStart w:id="37" w:name="OLE_LINK23"/>
      <w:bookmarkStart w:id="38" w:name="OLE_LINK2"/>
    </w:p>
    <w:p w14:paraId="61B514BB" w14:textId="77777777" w:rsidR="007D4E69" w:rsidRDefault="005A2594">
      <w:pPr>
        <w:widowControl/>
        <w:spacing w:line="360" w:lineRule="auto"/>
        <w:rPr>
          <w:rFonts w:ascii="Book Antiqua" w:eastAsia="宋体" w:hAnsi="Book Antiqua"/>
          <w:b/>
          <w:sz w:val="24"/>
          <w:szCs w:val="24"/>
        </w:rPr>
      </w:pPr>
      <w:r>
        <w:rPr>
          <w:rFonts w:ascii="Book Antiqua" w:eastAsia="宋体" w:hAnsi="Book Antiqua"/>
          <w:b/>
          <w:sz w:val="24"/>
          <w:szCs w:val="24"/>
        </w:rPr>
        <w:br w:type="page"/>
      </w:r>
    </w:p>
    <w:p w14:paraId="7AE9409E" w14:textId="77777777" w:rsidR="007D4E69" w:rsidRDefault="005A2594">
      <w:pPr>
        <w:spacing w:line="360" w:lineRule="auto"/>
        <w:rPr>
          <w:rFonts w:ascii="Book Antiqua" w:hAnsi="Book Antiqua"/>
          <w:sz w:val="24"/>
          <w:szCs w:val="24"/>
          <w:u w:val="single"/>
        </w:rPr>
      </w:pPr>
      <w:r>
        <w:rPr>
          <w:rFonts w:ascii="Book Antiqua" w:eastAsia="宋体" w:hAnsi="Book Antiqua"/>
          <w:b/>
          <w:sz w:val="24"/>
          <w:szCs w:val="24"/>
          <w:u w:val="single"/>
        </w:rPr>
        <w:lastRenderedPageBreak/>
        <w:t>INTRODUCTION</w:t>
      </w:r>
    </w:p>
    <w:p w14:paraId="6160E2CF" w14:textId="77777777" w:rsidR="007D4E69" w:rsidRDefault="005A2594">
      <w:pPr>
        <w:spacing w:line="360" w:lineRule="auto"/>
        <w:rPr>
          <w:rFonts w:ascii="Book Antiqua" w:hAnsi="Book Antiqua"/>
          <w:sz w:val="24"/>
          <w:szCs w:val="24"/>
          <w:vertAlign w:val="superscript"/>
        </w:rPr>
      </w:pPr>
      <w:r>
        <w:rPr>
          <w:rFonts w:ascii="Book Antiqua" w:hAnsi="Book Antiqua"/>
          <w:sz w:val="24"/>
          <w:szCs w:val="24"/>
        </w:rPr>
        <w:t>Special AT-ric</w:t>
      </w:r>
      <w:bookmarkEnd w:id="36"/>
      <w:bookmarkEnd w:id="37"/>
      <w:r>
        <w:rPr>
          <w:rFonts w:ascii="Book Antiqua" w:hAnsi="Book Antiqua"/>
          <w:sz w:val="24"/>
          <w:szCs w:val="24"/>
        </w:rPr>
        <w:t>h sequence binding protein 2 (SATB2)-associated syndrome (SA</w:t>
      </w:r>
      <w:bookmarkStart w:id="39" w:name="OLE_LINK105"/>
      <w:r>
        <w:rPr>
          <w:rFonts w:ascii="Book Antiqua" w:hAnsi="Book Antiqua"/>
          <w:sz w:val="24"/>
          <w:szCs w:val="24"/>
        </w:rPr>
        <w:t>S; OMIM</w:t>
      </w:r>
      <w:bookmarkEnd w:id="39"/>
      <w:r>
        <w:rPr>
          <w:rFonts w:ascii="Book Antiqua" w:hAnsi="Book Antiqua"/>
          <w:sz w:val="24"/>
          <w:szCs w:val="24"/>
        </w:rPr>
        <w:t xml:space="preserve"> 6</w:t>
      </w:r>
      <w:bookmarkStart w:id="40" w:name="OLE_LINK49"/>
      <w:r>
        <w:rPr>
          <w:rFonts w:ascii="Book Antiqua" w:hAnsi="Book Antiqua"/>
          <w:sz w:val="24"/>
          <w:szCs w:val="24"/>
        </w:rPr>
        <w:t>1231</w:t>
      </w:r>
      <w:bookmarkEnd w:id="40"/>
      <w:r>
        <w:rPr>
          <w:rFonts w:ascii="Book Antiqua" w:hAnsi="Book Antiqua"/>
          <w:sz w:val="24"/>
          <w:szCs w:val="24"/>
        </w:rPr>
        <w:t>) is a multisystem disorder characterized by neurodevelopmental delays, behavioral issues, palatal and dental anomalies, craniofacial abnormalities, and frequent skeletal pathology</w:t>
      </w:r>
      <w:r>
        <w:rPr>
          <w:rFonts w:ascii="Book Antiqua" w:hAnsi="Book Antiqua"/>
          <w:sz w:val="24"/>
          <w:szCs w:val="24"/>
          <w:vertAlign w:val="superscript"/>
        </w:rPr>
        <w:t>[1]</w:t>
      </w:r>
      <w:r>
        <w:rPr>
          <w:rFonts w:ascii="Book Antiqua" w:hAnsi="Book Antiqua"/>
          <w:sz w:val="24"/>
          <w:szCs w:val="24"/>
        </w:rPr>
        <w:t>.</w:t>
      </w:r>
      <w:bookmarkEnd w:id="38"/>
      <w:r>
        <w:rPr>
          <w:rFonts w:ascii="Book Antiqua" w:hAnsi="Book Antiqua"/>
          <w:sz w:val="24"/>
          <w:szCs w:val="24"/>
        </w:rPr>
        <w:t xml:space="preserve"> It was first reported in a 16-year-old male in 1989 and termed Glass Syndrome at the time</w:t>
      </w:r>
      <w:r>
        <w:rPr>
          <w:rFonts w:ascii="Book Antiqua" w:hAnsi="Book Antiqua"/>
          <w:sz w:val="24"/>
          <w:szCs w:val="24"/>
          <w:vertAlign w:val="superscript"/>
        </w:rPr>
        <w:t>[2]</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The frequency of SAS has been estimated in individuals with undiagnosed </w:t>
      </w:r>
      <w:bookmarkStart w:id="41" w:name="OLE_LINK45"/>
      <w:r>
        <w:rPr>
          <w:rFonts w:ascii="Book Antiqua" w:hAnsi="Book Antiqua"/>
          <w:sz w:val="24"/>
          <w:szCs w:val="24"/>
        </w:rPr>
        <w:t>intellectual disability (ID)</w:t>
      </w:r>
      <w:bookmarkEnd w:id="41"/>
      <w:r>
        <w:rPr>
          <w:rFonts w:ascii="Book Antiqua" w:hAnsi="Book Antiqua"/>
          <w:sz w:val="24"/>
          <w:szCs w:val="24"/>
        </w:rPr>
        <w:t>/developmental delay (DD) to be 0.24%-0.3%</w:t>
      </w:r>
      <w:r>
        <w:rPr>
          <w:rFonts w:ascii="Book Antiqua" w:hAnsi="Book Antiqua"/>
          <w:sz w:val="24"/>
          <w:szCs w:val="24"/>
          <w:vertAlign w:val="superscript"/>
        </w:rPr>
        <w:t>[3,4]</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The diagnosis of SAS is </w:t>
      </w:r>
      <w:bookmarkStart w:id="42" w:name="OLE_LINK109"/>
      <w:r>
        <w:rPr>
          <w:rFonts w:ascii="Book Antiqua" w:hAnsi="Book Antiqua"/>
          <w:sz w:val="24"/>
          <w:szCs w:val="24"/>
        </w:rPr>
        <w:t>likely to</w:t>
      </w:r>
      <w:bookmarkEnd w:id="42"/>
      <w:r>
        <w:rPr>
          <w:rFonts w:ascii="Book Antiqua" w:hAnsi="Book Antiqua"/>
          <w:sz w:val="24"/>
          <w:szCs w:val="24"/>
        </w:rPr>
        <w:t xml:space="preserve"> be inadequate and should be considered in children with ID, speech delay, cleft or high-arched palate, and abnormal dentition</w:t>
      </w:r>
      <w:r>
        <w:rPr>
          <w:rFonts w:ascii="Book Antiqua" w:hAnsi="Book Antiqua"/>
          <w:sz w:val="24"/>
          <w:szCs w:val="24"/>
          <w:vertAlign w:val="superscript"/>
        </w:rPr>
        <w:t>[5]</w:t>
      </w:r>
      <w:r>
        <w:rPr>
          <w:rFonts w:ascii="Book Antiqua" w:hAnsi="Book Antiqua"/>
          <w:sz w:val="24"/>
          <w:szCs w:val="24"/>
        </w:rPr>
        <w:t xml:space="preserve">. </w:t>
      </w:r>
      <w:bookmarkStart w:id="43" w:name="OLE_LINK159"/>
      <w:r>
        <w:rPr>
          <w:rFonts w:ascii="Book Antiqua" w:hAnsi="Book Antiqua"/>
          <w:sz w:val="24"/>
          <w:szCs w:val="24"/>
        </w:rPr>
        <w:t xml:space="preserve">Up to July 2020, </w:t>
      </w:r>
      <w:bookmarkStart w:id="44" w:name="OLE_LINK15"/>
      <w:r>
        <w:rPr>
          <w:rFonts w:ascii="Book Antiqua" w:hAnsi="Book Antiqua"/>
          <w:sz w:val="24"/>
          <w:szCs w:val="24"/>
        </w:rPr>
        <w:t>194 individuals with SAS from more than 15 different countries had</w:t>
      </w:r>
      <w:bookmarkEnd w:id="44"/>
      <w:r>
        <w:rPr>
          <w:rFonts w:ascii="Book Antiqua" w:hAnsi="Book Antiqua"/>
          <w:sz w:val="24"/>
          <w:szCs w:val="24"/>
        </w:rPr>
        <w:t xml:space="preserve"> enrolled at a website for SAS (www.SATB2gene.com). The acronym </w:t>
      </w:r>
      <w:bookmarkStart w:id="45" w:name="OLE_LINK110"/>
      <w:r>
        <w:rPr>
          <w:rFonts w:ascii="Book Antiqua" w:hAnsi="Book Antiqua"/>
          <w:sz w:val="24"/>
          <w:szCs w:val="24"/>
        </w:rPr>
        <w:t>has also been used</w:t>
      </w:r>
      <w:bookmarkEnd w:id="45"/>
      <w:r>
        <w:rPr>
          <w:rFonts w:ascii="Book Antiqua" w:hAnsi="Book Antiqua"/>
          <w:sz w:val="24"/>
          <w:szCs w:val="24"/>
        </w:rPr>
        <w:t xml:space="preserve"> to describe the signs: </w:t>
      </w:r>
      <w:bookmarkStart w:id="46" w:name="OLE_LINK41"/>
      <w:r>
        <w:rPr>
          <w:rFonts w:ascii="Book Antiqua" w:hAnsi="Book Antiqua"/>
          <w:iCs/>
          <w:sz w:val="24"/>
          <w:szCs w:val="24"/>
        </w:rPr>
        <w:t>Severe speech anomalies</w:t>
      </w:r>
      <w:bookmarkEnd w:id="46"/>
      <w:r>
        <w:rPr>
          <w:rFonts w:ascii="Book Antiqua" w:hAnsi="Book Antiqua"/>
          <w:iCs/>
          <w:sz w:val="24"/>
          <w:szCs w:val="24"/>
        </w:rPr>
        <w:t>, Abnormalities of the palate, Teeth anomalies, Behavioral issues with or without bone or brain magnetic resonance imaging (MRI) anomalies, and age of onset before 2 years of age (</w:t>
      </w:r>
      <w:bookmarkStart w:id="47" w:name="OLE_LINK163"/>
      <w:r>
        <w:rPr>
          <w:rFonts w:ascii="Book Antiqua" w:hAnsi="Book Antiqua"/>
          <w:iCs/>
          <w:sz w:val="24"/>
          <w:szCs w:val="24"/>
        </w:rPr>
        <w:t>S.A.T.B.2.</w:t>
      </w:r>
      <w:bookmarkEnd w:id="47"/>
      <w:r>
        <w:rPr>
          <w:rFonts w:ascii="Book Antiqua" w:hAnsi="Book Antiqua"/>
          <w:iCs/>
          <w:sz w:val="24"/>
          <w:szCs w:val="24"/>
        </w:rPr>
        <w:t>)</w:t>
      </w:r>
      <w:r>
        <w:rPr>
          <w:rFonts w:ascii="Book Antiqua" w:hAnsi="Book Antiqua"/>
          <w:sz w:val="24"/>
          <w:szCs w:val="24"/>
          <w:vertAlign w:val="superscript"/>
        </w:rPr>
        <w:t>[1]</w:t>
      </w:r>
      <w:r>
        <w:rPr>
          <w:rFonts w:ascii="Book Antiqua" w:hAnsi="Book Antiqua"/>
          <w:sz w:val="24"/>
          <w:szCs w:val="24"/>
        </w:rPr>
        <w:t>.</w:t>
      </w:r>
    </w:p>
    <w:bookmarkEnd w:id="43"/>
    <w:p w14:paraId="5CEA1150"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For representative cases in a typical stage with the classic signs, the possible diagnosis is easy to consider. No </w:t>
      </w:r>
      <w:bookmarkStart w:id="48" w:name="OLE_LINK142"/>
      <w:bookmarkStart w:id="49" w:name="OLE_LINK137"/>
      <w:r>
        <w:rPr>
          <w:rFonts w:ascii="Book Antiqua" w:hAnsi="Book Antiqua"/>
          <w:sz w:val="24"/>
          <w:szCs w:val="24"/>
        </w:rPr>
        <w:t>s</w:t>
      </w:r>
      <w:bookmarkStart w:id="50" w:name="OLE_LINK147"/>
      <w:bookmarkStart w:id="51" w:name="OLE_LINK148"/>
      <w:r>
        <w:rPr>
          <w:rFonts w:ascii="Book Antiqua" w:hAnsi="Book Antiqua"/>
          <w:sz w:val="24"/>
          <w:szCs w:val="24"/>
        </w:rPr>
        <w:t>pecific laboratory tests</w:t>
      </w:r>
      <w:bookmarkEnd w:id="48"/>
      <w:bookmarkEnd w:id="49"/>
      <w:bookmarkEnd w:id="50"/>
      <w:bookmarkEnd w:id="51"/>
      <w:r>
        <w:rPr>
          <w:rFonts w:ascii="Book Antiqua" w:hAnsi="Book Antiqua"/>
          <w:sz w:val="24"/>
          <w:szCs w:val="24"/>
        </w:rPr>
        <w:t xml:space="preserve"> are available for SAS, and non-specific elevation of alkaline phosphatase levels has been reported in some individuals with osteopenia</w:t>
      </w:r>
      <w:r>
        <w:rPr>
          <w:rFonts w:ascii="Book Antiqua" w:hAnsi="Book Antiqua"/>
          <w:sz w:val="24"/>
          <w:szCs w:val="24"/>
          <w:vertAlign w:val="superscript"/>
        </w:rPr>
        <w:t>[4,6]</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Thus, early diagnosis is</w:t>
      </w:r>
      <w:bookmarkStart w:id="52" w:name="OLE_LINK160"/>
      <w:r>
        <w:rPr>
          <w:rFonts w:ascii="Book Antiqua" w:hAnsi="Book Antiqua"/>
          <w:sz w:val="24"/>
          <w:szCs w:val="24"/>
        </w:rPr>
        <w:t xml:space="preserve"> quite challenging in infants with only DD observed. The mean age at diagnosis has been reported to be 6.6 years (range: 1 wk to 34 years)</w:t>
      </w:r>
      <w:r>
        <w:rPr>
          <w:rFonts w:ascii="Book Antiqua" w:hAnsi="Book Antiqua"/>
          <w:sz w:val="24"/>
          <w:szCs w:val="24"/>
          <w:vertAlign w:val="superscript"/>
        </w:rPr>
        <w:t>[7]</w:t>
      </w:r>
      <w:r>
        <w:rPr>
          <w:rFonts w:ascii="Book Antiqua" w:hAnsi="Book Antiqua"/>
          <w:sz w:val="24"/>
          <w:szCs w:val="24"/>
        </w:rPr>
        <w:t>.</w:t>
      </w:r>
      <w:bookmarkEnd w:id="52"/>
    </w:p>
    <w:p w14:paraId="1AA71C68"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Alterations in </w:t>
      </w:r>
      <w:r>
        <w:rPr>
          <w:rFonts w:ascii="Book Antiqua" w:hAnsi="Book Antiqua"/>
          <w:i/>
          <w:iCs/>
          <w:sz w:val="24"/>
          <w:szCs w:val="24"/>
        </w:rPr>
        <w:t>SATB2</w:t>
      </w:r>
      <w:r>
        <w:rPr>
          <w:rFonts w:ascii="Book Antiqua" w:hAnsi="Book Antiqua"/>
          <w:sz w:val="24"/>
          <w:szCs w:val="24"/>
        </w:rPr>
        <w:t xml:space="preserve"> have been identified as pathogenic causes, including contiguous deletions, intragenic deletions and duplications, translocations with secondary gene disruption, missense point mutations, and gonadal/somatic mosaicism</w:t>
      </w:r>
      <w:r>
        <w:rPr>
          <w:rFonts w:ascii="Book Antiqua" w:hAnsi="Book Antiqua"/>
          <w:sz w:val="24"/>
          <w:szCs w:val="24"/>
          <w:vertAlign w:val="superscript"/>
        </w:rPr>
        <w:t>[1,8-11]</w:t>
      </w:r>
      <w:r>
        <w:rPr>
          <w:rFonts w:ascii="Book Antiqua" w:hAnsi="Book Antiqua"/>
          <w:sz w:val="24"/>
          <w:szCs w:val="24"/>
        </w:rPr>
        <w:t xml:space="preserve">. SATB2, which is a kind of matrix attachment region–binding transcription factor and has a homeodomain, a CUTL domain, and two </w:t>
      </w:r>
      <w:bookmarkStart w:id="53" w:name="OLE_LINK230"/>
      <w:bookmarkStart w:id="54" w:name="OLE_LINK231"/>
      <w:r>
        <w:rPr>
          <w:rFonts w:ascii="Book Antiqua" w:hAnsi="Book Antiqua"/>
          <w:sz w:val="24"/>
          <w:szCs w:val="24"/>
        </w:rPr>
        <w:t>CUT domain</w:t>
      </w:r>
      <w:bookmarkEnd w:id="53"/>
      <w:bookmarkEnd w:id="54"/>
      <w:r>
        <w:rPr>
          <w:rFonts w:ascii="Book Antiqua" w:hAnsi="Book Antiqua"/>
          <w:sz w:val="24"/>
          <w:szCs w:val="24"/>
        </w:rPr>
        <w:t>s, plays a key role in brain and skeletal development</w:t>
      </w:r>
      <w:r>
        <w:rPr>
          <w:rFonts w:ascii="Book Antiqua" w:hAnsi="Book Antiqua"/>
          <w:sz w:val="24"/>
          <w:szCs w:val="24"/>
          <w:vertAlign w:val="superscript"/>
        </w:rPr>
        <w:t>[12,13]</w:t>
      </w:r>
      <w:r>
        <w:rPr>
          <w:rFonts w:ascii="Book Antiqua" w:hAnsi="Book Antiqua"/>
          <w:sz w:val="24"/>
          <w:szCs w:val="24"/>
        </w:rPr>
        <w:t xml:space="preserve">. Human patients with SATB2 </w:t>
      </w:r>
      <w:bookmarkStart w:id="55" w:name="OLE_LINK280"/>
      <w:bookmarkStart w:id="56" w:name="OLE_LINK266"/>
      <w:r>
        <w:rPr>
          <w:rFonts w:ascii="Book Antiqua" w:hAnsi="Book Antiqua"/>
          <w:sz w:val="24"/>
          <w:szCs w:val="24"/>
        </w:rPr>
        <w:t>haploinsufficiency</w:t>
      </w:r>
      <w:bookmarkEnd w:id="55"/>
      <w:bookmarkEnd w:id="56"/>
      <w:r>
        <w:rPr>
          <w:rFonts w:ascii="Book Antiqua" w:hAnsi="Book Antiqua"/>
          <w:sz w:val="24"/>
          <w:szCs w:val="24"/>
        </w:rPr>
        <w:t xml:space="preserve"> have shown some neurological symptoms, such as cognitive deficits, developmental delay, and developmental speech and language </w:t>
      </w:r>
      <w:r>
        <w:rPr>
          <w:rFonts w:ascii="Book Antiqua" w:hAnsi="Book Antiqua"/>
          <w:sz w:val="24"/>
          <w:szCs w:val="24"/>
        </w:rPr>
        <w:lastRenderedPageBreak/>
        <w:t>problem</w:t>
      </w:r>
      <w:r>
        <w:rPr>
          <w:rFonts w:ascii="Book Antiqua" w:hAnsi="Book Antiqua"/>
          <w:sz w:val="24"/>
          <w:szCs w:val="24"/>
          <w:vertAlign w:val="superscript"/>
        </w:rPr>
        <w:t>[14]</w:t>
      </w:r>
      <w:r>
        <w:rPr>
          <w:rFonts w:ascii="Book Antiqua" w:hAnsi="Book Antiqua"/>
          <w:sz w:val="24"/>
          <w:szCs w:val="24"/>
        </w:rPr>
        <w:t xml:space="preserve">. Here, we report a case of SAS confirmed by a novel nonsense mutation in </w:t>
      </w:r>
      <w:r>
        <w:rPr>
          <w:rFonts w:ascii="Book Antiqua" w:hAnsi="Book Antiqua"/>
          <w:i/>
          <w:iCs/>
          <w:sz w:val="24"/>
          <w:szCs w:val="24"/>
        </w:rPr>
        <w:t>SATB2</w:t>
      </w:r>
      <w:r>
        <w:rPr>
          <w:rFonts w:ascii="Book Antiqua" w:hAnsi="Book Antiqua"/>
          <w:sz w:val="24"/>
          <w:szCs w:val="24"/>
        </w:rPr>
        <w:t xml:space="preserve"> that is first reported here.</w:t>
      </w:r>
    </w:p>
    <w:p w14:paraId="17F97C4E" w14:textId="77777777" w:rsidR="007D4E69" w:rsidRDefault="007D4E69">
      <w:pPr>
        <w:spacing w:line="360" w:lineRule="auto"/>
        <w:rPr>
          <w:rFonts w:ascii="Book Antiqua" w:hAnsi="Book Antiqua"/>
          <w:sz w:val="24"/>
          <w:szCs w:val="24"/>
        </w:rPr>
      </w:pPr>
    </w:p>
    <w:p w14:paraId="59226A7E" w14:textId="77777777" w:rsidR="007D4E69" w:rsidRDefault="005A2594">
      <w:pPr>
        <w:spacing w:line="360" w:lineRule="auto"/>
        <w:rPr>
          <w:rFonts w:ascii="Book Antiqua" w:hAnsi="Book Antiqua"/>
          <w:b/>
          <w:bCs/>
          <w:kern w:val="0"/>
          <w:sz w:val="24"/>
          <w:szCs w:val="24"/>
          <w:u w:val="single"/>
        </w:rPr>
      </w:pPr>
      <w:bookmarkStart w:id="57" w:name="OLE_LINK75"/>
      <w:r>
        <w:rPr>
          <w:rFonts w:ascii="Book Antiqua" w:hAnsi="Book Antiqua"/>
          <w:b/>
          <w:bCs/>
          <w:kern w:val="0"/>
          <w:sz w:val="24"/>
          <w:szCs w:val="24"/>
          <w:u w:val="single"/>
        </w:rPr>
        <w:t>CASE PRESENTATION</w:t>
      </w:r>
    </w:p>
    <w:p w14:paraId="185C396B" w14:textId="77777777" w:rsidR="007D4E69" w:rsidRDefault="005A2594">
      <w:pPr>
        <w:spacing w:line="360" w:lineRule="auto"/>
        <w:rPr>
          <w:rFonts w:ascii="Book Antiqua" w:hAnsi="Book Antiqua"/>
          <w:b/>
          <w:i/>
          <w:sz w:val="24"/>
          <w:szCs w:val="24"/>
        </w:rPr>
      </w:pPr>
      <w:r>
        <w:rPr>
          <w:rFonts w:ascii="Book Antiqua" w:hAnsi="Book Antiqua"/>
          <w:b/>
          <w:i/>
          <w:sz w:val="24"/>
          <w:szCs w:val="24"/>
        </w:rPr>
        <w:t>Chief complaints</w:t>
      </w:r>
    </w:p>
    <w:p w14:paraId="251388F4" w14:textId="77777777" w:rsidR="007D4E69" w:rsidRDefault="005A2594">
      <w:pPr>
        <w:spacing w:line="360" w:lineRule="auto"/>
        <w:rPr>
          <w:rFonts w:ascii="Book Antiqua" w:hAnsi="Book Antiqua"/>
          <w:sz w:val="24"/>
          <w:szCs w:val="24"/>
        </w:rPr>
      </w:pPr>
      <w:r>
        <w:rPr>
          <w:rFonts w:ascii="Book Antiqua" w:hAnsi="Book Antiqua"/>
          <w:sz w:val="24"/>
          <w:szCs w:val="24"/>
        </w:rPr>
        <w:t>The proband (Figure 1A) was a 13-year-old Chinese boy with lifelong global DD. Brain development evaluations and genetic analysis were planned for the current medical visit after referring to local medical geneticists because the family hoped to have one more child.</w:t>
      </w:r>
    </w:p>
    <w:p w14:paraId="7979AC43" w14:textId="77777777" w:rsidR="007D4E69" w:rsidRDefault="007D4E69">
      <w:pPr>
        <w:spacing w:line="360" w:lineRule="auto"/>
        <w:rPr>
          <w:rFonts w:ascii="Book Antiqua" w:hAnsi="Book Antiqua"/>
          <w:sz w:val="24"/>
          <w:szCs w:val="24"/>
        </w:rPr>
      </w:pPr>
    </w:p>
    <w:p w14:paraId="4BD28C50" w14:textId="77777777" w:rsidR="007D4E69" w:rsidRDefault="005A2594">
      <w:pPr>
        <w:spacing w:line="360" w:lineRule="auto"/>
        <w:rPr>
          <w:rFonts w:ascii="Book Antiqua" w:hAnsi="Book Antiqua"/>
          <w:b/>
          <w:i/>
          <w:sz w:val="24"/>
          <w:szCs w:val="24"/>
        </w:rPr>
      </w:pPr>
      <w:r>
        <w:rPr>
          <w:rFonts w:ascii="Book Antiqua" w:hAnsi="Book Antiqua"/>
          <w:b/>
          <w:i/>
          <w:sz w:val="24"/>
          <w:szCs w:val="24"/>
        </w:rPr>
        <w:t>History of present illness</w:t>
      </w:r>
    </w:p>
    <w:p w14:paraId="675DAA35" w14:textId="77777777" w:rsidR="007D4E69" w:rsidRDefault="005A2594">
      <w:pPr>
        <w:spacing w:line="360" w:lineRule="auto"/>
        <w:rPr>
          <w:rFonts w:ascii="Book Antiqua" w:hAnsi="Book Antiqua"/>
          <w:sz w:val="24"/>
          <w:szCs w:val="24"/>
        </w:rPr>
      </w:pPr>
      <w:r>
        <w:rPr>
          <w:rFonts w:ascii="Book Antiqua" w:hAnsi="Book Antiqua"/>
          <w:sz w:val="24"/>
          <w:szCs w:val="24"/>
        </w:rPr>
        <w:t>There was no exposure to medications</w:t>
      </w:r>
      <w:bookmarkStart w:id="58" w:name="OLE_LINK19"/>
      <w:bookmarkStart w:id="59" w:name="OLE_LINK18"/>
      <w:bookmarkStart w:id="60" w:name="OLE_LINK20"/>
      <w:bookmarkStart w:id="61" w:name="OLE_LINK21"/>
      <w:r>
        <w:rPr>
          <w:rFonts w:ascii="Book Antiqua" w:hAnsi="Book Antiqua"/>
          <w:sz w:val="24"/>
          <w:szCs w:val="24"/>
        </w:rPr>
        <w:t xml:space="preserve"> or</w:t>
      </w:r>
      <w:bookmarkEnd w:id="58"/>
      <w:bookmarkEnd w:id="59"/>
      <w:r>
        <w:rPr>
          <w:rFonts w:ascii="Book Antiqua" w:hAnsi="Book Antiqua"/>
          <w:sz w:val="24"/>
          <w:szCs w:val="24"/>
        </w:rPr>
        <w:t xml:space="preserve"> alco</w:t>
      </w:r>
      <w:bookmarkEnd w:id="60"/>
      <w:bookmarkEnd w:id="61"/>
      <w:r>
        <w:rPr>
          <w:rFonts w:ascii="Book Antiqua" w:hAnsi="Book Antiqua"/>
          <w:sz w:val="24"/>
          <w:szCs w:val="24"/>
        </w:rPr>
        <w:t xml:space="preserve">hol during the pregnancy, and he was </w:t>
      </w:r>
      <w:bookmarkStart w:id="62" w:name="OLE_LINK207"/>
      <w:bookmarkStart w:id="63" w:name="OLE_LINK206"/>
      <w:r>
        <w:rPr>
          <w:rFonts w:ascii="Book Antiqua" w:hAnsi="Book Antiqua"/>
          <w:sz w:val="24"/>
          <w:szCs w:val="24"/>
        </w:rPr>
        <w:t>born spontaneously at 35 wk</w:t>
      </w:r>
      <w:bookmarkEnd w:id="62"/>
      <w:bookmarkEnd w:id="63"/>
      <w:r>
        <w:rPr>
          <w:rFonts w:ascii="Book Antiqua" w:hAnsi="Book Antiqua"/>
          <w:sz w:val="24"/>
          <w:szCs w:val="24"/>
        </w:rPr>
        <w:t xml:space="preserve"> and in an incubator for 3 wk. He presented with delayed developmental milestones: unassisted sitting at about 1 year, unassisted standing at about 20 mo, and unassisted walking at about 2 years. He could speak only one word at 2 years old. He was admitted to the local hospital at that time, and brain MRI showed abnormal long T2 signals in the white matter, but electroencepha</w:t>
      </w:r>
      <w:bookmarkStart w:id="64" w:name="OLE_LINK116"/>
      <w:r>
        <w:rPr>
          <w:rFonts w:ascii="Book Antiqua" w:hAnsi="Book Antiqua"/>
          <w:sz w:val="24"/>
          <w:szCs w:val="24"/>
        </w:rPr>
        <w:t>lography was nor</w:t>
      </w:r>
      <w:bookmarkEnd w:id="64"/>
      <w:r>
        <w:rPr>
          <w:rFonts w:ascii="Book Antiqua" w:hAnsi="Book Antiqua"/>
          <w:sz w:val="24"/>
          <w:szCs w:val="24"/>
        </w:rPr>
        <w:t xml:space="preserve">mal. He was diagnosed with cerebral palsy and brain dysplasia and did not receive any rehabilitation training before receiving special education from 6-years-old. He can eat and go to the toilet by himself </w:t>
      </w:r>
      <w:bookmarkStart w:id="65" w:name="OLE_LINK13"/>
      <w:bookmarkStart w:id="66" w:name="OLE_LINK12"/>
      <w:r>
        <w:rPr>
          <w:rFonts w:ascii="Book Antiqua" w:hAnsi="Book Antiqua"/>
          <w:sz w:val="24"/>
          <w:szCs w:val="24"/>
        </w:rPr>
        <w:t>but still</w:t>
      </w:r>
      <w:bookmarkEnd w:id="65"/>
      <w:bookmarkEnd w:id="66"/>
      <w:r>
        <w:rPr>
          <w:rFonts w:ascii="Book Antiqua" w:hAnsi="Book Antiqua"/>
          <w:sz w:val="24"/>
          <w:szCs w:val="24"/>
        </w:rPr>
        <w:t xml:space="preserve"> speaks monosyllabic words and can hardly communicate with others. He experiences less sleep and is excitable. </w:t>
      </w:r>
      <w:bookmarkStart w:id="67" w:name="OLE_LINK84"/>
      <w:bookmarkStart w:id="68" w:name="OLE_LINK77"/>
    </w:p>
    <w:p w14:paraId="0F57A898" w14:textId="77777777" w:rsidR="007D4E69" w:rsidRDefault="007D4E69">
      <w:pPr>
        <w:spacing w:line="360" w:lineRule="auto"/>
        <w:rPr>
          <w:rFonts w:ascii="Book Antiqua" w:hAnsi="Book Antiqua"/>
          <w:sz w:val="24"/>
          <w:szCs w:val="24"/>
        </w:rPr>
      </w:pPr>
    </w:p>
    <w:bookmarkEnd w:id="67"/>
    <w:bookmarkEnd w:id="68"/>
    <w:p w14:paraId="30EB93EE" w14:textId="77777777" w:rsidR="007D4E69" w:rsidRDefault="005A2594">
      <w:pPr>
        <w:spacing w:line="360" w:lineRule="auto"/>
        <w:rPr>
          <w:rFonts w:ascii="Book Antiqua" w:hAnsi="Book Antiqua"/>
          <w:b/>
          <w:i/>
          <w:sz w:val="24"/>
          <w:szCs w:val="24"/>
        </w:rPr>
      </w:pPr>
      <w:r>
        <w:rPr>
          <w:rFonts w:ascii="Book Antiqua" w:hAnsi="Book Antiqua"/>
          <w:b/>
          <w:i/>
          <w:sz w:val="24"/>
          <w:szCs w:val="24"/>
        </w:rPr>
        <w:t>History of past illness</w:t>
      </w:r>
    </w:p>
    <w:p w14:paraId="5896DA97" w14:textId="77777777" w:rsidR="007D4E69" w:rsidRDefault="005A2594">
      <w:pPr>
        <w:spacing w:line="360" w:lineRule="auto"/>
        <w:rPr>
          <w:rFonts w:ascii="Book Antiqua" w:hAnsi="Book Antiqua"/>
          <w:sz w:val="24"/>
          <w:szCs w:val="24"/>
        </w:rPr>
      </w:pPr>
      <w:r>
        <w:rPr>
          <w:rFonts w:ascii="Book Antiqua" w:hAnsi="Book Antiqua"/>
          <w:sz w:val="24"/>
          <w:szCs w:val="24"/>
        </w:rPr>
        <w:t>He showed no other health problems in the past.</w:t>
      </w:r>
    </w:p>
    <w:p w14:paraId="2E4CB77C" w14:textId="77777777" w:rsidR="007D4E69" w:rsidRDefault="007D4E69">
      <w:pPr>
        <w:spacing w:line="360" w:lineRule="auto"/>
        <w:rPr>
          <w:rFonts w:ascii="Book Antiqua" w:hAnsi="Book Antiqua"/>
          <w:sz w:val="24"/>
          <w:szCs w:val="24"/>
        </w:rPr>
      </w:pPr>
    </w:p>
    <w:p w14:paraId="5027E7B6" w14:textId="77777777" w:rsidR="007D4E69" w:rsidRDefault="005A2594">
      <w:pPr>
        <w:spacing w:line="360" w:lineRule="auto"/>
        <w:rPr>
          <w:rFonts w:ascii="Book Antiqua" w:hAnsi="Book Antiqua"/>
          <w:b/>
          <w:i/>
          <w:sz w:val="24"/>
          <w:szCs w:val="24"/>
        </w:rPr>
      </w:pPr>
      <w:r>
        <w:rPr>
          <w:rFonts w:ascii="Book Antiqua" w:hAnsi="Book Antiqua"/>
          <w:b/>
          <w:i/>
          <w:sz w:val="24"/>
          <w:szCs w:val="24"/>
        </w:rPr>
        <w:t>Personal and family history</w:t>
      </w:r>
    </w:p>
    <w:p w14:paraId="25F11EE4" w14:textId="77777777" w:rsidR="007D4E69" w:rsidRDefault="005A2594">
      <w:pPr>
        <w:spacing w:line="360" w:lineRule="auto"/>
        <w:rPr>
          <w:rFonts w:ascii="Book Antiqua" w:hAnsi="Book Antiqua"/>
          <w:sz w:val="24"/>
          <w:szCs w:val="24"/>
        </w:rPr>
      </w:pPr>
      <w:bookmarkStart w:id="69" w:name="OLE_LINK345"/>
      <w:r>
        <w:rPr>
          <w:rFonts w:ascii="Book Antiqua" w:hAnsi="Book Antiqua"/>
          <w:sz w:val="24"/>
          <w:szCs w:val="24"/>
        </w:rPr>
        <w:t xml:space="preserve">He is the only child of </w:t>
      </w:r>
      <w:bookmarkEnd w:id="69"/>
      <w:r>
        <w:rPr>
          <w:rFonts w:ascii="Book Antiqua" w:hAnsi="Book Antiqua"/>
          <w:sz w:val="24"/>
          <w:szCs w:val="24"/>
        </w:rPr>
        <w:t>nonconsanguineous parents without marked family histories.</w:t>
      </w:r>
    </w:p>
    <w:p w14:paraId="2E3AC847" w14:textId="77777777" w:rsidR="007D4E69" w:rsidRDefault="007D4E69">
      <w:pPr>
        <w:spacing w:line="360" w:lineRule="auto"/>
        <w:rPr>
          <w:rFonts w:ascii="Book Antiqua" w:hAnsi="Book Antiqua"/>
          <w:b/>
          <w:i/>
          <w:sz w:val="24"/>
          <w:szCs w:val="24"/>
        </w:rPr>
      </w:pPr>
    </w:p>
    <w:p w14:paraId="20220F28" w14:textId="77777777" w:rsidR="007D4E69" w:rsidRDefault="005A2594">
      <w:pPr>
        <w:spacing w:line="360" w:lineRule="auto"/>
        <w:rPr>
          <w:rFonts w:ascii="Book Antiqua" w:hAnsi="Book Antiqua"/>
          <w:sz w:val="24"/>
          <w:szCs w:val="24"/>
        </w:rPr>
      </w:pPr>
      <w:r>
        <w:rPr>
          <w:rFonts w:ascii="Book Antiqua" w:hAnsi="Book Antiqua"/>
          <w:b/>
          <w:bCs/>
          <w:i/>
          <w:iCs/>
          <w:kern w:val="0"/>
          <w:sz w:val="24"/>
          <w:szCs w:val="24"/>
        </w:rPr>
        <w:lastRenderedPageBreak/>
        <w:t>Physical examination</w:t>
      </w:r>
    </w:p>
    <w:p w14:paraId="55AC3052" w14:textId="77777777" w:rsidR="007D4E69" w:rsidRDefault="005A2594">
      <w:pPr>
        <w:spacing w:line="360" w:lineRule="auto"/>
        <w:rPr>
          <w:rFonts w:ascii="Book Antiqua" w:hAnsi="Book Antiqua"/>
          <w:sz w:val="24"/>
          <w:szCs w:val="24"/>
        </w:rPr>
      </w:pPr>
      <w:bookmarkStart w:id="70" w:name="OLE_LINK60"/>
      <w:bookmarkStart w:id="71" w:name="OLE_LINK59"/>
      <w:r>
        <w:rPr>
          <w:rFonts w:ascii="Book Antiqua" w:hAnsi="Book Antiqua"/>
          <w:sz w:val="24"/>
          <w:szCs w:val="24"/>
        </w:rPr>
        <w:t>Upon physical examination, the patient weighed 28.3 kg (&lt; 3</w:t>
      </w:r>
      <w:r>
        <w:rPr>
          <w:rFonts w:ascii="Book Antiqua" w:hAnsi="Book Antiqua"/>
          <w:sz w:val="24"/>
          <w:szCs w:val="24"/>
          <w:vertAlign w:val="superscript"/>
        </w:rPr>
        <w:t>rd</w:t>
      </w:r>
      <w:r>
        <w:rPr>
          <w:rFonts w:ascii="Book Antiqua" w:hAnsi="Book Antiqua"/>
          <w:sz w:val="24"/>
          <w:szCs w:val="24"/>
        </w:rPr>
        <w:t xml:space="preserve"> percentile), his height was 140.5 cm (&lt; 3</w:t>
      </w:r>
      <w:r>
        <w:rPr>
          <w:rFonts w:ascii="Book Antiqua" w:hAnsi="Book Antiqua"/>
          <w:sz w:val="24"/>
          <w:szCs w:val="24"/>
          <w:vertAlign w:val="superscript"/>
        </w:rPr>
        <w:t>rd</w:t>
      </w:r>
      <w:r>
        <w:rPr>
          <w:rFonts w:ascii="Book Antiqua" w:hAnsi="Book Antiqua"/>
          <w:sz w:val="24"/>
          <w:szCs w:val="24"/>
        </w:rPr>
        <w:t xml:space="preserve"> percentile), and the occipitofrontal circumference was 50 cm (normal range). </w:t>
      </w:r>
      <w:bookmarkStart w:id="72" w:name="OLE_LINK36"/>
      <w:bookmarkStart w:id="73" w:name="OLE_LINK37"/>
      <w:r>
        <w:rPr>
          <w:rFonts w:ascii="Book Antiqua" w:hAnsi="Book Antiqua"/>
          <w:sz w:val="24"/>
          <w:szCs w:val="24"/>
        </w:rPr>
        <w:t xml:space="preserve">He was conscious and </w:t>
      </w:r>
      <w:bookmarkStart w:id="74" w:name="OLE_LINK40"/>
      <w:r>
        <w:rPr>
          <w:rFonts w:ascii="Book Antiqua" w:hAnsi="Book Antiqua"/>
          <w:sz w:val="24"/>
          <w:szCs w:val="24"/>
        </w:rPr>
        <w:t xml:space="preserve">had a normal </w:t>
      </w:r>
      <w:bookmarkEnd w:id="72"/>
      <w:bookmarkEnd w:id="73"/>
      <w:r>
        <w:rPr>
          <w:rFonts w:ascii="Book Antiqua" w:hAnsi="Book Antiqua"/>
          <w:sz w:val="24"/>
          <w:szCs w:val="24"/>
        </w:rPr>
        <w:t>gait. He also presented irregular dentition but no special facial features. Patellar reflex was normal, and Babinski signs were negative. The hand-alternating movement test, heel-knee-tibia test, and intelligence quotient value could not be completed because of non-cooperation</w:t>
      </w:r>
      <w:bookmarkStart w:id="75" w:name="OLE_LINK27"/>
      <w:bookmarkStart w:id="76" w:name="OLE_LINK26"/>
      <w:r>
        <w:rPr>
          <w:rFonts w:ascii="Book Antiqua" w:hAnsi="Book Antiqua"/>
          <w:sz w:val="24"/>
          <w:szCs w:val="24"/>
        </w:rPr>
        <w:t xml:space="preserve"> with the instructio</w:t>
      </w:r>
      <w:bookmarkStart w:id="77" w:name="OLE_LINK25"/>
      <w:bookmarkStart w:id="78" w:name="OLE_LINK24"/>
      <w:r>
        <w:rPr>
          <w:rFonts w:ascii="Book Antiqua" w:hAnsi="Book Antiqua"/>
          <w:sz w:val="24"/>
          <w:szCs w:val="24"/>
        </w:rPr>
        <w:t>ns.</w:t>
      </w:r>
      <w:bookmarkEnd w:id="70"/>
      <w:bookmarkEnd w:id="71"/>
      <w:bookmarkEnd w:id="75"/>
      <w:bookmarkEnd w:id="76"/>
      <w:bookmarkEnd w:id="77"/>
      <w:bookmarkEnd w:id="78"/>
      <w:r>
        <w:rPr>
          <w:rFonts w:ascii="Book Antiqua" w:hAnsi="Book Antiqua"/>
          <w:sz w:val="24"/>
          <w:szCs w:val="24"/>
        </w:rPr>
        <w:t xml:space="preserve"> </w:t>
      </w:r>
    </w:p>
    <w:p w14:paraId="49C69BDF" w14:textId="77777777" w:rsidR="007D4E69" w:rsidRDefault="007D4E69">
      <w:pPr>
        <w:spacing w:line="360" w:lineRule="auto"/>
        <w:rPr>
          <w:rFonts w:ascii="Book Antiqua" w:hAnsi="Book Antiqua"/>
          <w:sz w:val="24"/>
          <w:szCs w:val="24"/>
        </w:rPr>
      </w:pPr>
    </w:p>
    <w:p w14:paraId="63568AEF" w14:textId="77777777" w:rsidR="007D4E69" w:rsidRDefault="005A2594">
      <w:pPr>
        <w:spacing w:line="360" w:lineRule="auto"/>
        <w:rPr>
          <w:rFonts w:ascii="Book Antiqua" w:hAnsi="Book Antiqua"/>
          <w:sz w:val="24"/>
          <w:szCs w:val="24"/>
        </w:rPr>
      </w:pPr>
      <w:r>
        <w:rPr>
          <w:rFonts w:ascii="Book Antiqua" w:hAnsi="Book Antiqua"/>
          <w:b/>
          <w:bCs/>
          <w:i/>
          <w:iCs/>
          <w:kern w:val="0"/>
          <w:sz w:val="24"/>
          <w:szCs w:val="24"/>
        </w:rPr>
        <w:t>Laboratory examinations</w:t>
      </w:r>
    </w:p>
    <w:p w14:paraId="0A1CD343" w14:textId="77777777" w:rsidR="007D4E69" w:rsidRDefault="005A2594">
      <w:pPr>
        <w:spacing w:line="360" w:lineRule="auto"/>
        <w:rPr>
          <w:rFonts w:ascii="Book Antiqua" w:hAnsi="Book Antiqua"/>
          <w:sz w:val="24"/>
          <w:szCs w:val="24"/>
        </w:rPr>
      </w:pPr>
      <w:r>
        <w:rPr>
          <w:rFonts w:ascii="Book Antiqua" w:hAnsi="Book Antiqua"/>
          <w:sz w:val="24"/>
          <w:szCs w:val="24"/>
        </w:rPr>
        <w:t>Blood tests</w:t>
      </w:r>
      <w:bookmarkStart w:id="79" w:name="OLE_LINK28"/>
      <w:bookmarkStart w:id="80" w:name="OLE_LINK29"/>
      <w:r>
        <w:rPr>
          <w:rFonts w:ascii="Book Antiqua" w:hAnsi="Book Antiqua"/>
          <w:sz w:val="24"/>
          <w:szCs w:val="24"/>
        </w:rPr>
        <w:t xml:space="preserve"> were normal</w:t>
      </w:r>
      <w:bookmarkEnd w:id="79"/>
      <w:bookmarkEnd w:id="80"/>
      <w:r>
        <w:rPr>
          <w:rFonts w:ascii="Book Antiqua" w:hAnsi="Book Antiqua"/>
          <w:sz w:val="24"/>
          <w:szCs w:val="24"/>
        </w:rPr>
        <w:t>, including ceruloplasmin, lactic acid, ammonia, and liver and kidn</w:t>
      </w:r>
      <w:bookmarkStart w:id="81" w:name="OLE_LINK16"/>
      <w:bookmarkStart w:id="82" w:name="OLE_LINK30"/>
      <w:r>
        <w:rPr>
          <w:rFonts w:ascii="Book Antiqua" w:hAnsi="Book Antiqua"/>
          <w:sz w:val="24"/>
          <w:szCs w:val="24"/>
        </w:rPr>
        <w:t>ey function</w:t>
      </w:r>
      <w:bookmarkEnd w:id="81"/>
      <w:bookmarkEnd w:id="82"/>
      <w:r>
        <w:rPr>
          <w:rFonts w:ascii="Book Antiqua" w:hAnsi="Book Antiqua"/>
          <w:sz w:val="24"/>
          <w:szCs w:val="24"/>
        </w:rPr>
        <w:t xml:space="preserve">s. </w:t>
      </w:r>
      <w:bookmarkStart w:id="83" w:name="OLE_LINK33"/>
      <w:bookmarkStart w:id="84" w:name="OLE_LINK32"/>
      <w:r>
        <w:rPr>
          <w:rFonts w:ascii="Book Antiqua" w:hAnsi="Book Antiqua"/>
          <w:sz w:val="24"/>
          <w:szCs w:val="24"/>
        </w:rPr>
        <w:t>Screening for genet</w:t>
      </w:r>
      <w:bookmarkEnd w:id="83"/>
      <w:bookmarkEnd w:id="84"/>
      <w:r>
        <w:rPr>
          <w:rFonts w:ascii="Book Antiqua" w:hAnsi="Book Antiqua"/>
          <w:sz w:val="24"/>
          <w:szCs w:val="24"/>
        </w:rPr>
        <w:t xml:space="preserve">ic and metabolic diseases in the blood and urine was not suggestive of disease. </w:t>
      </w:r>
      <w:bookmarkEnd w:id="74"/>
    </w:p>
    <w:p w14:paraId="0EE15C0D" w14:textId="77777777" w:rsidR="007D4E69" w:rsidRDefault="005A2594">
      <w:pPr>
        <w:spacing w:line="360" w:lineRule="auto"/>
        <w:ind w:firstLineChars="100" w:firstLine="240"/>
        <w:rPr>
          <w:rFonts w:ascii="Book Antiqua" w:hAnsi="Book Antiqua"/>
          <w:sz w:val="24"/>
          <w:szCs w:val="24"/>
        </w:rPr>
      </w:pPr>
      <w:bookmarkStart w:id="85" w:name="OLE_LINK83"/>
      <w:bookmarkStart w:id="86" w:name="OLE_LINK86"/>
      <w:bookmarkStart w:id="87" w:name="OLE_LINK85"/>
      <w:bookmarkEnd w:id="57"/>
      <w:r>
        <w:rPr>
          <w:rFonts w:ascii="Book Antiqua" w:hAnsi="Book Antiqua"/>
          <w:sz w:val="24"/>
          <w:szCs w:val="24"/>
        </w:rPr>
        <w:t>The next generation sequencing-based trio whole exome sequencing plus copy number variation seq</w:t>
      </w:r>
      <w:bookmarkEnd w:id="85"/>
      <w:bookmarkEnd w:id="86"/>
      <w:bookmarkEnd w:id="87"/>
      <w:r>
        <w:rPr>
          <w:rFonts w:ascii="Book Antiqua" w:hAnsi="Book Antiqua"/>
          <w:sz w:val="24"/>
          <w:szCs w:val="24"/>
        </w:rPr>
        <w:t>uenc</w:t>
      </w:r>
      <w:bookmarkStart w:id="88" w:name="OLE_LINK134"/>
      <w:bookmarkStart w:id="89" w:name="OLE_LINK135"/>
      <w:r>
        <w:rPr>
          <w:rFonts w:ascii="Book Antiqua" w:hAnsi="Book Antiqua"/>
          <w:sz w:val="24"/>
          <w:szCs w:val="24"/>
        </w:rPr>
        <w:t xml:space="preserve">ing </w:t>
      </w:r>
      <w:bookmarkEnd w:id="88"/>
      <w:bookmarkEnd w:id="89"/>
      <w:r>
        <w:rPr>
          <w:rFonts w:ascii="Book Antiqua" w:hAnsi="Book Antiqua"/>
          <w:sz w:val="24"/>
          <w:szCs w:val="24"/>
        </w:rPr>
        <w:t xml:space="preserve">was performed for </w:t>
      </w:r>
      <w:bookmarkStart w:id="90" w:name="OLE_LINK292"/>
      <w:bookmarkStart w:id="91" w:name="OLE_LINK291"/>
      <w:r>
        <w:rPr>
          <w:rFonts w:ascii="Book Antiqua" w:hAnsi="Book Antiqua"/>
          <w:sz w:val="24"/>
          <w:szCs w:val="24"/>
        </w:rPr>
        <w:t xml:space="preserve">genetic analysis (the process was performed by Beijing </w:t>
      </w:r>
      <w:bookmarkStart w:id="92" w:name="OLE_LINK1"/>
      <w:r>
        <w:rPr>
          <w:rFonts w:ascii="Book Antiqua" w:hAnsi="Book Antiqua"/>
          <w:sz w:val="24"/>
          <w:szCs w:val="24"/>
        </w:rPr>
        <w:t>Chigene Translational Medicine Research</w:t>
      </w:r>
      <w:bookmarkEnd w:id="92"/>
      <w:r>
        <w:rPr>
          <w:rFonts w:ascii="Book Antiqua" w:hAnsi="Book Antiqua"/>
          <w:sz w:val="24"/>
          <w:szCs w:val="24"/>
        </w:rPr>
        <w:t xml:space="preserve"> Center</w:t>
      </w:r>
      <w:bookmarkEnd w:id="90"/>
      <w:bookmarkEnd w:id="91"/>
      <w:r>
        <w:rPr>
          <w:rFonts w:ascii="Book Antiqua" w:hAnsi="Book Antiqua"/>
          <w:sz w:val="24"/>
          <w:szCs w:val="24"/>
        </w:rPr>
        <w:t xml:space="preserve">). The EDTA-treated peripheral blood were collected with informed consent of the patient’s guardians. The DNA was extracted using the Blood Genome Column Medium Extraction Kit (Kangweishiji, China) according to the manufacture instructions and was subjected to quality control using Qubit 2.0 fluorimeter and electrophoresis with 0.8% agarose gel for further protocol. The whole exome library was constructed using xGen Exome Research Panel v1.0 (IDT, Iowa, United States) that consists of 429826 individually synthesized and quality-controlled probes, which targets 39 Mb protein-coding region (19396 genes) of the human genome and covers 51 Mb of end-to-end tiled probe space. High-throughput sequencing was performed by Illumina NovaSeq 6000 series sequencer (PE150). A </w:t>
      </w:r>
      <w:r>
        <w:rPr>
          <w:rFonts w:ascii="Book Antiqua" w:hAnsi="Book Antiqua"/>
          <w:i/>
          <w:sz w:val="24"/>
          <w:szCs w:val="24"/>
        </w:rPr>
        <w:t>de novo</w:t>
      </w:r>
      <w:r>
        <w:rPr>
          <w:rFonts w:ascii="Book Antiqua" w:hAnsi="Book Antiqua"/>
          <w:sz w:val="24"/>
          <w:szCs w:val="24"/>
        </w:rPr>
        <w:t xml:space="preserve"> </w:t>
      </w:r>
      <w:bookmarkStart w:id="93" w:name="OLE_LINK201"/>
      <w:bookmarkStart w:id="94" w:name="OLE_LINK200"/>
      <w:r>
        <w:rPr>
          <w:rFonts w:ascii="Book Antiqua" w:hAnsi="Book Antiqua"/>
          <w:sz w:val="24"/>
          <w:szCs w:val="24"/>
        </w:rPr>
        <w:t xml:space="preserve">heterozygous nonsense point mutation in exon 6 in </w:t>
      </w:r>
      <w:r>
        <w:rPr>
          <w:rFonts w:ascii="Book Antiqua" w:hAnsi="Book Antiqua"/>
          <w:i/>
          <w:iCs/>
          <w:sz w:val="24"/>
          <w:szCs w:val="24"/>
        </w:rPr>
        <w:t>SATB2,</w:t>
      </w:r>
      <w:r>
        <w:rPr>
          <w:rFonts w:ascii="Book Antiqua" w:hAnsi="Book Antiqua"/>
          <w:sz w:val="24"/>
          <w:szCs w:val="24"/>
        </w:rPr>
        <w:t xml:space="preserve"> c.687C&gt;A</w:t>
      </w:r>
      <w:bookmarkStart w:id="95" w:name="OLE_LINK210"/>
      <w:r>
        <w:rPr>
          <w:rFonts w:ascii="Book Antiqua" w:hAnsi="Book Antiqua"/>
          <w:sz w:val="24"/>
          <w:szCs w:val="24"/>
        </w:rPr>
        <w:t xml:space="preserve"> (p.Y229X)</w:t>
      </w:r>
      <w:bookmarkEnd w:id="95"/>
      <w:r>
        <w:rPr>
          <w:rFonts w:ascii="Book Antiqua" w:hAnsi="Book Antiqua"/>
          <w:sz w:val="24"/>
          <w:szCs w:val="24"/>
        </w:rPr>
        <w:t xml:space="preserve"> </w:t>
      </w:r>
      <w:bookmarkEnd w:id="93"/>
      <w:bookmarkEnd w:id="94"/>
      <w:r>
        <w:rPr>
          <w:rFonts w:ascii="Book Antiqua" w:hAnsi="Book Antiqua"/>
          <w:sz w:val="24"/>
          <w:szCs w:val="24"/>
        </w:rPr>
        <w:t>(NCBI reference sequence: NM_001172509.2) was detected in the proband. Direct sequencing validated the detected missense mutations.</w:t>
      </w:r>
      <w:r>
        <w:rPr>
          <w:rFonts w:ascii="Book Antiqua" w:eastAsia="宋体" w:hAnsi="Book Antiqua"/>
          <w:sz w:val="24"/>
          <w:szCs w:val="24"/>
        </w:rPr>
        <w:t xml:space="preserve"> PCR was performed to amplify the exon with the </w:t>
      </w:r>
      <w:r>
        <w:rPr>
          <w:rFonts w:ascii="Book Antiqua" w:eastAsia="宋体" w:hAnsi="Book Antiqua"/>
          <w:sz w:val="24"/>
          <w:szCs w:val="24"/>
        </w:rPr>
        <w:lastRenderedPageBreak/>
        <w:t>detected mutation and its neighboring introns using the forward primer:</w:t>
      </w:r>
      <w:bookmarkStart w:id="96" w:name="OLE_LINK162"/>
      <w:r>
        <w:rPr>
          <w:rFonts w:ascii="Book Antiqua" w:eastAsia="宋体" w:hAnsi="Book Antiqua"/>
          <w:sz w:val="24"/>
          <w:szCs w:val="24"/>
        </w:rPr>
        <w:t xml:space="preserve"> 5</w:t>
      </w:r>
      <w:r>
        <w:rPr>
          <w:rFonts w:ascii="Book Antiqua" w:eastAsia="宋体" w:hAnsi="Book Antiqua" w:cs="宋体"/>
          <w:sz w:val="24"/>
          <w:szCs w:val="24"/>
          <w:vertAlign w:val="superscript"/>
        </w:rPr>
        <w:t>’</w:t>
      </w:r>
      <w:r>
        <w:rPr>
          <w:rFonts w:ascii="Book Antiqua" w:eastAsia="宋体" w:hAnsi="Book Antiqua"/>
          <w:sz w:val="24"/>
          <w:szCs w:val="24"/>
        </w:rPr>
        <w:t>-</w:t>
      </w:r>
      <w:bookmarkEnd w:id="96"/>
      <w:r>
        <w:rPr>
          <w:rFonts w:ascii="Book Antiqua" w:eastAsia="宋体" w:hAnsi="Book Antiqua"/>
          <w:sz w:val="24"/>
          <w:szCs w:val="24"/>
        </w:rPr>
        <w:t>TAGTTTTAAGGGAGCCAACTAGGA</w:t>
      </w:r>
      <w:bookmarkStart w:id="97" w:name="OLE_LINK198"/>
      <w:bookmarkStart w:id="98" w:name="OLE_LINK199"/>
      <w:r>
        <w:rPr>
          <w:rFonts w:ascii="Book Antiqua" w:eastAsia="宋体" w:hAnsi="Book Antiqua"/>
          <w:sz w:val="24"/>
          <w:szCs w:val="24"/>
        </w:rPr>
        <w:t>-3</w:t>
      </w:r>
      <w:bookmarkEnd w:id="97"/>
      <w:bookmarkEnd w:id="98"/>
      <w:r>
        <w:rPr>
          <w:rFonts w:ascii="Book Antiqua" w:eastAsia="宋体" w:hAnsi="Book Antiqua" w:cs="宋体"/>
          <w:sz w:val="24"/>
          <w:szCs w:val="24"/>
          <w:vertAlign w:val="superscript"/>
        </w:rPr>
        <w:t>’</w:t>
      </w:r>
      <w:r>
        <w:rPr>
          <w:rFonts w:ascii="Book Antiqua" w:eastAsia="宋体" w:hAnsi="Book Antiqua"/>
          <w:sz w:val="24"/>
          <w:szCs w:val="24"/>
        </w:rPr>
        <w:t xml:space="preserve"> and the reverse primer: 5</w:t>
      </w:r>
      <w:r>
        <w:rPr>
          <w:rFonts w:ascii="Book Antiqua" w:eastAsia="宋体" w:hAnsi="Book Antiqua" w:cs="宋体"/>
          <w:sz w:val="24"/>
          <w:szCs w:val="24"/>
          <w:vertAlign w:val="superscript"/>
        </w:rPr>
        <w:t>’</w:t>
      </w:r>
      <w:r>
        <w:rPr>
          <w:rFonts w:ascii="Book Antiqua" w:eastAsia="宋体" w:hAnsi="Book Antiqua"/>
          <w:sz w:val="24"/>
          <w:szCs w:val="24"/>
        </w:rPr>
        <w:t>-TCAGTTTACAGGAGAGTGACTGTTT-3</w:t>
      </w:r>
      <w:r>
        <w:rPr>
          <w:rFonts w:ascii="Book Antiqua" w:eastAsia="宋体" w:hAnsi="Book Antiqua" w:cs="宋体"/>
          <w:sz w:val="24"/>
          <w:szCs w:val="24"/>
          <w:vertAlign w:val="superscript"/>
        </w:rPr>
        <w:t>’</w:t>
      </w:r>
      <w:r>
        <w:rPr>
          <w:rFonts w:ascii="Book Antiqua" w:eastAsia="宋体" w:hAnsi="Book Antiqua"/>
          <w:sz w:val="24"/>
          <w:szCs w:val="24"/>
        </w:rPr>
        <w:t>. PCR products were purified using micro concentrating centrifugal filter columns (Millipor</w:t>
      </w:r>
      <w:bookmarkStart w:id="99" w:name="OLE_LINK102"/>
      <w:bookmarkStart w:id="100" w:name="OLE_LINK101"/>
      <w:r>
        <w:rPr>
          <w:rFonts w:ascii="Book Antiqua" w:eastAsia="宋体" w:hAnsi="Book Antiqua"/>
          <w:sz w:val="24"/>
          <w:szCs w:val="24"/>
        </w:rPr>
        <w:t xml:space="preserve">e, Bedford, MA, </w:t>
      </w:r>
      <w:r>
        <w:rPr>
          <w:rFonts w:ascii="Book Antiqua" w:hAnsi="Book Antiqua"/>
          <w:sz w:val="24"/>
          <w:szCs w:val="24"/>
        </w:rPr>
        <w:t>United States</w:t>
      </w:r>
      <w:r>
        <w:rPr>
          <w:rFonts w:ascii="Book Antiqua" w:eastAsia="宋体" w:hAnsi="Book Antiqua"/>
          <w:sz w:val="24"/>
          <w:szCs w:val="24"/>
        </w:rPr>
        <w:t xml:space="preserve">), sequenced by ABI 3730XL (Applied Biosystems, Forster City, CA, </w:t>
      </w:r>
      <w:r>
        <w:rPr>
          <w:rFonts w:ascii="Book Antiqua" w:hAnsi="Book Antiqua"/>
          <w:sz w:val="24"/>
          <w:szCs w:val="24"/>
        </w:rPr>
        <w:t>United States</w:t>
      </w:r>
      <w:r>
        <w:rPr>
          <w:rFonts w:ascii="Book Antiqua" w:eastAsia="宋体" w:hAnsi="Book Antiqua"/>
          <w:sz w:val="24"/>
          <w:szCs w:val="24"/>
        </w:rPr>
        <w:t>), and analyzed by DNASTAR software.</w:t>
      </w:r>
      <w:r>
        <w:rPr>
          <w:rFonts w:ascii="Book Antiqua" w:hAnsi="Book Antiqua"/>
          <w:sz w:val="24"/>
          <w:szCs w:val="24"/>
        </w:rPr>
        <w:t xml:space="preserve"> </w:t>
      </w:r>
      <w:bookmarkEnd w:id="99"/>
      <w:bookmarkEnd w:id="100"/>
    </w:p>
    <w:p w14:paraId="769526BA"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The proband had the mutation that neither of his parents had (Figure 1B). The detected heterozygous mutation </w:t>
      </w:r>
      <w:bookmarkStart w:id="101" w:name="OLE_LINK218"/>
      <w:bookmarkStart w:id="102" w:name="OLE_LINK219"/>
      <w:r>
        <w:rPr>
          <w:rFonts w:ascii="Book Antiqua" w:hAnsi="Book Antiqua"/>
          <w:sz w:val="24"/>
          <w:szCs w:val="24"/>
        </w:rPr>
        <w:t>c.687C&gt;A (p.Y229X)</w:t>
      </w:r>
      <w:bookmarkEnd w:id="101"/>
      <w:bookmarkEnd w:id="102"/>
      <w:r>
        <w:rPr>
          <w:rFonts w:ascii="Book Antiqua" w:hAnsi="Book Antiqua"/>
          <w:sz w:val="24"/>
          <w:szCs w:val="24"/>
        </w:rPr>
        <w:t xml:space="preserve"> is near the end of coding region for the CUTL domain and leads to a stop codon. We think the mutation c.687C&gt;A (p.Y229X) leads to </w:t>
      </w:r>
      <w:bookmarkStart w:id="103" w:name="OLE_LINK223"/>
      <w:bookmarkStart w:id="104" w:name="OLE_LINK222"/>
      <w:r>
        <w:rPr>
          <w:rFonts w:ascii="Book Antiqua" w:hAnsi="Book Antiqua"/>
          <w:sz w:val="24"/>
          <w:szCs w:val="24"/>
        </w:rPr>
        <w:t>a</w:t>
      </w:r>
      <w:bookmarkEnd w:id="103"/>
      <w:bookmarkEnd w:id="104"/>
      <w:r>
        <w:rPr>
          <w:rFonts w:ascii="Book Antiqua" w:hAnsi="Book Antiqua"/>
          <w:sz w:val="24"/>
          <w:szCs w:val="24"/>
        </w:rPr>
        <w:t>n abnormal transcription and then a truncated protein, like a nearby mutation c.715C&gt;T</w:t>
      </w:r>
      <w:bookmarkStart w:id="105" w:name="OLE_LINK211"/>
      <w:bookmarkStart w:id="106" w:name="OLE_LINK212"/>
      <w:r>
        <w:rPr>
          <w:rFonts w:ascii="Book Antiqua" w:hAnsi="Book Antiqua"/>
          <w:sz w:val="24"/>
          <w:szCs w:val="24"/>
        </w:rPr>
        <w:t xml:space="preserve"> (p.R239X) </w:t>
      </w:r>
      <w:bookmarkEnd w:id="105"/>
      <w:bookmarkEnd w:id="106"/>
      <w:r>
        <w:rPr>
          <w:rFonts w:ascii="Book Antiqua" w:hAnsi="Book Antiqua"/>
          <w:sz w:val="24"/>
          <w:szCs w:val="24"/>
        </w:rPr>
        <w:t xml:space="preserve">that had been reported to lead </w:t>
      </w:r>
      <w:bookmarkStart w:id="107" w:name="OLE_LINK220"/>
      <w:bookmarkStart w:id="108" w:name="OLE_LINK221"/>
      <w:r>
        <w:rPr>
          <w:rFonts w:ascii="Book Antiqua" w:hAnsi="Book Antiqua"/>
          <w:sz w:val="24"/>
          <w:szCs w:val="24"/>
        </w:rPr>
        <w:t>to an abnormal transcription</w:t>
      </w:r>
      <w:bookmarkEnd w:id="107"/>
      <w:bookmarkEnd w:id="108"/>
      <w:r>
        <w:rPr>
          <w:rFonts w:ascii="Book Antiqua" w:hAnsi="Book Antiqua"/>
          <w:sz w:val="24"/>
          <w:szCs w:val="24"/>
        </w:rPr>
        <w:t xml:space="preserve"> and a truncated protein</w:t>
      </w:r>
      <w:r>
        <w:rPr>
          <w:rFonts w:ascii="Book Antiqua" w:hAnsi="Book Antiqua"/>
          <w:sz w:val="24"/>
          <w:szCs w:val="24"/>
          <w:vertAlign w:val="superscript"/>
        </w:rPr>
        <w:t>[3,15,16]</w:t>
      </w:r>
      <w:r>
        <w:rPr>
          <w:rFonts w:ascii="Book Antiqua" w:hAnsi="Book Antiqua"/>
          <w:sz w:val="24"/>
          <w:szCs w:val="24"/>
        </w:rPr>
        <w:t>. We did not investigate the mutation in control groups, but the minor allele frequency for the mutation w</w:t>
      </w:r>
      <w:bookmarkStart w:id="109" w:name="OLE_LINK14"/>
      <w:bookmarkStart w:id="110" w:name="OLE_LINK11"/>
      <w:r>
        <w:rPr>
          <w:rFonts w:ascii="Book Antiqua" w:hAnsi="Book Antiqua"/>
          <w:sz w:val="24"/>
          <w:szCs w:val="24"/>
        </w:rPr>
        <w:t xml:space="preserve">as not found in </w:t>
      </w:r>
      <w:bookmarkEnd w:id="109"/>
      <w:bookmarkEnd w:id="110"/>
      <w:r>
        <w:rPr>
          <w:rFonts w:ascii="Book Antiqua" w:hAnsi="Book Antiqua"/>
          <w:sz w:val="24"/>
          <w:szCs w:val="24"/>
        </w:rPr>
        <w:t>the d</w:t>
      </w:r>
      <w:bookmarkStart w:id="111" w:name="OLE_LINK8"/>
      <w:r>
        <w:rPr>
          <w:rFonts w:ascii="Book Antiqua" w:hAnsi="Book Antiqua"/>
          <w:sz w:val="24"/>
          <w:szCs w:val="24"/>
        </w:rPr>
        <w:t>bSNP</w:t>
      </w:r>
      <w:bookmarkEnd w:id="111"/>
      <w:r>
        <w:rPr>
          <w:rFonts w:ascii="Book Antiqua" w:hAnsi="Book Antiqua"/>
          <w:sz w:val="24"/>
          <w:szCs w:val="24"/>
        </w:rPr>
        <w:t xml:space="preserve"> database (https://www.ncbi.nlm.nih.gov/snp/), 1000 Genomes Project</w:t>
      </w:r>
      <w:r>
        <w:rPr>
          <w:rFonts w:ascii="Book Antiqua" w:hAnsi="Book Antiqua"/>
          <w:sz w:val="24"/>
          <w:szCs w:val="24"/>
          <w:vertAlign w:val="superscript"/>
        </w:rPr>
        <w:t>[17]</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Virtual Chinese Genome Database</w:t>
      </w:r>
      <w:r>
        <w:rPr>
          <w:rFonts w:ascii="Book Antiqua" w:hAnsi="Book Antiqua"/>
          <w:sz w:val="24"/>
          <w:szCs w:val="24"/>
          <w:vertAlign w:val="superscript"/>
        </w:rPr>
        <w:t>[18]</w:t>
      </w:r>
      <w:r>
        <w:rPr>
          <w:rFonts w:ascii="Book Antiqua" w:hAnsi="Book Antiqua"/>
          <w:sz w:val="24"/>
          <w:szCs w:val="24"/>
        </w:rPr>
        <w:t>, or Genome Variation Map</w:t>
      </w:r>
      <w:r>
        <w:rPr>
          <w:rFonts w:ascii="Book Antiqua" w:hAnsi="Book Antiqua"/>
          <w:sz w:val="24"/>
          <w:szCs w:val="24"/>
          <w:vertAlign w:val="superscript"/>
        </w:rPr>
        <w:t>[19]</w:t>
      </w:r>
      <w:r>
        <w:rPr>
          <w:rFonts w:ascii="Book Antiqua" w:hAnsi="Book Antiqua"/>
          <w:sz w:val="24"/>
          <w:szCs w:val="24"/>
        </w:rPr>
        <w:t>. The effect of the mutation was evaluated according to the guidelines of the Ameri</w:t>
      </w:r>
      <w:bookmarkStart w:id="112" w:name="OLE_LINK224"/>
      <w:bookmarkStart w:id="113" w:name="OLE_LINK225"/>
      <w:r>
        <w:rPr>
          <w:rFonts w:ascii="Book Antiqua" w:hAnsi="Book Antiqua"/>
          <w:sz w:val="24"/>
          <w:szCs w:val="24"/>
        </w:rPr>
        <w:t>can College of Medical Genetics and Genomics</w:t>
      </w:r>
      <w:r>
        <w:rPr>
          <w:rFonts w:ascii="Book Antiqua" w:hAnsi="Book Antiqua"/>
          <w:sz w:val="24"/>
          <w:szCs w:val="24"/>
          <w:vertAlign w:val="superscript"/>
        </w:rPr>
        <w:t>[20]</w:t>
      </w:r>
      <w:r>
        <w:rPr>
          <w:rFonts w:ascii="Book Antiqua" w:hAnsi="Book Antiqua"/>
          <w:sz w:val="24"/>
          <w:szCs w:val="24"/>
        </w:rPr>
        <w:t>, and the mutation was considered patho</w:t>
      </w:r>
      <w:bookmarkStart w:id="114" w:name="OLE_LINK226"/>
      <w:bookmarkStart w:id="115" w:name="OLE_LINK227"/>
      <w:r>
        <w:rPr>
          <w:rFonts w:ascii="Book Antiqua" w:hAnsi="Book Antiqua"/>
          <w:sz w:val="24"/>
          <w:szCs w:val="24"/>
        </w:rPr>
        <w:t>genic</w:t>
      </w:r>
      <w:bookmarkStart w:id="116" w:name="OLE_LINK50"/>
      <w:bookmarkStart w:id="117" w:name="OLE_LINK54"/>
      <w:bookmarkStart w:id="118" w:name="OLE_LINK56"/>
      <w:bookmarkStart w:id="119" w:name="OLE_LINK55"/>
      <w:bookmarkEnd w:id="112"/>
      <w:bookmarkEnd w:id="113"/>
      <w:r>
        <w:rPr>
          <w:rFonts w:ascii="Book Antiqua" w:hAnsi="Book Antiqua"/>
          <w:sz w:val="24"/>
          <w:szCs w:val="24"/>
        </w:rPr>
        <w:t xml:space="preserve"> </w:t>
      </w:r>
      <w:bookmarkEnd w:id="114"/>
      <w:bookmarkEnd w:id="115"/>
      <w:r>
        <w:rPr>
          <w:rFonts w:ascii="Book Antiqua" w:hAnsi="Book Antiqua"/>
          <w:sz w:val="24"/>
          <w:szCs w:val="24"/>
        </w:rPr>
        <w:t>(</w:t>
      </w:r>
      <w:bookmarkEnd w:id="116"/>
      <w:bookmarkEnd w:id="117"/>
      <w:r>
        <w:rPr>
          <w:rFonts w:ascii="Book Antiqua" w:hAnsi="Book Antiqua"/>
          <w:sz w:val="24"/>
          <w:szCs w:val="24"/>
        </w:rPr>
        <w:t>Table 1).</w:t>
      </w:r>
      <w:bookmarkEnd w:id="118"/>
      <w:bookmarkEnd w:id="119"/>
      <w:r>
        <w:rPr>
          <w:rFonts w:ascii="Book Antiqua" w:hAnsi="Book Antiqua"/>
          <w:sz w:val="24"/>
          <w:szCs w:val="24"/>
        </w:rPr>
        <w:t xml:space="preserve"> The mutation is the first reported for SAS. </w:t>
      </w:r>
    </w:p>
    <w:p w14:paraId="52FB9CC3" w14:textId="77777777" w:rsidR="007D4E69" w:rsidRDefault="007D4E69">
      <w:pPr>
        <w:spacing w:line="360" w:lineRule="auto"/>
        <w:rPr>
          <w:rFonts w:ascii="Book Antiqua" w:hAnsi="Book Antiqua"/>
          <w:sz w:val="24"/>
          <w:szCs w:val="24"/>
        </w:rPr>
      </w:pPr>
    </w:p>
    <w:p w14:paraId="19B9D3F6" w14:textId="77777777" w:rsidR="007D4E69" w:rsidRDefault="005A2594">
      <w:pPr>
        <w:spacing w:line="360" w:lineRule="auto"/>
        <w:rPr>
          <w:rFonts w:ascii="Book Antiqua" w:hAnsi="Book Antiqua"/>
          <w:sz w:val="24"/>
          <w:szCs w:val="24"/>
        </w:rPr>
      </w:pPr>
      <w:r>
        <w:rPr>
          <w:rFonts w:ascii="Book Antiqua" w:hAnsi="Book Antiqua"/>
          <w:b/>
          <w:bCs/>
          <w:i/>
          <w:iCs/>
          <w:kern w:val="0"/>
          <w:sz w:val="24"/>
          <w:szCs w:val="24"/>
        </w:rPr>
        <w:t>Imaging examinations</w:t>
      </w:r>
    </w:p>
    <w:p w14:paraId="09054628"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An </w:t>
      </w:r>
      <w:bookmarkStart w:id="120" w:name="OLE_LINK35"/>
      <w:bookmarkStart w:id="121" w:name="OLE_LINK34"/>
      <w:r>
        <w:rPr>
          <w:rFonts w:ascii="Book Antiqua" w:hAnsi="Book Antiqua"/>
          <w:sz w:val="24"/>
          <w:szCs w:val="24"/>
        </w:rPr>
        <w:t>electroencephalography</w:t>
      </w:r>
      <w:bookmarkEnd w:id="120"/>
      <w:bookmarkEnd w:id="121"/>
      <w:r>
        <w:rPr>
          <w:rFonts w:ascii="Book Antiqua" w:hAnsi="Book Antiqua"/>
          <w:sz w:val="24"/>
          <w:szCs w:val="24"/>
        </w:rPr>
        <w:t xml:space="preserve"> was normal, but brain MRI </w:t>
      </w:r>
      <w:bookmarkStart w:id="122" w:name="OLE_LINK42"/>
      <w:bookmarkStart w:id="123" w:name="OLE_LINK9"/>
      <w:bookmarkStart w:id="124" w:name="OLE_LINK43"/>
      <w:r>
        <w:rPr>
          <w:rFonts w:ascii="Book Antiqua" w:hAnsi="Book Antiqua"/>
          <w:sz w:val="24"/>
          <w:szCs w:val="24"/>
        </w:rPr>
        <w:t xml:space="preserve">revealed multiple small cystic lesions in the white matter near the posterior horns of the right lateral ventricle and long T2 signals </w:t>
      </w:r>
      <w:bookmarkStart w:id="125" w:name="OLE_LINK51"/>
      <w:bookmarkStart w:id="126" w:name="OLE_LINK52"/>
      <w:r>
        <w:rPr>
          <w:rFonts w:ascii="Book Antiqua" w:hAnsi="Book Antiqua"/>
          <w:sz w:val="24"/>
          <w:szCs w:val="24"/>
        </w:rPr>
        <w:t>in the white matter adjacent to the bilateral posterior horns of the lateral ventricles</w:t>
      </w:r>
      <w:bookmarkEnd w:id="122"/>
      <w:bookmarkEnd w:id="123"/>
      <w:bookmarkEnd w:id="124"/>
      <w:bookmarkEnd w:id="125"/>
      <w:bookmarkEnd w:id="126"/>
      <w:r>
        <w:rPr>
          <w:rFonts w:ascii="Book Antiqua" w:hAnsi="Book Antiqua"/>
          <w:sz w:val="24"/>
          <w:szCs w:val="24"/>
        </w:rPr>
        <w:t xml:space="preserve"> (</w:t>
      </w:r>
      <w:bookmarkStart w:id="127" w:name="OLE_LINK272"/>
      <w:bookmarkStart w:id="128" w:name="OLE_LINK271"/>
      <w:r>
        <w:rPr>
          <w:rFonts w:ascii="Book Antiqua" w:hAnsi="Book Antiqua"/>
          <w:sz w:val="24"/>
          <w:szCs w:val="24"/>
        </w:rPr>
        <w:t>Figure 2A</w:t>
      </w:r>
      <w:bookmarkEnd w:id="127"/>
      <w:bookmarkEnd w:id="128"/>
      <w:r>
        <w:rPr>
          <w:rFonts w:ascii="Book Antiqua" w:hAnsi="Book Antiqua"/>
          <w:sz w:val="24"/>
          <w:szCs w:val="24"/>
        </w:rPr>
        <w:t>).</w:t>
      </w:r>
    </w:p>
    <w:p w14:paraId="2A613271" w14:textId="77777777" w:rsidR="007D4E69" w:rsidRDefault="007D4E69">
      <w:pPr>
        <w:spacing w:line="360" w:lineRule="auto"/>
        <w:rPr>
          <w:rFonts w:ascii="Book Antiqua" w:hAnsi="Book Antiqua"/>
          <w:sz w:val="24"/>
          <w:szCs w:val="24"/>
        </w:rPr>
      </w:pPr>
    </w:p>
    <w:p w14:paraId="6DD8DE95" w14:textId="77777777" w:rsidR="007D4E69" w:rsidRDefault="005A2594">
      <w:pPr>
        <w:spacing w:line="360" w:lineRule="auto"/>
        <w:rPr>
          <w:rFonts w:ascii="Book Antiqua" w:hAnsi="Book Antiqua"/>
          <w:sz w:val="24"/>
          <w:szCs w:val="24"/>
          <w:u w:val="single"/>
        </w:rPr>
      </w:pPr>
      <w:r>
        <w:rPr>
          <w:rFonts w:ascii="Book Antiqua" w:hAnsi="Book Antiqua"/>
          <w:b/>
          <w:sz w:val="24"/>
          <w:szCs w:val="24"/>
          <w:u w:val="single"/>
        </w:rPr>
        <w:t>FINAL DIAGNOSIS</w:t>
      </w:r>
    </w:p>
    <w:p w14:paraId="33DFE98C" w14:textId="77777777" w:rsidR="007D4E69" w:rsidRDefault="005A2594">
      <w:pPr>
        <w:spacing w:line="360" w:lineRule="auto"/>
        <w:rPr>
          <w:rFonts w:ascii="Book Antiqua" w:hAnsi="Book Antiqua"/>
          <w:sz w:val="24"/>
          <w:szCs w:val="24"/>
        </w:rPr>
      </w:pPr>
      <w:r>
        <w:rPr>
          <w:rFonts w:ascii="Book Antiqua" w:hAnsi="Book Antiqua"/>
          <w:sz w:val="24"/>
          <w:szCs w:val="24"/>
        </w:rPr>
        <w:t>SAS was diagnosed.</w:t>
      </w:r>
    </w:p>
    <w:p w14:paraId="300F7D99" w14:textId="77777777" w:rsidR="007D4E69" w:rsidRDefault="007D4E69">
      <w:pPr>
        <w:spacing w:line="360" w:lineRule="auto"/>
        <w:rPr>
          <w:rFonts w:ascii="Book Antiqua" w:hAnsi="Book Antiqua"/>
          <w:sz w:val="24"/>
          <w:szCs w:val="24"/>
        </w:rPr>
      </w:pPr>
    </w:p>
    <w:p w14:paraId="5D5212F9" w14:textId="77777777" w:rsidR="007D4E69" w:rsidRDefault="005A2594">
      <w:pPr>
        <w:spacing w:line="360" w:lineRule="auto"/>
        <w:rPr>
          <w:rFonts w:ascii="Book Antiqua" w:hAnsi="Book Antiqua"/>
          <w:b/>
          <w:bCs/>
          <w:kern w:val="0"/>
          <w:sz w:val="24"/>
          <w:szCs w:val="24"/>
          <w:u w:val="single"/>
        </w:rPr>
      </w:pPr>
      <w:r>
        <w:rPr>
          <w:rFonts w:ascii="Book Antiqua" w:hAnsi="Book Antiqua"/>
          <w:b/>
          <w:bCs/>
          <w:kern w:val="0"/>
          <w:sz w:val="24"/>
          <w:szCs w:val="24"/>
          <w:u w:val="single"/>
        </w:rPr>
        <w:t>TREATMENT</w:t>
      </w:r>
    </w:p>
    <w:p w14:paraId="30AEC3BC" w14:textId="77777777" w:rsidR="007D4E69" w:rsidRDefault="005A2594">
      <w:pPr>
        <w:spacing w:line="360" w:lineRule="auto"/>
        <w:rPr>
          <w:rFonts w:ascii="Book Antiqua" w:hAnsi="Book Antiqua"/>
          <w:sz w:val="24"/>
          <w:szCs w:val="24"/>
        </w:rPr>
      </w:pPr>
      <w:r>
        <w:rPr>
          <w:rFonts w:ascii="Book Antiqua" w:hAnsi="Book Antiqua"/>
          <w:sz w:val="24"/>
          <w:szCs w:val="24"/>
        </w:rPr>
        <w:lastRenderedPageBreak/>
        <w:t xml:space="preserve">After diagnosis, special education in local welfare institutions and symptomatic treatment were performed (for example: oral chloral hydrate for sleeping problems if necessary). </w:t>
      </w:r>
    </w:p>
    <w:p w14:paraId="3B97BEA4" w14:textId="77777777" w:rsidR="007D4E69" w:rsidRDefault="007D4E69">
      <w:pPr>
        <w:spacing w:line="360" w:lineRule="auto"/>
        <w:rPr>
          <w:rFonts w:ascii="Book Antiqua" w:hAnsi="Book Antiqua"/>
          <w:sz w:val="24"/>
          <w:szCs w:val="24"/>
        </w:rPr>
      </w:pPr>
    </w:p>
    <w:p w14:paraId="47796E06" w14:textId="77777777" w:rsidR="007D4E69" w:rsidRDefault="005A2594">
      <w:pPr>
        <w:spacing w:line="360" w:lineRule="auto"/>
        <w:rPr>
          <w:rFonts w:ascii="Book Antiqua" w:hAnsi="Book Antiqua"/>
          <w:b/>
          <w:bCs/>
          <w:kern w:val="0"/>
          <w:sz w:val="24"/>
          <w:szCs w:val="24"/>
          <w:u w:val="single"/>
        </w:rPr>
      </w:pPr>
      <w:r>
        <w:rPr>
          <w:rFonts w:ascii="Book Antiqua" w:hAnsi="Book Antiqua"/>
          <w:b/>
          <w:bCs/>
          <w:kern w:val="0"/>
          <w:sz w:val="24"/>
          <w:szCs w:val="24"/>
          <w:u w:val="single"/>
        </w:rPr>
        <w:t>OUTCOME AND FOLLOW-UP</w:t>
      </w:r>
    </w:p>
    <w:p w14:paraId="187EAADB"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At 6 mo follow-up, no speech improvements were observed. </w:t>
      </w:r>
    </w:p>
    <w:p w14:paraId="4E6D62C2" w14:textId="77777777" w:rsidR="007D4E69" w:rsidRDefault="007D4E69">
      <w:pPr>
        <w:spacing w:line="360" w:lineRule="auto"/>
        <w:rPr>
          <w:rFonts w:ascii="Book Antiqua" w:hAnsi="Book Antiqua"/>
          <w:sz w:val="24"/>
          <w:szCs w:val="24"/>
        </w:rPr>
      </w:pPr>
    </w:p>
    <w:p w14:paraId="55728617" w14:textId="77777777" w:rsidR="007D4E69" w:rsidRDefault="005A2594">
      <w:pPr>
        <w:spacing w:line="360" w:lineRule="auto"/>
        <w:rPr>
          <w:rFonts w:ascii="Book Antiqua" w:eastAsia="宋体" w:hAnsi="Book Antiqua"/>
          <w:b/>
          <w:sz w:val="24"/>
          <w:szCs w:val="24"/>
          <w:u w:val="single"/>
        </w:rPr>
      </w:pPr>
      <w:bookmarkStart w:id="129" w:name="OLE_LINK17"/>
      <w:r>
        <w:rPr>
          <w:rFonts w:ascii="Book Antiqua" w:eastAsia="宋体" w:hAnsi="Book Antiqua"/>
          <w:b/>
          <w:sz w:val="24"/>
          <w:szCs w:val="24"/>
          <w:u w:val="single"/>
        </w:rPr>
        <w:t>DISCUSSION</w:t>
      </w:r>
    </w:p>
    <w:p w14:paraId="258F037D" w14:textId="77777777" w:rsidR="007D4E69" w:rsidRDefault="005A2594" w:rsidP="00E4527E">
      <w:pPr>
        <w:spacing w:line="360" w:lineRule="auto"/>
        <w:rPr>
          <w:rFonts w:ascii="Book Antiqua" w:hAnsi="Book Antiqua"/>
          <w:sz w:val="24"/>
          <w:szCs w:val="24"/>
        </w:rPr>
      </w:pPr>
      <w:bookmarkStart w:id="130" w:name="OLE_LINK244"/>
      <w:bookmarkStart w:id="131" w:name="OLE_LINK217"/>
      <w:r>
        <w:rPr>
          <w:rFonts w:ascii="Book Antiqua" w:hAnsi="Book Antiqua"/>
          <w:sz w:val="24"/>
          <w:szCs w:val="24"/>
        </w:rPr>
        <w:t>For SAS patients, preterm birth was reported quite rarely</w:t>
      </w:r>
      <w:r>
        <w:rPr>
          <w:rFonts w:ascii="Book Antiqua" w:hAnsi="Book Antiqua"/>
          <w:sz w:val="24"/>
          <w:szCs w:val="24"/>
          <w:vertAlign w:val="superscript"/>
        </w:rPr>
        <w:t>[1,2]</w:t>
      </w:r>
      <w:r>
        <w:rPr>
          <w:rFonts w:ascii="Book Antiqua" w:hAnsi="Book Antiqua"/>
          <w:sz w:val="24"/>
          <w:szCs w:val="24"/>
        </w:rPr>
        <w:t>. The first reported patient was delivered at 32 wk</w:t>
      </w:r>
      <w:r>
        <w:rPr>
          <w:rFonts w:ascii="Book Antiqua" w:hAnsi="Book Antiqua"/>
          <w:sz w:val="24"/>
          <w:szCs w:val="24"/>
          <w:vertAlign w:val="superscript"/>
        </w:rPr>
        <w:t>[2]</w:t>
      </w:r>
      <w:r>
        <w:rPr>
          <w:rFonts w:ascii="Book Antiqua" w:hAnsi="Book Antiqua"/>
          <w:sz w:val="24"/>
          <w:szCs w:val="24"/>
        </w:rPr>
        <w:t xml:space="preserve">. But </w:t>
      </w:r>
      <w:r>
        <w:rPr>
          <w:rFonts w:ascii="Book Antiqua" w:hAnsi="Book Antiqua"/>
          <w:i/>
          <w:iCs/>
          <w:sz w:val="24"/>
          <w:szCs w:val="24"/>
        </w:rPr>
        <w:t xml:space="preserve">SATB2 </w:t>
      </w:r>
      <w:r>
        <w:rPr>
          <w:rFonts w:ascii="Book Antiqua" w:hAnsi="Book Antiqua"/>
          <w:sz w:val="24"/>
          <w:szCs w:val="24"/>
        </w:rPr>
        <w:t>is not a candidate gene for spontaneously preterm birth for n</w:t>
      </w:r>
      <w:bookmarkStart w:id="132" w:name="OLE_LINK261"/>
      <w:bookmarkStart w:id="133" w:name="OLE_LINK258"/>
      <w:r>
        <w:rPr>
          <w:rFonts w:ascii="Book Antiqua" w:hAnsi="Book Antiqua"/>
          <w:sz w:val="24"/>
          <w:szCs w:val="24"/>
        </w:rPr>
        <w:t>ow. For our case, he was delivered at 35 wk without obvious causes, and we did not find associations between the preterm birth and</w:t>
      </w:r>
      <w:r>
        <w:rPr>
          <w:rFonts w:ascii="Book Antiqua" w:hAnsi="Book Antiqua"/>
          <w:i/>
          <w:iCs/>
          <w:sz w:val="24"/>
          <w:szCs w:val="24"/>
        </w:rPr>
        <w:t xml:space="preserve"> SATB2</w:t>
      </w:r>
      <w:r>
        <w:rPr>
          <w:rFonts w:ascii="Book Antiqua" w:hAnsi="Book Antiqua"/>
          <w:sz w:val="24"/>
          <w:szCs w:val="24"/>
        </w:rPr>
        <w:t xml:space="preserve">. </w:t>
      </w:r>
      <w:bookmarkEnd w:id="132"/>
      <w:bookmarkEnd w:id="133"/>
      <w:r>
        <w:rPr>
          <w:rFonts w:ascii="Book Antiqua" w:hAnsi="Book Antiqua"/>
          <w:sz w:val="24"/>
          <w:szCs w:val="24"/>
        </w:rPr>
        <w:t>Many neurodevelopmental problems are associated with prematurity compared to full term infants, including DD, language problems, and poorer academic performance</w:t>
      </w:r>
      <w:bookmarkStart w:id="134" w:name="OLE_LINK216"/>
      <w:bookmarkStart w:id="135" w:name="OLE_LINK215"/>
      <w:r>
        <w:rPr>
          <w:rFonts w:ascii="Book Antiqua" w:hAnsi="Book Antiqua"/>
          <w:sz w:val="24"/>
          <w:szCs w:val="24"/>
        </w:rPr>
        <w:t xml:space="preserve"> in the future. Some developmental problems may be corrected if interventions were performed early</w:t>
      </w:r>
      <w:r>
        <w:rPr>
          <w:rFonts w:ascii="Book Antiqua" w:hAnsi="Book Antiqua"/>
          <w:sz w:val="24"/>
          <w:szCs w:val="24"/>
          <w:vertAlign w:val="superscript"/>
        </w:rPr>
        <w:t>[21]</w:t>
      </w:r>
      <w:r>
        <w:rPr>
          <w:rFonts w:ascii="Book Antiqua" w:hAnsi="Book Antiqua"/>
          <w:sz w:val="24"/>
          <w:szCs w:val="24"/>
        </w:rPr>
        <w:t>.</w:t>
      </w:r>
      <w:bookmarkEnd w:id="130"/>
      <w:bookmarkEnd w:id="131"/>
      <w:bookmarkEnd w:id="134"/>
      <w:bookmarkEnd w:id="135"/>
      <w:r>
        <w:rPr>
          <w:rFonts w:ascii="Book Antiqua" w:hAnsi="Book Antiqua"/>
          <w:sz w:val="24"/>
          <w:szCs w:val="24"/>
        </w:rPr>
        <w:t xml:space="preserve"> Differentiating underlying causes for DD early in premature infants can help to make more accurate treatment maneuvers.</w:t>
      </w:r>
      <w:r>
        <w:rPr>
          <w:rFonts w:ascii="Book Antiqua" w:hAnsi="Book Antiqua"/>
          <w:bCs/>
          <w:sz w:val="24"/>
          <w:szCs w:val="24"/>
        </w:rPr>
        <w:t xml:space="preserve"> SAS includes a constellation</w:t>
      </w:r>
      <w:bookmarkStart w:id="136" w:name="OLE_LINK132"/>
      <w:bookmarkStart w:id="137" w:name="OLE_LINK133"/>
      <w:r>
        <w:rPr>
          <w:rFonts w:ascii="Book Antiqua" w:hAnsi="Book Antiqua"/>
          <w:bCs/>
          <w:sz w:val="24"/>
          <w:szCs w:val="24"/>
        </w:rPr>
        <w:t xml:space="preserve"> of manifestations that do not occur simultaneously </w:t>
      </w:r>
      <w:bookmarkStart w:id="138" w:name="OLE_LINK288"/>
      <w:bookmarkStart w:id="139" w:name="OLE_LINK281"/>
      <w:r>
        <w:rPr>
          <w:rFonts w:ascii="Book Antiqua" w:hAnsi="Book Antiqua"/>
          <w:bCs/>
          <w:sz w:val="24"/>
          <w:szCs w:val="24"/>
        </w:rPr>
        <w:t xml:space="preserve">or </w:t>
      </w:r>
      <w:r>
        <w:rPr>
          <w:rFonts w:ascii="Book Antiqua" w:hAnsi="Book Antiqua"/>
          <w:sz w:val="24"/>
          <w:szCs w:val="24"/>
        </w:rPr>
        <w:t xml:space="preserve">necessarily (Table 2). </w:t>
      </w:r>
    </w:p>
    <w:p w14:paraId="7A8591CC" w14:textId="77777777" w:rsidR="007D4E69" w:rsidRDefault="007D4E69">
      <w:pPr>
        <w:spacing w:line="360" w:lineRule="auto"/>
        <w:rPr>
          <w:rFonts w:ascii="Book Antiqua" w:hAnsi="Book Antiqua"/>
          <w:bCs/>
          <w:sz w:val="24"/>
          <w:szCs w:val="24"/>
        </w:rPr>
      </w:pPr>
    </w:p>
    <w:p w14:paraId="71373292" w14:textId="77777777" w:rsidR="007D4E69" w:rsidRDefault="005A2594">
      <w:pPr>
        <w:spacing w:line="360" w:lineRule="auto"/>
        <w:rPr>
          <w:rFonts w:ascii="Book Antiqua" w:hAnsi="Book Antiqua"/>
          <w:sz w:val="24"/>
          <w:szCs w:val="24"/>
        </w:rPr>
      </w:pPr>
      <w:bookmarkStart w:id="140" w:name="OLE_LINK128"/>
      <w:bookmarkEnd w:id="129"/>
      <w:bookmarkEnd w:id="136"/>
      <w:bookmarkEnd w:id="137"/>
      <w:bookmarkEnd w:id="138"/>
      <w:bookmarkEnd w:id="139"/>
      <w:r>
        <w:rPr>
          <w:rFonts w:ascii="Book Antiqua" w:hAnsi="Book Antiqua"/>
          <w:b/>
          <w:bCs/>
          <w:i/>
          <w:iCs/>
          <w:sz w:val="24"/>
          <w:szCs w:val="24"/>
        </w:rPr>
        <w:t>Severe speech anomalies</w:t>
      </w:r>
    </w:p>
    <w:bookmarkEnd w:id="140"/>
    <w:p w14:paraId="6D9C07CB"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All SAS patients have </w:t>
      </w:r>
      <w:bookmarkStart w:id="141" w:name="OLE_LINK48"/>
      <w:bookmarkStart w:id="142" w:name="OLE_LINK47"/>
      <w:r>
        <w:rPr>
          <w:rFonts w:ascii="Book Antiqua" w:hAnsi="Book Antiqua"/>
          <w:sz w:val="24"/>
          <w:szCs w:val="24"/>
        </w:rPr>
        <w:t>DD/</w:t>
      </w:r>
      <w:bookmarkEnd w:id="141"/>
      <w:r>
        <w:rPr>
          <w:rFonts w:ascii="Book Antiqua" w:hAnsi="Book Antiqua"/>
          <w:sz w:val="24"/>
          <w:szCs w:val="24"/>
        </w:rPr>
        <w:t>ID</w:t>
      </w:r>
      <w:bookmarkEnd w:id="142"/>
      <w:r>
        <w:rPr>
          <w:rFonts w:ascii="Book Antiqua" w:hAnsi="Book Antiqua"/>
          <w:sz w:val="24"/>
          <w:szCs w:val="24"/>
        </w:rPr>
        <w:t>, 95% have speech delay</w:t>
      </w:r>
      <w:r>
        <w:rPr>
          <w:rFonts w:ascii="Book Antiqua" w:hAnsi="Book Antiqua"/>
          <w:sz w:val="24"/>
          <w:szCs w:val="24"/>
          <w:vertAlign w:val="superscript"/>
        </w:rPr>
        <w:t>[2</w:t>
      </w:r>
      <w:bookmarkStart w:id="143" w:name="OLE_LINK342"/>
      <w:bookmarkStart w:id="144" w:name="OLE_LINK343"/>
      <w:r>
        <w:rPr>
          <w:rFonts w:ascii="Book Antiqua" w:hAnsi="Book Antiqua"/>
          <w:sz w:val="24"/>
          <w:szCs w:val="24"/>
          <w:vertAlign w:val="superscript"/>
        </w:rPr>
        <w:t>2</w:t>
      </w:r>
      <w:bookmarkEnd w:id="143"/>
      <w:bookmarkEnd w:id="144"/>
      <w:r>
        <w:rPr>
          <w:rFonts w:ascii="Book Antiqua" w:hAnsi="Book Antiqua"/>
          <w:sz w:val="24"/>
          <w:szCs w:val="24"/>
          <w:vertAlign w:val="superscript"/>
        </w:rPr>
        <w:t>]</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82% have a limited vocabulary under ten words or absent speech by 10-ye</w:t>
      </w:r>
      <w:bookmarkStart w:id="145" w:name="OLE_LINK118"/>
      <w:bookmarkStart w:id="146" w:name="OLE_LINK121"/>
      <w:r>
        <w:rPr>
          <w:rFonts w:ascii="Book Antiqua" w:hAnsi="Book Antiqua"/>
          <w:sz w:val="24"/>
          <w:szCs w:val="24"/>
        </w:rPr>
        <w:t>ars-old, and their first words are spoken at a median of 24 mo of age (range 10-144 mo)</w:t>
      </w:r>
      <w:bookmarkEnd w:id="145"/>
      <w:bookmarkEnd w:id="146"/>
      <w:r>
        <w:rPr>
          <w:rFonts w:ascii="Book Antiqua" w:hAnsi="Book Antiqua"/>
          <w:sz w:val="24"/>
          <w:szCs w:val="24"/>
          <w:vertAlign w:val="superscript"/>
        </w:rPr>
        <w:t>[7]</w:t>
      </w:r>
      <w:r>
        <w:rPr>
          <w:rFonts w:ascii="Book Antiqua" w:hAnsi="Book Antiqua"/>
          <w:sz w:val="24"/>
          <w:szCs w:val="24"/>
        </w:rPr>
        <w:t>. In three patients from Japan, meaningfu</w:t>
      </w:r>
      <w:bookmarkStart w:id="147" w:name="OLE_LINK115"/>
      <w:bookmarkStart w:id="148" w:name="OLE_LINK114"/>
      <w:r>
        <w:rPr>
          <w:rFonts w:ascii="Book Antiqua" w:hAnsi="Book Antiqua"/>
          <w:sz w:val="24"/>
          <w:szCs w:val="24"/>
        </w:rPr>
        <w:t>l words had not been acquired</w:t>
      </w:r>
      <w:bookmarkEnd w:id="147"/>
      <w:bookmarkEnd w:id="148"/>
      <w:r>
        <w:rPr>
          <w:rFonts w:ascii="Book Antiqua" w:hAnsi="Book Antiqua"/>
          <w:sz w:val="24"/>
          <w:szCs w:val="24"/>
        </w:rPr>
        <w:t xml:space="preserve"> at 5-years-old</w:t>
      </w:r>
      <w:r>
        <w:rPr>
          <w:rFonts w:ascii="Book Antiqua" w:hAnsi="Book Antiqua"/>
          <w:sz w:val="24"/>
          <w:szCs w:val="24"/>
          <w:vertAlign w:val="superscript"/>
        </w:rPr>
        <w:t>[23]</w:t>
      </w:r>
      <w:r>
        <w:rPr>
          <w:rFonts w:ascii="Book Antiqua" w:hAnsi="Book Antiqua"/>
          <w:sz w:val="24"/>
          <w:szCs w:val="24"/>
        </w:rPr>
        <w:t>. The process usually did not regress after gaining some abilities. Only one case with</w:t>
      </w:r>
      <w:bookmarkStart w:id="149" w:name="OLE_LINK66"/>
      <w:bookmarkStart w:id="150" w:name="OLE_LINK65"/>
      <w:r>
        <w:rPr>
          <w:rFonts w:ascii="Book Antiqua" w:hAnsi="Book Antiqua"/>
          <w:sz w:val="24"/>
          <w:szCs w:val="24"/>
        </w:rPr>
        <w:t xml:space="preserve"> an 8.6-Mb deletion of 2q3</w:t>
      </w:r>
      <w:bookmarkStart w:id="151" w:name="OLE_LINK58"/>
      <w:bookmarkStart w:id="152" w:name="OLE_LINK57"/>
      <w:r>
        <w:rPr>
          <w:rFonts w:ascii="Book Antiqua" w:hAnsi="Book Antiqua"/>
          <w:sz w:val="24"/>
          <w:szCs w:val="24"/>
        </w:rPr>
        <w:t xml:space="preserve">2.2-q33.1, including </w:t>
      </w:r>
      <w:r>
        <w:rPr>
          <w:rFonts w:ascii="Book Antiqua" w:hAnsi="Book Antiqua"/>
          <w:i/>
          <w:iCs/>
          <w:sz w:val="24"/>
          <w:szCs w:val="24"/>
        </w:rPr>
        <w:t>SATB2</w:t>
      </w:r>
      <w:bookmarkEnd w:id="149"/>
      <w:bookmarkEnd w:id="150"/>
      <w:r>
        <w:rPr>
          <w:rFonts w:ascii="Book Antiqua" w:hAnsi="Book Antiqua"/>
          <w:i/>
          <w:iCs/>
          <w:sz w:val="24"/>
          <w:szCs w:val="24"/>
        </w:rPr>
        <w:t xml:space="preserve">, </w:t>
      </w:r>
      <w:r>
        <w:rPr>
          <w:rFonts w:ascii="Book Antiqua" w:hAnsi="Book Antiqua"/>
          <w:sz w:val="24"/>
          <w:szCs w:val="24"/>
        </w:rPr>
        <w:t xml:space="preserve">was reported </w:t>
      </w:r>
      <w:bookmarkEnd w:id="151"/>
      <w:bookmarkEnd w:id="152"/>
      <w:r>
        <w:rPr>
          <w:rFonts w:ascii="Book Antiqua" w:hAnsi="Book Antiqua"/>
          <w:sz w:val="24"/>
          <w:szCs w:val="24"/>
        </w:rPr>
        <w:t>to have ID regres</w:t>
      </w:r>
      <w:bookmarkStart w:id="153" w:name="OLE_LINK62"/>
      <w:bookmarkStart w:id="154" w:name="OLE_LINK61"/>
      <w:r>
        <w:rPr>
          <w:rFonts w:ascii="Book Antiqua" w:hAnsi="Book Antiqua"/>
          <w:sz w:val="24"/>
          <w:szCs w:val="24"/>
        </w:rPr>
        <w:t>s from mild to severe</w:t>
      </w:r>
      <w:bookmarkEnd w:id="153"/>
      <w:bookmarkEnd w:id="154"/>
      <w:r>
        <w:rPr>
          <w:rFonts w:ascii="Book Antiqua" w:hAnsi="Book Antiqua"/>
          <w:sz w:val="24"/>
          <w:szCs w:val="24"/>
        </w:rPr>
        <w:t xml:space="preserve"> and speech from poor to </w:t>
      </w:r>
      <w:bookmarkStart w:id="155" w:name="OLE_LINK63"/>
      <w:bookmarkStart w:id="156" w:name="OLE_LINK64"/>
      <w:r>
        <w:rPr>
          <w:rFonts w:ascii="Book Antiqua" w:hAnsi="Book Antiqua"/>
          <w:sz w:val="24"/>
          <w:szCs w:val="24"/>
        </w:rPr>
        <w:t>absent</w:t>
      </w:r>
      <w:bookmarkEnd w:id="155"/>
      <w:bookmarkEnd w:id="156"/>
      <w:r>
        <w:rPr>
          <w:rFonts w:ascii="Book Antiqua" w:hAnsi="Book Antiqua"/>
          <w:sz w:val="24"/>
          <w:szCs w:val="24"/>
        </w:rPr>
        <w:t xml:space="preserve"> between the ages of 6 and 12 years</w:t>
      </w:r>
      <w:r>
        <w:rPr>
          <w:rFonts w:ascii="Book Antiqua" w:hAnsi="Book Antiqua"/>
          <w:sz w:val="24"/>
          <w:szCs w:val="24"/>
          <w:vertAlign w:val="superscript"/>
        </w:rPr>
        <w:t>[24]</w:t>
      </w:r>
      <w:r>
        <w:rPr>
          <w:rFonts w:ascii="Book Antiqua" w:hAnsi="Book Antiqua"/>
          <w:sz w:val="24"/>
          <w:szCs w:val="24"/>
        </w:rPr>
        <w:t>. For our case, DD</w:t>
      </w:r>
      <w:bookmarkStart w:id="157" w:name="OLE_LINK262"/>
      <w:bookmarkStart w:id="158" w:name="OLE_LINK265"/>
      <w:r>
        <w:rPr>
          <w:rFonts w:ascii="Book Antiqua" w:hAnsi="Book Antiqua"/>
          <w:sz w:val="24"/>
          <w:szCs w:val="24"/>
        </w:rPr>
        <w:t xml:space="preserve"> and limited speech </w:t>
      </w:r>
      <w:bookmarkEnd w:id="157"/>
      <w:bookmarkEnd w:id="158"/>
      <w:r>
        <w:rPr>
          <w:rFonts w:ascii="Book Antiqua" w:hAnsi="Book Antiqua"/>
          <w:sz w:val="24"/>
          <w:szCs w:val="24"/>
        </w:rPr>
        <w:t xml:space="preserve">were considered to be caused by the </w:t>
      </w:r>
      <w:r>
        <w:rPr>
          <w:rFonts w:ascii="Book Antiqua" w:hAnsi="Book Antiqua"/>
          <w:sz w:val="24"/>
          <w:szCs w:val="24"/>
        </w:rPr>
        <w:lastRenderedPageBreak/>
        <w:t xml:space="preserve">prematurity, and it was hoped that he would develop to normal in the future </w:t>
      </w:r>
      <w:bookmarkStart w:id="159" w:name="OLE_LINK309"/>
      <w:bookmarkStart w:id="160" w:name="OLE_LINK308"/>
      <w:r>
        <w:rPr>
          <w:rFonts w:ascii="Book Antiqua" w:hAnsi="Book Antiqua"/>
          <w:sz w:val="24"/>
          <w:szCs w:val="24"/>
        </w:rPr>
        <w:t>when</w:t>
      </w:r>
      <w:bookmarkEnd w:id="159"/>
      <w:bookmarkEnd w:id="160"/>
      <w:r>
        <w:rPr>
          <w:rFonts w:ascii="Book Antiqua" w:hAnsi="Book Antiqua"/>
          <w:sz w:val="24"/>
          <w:szCs w:val="24"/>
        </w:rPr>
        <w:t xml:space="preserve"> he was referred to the hospital in the first few years. Therefore, we think the attention to </w:t>
      </w:r>
      <w:bookmarkStart w:id="161" w:name="OLE_LINK290"/>
      <w:bookmarkStart w:id="162" w:name="OLE_LINK289"/>
      <w:r>
        <w:rPr>
          <w:rFonts w:ascii="Book Antiqua" w:hAnsi="Book Antiqua"/>
          <w:sz w:val="24"/>
          <w:szCs w:val="24"/>
        </w:rPr>
        <w:t xml:space="preserve">the </w:t>
      </w:r>
      <w:bookmarkEnd w:id="161"/>
      <w:bookmarkEnd w:id="162"/>
      <w:r>
        <w:rPr>
          <w:rFonts w:ascii="Book Antiqua" w:hAnsi="Book Antiqua"/>
          <w:sz w:val="24"/>
          <w:szCs w:val="24"/>
        </w:rPr>
        <w:t>prematurity</w:t>
      </w:r>
      <w:bookmarkStart w:id="163" w:name="OLE_LINK279"/>
      <w:bookmarkStart w:id="164" w:name="OLE_LINK278"/>
      <w:bookmarkStart w:id="165" w:name="OLE_LINK277"/>
      <w:bookmarkStart w:id="166" w:name="OLE_LINK276"/>
      <w:r>
        <w:rPr>
          <w:rFonts w:ascii="Book Antiqua" w:hAnsi="Book Antiqua"/>
          <w:sz w:val="24"/>
          <w:szCs w:val="24"/>
        </w:rPr>
        <w:t xml:space="preserve"> history</w:t>
      </w:r>
      <w:bookmarkEnd w:id="163"/>
      <w:bookmarkEnd w:id="164"/>
      <w:r>
        <w:rPr>
          <w:rFonts w:ascii="Book Antiqua" w:hAnsi="Book Antiqua"/>
          <w:sz w:val="24"/>
          <w:szCs w:val="24"/>
        </w:rPr>
        <w:t xml:space="preserve"> may be one cause </w:t>
      </w:r>
      <w:bookmarkEnd w:id="165"/>
      <w:bookmarkEnd w:id="166"/>
      <w:r>
        <w:rPr>
          <w:rFonts w:ascii="Book Antiqua" w:hAnsi="Book Antiqua"/>
          <w:sz w:val="24"/>
          <w:szCs w:val="24"/>
        </w:rPr>
        <w:t>for the delayed diagnosis for the patient.</w:t>
      </w:r>
    </w:p>
    <w:p w14:paraId="15E3E139" w14:textId="77777777" w:rsidR="007D4E69" w:rsidRDefault="007D4E69">
      <w:pPr>
        <w:spacing w:line="360" w:lineRule="auto"/>
        <w:rPr>
          <w:rFonts w:ascii="Book Antiqua" w:hAnsi="Book Antiqua"/>
          <w:sz w:val="24"/>
          <w:szCs w:val="24"/>
        </w:rPr>
      </w:pPr>
    </w:p>
    <w:p w14:paraId="6243FF87" w14:textId="77777777" w:rsidR="007D4E69" w:rsidRDefault="005A2594">
      <w:pPr>
        <w:spacing w:line="360" w:lineRule="auto"/>
        <w:rPr>
          <w:rFonts w:ascii="Book Antiqua" w:hAnsi="Book Antiqua"/>
          <w:sz w:val="24"/>
          <w:szCs w:val="24"/>
        </w:rPr>
      </w:pPr>
      <w:r>
        <w:rPr>
          <w:rFonts w:ascii="Book Antiqua" w:hAnsi="Book Antiqua"/>
          <w:b/>
          <w:bCs/>
          <w:i/>
          <w:iCs/>
          <w:sz w:val="24"/>
          <w:szCs w:val="24"/>
        </w:rPr>
        <w:t>Abnormalities of the palate</w:t>
      </w:r>
    </w:p>
    <w:p w14:paraId="65AEC43E" w14:textId="77777777" w:rsidR="007D4E69" w:rsidRDefault="005A2594">
      <w:pPr>
        <w:spacing w:line="360" w:lineRule="auto"/>
        <w:rPr>
          <w:rFonts w:ascii="Book Antiqua" w:hAnsi="Book Antiqua"/>
          <w:sz w:val="24"/>
          <w:szCs w:val="24"/>
        </w:rPr>
      </w:pPr>
      <w:r>
        <w:rPr>
          <w:rFonts w:ascii="Book Antiqua" w:hAnsi="Book Antiqua"/>
          <w:sz w:val="24"/>
          <w:szCs w:val="24"/>
        </w:rPr>
        <w:t>Seventy-six percent of individuals with SAS have palatal abnormalities such as cleft palate, high-arched palate, and bifid uvula. In 42% of SAS individuals, micro</w:t>
      </w:r>
      <w:bookmarkStart w:id="167" w:name="OLE_LINK202"/>
      <w:bookmarkStart w:id="168" w:name="OLE_LINK203"/>
      <w:r>
        <w:rPr>
          <w:rFonts w:ascii="Book Antiqua" w:hAnsi="Book Antiqua"/>
          <w:sz w:val="24"/>
          <w:szCs w:val="24"/>
        </w:rPr>
        <w:t>gnathia is found</w:t>
      </w:r>
      <w:bookmarkEnd w:id="167"/>
      <w:bookmarkEnd w:id="168"/>
      <w:r>
        <w:rPr>
          <w:rFonts w:ascii="Book Antiqua" w:hAnsi="Book Antiqua"/>
          <w:sz w:val="24"/>
          <w:szCs w:val="24"/>
          <w:vertAlign w:val="superscript"/>
        </w:rPr>
        <w:t>[22]</w:t>
      </w:r>
      <w:r>
        <w:rPr>
          <w:rFonts w:ascii="Book Antiqua" w:hAnsi="Book Antiqua"/>
          <w:sz w:val="24"/>
          <w:szCs w:val="24"/>
        </w:rPr>
        <w:t>. For our case, no such abnormalities were found.</w:t>
      </w:r>
    </w:p>
    <w:p w14:paraId="7CAB756E" w14:textId="77777777" w:rsidR="007D4E69" w:rsidRDefault="007D4E69">
      <w:pPr>
        <w:spacing w:line="360" w:lineRule="auto"/>
        <w:rPr>
          <w:rFonts w:ascii="Book Antiqua" w:hAnsi="Book Antiqua"/>
          <w:b/>
          <w:bCs/>
          <w:i/>
          <w:iCs/>
          <w:sz w:val="24"/>
          <w:szCs w:val="24"/>
        </w:rPr>
      </w:pPr>
      <w:bookmarkStart w:id="169" w:name="OLE_LINK129"/>
    </w:p>
    <w:p w14:paraId="58C50747" w14:textId="77777777" w:rsidR="007D4E69" w:rsidRDefault="005A2594">
      <w:pPr>
        <w:spacing w:line="360" w:lineRule="auto"/>
        <w:rPr>
          <w:rFonts w:ascii="Book Antiqua" w:hAnsi="Book Antiqua"/>
          <w:sz w:val="24"/>
          <w:szCs w:val="24"/>
        </w:rPr>
      </w:pPr>
      <w:r>
        <w:rPr>
          <w:rFonts w:ascii="Book Antiqua" w:hAnsi="Book Antiqua"/>
          <w:b/>
          <w:bCs/>
          <w:i/>
          <w:iCs/>
          <w:sz w:val="24"/>
          <w:szCs w:val="24"/>
        </w:rPr>
        <w:t>Teeth anomalies</w:t>
      </w:r>
      <w:bookmarkEnd w:id="169"/>
    </w:p>
    <w:p w14:paraId="19B514A0" w14:textId="77777777" w:rsidR="007D4E69" w:rsidRDefault="005A2594">
      <w:pPr>
        <w:spacing w:line="360" w:lineRule="auto"/>
        <w:rPr>
          <w:rFonts w:ascii="Book Antiqua" w:hAnsi="Book Antiqua"/>
          <w:sz w:val="24"/>
          <w:szCs w:val="24"/>
        </w:rPr>
      </w:pPr>
      <w:r>
        <w:rPr>
          <w:rFonts w:ascii="Book Antiqua" w:hAnsi="Book Antiqua"/>
          <w:sz w:val="24"/>
          <w:szCs w:val="24"/>
        </w:rPr>
        <w:t>Thirty-six percent of individuals with SAS have abnormal upper central incisors. In addition, 36% have dental crowding, 16% have hypodontia, 6% have delayed primary dentition, and/or 4% have diastema</w:t>
      </w:r>
      <w:r>
        <w:rPr>
          <w:rFonts w:ascii="Book Antiqua" w:hAnsi="Book Antiqua"/>
          <w:sz w:val="24"/>
          <w:szCs w:val="24"/>
          <w:vertAlign w:val="superscript"/>
        </w:rPr>
        <w:t>[22]</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Delayed permanent root formatio</w:t>
      </w:r>
      <w:bookmarkStart w:id="170" w:name="OLE_LINK73"/>
      <w:bookmarkStart w:id="171" w:name="OLE_LINK74"/>
      <w:r>
        <w:rPr>
          <w:rFonts w:ascii="Book Antiqua" w:hAnsi="Book Antiqua"/>
          <w:sz w:val="24"/>
          <w:szCs w:val="24"/>
        </w:rPr>
        <w:t>n, delayed or missing second bicuspids, and malformed teeth have been found on radiography</w:t>
      </w:r>
      <w:r>
        <w:rPr>
          <w:rFonts w:ascii="Book Antiqua" w:hAnsi="Book Antiqua"/>
          <w:sz w:val="24"/>
          <w:szCs w:val="24"/>
          <w:vertAlign w:val="superscript"/>
        </w:rPr>
        <w:t>[25]</w:t>
      </w:r>
      <w:r>
        <w:rPr>
          <w:rFonts w:ascii="Book Antiqua" w:hAnsi="Book Antiqua"/>
          <w:sz w:val="24"/>
          <w:szCs w:val="24"/>
        </w:rPr>
        <w:t>.</w:t>
      </w:r>
      <w:bookmarkEnd w:id="170"/>
      <w:bookmarkEnd w:id="171"/>
      <w:r>
        <w:rPr>
          <w:rFonts w:ascii="Book Antiqua" w:hAnsi="Book Antiqua"/>
          <w:sz w:val="24"/>
          <w:szCs w:val="24"/>
          <w:vertAlign w:val="superscript"/>
        </w:rPr>
        <w:t xml:space="preserve"> </w:t>
      </w:r>
      <w:r>
        <w:rPr>
          <w:rFonts w:ascii="Book Antiqua" w:hAnsi="Book Antiqua"/>
          <w:sz w:val="24"/>
          <w:szCs w:val="24"/>
        </w:rPr>
        <w:t>Multiple odontomas have been reported as an occasional manifestation in SAS patients</w:t>
      </w:r>
      <w:r>
        <w:rPr>
          <w:rFonts w:ascii="Book Antiqua" w:hAnsi="Book Antiqua"/>
          <w:sz w:val="24"/>
          <w:szCs w:val="24"/>
          <w:vertAlign w:val="superscript"/>
        </w:rPr>
        <w:t>[26]</w:t>
      </w:r>
      <w:r>
        <w:rPr>
          <w:rFonts w:ascii="Book Antiqua" w:hAnsi="Book Antiqua"/>
          <w:sz w:val="24"/>
          <w:szCs w:val="24"/>
        </w:rPr>
        <w:t>. In our case, dental crowding and irregular dentation were found, and he still did not grow any permanent teeth.</w:t>
      </w:r>
    </w:p>
    <w:p w14:paraId="52E4EBD5" w14:textId="77777777" w:rsidR="007D4E69" w:rsidRDefault="007D4E69">
      <w:pPr>
        <w:spacing w:line="360" w:lineRule="auto"/>
        <w:rPr>
          <w:rFonts w:ascii="Book Antiqua" w:hAnsi="Book Antiqua"/>
          <w:sz w:val="24"/>
          <w:szCs w:val="24"/>
        </w:rPr>
      </w:pPr>
    </w:p>
    <w:p w14:paraId="33381C94" w14:textId="77777777" w:rsidR="007D4E69" w:rsidRDefault="005A2594">
      <w:pPr>
        <w:spacing w:line="360" w:lineRule="auto"/>
        <w:rPr>
          <w:rFonts w:ascii="Book Antiqua" w:hAnsi="Book Antiqua"/>
          <w:sz w:val="24"/>
          <w:szCs w:val="24"/>
        </w:rPr>
      </w:pPr>
      <w:r>
        <w:rPr>
          <w:rFonts w:ascii="Book Antiqua" w:hAnsi="Book Antiqua"/>
          <w:b/>
          <w:bCs/>
          <w:i/>
          <w:iCs/>
          <w:sz w:val="24"/>
          <w:szCs w:val="24"/>
        </w:rPr>
        <w:t>Behavioral issues with or without bone or brain MRI anomalies</w:t>
      </w:r>
    </w:p>
    <w:p w14:paraId="0AAD1736"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A broad spectrum of behavioral issues has been reported, including </w:t>
      </w:r>
      <w:bookmarkStart w:id="172" w:name="OLE_LINK31"/>
      <w:bookmarkStart w:id="173" w:name="OLE_LINK44"/>
      <w:r>
        <w:rPr>
          <w:rFonts w:ascii="Book Antiqua" w:hAnsi="Book Antiqua"/>
          <w:sz w:val="24"/>
          <w:szCs w:val="24"/>
        </w:rPr>
        <w:t>pleasant personality</w:t>
      </w:r>
      <w:bookmarkEnd w:id="172"/>
      <w:bookmarkEnd w:id="173"/>
      <w:r>
        <w:rPr>
          <w:rFonts w:ascii="Book Antiqua" w:hAnsi="Book Antiqua"/>
          <w:sz w:val="24"/>
          <w:szCs w:val="24"/>
        </w:rPr>
        <w:t>, irritability, hyperactivity, sleep problems, sensory issues,</w:t>
      </w:r>
      <w:bookmarkStart w:id="174" w:name="OLE_LINK104"/>
      <w:r>
        <w:rPr>
          <w:rFonts w:ascii="Book Antiqua" w:hAnsi="Book Antiqua"/>
          <w:sz w:val="24"/>
          <w:szCs w:val="24"/>
        </w:rPr>
        <w:t xml:space="preserve"> </w:t>
      </w:r>
      <w:bookmarkEnd w:id="174"/>
      <w:r>
        <w:rPr>
          <w:rFonts w:ascii="Book Antiqua" w:hAnsi="Book Antiqua"/>
          <w:sz w:val="24"/>
          <w:szCs w:val="24"/>
        </w:rPr>
        <w:t>stereotyped rep</w:t>
      </w:r>
      <w:bookmarkStart w:id="175" w:name="OLE_LINK68"/>
      <w:bookmarkStart w:id="176" w:name="OLE_LINK69"/>
      <w:r>
        <w:rPr>
          <w:rFonts w:ascii="Book Antiqua" w:hAnsi="Book Antiqua"/>
          <w:sz w:val="24"/>
          <w:szCs w:val="24"/>
        </w:rPr>
        <w:t xml:space="preserve">etitive movements, and </w:t>
      </w:r>
      <w:bookmarkStart w:id="177" w:name="OLE_LINK67"/>
      <w:r>
        <w:rPr>
          <w:rFonts w:ascii="Book Antiqua" w:hAnsi="Book Antiqua"/>
          <w:sz w:val="24"/>
          <w:szCs w:val="24"/>
        </w:rPr>
        <w:t>Rett syndrome-like phenotypes</w:t>
      </w:r>
      <w:bookmarkEnd w:id="177"/>
      <w:r>
        <w:rPr>
          <w:rFonts w:ascii="Book Antiqua" w:hAnsi="Book Antiqua"/>
          <w:sz w:val="24"/>
          <w:szCs w:val="24"/>
          <w:vertAlign w:val="superscript"/>
        </w:rPr>
        <w:t>[3,7,22,27,28]</w:t>
      </w:r>
      <w:r>
        <w:rPr>
          <w:rFonts w:ascii="Book Antiqua" w:hAnsi="Book Antiqua"/>
          <w:sz w:val="24"/>
          <w:szCs w:val="24"/>
        </w:rPr>
        <w:t>.</w:t>
      </w:r>
      <w:bookmarkEnd w:id="175"/>
      <w:bookmarkEnd w:id="176"/>
      <w:r>
        <w:rPr>
          <w:rFonts w:ascii="Book Antiqua" w:hAnsi="Book Antiqua"/>
          <w:sz w:val="24"/>
          <w:szCs w:val="24"/>
          <w:vertAlign w:val="superscript"/>
        </w:rPr>
        <w:t xml:space="preserve"> </w:t>
      </w:r>
      <w:r>
        <w:rPr>
          <w:rFonts w:ascii="Book Antiqua" w:hAnsi="Book Antiqua"/>
          <w:sz w:val="24"/>
          <w:szCs w:val="24"/>
        </w:rPr>
        <w:t>Nonspecific brain abnormalities detected by MRI are found in half of affected individuals, including ventricle enlargements, thin corpus callosum, enlarged perivascular spaces, and abnormal myelinization in white matter</w:t>
      </w:r>
      <w:bookmarkStart w:id="178" w:name="OLE_LINK165"/>
      <w:bookmarkStart w:id="179" w:name="OLE_LINK164"/>
      <w:bookmarkStart w:id="180" w:name="OLE_LINK167"/>
      <w:r>
        <w:rPr>
          <w:rFonts w:ascii="Book Antiqua" w:hAnsi="Book Antiqua"/>
          <w:sz w:val="24"/>
          <w:szCs w:val="24"/>
          <w:vertAlign w:val="superscript"/>
        </w:rPr>
        <w:t>[7,</w:t>
      </w:r>
      <w:bookmarkEnd w:id="178"/>
      <w:bookmarkEnd w:id="179"/>
      <w:bookmarkEnd w:id="180"/>
      <w:r>
        <w:rPr>
          <w:rFonts w:ascii="Book Antiqua" w:hAnsi="Book Antiqua"/>
          <w:sz w:val="24"/>
          <w:szCs w:val="24"/>
          <w:vertAlign w:val="superscript"/>
        </w:rPr>
        <w:t>22]</w:t>
      </w:r>
      <w:r>
        <w:rPr>
          <w:rFonts w:ascii="Book Antiqua" w:hAnsi="Book Antiqua"/>
          <w:sz w:val="24"/>
          <w:szCs w:val="24"/>
        </w:rPr>
        <w:t xml:space="preserve">. Some Pectus, finger, or spine deformities have been reported in </w:t>
      </w:r>
      <w:bookmarkStart w:id="181" w:name="OLE_LINK174"/>
      <w:r>
        <w:rPr>
          <w:rFonts w:ascii="Book Antiqua" w:hAnsi="Book Antiqua"/>
          <w:sz w:val="24"/>
          <w:szCs w:val="24"/>
        </w:rPr>
        <w:t>a few a</w:t>
      </w:r>
      <w:bookmarkStart w:id="182" w:name="OLE_LINK71"/>
      <w:r>
        <w:rPr>
          <w:rFonts w:ascii="Book Antiqua" w:hAnsi="Book Antiqua"/>
          <w:sz w:val="24"/>
          <w:szCs w:val="24"/>
        </w:rPr>
        <w:t>ffected individuals</w:t>
      </w:r>
      <w:bookmarkEnd w:id="182"/>
      <w:r>
        <w:rPr>
          <w:rFonts w:ascii="Book Antiqua" w:hAnsi="Book Antiqua"/>
          <w:sz w:val="24"/>
          <w:szCs w:val="24"/>
        </w:rPr>
        <w:t>, some with concurrent osteopenia</w:t>
      </w:r>
      <w:bookmarkStart w:id="183" w:name="OLE_LINK70"/>
      <w:r>
        <w:rPr>
          <w:rFonts w:ascii="Book Antiqua" w:hAnsi="Book Antiqua"/>
          <w:sz w:val="24"/>
          <w:szCs w:val="24"/>
          <w:vertAlign w:val="superscript"/>
        </w:rPr>
        <w:t>[8</w:t>
      </w:r>
      <w:bookmarkEnd w:id="183"/>
      <w:r>
        <w:rPr>
          <w:rFonts w:ascii="Book Antiqua" w:hAnsi="Book Antiqua"/>
          <w:sz w:val="24"/>
          <w:szCs w:val="24"/>
          <w:vertAlign w:val="superscript"/>
        </w:rPr>
        <w:t>,22]</w:t>
      </w:r>
      <w:r>
        <w:rPr>
          <w:rFonts w:ascii="Book Antiqua" w:hAnsi="Book Antiqua"/>
          <w:sz w:val="24"/>
          <w:szCs w:val="24"/>
        </w:rPr>
        <w:t xml:space="preserve">. In our case, the patient slept less, and brain MRI indicated </w:t>
      </w:r>
      <w:bookmarkStart w:id="184" w:name="OLE_LINK287"/>
      <w:r>
        <w:rPr>
          <w:rFonts w:ascii="Book Antiqua" w:hAnsi="Book Antiqua"/>
          <w:sz w:val="24"/>
          <w:szCs w:val="24"/>
        </w:rPr>
        <w:t xml:space="preserve">periventricular </w:t>
      </w:r>
      <w:bookmarkStart w:id="185" w:name="OLE_LINK113"/>
      <w:bookmarkStart w:id="186" w:name="OLE_LINK106"/>
      <w:r>
        <w:rPr>
          <w:rFonts w:ascii="Book Antiqua" w:hAnsi="Book Antiqua"/>
          <w:sz w:val="24"/>
          <w:szCs w:val="24"/>
        </w:rPr>
        <w:t xml:space="preserve">leukomalacia </w:t>
      </w:r>
      <w:bookmarkEnd w:id="185"/>
      <w:bookmarkEnd w:id="186"/>
      <w:r>
        <w:rPr>
          <w:rFonts w:ascii="Book Antiqua" w:hAnsi="Book Antiqua"/>
          <w:sz w:val="24"/>
          <w:szCs w:val="24"/>
        </w:rPr>
        <w:t xml:space="preserve">and poor </w:t>
      </w:r>
      <w:bookmarkStart w:id="187" w:name="OLE_LINK170"/>
      <w:bookmarkStart w:id="188" w:name="OLE_LINK171"/>
      <w:r>
        <w:rPr>
          <w:rFonts w:ascii="Book Antiqua" w:hAnsi="Book Antiqua"/>
          <w:sz w:val="24"/>
          <w:szCs w:val="24"/>
        </w:rPr>
        <w:t>myelinization</w:t>
      </w:r>
      <w:bookmarkEnd w:id="187"/>
      <w:bookmarkEnd w:id="188"/>
      <w:r>
        <w:rPr>
          <w:rFonts w:ascii="Book Antiqua" w:hAnsi="Book Antiqua"/>
          <w:sz w:val="24"/>
          <w:szCs w:val="24"/>
        </w:rPr>
        <w:t xml:space="preserve">, which is relatively common in </w:t>
      </w:r>
      <w:r>
        <w:rPr>
          <w:rFonts w:ascii="Book Antiqua" w:hAnsi="Book Antiqua"/>
          <w:sz w:val="24"/>
          <w:szCs w:val="24"/>
        </w:rPr>
        <w:lastRenderedPageBreak/>
        <w:t xml:space="preserve">subjects with a history of preterm or neonatal respiratory distress syndrome, </w:t>
      </w:r>
      <w:bookmarkEnd w:id="184"/>
      <w:r>
        <w:rPr>
          <w:rFonts w:ascii="Book Antiqua" w:hAnsi="Book Antiqua"/>
          <w:sz w:val="24"/>
          <w:szCs w:val="24"/>
        </w:rPr>
        <w:t xml:space="preserve">and showed normal </w:t>
      </w:r>
      <w:bookmarkStart w:id="189" w:name="OLE_LINK274"/>
      <w:bookmarkStart w:id="190" w:name="OLE_LINK273"/>
      <w:bookmarkStart w:id="191" w:name="OLE_LINK275"/>
      <w:r>
        <w:rPr>
          <w:rFonts w:ascii="Book Antiqua" w:hAnsi="Book Antiqua"/>
          <w:sz w:val="24"/>
          <w:szCs w:val="24"/>
        </w:rPr>
        <w:t>corpus callosum</w:t>
      </w:r>
      <w:bookmarkEnd w:id="189"/>
      <w:bookmarkEnd w:id="190"/>
      <w:bookmarkEnd w:id="191"/>
      <w:r>
        <w:rPr>
          <w:rFonts w:ascii="Book Antiqua" w:hAnsi="Book Antiqua"/>
          <w:sz w:val="24"/>
          <w:szCs w:val="24"/>
        </w:rPr>
        <w:t xml:space="preserve"> without obvious physical abnormalitie</w:t>
      </w:r>
      <w:bookmarkStart w:id="192" w:name="OLE_LINK269"/>
      <w:bookmarkStart w:id="193" w:name="OLE_LINK270"/>
      <w:r>
        <w:rPr>
          <w:rFonts w:ascii="Book Antiqua" w:hAnsi="Book Antiqua"/>
          <w:sz w:val="24"/>
          <w:szCs w:val="24"/>
        </w:rPr>
        <w:t>s (Figure 2B).</w:t>
      </w:r>
      <w:bookmarkEnd w:id="192"/>
      <w:bookmarkEnd w:id="193"/>
    </w:p>
    <w:p w14:paraId="2D6023FF" w14:textId="77777777" w:rsidR="007D4E69" w:rsidRDefault="007D4E69">
      <w:pPr>
        <w:spacing w:line="360" w:lineRule="auto"/>
        <w:rPr>
          <w:rFonts w:ascii="Book Antiqua" w:hAnsi="Book Antiqua"/>
          <w:sz w:val="24"/>
          <w:szCs w:val="24"/>
          <w:vertAlign w:val="superscript"/>
        </w:rPr>
      </w:pPr>
    </w:p>
    <w:p w14:paraId="5C51BC03" w14:textId="77777777" w:rsidR="007D4E69" w:rsidRDefault="005A2594">
      <w:pPr>
        <w:spacing w:line="360" w:lineRule="auto"/>
        <w:rPr>
          <w:rFonts w:ascii="Book Antiqua" w:hAnsi="Book Antiqua"/>
          <w:b/>
          <w:bCs/>
          <w:i/>
          <w:iCs/>
          <w:sz w:val="24"/>
          <w:szCs w:val="24"/>
        </w:rPr>
      </w:pPr>
      <w:bookmarkStart w:id="194" w:name="OLE_LINK72"/>
      <w:bookmarkStart w:id="195" w:name="OLE_LINK299"/>
      <w:bookmarkStart w:id="196" w:name="OLE_LINK298"/>
      <w:bookmarkEnd w:id="181"/>
      <w:r>
        <w:rPr>
          <w:rFonts w:ascii="Book Antiqua" w:hAnsi="Book Antiqua"/>
          <w:b/>
          <w:bCs/>
          <w:i/>
          <w:iCs/>
          <w:sz w:val="24"/>
          <w:szCs w:val="24"/>
        </w:rPr>
        <w:t>Age of onset before 2 years</w:t>
      </w:r>
    </w:p>
    <w:bookmarkEnd w:id="194"/>
    <w:p w14:paraId="46A698C7" w14:textId="77777777" w:rsidR="007D4E69" w:rsidRDefault="005A2594">
      <w:pPr>
        <w:spacing w:line="360" w:lineRule="auto"/>
        <w:ind w:left="1"/>
        <w:rPr>
          <w:rFonts w:ascii="Book Antiqua" w:hAnsi="Book Antiqua"/>
          <w:sz w:val="24"/>
          <w:szCs w:val="24"/>
        </w:rPr>
      </w:pPr>
      <w:r>
        <w:rPr>
          <w:rFonts w:ascii="Book Antiqua" w:hAnsi="Book Antiqua"/>
          <w:bCs/>
          <w:iCs/>
          <w:sz w:val="24"/>
          <w:szCs w:val="24"/>
        </w:rPr>
        <w:t>I</w:t>
      </w:r>
      <w:r>
        <w:rPr>
          <w:rFonts w:ascii="Book Antiqua" w:hAnsi="Book Antiqua"/>
          <w:sz w:val="24"/>
          <w:szCs w:val="24"/>
        </w:rPr>
        <w:t>ndividuals with SAS fail to reach normal developmental milestones from infancy. Some other signs may exist from infancy, such as mild but nonspecific facial dysmorphism, hypotonia, feeding difficulties, clinical seizures, and abnormal muscle strength</w:t>
      </w:r>
      <w:r>
        <w:rPr>
          <w:rFonts w:ascii="Book Antiqua" w:hAnsi="Book Antiqua"/>
          <w:sz w:val="24"/>
          <w:szCs w:val="24"/>
          <w:vertAlign w:val="superscript"/>
        </w:rPr>
        <w:t>[22]</w:t>
      </w:r>
      <w:r>
        <w:rPr>
          <w:rFonts w:ascii="Book Antiqua" w:hAnsi="Book Antiqua"/>
          <w:sz w:val="24"/>
          <w:szCs w:val="24"/>
        </w:rPr>
        <w:t>.</w:t>
      </w:r>
      <w:bookmarkStart w:id="197" w:name="OLE_LINK178"/>
      <w:bookmarkStart w:id="198" w:name="OLE_LINK177"/>
      <w:r>
        <w:rPr>
          <w:rFonts w:ascii="Book Antiqua" w:hAnsi="Book Antiqua"/>
          <w:sz w:val="24"/>
          <w:szCs w:val="24"/>
          <w:vertAlign w:val="superscript"/>
        </w:rPr>
        <w:t xml:space="preserve"> </w:t>
      </w:r>
      <w:r>
        <w:rPr>
          <w:rFonts w:ascii="Book Antiqua" w:hAnsi="Book Antiqua"/>
          <w:sz w:val="24"/>
          <w:szCs w:val="24"/>
        </w:rPr>
        <w:t xml:space="preserve">Growth restriction, severe heart defects, small or undescended testicles, inguinal hernias, hypospadias, and </w:t>
      </w:r>
      <w:bookmarkStart w:id="199" w:name="OLE_LINK176"/>
      <w:bookmarkStart w:id="200" w:name="OLE_LINK175"/>
      <w:r>
        <w:rPr>
          <w:rFonts w:ascii="Book Antiqua" w:hAnsi="Book Antiqua"/>
          <w:sz w:val="24"/>
          <w:szCs w:val="24"/>
        </w:rPr>
        <w:t>thin</w:t>
      </w:r>
      <w:bookmarkEnd w:id="199"/>
      <w:bookmarkEnd w:id="200"/>
      <w:r>
        <w:rPr>
          <w:rFonts w:ascii="Book Antiqua" w:hAnsi="Book Antiqua"/>
          <w:sz w:val="24"/>
          <w:szCs w:val="24"/>
        </w:rPr>
        <w:t xml:space="preserve"> skin or hair have been reported in several cases with large deletions including </w:t>
      </w:r>
      <w:r>
        <w:rPr>
          <w:rFonts w:ascii="Book Antiqua" w:hAnsi="Book Antiqua"/>
          <w:i/>
          <w:iCs/>
          <w:sz w:val="24"/>
          <w:szCs w:val="24"/>
        </w:rPr>
        <w:t>SATB2</w:t>
      </w:r>
      <w:r>
        <w:rPr>
          <w:rFonts w:ascii="Book Antiqua" w:hAnsi="Book Antiqua"/>
          <w:sz w:val="24"/>
          <w:szCs w:val="24"/>
          <w:vertAlign w:val="superscript"/>
        </w:rPr>
        <w:t>[22]</w:t>
      </w:r>
      <w:r>
        <w:rPr>
          <w:rFonts w:ascii="Book Antiqua" w:hAnsi="Book Antiqua"/>
          <w:sz w:val="24"/>
          <w:szCs w:val="24"/>
        </w:rPr>
        <w:t>.</w:t>
      </w:r>
      <w:bookmarkEnd w:id="197"/>
      <w:bookmarkEnd w:id="198"/>
      <w:r>
        <w:rPr>
          <w:rFonts w:ascii="Book Antiqua" w:hAnsi="Book Antiqua"/>
          <w:sz w:val="24"/>
          <w:szCs w:val="24"/>
        </w:rPr>
        <w:t xml:space="preserve"> In our case, the patient had short stature, though genetic analysis did not reveal large gene deletions.</w:t>
      </w:r>
    </w:p>
    <w:p w14:paraId="003FF465" w14:textId="77777777" w:rsidR="007D4E69" w:rsidRDefault="005A2594">
      <w:pPr>
        <w:spacing w:line="360" w:lineRule="auto"/>
        <w:ind w:firstLineChars="100" w:firstLine="240"/>
        <w:rPr>
          <w:rFonts w:ascii="Book Antiqua" w:hAnsi="Book Antiqua"/>
          <w:sz w:val="24"/>
          <w:szCs w:val="24"/>
        </w:rPr>
      </w:pPr>
      <w:bookmarkStart w:id="201" w:name="OLE_LINK316"/>
      <w:bookmarkStart w:id="202" w:name="OLE_LINK317"/>
      <w:bookmarkEnd w:id="195"/>
      <w:bookmarkEnd w:id="196"/>
      <w:r>
        <w:rPr>
          <w:rFonts w:ascii="Book Antiqua" w:hAnsi="Book Antiqua"/>
          <w:sz w:val="24"/>
          <w:szCs w:val="24"/>
        </w:rPr>
        <w:t xml:space="preserve">According to the gene database for SAS (https://satb2gene.com/pros-molecular-data/), 194 variants have been identified, and single nucleotide variants causing a premature stop codon were the most frequent type (46%) followed by missense variants (25%), large deletions &gt; 1 Mb (19%), and small deletions (12%). According to the published data, 120 unique variants have been identified in </w:t>
      </w:r>
      <w:r>
        <w:rPr>
          <w:rFonts w:ascii="Book Antiqua" w:hAnsi="Book Antiqua"/>
          <w:i/>
          <w:iCs/>
          <w:sz w:val="24"/>
          <w:szCs w:val="24"/>
        </w:rPr>
        <w:t>SATB2</w:t>
      </w:r>
      <w:r>
        <w:rPr>
          <w:rFonts w:ascii="Book Antiqua" w:hAnsi="Book Antiqua"/>
          <w:sz w:val="24"/>
          <w:szCs w:val="24"/>
        </w:rPr>
        <w:t xml:space="preserve">, and the most common ones were single nucleotide variants inducing the occurrence of a stop codon (42.5%), and next were the missense variants (25.8%). </w:t>
      </w:r>
      <w:bookmarkStart w:id="203" w:name="OLE_LINK233"/>
      <w:bookmarkStart w:id="204" w:name="OLE_LINK232"/>
      <w:r>
        <w:rPr>
          <w:rFonts w:ascii="Book Antiqua" w:hAnsi="Book Antiqua"/>
          <w:sz w:val="24"/>
          <w:szCs w:val="24"/>
        </w:rPr>
        <w:t>About 74.2</w:t>
      </w:r>
      <w:bookmarkEnd w:id="203"/>
      <w:bookmarkEnd w:id="204"/>
      <w:r>
        <w:rPr>
          <w:rFonts w:ascii="Book Antiqua" w:hAnsi="Book Antiqua"/>
          <w:sz w:val="24"/>
          <w:szCs w:val="24"/>
        </w:rPr>
        <w:t xml:space="preserve">% of missense variants are located in </w:t>
      </w:r>
      <w:bookmarkStart w:id="205" w:name="OLE_LINK236"/>
      <w:bookmarkStart w:id="206" w:name="OLE_LINK237"/>
      <w:r>
        <w:rPr>
          <w:rFonts w:ascii="Book Antiqua" w:hAnsi="Book Antiqua"/>
          <w:sz w:val="24"/>
          <w:szCs w:val="24"/>
        </w:rPr>
        <w:t>CUT</w:t>
      </w:r>
      <w:bookmarkEnd w:id="205"/>
      <w:bookmarkEnd w:id="206"/>
      <w:r>
        <w:rPr>
          <w:rFonts w:ascii="Book Antiqua" w:hAnsi="Book Antiqua"/>
          <w:sz w:val="24"/>
          <w:szCs w:val="24"/>
        </w:rPr>
        <w:t>1, CUT2, or homeodomain</w:t>
      </w:r>
      <w:bookmarkStart w:id="207" w:name="OLE_LINK234"/>
      <w:bookmarkStart w:id="208" w:name="OLE_LINK235"/>
      <w:r>
        <w:rPr>
          <w:rFonts w:ascii="Book Antiqua" w:hAnsi="Book Antiqua"/>
          <w:sz w:val="24"/>
          <w:szCs w:val="24"/>
        </w:rPr>
        <w:t xml:space="preserve"> DNA protein </w:t>
      </w:r>
      <w:bookmarkEnd w:id="207"/>
      <w:bookmarkEnd w:id="208"/>
      <w:r>
        <w:rPr>
          <w:rFonts w:ascii="Book Antiqua" w:hAnsi="Book Antiqua"/>
          <w:sz w:val="24"/>
          <w:szCs w:val="24"/>
        </w:rPr>
        <w:t>domains</w:t>
      </w:r>
      <w:bookmarkStart w:id="209" w:name="OLE_LINK39"/>
      <w:r>
        <w:rPr>
          <w:rFonts w:ascii="Book Antiqua" w:hAnsi="Book Antiqua"/>
          <w:sz w:val="24"/>
          <w:szCs w:val="24"/>
          <w:vertAlign w:val="superscript"/>
        </w:rPr>
        <w:t>[12]</w:t>
      </w:r>
      <w:bookmarkEnd w:id="209"/>
      <w:r>
        <w:rPr>
          <w:rFonts w:ascii="Book Antiqua" w:hAnsi="Book Antiqua"/>
          <w:sz w:val="24"/>
          <w:szCs w:val="24"/>
        </w:rPr>
        <w:t xml:space="preserve">. The mutation detected in our case (c.687C&gt;A (p.Y229X)) is a nonsense point mutation that has not been </w:t>
      </w:r>
      <w:bookmarkStart w:id="210" w:name="OLE_LINK120"/>
      <w:r>
        <w:rPr>
          <w:rFonts w:ascii="Book Antiqua" w:hAnsi="Book Antiqua"/>
          <w:sz w:val="24"/>
          <w:szCs w:val="24"/>
        </w:rPr>
        <w:t>reported previously and located in the CUTL domain.</w:t>
      </w:r>
    </w:p>
    <w:bookmarkEnd w:id="201"/>
    <w:bookmarkEnd w:id="202"/>
    <w:bookmarkEnd w:id="210"/>
    <w:p w14:paraId="308F81F6"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The phenotypes are heterogeneous according to the fragment deletion size and locations of mutations in </w:t>
      </w:r>
      <w:r>
        <w:rPr>
          <w:rFonts w:ascii="Book Antiqua" w:hAnsi="Book Antiqua"/>
          <w:i/>
          <w:iCs/>
          <w:sz w:val="24"/>
          <w:szCs w:val="24"/>
        </w:rPr>
        <w:t xml:space="preserve">SATB2 </w:t>
      </w:r>
      <w:r>
        <w:rPr>
          <w:rFonts w:ascii="Book Antiqua" w:hAnsi="Book Antiqua"/>
          <w:sz w:val="24"/>
          <w:szCs w:val="24"/>
          <w:vertAlign w:val="superscript"/>
        </w:rPr>
        <w:t>[12]</w:t>
      </w:r>
      <w:r>
        <w:rPr>
          <w:rFonts w:ascii="Book Antiqua" w:hAnsi="Book Antiqua"/>
          <w:iCs/>
          <w:sz w:val="24"/>
          <w:szCs w:val="24"/>
        </w:rPr>
        <w:t>.</w:t>
      </w:r>
      <w:r>
        <w:rPr>
          <w:rFonts w:ascii="Book Antiqua" w:hAnsi="Book Antiqua"/>
          <w:sz w:val="24"/>
          <w:szCs w:val="24"/>
        </w:rPr>
        <w:t xml:space="preserve"> </w:t>
      </w:r>
      <w:bookmarkStart w:id="211" w:name="OLE_LINK169"/>
      <w:bookmarkStart w:id="212" w:name="OLE_LINK168"/>
      <w:bookmarkStart w:id="213" w:name="OLE_LINK188"/>
      <w:bookmarkStart w:id="214" w:name="OLE_LINK189"/>
      <w:bookmarkStart w:id="215" w:name="OLE_LINK190"/>
      <w:r>
        <w:rPr>
          <w:rFonts w:ascii="Book Antiqua" w:hAnsi="Book Antiqua"/>
          <w:sz w:val="24"/>
          <w:szCs w:val="24"/>
        </w:rPr>
        <w:t>For example, abnormal myelination and/or white matter abnormalities were relatively common (26%) in patients with pathogenic nonsense, missense</w:t>
      </w:r>
      <w:bookmarkStart w:id="216" w:name="OLE_LINK183"/>
      <w:bookmarkStart w:id="217" w:name="OLE_LINK184"/>
      <w:bookmarkStart w:id="218" w:name="OLE_LINK182"/>
      <w:bookmarkStart w:id="219" w:name="OLE_LINK181"/>
      <w:r>
        <w:rPr>
          <w:rFonts w:ascii="Book Antiqua" w:hAnsi="Book Antiqua"/>
          <w:sz w:val="24"/>
          <w:szCs w:val="24"/>
        </w:rPr>
        <w:t>,</w:t>
      </w:r>
      <w:bookmarkStart w:id="220" w:name="OLE_LINK187"/>
      <w:bookmarkEnd w:id="216"/>
      <w:bookmarkEnd w:id="217"/>
      <w:r>
        <w:rPr>
          <w:rFonts w:ascii="Book Antiqua" w:hAnsi="Book Antiqua"/>
          <w:sz w:val="24"/>
          <w:szCs w:val="24"/>
        </w:rPr>
        <w:t xml:space="preserve"> and</w:t>
      </w:r>
      <w:bookmarkEnd w:id="218"/>
      <w:bookmarkEnd w:id="219"/>
      <w:r>
        <w:rPr>
          <w:rFonts w:ascii="Book Antiqua" w:hAnsi="Book Antiqua"/>
          <w:sz w:val="24"/>
          <w:szCs w:val="24"/>
        </w:rPr>
        <w:t xml:space="preserve"> </w:t>
      </w:r>
      <w:bookmarkStart w:id="221" w:name="OLE_LINK186"/>
      <w:bookmarkStart w:id="222" w:name="OLE_LINK185"/>
      <w:r>
        <w:rPr>
          <w:rFonts w:ascii="Book Antiqua" w:hAnsi="Book Antiqua"/>
          <w:sz w:val="24"/>
          <w:szCs w:val="24"/>
        </w:rPr>
        <w:t>frame</w:t>
      </w:r>
      <w:bookmarkEnd w:id="220"/>
      <w:r>
        <w:rPr>
          <w:rFonts w:ascii="Book Antiqua" w:hAnsi="Book Antiqua"/>
          <w:sz w:val="24"/>
          <w:szCs w:val="24"/>
        </w:rPr>
        <w:t>shift</w:t>
      </w:r>
      <w:bookmarkEnd w:id="221"/>
      <w:bookmarkEnd w:id="222"/>
      <w:r>
        <w:rPr>
          <w:rFonts w:ascii="Book Antiqua" w:hAnsi="Book Antiqua"/>
          <w:sz w:val="24"/>
          <w:szCs w:val="24"/>
        </w:rPr>
        <w:t xml:space="preserve"> variants</w:t>
      </w:r>
      <w:bookmarkStart w:id="223" w:name="OLE_LINK180"/>
      <w:bookmarkStart w:id="224" w:name="OLE_LINK179"/>
      <w:bookmarkEnd w:id="211"/>
      <w:bookmarkEnd w:id="212"/>
      <w:r>
        <w:rPr>
          <w:rFonts w:ascii="Book Antiqua" w:hAnsi="Book Antiqua"/>
          <w:sz w:val="24"/>
          <w:szCs w:val="24"/>
        </w:rPr>
        <w:t xml:space="preserve">, while </w:t>
      </w:r>
      <w:bookmarkEnd w:id="223"/>
      <w:bookmarkEnd w:id="224"/>
      <w:r>
        <w:rPr>
          <w:rFonts w:ascii="Book Antiqua" w:hAnsi="Book Antiqua"/>
          <w:sz w:val="24"/>
          <w:szCs w:val="24"/>
        </w:rPr>
        <w:t>abnormalities in heart, testicles, skin, or hair were reported in patients with large fragment deletions</w:t>
      </w:r>
      <w:r>
        <w:rPr>
          <w:rFonts w:ascii="Book Antiqua" w:hAnsi="Book Antiqua"/>
          <w:sz w:val="24"/>
          <w:szCs w:val="24"/>
          <w:vertAlign w:val="superscript"/>
        </w:rPr>
        <w:t>[7,22]</w:t>
      </w:r>
      <w:r>
        <w:rPr>
          <w:rFonts w:ascii="Book Antiqua" w:hAnsi="Book Antiqua"/>
          <w:sz w:val="24"/>
          <w:szCs w:val="24"/>
        </w:rPr>
        <w:t>.</w:t>
      </w:r>
      <w:bookmarkEnd w:id="213"/>
      <w:bookmarkEnd w:id="214"/>
      <w:bookmarkEnd w:id="215"/>
      <w:r>
        <w:rPr>
          <w:rFonts w:ascii="Book Antiqua" w:hAnsi="Book Antiqua"/>
          <w:sz w:val="24"/>
          <w:szCs w:val="24"/>
          <w:vertAlign w:val="superscript"/>
        </w:rPr>
        <w:t xml:space="preserve"> </w:t>
      </w:r>
      <w:r>
        <w:rPr>
          <w:rFonts w:ascii="Book Antiqua" w:hAnsi="Book Antiqua"/>
          <w:sz w:val="24"/>
          <w:szCs w:val="24"/>
        </w:rPr>
        <w:t xml:space="preserve">In addition, even the same genotypes of p.R239* that have been detected in different </w:t>
      </w:r>
      <w:r>
        <w:rPr>
          <w:rFonts w:ascii="Book Antiqua" w:hAnsi="Book Antiqua"/>
          <w:sz w:val="24"/>
          <w:szCs w:val="24"/>
        </w:rPr>
        <w:lastRenderedPageBreak/>
        <w:t xml:space="preserve">individuals have phenotypes that were not identical (from Genotype-Phenotype database at https://satb2gene.com/pros-molecular-data/). </w:t>
      </w:r>
    </w:p>
    <w:p w14:paraId="0C7987D9" w14:textId="77777777" w:rsidR="007D4E69" w:rsidRDefault="005A2594">
      <w:pPr>
        <w:spacing w:line="360" w:lineRule="auto"/>
        <w:ind w:firstLineChars="100" w:firstLine="240"/>
        <w:rPr>
          <w:rFonts w:ascii="Book Antiqua" w:hAnsi="Book Antiqua"/>
          <w:sz w:val="24"/>
          <w:szCs w:val="24"/>
        </w:rPr>
      </w:pPr>
      <w:bookmarkStart w:id="225" w:name="OLE_LINK228"/>
      <w:bookmarkStart w:id="226" w:name="OLE_LINK229"/>
      <w:r>
        <w:rPr>
          <w:rFonts w:ascii="Book Antiqua" w:hAnsi="Book Antiqua"/>
          <w:sz w:val="24"/>
          <w:szCs w:val="24"/>
        </w:rPr>
        <w:t xml:space="preserve">The reasons for the heterogeneous manifestations for SAS can be the complicated pathogenic involvements and functions of SATB2. SATB2 is a kind of matrix attachment region-binding transcription factor, </w:t>
      </w:r>
      <w:bookmarkEnd w:id="225"/>
      <w:bookmarkEnd w:id="226"/>
      <w:r>
        <w:rPr>
          <w:rFonts w:ascii="Book Antiqua" w:hAnsi="Book Antiqua"/>
          <w:sz w:val="24"/>
          <w:szCs w:val="24"/>
        </w:rPr>
        <w:t>with high levels of expression in the brain, including the cerebral cortex and spinal cord, and plays a role in central nervous system development</w:t>
      </w:r>
      <w:r>
        <w:rPr>
          <w:rFonts w:ascii="Book Antiqua" w:hAnsi="Book Antiqua"/>
          <w:sz w:val="24"/>
          <w:szCs w:val="24"/>
          <w:vertAlign w:val="superscript"/>
        </w:rPr>
        <w:t>[29]</w:t>
      </w:r>
      <w:r>
        <w:rPr>
          <w:rFonts w:ascii="Book Antiqua" w:hAnsi="Book Antiqua"/>
          <w:sz w:val="24"/>
          <w:szCs w:val="24"/>
        </w:rPr>
        <w:t xml:space="preserve">. SATB2 </w:t>
      </w:r>
      <w:bookmarkStart w:id="227" w:name="OLE_LINK282"/>
      <w:bookmarkStart w:id="228" w:name="OLE_LINK283"/>
      <w:r>
        <w:rPr>
          <w:rFonts w:ascii="Book Antiqua" w:hAnsi="Book Antiqua"/>
          <w:sz w:val="24"/>
          <w:szCs w:val="24"/>
        </w:rPr>
        <w:t>haploinsufficiency</w:t>
      </w:r>
      <w:bookmarkEnd w:id="227"/>
      <w:bookmarkEnd w:id="228"/>
      <w:r>
        <w:rPr>
          <w:rFonts w:ascii="Book Antiqua" w:hAnsi="Book Antiqua"/>
          <w:sz w:val="24"/>
          <w:szCs w:val="24"/>
        </w:rPr>
        <w:t xml:space="preserve"> can be the cause for intellectual disability. Mutant SATB2 protein appears functionally inactive because of the disrupted associations with chromati</w:t>
      </w:r>
      <w:bookmarkStart w:id="229" w:name="OLE_LINK96"/>
      <w:bookmarkStart w:id="230" w:name="OLE_LINK122"/>
      <w:r>
        <w:rPr>
          <w:rFonts w:ascii="Book Antiqua" w:hAnsi="Book Antiqua"/>
          <w:sz w:val="24"/>
          <w:szCs w:val="24"/>
        </w:rPr>
        <w:t>n or matrix</w:t>
      </w:r>
      <w:bookmarkStart w:id="231" w:name="OLE_LINK208"/>
      <w:bookmarkStart w:id="232" w:name="OLE_LINK209"/>
      <w:bookmarkEnd w:id="229"/>
      <w:bookmarkEnd w:id="230"/>
      <w:r>
        <w:rPr>
          <w:rFonts w:ascii="Book Antiqua" w:hAnsi="Book Antiqua"/>
          <w:sz w:val="24"/>
          <w:szCs w:val="24"/>
          <w:vertAlign w:val="superscript"/>
        </w:rPr>
        <w:t>[3,14</w:t>
      </w:r>
      <w:bookmarkEnd w:id="231"/>
      <w:bookmarkEnd w:id="232"/>
      <w:r>
        <w:rPr>
          <w:rFonts w:ascii="Book Antiqua" w:hAnsi="Book Antiqua"/>
          <w:sz w:val="24"/>
          <w:szCs w:val="24"/>
          <w:vertAlign w:val="superscript"/>
        </w:rPr>
        <w:t>]</w:t>
      </w:r>
      <w:r>
        <w:rPr>
          <w:rFonts w:ascii="Book Antiqua" w:hAnsi="Book Antiqua"/>
          <w:sz w:val="24"/>
          <w:szCs w:val="24"/>
        </w:rPr>
        <w:t>. The oligomerization of the N-terminal domain of SATB1, another SATB family protein, is critical for DNA-binding affinity</w:t>
      </w:r>
      <w:r>
        <w:rPr>
          <w:rFonts w:ascii="Book Antiqua" w:hAnsi="Book Antiqua"/>
          <w:sz w:val="24"/>
          <w:szCs w:val="24"/>
          <w:vertAlign w:val="superscript"/>
        </w:rPr>
        <w:t>[30]</w:t>
      </w:r>
      <w:r>
        <w:rPr>
          <w:rFonts w:ascii="Book Antiqua" w:hAnsi="Book Antiqua"/>
          <w:sz w:val="24"/>
          <w:szCs w:val="24"/>
        </w:rPr>
        <w:t>. The truncated protein with left N-terminus and CUTL domain in a patient with a heterozygous nonsense mutation of</w:t>
      </w:r>
      <w:bookmarkStart w:id="233" w:name="OLE_LINK243"/>
      <w:bookmarkStart w:id="234" w:name="OLE_LINK242"/>
      <w:r>
        <w:rPr>
          <w:rFonts w:ascii="Book Antiqua" w:hAnsi="Book Antiqua"/>
          <w:sz w:val="24"/>
          <w:szCs w:val="24"/>
        </w:rPr>
        <w:t xml:space="preserve"> c.715C&gt;T (p.R239X)</w:t>
      </w:r>
      <w:bookmarkEnd w:id="233"/>
      <w:bookmarkEnd w:id="234"/>
      <w:r>
        <w:rPr>
          <w:rFonts w:ascii="Book Antiqua" w:hAnsi="Book Antiqua"/>
          <w:sz w:val="24"/>
          <w:szCs w:val="24"/>
        </w:rPr>
        <w:t xml:space="preserve"> has been shown to localize to the nucleus and interferes with the normal activity of wild-type SATB2 protein by forming a dimer with wild-type SATB2</w:t>
      </w:r>
      <w:bookmarkStart w:id="235" w:name="OLE_LINK248"/>
      <w:bookmarkStart w:id="236" w:name="OLE_LINK249"/>
      <w:r>
        <w:rPr>
          <w:rFonts w:ascii="Book Antiqua" w:hAnsi="Book Antiqua"/>
          <w:sz w:val="24"/>
          <w:szCs w:val="24"/>
          <w:vertAlign w:val="superscript"/>
        </w:rPr>
        <w:t>[16</w:t>
      </w:r>
      <w:bookmarkEnd w:id="235"/>
      <w:bookmarkEnd w:id="236"/>
      <w:r>
        <w:rPr>
          <w:rFonts w:ascii="Book Antiqua" w:hAnsi="Book Antiqua"/>
          <w:sz w:val="24"/>
          <w:szCs w:val="24"/>
          <w:vertAlign w:val="superscript"/>
        </w:rPr>
        <w:t>]</w:t>
      </w:r>
      <w:r>
        <w:rPr>
          <w:rFonts w:ascii="Book Antiqua" w:hAnsi="Book Antiqua"/>
          <w:sz w:val="24"/>
          <w:szCs w:val="24"/>
        </w:rPr>
        <w:t xml:space="preserve">. In our case, the mutation is near the reported mutation </w:t>
      </w:r>
      <w:bookmarkStart w:id="237" w:name="OLE_LINK321"/>
      <w:bookmarkStart w:id="238" w:name="OLE_LINK320"/>
      <w:r>
        <w:rPr>
          <w:rFonts w:ascii="Book Antiqua" w:hAnsi="Book Antiqua"/>
          <w:sz w:val="24"/>
          <w:szCs w:val="24"/>
        </w:rPr>
        <w:t>of c.715C&gt;T (p.R239X)</w:t>
      </w:r>
      <w:bookmarkEnd w:id="237"/>
      <w:bookmarkEnd w:id="238"/>
      <w:r>
        <w:rPr>
          <w:rFonts w:ascii="Book Antiqua" w:hAnsi="Book Antiqua"/>
          <w:sz w:val="24"/>
          <w:szCs w:val="24"/>
        </w:rPr>
        <w:t xml:space="preserve">, induces a stop </w:t>
      </w:r>
      <w:bookmarkStart w:id="239" w:name="OLE_LINK323"/>
      <w:bookmarkStart w:id="240" w:name="OLE_LINK322"/>
      <w:r>
        <w:rPr>
          <w:rFonts w:ascii="Book Antiqua" w:hAnsi="Book Antiqua"/>
          <w:sz w:val="24"/>
          <w:szCs w:val="24"/>
        </w:rPr>
        <w:t xml:space="preserve">codon at </w:t>
      </w:r>
      <w:bookmarkEnd w:id="239"/>
      <w:bookmarkEnd w:id="240"/>
      <w:r>
        <w:rPr>
          <w:rFonts w:ascii="Book Antiqua" w:hAnsi="Book Antiqua"/>
          <w:sz w:val="24"/>
          <w:szCs w:val="24"/>
        </w:rPr>
        <w:t xml:space="preserve">the end of the CUTL domain, and can leave an unaffected </w:t>
      </w:r>
      <w:bookmarkStart w:id="241" w:name="OLE_LINK238"/>
      <w:bookmarkStart w:id="242" w:name="OLE_LINK239"/>
      <w:r>
        <w:rPr>
          <w:rFonts w:ascii="Book Antiqua" w:hAnsi="Book Antiqua"/>
          <w:sz w:val="24"/>
          <w:szCs w:val="24"/>
        </w:rPr>
        <w:t>N-terminus</w:t>
      </w:r>
      <w:bookmarkEnd w:id="241"/>
      <w:bookmarkEnd w:id="242"/>
      <w:r>
        <w:rPr>
          <w:rFonts w:ascii="Book Antiqua" w:hAnsi="Book Antiqua"/>
          <w:sz w:val="24"/>
          <w:szCs w:val="24"/>
        </w:rPr>
        <w:t xml:space="preserve"> and oligomeriz</w:t>
      </w:r>
      <w:bookmarkStart w:id="243" w:name="OLE_LINK318"/>
      <w:bookmarkStart w:id="244" w:name="OLE_LINK319"/>
      <w:r>
        <w:rPr>
          <w:rFonts w:ascii="Book Antiqua" w:hAnsi="Book Antiqua"/>
          <w:sz w:val="24"/>
          <w:szCs w:val="24"/>
        </w:rPr>
        <w:t>ation domain of SATB2. This may disturb the DNA binding and gene regulation</w:t>
      </w:r>
      <w:bookmarkEnd w:id="243"/>
      <w:bookmarkEnd w:id="244"/>
      <w:r>
        <w:rPr>
          <w:rFonts w:ascii="Book Antiqua" w:hAnsi="Book Antiqua"/>
          <w:sz w:val="24"/>
          <w:szCs w:val="24"/>
        </w:rPr>
        <w:t xml:space="preserve"> like the reported mutation of c.715C&gt;T (p.R239X).</w:t>
      </w:r>
    </w:p>
    <w:p w14:paraId="2D5D4AA7" w14:textId="77777777" w:rsidR="007D4E69" w:rsidRDefault="005A2594">
      <w:pPr>
        <w:spacing w:line="360" w:lineRule="auto"/>
        <w:ind w:firstLineChars="100" w:firstLine="240"/>
        <w:rPr>
          <w:rFonts w:ascii="Book Antiqua" w:hAnsi="Book Antiqua"/>
          <w:sz w:val="24"/>
          <w:szCs w:val="24"/>
        </w:rPr>
      </w:pPr>
      <w:bookmarkStart w:id="245" w:name="OLE_LINK247"/>
      <w:bookmarkStart w:id="246" w:name="OLE_LINK246"/>
      <w:r>
        <w:rPr>
          <w:rFonts w:ascii="Book Antiqua" w:hAnsi="Book Antiqua"/>
          <w:sz w:val="24"/>
          <w:szCs w:val="24"/>
        </w:rPr>
        <w:t xml:space="preserve">SATB2 </w:t>
      </w:r>
      <w:bookmarkStart w:id="247" w:name="OLE_LINK324"/>
      <w:bookmarkStart w:id="248" w:name="OLE_LINK325"/>
      <w:r>
        <w:rPr>
          <w:rFonts w:ascii="Book Antiqua" w:hAnsi="Book Antiqua"/>
          <w:sz w:val="24"/>
          <w:szCs w:val="24"/>
        </w:rPr>
        <w:t>is involved in</w:t>
      </w:r>
      <w:bookmarkEnd w:id="247"/>
      <w:bookmarkEnd w:id="248"/>
      <w:r>
        <w:rPr>
          <w:rFonts w:ascii="Book Antiqua" w:hAnsi="Book Antiqua"/>
          <w:sz w:val="24"/>
          <w:szCs w:val="24"/>
        </w:rPr>
        <w:t xml:space="preserve"> transcription regulation and chromatin remodeling.</w:t>
      </w:r>
      <w:bookmarkEnd w:id="245"/>
      <w:bookmarkEnd w:id="246"/>
      <w:r>
        <w:rPr>
          <w:rFonts w:ascii="Book Antiqua" w:hAnsi="Book Antiqua"/>
          <w:sz w:val="24"/>
          <w:szCs w:val="24"/>
        </w:rPr>
        <w:t xml:space="preserve"> SATB2 can activate </w:t>
      </w:r>
      <w:bookmarkStart w:id="249" w:name="OLE_LINK253"/>
      <w:bookmarkStart w:id="250" w:name="OLE_LINK254"/>
      <w:r>
        <w:rPr>
          <w:rFonts w:ascii="Book Antiqua" w:hAnsi="Book Antiqua"/>
          <w:i/>
          <w:iCs/>
          <w:sz w:val="24"/>
          <w:szCs w:val="24"/>
        </w:rPr>
        <w:t>UPF3B</w:t>
      </w:r>
      <w:bookmarkEnd w:id="249"/>
      <w:bookmarkEnd w:id="250"/>
      <w:r>
        <w:rPr>
          <w:rFonts w:ascii="Book Antiqua" w:hAnsi="Book Antiqua"/>
          <w:sz w:val="24"/>
          <w:szCs w:val="24"/>
        </w:rPr>
        <w:t xml:space="preserve"> transcription, and defect</w:t>
      </w:r>
      <w:bookmarkStart w:id="251" w:name="OLE_LINK251"/>
      <w:bookmarkStart w:id="252" w:name="OLE_LINK250"/>
      <w:r>
        <w:rPr>
          <w:rFonts w:ascii="Book Antiqua" w:hAnsi="Book Antiqua"/>
          <w:sz w:val="24"/>
          <w:szCs w:val="24"/>
        </w:rPr>
        <w:t xml:space="preserve">s in </w:t>
      </w:r>
      <w:r>
        <w:rPr>
          <w:rFonts w:ascii="Book Antiqua" w:hAnsi="Book Antiqua"/>
          <w:i/>
          <w:iCs/>
          <w:sz w:val="24"/>
          <w:szCs w:val="24"/>
        </w:rPr>
        <w:t>UPF3B</w:t>
      </w:r>
      <w:r>
        <w:rPr>
          <w:rFonts w:ascii="Book Antiqua" w:hAnsi="Book Antiqua"/>
          <w:sz w:val="24"/>
          <w:szCs w:val="24"/>
        </w:rPr>
        <w:t xml:space="preserve"> </w:t>
      </w:r>
      <w:bookmarkStart w:id="253" w:name="OLE_LINK252"/>
      <w:r>
        <w:rPr>
          <w:rFonts w:ascii="Book Antiqua" w:hAnsi="Book Antiqua"/>
          <w:sz w:val="24"/>
          <w:szCs w:val="24"/>
        </w:rPr>
        <w:t>in human</w:t>
      </w:r>
      <w:bookmarkEnd w:id="251"/>
      <w:bookmarkEnd w:id="252"/>
      <w:bookmarkEnd w:id="253"/>
      <w:r>
        <w:rPr>
          <w:rFonts w:ascii="Book Antiqua" w:hAnsi="Book Antiqua"/>
          <w:sz w:val="24"/>
          <w:szCs w:val="24"/>
        </w:rPr>
        <w:t>s can induce cognitive deficits and craniofacial dysmorphisms</w:t>
      </w:r>
      <w:r>
        <w:rPr>
          <w:rFonts w:ascii="Book Antiqua" w:hAnsi="Book Antiqua"/>
          <w:sz w:val="24"/>
          <w:szCs w:val="24"/>
          <w:vertAlign w:val="superscript"/>
        </w:rPr>
        <w:t>[16]</w:t>
      </w:r>
      <w:r>
        <w:rPr>
          <w:rFonts w:ascii="Book Antiqua" w:hAnsi="Book Antiqua"/>
          <w:sz w:val="24"/>
          <w:szCs w:val="24"/>
        </w:rPr>
        <w:t>. SATB2 regulates a transcriptional network of multiple key determinants for skeletal development by</w:t>
      </w:r>
      <w:bookmarkStart w:id="254" w:name="OLE_LINK260"/>
      <w:bookmarkStart w:id="255" w:name="OLE_LINK259"/>
      <w:r>
        <w:rPr>
          <w:rFonts w:ascii="Book Antiqua" w:hAnsi="Book Antiqua"/>
          <w:sz w:val="24"/>
          <w:szCs w:val="24"/>
        </w:rPr>
        <w:t xml:space="preserve"> activating or repressing</w:t>
      </w:r>
      <w:bookmarkEnd w:id="254"/>
      <w:bookmarkEnd w:id="255"/>
      <w:r>
        <w:rPr>
          <w:rFonts w:ascii="Book Antiqua" w:hAnsi="Book Antiqua"/>
          <w:sz w:val="24"/>
          <w:szCs w:val="24"/>
        </w:rPr>
        <w:t xml:space="preserve"> DNA bound protein or enhancing th</w:t>
      </w:r>
      <w:bookmarkStart w:id="256" w:name="OLE_LINK256"/>
      <w:bookmarkStart w:id="257" w:name="OLE_LINK255"/>
      <w:r>
        <w:rPr>
          <w:rFonts w:ascii="Book Antiqua" w:hAnsi="Book Antiqua"/>
          <w:sz w:val="24"/>
          <w:szCs w:val="24"/>
        </w:rPr>
        <w:t>e activity of other DNA binding proteins</w:t>
      </w:r>
      <w:bookmarkEnd w:id="256"/>
      <w:bookmarkEnd w:id="257"/>
      <w:r>
        <w:rPr>
          <w:rFonts w:ascii="Book Antiqua" w:hAnsi="Book Antiqua"/>
          <w:sz w:val="24"/>
          <w:szCs w:val="24"/>
          <w:vertAlign w:val="superscript"/>
        </w:rPr>
        <w:t>[13]</w:t>
      </w:r>
      <w:r>
        <w:rPr>
          <w:rFonts w:ascii="Book Antiqua" w:hAnsi="Book Antiqua"/>
          <w:sz w:val="24"/>
          <w:szCs w:val="24"/>
        </w:rPr>
        <w:t>. Three gene sets related to or regulated by SATB2 have been analyzed at different stages of development; the sets include many genes contributing to schizophrenia and educational attainment</w:t>
      </w:r>
      <w:r>
        <w:rPr>
          <w:rFonts w:ascii="Book Antiqua" w:hAnsi="Book Antiqua"/>
          <w:sz w:val="24"/>
          <w:szCs w:val="24"/>
          <w:vertAlign w:val="superscript"/>
        </w:rPr>
        <w:t>[31]</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Other research has shown that SATB2 interacts with different protein networks at developing and adult stages in the cortex, indicating that the SATB2 function shifts in the cortex over a lifetime</w:t>
      </w:r>
      <w:r>
        <w:rPr>
          <w:rFonts w:ascii="Book Antiqua" w:hAnsi="Book Antiqua"/>
          <w:sz w:val="24"/>
          <w:szCs w:val="24"/>
          <w:vertAlign w:val="superscript"/>
        </w:rPr>
        <w:t>[13]</w:t>
      </w:r>
      <w:r>
        <w:rPr>
          <w:rFonts w:ascii="Book Antiqua" w:hAnsi="Book Antiqua"/>
          <w:sz w:val="24"/>
          <w:szCs w:val="24"/>
        </w:rPr>
        <w:t>. In the mouse, Satb2 regulates regionalization of the retro</w:t>
      </w:r>
      <w:bookmarkStart w:id="258" w:name="OLE_LINK46"/>
      <w:r>
        <w:rPr>
          <w:rFonts w:ascii="Book Antiqua" w:hAnsi="Book Antiqua"/>
          <w:sz w:val="24"/>
          <w:szCs w:val="24"/>
        </w:rPr>
        <w:t>splenial cortex</w:t>
      </w:r>
      <w:bookmarkEnd w:id="258"/>
      <w:r>
        <w:rPr>
          <w:rFonts w:ascii="Book Antiqua" w:hAnsi="Book Antiqua"/>
          <w:sz w:val="24"/>
          <w:szCs w:val="24"/>
        </w:rPr>
        <w:t xml:space="preserve"> </w:t>
      </w:r>
      <w:r>
        <w:rPr>
          <w:rFonts w:ascii="Book Antiqua" w:hAnsi="Book Antiqua"/>
          <w:sz w:val="24"/>
          <w:szCs w:val="24"/>
        </w:rPr>
        <w:lastRenderedPageBreak/>
        <w:t>by controlling Nr4a2 and Ctip2 during development</w:t>
      </w:r>
      <w:r>
        <w:rPr>
          <w:rFonts w:ascii="Book Antiqua" w:hAnsi="Book Antiqua"/>
          <w:sz w:val="24"/>
          <w:szCs w:val="24"/>
          <w:vertAlign w:val="superscript"/>
        </w:rPr>
        <w:t>[32]</w:t>
      </w:r>
      <w:r>
        <w:rPr>
          <w:rFonts w:ascii="Book Antiqua" w:hAnsi="Book Antiqua"/>
          <w:sz w:val="24"/>
          <w:szCs w:val="24"/>
        </w:rPr>
        <w:t>, and loss of Satb2 in cortex and hippocampus contributed to abnormal behavior</w:t>
      </w:r>
      <w:r>
        <w:rPr>
          <w:rFonts w:ascii="Book Antiqua" w:hAnsi="Book Antiqua"/>
          <w:sz w:val="24"/>
          <w:szCs w:val="24"/>
          <w:vertAlign w:val="superscript"/>
        </w:rPr>
        <w:t>[33]</w:t>
      </w:r>
      <w:r>
        <w:rPr>
          <w:rFonts w:ascii="Book Antiqua" w:hAnsi="Book Antiqua"/>
          <w:sz w:val="24"/>
          <w:szCs w:val="24"/>
        </w:rPr>
        <w:t>. Satb2 was involved in the specification of upper-layer neuron specification in the neocortex in mouse by regulating expression of specific genes</w:t>
      </w:r>
      <w:r>
        <w:rPr>
          <w:rFonts w:ascii="Book Antiqua" w:hAnsi="Book Antiqua"/>
          <w:sz w:val="24"/>
          <w:szCs w:val="24"/>
          <w:vertAlign w:val="superscript"/>
        </w:rPr>
        <w:t>[34]</w:t>
      </w:r>
      <w:r>
        <w:rPr>
          <w:rFonts w:ascii="Book Antiqua" w:hAnsi="Book Antiqua"/>
          <w:sz w:val="24"/>
          <w:szCs w:val="24"/>
        </w:rPr>
        <w:t xml:space="preserve">. In the developing cerebral cortex, Satb2 regulated the formation </w:t>
      </w:r>
      <w:bookmarkStart w:id="259" w:name="OLE_LINK267"/>
      <w:bookmarkStart w:id="260" w:name="OLE_LINK268"/>
      <w:r>
        <w:rPr>
          <w:rFonts w:ascii="Book Antiqua" w:hAnsi="Book Antiqua"/>
          <w:sz w:val="24"/>
          <w:szCs w:val="24"/>
        </w:rPr>
        <w:t>of corticocortical connections</w:t>
      </w:r>
      <w:bookmarkEnd w:id="259"/>
      <w:bookmarkEnd w:id="260"/>
      <w:r>
        <w:rPr>
          <w:rFonts w:ascii="Book Antiqua" w:hAnsi="Book Antiqua"/>
          <w:sz w:val="24"/>
          <w:szCs w:val="24"/>
        </w:rPr>
        <w:t xml:space="preserve"> by repressing the expression of </w:t>
      </w:r>
      <w:r>
        <w:rPr>
          <w:rFonts w:ascii="Book Antiqua" w:hAnsi="Book Antiqua"/>
          <w:i/>
          <w:iCs/>
          <w:sz w:val="24"/>
          <w:szCs w:val="24"/>
        </w:rPr>
        <w:t>Ctip2</w:t>
      </w:r>
      <w:r>
        <w:rPr>
          <w:rFonts w:ascii="Book Antiqua" w:hAnsi="Book Antiqua"/>
          <w:sz w:val="24"/>
          <w:szCs w:val="24"/>
        </w:rPr>
        <w:t>, which is a transcription factor involved in the extension of subcortical projections from cortical neurons</w:t>
      </w:r>
      <w:r>
        <w:rPr>
          <w:rFonts w:ascii="Book Antiqua" w:hAnsi="Book Antiqua"/>
          <w:sz w:val="24"/>
          <w:szCs w:val="24"/>
          <w:vertAlign w:val="superscript"/>
        </w:rPr>
        <w:t>[35,36]</w:t>
      </w:r>
      <w:r>
        <w:rPr>
          <w:rFonts w:ascii="Book Antiqua" w:hAnsi="Book Antiqua"/>
          <w:sz w:val="24"/>
          <w:szCs w:val="24"/>
        </w:rPr>
        <w:t>.</w:t>
      </w:r>
    </w:p>
    <w:p w14:paraId="6F05B2B2"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The SATB2 function shift </w:t>
      </w:r>
      <w:bookmarkStart w:id="261" w:name="OLE_LINK76"/>
      <w:r>
        <w:rPr>
          <w:rFonts w:ascii="Book Antiqua" w:hAnsi="Book Antiqua"/>
          <w:sz w:val="24"/>
          <w:szCs w:val="24"/>
        </w:rPr>
        <w:t>at different</w:t>
      </w:r>
      <w:bookmarkEnd w:id="261"/>
      <w:r>
        <w:rPr>
          <w:rFonts w:ascii="Book Antiqua" w:hAnsi="Book Antiqua"/>
          <w:sz w:val="24"/>
          <w:szCs w:val="24"/>
        </w:rPr>
        <w:t xml:space="preserve"> developmental stages and </w:t>
      </w:r>
      <w:bookmarkStart w:id="262" w:name="OLE_LINK92"/>
      <w:r>
        <w:rPr>
          <w:rFonts w:ascii="Book Antiqua" w:hAnsi="Book Antiqua"/>
          <w:sz w:val="24"/>
          <w:szCs w:val="24"/>
        </w:rPr>
        <w:t>complex interactions</w:t>
      </w:r>
      <w:bookmarkEnd w:id="262"/>
      <w:r>
        <w:rPr>
          <w:rFonts w:ascii="Book Antiqua" w:hAnsi="Book Antiqua"/>
          <w:sz w:val="24"/>
          <w:szCs w:val="24"/>
        </w:rPr>
        <w:t xml:space="preserve"> with related proteins may be involved in the pathogenesis of variable manifestations in SAS patients.</w:t>
      </w:r>
    </w:p>
    <w:p w14:paraId="48A54230"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Diagnosis for SAS can be quite challenging</w:t>
      </w:r>
      <w:bookmarkStart w:id="263" w:name="OLE_LINK191"/>
      <w:bookmarkStart w:id="264" w:name="OLE_LINK91"/>
      <w:r>
        <w:rPr>
          <w:rFonts w:ascii="Book Antiqua" w:hAnsi="Book Antiqua"/>
          <w:sz w:val="24"/>
          <w:szCs w:val="24"/>
        </w:rPr>
        <w:t xml:space="preserve"> in infants</w:t>
      </w:r>
      <w:bookmarkEnd w:id="263"/>
      <w:r>
        <w:rPr>
          <w:rFonts w:ascii="Book Antiqua" w:hAnsi="Book Antiqua"/>
          <w:sz w:val="24"/>
          <w:szCs w:val="24"/>
        </w:rPr>
        <w:t xml:space="preserve"> with only DD, hypotonia, feed</w:t>
      </w:r>
      <w:bookmarkEnd w:id="264"/>
      <w:r>
        <w:rPr>
          <w:rFonts w:ascii="Book Antiqua" w:hAnsi="Book Antiqua"/>
          <w:sz w:val="24"/>
          <w:szCs w:val="24"/>
        </w:rPr>
        <w:t xml:space="preserve">ing difficulties, and palatal issues. </w:t>
      </w:r>
      <w:bookmarkStart w:id="265" w:name="OLE_LINK131"/>
      <w:bookmarkStart w:id="266" w:name="OLE_LINK130"/>
      <w:r>
        <w:rPr>
          <w:rFonts w:ascii="Book Antiqua" w:hAnsi="Book Antiqua"/>
          <w:sz w:val="24"/>
          <w:szCs w:val="24"/>
        </w:rPr>
        <w:t xml:space="preserve">Cerebral palsy </w:t>
      </w:r>
      <w:bookmarkEnd w:id="265"/>
      <w:bookmarkEnd w:id="266"/>
      <w:r>
        <w:rPr>
          <w:rFonts w:ascii="Book Antiqua" w:hAnsi="Book Antiqua"/>
          <w:sz w:val="24"/>
          <w:szCs w:val="24"/>
        </w:rPr>
        <w:t>may be considered at this time, especially for</w:t>
      </w:r>
      <w:bookmarkStart w:id="267" w:name="OLE_LINK90"/>
      <w:r>
        <w:rPr>
          <w:rFonts w:ascii="Book Antiqua" w:hAnsi="Book Antiqua"/>
          <w:sz w:val="24"/>
          <w:szCs w:val="24"/>
        </w:rPr>
        <w:t xml:space="preserve"> those who were p</w:t>
      </w:r>
      <w:bookmarkEnd w:id="267"/>
      <w:r>
        <w:rPr>
          <w:rFonts w:ascii="Book Antiqua" w:hAnsi="Book Antiqua"/>
          <w:sz w:val="24"/>
          <w:szCs w:val="24"/>
        </w:rPr>
        <w:t xml:space="preserve">reterm </w:t>
      </w:r>
      <w:bookmarkStart w:id="268" w:name="OLE_LINK89"/>
      <w:r>
        <w:rPr>
          <w:rFonts w:ascii="Book Antiqua" w:hAnsi="Book Antiqua"/>
          <w:sz w:val="24"/>
          <w:szCs w:val="24"/>
        </w:rPr>
        <w:t>or had neonatal asphyxia, but nonprogressing motor developmental abnormalities during follow-up are the main characteristic of cerebral palsy</w:t>
      </w:r>
      <w:r>
        <w:rPr>
          <w:rFonts w:ascii="Book Antiqua" w:hAnsi="Book Antiqua"/>
          <w:sz w:val="24"/>
          <w:szCs w:val="24"/>
          <w:vertAlign w:val="superscript"/>
        </w:rPr>
        <w:t>[37]</w:t>
      </w:r>
      <w:r>
        <w:rPr>
          <w:rFonts w:ascii="Book Antiqua" w:hAnsi="Book Antiqua"/>
          <w:sz w:val="24"/>
          <w:szCs w:val="24"/>
        </w:rPr>
        <w:t xml:space="preserve">. Leukodystrophy is usually the initial diagnosis for those with some neurological manifestations and abnormal findings in white matter on brain MRI </w:t>
      </w:r>
      <w:bookmarkStart w:id="269" w:name="OLE_LINK93"/>
      <w:r>
        <w:rPr>
          <w:rFonts w:ascii="Book Antiqua" w:hAnsi="Book Antiqua"/>
          <w:sz w:val="24"/>
          <w:szCs w:val="24"/>
        </w:rPr>
        <w:t>and can occur at different ages, from newborn to adult</w:t>
      </w:r>
      <w:bookmarkEnd w:id="269"/>
      <w:r>
        <w:rPr>
          <w:rFonts w:ascii="Book Antiqua" w:hAnsi="Book Antiqua"/>
          <w:sz w:val="24"/>
          <w:szCs w:val="24"/>
        </w:rPr>
        <w:t>. The initial cl</w:t>
      </w:r>
      <w:bookmarkStart w:id="270" w:name="OLE_LINK80"/>
      <w:bookmarkStart w:id="271" w:name="OLE_LINK10"/>
      <w:r>
        <w:rPr>
          <w:rFonts w:ascii="Book Antiqua" w:hAnsi="Book Antiqua"/>
          <w:sz w:val="24"/>
          <w:szCs w:val="24"/>
        </w:rPr>
        <w:t xml:space="preserve">inical manifestation of </w:t>
      </w:r>
      <w:bookmarkStart w:id="272" w:name="OLE_LINK94"/>
      <w:bookmarkStart w:id="273" w:name="OLE_LINK95"/>
      <w:r>
        <w:rPr>
          <w:rFonts w:ascii="Book Antiqua" w:hAnsi="Book Antiqua"/>
          <w:sz w:val="24"/>
          <w:szCs w:val="24"/>
        </w:rPr>
        <w:t>leukodystrophies</w:t>
      </w:r>
      <w:bookmarkEnd w:id="272"/>
      <w:bookmarkEnd w:id="273"/>
      <w:r>
        <w:rPr>
          <w:rFonts w:ascii="Book Antiqua" w:hAnsi="Book Antiqua"/>
          <w:sz w:val="24"/>
          <w:szCs w:val="24"/>
        </w:rPr>
        <w:t xml:space="preserve"> is often nonspecific, such as motor impairment, cognitive impairment, and seizures</w:t>
      </w:r>
      <w:bookmarkEnd w:id="270"/>
      <w:bookmarkEnd w:id="271"/>
      <w:r>
        <w:rPr>
          <w:rFonts w:ascii="Book Antiqua" w:hAnsi="Book Antiqua"/>
          <w:sz w:val="24"/>
          <w:szCs w:val="24"/>
        </w:rPr>
        <w:t>. Further diagnosis of leukodystrophies constitutes many kinds of rare heritable disorders and is challenging in most cases</w:t>
      </w:r>
      <w:r>
        <w:rPr>
          <w:rFonts w:ascii="Book Antiqua" w:hAnsi="Book Antiqua"/>
          <w:sz w:val="24"/>
          <w:szCs w:val="24"/>
          <w:vertAlign w:val="superscript"/>
        </w:rPr>
        <w:t>[38]</w:t>
      </w:r>
      <w:r>
        <w:rPr>
          <w:rFonts w:ascii="Book Antiqua" w:hAnsi="Book Antiqua"/>
          <w:sz w:val="24"/>
          <w:szCs w:val="24"/>
        </w:rPr>
        <w:t>.</w:t>
      </w:r>
      <w:bookmarkEnd w:id="268"/>
      <w:r>
        <w:rPr>
          <w:rFonts w:ascii="Book Antiqua" w:hAnsi="Book Antiqua"/>
          <w:sz w:val="24"/>
          <w:szCs w:val="24"/>
          <w:vertAlign w:val="superscript"/>
        </w:rPr>
        <w:t xml:space="preserve"> </w:t>
      </w:r>
      <w:r>
        <w:rPr>
          <w:rFonts w:ascii="Book Antiqua" w:hAnsi="Book Antiqua"/>
          <w:sz w:val="24"/>
          <w:szCs w:val="24"/>
        </w:rPr>
        <w:t>Angelman syndrome and related disorders can be considered during infancy, which are characterized by severe cognitive disability, motor dysfunction, speec</w:t>
      </w:r>
      <w:bookmarkStart w:id="274" w:name="OLE_LINK193"/>
      <w:bookmarkStart w:id="275" w:name="OLE_LINK192"/>
      <w:r>
        <w:rPr>
          <w:rFonts w:ascii="Book Antiqua" w:hAnsi="Book Antiqua"/>
          <w:sz w:val="24"/>
          <w:szCs w:val="24"/>
        </w:rPr>
        <w:t xml:space="preserve">h impairment, and hyperactivity, </w:t>
      </w:r>
      <w:bookmarkEnd w:id="274"/>
      <w:bookmarkEnd w:id="275"/>
      <w:r>
        <w:rPr>
          <w:rFonts w:ascii="Book Antiqua" w:hAnsi="Book Antiqua"/>
          <w:sz w:val="24"/>
          <w:szCs w:val="24"/>
        </w:rPr>
        <w:t>but inappropriate happy demeanor may help diagnose</w:t>
      </w:r>
      <w:r>
        <w:rPr>
          <w:rFonts w:ascii="Book Antiqua" w:hAnsi="Book Antiqua"/>
          <w:sz w:val="24"/>
          <w:szCs w:val="24"/>
          <w:vertAlign w:val="superscript"/>
        </w:rPr>
        <w:t>[20,39]</w:t>
      </w:r>
      <w:r>
        <w:rPr>
          <w:rFonts w:ascii="Book Antiqua" w:hAnsi="Book Antiqua"/>
          <w:sz w:val="24"/>
          <w:szCs w:val="24"/>
        </w:rPr>
        <w:t>.</w:t>
      </w:r>
      <w:bookmarkStart w:id="276" w:name="OLE_LINK100"/>
      <w:bookmarkStart w:id="277" w:name="OLE_LINK99"/>
      <w:r>
        <w:rPr>
          <w:rFonts w:ascii="Book Antiqua" w:hAnsi="Book Antiqua"/>
          <w:sz w:val="24"/>
          <w:szCs w:val="24"/>
        </w:rPr>
        <w:t xml:space="preserve"> Dental and behavioral problems over time may indicate SAS during follow-up.</w:t>
      </w:r>
      <w:bookmarkEnd w:id="276"/>
      <w:bookmarkEnd w:id="277"/>
      <w:r>
        <w:rPr>
          <w:rFonts w:ascii="Book Antiqua" w:hAnsi="Book Antiqua"/>
          <w:sz w:val="24"/>
          <w:szCs w:val="24"/>
        </w:rPr>
        <w:t xml:space="preserve"> KBG syndrome manifests </w:t>
      </w:r>
      <w:bookmarkStart w:id="278" w:name="OLE_LINK107"/>
      <w:bookmarkStart w:id="279" w:name="OLE_LINK108"/>
      <w:r>
        <w:rPr>
          <w:rFonts w:ascii="Book Antiqua" w:hAnsi="Book Antiqua"/>
          <w:sz w:val="24"/>
          <w:szCs w:val="24"/>
        </w:rPr>
        <w:t>dental abnormalities (macrodontia of up</w:t>
      </w:r>
      <w:bookmarkEnd w:id="278"/>
      <w:bookmarkEnd w:id="279"/>
      <w:r>
        <w:rPr>
          <w:rFonts w:ascii="Book Antiqua" w:hAnsi="Book Antiqua"/>
          <w:sz w:val="24"/>
          <w:szCs w:val="24"/>
        </w:rPr>
        <w:t>per central incisors), DD, and other characteristic features that help in diagnosis, including distinctive craniofacial features</w:t>
      </w:r>
      <w:bookmarkStart w:id="280" w:name="OLE_LINK103"/>
      <w:r>
        <w:rPr>
          <w:rFonts w:ascii="Book Antiqua" w:hAnsi="Book Antiqua"/>
          <w:sz w:val="24"/>
          <w:szCs w:val="24"/>
        </w:rPr>
        <w:t>, such</w:t>
      </w:r>
      <w:bookmarkEnd w:id="280"/>
      <w:r>
        <w:rPr>
          <w:rFonts w:ascii="Book Antiqua" w:hAnsi="Book Antiqua"/>
          <w:sz w:val="24"/>
          <w:szCs w:val="24"/>
        </w:rPr>
        <w:t xml:space="preserve"> as triangular face, broadened nasal bridge</w:t>
      </w:r>
      <w:bookmarkStart w:id="281" w:name="OLE_LINK196"/>
      <w:bookmarkStart w:id="282" w:name="OLE_LINK197"/>
      <w:r>
        <w:rPr>
          <w:rFonts w:ascii="Book Antiqua" w:hAnsi="Book Antiqua"/>
          <w:sz w:val="24"/>
          <w:szCs w:val="24"/>
        </w:rPr>
        <w:t>, thin upper l</w:t>
      </w:r>
      <w:bookmarkStart w:id="283" w:name="OLE_LINK194"/>
      <w:bookmarkStart w:id="284" w:name="OLE_LINK195"/>
      <w:r>
        <w:rPr>
          <w:rFonts w:ascii="Book Antiqua" w:hAnsi="Book Antiqua"/>
          <w:sz w:val="24"/>
          <w:szCs w:val="24"/>
        </w:rPr>
        <w:t>ip, and synophrys</w:t>
      </w:r>
      <w:bookmarkStart w:id="285" w:name="OLE_LINK88"/>
      <w:bookmarkEnd w:id="281"/>
      <w:bookmarkEnd w:id="282"/>
      <w:bookmarkEnd w:id="283"/>
      <w:bookmarkEnd w:id="284"/>
      <w:r>
        <w:rPr>
          <w:rFonts w:ascii="Book Antiqua" w:hAnsi="Book Antiqua"/>
          <w:sz w:val="24"/>
          <w:szCs w:val="24"/>
          <w:vertAlign w:val="superscript"/>
        </w:rPr>
        <w:t>[20,40]</w:t>
      </w:r>
      <w:r>
        <w:rPr>
          <w:rFonts w:ascii="Book Antiqua" w:hAnsi="Book Antiqua"/>
          <w:sz w:val="24"/>
          <w:szCs w:val="24"/>
        </w:rPr>
        <w:t>.</w:t>
      </w:r>
      <w:bookmarkEnd w:id="285"/>
    </w:p>
    <w:p w14:paraId="06E8F818"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Today, next generation sequencing technologies, especially whole exome </w:t>
      </w:r>
      <w:r>
        <w:rPr>
          <w:rFonts w:ascii="Book Antiqua" w:hAnsi="Book Antiqua"/>
          <w:sz w:val="24"/>
          <w:szCs w:val="24"/>
        </w:rPr>
        <w:lastRenderedPageBreak/>
        <w:t>sequencing and whole genome sequencing, are available for clinical genetic diagnosis and differential diagnosis of heritable diseases, especially for distinct differential diagnosis</w:t>
      </w:r>
      <w:r>
        <w:rPr>
          <w:rFonts w:ascii="Book Antiqua" w:hAnsi="Book Antiqua"/>
          <w:sz w:val="24"/>
          <w:szCs w:val="24"/>
          <w:vertAlign w:val="superscript"/>
        </w:rPr>
        <w:t>[41]</w:t>
      </w:r>
      <w:r>
        <w:rPr>
          <w:rFonts w:ascii="Book Antiqua" w:hAnsi="Book Antiqua"/>
          <w:sz w:val="24"/>
          <w:szCs w:val="24"/>
        </w:rPr>
        <w:t>. Cerebral palsy and leukodystrophy are clinical diagnoses, but the etiologies vary and are not fully known. Approximately one-third of cases do not have traditional risk factors, such as prematurity, hypoxic–ischemic injury, placental insufficiency, and prenatal infection, and genetic mutations may be involved in the pathogenesis of a substantial proportion of cases of cerebral palsy</w:t>
      </w:r>
      <w:r>
        <w:rPr>
          <w:rFonts w:ascii="Book Antiqua" w:hAnsi="Book Antiqua"/>
          <w:sz w:val="24"/>
          <w:szCs w:val="24"/>
          <w:vertAlign w:val="superscript"/>
        </w:rPr>
        <w:t>[37]</w:t>
      </w:r>
      <w:r>
        <w:rPr>
          <w:rFonts w:ascii="Book Antiqua" w:hAnsi="Book Antiqua"/>
          <w:sz w:val="24"/>
          <w:szCs w:val="24"/>
        </w:rPr>
        <w:t>. Distinct diagnoses of leukodystrophies have significantly increased due to genetic diagnostic tests</w:t>
      </w:r>
      <w:r>
        <w:rPr>
          <w:rFonts w:ascii="Book Antiqua" w:hAnsi="Book Antiqua"/>
          <w:sz w:val="24"/>
          <w:szCs w:val="24"/>
          <w:vertAlign w:val="superscript"/>
        </w:rPr>
        <w:t>[38]</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Genetic testing of </w:t>
      </w:r>
      <w:r>
        <w:rPr>
          <w:rFonts w:ascii="Book Antiqua" w:hAnsi="Book Antiqua"/>
          <w:i/>
          <w:iCs/>
          <w:sz w:val="24"/>
          <w:szCs w:val="24"/>
        </w:rPr>
        <w:t>UBE3A</w:t>
      </w:r>
      <w:r>
        <w:rPr>
          <w:rFonts w:ascii="Book Antiqua" w:hAnsi="Book Antiqua"/>
          <w:sz w:val="24"/>
          <w:szCs w:val="24"/>
        </w:rPr>
        <w:t xml:space="preserve"> for Angelman syndrome and</w:t>
      </w:r>
      <w:r>
        <w:rPr>
          <w:rFonts w:ascii="Book Antiqua" w:hAnsi="Book Antiqua"/>
          <w:sz w:val="24"/>
          <w:szCs w:val="24"/>
          <w:vertAlign w:val="superscript"/>
        </w:rPr>
        <w:t xml:space="preserve"> </w:t>
      </w:r>
      <w:r>
        <w:rPr>
          <w:rFonts w:ascii="Book Antiqua" w:hAnsi="Book Antiqua"/>
          <w:i/>
          <w:iCs/>
          <w:sz w:val="24"/>
          <w:szCs w:val="24"/>
        </w:rPr>
        <w:t>ANKRD11</w:t>
      </w:r>
      <w:r>
        <w:rPr>
          <w:rFonts w:ascii="Book Antiqua" w:hAnsi="Book Antiqua"/>
          <w:sz w:val="24"/>
          <w:szCs w:val="24"/>
        </w:rPr>
        <w:t xml:space="preserve"> for KBG syndrome can help to differentiate the diseases from SAS</w:t>
      </w:r>
      <w:r>
        <w:rPr>
          <w:rFonts w:ascii="Book Antiqua" w:hAnsi="Book Antiqua"/>
          <w:sz w:val="24"/>
          <w:szCs w:val="24"/>
          <w:vertAlign w:val="superscript"/>
        </w:rPr>
        <w:t>[39,40]</w:t>
      </w:r>
      <w:r>
        <w:rPr>
          <w:rFonts w:ascii="Book Antiqua" w:hAnsi="Book Antiqua"/>
          <w:sz w:val="24"/>
          <w:szCs w:val="24"/>
        </w:rPr>
        <w:t xml:space="preserve">. </w:t>
      </w:r>
    </w:p>
    <w:p w14:paraId="32825D3A"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No specific therapy or guidelines are available for SAS, and </w:t>
      </w:r>
      <w:bookmarkStart w:id="286" w:name="OLE_LINK154"/>
      <w:r>
        <w:rPr>
          <w:rFonts w:ascii="Book Antiqua" w:hAnsi="Book Antiqua"/>
          <w:sz w:val="24"/>
          <w:szCs w:val="24"/>
        </w:rPr>
        <w:t>regular evaluations after diagnosis and treatment of symptom</w:t>
      </w:r>
      <w:bookmarkStart w:id="287" w:name="OLE_LINK158"/>
      <w:bookmarkStart w:id="288" w:name="OLE_LINK157"/>
      <w:r>
        <w:rPr>
          <w:rFonts w:ascii="Book Antiqua" w:hAnsi="Book Antiqua"/>
          <w:sz w:val="24"/>
          <w:szCs w:val="24"/>
        </w:rPr>
        <w:t>s</w:t>
      </w:r>
      <w:bookmarkEnd w:id="287"/>
      <w:bookmarkEnd w:id="288"/>
      <w:r>
        <w:rPr>
          <w:rFonts w:ascii="Book Antiqua" w:hAnsi="Book Antiqua"/>
          <w:sz w:val="24"/>
          <w:szCs w:val="24"/>
        </w:rPr>
        <w:t xml:space="preserve"> </w:t>
      </w:r>
      <w:bookmarkStart w:id="289" w:name="OLE_LINK155"/>
      <w:bookmarkStart w:id="290" w:name="OLE_LINK156"/>
      <w:r>
        <w:rPr>
          <w:rFonts w:ascii="Book Antiqua" w:hAnsi="Book Antiqua"/>
          <w:sz w:val="24"/>
          <w:szCs w:val="24"/>
        </w:rPr>
        <w:t>are recommended.</w:t>
      </w:r>
      <w:bookmarkEnd w:id="289"/>
      <w:bookmarkEnd w:id="290"/>
      <w:r>
        <w:rPr>
          <w:rFonts w:ascii="Book Antiqua" w:hAnsi="Book Antiqua"/>
          <w:sz w:val="24"/>
          <w:szCs w:val="24"/>
        </w:rPr>
        <w:t xml:space="preserve"> </w:t>
      </w:r>
      <w:bookmarkEnd w:id="286"/>
      <w:r>
        <w:rPr>
          <w:rFonts w:ascii="Book Antiqua" w:hAnsi="Book Antiqua"/>
          <w:sz w:val="24"/>
          <w:szCs w:val="24"/>
        </w:rPr>
        <w:t>Specialists in different fields deal with sleep disturbances, seizures, feeding difficulties, behavioral issues, scoliosis, tibial bowing, and joint contractures, among others. Deve</w:t>
      </w:r>
      <w:bookmarkStart w:id="291" w:name="OLE_LINK112"/>
      <w:bookmarkStart w:id="292" w:name="OLE_LINK111"/>
      <w:r>
        <w:rPr>
          <w:rFonts w:ascii="Book Antiqua" w:hAnsi="Book Antiqua"/>
          <w:sz w:val="24"/>
          <w:szCs w:val="24"/>
        </w:rPr>
        <w:t>lopmental support/special education is referred for DD/ID</w:t>
      </w:r>
      <w:r>
        <w:rPr>
          <w:rFonts w:ascii="Book Antiqua" w:hAnsi="Book Antiqua"/>
          <w:sz w:val="24"/>
          <w:szCs w:val="24"/>
          <w:vertAlign w:val="superscript"/>
        </w:rPr>
        <w:t>[20]</w:t>
      </w:r>
      <w:r>
        <w:rPr>
          <w:rFonts w:ascii="Book Antiqua" w:hAnsi="Book Antiqua"/>
          <w:sz w:val="24"/>
          <w:szCs w:val="24"/>
        </w:rPr>
        <w:t>.</w:t>
      </w:r>
      <w:r>
        <w:rPr>
          <w:rFonts w:ascii="Book Antiqua" w:hAnsi="Book Antiqua"/>
          <w:sz w:val="24"/>
          <w:szCs w:val="24"/>
          <w:vertAlign w:val="superscript"/>
        </w:rPr>
        <w:t xml:space="preserve"> </w:t>
      </w:r>
      <w:bookmarkEnd w:id="291"/>
      <w:bookmarkEnd w:id="292"/>
      <w:r>
        <w:rPr>
          <w:rFonts w:ascii="Book Antiqua" w:hAnsi="Book Antiqua"/>
          <w:sz w:val="24"/>
          <w:szCs w:val="24"/>
        </w:rPr>
        <w:t>Prompts for restructuring oral muscular phonetic targets and aggressive speech therapy (3 ×/wk) at 2-years-old have shown improvements in speech over time, and some communication devices, such as picture exchange communication system, may provide additional help for SAS patients</w:t>
      </w:r>
      <w:r>
        <w:rPr>
          <w:rFonts w:ascii="Book Antiqua" w:hAnsi="Book Antiqua"/>
          <w:sz w:val="24"/>
          <w:szCs w:val="24"/>
          <w:vertAlign w:val="superscript"/>
        </w:rPr>
        <w:t>[1]</w:t>
      </w:r>
      <w:r>
        <w:rPr>
          <w:rFonts w:ascii="Book Antiqua" w:hAnsi="Book Antiqua"/>
          <w:sz w:val="24"/>
          <w:szCs w:val="24"/>
        </w:rPr>
        <w:t>.</w:t>
      </w:r>
    </w:p>
    <w:p w14:paraId="4E3F4FDD" w14:textId="77777777" w:rsidR="007D4E69" w:rsidRDefault="007D4E69">
      <w:pPr>
        <w:spacing w:line="360" w:lineRule="auto"/>
        <w:rPr>
          <w:rFonts w:ascii="Book Antiqua" w:hAnsi="Book Antiqua"/>
          <w:sz w:val="24"/>
          <w:szCs w:val="24"/>
        </w:rPr>
      </w:pPr>
    </w:p>
    <w:p w14:paraId="6DE7AA4C" w14:textId="77777777" w:rsidR="007D4E69" w:rsidRDefault="005A2594">
      <w:pPr>
        <w:spacing w:line="360" w:lineRule="auto"/>
        <w:rPr>
          <w:rFonts w:ascii="Book Antiqua" w:hAnsi="Book Antiqua"/>
          <w:b/>
          <w:sz w:val="24"/>
          <w:szCs w:val="24"/>
          <w:u w:val="single"/>
        </w:rPr>
      </w:pPr>
      <w:bookmarkStart w:id="293" w:name="OLE_LINK348"/>
      <w:bookmarkStart w:id="294" w:name="OLE_LINK141"/>
      <w:r>
        <w:rPr>
          <w:rFonts w:ascii="Book Antiqua" w:hAnsi="Book Antiqua"/>
          <w:b/>
          <w:sz w:val="24"/>
          <w:szCs w:val="24"/>
          <w:u w:val="single"/>
        </w:rPr>
        <w:t>CONCLUSION</w:t>
      </w:r>
    </w:p>
    <w:bookmarkEnd w:id="293"/>
    <w:p w14:paraId="6B7D1DB8"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We confirmed SAS by the genetic analysis and collected the clinical features. A new variant was found. Because of phenotypic heterogeneity, limited physical findings, and </w:t>
      </w:r>
      <w:bookmarkStart w:id="295" w:name="OLE_LINK140"/>
      <w:bookmarkStart w:id="296" w:name="OLE_LINK146"/>
      <w:bookmarkStart w:id="297" w:name="OLE_LINK138"/>
      <w:r>
        <w:rPr>
          <w:rFonts w:ascii="Book Antiqua" w:hAnsi="Book Antiqua"/>
          <w:sz w:val="24"/>
          <w:szCs w:val="24"/>
        </w:rPr>
        <w:t xml:space="preserve">lack of specific laboratory tests, </w:t>
      </w:r>
      <w:bookmarkEnd w:id="295"/>
      <w:bookmarkEnd w:id="296"/>
      <w:bookmarkEnd w:id="297"/>
      <w:r>
        <w:rPr>
          <w:rFonts w:ascii="Book Antiqua" w:hAnsi="Book Antiqua"/>
          <w:sz w:val="24"/>
          <w:szCs w:val="24"/>
        </w:rPr>
        <w:t>SAS can be difficult to diagnose in infants with DD but no other signs. Surveillance should focus on speech</w:t>
      </w:r>
      <w:bookmarkStart w:id="298" w:name="OLE_LINK79"/>
      <w:bookmarkStart w:id="299" w:name="OLE_LINK78"/>
      <w:r>
        <w:rPr>
          <w:rFonts w:ascii="Book Antiqua" w:hAnsi="Book Antiqua"/>
          <w:sz w:val="24"/>
          <w:szCs w:val="24"/>
        </w:rPr>
        <w:t xml:space="preserve"> development, </w:t>
      </w:r>
      <w:bookmarkEnd w:id="298"/>
      <w:bookmarkEnd w:id="299"/>
      <w:r>
        <w:rPr>
          <w:rFonts w:ascii="Book Antiqua" w:hAnsi="Book Antiqua"/>
          <w:sz w:val="24"/>
          <w:szCs w:val="24"/>
        </w:rPr>
        <w:t xml:space="preserve">dental status, and behavior issues. Next generation sequencing can help differentiate underlying diseases and predict the appropriate prognosis, and we recommend genetic testing for children who show delays over 6 mo compared with normal development milestones in gross movement and/or speech and language </w:t>
      </w:r>
      <w:r>
        <w:rPr>
          <w:rFonts w:ascii="Book Antiqua" w:hAnsi="Book Antiqua"/>
          <w:sz w:val="24"/>
          <w:szCs w:val="24"/>
        </w:rPr>
        <w:lastRenderedPageBreak/>
        <w:t xml:space="preserve">development in clinical practice. In future studies, </w:t>
      </w:r>
      <w:bookmarkStart w:id="300" w:name="OLE_LINK294"/>
      <w:bookmarkStart w:id="301" w:name="OLE_LINK293"/>
      <w:bookmarkStart w:id="302" w:name="OLE_LINK295"/>
      <w:r>
        <w:rPr>
          <w:rFonts w:ascii="Book Antiqua" w:hAnsi="Book Antiqua"/>
          <w:sz w:val="24"/>
          <w:szCs w:val="24"/>
        </w:rPr>
        <w:t xml:space="preserve">verification for different gene sets that are affected by </w:t>
      </w:r>
      <w:r>
        <w:rPr>
          <w:rFonts w:ascii="Book Antiqua" w:hAnsi="Book Antiqua"/>
          <w:i/>
          <w:sz w:val="24"/>
          <w:szCs w:val="24"/>
        </w:rPr>
        <w:t>SATB2</w:t>
      </w:r>
      <w:r>
        <w:rPr>
          <w:rFonts w:ascii="Book Antiqua" w:hAnsi="Book Antiqua"/>
          <w:sz w:val="24"/>
          <w:szCs w:val="24"/>
        </w:rPr>
        <w:t xml:space="preserve"> mutations for heterogeneous manifestations may help to clarify the possible pathogenesis of SAS.</w:t>
      </w:r>
    </w:p>
    <w:p w14:paraId="39E9FC47" w14:textId="77777777" w:rsidR="007D4E69" w:rsidRDefault="007D4E69">
      <w:pPr>
        <w:spacing w:line="360" w:lineRule="auto"/>
        <w:rPr>
          <w:rFonts w:ascii="Book Antiqua" w:hAnsi="Book Antiqua"/>
          <w:sz w:val="24"/>
          <w:szCs w:val="24"/>
        </w:rPr>
      </w:pPr>
    </w:p>
    <w:p w14:paraId="608000F0" w14:textId="77777777" w:rsidR="007D4E69" w:rsidRDefault="005A2594">
      <w:pPr>
        <w:spacing w:line="360" w:lineRule="auto"/>
        <w:rPr>
          <w:rFonts w:ascii="Book Antiqua" w:hAnsi="Book Antiqua"/>
          <w:b/>
          <w:bCs/>
          <w:sz w:val="24"/>
          <w:szCs w:val="24"/>
          <w:u w:val="single"/>
        </w:rPr>
      </w:pPr>
      <w:r>
        <w:rPr>
          <w:rFonts w:ascii="Book Antiqua" w:hAnsi="Book Antiqua"/>
          <w:b/>
          <w:bCs/>
          <w:sz w:val="24"/>
          <w:szCs w:val="24"/>
          <w:u w:val="single"/>
        </w:rPr>
        <w:t>ACKNOWLEDGEMENTS</w:t>
      </w:r>
    </w:p>
    <w:p w14:paraId="29B0EC87" w14:textId="77777777" w:rsidR="007D4E69" w:rsidRDefault="005A2594">
      <w:pPr>
        <w:spacing w:line="360" w:lineRule="auto"/>
        <w:rPr>
          <w:rFonts w:ascii="Book Antiqua" w:hAnsi="Book Antiqua"/>
          <w:sz w:val="24"/>
          <w:szCs w:val="24"/>
        </w:rPr>
      </w:pPr>
      <w:r>
        <w:rPr>
          <w:rFonts w:ascii="Book Antiqua" w:hAnsi="Book Antiqua"/>
          <w:sz w:val="24"/>
          <w:szCs w:val="24"/>
        </w:rPr>
        <w:t>The authors thank the family for participating and supporting this study.</w:t>
      </w:r>
    </w:p>
    <w:p w14:paraId="036EBBC2" w14:textId="77777777" w:rsidR="007D4E69" w:rsidRDefault="007D4E69">
      <w:pPr>
        <w:spacing w:line="360" w:lineRule="auto"/>
        <w:rPr>
          <w:rFonts w:ascii="Book Antiqua" w:hAnsi="Book Antiqua"/>
          <w:sz w:val="24"/>
          <w:szCs w:val="24"/>
        </w:rPr>
      </w:pPr>
    </w:p>
    <w:p w14:paraId="4A25A43E" w14:textId="77777777" w:rsidR="007D4E69" w:rsidRDefault="005A2594">
      <w:pPr>
        <w:spacing w:line="360" w:lineRule="auto"/>
        <w:rPr>
          <w:rFonts w:ascii="Book Antiqua" w:eastAsia="宋体" w:hAnsi="Book Antiqua"/>
          <w:b/>
          <w:sz w:val="24"/>
          <w:szCs w:val="24"/>
        </w:rPr>
      </w:pPr>
      <w:bookmarkStart w:id="303" w:name="OLE_LINK240"/>
      <w:bookmarkStart w:id="304" w:name="OLE_LINK241"/>
      <w:bookmarkEnd w:id="294"/>
      <w:bookmarkEnd w:id="300"/>
      <w:bookmarkEnd w:id="301"/>
      <w:bookmarkEnd w:id="302"/>
      <w:r>
        <w:rPr>
          <w:rFonts w:ascii="Book Antiqua" w:eastAsia="宋体" w:hAnsi="Book Antiqua"/>
          <w:b/>
          <w:sz w:val="24"/>
          <w:szCs w:val="24"/>
        </w:rPr>
        <w:t>REFERENCES</w:t>
      </w:r>
    </w:p>
    <w:p w14:paraId="211AC328"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 </w:t>
      </w:r>
      <w:r>
        <w:rPr>
          <w:rFonts w:ascii="Book Antiqua" w:eastAsia="Book Antiqua" w:hAnsi="Book Antiqua"/>
          <w:b/>
          <w:bCs/>
          <w:sz w:val="24"/>
          <w:szCs w:val="24"/>
        </w:rPr>
        <w:t>Zarate YA</w:t>
      </w:r>
      <w:r>
        <w:rPr>
          <w:rFonts w:ascii="Book Antiqua" w:eastAsia="Book Antiqua" w:hAnsi="Book Antiqua"/>
          <w:sz w:val="24"/>
          <w:szCs w:val="24"/>
        </w:rPr>
        <w:t xml:space="preserve">, Fish JL. SATB2-associated syndrome: Mechanisms, phenotype, and practical recommendations. </w:t>
      </w:r>
      <w:r>
        <w:rPr>
          <w:rFonts w:ascii="Book Antiqua" w:eastAsia="Book Antiqua" w:hAnsi="Book Antiqua"/>
          <w:i/>
          <w:iCs/>
          <w:sz w:val="24"/>
          <w:szCs w:val="24"/>
        </w:rPr>
        <w:t>Am J Med Genet A</w:t>
      </w:r>
      <w:r>
        <w:rPr>
          <w:rFonts w:ascii="Book Antiqua" w:eastAsia="Book Antiqua" w:hAnsi="Book Antiqua"/>
          <w:sz w:val="24"/>
          <w:szCs w:val="24"/>
        </w:rPr>
        <w:t xml:space="preserve"> 2017; </w:t>
      </w:r>
      <w:r>
        <w:rPr>
          <w:rFonts w:ascii="Book Antiqua" w:eastAsia="Book Antiqua" w:hAnsi="Book Antiqua"/>
          <w:b/>
          <w:bCs/>
          <w:sz w:val="24"/>
          <w:szCs w:val="24"/>
        </w:rPr>
        <w:t>173</w:t>
      </w:r>
      <w:r>
        <w:rPr>
          <w:rFonts w:ascii="Book Antiqua" w:eastAsia="Book Antiqua" w:hAnsi="Book Antiqua"/>
          <w:sz w:val="24"/>
          <w:szCs w:val="24"/>
        </w:rPr>
        <w:t>: 327-337 [PMID: 27774744 DOI: 10.1002/ajmg.a.38022]</w:t>
      </w:r>
    </w:p>
    <w:p w14:paraId="1ABD86D6"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 </w:t>
      </w:r>
      <w:r>
        <w:rPr>
          <w:rFonts w:ascii="Book Antiqua" w:eastAsia="Book Antiqua" w:hAnsi="Book Antiqua"/>
          <w:b/>
          <w:bCs/>
          <w:sz w:val="24"/>
          <w:szCs w:val="24"/>
        </w:rPr>
        <w:t>Glass IA</w:t>
      </w:r>
      <w:r>
        <w:rPr>
          <w:rFonts w:ascii="Book Antiqua" w:eastAsia="Book Antiqua" w:hAnsi="Book Antiqua"/>
          <w:sz w:val="24"/>
          <w:szCs w:val="24"/>
        </w:rPr>
        <w:t xml:space="preserve">, Swindlehurst CA, Aitken DA, McCrea W, Boyd E. Interstitial deletion of the long arm of chromosome 2 with normal levels of isocitrate dehydrogenase. </w:t>
      </w:r>
      <w:r>
        <w:rPr>
          <w:rFonts w:ascii="Book Antiqua" w:eastAsia="Book Antiqua" w:hAnsi="Book Antiqua"/>
          <w:i/>
          <w:iCs/>
          <w:sz w:val="24"/>
          <w:szCs w:val="24"/>
        </w:rPr>
        <w:t>J Med Genet</w:t>
      </w:r>
      <w:r>
        <w:rPr>
          <w:rFonts w:ascii="Book Antiqua" w:eastAsia="Book Antiqua" w:hAnsi="Book Antiqua"/>
          <w:sz w:val="24"/>
          <w:szCs w:val="24"/>
        </w:rPr>
        <w:t xml:space="preserve"> 1989; </w:t>
      </w:r>
      <w:r>
        <w:rPr>
          <w:rFonts w:ascii="Book Antiqua" w:eastAsia="Book Antiqua" w:hAnsi="Book Antiqua"/>
          <w:b/>
          <w:bCs/>
          <w:sz w:val="24"/>
          <w:szCs w:val="24"/>
        </w:rPr>
        <w:t>26</w:t>
      </w:r>
      <w:r>
        <w:rPr>
          <w:rFonts w:ascii="Book Antiqua" w:eastAsia="Book Antiqua" w:hAnsi="Book Antiqua"/>
          <w:sz w:val="24"/>
          <w:szCs w:val="24"/>
        </w:rPr>
        <w:t>: 127-130 [PMID: 2918541 DOI: 10.1136/jmg.26.2.127]</w:t>
      </w:r>
    </w:p>
    <w:p w14:paraId="73EA872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 </w:t>
      </w:r>
      <w:r>
        <w:rPr>
          <w:rFonts w:ascii="Book Antiqua" w:eastAsia="Book Antiqua" w:hAnsi="Book Antiqua"/>
          <w:b/>
          <w:bCs/>
          <w:sz w:val="24"/>
          <w:szCs w:val="24"/>
        </w:rPr>
        <w:t>Bengani H</w:t>
      </w:r>
      <w:r>
        <w:rPr>
          <w:rFonts w:ascii="Book Antiqua" w:eastAsia="Book Antiqua" w:hAnsi="Book Antiqua"/>
          <w:sz w:val="24"/>
          <w:szCs w:val="24"/>
        </w:rPr>
        <w:t xml:space="preserve">, Handley M, Alvi M, Ibitoye R, Lees M, Lynch SA, Lam W, Fannemel M, Nordgren A, Malmgren H, Kvarnung M, Mehta S, McKee S, Whiteford M, Stewart F, Connell F, Clayton-Smith J, Mansour S, Mohammed S, Fryer A, Morton J; UK10K Consortium, Grozeva D, Asam T, Moore D, Sifrim A, McRae J, Hurles ME, Firth HV, Raymond FL, Kini U, Nellåker C, Ddd Study, FitzPatrick DR. Clinical and molecular consequences of disease-associated de novo mutations in SATB2. </w:t>
      </w:r>
      <w:r>
        <w:rPr>
          <w:rFonts w:ascii="Book Antiqua" w:eastAsia="Book Antiqua" w:hAnsi="Book Antiqua"/>
          <w:i/>
          <w:iCs/>
          <w:sz w:val="24"/>
          <w:szCs w:val="24"/>
        </w:rPr>
        <w:t>Genet Med</w:t>
      </w:r>
      <w:r>
        <w:rPr>
          <w:rFonts w:ascii="Book Antiqua" w:eastAsia="Book Antiqua" w:hAnsi="Book Antiqua"/>
          <w:sz w:val="24"/>
          <w:szCs w:val="24"/>
        </w:rPr>
        <w:t xml:space="preserve"> 2017; </w:t>
      </w:r>
      <w:r>
        <w:rPr>
          <w:rFonts w:ascii="Book Antiqua" w:eastAsia="Book Antiqua" w:hAnsi="Book Antiqua"/>
          <w:b/>
          <w:bCs/>
          <w:sz w:val="24"/>
          <w:szCs w:val="24"/>
        </w:rPr>
        <w:t>19</w:t>
      </w:r>
      <w:r>
        <w:rPr>
          <w:rFonts w:ascii="Book Antiqua" w:eastAsia="Book Antiqua" w:hAnsi="Book Antiqua"/>
          <w:sz w:val="24"/>
          <w:szCs w:val="24"/>
        </w:rPr>
        <w:t>: 900-908 [PMID: 28151491 DOI: 10.1038/gim.2016.211]</w:t>
      </w:r>
    </w:p>
    <w:p w14:paraId="074F9A9E"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4 </w:t>
      </w:r>
      <w:r>
        <w:rPr>
          <w:rFonts w:ascii="Book Antiqua" w:eastAsia="Book Antiqua" w:hAnsi="Book Antiqua"/>
          <w:b/>
          <w:bCs/>
          <w:sz w:val="24"/>
          <w:szCs w:val="24"/>
        </w:rPr>
        <w:t>Zarate YA</w:t>
      </w:r>
      <w:r>
        <w:rPr>
          <w:rFonts w:ascii="Book Antiqua" w:eastAsia="Book Antiqua" w:hAnsi="Book Antiqua"/>
          <w:sz w:val="24"/>
          <w:szCs w:val="24"/>
        </w:rPr>
        <w:t xml:space="preserve">, Steinraths M, Matthews A, Smith WE, Sun A, Wilson LC, Brain C, Allgove J, Jacobs B, Fish JL, Powell CM, Wasserman WW, van Karnebeek CD, Wakeling EL, Ma NS. Bone health and SATB2-associated syndrome. </w:t>
      </w:r>
      <w:r>
        <w:rPr>
          <w:rFonts w:ascii="Book Antiqua" w:eastAsia="Book Antiqua" w:hAnsi="Book Antiqua"/>
          <w:i/>
          <w:iCs/>
          <w:sz w:val="24"/>
          <w:szCs w:val="24"/>
        </w:rPr>
        <w:t>Clin Genet</w:t>
      </w:r>
      <w:r>
        <w:rPr>
          <w:rFonts w:ascii="Book Antiqua" w:eastAsia="Book Antiqua" w:hAnsi="Book Antiqua"/>
          <w:sz w:val="24"/>
          <w:szCs w:val="24"/>
        </w:rPr>
        <w:t xml:space="preserve"> 2018; </w:t>
      </w:r>
      <w:r>
        <w:rPr>
          <w:rFonts w:ascii="Book Antiqua" w:eastAsia="Book Antiqua" w:hAnsi="Book Antiqua"/>
          <w:b/>
          <w:bCs/>
          <w:sz w:val="24"/>
          <w:szCs w:val="24"/>
        </w:rPr>
        <w:t>93</w:t>
      </w:r>
      <w:r>
        <w:rPr>
          <w:rFonts w:ascii="Book Antiqua" w:eastAsia="Book Antiqua" w:hAnsi="Book Antiqua"/>
          <w:sz w:val="24"/>
          <w:szCs w:val="24"/>
        </w:rPr>
        <w:t>: 588-594 [PMID: 28787087 DOI: 10.1111/cge.13121]</w:t>
      </w:r>
    </w:p>
    <w:p w14:paraId="13EB62C3"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5 </w:t>
      </w:r>
      <w:r>
        <w:rPr>
          <w:rFonts w:ascii="Book Antiqua" w:eastAsia="Book Antiqua" w:hAnsi="Book Antiqua"/>
          <w:b/>
          <w:bCs/>
          <w:sz w:val="24"/>
          <w:szCs w:val="24"/>
        </w:rPr>
        <w:t>Döcker D</w:t>
      </w:r>
      <w:r>
        <w:rPr>
          <w:rFonts w:ascii="Book Antiqua" w:eastAsia="Book Antiqua" w:hAnsi="Book Antiqua"/>
          <w:sz w:val="24"/>
          <w:szCs w:val="24"/>
        </w:rPr>
        <w:t xml:space="preserve">, Schubach M, Menzel M, Munz M, Spaich C, Biskup S, Bartholdi D. Further delineation of the SATB2 phenotype. </w:t>
      </w:r>
      <w:r>
        <w:rPr>
          <w:rFonts w:ascii="Book Antiqua" w:eastAsia="Book Antiqua" w:hAnsi="Book Antiqua"/>
          <w:i/>
          <w:iCs/>
          <w:sz w:val="24"/>
          <w:szCs w:val="24"/>
        </w:rPr>
        <w:t>Eur J Hum Genet</w:t>
      </w:r>
      <w:r>
        <w:rPr>
          <w:rFonts w:ascii="Book Antiqua" w:eastAsia="Book Antiqua" w:hAnsi="Book Antiqua"/>
          <w:sz w:val="24"/>
          <w:szCs w:val="24"/>
        </w:rPr>
        <w:t xml:space="preserve"> 2014; </w:t>
      </w:r>
      <w:r>
        <w:rPr>
          <w:rFonts w:ascii="Book Antiqua" w:eastAsia="Book Antiqua" w:hAnsi="Book Antiqua"/>
          <w:b/>
          <w:bCs/>
          <w:sz w:val="24"/>
          <w:szCs w:val="24"/>
        </w:rPr>
        <w:t>22</w:t>
      </w:r>
      <w:r>
        <w:rPr>
          <w:rFonts w:ascii="Book Antiqua" w:eastAsia="Book Antiqua" w:hAnsi="Book Antiqua"/>
          <w:sz w:val="24"/>
          <w:szCs w:val="24"/>
        </w:rPr>
        <w:t>: 1034-1039 [PMID: 24301056 DOI: 10.1038/ejhg.2013.280]</w:t>
      </w:r>
    </w:p>
    <w:p w14:paraId="483891A1"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6 </w:t>
      </w:r>
      <w:r>
        <w:rPr>
          <w:rFonts w:ascii="Book Antiqua" w:eastAsia="Book Antiqua" w:hAnsi="Book Antiqua"/>
          <w:b/>
          <w:bCs/>
          <w:sz w:val="24"/>
          <w:szCs w:val="24"/>
        </w:rPr>
        <w:t>Boone PM</w:t>
      </w:r>
      <w:r>
        <w:rPr>
          <w:rFonts w:ascii="Book Antiqua" w:eastAsia="Book Antiqua" w:hAnsi="Book Antiqua"/>
          <w:sz w:val="24"/>
          <w:szCs w:val="24"/>
        </w:rPr>
        <w:t xml:space="preserve">, Chan YM, Hunter JV, Pottkotter LE, Davino NA, Yang Y, Beuten J, </w:t>
      </w:r>
      <w:r>
        <w:rPr>
          <w:rFonts w:ascii="Book Antiqua" w:eastAsia="Book Antiqua" w:hAnsi="Book Antiqua"/>
          <w:sz w:val="24"/>
          <w:szCs w:val="24"/>
        </w:rPr>
        <w:lastRenderedPageBreak/>
        <w:t xml:space="preserve">Bacino CA. Increased bone turnover, osteoporosis, progressive tibial bowing, fractures, and scoliosis in a patient with a final-exon SATB2 frameshift mutation. </w:t>
      </w:r>
      <w:r>
        <w:rPr>
          <w:rFonts w:ascii="Book Antiqua" w:eastAsia="Book Antiqua" w:hAnsi="Book Antiqua"/>
          <w:i/>
          <w:iCs/>
          <w:sz w:val="24"/>
          <w:szCs w:val="24"/>
        </w:rPr>
        <w:t>Am J Med Genet A</w:t>
      </w:r>
      <w:r>
        <w:rPr>
          <w:rFonts w:ascii="Book Antiqua" w:eastAsia="Book Antiqua" w:hAnsi="Book Antiqua"/>
          <w:sz w:val="24"/>
          <w:szCs w:val="24"/>
        </w:rPr>
        <w:t xml:space="preserve"> 2016; </w:t>
      </w:r>
      <w:r>
        <w:rPr>
          <w:rFonts w:ascii="Book Antiqua" w:eastAsia="Book Antiqua" w:hAnsi="Book Antiqua"/>
          <w:b/>
          <w:bCs/>
          <w:sz w:val="24"/>
          <w:szCs w:val="24"/>
        </w:rPr>
        <w:t>170</w:t>
      </w:r>
      <w:r>
        <w:rPr>
          <w:rFonts w:ascii="Book Antiqua" w:eastAsia="Book Antiqua" w:hAnsi="Book Antiqua"/>
          <w:sz w:val="24"/>
          <w:szCs w:val="24"/>
        </w:rPr>
        <w:t>: 3028-3032 [PMID: 27409069 DOI: 10.1002/ajmg.a.37847]</w:t>
      </w:r>
    </w:p>
    <w:p w14:paraId="3D37AF92"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7 </w:t>
      </w:r>
      <w:r>
        <w:rPr>
          <w:rFonts w:ascii="Book Antiqua" w:eastAsia="Book Antiqua" w:hAnsi="Book Antiqua"/>
          <w:b/>
          <w:bCs/>
          <w:sz w:val="24"/>
          <w:szCs w:val="24"/>
        </w:rPr>
        <w:t>Zarate YA</w:t>
      </w:r>
      <w:r>
        <w:rPr>
          <w:rFonts w:ascii="Book Antiqua" w:eastAsia="Book Antiqua" w:hAnsi="Book Antiqua"/>
          <w:sz w:val="24"/>
          <w:szCs w:val="24"/>
        </w:rPr>
        <w:t xml:space="preserve">, Smith-Hicks CL, Greene C, Abbott MA, Siu VM, Calhoun ARUL, Pandya A, Li C, Sellars EA, Kaylor J, Bosanko K, Kalsner L, Basinger A, Slavotinek AM, Perry H, Saenz M, Szybowska M, Wilson LC, Kumar A, Brain C, Balasubramanian M, Dubbs H, Ortiz-Gonzalez XR, Zackai E, Stein Q, Powell CM, Schrier Vergano S, Britt A, Sun A, Smith W, Bebin EM, Picker J, Kirby A, Pinz H, Bombei H, Mahida S, Cohen JS, Fatemi A, Vernon HJ, McClellan R, Fleming LR, Knyszek B, Steinraths M, Velasco Gonzalez C, Beck AE, Golden-Grant KL, Egense A, Parikh A, Raimondi C, Angle B, Allen W, Schott S, Algrabli A, Robin NH, Ray JW, Everman DB, Gambello MJ, Chung WK. Natural history and genotype-phenotype correlations in 72 individuals with SATB2-associated syndrome. </w:t>
      </w:r>
      <w:r>
        <w:rPr>
          <w:rFonts w:ascii="Book Antiqua" w:eastAsia="Book Antiqua" w:hAnsi="Book Antiqua"/>
          <w:i/>
          <w:iCs/>
          <w:sz w:val="24"/>
          <w:szCs w:val="24"/>
        </w:rPr>
        <w:t>Am J Med Genet A</w:t>
      </w:r>
      <w:r>
        <w:rPr>
          <w:rFonts w:ascii="Book Antiqua" w:eastAsia="Book Antiqua" w:hAnsi="Book Antiqua"/>
          <w:sz w:val="24"/>
          <w:szCs w:val="24"/>
        </w:rPr>
        <w:t xml:space="preserve"> 2018; </w:t>
      </w:r>
      <w:r>
        <w:rPr>
          <w:rFonts w:ascii="Book Antiqua" w:eastAsia="Book Antiqua" w:hAnsi="Book Antiqua"/>
          <w:b/>
          <w:bCs/>
          <w:sz w:val="24"/>
          <w:szCs w:val="24"/>
        </w:rPr>
        <w:t>176</w:t>
      </w:r>
      <w:r>
        <w:rPr>
          <w:rFonts w:ascii="Book Antiqua" w:eastAsia="Book Antiqua" w:hAnsi="Book Antiqua"/>
          <w:sz w:val="24"/>
          <w:szCs w:val="24"/>
        </w:rPr>
        <w:t>: 925-935 [PMID: 29436146 DOI: 10.1002/ajmg.a.38630]</w:t>
      </w:r>
    </w:p>
    <w:p w14:paraId="1C5744F7"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8 </w:t>
      </w:r>
      <w:r>
        <w:rPr>
          <w:rFonts w:ascii="Book Antiqua" w:eastAsia="Book Antiqua" w:hAnsi="Book Antiqua"/>
          <w:b/>
          <w:bCs/>
          <w:sz w:val="24"/>
          <w:szCs w:val="24"/>
        </w:rPr>
        <w:t>Kaiser AS</w:t>
      </w:r>
      <w:r>
        <w:rPr>
          <w:rFonts w:ascii="Book Antiqua" w:eastAsia="Book Antiqua" w:hAnsi="Book Antiqua"/>
          <w:sz w:val="24"/>
          <w:szCs w:val="24"/>
        </w:rPr>
        <w:t xml:space="preserve">, Maas B, Wolff A, Sutter C, Janssen JW, Hinderhofer K, Moog U. Characterization of the first intragenic SATB2 duplication in a girl with intellectual disability, nearly absent speech and suspected hypodontia. </w:t>
      </w:r>
      <w:r>
        <w:rPr>
          <w:rFonts w:ascii="Book Antiqua" w:eastAsia="Book Antiqua" w:hAnsi="Book Antiqua"/>
          <w:i/>
          <w:iCs/>
          <w:sz w:val="24"/>
          <w:szCs w:val="24"/>
        </w:rPr>
        <w:t>Eur J Hum Genet</w:t>
      </w:r>
      <w:r>
        <w:rPr>
          <w:rFonts w:ascii="Book Antiqua" w:eastAsia="Book Antiqua" w:hAnsi="Book Antiqua"/>
          <w:sz w:val="24"/>
          <w:szCs w:val="24"/>
        </w:rPr>
        <w:t xml:space="preserve"> 2015; </w:t>
      </w:r>
      <w:r>
        <w:rPr>
          <w:rFonts w:ascii="Book Antiqua" w:eastAsia="Book Antiqua" w:hAnsi="Book Antiqua"/>
          <w:b/>
          <w:bCs/>
          <w:sz w:val="24"/>
          <w:szCs w:val="24"/>
        </w:rPr>
        <w:t>23</w:t>
      </w:r>
      <w:r>
        <w:rPr>
          <w:rFonts w:ascii="Book Antiqua" w:eastAsia="Book Antiqua" w:hAnsi="Book Antiqua"/>
          <w:sz w:val="24"/>
          <w:szCs w:val="24"/>
        </w:rPr>
        <w:t>: 704-707 [PMID: 25118029 DOI: 10.1038/ejhg.2014.163]</w:t>
      </w:r>
    </w:p>
    <w:p w14:paraId="5AFD71CC"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9 </w:t>
      </w:r>
      <w:r>
        <w:rPr>
          <w:rFonts w:ascii="Book Antiqua" w:eastAsia="Book Antiqua" w:hAnsi="Book Antiqua"/>
          <w:b/>
          <w:bCs/>
          <w:sz w:val="24"/>
          <w:szCs w:val="24"/>
        </w:rPr>
        <w:t>Liedén A</w:t>
      </w:r>
      <w:r>
        <w:rPr>
          <w:rFonts w:ascii="Book Antiqua" w:eastAsia="Book Antiqua" w:hAnsi="Book Antiqua"/>
          <w:sz w:val="24"/>
          <w:szCs w:val="24"/>
        </w:rPr>
        <w:t xml:space="preserve">, Kvarnung M, Nilssson D, Sahlin E, Lundberg ES. Intragenic duplication--a novel causative mechanism for SATB2-associated syndrome. </w:t>
      </w:r>
      <w:r>
        <w:rPr>
          <w:rFonts w:ascii="Book Antiqua" w:eastAsia="Book Antiqua" w:hAnsi="Book Antiqua"/>
          <w:i/>
          <w:iCs/>
          <w:sz w:val="24"/>
          <w:szCs w:val="24"/>
        </w:rPr>
        <w:t>Am J Med Genet A</w:t>
      </w:r>
      <w:r>
        <w:rPr>
          <w:rFonts w:ascii="Book Antiqua" w:eastAsia="Book Antiqua" w:hAnsi="Book Antiqua"/>
          <w:sz w:val="24"/>
          <w:szCs w:val="24"/>
        </w:rPr>
        <w:t xml:space="preserve"> 2014; </w:t>
      </w:r>
      <w:r>
        <w:rPr>
          <w:rFonts w:ascii="Book Antiqua" w:eastAsia="Book Antiqua" w:hAnsi="Book Antiqua"/>
          <w:b/>
          <w:bCs/>
          <w:sz w:val="24"/>
          <w:szCs w:val="24"/>
        </w:rPr>
        <w:t>164A</w:t>
      </w:r>
      <w:r>
        <w:rPr>
          <w:rFonts w:ascii="Book Antiqua" w:eastAsia="Book Antiqua" w:hAnsi="Book Antiqua"/>
          <w:sz w:val="24"/>
          <w:szCs w:val="24"/>
        </w:rPr>
        <w:t>: 3083-3087 [PMID: 25251319 DOI: 10.1002/ajmg.a.36769]</w:t>
      </w:r>
    </w:p>
    <w:p w14:paraId="4803968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10 </w:t>
      </w:r>
      <w:r>
        <w:rPr>
          <w:rFonts w:ascii="Book Antiqua" w:eastAsia="Book Antiqua" w:hAnsi="Book Antiqua"/>
          <w:b/>
          <w:bCs/>
          <w:sz w:val="24"/>
          <w:szCs w:val="24"/>
        </w:rPr>
        <w:t>Grelet M</w:t>
      </w:r>
      <w:r>
        <w:rPr>
          <w:rFonts w:ascii="Book Antiqua" w:eastAsia="Book Antiqua" w:hAnsi="Book Antiqua"/>
          <w:sz w:val="24"/>
          <w:szCs w:val="24"/>
        </w:rPr>
        <w:t xml:space="preserve">, Mortreux J, Alazard E, Sigaudy S, Philip N, Missirian C. SATB2-associated syndrome: first report of a gonadal and somatic mosaicism for an intragenic copy number variation. </w:t>
      </w:r>
      <w:r>
        <w:rPr>
          <w:rFonts w:ascii="Book Antiqua" w:eastAsia="Book Antiqua" w:hAnsi="Book Antiqua"/>
          <w:i/>
          <w:iCs/>
          <w:sz w:val="24"/>
          <w:szCs w:val="24"/>
        </w:rPr>
        <w:t>Clin Dysmorphol</w:t>
      </w:r>
      <w:r>
        <w:rPr>
          <w:rFonts w:ascii="Book Antiqua" w:eastAsia="Book Antiqua" w:hAnsi="Book Antiqua"/>
          <w:sz w:val="24"/>
          <w:szCs w:val="24"/>
        </w:rPr>
        <w:t xml:space="preserve"> 2019; </w:t>
      </w:r>
      <w:r>
        <w:rPr>
          <w:rFonts w:ascii="Book Antiqua" w:eastAsia="Book Antiqua" w:hAnsi="Book Antiqua"/>
          <w:b/>
          <w:bCs/>
          <w:sz w:val="24"/>
          <w:szCs w:val="24"/>
        </w:rPr>
        <w:t>28</w:t>
      </w:r>
      <w:r>
        <w:rPr>
          <w:rFonts w:ascii="Book Antiqua" w:eastAsia="Book Antiqua" w:hAnsi="Book Antiqua"/>
          <w:sz w:val="24"/>
          <w:szCs w:val="24"/>
        </w:rPr>
        <w:t>: 205-210 [PMID: 31425298 DOI: 10.1097/MCD.0000000000000293]</w:t>
      </w:r>
    </w:p>
    <w:p w14:paraId="4CB340DD"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11 </w:t>
      </w:r>
      <w:r>
        <w:rPr>
          <w:rFonts w:ascii="Book Antiqua" w:eastAsia="Book Antiqua" w:hAnsi="Book Antiqua"/>
          <w:b/>
          <w:bCs/>
          <w:sz w:val="24"/>
          <w:szCs w:val="24"/>
        </w:rPr>
        <w:t>Qian Y</w:t>
      </w:r>
      <w:r>
        <w:rPr>
          <w:rFonts w:ascii="Book Antiqua" w:eastAsia="Book Antiqua" w:hAnsi="Book Antiqua"/>
          <w:sz w:val="24"/>
          <w:szCs w:val="24"/>
        </w:rPr>
        <w:t xml:space="preserve">, Liu J, Yang Y, Chen M, Jin C, Chen P, Lei Y, Pan H, Dong M. Paternal Low-Level Mosaicism-Caused </w:t>
      </w:r>
      <w:r>
        <w:rPr>
          <w:rFonts w:ascii="Book Antiqua" w:eastAsia="Book Antiqua" w:hAnsi="Book Antiqua"/>
          <w:i/>
          <w:iCs/>
          <w:sz w:val="24"/>
          <w:szCs w:val="24"/>
        </w:rPr>
        <w:t>SATB2</w:t>
      </w:r>
      <w:r>
        <w:rPr>
          <w:rFonts w:ascii="Book Antiqua" w:eastAsia="Book Antiqua" w:hAnsi="Book Antiqua"/>
          <w:sz w:val="24"/>
          <w:szCs w:val="24"/>
        </w:rPr>
        <w:t xml:space="preserve">-Associated Syndrome. </w:t>
      </w:r>
      <w:r>
        <w:rPr>
          <w:rFonts w:ascii="Book Antiqua" w:eastAsia="Book Antiqua" w:hAnsi="Book Antiqua"/>
          <w:i/>
          <w:iCs/>
          <w:sz w:val="24"/>
          <w:szCs w:val="24"/>
        </w:rPr>
        <w:t>Front Genet</w:t>
      </w:r>
      <w:r>
        <w:rPr>
          <w:rFonts w:ascii="Book Antiqua" w:eastAsia="Book Antiqua" w:hAnsi="Book Antiqua"/>
          <w:sz w:val="24"/>
          <w:szCs w:val="24"/>
        </w:rPr>
        <w:t xml:space="preserve"> 2019; </w:t>
      </w:r>
      <w:r>
        <w:rPr>
          <w:rFonts w:ascii="Book Antiqua" w:eastAsia="Book Antiqua" w:hAnsi="Book Antiqua"/>
          <w:b/>
          <w:bCs/>
          <w:sz w:val="24"/>
          <w:szCs w:val="24"/>
        </w:rPr>
        <w:t>10</w:t>
      </w:r>
      <w:r>
        <w:rPr>
          <w:rFonts w:ascii="Book Antiqua" w:eastAsia="Book Antiqua" w:hAnsi="Book Antiqua"/>
          <w:sz w:val="24"/>
          <w:szCs w:val="24"/>
        </w:rPr>
        <w:t>: 630 [PMID: 31333717 DOI: 10.3389/fgene.2019.00630]</w:t>
      </w:r>
    </w:p>
    <w:p w14:paraId="13CC4D7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12 </w:t>
      </w:r>
      <w:r>
        <w:rPr>
          <w:rFonts w:ascii="Book Antiqua" w:eastAsia="Book Antiqua" w:hAnsi="Book Antiqua"/>
          <w:b/>
          <w:bCs/>
          <w:sz w:val="24"/>
          <w:szCs w:val="24"/>
        </w:rPr>
        <w:t>Zarate YA</w:t>
      </w:r>
      <w:r>
        <w:rPr>
          <w:rFonts w:ascii="Book Antiqua" w:eastAsia="Book Antiqua" w:hAnsi="Book Antiqua"/>
          <w:sz w:val="24"/>
          <w:szCs w:val="24"/>
        </w:rPr>
        <w:t xml:space="preserve">, Bosanko KA, Caffrey AR, Bernstein JA, Martin DM, Williams MS, </w:t>
      </w:r>
      <w:r>
        <w:rPr>
          <w:rFonts w:ascii="Book Antiqua" w:eastAsia="Book Antiqua" w:hAnsi="Book Antiqua"/>
          <w:sz w:val="24"/>
          <w:szCs w:val="24"/>
        </w:rPr>
        <w:lastRenderedPageBreak/>
        <w:t xml:space="preserve">Berry-Kravis EM, Mark PR, Manning MA, Bhambhani V, Vargas M, Seeley AH, Estrada-Veras JI, van Dooren MF, Schwab M, Vanderver A, Melis D, Alsadah A, Sadler L, Van Esch H, Callewaert B, Oostra A, Maclean J, Dentici ML, Orlando V, Lipson M, Sparagana SP, Maarup TJ, Alsters SI, Brautbar A, Kovitch E, Naidu S, Lees M, Smith DM, Turner L, Raggio V, Spangenberg L, Garcia-Miñaúr S, Roeder ER, Littlejohn RO, Grange D, Pfotenhauer J, Jones MC, Balasubramanian M, Martinez-Monseny A, Blok LS, Gavrilova R, Fish JL. Mutation update for the SATB2 gene. </w:t>
      </w:r>
      <w:r>
        <w:rPr>
          <w:rFonts w:ascii="Book Antiqua" w:eastAsia="Book Antiqua" w:hAnsi="Book Antiqua"/>
          <w:i/>
          <w:iCs/>
          <w:sz w:val="24"/>
          <w:szCs w:val="24"/>
        </w:rPr>
        <w:t>Hum Mutat</w:t>
      </w:r>
      <w:r>
        <w:rPr>
          <w:rFonts w:ascii="Book Antiqua" w:eastAsia="Book Antiqua" w:hAnsi="Book Antiqua"/>
          <w:sz w:val="24"/>
          <w:szCs w:val="24"/>
        </w:rPr>
        <w:t xml:space="preserve"> 2019; </w:t>
      </w:r>
      <w:r>
        <w:rPr>
          <w:rFonts w:ascii="Book Antiqua" w:eastAsia="Book Antiqua" w:hAnsi="Book Antiqua"/>
          <w:b/>
          <w:bCs/>
          <w:sz w:val="24"/>
          <w:szCs w:val="24"/>
        </w:rPr>
        <w:t>40</w:t>
      </w:r>
      <w:r>
        <w:rPr>
          <w:rFonts w:ascii="Book Antiqua" w:eastAsia="Book Antiqua" w:hAnsi="Book Antiqua"/>
          <w:sz w:val="24"/>
          <w:szCs w:val="24"/>
        </w:rPr>
        <w:t>: 1013-1029 [PMID: 31021519 DOI: 10.1002/humu.23771]</w:t>
      </w:r>
    </w:p>
    <w:p w14:paraId="1FC53071"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13 </w:t>
      </w:r>
      <w:r>
        <w:rPr>
          <w:rFonts w:ascii="Book Antiqua" w:eastAsia="Book Antiqua" w:hAnsi="Book Antiqua"/>
          <w:b/>
          <w:bCs/>
          <w:sz w:val="24"/>
          <w:szCs w:val="24"/>
        </w:rPr>
        <w:t>Dobreva G</w:t>
      </w:r>
      <w:r>
        <w:rPr>
          <w:rFonts w:ascii="Book Antiqua" w:eastAsia="Book Antiqua" w:hAnsi="Book Antiqua"/>
          <w:sz w:val="24"/>
          <w:szCs w:val="24"/>
        </w:rPr>
        <w:t xml:space="preserve">, Chahrour M, Dautzenberg M, Chirivella L, Kanzler B, Fariñas I, Karsenty G, Grosschedl R. SATB2 is a multifunctional determinant of craniofacial patterning and osteoblast differentiation. </w:t>
      </w:r>
      <w:r>
        <w:rPr>
          <w:rFonts w:ascii="Book Antiqua" w:eastAsia="Book Antiqua" w:hAnsi="Book Antiqua"/>
          <w:i/>
          <w:iCs/>
          <w:sz w:val="24"/>
          <w:szCs w:val="24"/>
        </w:rPr>
        <w:t>Cell</w:t>
      </w:r>
      <w:r>
        <w:rPr>
          <w:rFonts w:ascii="Book Antiqua" w:eastAsia="Book Antiqua" w:hAnsi="Book Antiqua"/>
          <w:sz w:val="24"/>
          <w:szCs w:val="24"/>
        </w:rPr>
        <w:t xml:space="preserve"> 2006; </w:t>
      </w:r>
      <w:r>
        <w:rPr>
          <w:rFonts w:ascii="Book Antiqua" w:eastAsia="Book Antiqua" w:hAnsi="Book Antiqua"/>
          <w:b/>
          <w:bCs/>
          <w:sz w:val="24"/>
          <w:szCs w:val="24"/>
        </w:rPr>
        <w:t>125</w:t>
      </w:r>
      <w:r>
        <w:rPr>
          <w:rFonts w:ascii="Book Antiqua" w:eastAsia="Book Antiqua" w:hAnsi="Book Antiqua"/>
          <w:sz w:val="24"/>
          <w:szCs w:val="24"/>
        </w:rPr>
        <w:t>: 971-986 [PMID: 16751105 DOI: 10.1016/j.cell.2006.05.012]</w:t>
      </w:r>
    </w:p>
    <w:p w14:paraId="6AE020D6"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14 </w:t>
      </w:r>
      <w:r>
        <w:rPr>
          <w:rFonts w:ascii="Book Antiqua" w:eastAsia="Book Antiqua" w:hAnsi="Book Antiqua"/>
          <w:b/>
          <w:bCs/>
          <w:sz w:val="24"/>
          <w:szCs w:val="24"/>
        </w:rPr>
        <w:t>Cera I</w:t>
      </w:r>
      <w:r>
        <w:rPr>
          <w:rFonts w:ascii="Book Antiqua" w:eastAsia="Book Antiqua" w:hAnsi="Book Antiqua"/>
          <w:sz w:val="24"/>
          <w:szCs w:val="24"/>
        </w:rPr>
        <w:t xml:space="preserve">, Whitton L, Donohoe G, Morris DW, Dechant G, Apostolova G. Genes encoding SATB2-interacting proteins in adult cerebral cortex contribute to human cognitive ability. </w:t>
      </w:r>
      <w:r>
        <w:rPr>
          <w:rFonts w:ascii="Book Antiqua" w:eastAsia="Book Antiqua" w:hAnsi="Book Antiqua"/>
          <w:i/>
          <w:iCs/>
          <w:sz w:val="24"/>
          <w:szCs w:val="24"/>
        </w:rPr>
        <w:t>PLoS Genet</w:t>
      </w:r>
      <w:r>
        <w:rPr>
          <w:rFonts w:ascii="Book Antiqua" w:eastAsia="Book Antiqua" w:hAnsi="Book Antiqua"/>
          <w:sz w:val="24"/>
          <w:szCs w:val="24"/>
        </w:rPr>
        <w:t xml:space="preserve"> 2019; </w:t>
      </w:r>
      <w:r>
        <w:rPr>
          <w:rFonts w:ascii="Book Antiqua" w:eastAsia="Book Antiqua" w:hAnsi="Book Antiqua"/>
          <w:b/>
          <w:bCs/>
          <w:sz w:val="24"/>
          <w:szCs w:val="24"/>
        </w:rPr>
        <w:t>15</w:t>
      </w:r>
      <w:r>
        <w:rPr>
          <w:rFonts w:ascii="Book Antiqua" w:eastAsia="Book Antiqua" w:hAnsi="Book Antiqua"/>
          <w:sz w:val="24"/>
          <w:szCs w:val="24"/>
        </w:rPr>
        <w:t>: e1007890 [PMID: 30726206 DOI: 10.1371/journal.pgen.1007890]</w:t>
      </w:r>
    </w:p>
    <w:p w14:paraId="33589E04"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15 </w:t>
      </w:r>
      <w:r>
        <w:rPr>
          <w:rFonts w:ascii="Book Antiqua" w:eastAsia="Book Antiqua" w:hAnsi="Book Antiqua"/>
          <w:b/>
          <w:bCs/>
          <w:sz w:val="24"/>
          <w:szCs w:val="24"/>
        </w:rPr>
        <w:t>Leoyklang P</w:t>
      </w:r>
      <w:r>
        <w:rPr>
          <w:rFonts w:ascii="Book Antiqua" w:eastAsia="Book Antiqua" w:hAnsi="Book Antiqua"/>
          <w:sz w:val="24"/>
          <w:szCs w:val="24"/>
        </w:rPr>
        <w:t xml:space="preserve">, Suphapeetiporn K, Siriwan P, Desudchit T, Chaowanapanja P, Gahl WA, Shotelersuk V. Heterozygous nonsense mutation SATB2 associated with cleft palate, osteoporosis, and cognitive defects. </w:t>
      </w:r>
      <w:r>
        <w:rPr>
          <w:rFonts w:ascii="Book Antiqua" w:eastAsia="Book Antiqua" w:hAnsi="Book Antiqua"/>
          <w:i/>
          <w:iCs/>
          <w:sz w:val="24"/>
          <w:szCs w:val="24"/>
        </w:rPr>
        <w:t>Hum Mutat</w:t>
      </w:r>
      <w:r>
        <w:rPr>
          <w:rFonts w:ascii="Book Antiqua" w:eastAsia="Book Antiqua" w:hAnsi="Book Antiqua"/>
          <w:sz w:val="24"/>
          <w:szCs w:val="24"/>
        </w:rPr>
        <w:t xml:space="preserve"> 2007; </w:t>
      </w:r>
      <w:r>
        <w:rPr>
          <w:rFonts w:ascii="Book Antiqua" w:eastAsia="Book Antiqua" w:hAnsi="Book Antiqua"/>
          <w:b/>
          <w:bCs/>
          <w:sz w:val="24"/>
          <w:szCs w:val="24"/>
        </w:rPr>
        <w:t>28</w:t>
      </w:r>
      <w:r>
        <w:rPr>
          <w:rFonts w:ascii="Book Antiqua" w:eastAsia="Book Antiqua" w:hAnsi="Book Antiqua"/>
          <w:sz w:val="24"/>
          <w:szCs w:val="24"/>
        </w:rPr>
        <w:t>: 732-738 [PMID: 17377962 DOI: 10.1002/humu.20515]</w:t>
      </w:r>
    </w:p>
    <w:p w14:paraId="69B2C50F"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16 </w:t>
      </w:r>
      <w:r>
        <w:rPr>
          <w:rFonts w:ascii="Book Antiqua" w:eastAsia="Book Antiqua" w:hAnsi="Book Antiqua"/>
          <w:b/>
          <w:bCs/>
          <w:sz w:val="24"/>
          <w:szCs w:val="24"/>
        </w:rPr>
        <w:t>Leoyklang P</w:t>
      </w:r>
      <w:r>
        <w:rPr>
          <w:rFonts w:ascii="Book Antiqua" w:eastAsia="Book Antiqua" w:hAnsi="Book Antiqua"/>
          <w:sz w:val="24"/>
          <w:szCs w:val="24"/>
        </w:rPr>
        <w:t xml:space="preserve">, Suphapeetiporn K, Srichomthong C, Tongkobpetch S, Fietze S, Dorward H, Cullinane AR, Gahl WA, Huizing M, Shotelersuk V. Disorders with similar clinical phenotypes reveal underlying genetic interaction: SATB2 acts as an activator of the UPF3B gene. </w:t>
      </w:r>
      <w:r>
        <w:rPr>
          <w:rFonts w:ascii="Book Antiqua" w:eastAsia="Book Antiqua" w:hAnsi="Book Antiqua"/>
          <w:i/>
          <w:iCs/>
          <w:sz w:val="24"/>
          <w:szCs w:val="24"/>
        </w:rPr>
        <w:t>Hum Genet</w:t>
      </w:r>
      <w:r>
        <w:rPr>
          <w:rFonts w:ascii="Book Antiqua" w:eastAsia="Book Antiqua" w:hAnsi="Book Antiqua"/>
          <w:sz w:val="24"/>
          <w:szCs w:val="24"/>
        </w:rPr>
        <w:t xml:space="preserve"> 2013; </w:t>
      </w:r>
      <w:r>
        <w:rPr>
          <w:rFonts w:ascii="Book Antiqua" w:eastAsia="Book Antiqua" w:hAnsi="Book Antiqua"/>
          <w:b/>
          <w:bCs/>
          <w:sz w:val="24"/>
          <w:szCs w:val="24"/>
        </w:rPr>
        <w:t>132</w:t>
      </w:r>
      <w:r>
        <w:rPr>
          <w:rFonts w:ascii="Book Antiqua" w:eastAsia="Book Antiqua" w:hAnsi="Book Antiqua"/>
          <w:sz w:val="24"/>
          <w:szCs w:val="24"/>
        </w:rPr>
        <w:t>: 1383-1393 [PMID: 23925499 DOI: 10.1007/s00439-013-1345-9]</w:t>
      </w:r>
    </w:p>
    <w:p w14:paraId="0A3EC6D7"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17 </w:t>
      </w:r>
      <w:r>
        <w:rPr>
          <w:rFonts w:ascii="Book Antiqua" w:eastAsia="Book Antiqua" w:hAnsi="Book Antiqua"/>
          <w:b/>
          <w:bCs/>
          <w:sz w:val="24"/>
          <w:szCs w:val="24"/>
        </w:rPr>
        <w:t>1000 Genomes Project Consortium.</w:t>
      </w:r>
      <w:r>
        <w:rPr>
          <w:rFonts w:ascii="Book Antiqua" w:eastAsia="Book Antiqua" w:hAnsi="Book Antiqua"/>
          <w:sz w:val="24"/>
          <w:szCs w:val="24"/>
        </w:rPr>
        <w:t xml:space="preserve">, Auton A, Brooks LD, Durbin RM, Garrison EP, Kang HM, Korbel JO, Marchini JL, McCarthy S, McVean GA, Abecasis GR. A global reference for human genetic variation. </w:t>
      </w:r>
      <w:r>
        <w:rPr>
          <w:rFonts w:ascii="Book Antiqua" w:eastAsia="Book Antiqua" w:hAnsi="Book Antiqua"/>
          <w:i/>
          <w:iCs/>
          <w:sz w:val="24"/>
          <w:szCs w:val="24"/>
        </w:rPr>
        <w:t>Nature</w:t>
      </w:r>
      <w:r>
        <w:rPr>
          <w:rFonts w:ascii="Book Antiqua" w:eastAsia="Book Antiqua" w:hAnsi="Book Antiqua"/>
          <w:sz w:val="24"/>
          <w:szCs w:val="24"/>
        </w:rPr>
        <w:t xml:space="preserve"> 2015; </w:t>
      </w:r>
      <w:r>
        <w:rPr>
          <w:rFonts w:ascii="Book Antiqua" w:eastAsia="Book Antiqua" w:hAnsi="Book Antiqua"/>
          <w:b/>
          <w:bCs/>
          <w:sz w:val="24"/>
          <w:szCs w:val="24"/>
        </w:rPr>
        <w:t>526</w:t>
      </w:r>
      <w:r>
        <w:rPr>
          <w:rFonts w:ascii="Book Antiqua" w:eastAsia="Book Antiqua" w:hAnsi="Book Antiqua"/>
          <w:sz w:val="24"/>
          <w:szCs w:val="24"/>
        </w:rPr>
        <w:t>: 68-74 [PMID: 26432245 DOI: 10.1038/nature15393]</w:t>
      </w:r>
    </w:p>
    <w:p w14:paraId="255ED949"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lastRenderedPageBreak/>
        <w:t xml:space="preserve">18 </w:t>
      </w:r>
      <w:r>
        <w:rPr>
          <w:rFonts w:ascii="Book Antiqua" w:eastAsia="Book Antiqua" w:hAnsi="Book Antiqua"/>
          <w:b/>
          <w:bCs/>
          <w:sz w:val="24"/>
          <w:szCs w:val="24"/>
        </w:rPr>
        <w:t>Ling Y</w:t>
      </w:r>
      <w:r>
        <w:rPr>
          <w:rFonts w:ascii="Book Antiqua" w:eastAsia="Book Antiqua" w:hAnsi="Book Antiqua"/>
          <w:sz w:val="24"/>
          <w:szCs w:val="24"/>
        </w:rPr>
        <w:t xml:space="preserve">, Jin Z, Su M, Zhong J, Zhao Y, Yu J, Wu J, Xiao J. VCGDB: a dynamic genome database of the Chinese population. </w:t>
      </w:r>
      <w:r>
        <w:rPr>
          <w:rFonts w:ascii="Book Antiqua" w:eastAsia="Book Antiqua" w:hAnsi="Book Antiqua"/>
          <w:i/>
          <w:iCs/>
          <w:sz w:val="24"/>
          <w:szCs w:val="24"/>
        </w:rPr>
        <w:t>BMC Genomics</w:t>
      </w:r>
      <w:r>
        <w:rPr>
          <w:rFonts w:ascii="Book Antiqua" w:eastAsia="Book Antiqua" w:hAnsi="Book Antiqua"/>
          <w:sz w:val="24"/>
          <w:szCs w:val="24"/>
        </w:rPr>
        <w:t xml:space="preserve"> 2014; </w:t>
      </w:r>
      <w:r>
        <w:rPr>
          <w:rFonts w:ascii="Book Antiqua" w:eastAsia="Book Antiqua" w:hAnsi="Book Antiqua"/>
          <w:b/>
          <w:bCs/>
          <w:sz w:val="24"/>
          <w:szCs w:val="24"/>
        </w:rPr>
        <w:t>15</w:t>
      </w:r>
      <w:r>
        <w:rPr>
          <w:rFonts w:ascii="Book Antiqua" w:eastAsia="Book Antiqua" w:hAnsi="Book Antiqua"/>
          <w:sz w:val="24"/>
          <w:szCs w:val="24"/>
        </w:rPr>
        <w:t>: 265 [PMID: 24708222 DOI: 10.1186/1471-2164-15-265]</w:t>
      </w:r>
    </w:p>
    <w:p w14:paraId="42C27B51"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19 </w:t>
      </w:r>
      <w:r>
        <w:rPr>
          <w:rFonts w:ascii="Book Antiqua" w:eastAsia="Book Antiqua" w:hAnsi="Book Antiqua"/>
          <w:b/>
          <w:bCs/>
          <w:sz w:val="24"/>
          <w:szCs w:val="24"/>
        </w:rPr>
        <w:t>Song S</w:t>
      </w:r>
      <w:r>
        <w:rPr>
          <w:rFonts w:ascii="Book Antiqua" w:eastAsia="Book Antiqua" w:hAnsi="Book Antiqua"/>
          <w:sz w:val="24"/>
          <w:szCs w:val="24"/>
        </w:rPr>
        <w:t xml:space="preserve">, Tian D, Li C, Tang B, Dong L, Xiao J, Bao Y, Zhao W, He H, Zhang Z. Genome Variation Map: a data repository of genome variations in BIG Data Center. </w:t>
      </w:r>
      <w:r>
        <w:rPr>
          <w:rFonts w:ascii="Book Antiqua" w:eastAsia="Book Antiqua" w:hAnsi="Book Antiqua"/>
          <w:i/>
          <w:iCs/>
          <w:sz w:val="24"/>
          <w:szCs w:val="24"/>
        </w:rPr>
        <w:t>Nucleic Acids Res</w:t>
      </w:r>
      <w:r>
        <w:rPr>
          <w:rFonts w:ascii="Book Antiqua" w:eastAsia="Book Antiqua" w:hAnsi="Book Antiqua"/>
          <w:sz w:val="24"/>
          <w:szCs w:val="24"/>
        </w:rPr>
        <w:t xml:space="preserve"> 2018; </w:t>
      </w:r>
      <w:r>
        <w:rPr>
          <w:rFonts w:ascii="Book Antiqua" w:eastAsia="Book Antiqua" w:hAnsi="Book Antiqua"/>
          <w:b/>
          <w:bCs/>
          <w:sz w:val="24"/>
          <w:szCs w:val="24"/>
        </w:rPr>
        <w:t>46</w:t>
      </w:r>
      <w:r>
        <w:rPr>
          <w:rFonts w:ascii="Book Antiqua" w:eastAsia="Book Antiqua" w:hAnsi="Book Antiqua"/>
          <w:sz w:val="24"/>
          <w:szCs w:val="24"/>
        </w:rPr>
        <w:t>: D944-D949 [PMID: 29069473 DOI: 10.1093/nar/gkx986]</w:t>
      </w:r>
    </w:p>
    <w:p w14:paraId="3A01BC4D"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20 </w:t>
      </w:r>
      <w:r>
        <w:rPr>
          <w:rFonts w:ascii="Book Antiqua" w:eastAsia="Book Antiqua" w:hAnsi="Book Antiqua"/>
          <w:b/>
          <w:bCs/>
          <w:sz w:val="24"/>
          <w:szCs w:val="24"/>
        </w:rPr>
        <w:t>Richards S</w:t>
      </w:r>
      <w:r>
        <w:rPr>
          <w:rFonts w:ascii="Book Antiqua" w:eastAsia="Book Antiqua" w:hAnsi="Book Antiqua"/>
          <w:sz w:val="24"/>
          <w:szCs w:val="24"/>
        </w:rPr>
        <w:t xml:space="preserve">, Aziz N, Bale S, Bick D, Das S, Gastier-Foster J, Grody WW, Hegde M, Lyon E, Spector E, Voelkerding K, Rehm HL; ACMG Laboratory Quality Assurance Committee. Standards and guidelines for the interpretation of sequence variants: a joint consensus recommendation of the American College of Medical Genetics and Genomics and the Association for Molecular Pathology. </w:t>
      </w:r>
      <w:r>
        <w:rPr>
          <w:rFonts w:ascii="Book Antiqua" w:eastAsia="Book Antiqua" w:hAnsi="Book Antiqua"/>
          <w:i/>
          <w:iCs/>
          <w:sz w:val="24"/>
          <w:szCs w:val="24"/>
        </w:rPr>
        <w:t>Genet Med</w:t>
      </w:r>
      <w:r>
        <w:rPr>
          <w:rFonts w:ascii="Book Antiqua" w:eastAsia="Book Antiqua" w:hAnsi="Book Antiqua"/>
          <w:sz w:val="24"/>
          <w:szCs w:val="24"/>
        </w:rPr>
        <w:t xml:space="preserve"> 2015; </w:t>
      </w:r>
      <w:r>
        <w:rPr>
          <w:rFonts w:ascii="Book Antiqua" w:eastAsia="Book Antiqua" w:hAnsi="Book Antiqua"/>
          <w:b/>
          <w:bCs/>
          <w:sz w:val="24"/>
          <w:szCs w:val="24"/>
        </w:rPr>
        <w:t>17</w:t>
      </w:r>
      <w:r>
        <w:rPr>
          <w:rFonts w:ascii="Book Antiqua" w:eastAsia="Book Antiqua" w:hAnsi="Book Antiqua"/>
          <w:sz w:val="24"/>
          <w:szCs w:val="24"/>
        </w:rPr>
        <w:t>: 405-424 [PMID: 25741868 DOI: 10.1038/gim.2015.30]</w:t>
      </w:r>
    </w:p>
    <w:p w14:paraId="6FA1A2B2"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21 </w:t>
      </w:r>
      <w:r>
        <w:rPr>
          <w:rFonts w:ascii="Book Antiqua" w:eastAsia="Book Antiqua" w:hAnsi="Book Antiqua"/>
          <w:b/>
          <w:bCs/>
          <w:sz w:val="24"/>
          <w:szCs w:val="24"/>
        </w:rPr>
        <w:t>Hee Chung E</w:t>
      </w:r>
      <w:r>
        <w:rPr>
          <w:rFonts w:ascii="Book Antiqua" w:eastAsia="Book Antiqua" w:hAnsi="Book Antiqua"/>
          <w:sz w:val="24"/>
          <w:szCs w:val="24"/>
        </w:rPr>
        <w:t xml:space="preserve">, Chou J, Brown KA. Neurodevelopmental outcomes of preterm infants: a recent literature review. </w:t>
      </w:r>
      <w:r>
        <w:rPr>
          <w:rFonts w:ascii="Book Antiqua" w:eastAsia="Book Antiqua" w:hAnsi="Book Antiqua"/>
          <w:i/>
          <w:iCs/>
          <w:sz w:val="24"/>
          <w:szCs w:val="24"/>
        </w:rPr>
        <w:t>Transl Pediatr</w:t>
      </w:r>
      <w:r>
        <w:rPr>
          <w:rFonts w:ascii="Book Antiqua" w:eastAsia="Book Antiqua" w:hAnsi="Book Antiqua"/>
          <w:sz w:val="24"/>
          <w:szCs w:val="24"/>
        </w:rPr>
        <w:t xml:space="preserve"> 2020; </w:t>
      </w:r>
      <w:r>
        <w:rPr>
          <w:rFonts w:ascii="Book Antiqua" w:eastAsia="Book Antiqua" w:hAnsi="Book Antiqua"/>
          <w:b/>
          <w:bCs/>
          <w:sz w:val="24"/>
          <w:szCs w:val="24"/>
        </w:rPr>
        <w:t>9</w:t>
      </w:r>
      <w:r>
        <w:rPr>
          <w:rFonts w:ascii="Book Antiqua" w:eastAsia="Book Antiqua" w:hAnsi="Book Antiqua"/>
          <w:sz w:val="24"/>
          <w:szCs w:val="24"/>
        </w:rPr>
        <w:t>: S3-S8 [PMID: 32206579 DOI: 10.21037/tp.2019.09.10]</w:t>
      </w:r>
    </w:p>
    <w:p w14:paraId="26EB86DE"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22 </w:t>
      </w:r>
      <w:r>
        <w:rPr>
          <w:rFonts w:ascii="Book Antiqua" w:eastAsia="Book Antiqua" w:hAnsi="Book Antiqua"/>
          <w:b/>
          <w:bCs/>
          <w:sz w:val="24"/>
          <w:szCs w:val="24"/>
        </w:rPr>
        <w:t>Zarate YA</w:t>
      </w:r>
      <w:r>
        <w:rPr>
          <w:rFonts w:ascii="Book Antiqua" w:eastAsia="Book Antiqua" w:hAnsi="Book Antiqua"/>
          <w:sz w:val="24"/>
          <w:szCs w:val="24"/>
        </w:rPr>
        <w:t xml:space="preserve">, Kaylor J, Fish J, Adam MP, Ardinger HH, Pagon RA, Wallace SE, Bean LJH, Mirzaa G, Amemiya A. </w:t>
      </w:r>
      <w:r>
        <w:rPr>
          <w:rFonts w:ascii="Book Antiqua" w:eastAsia="Book Antiqua" w:hAnsi="Book Antiqua"/>
          <w:i/>
          <w:iCs/>
          <w:sz w:val="24"/>
          <w:szCs w:val="24"/>
        </w:rPr>
        <w:t>SATB2-</w:t>
      </w:r>
      <w:r>
        <w:rPr>
          <w:rFonts w:ascii="Book Antiqua" w:eastAsia="Book Antiqua" w:hAnsi="Book Antiqua"/>
          <w:sz w:val="24"/>
          <w:szCs w:val="24"/>
        </w:rPr>
        <w:t>Associated Syndrome 1993 [PMID: 29023086]</w:t>
      </w:r>
    </w:p>
    <w:p w14:paraId="34A1C46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23 </w:t>
      </w:r>
      <w:r>
        <w:rPr>
          <w:rFonts w:ascii="Book Antiqua" w:eastAsia="Book Antiqua" w:hAnsi="Book Antiqua"/>
          <w:b/>
          <w:bCs/>
          <w:sz w:val="24"/>
          <w:szCs w:val="24"/>
        </w:rPr>
        <w:t>Yamada M</w:t>
      </w:r>
      <w:r>
        <w:rPr>
          <w:rFonts w:ascii="Book Antiqua" w:eastAsia="Book Antiqua" w:hAnsi="Book Antiqua"/>
          <w:sz w:val="24"/>
          <w:szCs w:val="24"/>
        </w:rPr>
        <w:t xml:space="preserve">, Uehara T, Suzuki H, Takenouchi T, Yoshihashi H, Suzumura H, Mizuno S, Kosaki K. SATB2-associated syndrome in patients from Japan: Linguistic profiles. </w:t>
      </w:r>
      <w:r>
        <w:rPr>
          <w:rFonts w:ascii="Book Antiqua" w:eastAsia="Book Antiqua" w:hAnsi="Book Antiqua"/>
          <w:i/>
          <w:iCs/>
          <w:sz w:val="24"/>
          <w:szCs w:val="24"/>
        </w:rPr>
        <w:t>Am J Med Genet A</w:t>
      </w:r>
      <w:r>
        <w:rPr>
          <w:rFonts w:ascii="Book Antiqua" w:eastAsia="Book Antiqua" w:hAnsi="Book Antiqua"/>
          <w:sz w:val="24"/>
          <w:szCs w:val="24"/>
        </w:rPr>
        <w:t xml:space="preserve"> 2019; </w:t>
      </w:r>
      <w:r>
        <w:rPr>
          <w:rFonts w:ascii="Book Antiqua" w:eastAsia="Book Antiqua" w:hAnsi="Book Antiqua"/>
          <w:b/>
          <w:bCs/>
          <w:sz w:val="24"/>
          <w:szCs w:val="24"/>
        </w:rPr>
        <w:t>179</w:t>
      </w:r>
      <w:r>
        <w:rPr>
          <w:rFonts w:ascii="Book Antiqua" w:eastAsia="Book Antiqua" w:hAnsi="Book Antiqua"/>
          <w:sz w:val="24"/>
          <w:szCs w:val="24"/>
        </w:rPr>
        <w:t>: 896-899 [PMID: 30848049 DOI: 10.1002/ajmg.a.61114]</w:t>
      </w:r>
    </w:p>
    <w:p w14:paraId="3CF8370D"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24 </w:t>
      </w:r>
      <w:r>
        <w:rPr>
          <w:rFonts w:ascii="Book Antiqua" w:eastAsia="Book Antiqua" w:hAnsi="Book Antiqua"/>
          <w:b/>
          <w:bCs/>
          <w:sz w:val="24"/>
          <w:szCs w:val="24"/>
        </w:rPr>
        <w:t>Gregoric Kumperscak H</w:t>
      </w:r>
      <w:r>
        <w:rPr>
          <w:rFonts w:ascii="Book Antiqua" w:eastAsia="Book Antiqua" w:hAnsi="Book Antiqua"/>
          <w:sz w:val="24"/>
          <w:szCs w:val="24"/>
        </w:rPr>
        <w:t>, Krgovic D, Vokac NK. Specific behavioural phenotype and secondary cognitive decline as a result of an 8.6</w:t>
      </w:r>
      <w:r>
        <w:rPr>
          <w:rFonts w:ascii="Times New Roman" w:eastAsia="Book Antiqua" w:hAnsi="Times New Roman"/>
          <w:sz w:val="24"/>
          <w:szCs w:val="24"/>
        </w:rPr>
        <w:t> </w:t>
      </w:r>
      <w:r>
        <w:rPr>
          <w:rFonts w:ascii="Book Antiqua" w:eastAsia="Book Antiqua" w:hAnsi="Book Antiqua"/>
          <w:sz w:val="24"/>
          <w:szCs w:val="24"/>
        </w:rPr>
        <w:t xml:space="preserve">Mb deletion of 2q32.2q33.1. </w:t>
      </w:r>
      <w:r>
        <w:rPr>
          <w:rFonts w:ascii="Book Antiqua" w:eastAsia="Book Antiqua" w:hAnsi="Book Antiqua"/>
          <w:i/>
          <w:iCs/>
          <w:sz w:val="24"/>
          <w:szCs w:val="24"/>
        </w:rPr>
        <w:t>J Int Med Res</w:t>
      </w:r>
      <w:r>
        <w:rPr>
          <w:rFonts w:ascii="Book Antiqua" w:eastAsia="Book Antiqua" w:hAnsi="Book Antiqua"/>
          <w:sz w:val="24"/>
          <w:szCs w:val="24"/>
        </w:rPr>
        <w:t xml:space="preserve"> 2016; </w:t>
      </w:r>
      <w:r>
        <w:rPr>
          <w:rFonts w:ascii="Book Antiqua" w:eastAsia="Book Antiqua" w:hAnsi="Book Antiqua"/>
          <w:b/>
          <w:bCs/>
          <w:sz w:val="24"/>
          <w:szCs w:val="24"/>
        </w:rPr>
        <w:t>44</w:t>
      </w:r>
      <w:r>
        <w:rPr>
          <w:rFonts w:ascii="Book Antiqua" w:eastAsia="Book Antiqua" w:hAnsi="Book Antiqua"/>
          <w:sz w:val="24"/>
          <w:szCs w:val="24"/>
        </w:rPr>
        <w:t>: 395-402 [PMID: 26811410 DOI: 10.1177/0300060515595651]</w:t>
      </w:r>
    </w:p>
    <w:p w14:paraId="1964B7D4"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25 </w:t>
      </w:r>
      <w:r>
        <w:rPr>
          <w:rFonts w:ascii="Book Antiqua" w:eastAsia="Book Antiqua" w:hAnsi="Book Antiqua"/>
          <w:b/>
          <w:bCs/>
          <w:sz w:val="24"/>
          <w:szCs w:val="24"/>
        </w:rPr>
        <w:t>Scott J</w:t>
      </w:r>
      <w:r>
        <w:rPr>
          <w:rFonts w:ascii="Book Antiqua" w:eastAsia="Book Antiqua" w:hAnsi="Book Antiqua"/>
          <w:sz w:val="24"/>
          <w:szCs w:val="24"/>
        </w:rPr>
        <w:t xml:space="preserve">, Adams C, Beetstra S, Zarate YA. SATB2-associated syndrome (SAS) and associated dental findings. </w:t>
      </w:r>
      <w:r>
        <w:rPr>
          <w:rFonts w:ascii="Book Antiqua" w:eastAsia="Book Antiqua" w:hAnsi="Book Antiqua"/>
          <w:i/>
          <w:iCs/>
          <w:sz w:val="24"/>
          <w:szCs w:val="24"/>
        </w:rPr>
        <w:t>Spec Care Dentist</w:t>
      </w:r>
      <w:r>
        <w:rPr>
          <w:rFonts w:ascii="Book Antiqua" w:eastAsia="Book Antiqua" w:hAnsi="Book Antiqua"/>
          <w:sz w:val="24"/>
          <w:szCs w:val="24"/>
        </w:rPr>
        <w:t xml:space="preserve"> 2019; </w:t>
      </w:r>
      <w:r>
        <w:rPr>
          <w:rFonts w:ascii="Book Antiqua" w:eastAsia="Book Antiqua" w:hAnsi="Book Antiqua"/>
          <w:b/>
          <w:bCs/>
          <w:sz w:val="24"/>
          <w:szCs w:val="24"/>
        </w:rPr>
        <w:t>39</w:t>
      </w:r>
      <w:r>
        <w:rPr>
          <w:rFonts w:ascii="Book Antiqua" w:eastAsia="Book Antiqua" w:hAnsi="Book Antiqua"/>
          <w:sz w:val="24"/>
          <w:szCs w:val="24"/>
        </w:rPr>
        <w:t>: 220-224 [PMID: 30648748 DOI: 10.1111/scd.12340]</w:t>
      </w:r>
    </w:p>
    <w:p w14:paraId="47ED0C2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26 </w:t>
      </w:r>
      <w:r>
        <w:rPr>
          <w:rFonts w:ascii="Book Antiqua" w:eastAsia="Book Antiqua" w:hAnsi="Book Antiqua"/>
          <w:b/>
          <w:bCs/>
          <w:sz w:val="24"/>
          <w:szCs w:val="24"/>
        </w:rPr>
        <w:t>Kikuiri T</w:t>
      </w:r>
      <w:r>
        <w:rPr>
          <w:rFonts w:ascii="Book Antiqua" w:eastAsia="Book Antiqua" w:hAnsi="Book Antiqua"/>
          <w:sz w:val="24"/>
          <w:szCs w:val="24"/>
        </w:rPr>
        <w:t xml:space="preserve">, Mishima H, Imura H, Suzuki S, Matsuzawa Y, Nakamura T, Fukumoto S, Yoshimura Y, Watanabe S, Kinoshita A, Yamada T, Shindoh M, Sugita Y, Maeda </w:t>
      </w:r>
      <w:r>
        <w:rPr>
          <w:rFonts w:ascii="Book Antiqua" w:eastAsia="Book Antiqua" w:hAnsi="Book Antiqua"/>
          <w:sz w:val="24"/>
          <w:szCs w:val="24"/>
        </w:rPr>
        <w:lastRenderedPageBreak/>
        <w:t xml:space="preserve">H, Yawaka Y, Mikoya T, Natsume N, Yoshiura KI. Patients with SATB2-associated syndrome exhibiting multiple odontomas. </w:t>
      </w:r>
      <w:r>
        <w:rPr>
          <w:rFonts w:ascii="Book Antiqua" w:eastAsia="Book Antiqua" w:hAnsi="Book Antiqua"/>
          <w:i/>
          <w:iCs/>
          <w:sz w:val="24"/>
          <w:szCs w:val="24"/>
        </w:rPr>
        <w:t>Am J Med Genet A</w:t>
      </w:r>
      <w:r>
        <w:rPr>
          <w:rFonts w:ascii="Book Antiqua" w:eastAsia="Book Antiqua" w:hAnsi="Book Antiqua"/>
          <w:sz w:val="24"/>
          <w:szCs w:val="24"/>
        </w:rPr>
        <w:t xml:space="preserve"> 2018; </w:t>
      </w:r>
      <w:r>
        <w:rPr>
          <w:rFonts w:ascii="Book Antiqua" w:eastAsia="Book Antiqua" w:hAnsi="Book Antiqua"/>
          <w:b/>
          <w:bCs/>
          <w:sz w:val="24"/>
          <w:szCs w:val="24"/>
        </w:rPr>
        <w:t>176</w:t>
      </w:r>
      <w:r>
        <w:rPr>
          <w:rFonts w:ascii="Book Antiqua" w:eastAsia="Book Antiqua" w:hAnsi="Book Antiqua"/>
          <w:sz w:val="24"/>
          <w:szCs w:val="24"/>
        </w:rPr>
        <w:t>: 2614-2622 [PMID: 30575289 DOI: 10.1002/ajmg.a.40670]</w:t>
      </w:r>
    </w:p>
    <w:p w14:paraId="6BF7AFE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27 </w:t>
      </w:r>
      <w:r>
        <w:rPr>
          <w:rFonts w:ascii="Book Antiqua" w:eastAsia="Book Antiqua" w:hAnsi="Book Antiqua"/>
          <w:b/>
          <w:bCs/>
          <w:sz w:val="24"/>
          <w:szCs w:val="24"/>
        </w:rPr>
        <w:t>Cotton AP</w:t>
      </w:r>
      <w:r>
        <w:rPr>
          <w:rFonts w:ascii="Book Antiqua" w:eastAsia="Book Antiqua" w:hAnsi="Book Antiqua"/>
          <w:sz w:val="24"/>
          <w:szCs w:val="24"/>
        </w:rPr>
        <w:t xml:space="preserve">, Gokarakonda S, Caffrey AR, Zarate YA, Kumar N. Behavioral phenotype and sleep problems in SATB2-associated syndrome. </w:t>
      </w:r>
      <w:r>
        <w:rPr>
          <w:rFonts w:ascii="Book Antiqua" w:eastAsia="Book Antiqua" w:hAnsi="Book Antiqua"/>
          <w:i/>
          <w:iCs/>
          <w:sz w:val="24"/>
          <w:szCs w:val="24"/>
        </w:rPr>
        <w:t>Dev Med Child Neurol</w:t>
      </w:r>
      <w:r>
        <w:rPr>
          <w:rFonts w:ascii="Book Antiqua" w:eastAsia="Book Antiqua" w:hAnsi="Book Antiqua"/>
          <w:sz w:val="24"/>
          <w:szCs w:val="24"/>
        </w:rPr>
        <w:t xml:space="preserve"> 2020; </w:t>
      </w:r>
      <w:r>
        <w:rPr>
          <w:rFonts w:ascii="Book Antiqua" w:eastAsia="Book Antiqua" w:hAnsi="Book Antiqua"/>
          <w:b/>
          <w:bCs/>
          <w:sz w:val="24"/>
          <w:szCs w:val="24"/>
        </w:rPr>
        <w:t>62</w:t>
      </w:r>
      <w:r>
        <w:rPr>
          <w:rFonts w:ascii="Book Antiqua" w:eastAsia="Book Antiqua" w:hAnsi="Book Antiqua"/>
          <w:sz w:val="24"/>
          <w:szCs w:val="24"/>
        </w:rPr>
        <w:t>: 827-832 [PMID: 31420882 DOI: 10.1111/dmcn.14330]</w:t>
      </w:r>
    </w:p>
    <w:p w14:paraId="1823D6D6"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28 </w:t>
      </w:r>
      <w:r>
        <w:rPr>
          <w:rFonts w:ascii="Book Antiqua" w:eastAsia="Book Antiqua" w:hAnsi="Book Antiqua"/>
          <w:b/>
          <w:bCs/>
          <w:sz w:val="24"/>
          <w:szCs w:val="24"/>
        </w:rPr>
        <w:t>Lee JS</w:t>
      </w:r>
      <w:r>
        <w:rPr>
          <w:rFonts w:ascii="Book Antiqua" w:eastAsia="Book Antiqua" w:hAnsi="Book Antiqua"/>
          <w:sz w:val="24"/>
          <w:szCs w:val="24"/>
        </w:rPr>
        <w:t xml:space="preserve">, Yoo Y, Lim BC, Kim KJ, Choi M, Chae JH. SATB2-associated syndrome presenting with Rett-like phenotypes. </w:t>
      </w:r>
      <w:r>
        <w:rPr>
          <w:rFonts w:ascii="Book Antiqua" w:eastAsia="Book Antiqua" w:hAnsi="Book Antiqua"/>
          <w:i/>
          <w:iCs/>
          <w:sz w:val="24"/>
          <w:szCs w:val="24"/>
        </w:rPr>
        <w:t>Clin Genet</w:t>
      </w:r>
      <w:r>
        <w:rPr>
          <w:rFonts w:ascii="Book Antiqua" w:eastAsia="Book Antiqua" w:hAnsi="Book Antiqua"/>
          <w:sz w:val="24"/>
          <w:szCs w:val="24"/>
        </w:rPr>
        <w:t xml:space="preserve"> 2016; </w:t>
      </w:r>
      <w:r>
        <w:rPr>
          <w:rFonts w:ascii="Book Antiqua" w:eastAsia="Book Antiqua" w:hAnsi="Book Antiqua"/>
          <w:b/>
          <w:bCs/>
          <w:sz w:val="24"/>
          <w:szCs w:val="24"/>
        </w:rPr>
        <w:t>89</w:t>
      </w:r>
      <w:r>
        <w:rPr>
          <w:rFonts w:ascii="Book Antiqua" w:eastAsia="Book Antiqua" w:hAnsi="Book Antiqua"/>
          <w:sz w:val="24"/>
          <w:szCs w:val="24"/>
        </w:rPr>
        <w:t>: 728-732 [PMID: 26596517 DOI: 10.1111/cge.12698]</w:t>
      </w:r>
    </w:p>
    <w:p w14:paraId="31F57FEC"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29 </w:t>
      </w:r>
      <w:r>
        <w:rPr>
          <w:rFonts w:ascii="Book Antiqua" w:eastAsia="Book Antiqua" w:hAnsi="Book Antiqua"/>
          <w:b/>
          <w:bCs/>
          <w:sz w:val="24"/>
          <w:szCs w:val="24"/>
        </w:rPr>
        <w:t>Britanova O</w:t>
      </w:r>
      <w:r>
        <w:rPr>
          <w:rFonts w:ascii="Book Antiqua" w:eastAsia="Book Antiqua" w:hAnsi="Book Antiqua"/>
          <w:sz w:val="24"/>
          <w:szCs w:val="24"/>
        </w:rPr>
        <w:t xml:space="preserve">, Akopov S, Lukyanov S, Gruss P, Tarabykin V. Novel transcription factor Satb2 interacts with matrix attachment region DNA elements in a tissue-specific manner and demonstrates cell-type-dependent expression in the developing mouse CNS. </w:t>
      </w:r>
      <w:r>
        <w:rPr>
          <w:rFonts w:ascii="Book Antiqua" w:eastAsia="Book Antiqua" w:hAnsi="Book Antiqua"/>
          <w:i/>
          <w:iCs/>
          <w:sz w:val="24"/>
          <w:szCs w:val="24"/>
        </w:rPr>
        <w:t>Eur J Neurosci</w:t>
      </w:r>
      <w:r>
        <w:rPr>
          <w:rFonts w:ascii="Book Antiqua" w:eastAsia="Book Antiqua" w:hAnsi="Book Antiqua"/>
          <w:sz w:val="24"/>
          <w:szCs w:val="24"/>
        </w:rPr>
        <w:t xml:space="preserve"> 2005; </w:t>
      </w:r>
      <w:r>
        <w:rPr>
          <w:rFonts w:ascii="Book Antiqua" w:eastAsia="Book Antiqua" w:hAnsi="Book Antiqua"/>
          <w:b/>
          <w:bCs/>
          <w:sz w:val="24"/>
          <w:szCs w:val="24"/>
        </w:rPr>
        <w:t>21</w:t>
      </w:r>
      <w:r>
        <w:rPr>
          <w:rFonts w:ascii="Book Antiqua" w:eastAsia="Book Antiqua" w:hAnsi="Book Antiqua"/>
          <w:sz w:val="24"/>
          <w:szCs w:val="24"/>
        </w:rPr>
        <w:t>: 658-668 [PMID: 15733084 DOI: 10.1111/j.1460-9568.2005.03897.x]</w:t>
      </w:r>
    </w:p>
    <w:p w14:paraId="323952B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30 </w:t>
      </w:r>
      <w:r>
        <w:rPr>
          <w:rFonts w:ascii="Book Antiqua" w:eastAsia="Book Antiqua" w:hAnsi="Book Antiqua"/>
          <w:b/>
          <w:bCs/>
          <w:sz w:val="24"/>
          <w:szCs w:val="24"/>
        </w:rPr>
        <w:t>Wang Z</w:t>
      </w:r>
      <w:r>
        <w:rPr>
          <w:rFonts w:ascii="Book Antiqua" w:eastAsia="Book Antiqua" w:hAnsi="Book Antiqua"/>
          <w:sz w:val="24"/>
          <w:szCs w:val="24"/>
        </w:rPr>
        <w:t xml:space="preserve">, Yang X, Chu X, Zhang J, Zhou H, Shen Y, Long J. The structural basis for the oligomerization of the N-terminal domain of SATB1. </w:t>
      </w:r>
      <w:r>
        <w:rPr>
          <w:rFonts w:ascii="Book Antiqua" w:eastAsia="Book Antiqua" w:hAnsi="Book Antiqua"/>
          <w:i/>
          <w:iCs/>
          <w:sz w:val="24"/>
          <w:szCs w:val="24"/>
        </w:rPr>
        <w:t>Nucleic Acids Res</w:t>
      </w:r>
      <w:r>
        <w:rPr>
          <w:rFonts w:ascii="Book Antiqua" w:eastAsia="Book Antiqua" w:hAnsi="Book Antiqua"/>
          <w:sz w:val="24"/>
          <w:szCs w:val="24"/>
        </w:rPr>
        <w:t xml:space="preserve"> 2012; </w:t>
      </w:r>
      <w:r>
        <w:rPr>
          <w:rFonts w:ascii="Book Antiqua" w:eastAsia="Book Antiqua" w:hAnsi="Book Antiqua"/>
          <w:b/>
          <w:bCs/>
          <w:sz w:val="24"/>
          <w:szCs w:val="24"/>
        </w:rPr>
        <w:t>40</w:t>
      </w:r>
      <w:r>
        <w:rPr>
          <w:rFonts w:ascii="Book Antiqua" w:eastAsia="Book Antiqua" w:hAnsi="Book Antiqua"/>
          <w:sz w:val="24"/>
          <w:szCs w:val="24"/>
        </w:rPr>
        <w:t>: 4193-4202 [PMID: 22241778 DOI: 10.1093/nar/gkr1284]</w:t>
      </w:r>
    </w:p>
    <w:p w14:paraId="5C26B8A7"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31 </w:t>
      </w:r>
      <w:r>
        <w:rPr>
          <w:rFonts w:ascii="Book Antiqua" w:eastAsia="Book Antiqua" w:hAnsi="Book Antiqua"/>
          <w:b/>
          <w:bCs/>
          <w:sz w:val="24"/>
          <w:szCs w:val="24"/>
        </w:rPr>
        <w:t>Whitton L</w:t>
      </w:r>
      <w:r>
        <w:rPr>
          <w:rFonts w:ascii="Book Antiqua" w:eastAsia="Book Antiqua" w:hAnsi="Book Antiqua"/>
          <w:sz w:val="24"/>
          <w:szCs w:val="24"/>
        </w:rPr>
        <w:t xml:space="preserve">, Apostolova G, Rieder D, Dechant G, Rea S, Donohoe G, Morris DW. Genes regulated by SATB2 during neurodevelopment contribute to schizophrenia and educational attainment. </w:t>
      </w:r>
      <w:r>
        <w:rPr>
          <w:rFonts w:ascii="Book Antiqua" w:eastAsia="Book Antiqua" w:hAnsi="Book Antiqua"/>
          <w:i/>
          <w:iCs/>
          <w:sz w:val="24"/>
          <w:szCs w:val="24"/>
        </w:rPr>
        <w:t>PLoS Genet</w:t>
      </w:r>
      <w:r>
        <w:rPr>
          <w:rFonts w:ascii="Book Antiqua" w:eastAsia="Book Antiqua" w:hAnsi="Book Antiqua"/>
          <w:sz w:val="24"/>
          <w:szCs w:val="24"/>
        </w:rPr>
        <w:t xml:space="preserve"> 2018; </w:t>
      </w:r>
      <w:r>
        <w:rPr>
          <w:rFonts w:ascii="Book Antiqua" w:eastAsia="Book Antiqua" w:hAnsi="Book Antiqua"/>
          <w:b/>
          <w:bCs/>
          <w:sz w:val="24"/>
          <w:szCs w:val="24"/>
        </w:rPr>
        <w:t>14</w:t>
      </w:r>
      <w:r>
        <w:rPr>
          <w:rFonts w:ascii="Book Antiqua" w:eastAsia="Book Antiqua" w:hAnsi="Book Antiqua"/>
          <w:sz w:val="24"/>
          <w:szCs w:val="24"/>
        </w:rPr>
        <w:t>: e1007515 [PMID: 30040823 DOI: 10.1371/journal.pgen.1007515]</w:t>
      </w:r>
    </w:p>
    <w:p w14:paraId="5486C2C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32 </w:t>
      </w:r>
      <w:r>
        <w:rPr>
          <w:rFonts w:ascii="Book Antiqua" w:eastAsia="Book Antiqua" w:hAnsi="Book Antiqua"/>
          <w:b/>
          <w:bCs/>
          <w:sz w:val="24"/>
          <w:szCs w:val="24"/>
        </w:rPr>
        <w:t>Zhang L</w:t>
      </w:r>
      <w:r>
        <w:rPr>
          <w:rFonts w:ascii="Book Antiqua" w:eastAsia="Book Antiqua" w:hAnsi="Book Antiqua"/>
          <w:sz w:val="24"/>
          <w:szCs w:val="24"/>
        </w:rPr>
        <w:t xml:space="preserve">, Song NN, Zhang Q, Mei WY, He CH, Ma P, Huang Y, Chen JY, Mao B, Lang B, Ding YQ. Satb2 is required for the regionalization of retrosplenial cortex. </w:t>
      </w:r>
      <w:r>
        <w:rPr>
          <w:rFonts w:ascii="Book Antiqua" w:eastAsia="Book Antiqua" w:hAnsi="Book Antiqua"/>
          <w:i/>
          <w:iCs/>
          <w:sz w:val="24"/>
          <w:szCs w:val="24"/>
        </w:rPr>
        <w:t>Cell Death Differ</w:t>
      </w:r>
      <w:r>
        <w:rPr>
          <w:rFonts w:ascii="Book Antiqua" w:eastAsia="Book Antiqua" w:hAnsi="Book Antiqua"/>
          <w:sz w:val="24"/>
          <w:szCs w:val="24"/>
        </w:rPr>
        <w:t xml:space="preserve"> 2020; </w:t>
      </w:r>
      <w:r>
        <w:rPr>
          <w:rFonts w:ascii="Book Antiqua" w:eastAsia="Book Antiqua" w:hAnsi="Book Antiqua"/>
          <w:b/>
          <w:bCs/>
          <w:sz w:val="24"/>
          <w:szCs w:val="24"/>
        </w:rPr>
        <w:t>27</w:t>
      </w:r>
      <w:r>
        <w:rPr>
          <w:rFonts w:ascii="Book Antiqua" w:eastAsia="Book Antiqua" w:hAnsi="Book Antiqua"/>
          <w:sz w:val="24"/>
          <w:szCs w:val="24"/>
        </w:rPr>
        <w:t>: 1604-1617 [PMID: 31666685 DOI: 10.1038/s41418-019-0443-1]</w:t>
      </w:r>
    </w:p>
    <w:p w14:paraId="50EAF32E"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33 </w:t>
      </w:r>
      <w:r>
        <w:rPr>
          <w:rFonts w:ascii="Book Antiqua" w:eastAsia="Book Antiqua" w:hAnsi="Book Antiqua"/>
          <w:b/>
          <w:bCs/>
          <w:sz w:val="24"/>
          <w:szCs w:val="24"/>
        </w:rPr>
        <w:t>Zhang Q</w:t>
      </w:r>
      <w:r>
        <w:rPr>
          <w:rFonts w:ascii="Book Antiqua" w:eastAsia="Book Antiqua" w:hAnsi="Book Antiqua"/>
          <w:sz w:val="24"/>
          <w:szCs w:val="24"/>
        </w:rPr>
        <w:t xml:space="preserve">, Huang Y, Zhang L, Ding YQ, Song NN. Loss of Satb2 in the Cortex and Hippocampus Leads to Abnormal Behaviors in Mice. </w:t>
      </w:r>
      <w:r>
        <w:rPr>
          <w:rFonts w:ascii="Book Antiqua" w:eastAsia="Book Antiqua" w:hAnsi="Book Antiqua"/>
          <w:i/>
          <w:iCs/>
          <w:sz w:val="24"/>
          <w:szCs w:val="24"/>
        </w:rPr>
        <w:t>Front Mol Neurosci</w:t>
      </w:r>
      <w:r>
        <w:rPr>
          <w:rFonts w:ascii="Book Antiqua" w:eastAsia="Book Antiqua" w:hAnsi="Book Antiqua"/>
          <w:sz w:val="24"/>
          <w:szCs w:val="24"/>
        </w:rPr>
        <w:t xml:space="preserve"> 2019; </w:t>
      </w:r>
      <w:r>
        <w:rPr>
          <w:rFonts w:ascii="Book Antiqua" w:eastAsia="Book Antiqua" w:hAnsi="Book Antiqua"/>
          <w:b/>
          <w:bCs/>
          <w:sz w:val="24"/>
          <w:szCs w:val="24"/>
        </w:rPr>
        <w:t>12</w:t>
      </w:r>
      <w:r>
        <w:rPr>
          <w:rFonts w:ascii="Book Antiqua" w:eastAsia="Book Antiqua" w:hAnsi="Book Antiqua"/>
          <w:sz w:val="24"/>
          <w:szCs w:val="24"/>
        </w:rPr>
        <w:t>: 33 [PMID: 30809123 DOI: 10.3389/fnmol.2019.00033]</w:t>
      </w:r>
    </w:p>
    <w:p w14:paraId="60800FF7"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34 </w:t>
      </w:r>
      <w:r>
        <w:rPr>
          <w:rFonts w:ascii="Book Antiqua" w:eastAsia="Book Antiqua" w:hAnsi="Book Antiqua"/>
          <w:b/>
          <w:bCs/>
          <w:sz w:val="24"/>
          <w:szCs w:val="24"/>
        </w:rPr>
        <w:t>Britanova O</w:t>
      </w:r>
      <w:r>
        <w:rPr>
          <w:rFonts w:ascii="Book Antiqua" w:eastAsia="Book Antiqua" w:hAnsi="Book Antiqua"/>
          <w:sz w:val="24"/>
          <w:szCs w:val="24"/>
        </w:rPr>
        <w:t xml:space="preserve">, de Juan Romero C, Cheung A, Kwan KY, Schwark M, Gyorgy A, Vogel T, Akopov S, Mitkovski M, Agoston D, Sestan N, Molnár Z, Tarabykin V. </w:t>
      </w:r>
      <w:r>
        <w:rPr>
          <w:rFonts w:ascii="Book Antiqua" w:eastAsia="Book Antiqua" w:hAnsi="Book Antiqua"/>
          <w:sz w:val="24"/>
          <w:szCs w:val="24"/>
        </w:rPr>
        <w:lastRenderedPageBreak/>
        <w:t xml:space="preserve">Satb2 is a postmitotic determinant for upper-layer neuron specification in the neocortex. </w:t>
      </w:r>
      <w:r>
        <w:rPr>
          <w:rFonts w:ascii="Book Antiqua" w:eastAsia="Book Antiqua" w:hAnsi="Book Antiqua"/>
          <w:i/>
          <w:iCs/>
          <w:sz w:val="24"/>
          <w:szCs w:val="24"/>
        </w:rPr>
        <w:t>Neuron</w:t>
      </w:r>
      <w:r>
        <w:rPr>
          <w:rFonts w:ascii="Book Antiqua" w:eastAsia="Book Antiqua" w:hAnsi="Book Antiqua"/>
          <w:sz w:val="24"/>
          <w:szCs w:val="24"/>
        </w:rPr>
        <w:t xml:space="preserve"> 2008; </w:t>
      </w:r>
      <w:r>
        <w:rPr>
          <w:rFonts w:ascii="Book Antiqua" w:eastAsia="Book Antiqua" w:hAnsi="Book Antiqua"/>
          <w:b/>
          <w:bCs/>
          <w:sz w:val="24"/>
          <w:szCs w:val="24"/>
        </w:rPr>
        <w:t>57</w:t>
      </w:r>
      <w:r>
        <w:rPr>
          <w:rFonts w:ascii="Book Antiqua" w:eastAsia="Book Antiqua" w:hAnsi="Book Antiqua"/>
          <w:sz w:val="24"/>
          <w:szCs w:val="24"/>
        </w:rPr>
        <w:t>: 378-392 [PMID: 18255031 DOI: 10.1016/j.neuron.2007.12.028]</w:t>
      </w:r>
    </w:p>
    <w:p w14:paraId="2BF151E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35 </w:t>
      </w:r>
      <w:r>
        <w:rPr>
          <w:rFonts w:ascii="Book Antiqua" w:eastAsia="Book Antiqua" w:hAnsi="Book Antiqua"/>
          <w:b/>
          <w:bCs/>
          <w:sz w:val="24"/>
          <w:szCs w:val="24"/>
        </w:rPr>
        <w:t>Alcamo EA</w:t>
      </w:r>
      <w:r>
        <w:rPr>
          <w:rFonts w:ascii="Book Antiqua" w:eastAsia="Book Antiqua" w:hAnsi="Book Antiqua"/>
          <w:sz w:val="24"/>
          <w:szCs w:val="24"/>
        </w:rPr>
        <w:t xml:space="preserve">, Chirivella L, Dautzenberg M, Dobreva G, Fariñas I, Grosschedl R, McConnell SK. Satb2 regulates callosal projection neuron identity in the developing cerebral cortex. </w:t>
      </w:r>
      <w:r>
        <w:rPr>
          <w:rFonts w:ascii="Book Antiqua" w:eastAsia="Book Antiqua" w:hAnsi="Book Antiqua"/>
          <w:i/>
          <w:iCs/>
          <w:sz w:val="24"/>
          <w:szCs w:val="24"/>
        </w:rPr>
        <w:t>Neuron</w:t>
      </w:r>
      <w:r>
        <w:rPr>
          <w:rFonts w:ascii="Book Antiqua" w:eastAsia="Book Antiqua" w:hAnsi="Book Antiqua"/>
          <w:sz w:val="24"/>
          <w:szCs w:val="24"/>
        </w:rPr>
        <w:t xml:space="preserve"> 2008; </w:t>
      </w:r>
      <w:r>
        <w:rPr>
          <w:rFonts w:ascii="Book Antiqua" w:eastAsia="Book Antiqua" w:hAnsi="Book Antiqua"/>
          <w:b/>
          <w:bCs/>
          <w:sz w:val="24"/>
          <w:szCs w:val="24"/>
        </w:rPr>
        <w:t>57</w:t>
      </w:r>
      <w:r>
        <w:rPr>
          <w:rFonts w:ascii="Book Antiqua" w:eastAsia="Book Antiqua" w:hAnsi="Book Antiqua"/>
          <w:sz w:val="24"/>
          <w:szCs w:val="24"/>
        </w:rPr>
        <w:t>: 364-377 [PMID: 18255030 DOI: 10.1016/j.neuron.2007.12.012]</w:t>
      </w:r>
    </w:p>
    <w:p w14:paraId="63E08062"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36 </w:t>
      </w:r>
      <w:r>
        <w:rPr>
          <w:rFonts w:ascii="Book Antiqua" w:eastAsia="Book Antiqua" w:hAnsi="Book Antiqua"/>
          <w:b/>
          <w:bCs/>
          <w:sz w:val="24"/>
          <w:szCs w:val="24"/>
        </w:rPr>
        <w:t>Leone DP</w:t>
      </w:r>
      <w:r>
        <w:rPr>
          <w:rFonts w:ascii="Book Antiqua" w:eastAsia="Book Antiqua" w:hAnsi="Book Antiqua"/>
          <w:sz w:val="24"/>
          <w:szCs w:val="24"/>
        </w:rPr>
        <w:t xml:space="preserve">, Heavner WE, Ferenczi EA, Dobreva G, Huguenard JR, Grosschedl R, McConnell SK. Satb2 Regulates the Differentiation of Both Callosal and Subcerebral Projection Neurons in the Developing Cerebral Cortex. </w:t>
      </w:r>
      <w:r>
        <w:rPr>
          <w:rFonts w:ascii="Book Antiqua" w:eastAsia="Book Antiqua" w:hAnsi="Book Antiqua"/>
          <w:i/>
          <w:iCs/>
          <w:sz w:val="24"/>
          <w:szCs w:val="24"/>
        </w:rPr>
        <w:t>Cereb Cortex</w:t>
      </w:r>
      <w:r>
        <w:rPr>
          <w:rFonts w:ascii="Book Antiqua" w:eastAsia="Book Antiqua" w:hAnsi="Book Antiqua"/>
          <w:sz w:val="24"/>
          <w:szCs w:val="24"/>
        </w:rPr>
        <w:t xml:space="preserve"> 2015; </w:t>
      </w:r>
      <w:r>
        <w:rPr>
          <w:rFonts w:ascii="Book Antiqua" w:eastAsia="Book Antiqua" w:hAnsi="Book Antiqua"/>
          <w:b/>
          <w:bCs/>
          <w:sz w:val="24"/>
          <w:szCs w:val="24"/>
        </w:rPr>
        <w:t>25</w:t>
      </w:r>
      <w:r>
        <w:rPr>
          <w:rFonts w:ascii="Book Antiqua" w:eastAsia="Book Antiqua" w:hAnsi="Book Antiqua"/>
          <w:sz w:val="24"/>
          <w:szCs w:val="24"/>
        </w:rPr>
        <w:t>: 3406-3419 [PMID: 25037921 DOI: 10.1093/cercor/bhu156]</w:t>
      </w:r>
    </w:p>
    <w:p w14:paraId="36AA0B8A"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37 </w:t>
      </w:r>
      <w:r>
        <w:rPr>
          <w:rFonts w:ascii="Book Antiqua" w:eastAsia="Book Antiqua" w:hAnsi="Book Antiqua"/>
          <w:b/>
          <w:bCs/>
          <w:sz w:val="24"/>
          <w:szCs w:val="24"/>
        </w:rPr>
        <w:t>Fahey MC</w:t>
      </w:r>
      <w:r>
        <w:rPr>
          <w:rFonts w:ascii="Book Antiqua" w:eastAsia="Book Antiqua" w:hAnsi="Book Antiqua"/>
          <w:sz w:val="24"/>
          <w:szCs w:val="24"/>
        </w:rPr>
        <w:t xml:space="preserve">, Maclennan AH, Kretzschmar D, Gecz J, Kruer MC. The genetic basis of cerebral palsy. </w:t>
      </w:r>
      <w:r>
        <w:rPr>
          <w:rFonts w:ascii="Book Antiqua" w:eastAsia="Book Antiqua" w:hAnsi="Book Antiqua"/>
          <w:i/>
          <w:iCs/>
          <w:sz w:val="24"/>
          <w:szCs w:val="24"/>
        </w:rPr>
        <w:t>Dev Med Child Neurol</w:t>
      </w:r>
      <w:r>
        <w:rPr>
          <w:rFonts w:ascii="Book Antiqua" w:eastAsia="Book Antiqua" w:hAnsi="Book Antiqua"/>
          <w:sz w:val="24"/>
          <w:szCs w:val="24"/>
        </w:rPr>
        <w:t xml:space="preserve"> 2017; </w:t>
      </w:r>
      <w:r>
        <w:rPr>
          <w:rFonts w:ascii="Book Antiqua" w:eastAsia="Book Antiqua" w:hAnsi="Book Antiqua"/>
          <w:b/>
          <w:bCs/>
          <w:sz w:val="24"/>
          <w:szCs w:val="24"/>
        </w:rPr>
        <w:t>59</w:t>
      </w:r>
      <w:r>
        <w:rPr>
          <w:rFonts w:ascii="Book Antiqua" w:eastAsia="Book Antiqua" w:hAnsi="Book Antiqua"/>
          <w:sz w:val="24"/>
          <w:szCs w:val="24"/>
        </w:rPr>
        <w:t>: 462-469 [PMID: 28042670 DOI: 10.1111/dmcn.13363]</w:t>
      </w:r>
    </w:p>
    <w:p w14:paraId="3489821A"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38 </w:t>
      </w:r>
      <w:r>
        <w:rPr>
          <w:rFonts w:ascii="Book Antiqua" w:eastAsia="Book Antiqua" w:hAnsi="Book Antiqua"/>
          <w:b/>
          <w:bCs/>
          <w:sz w:val="24"/>
          <w:szCs w:val="24"/>
        </w:rPr>
        <w:t>Ashrafi MR</w:t>
      </w:r>
      <w:r>
        <w:rPr>
          <w:rFonts w:ascii="Book Antiqua" w:eastAsia="Book Antiqua" w:hAnsi="Book Antiqua"/>
          <w:sz w:val="24"/>
          <w:szCs w:val="24"/>
        </w:rPr>
        <w:t xml:space="preserve">, Amanat M, Garshasbi M, Kameli R, Nilipour Y, Heidari M, Rezaei Z, Tavasoli AR. An update on clinical, pathological, diagnostic, and therapeutic perspectives of childhood leukodystrophies. </w:t>
      </w:r>
      <w:r>
        <w:rPr>
          <w:rFonts w:ascii="Book Antiqua" w:eastAsia="Book Antiqua" w:hAnsi="Book Antiqua"/>
          <w:i/>
          <w:iCs/>
          <w:sz w:val="24"/>
          <w:szCs w:val="24"/>
        </w:rPr>
        <w:t>Expert Rev Neurother</w:t>
      </w:r>
      <w:r>
        <w:rPr>
          <w:rFonts w:ascii="Book Antiqua" w:eastAsia="Book Antiqua" w:hAnsi="Book Antiqua"/>
          <w:sz w:val="24"/>
          <w:szCs w:val="24"/>
        </w:rPr>
        <w:t xml:space="preserve"> 2020; </w:t>
      </w:r>
      <w:r>
        <w:rPr>
          <w:rFonts w:ascii="Book Antiqua" w:eastAsia="Book Antiqua" w:hAnsi="Book Antiqua"/>
          <w:b/>
          <w:bCs/>
          <w:sz w:val="24"/>
          <w:szCs w:val="24"/>
        </w:rPr>
        <w:t>20</w:t>
      </w:r>
      <w:r>
        <w:rPr>
          <w:rFonts w:ascii="Book Antiqua" w:eastAsia="Book Antiqua" w:hAnsi="Book Antiqua"/>
          <w:sz w:val="24"/>
          <w:szCs w:val="24"/>
        </w:rPr>
        <w:t>: 65-84 [PMID: 31829048 DOI: 10.1080/14737175.2020.1699060]</w:t>
      </w:r>
    </w:p>
    <w:p w14:paraId="1A50F88A"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39 </w:t>
      </w:r>
      <w:r>
        <w:rPr>
          <w:rFonts w:ascii="Book Antiqua" w:eastAsia="Book Antiqua" w:hAnsi="Book Antiqua"/>
          <w:b/>
          <w:bCs/>
          <w:sz w:val="24"/>
          <w:szCs w:val="24"/>
        </w:rPr>
        <w:t>Margolis SS</w:t>
      </w:r>
      <w:r>
        <w:rPr>
          <w:rFonts w:ascii="Book Antiqua" w:eastAsia="Book Antiqua" w:hAnsi="Book Antiqua"/>
          <w:sz w:val="24"/>
          <w:szCs w:val="24"/>
        </w:rPr>
        <w:t xml:space="preserve">, Sell GL, Zbinden MA, Bird LM. Angelman Syndrome. </w:t>
      </w:r>
      <w:r>
        <w:rPr>
          <w:rFonts w:ascii="Book Antiqua" w:eastAsia="Book Antiqua" w:hAnsi="Book Antiqua"/>
          <w:i/>
          <w:iCs/>
          <w:sz w:val="24"/>
          <w:szCs w:val="24"/>
        </w:rPr>
        <w:t>Neurotherapeutics</w:t>
      </w:r>
      <w:r>
        <w:rPr>
          <w:rFonts w:ascii="Book Antiqua" w:eastAsia="Book Antiqua" w:hAnsi="Book Antiqua"/>
          <w:sz w:val="24"/>
          <w:szCs w:val="24"/>
        </w:rPr>
        <w:t xml:space="preserve"> 2015; </w:t>
      </w:r>
      <w:r>
        <w:rPr>
          <w:rFonts w:ascii="Book Antiqua" w:eastAsia="Book Antiqua" w:hAnsi="Book Antiqua"/>
          <w:b/>
          <w:bCs/>
          <w:sz w:val="24"/>
          <w:szCs w:val="24"/>
        </w:rPr>
        <w:t>12</w:t>
      </w:r>
      <w:r>
        <w:rPr>
          <w:rFonts w:ascii="Book Antiqua" w:eastAsia="Book Antiqua" w:hAnsi="Book Antiqua"/>
          <w:sz w:val="24"/>
          <w:szCs w:val="24"/>
        </w:rPr>
        <w:t>: 641-650 [PMID: 26040994 DOI: 10.1007/s13311-015-0361-y]</w:t>
      </w:r>
    </w:p>
    <w:p w14:paraId="2F5B787C"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40 </w:t>
      </w:r>
      <w:r>
        <w:rPr>
          <w:rFonts w:ascii="Book Antiqua" w:eastAsia="Book Antiqua" w:hAnsi="Book Antiqua"/>
          <w:b/>
          <w:bCs/>
          <w:sz w:val="24"/>
          <w:szCs w:val="24"/>
        </w:rPr>
        <w:t>Morel Swols D</w:t>
      </w:r>
      <w:r>
        <w:rPr>
          <w:rFonts w:ascii="Book Antiqua" w:eastAsia="Book Antiqua" w:hAnsi="Book Antiqua"/>
          <w:sz w:val="24"/>
          <w:szCs w:val="24"/>
        </w:rPr>
        <w:t xml:space="preserve">, Foster J 2nd, Tekin M. KBG syndrome. </w:t>
      </w:r>
      <w:r>
        <w:rPr>
          <w:rFonts w:ascii="Book Antiqua" w:eastAsia="Book Antiqua" w:hAnsi="Book Antiqua"/>
          <w:i/>
          <w:iCs/>
          <w:sz w:val="24"/>
          <w:szCs w:val="24"/>
        </w:rPr>
        <w:t>Orphanet J Rare Dis</w:t>
      </w:r>
      <w:r>
        <w:rPr>
          <w:rFonts w:ascii="Book Antiqua" w:eastAsia="Book Antiqua" w:hAnsi="Book Antiqua"/>
          <w:sz w:val="24"/>
          <w:szCs w:val="24"/>
        </w:rPr>
        <w:t xml:space="preserve"> 2017; </w:t>
      </w:r>
      <w:r>
        <w:rPr>
          <w:rFonts w:ascii="Book Antiqua" w:eastAsia="Book Antiqua" w:hAnsi="Book Antiqua"/>
          <w:b/>
          <w:bCs/>
          <w:sz w:val="24"/>
          <w:szCs w:val="24"/>
        </w:rPr>
        <w:t>12</w:t>
      </w:r>
      <w:r>
        <w:rPr>
          <w:rFonts w:ascii="Book Antiqua" w:eastAsia="Book Antiqua" w:hAnsi="Book Antiqua"/>
          <w:sz w:val="24"/>
          <w:szCs w:val="24"/>
        </w:rPr>
        <w:t>: 183 [PMID: 29258554 DOI: 10.1186/s13023-017-0736-8]</w:t>
      </w:r>
    </w:p>
    <w:p w14:paraId="632A0948"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41 </w:t>
      </w:r>
      <w:r>
        <w:rPr>
          <w:rFonts w:ascii="Book Antiqua" w:eastAsia="Book Antiqua" w:hAnsi="Book Antiqua"/>
          <w:b/>
          <w:bCs/>
          <w:sz w:val="24"/>
          <w:szCs w:val="24"/>
        </w:rPr>
        <w:t>Zarate YA</w:t>
      </w:r>
      <w:r>
        <w:rPr>
          <w:rFonts w:ascii="Book Antiqua" w:eastAsia="Book Antiqua" w:hAnsi="Book Antiqua"/>
          <w:sz w:val="24"/>
          <w:szCs w:val="24"/>
        </w:rPr>
        <w:t xml:space="preserve">, Perry H, Ben-Omran T, Sellars EA, Stein Q, Almureikhi M, Simmons K, Klein O, Fish J, Feingold M, Douglas J, Kruer MC, Si Y, Mao R, McKnight D, Gibellini F, Retterer K, Slavotinek A. Further supporting evidence for the SATB2-associated syndrome found through whole exome sequencing. </w:t>
      </w:r>
      <w:r>
        <w:rPr>
          <w:rFonts w:ascii="Book Antiqua" w:eastAsia="Book Antiqua" w:hAnsi="Book Antiqua"/>
          <w:i/>
          <w:iCs/>
          <w:sz w:val="24"/>
          <w:szCs w:val="24"/>
        </w:rPr>
        <w:t>Am J Med Genet A</w:t>
      </w:r>
      <w:r>
        <w:rPr>
          <w:rFonts w:ascii="Book Antiqua" w:eastAsia="Book Antiqua" w:hAnsi="Book Antiqua"/>
          <w:sz w:val="24"/>
          <w:szCs w:val="24"/>
        </w:rPr>
        <w:t xml:space="preserve"> 2015; </w:t>
      </w:r>
      <w:r>
        <w:rPr>
          <w:rFonts w:ascii="Book Antiqua" w:eastAsia="Book Antiqua" w:hAnsi="Book Antiqua"/>
          <w:b/>
          <w:bCs/>
          <w:sz w:val="24"/>
          <w:szCs w:val="24"/>
        </w:rPr>
        <w:t>167A</w:t>
      </w:r>
      <w:r>
        <w:rPr>
          <w:rFonts w:ascii="Book Antiqua" w:eastAsia="Book Antiqua" w:hAnsi="Book Antiqua"/>
          <w:sz w:val="24"/>
          <w:szCs w:val="24"/>
        </w:rPr>
        <w:t>: 1026-1032 [PMID: 25885067 DOI: 10.1002/ajmg.a.36849]</w:t>
      </w:r>
    </w:p>
    <w:p w14:paraId="5EB2FFFF" w14:textId="77777777" w:rsidR="007D4E69" w:rsidRDefault="005A2594">
      <w:pPr>
        <w:widowControl/>
        <w:spacing w:line="360" w:lineRule="auto"/>
        <w:rPr>
          <w:rFonts w:ascii="Book Antiqua" w:hAnsi="Book Antiqua"/>
          <w:sz w:val="24"/>
          <w:szCs w:val="24"/>
        </w:rPr>
      </w:pPr>
      <w:r>
        <w:rPr>
          <w:rFonts w:ascii="Book Antiqua" w:hAnsi="Book Antiqua"/>
          <w:sz w:val="24"/>
          <w:szCs w:val="24"/>
        </w:rPr>
        <w:br w:type="page"/>
      </w:r>
    </w:p>
    <w:p w14:paraId="1413C89C"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lastRenderedPageBreak/>
        <w:t>Footnotes</w:t>
      </w:r>
    </w:p>
    <w:p w14:paraId="5603BC85"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Informed consent statement: </w:t>
      </w:r>
      <w:r>
        <w:rPr>
          <w:rFonts w:ascii="Book Antiqua" w:eastAsia="Book Antiqua" w:hAnsi="Book Antiqua" w:cs="Book Antiqua"/>
          <w:color w:val="000000"/>
          <w:sz w:val="24"/>
          <w:szCs w:val="24"/>
        </w:rPr>
        <w:t>Consent was obtained from the patient and his/her relatives for the publication of this report and any accompanying images.</w:t>
      </w:r>
    </w:p>
    <w:p w14:paraId="68642ED4" w14:textId="77777777" w:rsidR="007D4E69" w:rsidRDefault="007D4E69">
      <w:pPr>
        <w:spacing w:line="360" w:lineRule="auto"/>
        <w:rPr>
          <w:rFonts w:ascii="Book Antiqua" w:hAnsi="Book Antiqua"/>
          <w:sz w:val="24"/>
          <w:szCs w:val="24"/>
        </w:rPr>
      </w:pPr>
    </w:p>
    <w:p w14:paraId="66656629"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Conflict-of-interest statement: </w:t>
      </w:r>
      <w:r>
        <w:rPr>
          <w:rFonts w:ascii="Book Antiqua" w:eastAsia="Book Antiqua" w:hAnsi="Book Antiqua" w:cs="Book Antiqua"/>
          <w:color w:val="000000"/>
          <w:sz w:val="24"/>
          <w:szCs w:val="24"/>
        </w:rPr>
        <w:t>The authors declare that they have no conflicts of interest.</w:t>
      </w:r>
    </w:p>
    <w:p w14:paraId="5B0D295B" w14:textId="77777777" w:rsidR="007D4E69" w:rsidRDefault="007D4E69">
      <w:pPr>
        <w:spacing w:line="360" w:lineRule="auto"/>
        <w:rPr>
          <w:rFonts w:ascii="Book Antiqua" w:hAnsi="Book Antiqua"/>
          <w:sz w:val="24"/>
          <w:szCs w:val="24"/>
        </w:rPr>
      </w:pPr>
    </w:p>
    <w:p w14:paraId="22F86891"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CARE Checklist (2016) statement: </w:t>
      </w:r>
      <w:r>
        <w:rPr>
          <w:rFonts w:ascii="Book Antiqua" w:eastAsia="Book Antiqua" w:hAnsi="Book Antiqua" w:cs="Book Antiqua"/>
          <w:color w:val="000000"/>
          <w:sz w:val="24"/>
          <w:szCs w:val="24"/>
        </w:rPr>
        <w:t>The authors have read the CARE Checklist (2016), and the manuscript was prepared and revised according to the CARE Checklist (2016).</w:t>
      </w:r>
    </w:p>
    <w:p w14:paraId="2ED05AB8" w14:textId="77777777" w:rsidR="007D4E69" w:rsidRDefault="007D4E69">
      <w:pPr>
        <w:spacing w:line="360" w:lineRule="auto"/>
        <w:rPr>
          <w:rFonts w:ascii="Book Antiqua" w:hAnsi="Book Antiqua"/>
          <w:sz w:val="24"/>
          <w:szCs w:val="24"/>
        </w:rPr>
      </w:pPr>
    </w:p>
    <w:p w14:paraId="0A3508BB"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Open-Access: </w:t>
      </w:r>
      <w:r>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9CB724" w14:textId="77777777" w:rsidR="007D4E69" w:rsidRDefault="007D4E69">
      <w:pPr>
        <w:spacing w:line="360" w:lineRule="auto"/>
        <w:rPr>
          <w:rFonts w:ascii="Book Antiqua" w:hAnsi="Book Antiqua"/>
          <w:sz w:val="24"/>
          <w:szCs w:val="24"/>
        </w:rPr>
      </w:pPr>
    </w:p>
    <w:p w14:paraId="2A2AA550"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Manuscript source: </w:t>
      </w:r>
      <w:r>
        <w:rPr>
          <w:rFonts w:ascii="Book Antiqua" w:eastAsia="Book Antiqua" w:hAnsi="Book Antiqua" w:cs="Book Antiqua"/>
          <w:color w:val="000000"/>
          <w:sz w:val="24"/>
          <w:szCs w:val="24"/>
        </w:rPr>
        <w:t>Unsolicited manuscript</w:t>
      </w:r>
    </w:p>
    <w:p w14:paraId="4114C19C" w14:textId="77777777" w:rsidR="007D4E69" w:rsidRDefault="007D4E69">
      <w:pPr>
        <w:spacing w:line="360" w:lineRule="auto"/>
        <w:rPr>
          <w:rFonts w:ascii="Book Antiqua" w:hAnsi="Book Antiqua"/>
          <w:sz w:val="24"/>
          <w:szCs w:val="24"/>
        </w:rPr>
      </w:pPr>
    </w:p>
    <w:p w14:paraId="54544574"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Peer-review started: </w:t>
      </w:r>
      <w:r>
        <w:rPr>
          <w:rFonts w:ascii="Book Antiqua" w:eastAsia="Book Antiqua" w:hAnsi="Book Antiqua" w:cs="Book Antiqua"/>
          <w:color w:val="000000"/>
          <w:sz w:val="24"/>
          <w:szCs w:val="24"/>
        </w:rPr>
        <w:t>March 16, 2021</w:t>
      </w:r>
    </w:p>
    <w:p w14:paraId="3FF94D6E"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First decision: </w:t>
      </w:r>
      <w:r>
        <w:rPr>
          <w:rFonts w:ascii="Book Antiqua" w:eastAsia="Book Antiqua" w:hAnsi="Book Antiqua" w:cs="Book Antiqua"/>
          <w:color w:val="000000"/>
          <w:sz w:val="24"/>
          <w:szCs w:val="24"/>
        </w:rPr>
        <w:t>April 24, 2021</w:t>
      </w:r>
    </w:p>
    <w:p w14:paraId="5A1C4A14"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Article in press: </w:t>
      </w:r>
      <w:r w:rsidR="00492DC4">
        <w:rPr>
          <w:rFonts w:ascii="Book Antiqua" w:hAnsi="Book Antiqua"/>
          <w:sz w:val="24"/>
          <w:szCs w:val="24"/>
        </w:rPr>
        <w:t>May 19, 2021</w:t>
      </w:r>
    </w:p>
    <w:p w14:paraId="0A52C84C" w14:textId="77777777" w:rsidR="007D4E69" w:rsidRDefault="007D4E69">
      <w:pPr>
        <w:spacing w:line="360" w:lineRule="auto"/>
        <w:rPr>
          <w:rFonts w:ascii="Book Antiqua" w:hAnsi="Book Antiqua"/>
          <w:sz w:val="24"/>
          <w:szCs w:val="24"/>
        </w:rPr>
      </w:pPr>
    </w:p>
    <w:p w14:paraId="24DAB5B9"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Specialty type: </w:t>
      </w:r>
      <w:r>
        <w:rPr>
          <w:rFonts w:ascii="Book Antiqua" w:eastAsia="Book Antiqua" w:hAnsi="Book Antiqua" w:cs="Book Antiqua"/>
          <w:color w:val="000000"/>
          <w:sz w:val="24"/>
          <w:szCs w:val="24"/>
        </w:rPr>
        <w:t>Genetics and heredity</w:t>
      </w:r>
    </w:p>
    <w:p w14:paraId="757A30D4"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Country/Territory of origin: </w:t>
      </w:r>
      <w:r>
        <w:rPr>
          <w:rFonts w:ascii="Book Antiqua" w:eastAsia="Book Antiqua" w:hAnsi="Book Antiqua" w:cs="Book Antiqua"/>
          <w:color w:val="000000"/>
          <w:sz w:val="24"/>
          <w:szCs w:val="24"/>
        </w:rPr>
        <w:t>China</w:t>
      </w:r>
    </w:p>
    <w:p w14:paraId="6BB01ED0"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Peer-review report’s scientific quality classification</w:t>
      </w:r>
    </w:p>
    <w:p w14:paraId="5E9AFDAF"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A (Excellent): 0</w:t>
      </w:r>
    </w:p>
    <w:p w14:paraId="7B03009B"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lastRenderedPageBreak/>
        <w:t>Grade B (Very good): 0</w:t>
      </w:r>
    </w:p>
    <w:p w14:paraId="3D3B38F0"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C (Good): C</w:t>
      </w:r>
    </w:p>
    <w:p w14:paraId="24042821"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D (Fair): 0</w:t>
      </w:r>
    </w:p>
    <w:p w14:paraId="4E8444C4"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E (Poor): 0</w:t>
      </w:r>
    </w:p>
    <w:p w14:paraId="434EF7AF" w14:textId="77777777" w:rsidR="007D4E69" w:rsidRDefault="007D4E69">
      <w:pPr>
        <w:spacing w:line="360" w:lineRule="auto"/>
        <w:rPr>
          <w:rFonts w:ascii="Book Antiqua" w:hAnsi="Book Antiqua"/>
          <w:sz w:val="24"/>
          <w:szCs w:val="24"/>
        </w:rPr>
      </w:pPr>
    </w:p>
    <w:p w14:paraId="4780BE4E" w14:textId="77777777" w:rsidR="007D4E69" w:rsidRDefault="005A2594">
      <w:pPr>
        <w:spacing w:line="360" w:lineRule="auto"/>
        <w:rPr>
          <w:rFonts w:ascii="Book Antiqua" w:eastAsia="Book Antiqua" w:hAnsi="Book Antiqua" w:cs="Book Antiqua"/>
          <w:bCs/>
          <w:color w:val="000000"/>
          <w:sz w:val="24"/>
          <w:szCs w:val="24"/>
        </w:rPr>
      </w:pPr>
      <w:r>
        <w:rPr>
          <w:rFonts w:ascii="Book Antiqua" w:eastAsia="Book Antiqua" w:hAnsi="Book Antiqua" w:cs="Book Antiqua"/>
          <w:b/>
          <w:color w:val="000000"/>
          <w:sz w:val="24"/>
          <w:szCs w:val="24"/>
        </w:rPr>
        <w:t xml:space="preserve">P-Reviewer: </w:t>
      </w:r>
      <w:r>
        <w:rPr>
          <w:rFonts w:ascii="Book Antiqua" w:eastAsia="Book Antiqua" w:hAnsi="Book Antiqua" w:cs="Book Antiqua"/>
          <w:color w:val="000000"/>
          <w:sz w:val="24"/>
          <w:szCs w:val="24"/>
        </w:rPr>
        <w:t>Strainiene S</w:t>
      </w:r>
      <w:r>
        <w:rPr>
          <w:rFonts w:ascii="Book Antiqua" w:eastAsia="Book Antiqua" w:hAnsi="Book Antiqua" w:cs="Book Antiqua"/>
          <w:b/>
          <w:color w:val="000000"/>
          <w:sz w:val="24"/>
          <w:szCs w:val="24"/>
        </w:rPr>
        <w:t xml:space="preserve"> S-Editor: </w:t>
      </w:r>
      <w:r>
        <w:rPr>
          <w:rFonts w:ascii="Book Antiqua" w:eastAsia="Book Antiqua" w:hAnsi="Book Antiqua" w:cs="Book Antiqua"/>
          <w:color w:val="000000"/>
          <w:sz w:val="24"/>
          <w:szCs w:val="24"/>
        </w:rPr>
        <w:t>Gong ZM</w:t>
      </w:r>
      <w:r>
        <w:rPr>
          <w:rFonts w:ascii="Book Antiqua" w:eastAsia="Book Antiqua" w:hAnsi="Book Antiqua" w:cs="Book Antiqua"/>
          <w:b/>
          <w:color w:val="000000"/>
          <w:sz w:val="24"/>
          <w:szCs w:val="24"/>
        </w:rPr>
        <w:t xml:space="preserve"> L-Editor: </w:t>
      </w:r>
      <w:r>
        <w:rPr>
          <w:rFonts w:ascii="Book Antiqua" w:eastAsia="Book Antiqua" w:hAnsi="Book Antiqua" w:cs="Book Antiqua"/>
          <w:bCs/>
          <w:color w:val="000000"/>
          <w:sz w:val="24"/>
          <w:szCs w:val="24"/>
        </w:rPr>
        <w:t>Filipodia</w:t>
      </w:r>
      <w:r>
        <w:rPr>
          <w:rFonts w:ascii="Book Antiqua" w:eastAsia="Book Antiqua" w:hAnsi="Book Antiqua" w:cs="Book Antiqua"/>
          <w:b/>
          <w:color w:val="000000"/>
          <w:sz w:val="24"/>
          <w:szCs w:val="24"/>
        </w:rPr>
        <w:t xml:space="preserve"> P-Editor:</w:t>
      </w:r>
      <w:r w:rsidR="00492DC4">
        <w:rPr>
          <w:rFonts w:ascii="Book Antiqua" w:eastAsia="Book Antiqua" w:hAnsi="Book Antiqua" w:cs="Book Antiqua"/>
          <w:b/>
          <w:color w:val="000000"/>
          <w:sz w:val="24"/>
          <w:szCs w:val="24"/>
        </w:rPr>
        <w:t xml:space="preserve"> </w:t>
      </w:r>
      <w:r w:rsidR="00492DC4" w:rsidRPr="00492DC4">
        <w:rPr>
          <w:rFonts w:ascii="Book Antiqua" w:eastAsia="Book Antiqua" w:hAnsi="Book Antiqua" w:cs="Book Antiqua"/>
          <w:bCs/>
          <w:color w:val="000000"/>
          <w:sz w:val="24"/>
          <w:szCs w:val="24"/>
        </w:rPr>
        <w:t>W</w:t>
      </w:r>
      <w:r w:rsidR="00492DC4" w:rsidRPr="00492DC4">
        <w:rPr>
          <w:rFonts w:asciiTheme="minorEastAsia" w:eastAsiaTheme="minorEastAsia" w:hAnsiTheme="minorEastAsia" w:cs="Book Antiqua" w:hint="eastAsia"/>
          <w:bCs/>
          <w:color w:val="000000"/>
          <w:sz w:val="24"/>
          <w:szCs w:val="24"/>
        </w:rPr>
        <w:t>ang</w:t>
      </w:r>
      <w:r w:rsidR="00492DC4" w:rsidRPr="00492DC4">
        <w:rPr>
          <w:rFonts w:ascii="Book Antiqua" w:eastAsia="Book Antiqua" w:hAnsi="Book Antiqua" w:cs="Book Antiqua"/>
          <w:bCs/>
          <w:color w:val="000000"/>
          <w:sz w:val="24"/>
          <w:szCs w:val="24"/>
        </w:rPr>
        <w:t xml:space="preserve"> LYT</w:t>
      </w:r>
    </w:p>
    <w:p w14:paraId="311185FC" w14:textId="77777777" w:rsidR="00492DC4" w:rsidRDefault="00492DC4">
      <w:pPr>
        <w:spacing w:line="360" w:lineRule="auto"/>
        <w:rPr>
          <w:rFonts w:ascii="Book Antiqua" w:eastAsiaTheme="minorEastAsia" w:hAnsi="Book Antiqua" w:cs="Book Antiqua"/>
          <w:bCs/>
          <w:color w:val="000000"/>
          <w:sz w:val="24"/>
          <w:szCs w:val="24"/>
        </w:rPr>
      </w:pPr>
    </w:p>
    <w:p w14:paraId="084DF19D" w14:textId="77777777" w:rsidR="00492DC4" w:rsidRPr="00492DC4" w:rsidRDefault="00492DC4">
      <w:pPr>
        <w:spacing w:line="360" w:lineRule="auto"/>
        <w:rPr>
          <w:rFonts w:ascii="Book Antiqua" w:eastAsiaTheme="minorEastAsia" w:hAnsi="Book Antiqua" w:cs="Book Antiqua"/>
          <w:b/>
          <w:color w:val="000000"/>
          <w:sz w:val="24"/>
          <w:szCs w:val="24"/>
        </w:rPr>
      </w:pPr>
    </w:p>
    <w:p w14:paraId="313AB814" w14:textId="77777777" w:rsidR="007D4E69" w:rsidRDefault="005A2594">
      <w:pPr>
        <w:widowControl/>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br w:type="page"/>
      </w:r>
    </w:p>
    <w:p w14:paraId="34B498E7" w14:textId="77777777" w:rsidR="007D4E69" w:rsidRDefault="005A2594">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lastRenderedPageBreak/>
        <w:t>Figure Legends</w:t>
      </w:r>
    </w:p>
    <w:p w14:paraId="0F5AB442" w14:textId="77777777" w:rsidR="007D4E69" w:rsidRDefault="005A2594">
      <w:pPr>
        <w:tabs>
          <w:tab w:val="left" w:pos="670"/>
        </w:tabs>
        <w:spacing w:line="360" w:lineRule="auto"/>
        <w:rPr>
          <w:rFonts w:ascii="Book Antiqua" w:hAnsi="Book Antiqua"/>
          <w:sz w:val="24"/>
          <w:szCs w:val="24"/>
        </w:rPr>
      </w:pPr>
      <w:r>
        <w:rPr>
          <w:rFonts w:ascii="Book Antiqua" w:hAnsi="Book Antiqua"/>
          <w:noProof/>
          <w:sz w:val="24"/>
          <w:szCs w:val="24"/>
        </w:rPr>
        <w:drawing>
          <wp:inline distT="0" distB="0" distL="0" distR="0" wp14:anchorId="7B31EE28" wp14:editId="458A71F6">
            <wp:extent cx="5794375" cy="3389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01629" cy="3394198"/>
                    </a:xfrm>
                    <a:prstGeom prst="rect">
                      <a:avLst/>
                    </a:prstGeom>
                    <a:noFill/>
                    <a:ln>
                      <a:noFill/>
                    </a:ln>
                  </pic:spPr>
                </pic:pic>
              </a:graphicData>
            </a:graphic>
          </wp:inline>
        </w:drawing>
      </w:r>
    </w:p>
    <w:p w14:paraId="25C1EF64" w14:textId="77777777" w:rsidR="007D4E69" w:rsidRDefault="005A2594">
      <w:pPr>
        <w:spacing w:line="360" w:lineRule="auto"/>
        <w:rPr>
          <w:rFonts w:ascii="Book Antiqua" w:hAnsi="Book Antiqua"/>
          <w:sz w:val="24"/>
          <w:szCs w:val="24"/>
        </w:rPr>
      </w:pPr>
      <w:r>
        <w:rPr>
          <w:rFonts w:ascii="Book Antiqua" w:hAnsi="Book Antiqua"/>
          <w:b/>
          <w:sz w:val="24"/>
          <w:szCs w:val="24"/>
        </w:rPr>
        <w:t xml:space="preserve">Figure 1 The family pedigree and mutations detected in </w:t>
      </w:r>
      <w:r>
        <w:rPr>
          <w:rFonts w:ascii="Book Antiqua" w:hAnsi="Book Antiqua"/>
          <w:b/>
          <w:i/>
          <w:sz w:val="24"/>
          <w:szCs w:val="24"/>
        </w:rPr>
        <w:t>SATB2</w:t>
      </w:r>
      <w:r>
        <w:rPr>
          <w:rFonts w:ascii="Book Antiqua" w:hAnsi="Book Antiqua"/>
          <w:b/>
          <w:sz w:val="24"/>
          <w:szCs w:val="24"/>
        </w:rPr>
        <w:t xml:space="preserve">. </w:t>
      </w:r>
      <w:r>
        <w:rPr>
          <w:rFonts w:ascii="Book Antiqua" w:hAnsi="Book Antiqua"/>
          <w:sz w:val="24"/>
          <w:szCs w:val="24"/>
        </w:rPr>
        <w:t xml:space="preserve">A: The pedigree of the family with </w:t>
      </w:r>
      <w:r>
        <w:rPr>
          <w:rFonts w:ascii="Book Antiqua" w:eastAsia="Book Antiqua" w:hAnsi="Book Antiqua"/>
          <w:i/>
          <w:sz w:val="24"/>
          <w:szCs w:val="24"/>
        </w:rPr>
        <w:t>SATB2</w:t>
      </w:r>
      <w:r>
        <w:rPr>
          <w:rFonts w:ascii="Book Antiqua" w:eastAsia="Book Antiqua" w:hAnsi="Book Antiqua"/>
          <w:sz w:val="24"/>
          <w:szCs w:val="24"/>
        </w:rPr>
        <w:t>-associated syndrome</w:t>
      </w:r>
      <w:r>
        <w:rPr>
          <w:rFonts w:ascii="Book Antiqua" w:hAnsi="Book Antiqua"/>
          <w:sz w:val="24"/>
          <w:szCs w:val="24"/>
        </w:rPr>
        <w:t xml:space="preserve"> (SAS). The arrow indicates the proband; the parents have no signs of</w:t>
      </w:r>
      <w:r>
        <w:rPr>
          <w:rFonts w:ascii="Book Antiqua" w:eastAsia="Book Antiqua" w:hAnsi="Book Antiqua"/>
          <w:i/>
          <w:sz w:val="24"/>
          <w:szCs w:val="24"/>
        </w:rPr>
        <w:t xml:space="preserve"> SATB2</w:t>
      </w:r>
      <w:r>
        <w:rPr>
          <w:rFonts w:ascii="Book Antiqua" w:eastAsia="Book Antiqua" w:hAnsi="Book Antiqua"/>
          <w:sz w:val="24"/>
          <w:szCs w:val="24"/>
        </w:rPr>
        <w:t>-associated syndrome</w:t>
      </w:r>
      <w:r>
        <w:rPr>
          <w:rFonts w:ascii="Book Antiqua" w:hAnsi="Book Antiqua"/>
          <w:sz w:val="24"/>
          <w:szCs w:val="24"/>
        </w:rPr>
        <w:t xml:space="preserve">; B: The mutations detected in the family. The mutation is </w:t>
      </w:r>
      <w:r>
        <w:rPr>
          <w:rFonts w:ascii="Book Antiqua" w:hAnsi="Book Antiqua"/>
          <w:i/>
          <w:sz w:val="24"/>
          <w:szCs w:val="24"/>
        </w:rPr>
        <w:t>de novo</w:t>
      </w:r>
      <w:r>
        <w:rPr>
          <w:rFonts w:ascii="Book Antiqua" w:hAnsi="Book Antiqua"/>
          <w:sz w:val="24"/>
          <w:szCs w:val="24"/>
        </w:rPr>
        <w:t xml:space="preserve"> in the proband, whereas the parents are wild-type.</w:t>
      </w:r>
    </w:p>
    <w:p w14:paraId="1C0997A3" w14:textId="77777777" w:rsidR="002B7E9A" w:rsidRDefault="002B7E9A">
      <w:pPr>
        <w:spacing w:line="360" w:lineRule="auto"/>
        <w:rPr>
          <w:rFonts w:ascii="Book Antiqua" w:hAnsi="Book Antiqua"/>
          <w:sz w:val="24"/>
          <w:szCs w:val="24"/>
        </w:rPr>
      </w:pPr>
    </w:p>
    <w:p w14:paraId="370B068E" w14:textId="77777777" w:rsidR="007D4E69" w:rsidRDefault="005A2594">
      <w:pPr>
        <w:widowControl/>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br w:type="page"/>
      </w:r>
    </w:p>
    <w:p w14:paraId="3D075439" w14:textId="77777777" w:rsidR="007D4E69" w:rsidRDefault="005A2594">
      <w:pPr>
        <w:spacing w:line="360" w:lineRule="auto"/>
        <w:rPr>
          <w:rFonts w:ascii="Book Antiqua" w:hAnsi="Book Antiqua"/>
          <w:sz w:val="24"/>
          <w:szCs w:val="24"/>
        </w:rPr>
      </w:pPr>
      <w:bookmarkStart w:id="305" w:name="OLE_LINK315"/>
      <w:bookmarkStart w:id="306" w:name="OLE_LINK314"/>
      <w:r>
        <w:rPr>
          <w:rFonts w:ascii="Book Antiqua" w:hAnsi="Book Antiqua"/>
          <w:noProof/>
          <w:sz w:val="24"/>
          <w:szCs w:val="24"/>
        </w:rPr>
        <w:lastRenderedPageBreak/>
        <w:drawing>
          <wp:inline distT="0" distB="0" distL="0" distR="0" wp14:anchorId="6B42C6E7" wp14:editId="7BD57244">
            <wp:extent cx="5880100" cy="2242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890352" cy="2246645"/>
                    </a:xfrm>
                    <a:prstGeom prst="rect">
                      <a:avLst/>
                    </a:prstGeom>
                    <a:noFill/>
                    <a:ln>
                      <a:noFill/>
                    </a:ln>
                  </pic:spPr>
                </pic:pic>
              </a:graphicData>
            </a:graphic>
          </wp:inline>
        </w:drawing>
      </w:r>
    </w:p>
    <w:p w14:paraId="5D36D1FE" w14:textId="77777777" w:rsidR="007D4E69" w:rsidRDefault="005A2594">
      <w:pPr>
        <w:spacing w:line="360" w:lineRule="auto"/>
        <w:rPr>
          <w:rFonts w:ascii="Book Antiqua" w:hAnsi="Book Antiqua"/>
          <w:sz w:val="24"/>
          <w:szCs w:val="24"/>
        </w:rPr>
      </w:pPr>
      <w:r>
        <w:rPr>
          <w:rFonts w:ascii="Book Antiqua" w:hAnsi="Book Antiqua"/>
          <w:b/>
          <w:sz w:val="24"/>
          <w:szCs w:val="24"/>
        </w:rPr>
        <w:t>Figure 2 Brain magnetic resonance imaging images.</w:t>
      </w:r>
      <w:r>
        <w:rPr>
          <w:rFonts w:ascii="Book Antiqua" w:hAnsi="Book Antiqua"/>
          <w:sz w:val="24"/>
          <w:szCs w:val="24"/>
        </w:rPr>
        <w:t xml:space="preserve"> A</w:t>
      </w:r>
      <w:bookmarkStart w:id="307" w:name="OLE_LINK285"/>
      <w:bookmarkStart w:id="308" w:name="OLE_LINK284"/>
      <w:bookmarkStart w:id="309" w:name="OLE_LINK286"/>
      <w:r>
        <w:rPr>
          <w:rFonts w:ascii="Book Antiqua" w:hAnsi="Book Antiqua"/>
          <w:sz w:val="24"/>
          <w:szCs w:val="24"/>
        </w:rPr>
        <w:t>: Multiple small cystic lesions in the white matter adjacent to the posterior horns of the right lateral ventricle (</w:t>
      </w:r>
      <w:bookmarkStart w:id="310" w:name="OLE_LINK149"/>
      <w:r>
        <w:rPr>
          <w:rFonts w:ascii="Book Antiqua" w:hAnsi="Book Antiqua"/>
          <w:sz w:val="24"/>
          <w:szCs w:val="24"/>
        </w:rPr>
        <w:t>arrowheads) and long T2 signals in the white matter adjacent to the bilateral posterior horn</w:t>
      </w:r>
      <w:bookmarkEnd w:id="307"/>
      <w:bookmarkEnd w:id="308"/>
      <w:bookmarkEnd w:id="309"/>
      <w:r>
        <w:rPr>
          <w:rFonts w:ascii="Book Antiqua" w:hAnsi="Book Antiqua"/>
          <w:sz w:val="24"/>
          <w:szCs w:val="24"/>
        </w:rPr>
        <w:t>s of the lateral ventricles were found in transversal T2-weighted images</w:t>
      </w:r>
      <w:r w:rsidR="00207F82">
        <w:rPr>
          <w:rFonts w:ascii="Book Antiqua" w:hAnsi="Book Antiqua"/>
          <w:sz w:val="24"/>
          <w:szCs w:val="24"/>
        </w:rPr>
        <w:t xml:space="preserve"> </w:t>
      </w:r>
      <w:r>
        <w:rPr>
          <w:rFonts w:ascii="Book Antiqua" w:hAnsi="Book Antiqua"/>
          <w:sz w:val="24"/>
          <w:szCs w:val="24"/>
        </w:rPr>
        <w:t>(arrows);</w:t>
      </w:r>
      <w:bookmarkStart w:id="311" w:name="OLE_LINK204"/>
      <w:bookmarkEnd w:id="310"/>
      <w:bookmarkEnd w:id="311"/>
      <w:r>
        <w:rPr>
          <w:rFonts w:ascii="Book Antiqua" w:hAnsi="Book Antiqua"/>
          <w:sz w:val="24"/>
          <w:szCs w:val="24"/>
        </w:rPr>
        <w:t xml:space="preserve"> B: The corpus callosum was found normal in sagittal fluid-attenuated inversion recovery image.</w:t>
      </w:r>
      <w:bookmarkEnd w:id="305"/>
      <w:bookmarkEnd w:id="306"/>
    </w:p>
    <w:p w14:paraId="1B22DB76" w14:textId="77777777" w:rsidR="007D4E69" w:rsidRDefault="007D4E69">
      <w:pPr>
        <w:spacing w:line="360" w:lineRule="auto"/>
        <w:rPr>
          <w:rFonts w:ascii="Book Antiqua" w:hAnsi="Book Antiqua"/>
          <w:sz w:val="24"/>
          <w:szCs w:val="24"/>
        </w:rPr>
      </w:pPr>
    </w:p>
    <w:p w14:paraId="2349FDB5" w14:textId="77777777" w:rsidR="005F2AFA" w:rsidRDefault="005F2AFA">
      <w:pPr>
        <w:spacing w:line="360" w:lineRule="auto"/>
        <w:rPr>
          <w:rFonts w:ascii="Book Antiqua" w:hAnsi="Book Antiqua"/>
          <w:sz w:val="24"/>
          <w:szCs w:val="24"/>
        </w:rPr>
      </w:pPr>
    </w:p>
    <w:p w14:paraId="6896D94D" w14:textId="77777777" w:rsidR="00860DAC" w:rsidRDefault="00860DAC">
      <w:pPr>
        <w:spacing w:line="360" w:lineRule="auto"/>
        <w:rPr>
          <w:rFonts w:ascii="Book Antiqua" w:hAnsi="Book Antiqua"/>
          <w:sz w:val="24"/>
          <w:szCs w:val="24"/>
        </w:rPr>
      </w:pPr>
    </w:p>
    <w:p w14:paraId="7E1B42EC" w14:textId="77777777" w:rsidR="00860DAC" w:rsidRDefault="00860DAC">
      <w:pPr>
        <w:spacing w:line="360" w:lineRule="auto"/>
        <w:rPr>
          <w:rFonts w:ascii="Book Antiqua" w:hAnsi="Book Antiqua"/>
          <w:sz w:val="24"/>
          <w:szCs w:val="24"/>
        </w:rPr>
      </w:pPr>
    </w:p>
    <w:p w14:paraId="76E363C6" w14:textId="77777777" w:rsidR="00860DAC" w:rsidRDefault="00860DAC">
      <w:pPr>
        <w:spacing w:line="360" w:lineRule="auto"/>
        <w:rPr>
          <w:rFonts w:ascii="Book Antiqua" w:hAnsi="Book Antiqua"/>
          <w:sz w:val="24"/>
          <w:szCs w:val="24"/>
        </w:rPr>
      </w:pPr>
    </w:p>
    <w:p w14:paraId="0C778F81" w14:textId="77777777" w:rsidR="00860DAC" w:rsidRDefault="00860DAC">
      <w:pPr>
        <w:spacing w:line="360" w:lineRule="auto"/>
        <w:rPr>
          <w:rFonts w:ascii="Book Antiqua" w:hAnsi="Book Antiqua"/>
          <w:sz w:val="24"/>
          <w:szCs w:val="24"/>
        </w:rPr>
      </w:pPr>
    </w:p>
    <w:p w14:paraId="61C902FB" w14:textId="77777777" w:rsidR="00860DAC" w:rsidRDefault="00860DAC">
      <w:pPr>
        <w:spacing w:line="360" w:lineRule="auto"/>
        <w:rPr>
          <w:rFonts w:ascii="Book Antiqua" w:hAnsi="Book Antiqua"/>
          <w:sz w:val="24"/>
          <w:szCs w:val="24"/>
        </w:rPr>
      </w:pPr>
    </w:p>
    <w:p w14:paraId="77843D15" w14:textId="77777777" w:rsidR="00860DAC" w:rsidRDefault="00860DAC">
      <w:pPr>
        <w:spacing w:line="360" w:lineRule="auto"/>
        <w:rPr>
          <w:rFonts w:ascii="Book Antiqua" w:hAnsi="Book Antiqua"/>
          <w:sz w:val="24"/>
          <w:szCs w:val="24"/>
        </w:rPr>
      </w:pPr>
    </w:p>
    <w:p w14:paraId="27285008" w14:textId="77777777" w:rsidR="00860DAC" w:rsidRDefault="00860DAC">
      <w:pPr>
        <w:spacing w:line="360" w:lineRule="auto"/>
        <w:rPr>
          <w:rFonts w:ascii="Book Antiqua" w:hAnsi="Book Antiqua"/>
          <w:sz w:val="24"/>
          <w:szCs w:val="24"/>
        </w:rPr>
      </w:pPr>
    </w:p>
    <w:p w14:paraId="5093110E" w14:textId="77777777" w:rsidR="00860DAC" w:rsidRDefault="00860DAC">
      <w:pPr>
        <w:spacing w:line="360" w:lineRule="auto"/>
        <w:rPr>
          <w:rFonts w:ascii="Book Antiqua" w:hAnsi="Book Antiqua"/>
          <w:sz w:val="24"/>
          <w:szCs w:val="24"/>
        </w:rPr>
      </w:pPr>
    </w:p>
    <w:p w14:paraId="3502313C" w14:textId="77777777" w:rsidR="00860DAC" w:rsidRDefault="00860DAC">
      <w:pPr>
        <w:spacing w:line="360" w:lineRule="auto"/>
        <w:rPr>
          <w:rFonts w:ascii="Book Antiqua" w:hAnsi="Book Antiqua"/>
          <w:sz w:val="24"/>
          <w:szCs w:val="24"/>
        </w:rPr>
      </w:pPr>
    </w:p>
    <w:p w14:paraId="30279AE6" w14:textId="77777777" w:rsidR="00860DAC" w:rsidRDefault="00860DAC">
      <w:pPr>
        <w:spacing w:line="360" w:lineRule="auto"/>
        <w:rPr>
          <w:rFonts w:ascii="Book Antiqua" w:hAnsi="Book Antiqua"/>
          <w:sz w:val="24"/>
          <w:szCs w:val="24"/>
        </w:rPr>
      </w:pPr>
    </w:p>
    <w:p w14:paraId="7A6E23B2" w14:textId="77777777" w:rsidR="00860DAC" w:rsidRDefault="00860DAC">
      <w:pPr>
        <w:spacing w:line="360" w:lineRule="auto"/>
        <w:rPr>
          <w:rFonts w:ascii="Book Antiqua" w:hAnsi="Book Antiqua"/>
          <w:sz w:val="24"/>
          <w:szCs w:val="24"/>
        </w:rPr>
      </w:pPr>
    </w:p>
    <w:p w14:paraId="6E5C6211" w14:textId="77777777" w:rsidR="00860DAC" w:rsidRDefault="00860DAC">
      <w:pPr>
        <w:spacing w:line="360" w:lineRule="auto"/>
        <w:rPr>
          <w:rFonts w:ascii="Book Antiqua" w:hAnsi="Book Antiqua"/>
          <w:sz w:val="24"/>
          <w:szCs w:val="24"/>
        </w:rPr>
      </w:pPr>
    </w:p>
    <w:p w14:paraId="692B107F" w14:textId="77777777" w:rsidR="00860DAC" w:rsidRDefault="00860DAC">
      <w:pPr>
        <w:spacing w:line="360" w:lineRule="auto"/>
        <w:rPr>
          <w:rFonts w:ascii="Book Antiqua" w:hAnsi="Book Antiqua"/>
          <w:sz w:val="24"/>
          <w:szCs w:val="24"/>
        </w:rPr>
      </w:pPr>
    </w:p>
    <w:p w14:paraId="3424CEC0" w14:textId="296D0455" w:rsidR="007D4E69" w:rsidRPr="000409EF" w:rsidRDefault="005A2594">
      <w:pPr>
        <w:spacing w:line="360" w:lineRule="auto"/>
        <w:rPr>
          <w:rFonts w:ascii="Book Antiqua" w:hAnsi="Book Antiqua"/>
          <w:b/>
          <w:sz w:val="24"/>
          <w:szCs w:val="24"/>
        </w:rPr>
      </w:pPr>
      <w:bookmarkStart w:id="312" w:name="OLE_LINK150"/>
      <w:r w:rsidRPr="000409EF">
        <w:rPr>
          <w:rFonts w:ascii="Book Antiqua" w:hAnsi="Book Antiqua"/>
          <w:b/>
          <w:sz w:val="24"/>
          <w:szCs w:val="24"/>
        </w:rPr>
        <w:lastRenderedPageBreak/>
        <w:t>Table 1 Functional evaluation of the c.687C&gt;A (p.Y229X) mutation in special AT-rich sequence binding protein 2 according to the guidelines from American College of Medical Genetics and Genomics</w:t>
      </w:r>
      <w:r w:rsidR="00224933" w:rsidRPr="00224933">
        <w:rPr>
          <w:rFonts w:ascii="Book Antiqua" w:hAnsi="Book Antiqua"/>
          <w:b/>
          <w:sz w:val="24"/>
          <w:szCs w:val="24"/>
          <w:vertAlign w:val="superscript"/>
        </w:rPr>
        <w:t>[</w:t>
      </w:r>
      <w:r w:rsidR="000A7F06">
        <w:rPr>
          <w:rFonts w:ascii="Book Antiqua" w:hAnsi="Book Antiqua"/>
          <w:b/>
          <w:sz w:val="24"/>
          <w:szCs w:val="24"/>
          <w:vertAlign w:val="superscript"/>
        </w:rPr>
        <w:t>20</w:t>
      </w:r>
      <w:r w:rsidR="00224933" w:rsidRPr="00224933">
        <w:rPr>
          <w:rFonts w:ascii="Book Antiqua" w:hAnsi="Book Antiqua"/>
          <w:b/>
          <w:sz w:val="24"/>
          <w:szCs w:val="24"/>
          <w:vertAlign w:val="superscript"/>
        </w:rPr>
        <w:t>]</w:t>
      </w:r>
    </w:p>
    <w:tbl>
      <w:tblPr>
        <w:tblStyle w:val="ae"/>
        <w:tblW w:w="1088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04"/>
        <w:gridCol w:w="2290"/>
        <w:gridCol w:w="2404"/>
        <w:gridCol w:w="1712"/>
        <w:gridCol w:w="2572"/>
      </w:tblGrid>
      <w:tr w:rsidR="007D4E69" w14:paraId="13685693" w14:textId="77777777" w:rsidTr="009735E7">
        <w:trPr>
          <w:trHeight w:val="645"/>
          <w:jc w:val="center"/>
        </w:trPr>
        <w:tc>
          <w:tcPr>
            <w:tcW w:w="1904" w:type="dxa"/>
            <w:tcBorders>
              <w:top w:val="single" w:sz="4" w:space="0" w:color="auto"/>
              <w:bottom w:val="single" w:sz="4" w:space="0" w:color="auto"/>
            </w:tcBorders>
            <w:vAlign w:val="center"/>
          </w:tcPr>
          <w:p w14:paraId="031C63D6" w14:textId="77777777" w:rsidR="007D4E69" w:rsidRDefault="007D4E69">
            <w:pPr>
              <w:spacing w:line="360" w:lineRule="auto"/>
              <w:rPr>
                <w:rFonts w:ascii="Book Antiqua" w:hAnsi="Book Antiqua"/>
                <w:sz w:val="24"/>
                <w:szCs w:val="24"/>
              </w:rPr>
            </w:pPr>
          </w:p>
        </w:tc>
        <w:tc>
          <w:tcPr>
            <w:tcW w:w="2290" w:type="dxa"/>
            <w:vAlign w:val="center"/>
          </w:tcPr>
          <w:p w14:paraId="732EB22D" w14:textId="77777777" w:rsidR="007D4E69" w:rsidRPr="00E4527E" w:rsidRDefault="005A2594">
            <w:pPr>
              <w:spacing w:line="360" w:lineRule="auto"/>
              <w:rPr>
                <w:b/>
                <w:bCs/>
                <w:sz w:val="24"/>
                <w:szCs w:val="24"/>
              </w:rPr>
            </w:pPr>
            <w:bookmarkStart w:id="313" w:name="_Hlk36106957"/>
            <w:r w:rsidRPr="00E4527E">
              <w:rPr>
                <w:rFonts w:ascii="Book Antiqua" w:hAnsi="Book Antiqua"/>
                <w:b/>
                <w:bCs/>
                <w:sz w:val="24"/>
                <w:szCs w:val="24"/>
              </w:rPr>
              <w:t>Weight for    pathopoiesis</w:t>
            </w:r>
          </w:p>
        </w:tc>
        <w:tc>
          <w:tcPr>
            <w:tcW w:w="6688" w:type="dxa"/>
            <w:gridSpan w:val="3"/>
            <w:vAlign w:val="center"/>
          </w:tcPr>
          <w:p w14:paraId="61765359" w14:textId="77777777" w:rsidR="007D4E69" w:rsidRPr="00E4527E" w:rsidRDefault="005A2594">
            <w:pPr>
              <w:spacing w:line="360" w:lineRule="auto"/>
              <w:rPr>
                <w:b/>
                <w:bCs/>
                <w:sz w:val="24"/>
                <w:szCs w:val="24"/>
              </w:rPr>
            </w:pPr>
            <w:r w:rsidRPr="00E4527E">
              <w:rPr>
                <w:rFonts w:ascii="Book Antiqua" w:hAnsi="Book Antiqua"/>
                <w:b/>
                <w:bCs/>
                <w:sz w:val="24"/>
                <w:szCs w:val="24"/>
              </w:rPr>
              <w:t>Pathogenic criterion for the mutation</w:t>
            </w:r>
          </w:p>
        </w:tc>
      </w:tr>
      <w:tr w:rsidR="007D4E69" w14:paraId="5A0F72AB" w14:textId="77777777" w:rsidTr="009735E7">
        <w:trPr>
          <w:trHeight w:val="645"/>
          <w:jc w:val="center"/>
        </w:trPr>
        <w:tc>
          <w:tcPr>
            <w:tcW w:w="1904" w:type="dxa"/>
            <w:vMerge w:val="restart"/>
            <w:tcBorders>
              <w:top w:val="single" w:sz="4" w:space="0" w:color="auto"/>
              <w:bottom w:val="nil"/>
            </w:tcBorders>
            <w:vAlign w:val="center"/>
          </w:tcPr>
          <w:p w14:paraId="24CE05B1" w14:textId="77777777" w:rsidR="007D4E69" w:rsidRDefault="009735E7" w:rsidP="009735E7">
            <w:pPr>
              <w:spacing w:line="360" w:lineRule="auto"/>
              <w:rPr>
                <w:rFonts w:ascii="Book Antiqua" w:hAnsi="Book Antiqua"/>
                <w:sz w:val="24"/>
                <w:szCs w:val="24"/>
              </w:rPr>
            </w:pPr>
            <w:r>
              <w:rPr>
                <w:rFonts w:ascii="Book Antiqua" w:hAnsi="Book Antiqua"/>
                <w:sz w:val="24"/>
                <w:szCs w:val="24"/>
              </w:rPr>
              <w:t>Functional evaluation</w:t>
            </w:r>
          </w:p>
        </w:tc>
        <w:tc>
          <w:tcPr>
            <w:tcW w:w="2290" w:type="dxa"/>
            <w:tcBorders>
              <w:bottom w:val="nil"/>
            </w:tcBorders>
            <w:vAlign w:val="center"/>
          </w:tcPr>
          <w:p w14:paraId="0EBD2B4C" w14:textId="77777777" w:rsidR="007D4E69" w:rsidRDefault="005A2594">
            <w:pPr>
              <w:spacing w:line="360" w:lineRule="auto"/>
              <w:rPr>
                <w:rFonts w:ascii="Book Antiqua" w:hAnsi="Book Antiqua"/>
                <w:sz w:val="24"/>
                <w:szCs w:val="24"/>
              </w:rPr>
            </w:pPr>
            <w:bookmarkStart w:id="314" w:name="_Hlk36108613"/>
            <w:bookmarkEnd w:id="313"/>
            <w:r>
              <w:rPr>
                <w:rFonts w:ascii="Book Antiqua" w:hAnsi="Book Antiqua"/>
                <w:sz w:val="24"/>
                <w:szCs w:val="24"/>
              </w:rPr>
              <w:t>PVS1 (very strong)</w:t>
            </w:r>
          </w:p>
        </w:tc>
        <w:tc>
          <w:tcPr>
            <w:tcW w:w="6688" w:type="dxa"/>
            <w:gridSpan w:val="3"/>
            <w:tcBorders>
              <w:bottom w:val="nil"/>
            </w:tcBorders>
            <w:vAlign w:val="center"/>
          </w:tcPr>
          <w:p w14:paraId="0A32CDD7"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Null variant in </w:t>
            </w:r>
            <w:r>
              <w:rPr>
                <w:rFonts w:ascii="Book Antiqua" w:hAnsi="Book Antiqua"/>
                <w:i/>
                <w:iCs/>
                <w:sz w:val="24"/>
                <w:szCs w:val="24"/>
              </w:rPr>
              <w:t>SATB2</w:t>
            </w:r>
            <w:r>
              <w:rPr>
                <w:rFonts w:ascii="Book Antiqua" w:hAnsi="Book Antiqua"/>
                <w:sz w:val="24"/>
                <w:szCs w:val="24"/>
              </w:rPr>
              <w:t xml:space="preserve"> where loss of function is a known mechanism of the disease</w:t>
            </w:r>
          </w:p>
        </w:tc>
      </w:tr>
      <w:tr w:rsidR="007D4E69" w14:paraId="0B9B88B8" w14:textId="77777777" w:rsidTr="00451F10">
        <w:trPr>
          <w:trHeight w:val="447"/>
          <w:jc w:val="center"/>
        </w:trPr>
        <w:tc>
          <w:tcPr>
            <w:tcW w:w="1904" w:type="dxa"/>
            <w:vMerge/>
            <w:tcBorders>
              <w:top w:val="nil"/>
              <w:bottom w:val="nil"/>
            </w:tcBorders>
            <w:vAlign w:val="center"/>
          </w:tcPr>
          <w:p w14:paraId="1DAEE17D" w14:textId="77777777" w:rsidR="007D4E69" w:rsidRDefault="007D4E69">
            <w:pPr>
              <w:spacing w:line="360" w:lineRule="auto"/>
              <w:rPr>
                <w:rFonts w:ascii="Book Antiqua" w:hAnsi="Book Antiqua"/>
                <w:sz w:val="24"/>
                <w:szCs w:val="24"/>
              </w:rPr>
            </w:pPr>
          </w:p>
        </w:tc>
        <w:tc>
          <w:tcPr>
            <w:tcW w:w="2290" w:type="dxa"/>
            <w:tcBorders>
              <w:top w:val="nil"/>
              <w:bottom w:val="nil"/>
            </w:tcBorders>
            <w:vAlign w:val="center"/>
          </w:tcPr>
          <w:p w14:paraId="590D4A4E" w14:textId="77777777" w:rsidR="007D4E69" w:rsidRDefault="005A2594">
            <w:pPr>
              <w:spacing w:line="360" w:lineRule="auto"/>
              <w:rPr>
                <w:rFonts w:ascii="Book Antiqua" w:hAnsi="Book Antiqua"/>
                <w:sz w:val="24"/>
                <w:szCs w:val="24"/>
              </w:rPr>
            </w:pPr>
            <w:r>
              <w:rPr>
                <w:rFonts w:ascii="Book Antiqua" w:hAnsi="Book Antiqua"/>
                <w:sz w:val="24"/>
                <w:szCs w:val="24"/>
              </w:rPr>
              <w:t>PM2 (moderate)</w:t>
            </w:r>
          </w:p>
        </w:tc>
        <w:tc>
          <w:tcPr>
            <w:tcW w:w="6688" w:type="dxa"/>
            <w:gridSpan w:val="3"/>
            <w:tcBorders>
              <w:top w:val="nil"/>
              <w:bottom w:val="nil"/>
            </w:tcBorders>
            <w:vAlign w:val="center"/>
          </w:tcPr>
          <w:p w14:paraId="6DE880A1" w14:textId="77777777" w:rsidR="007D4E69" w:rsidRDefault="005A2594">
            <w:pPr>
              <w:spacing w:line="360" w:lineRule="auto"/>
              <w:rPr>
                <w:rFonts w:ascii="Book Antiqua" w:hAnsi="Book Antiqua"/>
                <w:sz w:val="24"/>
                <w:szCs w:val="24"/>
              </w:rPr>
            </w:pPr>
            <w:r>
              <w:rPr>
                <w:rFonts w:ascii="Book Antiqua" w:hAnsi="Book Antiqua"/>
                <w:sz w:val="24"/>
                <w:szCs w:val="24"/>
              </w:rPr>
              <w:t>Absence in population database</w:t>
            </w:r>
          </w:p>
        </w:tc>
      </w:tr>
      <w:tr w:rsidR="007D4E69" w14:paraId="78E8D053" w14:textId="77777777" w:rsidTr="00451F10">
        <w:trPr>
          <w:trHeight w:val="822"/>
          <w:jc w:val="center"/>
        </w:trPr>
        <w:tc>
          <w:tcPr>
            <w:tcW w:w="1904" w:type="dxa"/>
            <w:vMerge/>
            <w:tcBorders>
              <w:top w:val="nil"/>
              <w:bottom w:val="nil"/>
            </w:tcBorders>
            <w:vAlign w:val="center"/>
          </w:tcPr>
          <w:p w14:paraId="68D8A16E" w14:textId="77777777" w:rsidR="007D4E69" w:rsidRDefault="007D4E69">
            <w:pPr>
              <w:spacing w:line="360" w:lineRule="auto"/>
              <w:rPr>
                <w:rFonts w:ascii="Book Antiqua" w:hAnsi="Book Antiqua"/>
                <w:sz w:val="24"/>
                <w:szCs w:val="24"/>
              </w:rPr>
            </w:pPr>
          </w:p>
        </w:tc>
        <w:tc>
          <w:tcPr>
            <w:tcW w:w="2290" w:type="dxa"/>
            <w:vMerge w:val="restart"/>
            <w:tcBorders>
              <w:top w:val="nil"/>
              <w:bottom w:val="nil"/>
            </w:tcBorders>
            <w:vAlign w:val="center"/>
          </w:tcPr>
          <w:p w14:paraId="59B5E7B4" w14:textId="77777777" w:rsidR="007D4E69" w:rsidRDefault="005A2594">
            <w:pPr>
              <w:spacing w:line="360" w:lineRule="auto"/>
              <w:rPr>
                <w:rFonts w:ascii="Book Antiqua" w:hAnsi="Book Antiqua"/>
                <w:sz w:val="24"/>
                <w:szCs w:val="24"/>
              </w:rPr>
            </w:pPr>
            <w:r>
              <w:rPr>
                <w:rFonts w:ascii="Book Antiqua" w:hAnsi="Book Antiqua"/>
                <w:sz w:val="24"/>
                <w:szCs w:val="24"/>
              </w:rPr>
              <w:t>PP3 (supporting)</w:t>
            </w:r>
          </w:p>
        </w:tc>
        <w:tc>
          <w:tcPr>
            <w:tcW w:w="6688" w:type="dxa"/>
            <w:gridSpan w:val="3"/>
            <w:tcBorders>
              <w:top w:val="nil"/>
              <w:bottom w:val="nil"/>
            </w:tcBorders>
            <w:vAlign w:val="center"/>
          </w:tcPr>
          <w:p w14:paraId="3286D010" w14:textId="77777777" w:rsidR="007D4E69" w:rsidRDefault="005A2594">
            <w:pPr>
              <w:spacing w:line="360" w:lineRule="auto"/>
              <w:rPr>
                <w:rFonts w:ascii="Book Antiqua" w:hAnsi="Book Antiqua"/>
                <w:sz w:val="24"/>
                <w:szCs w:val="24"/>
              </w:rPr>
            </w:pPr>
            <w:r>
              <w:rPr>
                <w:rFonts w:ascii="Book Antiqua" w:hAnsi="Book Antiqua"/>
                <w:sz w:val="24"/>
                <w:szCs w:val="24"/>
              </w:rPr>
              <w:t>Multiple lines of computational evidence support a deleterious effect on the gene/gene production</w:t>
            </w:r>
          </w:p>
        </w:tc>
      </w:tr>
      <w:tr w:rsidR="007D4E69" w14:paraId="7365984F" w14:textId="77777777" w:rsidTr="00451F10">
        <w:trPr>
          <w:trHeight w:val="605"/>
          <w:jc w:val="center"/>
        </w:trPr>
        <w:tc>
          <w:tcPr>
            <w:tcW w:w="1904" w:type="dxa"/>
            <w:vMerge/>
            <w:tcBorders>
              <w:top w:val="nil"/>
              <w:bottom w:val="nil"/>
            </w:tcBorders>
            <w:vAlign w:val="center"/>
          </w:tcPr>
          <w:p w14:paraId="168CEA2E" w14:textId="77777777" w:rsidR="007D4E69" w:rsidRDefault="007D4E69">
            <w:pPr>
              <w:spacing w:line="360" w:lineRule="auto"/>
              <w:rPr>
                <w:rFonts w:ascii="Book Antiqua" w:hAnsi="Book Antiqua"/>
                <w:sz w:val="24"/>
                <w:szCs w:val="24"/>
              </w:rPr>
            </w:pPr>
          </w:p>
        </w:tc>
        <w:tc>
          <w:tcPr>
            <w:tcW w:w="2290" w:type="dxa"/>
            <w:vMerge/>
            <w:tcBorders>
              <w:top w:val="nil"/>
              <w:bottom w:val="nil"/>
            </w:tcBorders>
            <w:vAlign w:val="center"/>
          </w:tcPr>
          <w:p w14:paraId="37009B16" w14:textId="77777777" w:rsidR="007D4E69" w:rsidRDefault="007D4E69">
            <w:pPr>
              <w:spacing w:line="360" w:lineRule="auto"/>
              <w:rPr>
                <w:rFonts w:ascii="Book Antiqua" w:hAnsi="Book Antiqua"/>
                <w:sz w:val="24"/>
                <w:szCs w:val="24"/>
              </w:rPr>
            </w:pPr>
            <w:bookmarkStart w:id="315" w:name="_Hlk36108241"/>
            <w:bookmarkEnd w:id="314"/>
          </w:p>
        </w:tc>
        <w:tc>
          <w:tcPr>
            <w:tcW w:w="2404" w:type="dxa"/>
            <w:tcBorders>
              <w:top w:val="nil"/>
              <w:bottom w:val="nil"/>
            </w:tcBorders>
            <w:vAlign w:val="center"/>
          </w:tcPr>
          <w:p w14:paraId="2D4A738F" w14:textId="77777777" w:rsidR="007D4E69" w:rsidRDefault="005A2594">
            <w:pPr>
              <w:spacing w:line="360" w:lineRule="auto"/>
              <w:rPr>
                <w:rFonts w:ascii="Book Antiqua" w:hAnsi="Book Antiqua"/>
                <w:sz w:val="24"/>
                <w:szCs w:val="24"/>
              </w:rPr>
            </w:pPr>
            <w:r>
              <w:rPr>
                <w:rFonts w:ascii="Book Antiqua" w:hAnsi="Book Antiqua"/>
                <w:sz w:val="24"/>
                <w:szCs w:val="24"/>
              </w:rPr>
              <w:t>PolyPhen-2</w:t>
            </w:r>
          </w:p>
        </w:tc>
        <w:tc>
          <w:tcPr>
            <w:tcW w:w="1712" w:type="dxa"/>
            <w:tcBorders>
              <w:top w:val="nil"/>
              <w:bottom w:val="nil"/>
            </w:tcBorders>
            <w:vAlign w:val="center"/>
          </w:tcPr>
          <w:p w14:paraId="1C400340" w14:textId="77777777" w:rsidR="007D4E69" w:rsidRDefault="005A2594">
            <w:pPr>
              <w:spacing w:line="360" w:lineRule="auto"/>
              <w:rPr>
                <w:rFonts w:ascii="Book Antiqua" w:hAnsi="Book Antiqua"/>
                <w:sz w:val="24"/>
                <w:szCs w:val="24"/>
              </w:rPr>
            </w:pPr>
            <w:r>
              <w:rPr>
                <w:rFonts w:ascii="Book Antiqua" w:hAnsi="Book Antiqua"/>
                <w:sz w:val="24"/>
                <w:szCs w:val="24"/>
              </w:rPr>
              <w:t>SIFT</w:t>
            </w:r>
          </w:p>
        </w:tc>
        <w:tc>
          <w:tcPr>
            <w:tcW w:w="2572" w:type="dxa"/>
            <w:tcBorders>
              <w:top w:val="nil"/>
              <w:bottom w:val="nil"/>
            </w:tcBorders>
            <w:vAlign w:val="center"/>
          </w:tcPr>
          <w:p w14:paraId="5EC980F8" w14:textId="77777777" w:rsidR="007D4E69" w:rsidRDefault="005A2594">
            <w:pPr>
              <w:spacing w:line="360" w:lineRule="auto"/>
              <w:rPr>
                <w:rFonts w:ascii="Book Antiqua" w:hAnsi="Book Antiqua"/>
                <w:sz w:val="24"/>
                <w:szCs w:val="24"/>
              </w:rPr>
            </w:pPr>
            <w:r>
              <w:rPr>
                <w:rFonts w:ascii="Book Antiqua" w:hAnsi="Book Antiqua"/>
                <w:sz w:val="24"/>
                <w:szCs w:val="24"/>
              </w:rPr>
              <w:t>MutationTaster</w:t>
            </w:r>
          </w:p>
        </w:tc>
      </w:tr>
      <w:tr w:rsidR="007D4E69" w14:paraId="3E67F356" w14:textId="77777777" w:rsidTr="00451F10">
        <w:trPr>
          <w:trHeight w:val="645"/>
          <w:jc w:val="center"/>
        </w:trPr>
        <w:tc>
          <w:tcPr>
            <w:tcW w:w="1904" w:type="dxa"/>
            <w:vMerge/>
            <w:tcBorders>
              <w:top w:val="nil"/>
              <w:bottom w:val="nil"/>
            </w:tcBorders>
            <w:vAlign w:val="center"/>
          </w:tcPr>
          <w:p w14:paraId="1B911652" w14:textId="77777777" w:rsidR="007D4E69" w:rsidRDefault="007D4E69">
            <w:pPr>
              <w:spacing w:line="360" w:lineRule="auto"/>
              <w:rPr>
                <w:rFonts w:ascii="Book Antiqua" w:hAnsi="Book Antiqua"/>
                <w:sz w:val="24"/>
                <w:szCs w:val="24"/>
              </w:rPr>
            </w:pPr>
          </w:p>
        </w:tc>
        <w:bookmarkEnd w:id="315"/>
        <w:tc>
          <w:tcPr>
            <w:tcW w:w="2290" w:type="dxa"/>
            <w:vMerge/>
            <w:tcBorders>
              <w:top w:val="nil"/>
              <w:bottom w:val="nil"/>
            </w:tcBorders>
            <w:vAlign w:val="center"/>
          </w:tcPr>
          <w:p w14:paraId="281218F0" w14:textId="77777777" w:rsidR="007D4E69" w:rsidRDefault="007D4E69">
            <w:pPr>
              <w:spacing w:line="360" w:lineRule="auto"/>
              <w:rPr>
                <w:rFonts w:ascii="Book Antiqua" w:hAnsi="Book Antiqua"/>
                <w:sz w:val="24"/>
                <w:szCs w:val="24"/>
              </w:rPr>
            </w:pPr>
          </w:p>
        </w:tc>
        <w:tc>
          <w:tcPr>
            <w:tcW w:w="2404" w:type="dxa"/>
            <w:tcBorders>
              <w:top w:val="nil"/>
              <w:bottom w:val="nil"/>
            </w:tcBorders>
            <w:vAlign w:val="center"/>
          </w:tcPr>
          <w:p w14:paraId="59537E29" w14:textId="77777777" w:rsidR="007D4E69" w:rsidRDefault="005A2594">
            <w:pPr>
              <w:spacing w:line="360" w:lineRule="auto"/>
              <w:rPr>
                <w:rFonts w:ascii="Book Antiqua" w:hAnsi="Book Antiqua"/>
                <w:sz w:val="24"/>
                <w:szCs w:val="24"/>
              </w:rPr>
            </w:pPr>
            <w:r>
              <w:rPr>
                <w:rFonts w:ascii="Book Antiqua" w:hAnsi="Book Antiqua"/>
                <w:sz w:val="24"/>
                <w:szCs w:val="24"/>
              </w:rPr>
              <w:t>Probably damaging</w:t>
            </w:r>
          </w:p>
        </w:tc>
        <w:tc>
          <w:tcPr>
            <w:tcW w:w="1712" w:type="dxa"/>
            <w:tcBorders>
              <w:top w:val="nil"/>
              <w:bottom w:val="nil"/>
            </w:tcBorders>
            <w:vAlign w:val="center"/>
          </w:tcPr>
          <w:p w14:paraId="731BD5F7" w14:textId="77777777" w:rsidR="007D4E69" w:rsidRDefault="005A2594">
            <w:pPr>
              <w:spacing w:line="360" w:lineRule="auto"/>
              <w:rPr>
                <w:rFonts w:ascii="Book Antiqua" w:hAnsi="Book Antiqua"/>
                <w:sz w:val="24"/>
                <w:szCs w:val="24"/>
              </w:rPr>
            </w:pPr>
            <w:r>
              <w:rPr>
                <w:rFonts w:ascii="Book Antiqua" w:hAnsi="Book Antiqua"/>
                <w:sz w:val="24"/>
                <w:szCs w:val="24"/>
              </w:rPr>
              <w:t>Damaging</w:t>
            </w:r>
          </w:p>
        </w:tc>
        <w:tc>
          <w:tcPr>
            <w:tcW w:w="2572" w:type="dxa"/>
            <w:tcBorders>
              <w:top w:val="nil"/>
              <w:bottom w:val="nil"/>
            </w:tcBorders>
            <w:vAlign w:val="center"/>
          </w:tcPr>
          <w:p w14:paraId="0DEC543A" w14:textId="77777777" w:rsidR="007D4E69" w:rsidRDefault="005A2594">
            <w:pPr>
              <w:spacing w:line="360" w:lineRule="auto"/>
              <w:rPr>
                <w:rFonts w:ascii="Book Antiqua" w:hAnsi="Book Antiqua"/>
                <w:sz w:val="24"/>
                <w:szCs w:val="24"/>
              </w:rPr>
            </w:pPr>
            <w:r>
              <w:rPr>
                <w:rFonts w:ascii="Book Antiqua" w:eastAsia="AdvEPSTIM" w:hAnsi="Book Antiqua"/>
                <w:sz w:val="24"/>
                <w:szCs w:val="24"/>
              </w:rPr>
              <w:t>Disease causing</w:t>
            </w:r>
          </w:p>
        </w:tc>
      </w:tr>
      <w:tr w:rsidR="007D4E69" w14:paraId="52334388" w14:textId="77777777" w:rsidTr="00451F10">
        <w:trPr>
          <w:trHeight w:val="645"/>
          <w:jc w:val="center"/>
        </w:trPr>
        <w:tc>
          <w:tcPr>
            <w:tcW w:w="1904" w:type="dxa"/>
            <w:tcBorders>
              <w:top w:val="nil"/>
            </w:tcBorders>
            <w:vAlign w:val="center"/>
          </w:tcPr>
          <w:p w14:paraId="34EF01E9" w14:textId="77777777" w:rsidR="007D4E69" w:rsidRDefault="005A2594">
            <w:pPr>
              <w:spacing w:line="360" w:lineRule="auto"/>
              <w:rPr>
                <w:rFonts w:ascii="Book Antiqua" w:hAnsi="Book Antiqua"/>
                <w:sz w:val="24"/>
                <w:szCs w:val="24"/>
              </w:rPr>
            </w:pPr>
            <w:bookmarkStart w:id="316" w:name="_Hlk36108087"/>
            <w:r>
              <w:rPr>
                <w:rFonts w:ascii="Book Antiqua" w:hAnsi="Book Antiqua"/>
                <w:sz w:val="24"/>
                <w:szCs w:val="24"/>
              </w:rPr>
              <w:t>Final evaluation</w:t>
            </w:r>
          </w:p>
        </w:tc>
        <w:bookmarkEnd w:id="316"/>
        <w:tc>
          <w:tcPr>
            <w:tcW w:w="8978" w:type="dxa"/>
            <w:gridSpan w:val="4"/>
            <w:tcBorders>
              <w:top w:val="nil"/>
            </w:tcBorders>
            <w:vAlign w:val="center"/>
          </w:tcPr>
          <w:p w14:paraId="50290F0D" w14:textId="77777777" w:rsidR="007D4E69" w:rsidRDefault="005A2594">
            <w:pPr>
              <w:spacing w:line="360" w:lineRule="auto"/>
              <w:rPr>
                <w:rFonts w:ascii="Book Antiqua" w:hAnsi="Book Antiqua"/>
                <w:sz w:val="24"/>
                <w:szCs w:val="24"/>
              </w:rPr>
            </w:pPr>
            <w:r>
              <w:rPr>
                <w:rFonts w:ascii="Book Antiqua" w:hAnsi="Book Antiqua"/>
                <w:sz w:val="24"/>
                <w:szCs w:val="24"/>
              </w:rPr>
              <w:t>Pathogenic</w:t>
            </w:r>
          </w:p>
        </w:tc>
      </w:tr>
    </w:tbl>
    <w:p w14:paraId="13B2A222" w14:textId="77777777" w:rsidR="007D4E69" w:rsidRDefault="005A2594">
      <w:pPr>
        <w:tabs>
          <w:tab w:val="left" w:pos="670"/>
        </w:tabs>
        <w:spacing w:line="360" w:lineRule="auto"/>
        <w:rPr>
          <w:rFonts w:ascii="Book Antiqua" w:hAnsi="Book Antiqua"/>
          <w:bCs/>
          <w:sz w:val="24"/>
          <w:szCs w:val="24"/>
        </w:rPr>
      </w:pPr>
      <w:r>
        <w:rPr>
          <w:rFonts w:ascii="Book Antiqua" w:hAnsi="Book Antiqua"/>
          <w:i/>
          <w:iCs/>
          <w:sz w:val="24"/>
          <w:szCs w:val="24"/>
        </w:rPr>
        <w:t>SATB2</w:t>
      </w:r>
      <w:r>
        <w:rPr>
          <w:rFonts w:ascii="Book Antiqua" w:hAnsi="Book Antiqua"/>
          <w:sz w:val="24"/>
          <w:szCs w:val="24"/>
        </w:rPr>
        <w:t xml:space="preserve">: </w:t>
      </w:r>
      <w:r>
        <w:rPr>
          <w:rFonts w:ascii="Book Antiqua" w:hAnsi="Book Antiqua"/>
          <w:bCs/>
          <w:sz w:val="24"/>
          <w:szCs w:val="24"/>
        </w:rPr>
        <w:t>Special AT-rich sequence binding protein 2.</w:t>
      </w:r>
    </w:p>
    <w:p w14:paraId="4702B124" w14:textId="77777777" w:rsidR="004C752C" w:rsidRDefault="004C752C">
      <w:pPr>
        <w:tabs>
          <w:tab w:val="left" w:pos="670"/>
        </w:tabs>
        <w:spacing w:line="360" w:lineRule="auto"/>
        <w:rPr>
          <w:rFonts w:ascii="Book Antiqua" w:hAnsi="Book Antiqua"/>
          <w:bCs/>
          <w:sz w:val="24"/>
          <w:szCs w:val="24"/>
        </w:rPr>
      </w:pPr>
    </w:p>
    <w:p w14:paraId="4D529429" w14:textId="77777777" w:rsidR="007D4E69" w:rsidRDefault="005A2594">
      <w:pPr>
        <w:widowControl/>
        <w:spacing w:line="360" w:lineRule="auto"/>
        <w:rPr>
          <w:rFonts w:ascii="Book Antiqua" w:hAnsi="Book Antiqua"/>
          <w:sz w:val="24"/>
          <w:szCs w:val="24"/>
        </w:rPr>
      </w:pPr>
      <w:r>
        <w:rPr>
          <w:rFonts w:ascii="Book Antiqua" w:hAnsi="Book Antiqua"/>
          <w:sz w:val="24"/>
          <w:szCs w:val="24"/>
        </w:rPr>
        <w:br w:type="page"/>
      </w:r>
    </w:p>
    <w:p w14:paraId="740AB9D0" w14:textId="4C0F9B9D" w:rsidR="007D4E69" w:rsidRDefault="005A2594">
      <w:pPr>
        <w:tabs>
          <w:tab w:val="left" w:pos="670"/>
        </w:tabs>
        <w:spacing w:line="360" w:lineRule="auto"/>
        <w:rPr>
          <w:rFonts w:ascii="Book Antiqua" w:hAnsi="Book Antiqua"/>
          <w:b/>
          <w:sz w:val="24"/>
          <w:szCs w:val="24"/>
        </w:rPr>
      </w:pPr>
      <w:r>
        <w:rPr>
          <w:rFonts w:ascii="Book Antiqua" w:hAnsi="Book Antiqua"/>
          <w:b/>
          <w:sz w:val="24"/>
          <w:szCs w:val="24"/>
        </w:rPr>
        <w:lastRenderedPageBreak/>
        <w:t xml:space="preserve">Table 2 Main clinical findings </w:t>
      </w:r>
      <w:r w:rsidRPr="00FC7706">
        <w:rPr>
          <w:rFonts w:ascii="Book Antiqua" w:hAnsi="Book Antiqua"/>
          <w:b/>
          <w:sz w:val="24"/>
          <w:szCs w:val="24"/>
        </w:rPr>
        <w:t>for special AT-rich sequence binding protein 2-associated syndrome (a</w:t>
      </w:r>
      <w:r>
        <w:rPr>
          <w:rFonts w:ascii="Book Antiqua" w:hAnsi="Book Antiqua"/>
          <w:b/>
          <w:sz w:val="24"/>
          <w:szCs w:val="24"/>
        </w:rPr>
        <w:t xml:space="preserve">ccording to </w:t>
      </w:r>
      <w:r w:rsidR="007B28E4">
        <w:rPr>
          <w:rFonts w:ascii="Book Antiqua" w:hAnsi="Book Antiqua" w:hint="eastAsia"/>
          <w:b/>
          <w:sz w:val="24"/>
          <w:szCs w:val="24"/>
        </w:rPr>
        <w:t>literature</w:t>
      </w:r>
      <w:r w:rsidR="00224933" w:rsidRPr="00224933">
        <w:rPr>
          <w:rFonts w:ascii="Book Antiqua" w:hAnsi="Book Antiqua"/>
          <w:b/>
          <w:sz w:val="24"/>
          <w:szCs w:val="24"/>
          <w:vertAlign w:val="superscript"/>
        </w:rPr>
        <w:t>[</w:t>
      </w:r>
      <w:r w:rsidR="00224933">
        <w:rPr>
          <w:rFonts w:ascii="Book Antiqua" w:hAnsi="Book Antiqua"/>
          <w:b/>
          <w:sz w:val="24"/>
          <w:szCs w:val="24"/>
          <w:vertAlign w:val="superscript"/>
        </w:rPr>
        <w:t>22</w:t>
      </w:r>
      <w:r w:rsidR="00224933" w:rsidRPr="00224933">
        <w:rPr>
          <w:rFonts w:ascii="Book Antiqua" w:hAnsi="Book Antiqua"/>
          <w:b/>
          <w:sz w:val="24"/>
          <w:szCs w:val="24"/>
          <w:vertAlign w:val="superscript"/>
        </w:rPr>
        <w:t>]</w:t>
      </w:r>
      <w:r w:rsidRPr="00BA26D4">
        <w:rPr>
          <w:rFonts w:ascii="Book Antiqua" w:hAnsi="Book Antiqua"/>
          <w:b/>
          <w:sz w:val="24"/>
          <w:szCs w:val="24"/>
          <w:vertAlign w:val="superscript"/>
        </w:rPr>
        <w:t xml:space="preserve"> </w:t>
      </w:r>
      <w:r>
        <w:rPr>
          <w:rFonts w:ascii="Book Antiqua" w:hAnsi="Book Antiqua"/>
          <w:b/>
          <w:sz w:val="24"/>
          <w:szCs w:val="24"/>
        </w:rPr>
        <w:t>and https://satb2gene.com)</w:t>
      </w:r>
    </w:p>
    <w:tbl>
      <w:tblPr>
        <w:tblStyle w:val="ae"/>
        <w:tblW w:w="905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4166"/>
        <w:gridCol w:w="2096"/>
      </w:tblGrid>
      <w:tr w:rsidR="007D4E69" w14:paraId="4B038103" w14:textId="77777777">
        <w:trPr>
          <w:trHeight w:val="158"/>
          <w:jc w:val="center"/>
        </w:trPr>
        <w:tc>
          <w:tcPr>
            <w:tcW w:w="6962" w:type="dxa"/>
            <w:gridSpan w:val="2"/>
            <w:tcBorders>
              <w:top w:val="single" w:sz="4" w:space="0" w:color="auto"/>
              <w:bottom w:val="single" w:sz="4" w:space="0" w:color="auto"/>
            </w:tcBorders>
            <w:vAlign w:val="center"/>
          </w:tcPr>
          <w:p w14:paraId="5A87675B" w14:textId="77777777" w:rsidR="007D4E69" w:rsidRDefault="005A2594">
            <w:pPr>
              <w:tabs>
                <w:tab w:val="left" w:pos="670"/>
              </w:tabs>
              <w:spacing w:line="360" w:lineRule="auto"/>
              <w:rPr>
                <w:rFonts w:ascii="Book Antiqua" w:hAnsi="Book Antiqua"/>
                <w:b/>
                <w:sz w:val="24"/>
                <w:szCs w:val="24"/>
              </w:rPr>
            </w:pPr>
            <w:r>
              <w:rPr>
                <w:rFonts w:ascii="Book Antiqua" w:hAnsi="Book Antiqua"/>
                <w:b/>
                <w:sz w:val="24"/>
                <w:szCs w:val="24"/>
              </w:rPr>
              <w:t>Signs for SAS</w:t>
            </w:r>
          </w:p>
        </w:tc>
        <w:tc>
          <w:tcPr>
            <w:tcW w:w="2096" w:type="dxa"/>
            <w:tcBorders>
              <w:top w:val="single" w:sz="4" w:space="0" w:color="auto"/>
              <w:bottom w:val="single" w:sz="4" w:space="0" w:color="auto"/>
            </w:tcBorders>
            <w:vAlign w:val="center"/>
          </w:tcPr>
          <w:p w14:paraId="17950592" w14:textId="77777777" w:rsidR="007D4E69" w:rsidRDefault="005A2594">
            <w:pPr>
              <w:tabs>
                <w:tab w:val="left" w:pos="670"/>
              </w:tabs>
              <w:spacing w:line="360" w:lineRule="auto"/>
              <w:rPr>
                <w:rFonts w:ascii="Book Antiqua" w:hAnsi="Book Antiqua"/>
                <w:b/>
                <w:sz w:val="24"/>
                <w:szCs w:val="24"/>
              </w:rPr>
            </w:pPr>
            <w:r>
              <w:rPr>
                <w:rFonts w:ascii="Book Antiqua" w:hAnsi="Book Antiqua"/>
                <w:b/>
                <w:sz w:val="24"/>
                <w:szCs w:val="24"/>
              </w:rPr>
              <w:t>Reported frequency (%)</w:t>
            </w:r>
          </w:p>
        </w:tc>
      </w:tr>
      <w:tr w:rsidR="007D4E69" w14:paraId="0F070BE3" w14:textId="77777777">
        <w:trPr>
          <w:trHeight w:val="158"/>
          <w:jc w:val="center"/>
        </w:trPr>
        <w:tc>
          <w:tcPr>
            <w:tcW w:w="2796" w:type="dxa"/>
            <w:vMerge w:val="restart"/>
            <w:tcBorders>
              <w:top w:val="single" w:sz="4" w:space="0" w:color="auto"/>
            </w:tcBorders>
            <w:vAlign w:val="center"/>
          </w:tcPr>
          <w:p w14:paraId="60793B29"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Demographics</w:t>
            </w:r>
          </w:p>
        </w:tc>
        <w:tc>
          <w:tcPr>
            <w:tcW w:w="4166" w:type="dxa"/>
            <w:tcBorders>
              <w:top w:val="single" w:sz="4" w:space="0" w:color="auto"/>
            </w:tcBorders>
            <w:vAlign w:val="center"/>
          </w:tcPr>
          <w:p w14:paraId="25DF8364"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Gender (M:F)</w:t>
            </w:r>
          </w:p>
        </w:tc>
        <w:tc>
          <w:tcPr>
            <w:tcW w:w="2096" w:type="dxa"/>
            <w:tcBorders>
              <w:top w:val="single" w:sz="4" w:space="0" w:color="auto"/>
            </w:tcBorders>
            <w:vAlign w:val="center"/>
          </w:tcPr>
          <w:p w14:paraId="0AC05199"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3:2</w:t>
            </w:r>
          </w:p>
        </w:tc>
      </w:tr>
      <w:tr w:rsidR="007D4E69" w14:paraId="2CE66C3F" w14:textId="77777777">
        <w:trPr>
          <w:trHeight w:val="158"/>
          <w:jc w:val="center"/>
        </w:trPr>
        <w:tc>
          <w:tcPr>
            <w:tcW w:w="2796" w:type="dxa"/>
            <w:vMerge/>
            <w:vAlign w:val="center"/>
          </w:tcPr>
          <w:p w14:paraId="1C5FCAE0"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21F6AAD3"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Age &lt; 4 yr</w:t>
            </w:r>
          </w:p>
        </w:tc>
        <w:tc>
          <w:tcPr>
            <w:tcW w:w="2096" w:type="dxa"/>
            <w:vAlign w:val="center"/>
          </w:tcPr>
          <w:p w14:paraId="0F042404"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31</w:t>
            </w:r>
          </w:p>
        </w:tc>
      </w:tr>
      <w:tr w:rsidR="007D4E69" w14:paraId="47083BB9" w14:textId="77777777">
        <w:trPr>
          <w:trHeight w:val="158"/>
          <w:jc w:val="center"/>
        </w:trPr>
        <w:tc>
          <w:tcPr>
            <w:tcW w:w="2796" w:type="dxa"/>
            <w:vMerge/>
            <w:vAlign w:val="center"/>
          </w:tcPr>
          <w:p w14:paraId="1ED3689B"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2F60D33C"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Age 4-10 yr</w:t>
            </w:r>
          </w:p>
        </w:tc>
        <w:tc>
          <w:tcPr>
            <w:tcW w:w="2096" w:type="dxa"/>
            <w:vAlign w:val="center"/>
          </w:tcPr>
          <w:p w14:paraId="30945EDE"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37</w:t>
            </w:r>
          </w:p>
        </w:tc>
      </w:tr>
      <w:tr w:rsidR="007D4E69" w14:paraId="70401593" w14:textId="77777777">
        <w:trPr>
          <w:trHeight w:val="158"/>
          <w:jc w:val="center"/>
        </w:trPr>
        <w:tc>
          <w:tcPr>
            <w:tcW w:w="2796" w:type="dxa"/>
            <w:vMerge/>
            <w:vAlign w:val="center"/>
          </w:tcPr>
          <w:p w14:paraId="21E7F037"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59F736CF"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Age 10-18 yr</w:t>
            </w:r>
          </w:p>
        </w:tc>
        <w:tc>
          <w:tcPr>
            <w:tcW w:w="2096" w:type="dxa"/>
            <w:vAlign w:val="center"/>
          </w:tcPr>
          <w:p w14:paraId="7BFE9251"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19</w:t>
            </w:r>
          </w:p>
        </w:tc>
      </w:tr>
      <w:tr w:rsidR="007D4E69" w14:paraId="58E652FD" w14:textId="77777777">
        <w:trPr>
          <w:trHeight w:val="158"/>
          <w:jc w:val="center"/>
        </w:trPr>
        <w:tc>
          <w:tcPr>
            <w:tcW w:w="2796" w:type="dxa"/>
            <w:vMerge/>
            <w:vAlign w:val="center"/>
          </w:tcPr>
          <w:p w14:paraId="658894D2"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43C23633"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Adults</w:t>
            </w:r>
          </w:p>
        </w:tc>
        <w:tc>
          <w:tcPr>
            <w:tcW w:w="2096" w:type="dxa"/>
            <w:vAlign w:val="center"/>
          </w:tcPr>
          <w:p w14:paraId="0CA60A50"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13</w:t>
            </w:r>
          </w:p>
        </w:tc>
      </w:tr>
      <w:tr w:rsidR="007D4E69" w14:paraId="0D984394" w14:textId="77777777">
        <w:trPr>
          <w:trHeight w:val="158"/>
          <w:jc w:val="center"/>
        </w:trPr>
        <w:tc>
          <w:tcPr>
            <w:tcW w:w="2796" w:type="dxa"/>
            <w:vMerge w:val="restart"/>
            <w:vAlign w:val="center"/>
          </w:tcPr>
          <w:p w14:paraId="170A8908"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Severe speech anomalies</w:t>
            </w:r>
          </w:p>
        </w:tc>
        <w:tc>
          <w:tcPr>
            <w:tcW w:w="4166" w:type="dxa"/>
            <w:vAlign w:val="center"/>
          </w:tcPr>
          <w:p w14:paraId="0A37B893"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DD/ID</w:t>
            </w:r>
          </w:p>
        </w:tc>
        <w:tc>
          <w:tcPr>
            <w:tcW w:w="2096" w:type="dxa"/>
            <w:vAlign w:val="center"/>
          </w:tcPr>
          <w:p w14:paraId="16B08984"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100</w:t>
            </w:r>
          </w:p>
        </w:tc>
      </w:tr>
      <w:tr w:rsidR="007D4E69" w14:paraId="26B08001" w14:textId="77777777">
        <w:trPr>
          <w:trHeight w:val="158"/>
          <w:jc w:val="center"/>
        </w:trPr>
        <w:tc>
          <w:tcPr>
            <w:tcW w:w="2796" w:type="dxa"/>
            <w:vMerge/>
            <w:vAlign w:val="center"/>
          </w:tcPr>
          <w:p w14:paraId="25654834"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398FB8A6"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s</w:t>
            </w:r>
            <w:r>
              <w:rPr>
                <w:rFonts w:ascii="Book Antiqua" w:hAnsi="Book Antiqua"/>
                <w:sz w:val="24"/>
                <w:szCs w:val="24"/>
              </w:rPr>
              <w:t>peech delay</w:t>
            </w:r>
          </w:p>
        </w:tc>
        <w:tc>
          <w:tcPr>
            <w:tcW w:w="2096" w:type="dxa"/>
            <w:vAlign w:val="center"/>
          </w:tcPr>
          <w:p w14:paraId="59AB9643"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95</w:t>
            </w:r>
          </w:p>
        </w:tc>
      </w:tr>
      <w:tr w:rsidR="007D4E69" w14:paraId="28A3CD1D" w14:textId="77777777">
        <w:trPr>
          <w:trHeight w:val="158"/>
          <w:jc w:val="center"/>
        </w:trPr>
        <w:tc>
          <w:tcPr>
            <w:tcW w:w="2796" w:type="dxa"/>
            <w:vMerge w:val="restart"/>
            <w:vAlign w:val="center"/>
          </w:tcPr>
          <w:p w14:paraId="5C2B5CE9"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Abnormalities of the palate</w:t>
            </w:r>
          </w:p>
        </w:tc>
        <w:tc>
          <w:tcPr>
            <w:tcW w:w="4166" w:type="dxa"/>
            <w:vAlign w:val="center"/>
          </w:tcPr>
          <w:p w14:paraId="0698397B"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c</w:t>
            </w:r>
            <w:r>
              <w:rPr>
                <w:rFonts w:ascii="Book Antiqua" w:hAnsi="Book Antiqua"/>
                <w:sz w:val="24"/>
                <w:szCs w:val="24"/>
              </w:rPr>
              <w:t>left palate, high-arched palate, and bifid uvula</w:t>
            </w:r>
          </w:p>
        </w:tc>
        <w:tc>
          <w:tcPr>
            <w:tcW w:w="2096" w:type="dxa"/>
            <w:vAlign w:val="center"/>
          </w:tcPr>
          <w:p w14:paraId="18E1C734"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76</w:t>
            </w:r>
          </w:p>
        </w:tc>
      </w:tr>
      <w:tr w:rsidR="007D4E69" w14:paraId="2A3A96E4" w14:textId="77777777">
        <w:trPr>
          <w:trHeight w:val="158"/>
          <w:jc w:val="center"/>
        </w:trPr>
        <w:tc>
          <w:tcPr>
            <w:tcW w:w="2796" w:type="dxa"/>
            <w:vMerge/>
            <w:vAlign w:val="center"/>
          </w:tcPr>
          <w:p w14:paraId="2F00A65B"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46FABC36"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m</w:t>
            </w:r>
            <w:r>
              <w:rPr>
                <w:rFonts w:ascii="Book Antiqua" w:hAnsi="Book Antiqua"/>
                <w:sz w:val="24"/>
                <w:szCs w:val="24"/>
              </w:rPr>
              <w:t>icrognathia</w:t>
            </w:r>
          </w:p>
        </w:tc>
        <w:tc>
          <w:tcPr>
            <w:tcW w:w="2096" w:type="dxa"/>
            <w:vAlign w:val="center"/>
          </w:tcPr>
          <w:p w14:paraId="1C134494"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42</w:t>
            </w:r>
          </w:p>
        </w:tc>
      </w:tr>
      <w:tr w:rsidR="007D4E69" w14:paraId="54C69A6F" w14:textId="77777777">
        <w:trPr>
          <w:trHeight w:val="158"/>
          <w:jc w:val="center"/>
        </w:trPr>
        <w:tc>
          <w:tcPr>
            <w:tcW w:w="2796" w:type="dxa"/>
            <w:vMerge w:val="restart"/>
            <w:vAlign w:val="center"/>
          </w:tcPr>
          <w:p w14:paraId="24BB7A5A"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Teeth anomalies</w:t>
            </w:r>
          </w:p>
        </w:tc>
        <w:tc>
          <w:tcPr>
            <w:tcW w:w="4166" w:type="dxa"/>
            <w:vAlign w:val="center"/>
          </w:tcPr>
          <w:p w14:paraId="47519A26"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a</w:t>
            </w:r>
            <w:r>
              <w:rPr>
                <w:rFonts w:ascii="Book Antiqua" w:hAnsi="Book Antiqua"/>
                <w:sz w:val="24"/>
                <w:szCs w:val="24"/>
              </w:rPr>
              <w:t>bnormal upper central incisors</w:t>
            </w:r>
          </w:p>
        </w:tc>
        <w:tc>
          <w:tcPr>
            <w:tcW w:w="2096" w:type="dxa"/>
            <w:vAlign w:val="center"/>
          </w:tcPr>
          <w:p w14:paraId="20937A46"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36</w:t>
            </w:r>
          </w:p>
        </w:tc>
      </w:tr>
      <w:tr w:rsidR="007D4E69" w14:paraId="6758AFF7" w14:textId="77777777">
        <w:trPr>
          <w:trHeight w:val="158"/>
          <w:jc w:val="center"/>
        </w:trPr>
        <w:tc>
          <w:tcPr>
            <w:tcW w:w="2796" w:type="dxa"/>
            <w:vMerge/>
            <w:vAlign w:val="center"/>
          </w:tcPr>
          <w:p w14:paraId="621F6758"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69CC7EB2"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d</w:t>
            </w:r>
            <w:r>
              <w:rPr>
                <w:rFonts w:ascii="Book Antiqua" w:hAnsi="Book Antiqua"/>
                <w:sz w:val="24"/>
                <w:szCs w:val="24"/>
              </w:rPr>
              <w:t>ental crowding</w:t>
            </w:r>
          </w:p>
        </w:tc>
        <w:tc>
          <w:tcPr>
            <w:tcW w:w="2096" w:type="dxa"/>
            <w:vAlign w:val="center"/>
          </w:tcPr>
          <w:p w14:paraId="652569CC"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36</w:t>
            </w:r>
          </w:p>
        </w:tc>
      </w:tr>
      <w:tr w:rsidR="007D4E69" w14:paraId="39F0B4D9" w14:textId="77777777">
        <w:trPr>
          <w:trHeight w:val="158"/>
          <w:jc w:val="center"/>
        </w:trPr>
        <w:tc>
          <w:tcPr>
            <w:tcW w:w="2796" w:type="dxa"/>
            <w:vMerge/>
            <w:vAlign w:val="center"/>
          </w:tcPr>
          <w:p w14:paraId="50639668"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178E0167"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h</w:t>
            </w:r>
            <w:r>
              <w:rPr>
                <w:rFonts w:ascii="Book Antiqua" w:hAnsi="Book Antiqua"/>
                <w:sz w:val="24"/>
                <w:szCs w:val="24"/>
              </w:rPr>
              <w:t>ypodontia</w:t>
            </w:r>
          </w:p>
        </w:tc>
        <w:tc>
          <w:tcPr>
            <w:tcW w:w="2096" w:type="dxa"/>
            <w:vAlign w:val="center"/>
          </w:tcPr>
          <w:p w14:paraId="3DD89C4B"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16</w:t>
            </w:r>
          </w:p>
        </w:tc>
      </w:tr>
      <w:tr w:rsidR="007D4E69" w14:paraId="5EC1958C" w14:textId="77777777">
        <w:trPr>
          <w:trHeight w:val="158"/>
          <w:jc w:val="center"/>
        </w:trPr>
        <w:tc>
          <w:tcPr>
            <w:tcW w:w="2796" w:type="dxa"/>
            <w:vMerge/>
            <w:vAlign w:val="center"/>
          </w:tcPr>
          <w:p w14:paraId="6256CD3C"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370C5FEC"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d</w:t>
            </w:r>
            <w:r>
              <w:rPr>
                <w:rFonts w:ascii="Book Antiqua" w:hAnsi="Book Antiqua"/>
                <w:sz w:val="24"/>
                <w:szCs w:val="24"/>
              </w:rPr>
              <w:t>elayed primary dentition</w:t>
            </w:r>
          </w:p>
        </w:tc>
        <w:tc>
          <w:tcPr>
            <w:tcW w:w="2096" w:type="dxa"/>
            <w:vAlign w:val="center"/>
          </w:tcPr>
          <w:p w14:paraId="70C8B480"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6</w:t>
            </w:r>
          </w:p>
        </w:tc>
      </w:tr>
      <w:tr w:rsidR="007D4E69" w14:paraId="6E0FC7F3" w14:textId="77777777">
        <w:trPr>
          <w:trHeight w:val="158"/>
          <w:jc w:val="center"/>
        </w:trPr>
        <w:tc>
          <w:tcPr>
            <w:tcW w:w="2796" w:type="dxa"/>
            <w:vMerge/>
            <w:vAlign w:val="center"/>
          </w:tcPr>
          <w:p w14:paraId="43931039"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7BE237EA" w14:textId="77777777" w:rsidR="007D4E69" w:rsidRDefault="005A2594">
            <w:pPr>
              <w:tabs>
                <w:tab w:val="left" w:pos="670"/>
              </w:tabs>
              <w:spacing w:line="360" w:lineRule="auto"/>
              <w:rPr>
                <w:rFonts w:ascii="Book Antiqua" w:hAnsi="Book Antiqua"/>
                <w:sz w:val="24"/>
                <w:szCs w:val="24"/>
              </w:rPr>
            </w:pPr>
            <w:r>
              <w:rPr>
                <w:rFonts w:ascii="Book Antiqua" w:hAnsi="Book Antiqua"/>
                <w:caps/>
                <w:sz w:val="24"/>
                <w:szCs w:val="24"/>
              </w:rPr>
              <w:t>d</w:t>
            </w:r>
            <w:r>
              <w:rPr>
                <w:rFonts w:ascii="Book Antiqua" w:hAnsi="Book Antiqua"/>
                <w:sz w:val="24"/>
                <w:szCs w:val="24"/>
              </w:rPr>
              <w:t>iastema</w:t>
            </w:r>
          </w:p>
        </w:tc>
        <w:tc>
          <w:tcPr>
            <w:tcW w:w="2096" w:type="dxa"/>
            <w:vAlign w:val="center"/>
          </w:tcPr>
          <w:p w14:paraId="30880AB6"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4</w:t>
            </w:r>
          </w:p>
        </w:tc>
      </w:tr>
      <w:tr w:rsidR="007D4E69" w14:paraId="722E3BE3" w14:textId="77777777">
        <w:trPr>
          <w:trHeight w:val="158"/>
          <w:jc w:val="center"/>
        </w:trPr>
        <w:tc>
          <w:tcPr>
            <w:tcW w:w="2796" w:type="dxa"/>
            <w:vMerge w:val="restart"/>
            <w:vAlign w:val="center"/>
          </w:tcPr>
          <w:p w14:paraId="6E769B54"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Behavioral issues with or without bone or brain MRI anomalies</w:t>
            </w:r>
          </w:p>
        </w:tc>
        <w:tc>
          <w:tcPr>
            <w:tcW w:w="4166" w:type="dxa"/>
            <w:vAlign w:val="center"/>
          </w:tcPr>
          <w:p w14:paraId="5731CEA4"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Feeding difficulties</w:t>
            </w:r>
          </w:p>
        </w:tc>
        <w:tc>
          <w:tcPr>
            <w:tcW w:w="2096" w:type="dxa"/>
            <w:vAlign w:val="center"/>
          </w:tcPr>
          <w:p w14:paraId="2CD13D6D"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39</w:t>
            </w:r>
          </w:p>
        </w:tc>
      </w:tr>
      <w:tr w:rsidR="007D4E69" w14:paraId="54A8544F" w14:textId="77777777">
        <w:trPr>
          <w:trHeight w:val="60"/>
          <w:jc w:val="center"/>
        </w:trPr>
        <w:tc>
          <w:tcPr>
            <w:tcW w:w="2796" w:type="dxa"/>
            <w:vMerge/>
            <w:vAlign w:val="center"/>
          </w:tcPr>
          <w:p w14:paraId="72BC63A1"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4047148B"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Growth restriction</w:t>
            </w:r>
          </w:p>
        </w:tc>
        <w:tc>
          <w:tcPr>
            <w:tcW w:w="2096" w:type="dxa"/>
            <w:vAlign w:val="center"/>
          </w:tcPr>
          <w:p w14:paraId="01EBF87C"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34</w:t>
            </w:r>
          </w:p>
        </w:tc>
      </w:tr>
      <w:tr w:rsidR="007D4E69" w14:paraId="6668E162" w14:textId="77777777">
        <w:trPr>
          <w:trHeight w:val="60"/>
          <w:jc w:val="center"/>
        </w:trPr>
        <w:tc>
          <w:tcPr>
            <w:tcW w:w="2796" w:type="dxa"/>
            <w:vMerge/>
            <w:vAlign w:val="center"/>
          </w:tcPr>
          <w:p w14:paraId="58B73B6F"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086FEEEA"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Enlarged ventricles</w:t>
            </w:r>
          </w:p>
        </w:tc>
        <w:tc>
          <w:tcPr>
            <w:tcW w:w="2096" w:type="dxa"/>
            <w:vAlign w:val="center"/>
          </w:tcPr>
          <w:p w14:paraId="492D3577"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12</w:t>
            </w:r>
          </w:p>
        </w:tc>
      </w:tr>
      <w:tr w:rsidR="007D4E69" w14:paraId="1CB2A713" w14:textId="77777777">
        <w:trPr>
          <w:trHeight w:val="60"/>
          <w:jc w:val="center"/>
        </w:trPr>
        <w:tc>
          <w:tcPr>
            <w:tcW w:w="2796" w:type="dxa"/>
            <w:vMerge/>
            <w:vAlign w:val="center"/>
          </w:tcPr>
          <w:p w14:paraId="609B4D8F" w14:textId="77777777" w:rsidR="007D4E69" w:rsidRDefault="007D4E69">
            <w:pPr>
              <w:tabs>
                <w:tab w:val="left" w:pos="670"/>
              </w:tabs>
              <w:spacing w:line="360" w:lineRule="auto"/>
              <w:rPr>
                <w:rFonts w:ascii="Book Antiqua" w:hAnsi="Book Antiqua"/>
                <w:sz w:val="24"/>
                <w:szCs w:val="24"/>
              </w:rPr>
            </w:pPr>
          </w:p>
        </w:tc>
        <w:tc>
          <w:tcPr>
            <w:tcW w:w="4166" w:type="dxa"/>
            <w:vAlign w:val="center"/>
          </w:tcPr>
          <w:p w14:paraId="40FB4270"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Agenesis of corpus callosum</w:t>
            </w:r>
          </w:p>
        </w:tc>
        <w:tc>
          <w:tcPr>
            <w:tcW w:w="2096" w:type="dxa"/>
            <w:vAlign w:val="center"/>
          </w:tcPr>
          <w:p w14:paraId="02309437"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5</w:t>
            </w:r>
          </w:p>
        </w:tc>
      </w:tr>
      <w:tr w:rsidR="007D4E69" w14:paraId="1C2BFBCE" w14:textId="77777777">
        <w:trPr>
          <w:trHeight w:val="139"/>
          <w:jc w:val="center"/>
        </w:trPr>
        <w:tc>
          <w:tcPr>
            <w:tcW w:w="2796" w:type="dxa"/>
            <w:vAlign w:val="center"/>
          </w:tcPr>
          <w:p w14:paraId="0CC03403"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Age of onset before 2 yr</w:t>
            </w:r>
          </w:p>
        </w:tc>
        <w:tc>
          <w:tcPr>
            <w:tcW w:w="4166" w:type="dxa"/>
            <w:vAlign w:val="center"/>
          </w:tcPr>
          <w:p w14:paraId="449812BC"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w:t>
            </w:r>
          </w:p>
        </w:tc>
        <w:tc>
          <w:tcPr>
            <w:tcW w:w="2096" w:type="dxa"/>
            <w:vAlign w:val="center"/>
          </w:tcPr>
          <w:p w14:paraId="19138041" w14:textId="77777777" w:rsidR="007D4E69" w:rsidRDefault="005A2594">
            <w:pPr>
              <w:tabs>
                <w:tab w:val="left" w:pos="670"/>
              </w:tabs>
              <w:spacing w:line="360" w:lineRule="auto"/>
              <w:rPr>
                <w:rFonts w:ascii="Book Antiqua" w:hAnsi="Book Antiqua"/>
                <w:sz w:val="24"/>
                <w:szCs w:val="24"/>
              </w:rPr>
            </w:pPr>
            <w:r>
              <w:rPr>
                <w:rFonts w:ascii="Book Antiqua" w:hAnsi="Book Antiqua"/>
                <w:sz w:val="24"/>
                <w:szCs w:val="24"/>
              </w:rPr>
              <w:t>—</w:t>
            </w:r>
          </w:p>
        </w:tc>
      </w:tr>
    </w:tbl>
    <w:p w14:paraId="5E67DE88" w14:textId="77777777" w:rsidR="006C4A5B" w:rsidRDefault="005A2594">
      <w:pPr>
        <w:spacing w:line="360" w:lineRule="auto"/>
        <w:rPr>
          <w:rFonts w:ascii="Book Antiqua" w:hAnsi="Book Antiqua"/>
          <w:sz w:val="24"/>
          <w:szCs w:val="24"/>
        </w:rPr>
      </w:pPr>
      <w:bookmarkStart w:id="317" w:name="OLE_LINK313"/>
      <w:bookmarkStart w:id="318" w:name="OLE_LINK312"/>
      <w:bookmarkEnd w:id="2"/>
      <w:bookmarkEnd w:id="303"/>
      <w:bookmarkEnd w:id="304"/>
      <w:bookmarkEnd w:id="312"/>
      <w:bookmarkEnd w:id="317"/>
      <w:bookmarkEnd w:id="318"/>
      <w:r>
        <w:rPr>
          <w:rFonts w:ascii="Book Antiqua" w:hAnsi="Book Antiqua"/>
          <w:sz w:val="24"/>
          <w:szCs w:val="24"/>
        </w:rPr>
        <w:t xml:space="preserve">SAS: </w:t>
      </w:r>
      <w:r>
        <w:rPr>
          <w:rFonts w:ascii="Book Antiqua" w:hAnsi="Book Antiqua"/>
          <w:bCs/>
          <w:sz w:val="24"/>
          <w:szCs w:val="24"/>
        </w:rPr>
        <w:t>Special AT-rich sequence binding protein 2</w:t>
      </w:r>
      <w:r>
        <w:rPr>
          <w:rFonts w:ascii="Book Antiqua" w:hAnsi="Book Antiqua"/>
          <w:sz w:val="24"/>
          <w:szCs w:val="24"/>
        </w:rPr>
        <w:t xml:space="preserve">-associated syndrome; MRI: </w:t>
      </w:r>
      <w:r>
        <w:rPr>
          <w:rFonts w:ascii="Book Antiqua" w:hAnsi="Book Antiqua"/>
          <w:iCs/>
          <w:caps/>
          <w:sz w:val="24"/>
          <w:szCs w:val="24"/>
        </w:rPr>
        <w:t>m</w:t>
      </w:r>
      <w:r>
        <w:rPr>
          <w:rFonts w:ascii="Book Antiqua" w:hAnsi="Book Antiqua"/>
          <w:iCs/>
          <w:sz w:val="24"/>
          <w:szCs w:val="24"/>
        </w:rPr>
        <w:t>agnetic resonance imaging;</w:t>
      </w:r>
      <w:r>
        <w:rPr>
          <w:rFonts w:ascii="Book Antiqua" w:hAnsi="Book Antiqua"/>
          <w:sz w:val="24"/>
          <w:szCs w:val="24"/>
        </w:rPr>
        <w:t xml:space="preserve"> DD/ID: </w:t>
      </w:r>
      <w:r>
        <w:rPr>
          <w:rFonts w:ascii="Book Antiqua" w:hAnsi="Book Antiqua"/>
          <w:caps/>
          <w:sz w:val="24"/>
          <w:szCs w:val="24"/>
        </w:rPr>
        <w:t>d</w:t>
      </w:r>
      <w:r>
        <w:rPr>
          <w:rFonts w:ascii="Book Antiqua" w:hAnsi="Book Antiqua"/>
          <w:sz w:val="24"/>
          <w:szCs w:val="24"/>
        </w:rPr>
        <w:t>evelopmental delay/intellectual disability; M: Male; F: Female.</w:t>
      </w:r>
    </w:p>
    <w:p w14:paraId="51D0F94C" w14:textId="77777777" w:rsidR="006C4A5B" w:rsidRDefault="006C4A5B">
      <w:pPr>
        <w:widowControl/>
        <w:jc w:val="left"/>
        <w:rPr>
          <w:rFonts w:ascii="Book Antiqua" w:hAnsi="Book Antiqua"/>
          <w:sz w:val="24"/>
          <w:szCs w:val="24"/>
        </w:rPr>
      </w:pPr>
      <w:r>
        <w:rPr>
          <w:rFonts w:ascii="Book Antiqua" w:hAnsi="Book Antiqua"/>
          <w:sz w:val="24"/>
          <w:szCs w:val="24"/>
        </w:rPr>
        <w:br w:type="page"/>
      </w:r>
    </w:p>
    <w:p w14:paraId="58F8B60B" w14:textId="77777777" w:rsidR="006C4A5B" w:rsidRDefault="006C4A5B" w:rsidP="002812FD">
      <w:pPr>
        <w:rPr>
          <w:rFonts w:ascii="Book Antiqua" w:hAnsi="Book Antiqua"/>
        </w:rPr>
      </w:pPr>
    </w:p>
    <w:p w14:paraId="586CB13E" w14:textId="77777777" w:rsidR="006C4A5B" w:rsidRDefault="006C4A5B" w:rsidP="006C4A5B">
      <w:pPr>
        <w:jc w:val="center"/>
        <w:rPr>
          <w:rFonts w:ascii="Book Antiqua" w:hAnsi="Book Antiqua"/>
        </w:rPr>
      </w:pPr>
    </w:p>
    <w:p w14:paraId="5CD86AEB" w14:textId="77777777" w:rsidR="006C4A5B" w:rsidRDefault="006C4A5B" w:rsidP="006C4A5B">
      <w:pPr>
        <w:jc w:val="center"/>
        <w:rPr>
          <w:rFonts w:ascii="Book Antiqua" w:hAnsi="Book Antiqua"/>
        </w:rPr>
      </w:pPr>
    </w:p>
    <w:p w14:paraId="758A9993" w14:textId="77777777" w:rsidR="006C4A5B" w:rsidRDefault="006C4A5B" w:rsidP="006C4A5B">
      <w:pPr>
        <w:jc w:val="center"/>
        <w:rPr>
          <w:rFonts w:ascii="Book Antiqua" w:hAnsi="Book Antiqua"/>
        </w:rPr>
      </w:pPr>
    </w:p>
    <w:p w14:paraId="6132A54B" w14:textId="77777777" w:rsidR="006C4A5B" w:rsidRDefault="006C4A5B" w:rsidP="006C4A5B">
      <w:pPr>
        <w:jc w:val="center"/>
        <w:rPr>
          <w:rFonts w:ascii="Book Antiqua" w:hAnsi="Book Antiqua"/>
        </w:rPr>
      </w:pPr>
      <w:r>
        <w:rPr>
          <w:rFonts w:ascii="Book Antiqua" w:hAnsi="Book Antiqua"/>
          <w:noProof/>
        </w:rPr>
        <w:drawing>
          <wp:inline distT="0" distB="0" distL="0" distR="0" wp14:anchorId="468D9FB3" wp14:editId="42347F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FC290D" w14:textId="77777777" w:rsidR="006C4A5B" w:rsidRDefault="006C4A5B" w:rsidP="006C4A5B">
      <w:pPr>
        <w:jc w:val="center"/>
        <w:rPr>
          <w:rFonts w:ascii="Book Antiqua" w:hAnsi="Book Antiqua"/>
        </w:rPr>
      </w:pPr>
    </w:p>
    <w:p w14:paraId="5ABFCCC2" w14:textId="77777777" w:rsidR="006C4A5B" w:rsidRPr="00763D22" w:rsidRDefault="006C4A5B" w:rsidP="006C4A5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B1F2431" w14:textId="77777777" w:rsidR="006C4A5B" w:rsidRPr="00763D22" w:rsidRDefault="006C4A5B" w:rsidP="006C4A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BC2CFD" w14:textId="77777777" w:rsidR="006C4A5B" w:rsidRPr="00763D22" w:rsidRDefault="006C4A5B" w:rsidP="006C4A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216C0CD" w14:textId="77777777" w:rsidR="006C4A5B" w:rsidRPr="00763D22" w:rsidRDefault="006C4A5B" w:rsidP="006C4A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EF389D" w14:textId="77777777" w:rsidR="006C4A5B" w:rsidRPr="00763D22" w:rsidRDefault="006C4A5B" w:rsidP="006C4A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5BA519" w14:textId="77777777" w:rsidR="006C4A5B" w:rsidRPr="00763D22" w:rsidRDefault="006C4A5B" w:rsidP="006C4A5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FD97431" w14:textId="77777777" w:rsidR="006C4A5B" w:rsidRDefault="006C4A5B" w:rsidP="006C4A5B">
      <w:pPr>
        <w:jc w:val="center"/>
        <w:rPr>
          <w:rFonts w:ascii="Book Antiqua" w:hAnsi="Book Antiqua"/>
        </w:rPr>
      </w:pPr>
    </w:p>
    <w:p w14:paraId="344B59E9" w14:textId="77777777" w:rsidR="006C4A5B" w:rsidRDefault="006C4A5B" w:rsidP="006C4A5B">
      <w:pPr>
        <w:jc w:val="center"/>
        <w:rPr>
          <w:rFonts w:ascii="Book Antiqua" w:hAnsi="Book Antiqua"/>
        </w:rPr>
      </w:pPr>
    </w:p>
    <w:p w14:paraId="49C51EE1" w14:textId="77777777" w:rsidR="006C4A5B" w:rsidRDefault="006C4A5B" w:rsidP="006C4A5B">
      <w:pPr>
        <w:jc w:val="center"/>
        <w:rPr>
          <w:rFonts w:ascii="Book Antiqua" w:hAnsi="Book Antiqua"/>
        </w:rPr>
      </w:pPr>
    </w:p>
    <w:p w14:paraId="2A3E7269" w14:textId="77777777" w:rsidR="006C4A5B" w:rsidRDefault="006C4A5B" w:rsidP="006C4A5B">
      <w:pPr>
        <w:jc w:val="center"/>
        <w:rPr>
          <w:rFonts w:ascii="Book Antiqua" w:hAnsi="Book Antiqua"/>
        </w:rPr>
      </w:pPr>
      <w:r>
        <w:rPr>
          <w:rFonts w:ascii="Book Antiqua" w:hAnsi="Book Antiqua"/>
          <w:noProof/>
        </w:rPr>
        <w:drawing>
          <wp:inline distT="0" distB="0" distL="0" distR="0" wp14:anchorId="7315CDE7" wp14:editId="2688F9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B7E35D" w14:textId="77777777" w:rsidR="006C4A5B" w:rsidRDefault="006C4A5B" w:rsidP="006C4A5B">
      <w:pPr>
        <w:jc w:val="center"/>
        <w:rPr>
          <w:rFonts w:ascii="Book Antiqua" w:hAnsi="Book Antiqua"/>
        </w:rPr>
      </w:pPr>
    </w:p>
    <w:p w14:paraId="019A29A0" w14:textId="77777777" w:rsidR="006C4A5B" w:rsidRDefault="006C4A5B" w:rsidP="006C4A5B">
      <w:pPr>
        <w:jc w:val="center"/>
        <w:rPr>
          <w:rFonts w:ascii="Book Antiqua" w:hAnsi="Book Antiqua"/>
        </w:rPr>
      </w:pPr>
    </w:p>
    <w:p w14:paraId="123B9381" w14:textId="77777777" w:rsidR="006C4A5B" w:rsidRDefault="006C4A5B" w:rsidP="006C4A5B">
      <w:pPr>
        <w:jc w:val="center"/>
        <w:rPr>
          <w:rFonts w:ascii="Book Antiqua" w:hAnsi="Book Antiqua"/>
        </w:rPr>
      </w:pPr>
    </w:p>
    <w:p w14:paraId="12966E12" w14:textId="77777777" w:rsidR="006C4A5B" w:rsidRDefault="006C4A5B" w:rsidP="002812FD">
      <w:pPr>
        <w:rPr>
          <w:rFonts w:ascii="Book Antiqua" w:hAnsi="Book Antiqua"/>
        </w:rPr>
      </w:pPr>
    </w:p>
    <w:p w14:paraId="30095BFB" w14:textId="77777777" w:rsidR="006C4A5B" w:rsidRDefault="006C4A5B" w:rsidP="006C4A5B">
      <w:pPr>
        <w:jc w:val="center"/>
        <w:rPr>
          <w:rFonts w:ascii="Book Antiqua" w:hAnsi="Book Antiqua"/>
        </w:rPr>
      </w:pPr>
    </w:p>
    <w:p w14:paraId="721A6730" w14:textId="77777777" w:rsidR="006C4A5B" w:rsidRDefault="006C4A5B" w:rsidP="006C4A5B">
      <w:pPr>
        <w:jc w:val="center"/>
        <w:rPr>
          <w:rFonts w:ascii="Book Antiqua" w:hAnsi="Book Antiqua"/>
        </w:rPr>
      </w:pPr>
    </w:p>
    <w:p w14:paraId="79F58B11" w14:textId="77777777" w:rsidR="006C4A5B" w:rsidRPr="00763D22" w:rsidRDefault="006C4A5B" w:rsidP="006C4A5B">
      <w:pPr>
        <w:jc w:val="right"/>
        <w:rPr>
          <w:rFonts w:ascii="Book Antiqua" w:hAnsi="Book Antiqua"/>
          <w:color w:val="000000" w:themeColor="text1"/>
        </w:rPr>
      </w:pPr>
    </w:p>
    <w:p w14:paraId="5BE4FFB0" w14:textId="77777777" w:rsidR="007D4E69" w:rsidRPr="00E97A44" w:rsidRDefault="006C4A5B" w:rsidP="00E97A4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D4E69" w:rsidRPr="00E97A44">
      <w:footerReference w:type="default" r:id="rId1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C2CE" w14:textId="77777777" w:rsidR="00E615C0" w:rsidRDefault="00E615C0">
      <w:r>
        <w:separator/>
      </w:r>
    </w:p>
  </w:endnote>
  <w:endnote w:type="continuationSeparator" w:id="0">
    <w:p w14:paraId="7E21FB32" w14:textId="77777777" w:rsidR="00E615C0" w:rsidRDefault="00E6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EPSTIM">
    <w:altName w:val="微软雅黑"/>
    <w:charset w:val="86"/>
    <w:family w:val="auto"/>
    <w:pitch w:val="default"/>
    <w:sig w:usb0="00000000" w:usb1="00000000" w:usb2="00000010" w:usb3="00000000" w:csb0="00060000"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45897379"/>
    </w:sdtPr>
    <w:sdtEndPr/>
    <w:sdtContent>
      <w:sdt>
        <w:sdtPr>
          <w:rPr>
            <w:rFonts w:ascii="Book Antiqua" w:hAnsi="Book Antiqua"/>
            <w:sz w:val="24"/>
            <w:szCs w:val="24"/>
          </w:rPr>
          <w:id w:val="-1705238520"/>
        </w:sdtPr>
        <w:sdtEndPr/>
        <w:sdtContent>
          <w:p w14:paraId="399DCFA4" w14:textId="77777777" w:rsidR="007D4E69" w:rsidRPr="00E4527E" w:rsidRDefault="005A2594">
            <w:pPr>
              <w:pStyle w:val="a8"/>
              <w:jc w:val="right"/>
              <w:rPr>
                <w:rFonts w:ascii="Book Antiqua" w:hAnsi="Book Antiqua"/>
                <w:sz w:val="24"/>
                <w:szCs w:val="24"/>
              </w:rPr>
            </w:pPr>
            <w:r w:rsidRPr="00E4527E">
              <w:rPr>
                <w:rFonts w:ascii="Book Antiqua" w:hAnsi="Book Antiqua"/>
                <w:sz w:val="24"/>
                <w:szCs w:val="24"/>
                <w:lang w:val="zh-CN"/>
              </w:rPr>
              <w:t xml:space="preserve"> </w:t>
            </w:r>
            <w:r w:rsidRPr="00E4527E">
              <w:rPr>
                <w:rFonts w:ascii="Book Antiqua" w:hAnsi="Book Antiqua"/>
                <w:sz w:val="24"/>
                <w:szCs w:val="24"/>
              </w:rPr>
              <w:fldChar w:fldCharType="begin"/>
            </w:r>
            <w:r w:rsidRPr="00E4527E">
              <w:rPr>
                <w:rFonts w:ascii="Book Antiqua" w:hAnsi="Book Antiqua"/>
                <w:sz w:val="24"/>
                <w:szCs w:val="24"/>
              </w:rPr>
              <w:instrText>PAGE</w:instrText>
            </w:r>
            <w:r w:rsidRPr="00E4527E">
              <w:rPr>
                <w:rFonts w:ascii="Book Antiqua" w:hAnsi="Book Antiqua"/>
                <w:sz w:val="24"/>
                <w:szCs w:val="24"/>
              </w:rPr>
              <w:fldChar w:fldCharType="separate"/>
            </w:r>
            <w:r w:rsidR="005B3DD3">
              <w:rPr>
                <w:rFonts w:ascii="Book Antiqua" w:hAnsi="Book Antiqua"/>
                <w:noProof/>
                <w:sz w:val="24"/>
                <w:szCs w:val="24"/>
              </w:rPr>
              <w:t>1</w:t>
            </w:r>
            <w:r w:rsidRPr="00E4527E">
              <w:rPr>
                <w:rFonts w:ascii="Book Antiqua" w:hAnsi="Book Antiqua"/>
                <w:sz w:val="24"/>
                <w:szCs w:val="24"/>
              </w:rPr>
              <w:fldChar w:fldCharType="end"/>
            </w:r>
            <w:r w:rsidRPr="00E4527E">
              <w:rPr>
                <w:rFonts w:ascii="Book Antiqua" w:hAnsi="Book Antiqua"/>
                <w:sz w:val="24"/>
                <w:szCs w:val="24"/>
                <w:lang w:val="zh-CN"/>
              </w:rPr>
              <w:t xml:space="preserve"> / </w:t>
            </w:r>
            <w:r w:rsidRPr="00E4527E">
              <w:rPr>
                <w:rFonts w:ascii="Book Antiqua" w:hAnsi="Book Antiqua"/>
                <w:sz w:val="24"/>
                <w:szCs w:val="24"/>
              </w:rPr>
              <w:fldChar w:fldCharType="begin"/>
            </w:r>
            <w:r w:rsidRPr="00E4527E">
              <w:rPr>
                <w:rFonts w:ascii="Book Antiqua" w:hAnsi="Book Antiqua"/>
                <w:sz w:val="24"/>
                <w:szCs w:val="24"/>
              </w:rPr>
              <w:instrText>NUMPAGES</w:instrText>
            </w:r>
            <w:r w:rsidRPr="00E4527E">
              <w:rPr>
                <w:rFonts w:ascii="Book Antiqua" w:hAnsi="Book Antiqua"/>
                <w:sz w:val="24"/>
                <w:szCs w:val="24"/>
              </w:rPr>
              <w:fldChar w:fldCharType="separate"/>
            </w:r>
            <w:r w:rsidR="005B3DD3">
              <w:rPr>
                <w:rFonts w:ascii="Book Antiqua" w:hAnsi="Book Antiqua"/>
                <w:noProof/>
                <w:sz w:val="24"/>
                <w:szCs w:val="24"/>
              </w:rPr>
              <w:t>1</w:t>
            </w:r>
            <w:r w:rsidRPr="00E4527E">
              <w:rPr>
                <w:rFonts w:ascii="Book Antiqua" w:hAnsi="Book Antiqua"/>
                <w:sz w:val="24"/>
                <w:szCs w:val="24"/>
              </w:rPr>
              <w:fldChar w:fldCharType="end"/>
            </w:r>
          </w:p>
        </w:sdtContent>
      </w:sdt>
    </w:sdtContent>
  </w:sdt>
  <w:p w14:paraId="7633A882" w14:textId="77777777" w:rsidR="007D4E69" w:rsidRDefault="007D4E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6103" w14:textId="77777777" w:rsidR="00E615C0" w:rsidRDefault="00E615C0">
      <w:r>
        <w:separator/>
      </w:r>
    </w:p>
  </w:footnote>
  <w:footnote w:type="continuationSeparator" w:id="0">
    <w:p w14:paraId="228AAFEC" w14:textId="77777777" w:rsidR="00E615C0" w:rsidRDefault="00E61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1EC0601A"/>
    <w:lvl w:ilvl="0">
      <w:start w:val="1"/>
      <w:numFmt w:val="decimal"/>
      <w:pStyle w:val="1"/>
      <w:lvlText w:val="%1"/>
      <w:lvlJc w:val="left"/>
      <w:pPr>
        <w:tabs>
          <w:tab w:val="left" w:pos="567"/>
        </w:tabs>
        <w:ind w:left="567" w:hanging="567"/>
      </w:pPr>
    </w:lvl>
    <w:lvl w:ilvl="1">
      <w:start w:val="1"/>
      <w:numFmt w:val="decimal"/>
      <w:pStyle w:val="2"/>
      <w:lvlText w:val="%1.%2"/>
      <w:lvlJc w:val="left"/>
      <w:pPr>
        <w:tabs>
          <w:tab w:val="left" w:pos="567"/>
        </w:tabs>
        <w:ind w:left="567" w:hanging="567"/>
      </w:pPr>
    </w:lvl>
    <w:lvl w:ilvl="2">
      <w:start w:val="1"/>
      <w:numFmt w:val="decimal"/>
      <w:pStyle w:val="3"/>
      <w:lvlText w:val="%1.%2.%3"/>
      <w:lvlJc w:val="left"/>
      <w:pPr>
        <w:tabs>
          <w:tab w:val="left" w:pos="567"/>
        </w:tabs>
        <w:ind w:left="567" w:hanging="567"/>
      </w:pPr>
    </w:lvl>
    <w:lvl w:ilvl="3">
      <w:start w:val="1"/>
      <w:numFmt w:val="decimal"/>
      <w:pStyle w:val="4"/>
      <w:lvlText w:val="%1.%2.%3.%4"/>
      <w:lvlJc w:val="left"/>
      <w:pPr>
        <w:tabs>
          <w:tab w:val="left" w:pos="567"/>
        </w:tabs>
        <w:ind w:left="567" w:hanging="567"/>
      </w:pPr>
    </w:lvl>
    <w:lvl w:ilvl="4">
      <w:start w:val="1"/>
      <w:numFmt w:val="decimal"/>
      <w:pStyle w:val="5"/>
      <w:lvlText w:val="%1.%2.%3.%4.%5"/>
      <w:lvlJc w:val="left"/>
      <w:pPr>
        <w:tabs>
          <w:tab w:val="left" w:pos="567"/>
        </w:tabs>
        <w:ind w:left="567" w:hanging="567"/>
      </w:pPr>
    </w:lvl>
    <w:lvl w:ilvl="5">
      <w:start w:val="1"/>
      <w:numFmt w:val="lowerRoman"/>
      <w:lvlText w:val="%6."/>
      <w:lvlJc w:val="right"/>
      <w:pPr>
        <w:tabs>
          <w:tab w:val="left" w:pos="567"/>
        </w:tabs>
        <w:ind w:left="567" w:hanging="567"/>
      </w:pPr>
    </w:lvl>
    <w:lvl w:ilvl="6">
      <w:start w:val="1"/>
      <w:numFmt w:val="decimal"/>
      <w:lvlText w:val="%7."/>
      <w:lvlJc w:val="left"/>
      <w:pPr>
        <w:tabs>
          <w:tab w:val="left" w:pos="567"/>
        </w:tabs>
        <w:ind w:left="567" w:hanging="567"/>
      </w:pPr>
    </w:lvl>
    <w:lvl w:ilvl="7">
      <w:start w:val="1"/>
      <w:numFmt w:val="lowerLetter"/>
      <w:lvlText w:val="%8."/>
      <w:lvlJc w:val="left"/>
      <w:pPr>
        <w:tabs>
          <w:tab w:val="left" w:pos="567"/>
        </w:tabs>
        <w:ind w:left="567" w:hanging="567"/>
      </w:pPr>
    </w:lvl>
    <w:lvl w:ilvl="8">
      <w:start w:val="1"/>
      <w:numFmt w:val="lowerRoman"/>
      <w:lvlText w:val="%9."/>
      <w:lvlJc w:val="right"/>
      <w:pPr>
        <w:tabs>
          <w:tab w:val="left" w:pos="567"/>
        </w:tabs>
        <w:ind w:left="567"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B1"/>
    <w:rsid w:val="00000694"/>
    <w:rsid w:val="00000E80"/>
    <w:rsid w:val="00005AE4"/>
    <w:rsid w:val="00010863"/>
    <w:rsid w:val="00011271"/>
    <w:rsid w:val="00011D3C"/>
    <w:rsid w:val="00013A08"/>
    <w:rsid w:val="00014B07"/>
    <w:rsid w:val="00015BBA"/>
    <w:rsid w:val="0001761E"/>
    <w:rsid w:val="00020271"/>
    <w:rsid w:val="00020537"/>
    <w:rsid w:val="000207ED"/>
    <w:rsid w:val="000214F5"/>
    <w:rsid w:val="00024C20"/>
    <w:rsid w:val="000305A6"/>
    <w:rsid w:val="00030703"/>
    <w:rsid w:val="00031C66"/>
    <w:rsid w:val="000325F8"/>
    <w:rsid w:val="00032CCF"/>
    <w:rsid w:val="00033AC5"/>
    <w:rsid w:val="00034DC8"/>
    <w:rsid w:val="00035665"/>
    <w:rsid w:val="00037B71"/>
    <w:rsid w:val="000409EF"/>
    <w:rsid w:val="00041ABB"/>
    <w:rsid w:val="00055ACA"/>
    <w:rsid w:val="000563B3"/>
    <w:rsid w:val="00064974"/>
    <w:rsid w:val="0006650D"/>
    <w:rsid w:val="000728C1"/>
    <w:rsid w:val="000728EC"/>
    <w:rsid w:val="00072D1B"/>
    <w:rsid w:val="0007598A"/>
    <w:rsid w:val="00075E60"/>
    <w:rsid w:val="00081EA5"/>
    <w:rsid w:val="0008372F"/>
    <w:rsid w:val="00083A9D"/>
    <w:rsid w:val="0008401F"/>
    <w:rsid w:val="00084D6D"/>
    <w:rsid w:val="0008513E"/>
    <w:rsid w:val="000920C9"/>
    <w:rsid w:val="00094C2F"/>
    <w:rsid w:val="000A6DED"/>
    <w:rsid w:val="000A7F06"/>
    <w:rsid w:val="000B0F12"/>
    <w:rsid w:val="000B5E94"/>
    <w:rsid w:val="000C26B5"/>
    <w:rsid w:val="000C4F55"/>
    <w:rsid w:val="000D1DD9"/>
    <w:rsid w:val="000D57FE"/>
    <w:rsid w:val="000D6A3D"/>
    <w:rsid w:val="000D6D9E"/>
    <w:rsid w:val="000D7144"/>
    <w:rsid w:val="000E02BA"/>
    <w:rsid w:val="000E3DA7"/>
    <w:rsid w:val="000F3263"/>
    <w:rsid w:val="000F5C47"/>
    <w:rsid w:val="000F6E04"/>
    <w:rsid w:val="00100988"/>
    <w:rsid w:val="00100E74"/>
    <w:rsid w:val="001011E0"/>
    <w:rsid w:val="0010402B"/>
    <w:rsid w:val="0010752F"/>
    <w:rsid w:val="00110DA9"/>
    <w:rsid w:val="00112D65"/>
    <w:rsid w:val="00112F3B"/>
    <w:rsid w:val="00115B68"/>
    <w:rsid w:val="00116399"/>
    <w:rsid w:val="001176BE"/>
    <w:rsid w:val="00125DB9"/>
    <w:rsid w:val="0013043C"/>
    <w:rsid w:val="001304E2"/>
    <w:rsid w:val="00132A4A"/>
    <w:rsid w:val="00136ED7"/>
    <w:rsid w:val="00137F25"/>
    <w:rsid w:val="00141458"/>
    <w:rsid w:val="0014424A"/>
    <w:rsid w:val="00147444"/>
    <w:rsid w:val="00147EC7"/>
    <w:rsid w:val="001500B8"/>
    <w:rsid w:val="001554DC"/>
    <w:rsid w:val="00156480"/>
    <w:rsid w:val="0015677B"/>
    <w:rsid w:val="00165576"/>
    <w:rsid w:val="001671DC"/>
    <w:rsid w:val="00171BFB"/>
    <w:rsid w:val="00173631"/>
    <w:rsid w:val="0017521C"/>
    <w:rsid w:val="001817F6"/>
    <w:rsid w:val="00181C18"/>
    <w:rsid w:val="00182DC7"/>
    <w:rsid w:val="00182EA0"/>
    <w:rsid w:val="00183D3D"/>
    <w:rsid w:val="00187ABB"/>
    <w:rsid w:val="00197140"/>
    <w:rsid w:val="00197E3D"/>
    <w:rsid w:val="001A05FF"/>
    <w:rsid w:val="001B1E47"/>
    <w:rsid w:val="001B5C10"/>
    <w:rsid w:val="001B7E60"/>
    <w:rsid w:val="001C24B8"/>
    <w:rsid w:val="001C40BE"/>
    <w:rsid w:val="001C5369"/>
    <w:rsid w:val="001D12C2"/>
    <w:rsid w:val="001D6023"/>
    <w:rsid w:val="001D6C5B"/>
    <w:rsid w:val="001E1815"/>
    <w:rsid w:val="001E28E5"/>
    <w:rsid w:val="001E3D19"/>
    <w:rsid w:val="001F0515"/>
    <w:rsid w:val="001F38AE"/>
    <w:rsid w:val="001F51F9"/>
    <w:rsid w:val="0020346E"/>
    <w:rsid w:val="002066CA"/>
    <w:rsid w:val="00207972"/>
    <w:rsid w:val="00207F82"/>
    <w:rsid w:val="00210222"/>
    <w:rsid w:val="002202E0"/>
    <w:rsid w:val="00224933"/>
    <w:rsid w:val="00227B0C"/>
    <w:rsid w:val="00230642"/>
    <w:rsid w:val="00230B9F"/>
    <w:rsid w:val="00230EF4"/>
    <w:rsid w:val="0023529B"/>
    <w:rsid w:val="00236877"/>
    <w:rsid w:val="0023784B"/>
    <w:rsid w:val="00240220"/>
    <w:rsid w:val="00240866"/>
    <w:rsid w:val="00241152"/>
    <w:rsid w:val="002505D9"/>
    <w:rsid w:val="00250951"/>
    <w:rsid w:val="0025202A"/>
    <w:rsid w:val="002531E6"/>
    <w:rsid w:val="002538CB"/>
    <w:rsid w:val="00257FEA"/>
    <w:rsid w:val="002610EA"/>
    <w:rsid w:val="00262867"/>
    <w:rsid w:val="002630D5"/>
    <w:rsid w:val="00264C06"/>
    <w:rsid w:val="00264F8B"/>
    <w:rsid w:val="00265632"/>
    <w:rsid w:val="002677B8"/>
    <w:rsid w:val="002740B4"/>
    <w:rsid w:val="002755E9"/>
    <w:rsid w:val="00277C1B"/>
    <w:rsid w:val="002812FD"/>
    <w:rsid w:val="0028518B"/>
    <w:rsid w:val="00290B57"/>
    <w:rsid w:val="00293F24"/>
    <w:rsid w:val="002948B6"/>
    <w:rsid w:val="002A2B8C"/>
    <w:rsid w:val="002A5C63"/>
    <w:rsid w:val="002B0BBD"/>
    <w:rsid w:val="002B26A0"/>
    <w:rsid w:val="002B6510"/>
    <w:rsid w:val="002B6BC1"/>
    <w:rsid w:val="002B7DB7"/>
    <w:rsid w:val="002B7E9A"/>
    <w:rsid w:val="002C1DF2"/>
    <w:rsid w:val="002C4C4F"/>
    <w:rsid w:val="002C66D6"/>
    <w:rsid w:val="002D192E"/>
    <w:rsid w:val="002D4337"/>
    <w:rsid w:val="002D4DEA"/>
    <w:rsid w:val="002D6144"/>
    <w:rsid w:val="002D67B2"/>
    <w:rsid w:val="002D6CCD"/>
    <w:rsid w:val="002E76C4"/>
    <w:rsid w:val="002E7CBD"/>
    <w:rsid w:val="002F29FB"/>
    <w:rsid w:val="002F3666"/>
    <w:rsid w:val="002F419C"/>
    <w:rsid w:val="002F64D7"/>
    <w:rsid w:val="00303370"/>
    <w:rsid w:val="00303DE1"/>
    <w:rsid w:val="0030559E"/>
    <w:rsid w:val="00305DA4"/>
    <w:rsid w:val="00306511"/>
    <w:rsid w:val="00307749"/>
    <w:rsid w:val="00316564"/>
    <w:rsid w:val="00316C27"/>
    <w:rsid w:val="00316D6F"/>
    <w:rsid w:val="00317EAA"/>
    <w:rsid w:val="00320072"/>
    <w:rsid w:val="00325244"/>
    <w:rsid w:val="0033120C"/>
    <w:rsid w:val="0033326C"/>
    <w:rsid w:val="0033738A"/>
    <w:rsid w:val="0034029B"/>
    <w:rsid w:val="00341A5C"/>
    <w:rsid w:val="00343543"/>
    <w:rsid w:val="00343FD6"/>
    <w:rsid w:val="0034501F"/>
    <w:rsid w:val="00346154"/>
    <w:rsid w:val="003512F4"/>
    <w:rsid w:val="00355115"/>
    <w:rsid w:val="00355C4F"/>
    <w:rsid w:val="0035650B"/>
    <w:rsid w:val="00356DF2"/>
    <w:rsid w:val="00360557"/>
    <w:rsid w:val="003631F4"/>
    <w:rsid w:val="003638E7"/>
    <w:rsid w:val="00366BDF"/>
    <w:rsid w:val="003672BE"/>
    <w:rsid w:val="003713E5"/>
    <w:rsid w:val="003716B3"/>
    <w:rsid w:val="00373A85"/>
    <w:rsid w:val="00377147"/>
    <w:rsid w:val="003807EA"/>
    <w:rsid w:val="00381203"/>
    <w:rsid w:val="003835B1"/>
    <w:rsid w:val="0038759E"/>
    <w:rsid w:val="003907B3"/>
    <w:rsid w:val="003916CF"/>
    <w:rsid w:val="00392C7D"/>
    <w:rsid w:val="003945F7"/>
    <w:rsid w:val="0039648B"/>
    <w:rsid w:val="0039763A"/>
    <w:rsid w:val="003A1522"/>
    <w:rsid w:val="003A34B8"/>
    <w:rsid w:val="003A366D"/>
    <w:rsid w:val="003A4A61"/>
    <w:rsid w:val="003A6A6D"/>
    <w:rsid w:val="003A7B4C"/>
    <w:rsid w:val="003B429E"/>
    <w:rsid w:val="003B49E2"/>
    <w:rsid w:val="003B651F"/>
    <w:rsid w:val="003C0060"/>
    <w:rsid w:val="003C1E84"/>
    <w:rsid w:val="003C4317"/>
    <w:rsid w:val="003C44B9"/>
    <w:rsid w:val="003C6F4E"/>
    <w:rsid w:val="003D2AB9"/>
    <w:rsid w:val="003D5375"/>
    <w:rsid w:val="003D768F"/>
    <w:rsid w:val="003D7860"/>
    <w:rsid w:val="003E1CA5"/>
    <w:rsid w:val="003E56B6"/>
    <w:rsid w:val="003E7CD4"/>
    <w:rsid w:val="003F2AB7"/>
    <w:rsid w:val="003F61C1"/>
    <w:rsid w:val="003F6577"/>
    <w:rsid w:val="003F6F47"/>
    <w:rsid w:val="004026D3"/>
    <w:rsid w:val="00402BAD"/>
    <w:rsid w:val="004030A1"/>
    <w:rsid w:val="00403DE9"/>
    <w:rsid w:val="00406986"/>
    <w:rsid w:val="0041093A"/>
    <w:rsid w:val="0041233C"/>
    <w:rsid w:val="00416164"/>
    <w:rsid w:val="00423FD4"/>
    <w:rsid w:val="004257AA"/>
    <w:rsid w:val="004301D9"/>
    <w:rsid w:val="0043108B"/>
    <w:rsid w:val="004315CF"/>
    <w:rsid w:val="00432DB8"/>
    <w:rsid w:val="00435416"/>
    <w:rsid w:val="00440AB5"/>
    <w:rsid w:val="004413CF"/>
    <w:rsid w:val="00443CE5"/>
    <w:rsid w:val="00443F00"/>
    <w:rsid w:val="00445AD3"/>
    <w:rsid w:val="00446D3B"/>
    <w:rsid w:val="00447B1E"/>
    <w:rsid w:val="00451F10"/>
    <w:rsid w:val="004539A0"/>
    <w:rsid w:val="004561D0"/>
    <w:rsid w:val="00460CC0"/>
    <w:rsid w:val="00461C67"/>
    <w:rsid w:val="00463E69"/>
    <w:rsid w:val="00470731"/>
    <w:rsid w:val="00470E69"/>
    <w:rsid w:val="00472F5D"/>
    <w:rsid w:val="004755C6"/>
    <w:rsid w:val="00475F4C"/>
    <w:rsid w:val="00477B66"/>
    <w:rsid w:val="00484809"/>
    <w:rsid w:val="00486F28"/>
    <w:rsid w:val="00487BEF"/>
    <w:rsid w:val="00487D85"/>
    <w:rsid w:val="0049111A"/>
    <w:rsid w:val="00492DC4"/>
    <w:rsid w:val="00496588"/>
    <w:rsid w:val="004976A0"/>
    <w:rsid w:val="00497E40"/>
    <w:rsid w:val="004A2200"/>
    <w:rsid w:val="004A251B"/>
    <w:rsid w:val="004A4E7A"/>
    <w:rsid w:val="004B14FB"/>
    <w:rsid w:val="004B2A47"/>
    <w:rsid w:val="004B2D3F"/>
    <w:rsid w:val="004B5793"/>
    <w:rsid w:val="004B7A44"/>
    <w:rsid w:val="004C3439"/>
    <w:rsid w:val="004C553A"/>
    <w:rsid w:val="004C5DC9"/>
    <w:rsid w:val="004C752C"/>
    <w:rsid w:val="004D0B00"/>
    <w:rsid w:val="004D0B76"/>
    <w:rsid w:val="004D1624"/>
    <w:rsid w:val="004D1F39"/>
    <w:rsid w:val="004D28A4"/>
    <w:rsid w:val="004D735F"/>
    <w:rsid w:val="004E2809"/>
    <w:rsid w:val="004E63E3"/>
    <w:rsid w:val="004F02B6"/>
    <w:rsid w:val="004F43D1"/>
    <w:rsid w:val="004F5036"/>
    <w:rsid w:val="004F5265"/>
    <w:rsid w:val="00503666"/>
    <w:rsid w:val="005036C2"/>
    <w:rsid w:val="0050509E"/>
    <w:rsid w:val="0050515D"/>
    <w:rsid w:val="00505900"/>
    <w:rsid w:val="00510095"/>
    <w:rsid w:val="00510D28"/>
    <w:rsid w:val="00511C74"/>
    <w:rsid w:val="005125A3"/>
    <w:rsid w:val="00512E73"/>
    <w:rsid w:val="005159EE"/>
    <w:rsid w:val="005208F8"/>
    <w:rsid w:val="00520EE5"/>
    <w:rsid w:val="005216DB"/>
    <w:rsid w:val="005217BF"/>
    <w:rsid w:val="00522A97"/>
    <w:rsid w:val="00524331"/>
    <w:rsid w:val="0052444D"/>
    <w:rsid w:val="00525F4A"/>
    <w:rsid w:val="005267D5"/>
    <w:rsid w:val="005300BB"/>
    <w:rsid w:val="00532B74"/>
    <w:rsid w:val="00534B08"/>
    <w:rsid w:val="005410E8"/>
    <w:rsid w:val="00541FA6"/>
    <w:rsid w:val="00545BBA"/>
    <w:rsid w:val="005479B6"/>
    <w:rsid w:val="005537A4"/>
    <w:rsid w:val="00560DDC"/>
    <w:rsid w:val="0056118D"/>
    <w:rsid w:val="0056207F"/>
    <w:rsid w:val="005620BF"/>
    <w:rsid w:val="005636FF"/>
    <w:rsid w:val="005637EE"/>
    <w:rsid w:val="00565F64"/>
    <w:rsid w:val="005705D8"/>
    <w:rsid w:val="0057277F"/>
    <w:rsid w:val="00572C9B"/>
    <w:rsid w:val="00573A31"/>
    <w:rsid w:val="00573BFA"/>
    <w:rsid w:val="0057437C"/>
    <w:rsid w:val="00574850"/>
    <w:rsid w:val="0058599C"/>
    <w:rsid w:val="00585FB0"/>
    <w:rsid w:val="00592BAD"/>
    <w:rsid w:val="00595697"/>
    <w:rsid w:val="00595CF4"/>
    <w:rsid w:val="00596A9F"/>
    <w:rsid w:val="00597377"/>
    <w:rsid w:val="005A2594"/>
    <w:rsid w:val="005A48F9"/>
    <w:rsid w:val="005A54EC"/>
    <w:rsid w:val="005A632E"/>
    <w:rsid w:val="005B2136"/>
    <w:rsid w:val="005B3DD3"/>
    <w:rsid w:val="005B490F"/>
    <w:rsid w:val="005B6F0B"/>
    <w:rsid w:val="005B7E7F"/>
    <w:rsid w:val="005C18FE"/>
    <w:rsid w:val="005C1E93"/>
    <w:rsid w:val="005C3C72"/>
    <w:rsid w:val="005D0315"/>
    <w:rsid w:val="005D08AC"/>
    <w:rsid w:val="005D2440"/>
    <w:rsid w:val="005D632F"/>
    <w:rsid w:val="005E0D67"/>
    <w:rsid w:val="005E2E27"/>
    <w:rsid w:val="005E4297"/>
    <w:rsid w:val="005E5D7C"/>
    <w:rsid w:val="005E7B93"/>
    <w:rsid w:val="005F130D"/>
    <w:rsid w:val="005F2AFA"/>
    <w:rsid w:val="005F48C9"/>
    <w:rsid w:val="005F649A"/>
    <w:rsid w:val="00601C26"/>
    <w:rsid w:val="00604AF1"/>
    <w:rsid w:val="0061007D"/>
    <w:rsid w:val="00612044"/>
    <w:rsid w:val="006125BE"/>
    <w:rsid w:val="00620019"/>
    <w:rsid w:val="00626395"/>
    <w:rsid w:val="0063054D"/>
    <w:rsid w:val="006307DC"/>
    <w:rsid w:val="00630D33"/>
    <w:rsid w:val="00635755"/>
    <w:rsid w:val="006365B4"/>
    <w:rsid w:val="00642E3D"/>
    <w:rsid w:val="00643DF3"/>
    <w:rsid w:val="006454B9"/>
    <w:rsid w:val="006461D7"/>
    <w:rsid w:val="00647865"/>
    <w:rsid w:val="006540FA"/>
    <w:rsid w:val="006573D6"/>
    <w:rsid w:val="00662523"/>
    <w:rsid w:val="0066680B"/>
    <w:rsid w:val="00666D5F"/>
    <w:rsid w:val="00670AA5"/>
    <w:rsid w:val="00674D05"/>
    <w:rsid w:val="006772F5"/>
    <w:rsid w:val="00685FD3"/>
    <w:rsid w:val="006879AC"/>
    <w:rsid w:val="00687E75"/>
    <w:rsid w:val="00687FEC"/>
    <w:rsid w:val="00690826"/>
    <w:rsid w:val="00695E8C"/>
    <w:rsid w:val="006A1F6E"/>
    <w:rsid w:val="006A35BB"/>
    <w:rsid w:val="006A4908"/>
    <w:rsid w:val="006A5BEA"/>
    <w:rsid w:val="006A5DE0"/>
    <w:rsid w:val="006B229F"/>
    <w:rsid w:val="006C092F"/>
    <w:rsid w:val="006C0B58"/>
    <w:rsid w:val="006C1C5A"/>
    <w:rsid w:val="006C2341"/>
    <w:rsid w:val="006C4A5B"/>
    <w:rsid w:val="006C789B"/>
    <w:rsid w:val="006D20B1"/>
    <w:rsid w:val="006D2270"/>
    <w:rsid w:val="006D23C8"/>
    <w:rsid w:val="006D2AF9"/>
    <w:rsid w:val="006D5591"/>
    <w:rsid w:val="006E035F"/>
    <w:rsid w:val="006E1205"/>
    <w:rsid w:val="006E2B9C"/>
    <w:rsid w:val="006E61F1"/>
    <w:rsid w:val="006F377D"/>
    <w:rsid w:val="006F4ACD"/>
    <w:rsid w:val="006F6E4A"/>
    <w:rsid w:val="0070125C"/>
    <w:rsid w:val="00702D00"/>
    <w:rsid w:val="00703BC7"/>
    <w:rsid w:val="00705D6B"/>
    <w:rsid w:val="0070697B"/>
    <w:rsid w:val="0071006B"/>
    <w:rsid w:val="00711D29"/>
    <w:rsid w:val="0071343E"/>
    <w:rsid w:val="007144A1"/>
    <w:rsid w:val="00716915"/>
    <w:rsid w:val="00716DD7"/>
    <w:rsid w:val="00723B3C"/>
    <w:rsid w:val="00724BEF"/>
    <w:rsid w:val="00724FE0"/>
    <w:rsid w:val="00726507"/>
    <w:rsid w:val="00727905"/>
    <w:rsid w:val="00730F62"/>
    <w:rsid w:val="007343D5"/>
    <w:rsid w:val="0074071B"/>
    <w:rsid w:val="00741C8C"/>
    <w:rsid w:val="00743A8A"/>
    <w:rsid w:val="00751B5D"/>
    <w:rsid w:val="007568B9"/>
    <w:rsid w:val="0075776F"/>
    <w:rsid w:val="007605C0"/>
    <w:rsid w:val="007609B2"/>
    <w:rsid w:val="00760D26"/>
    <w:rsid w:val="00761726"/>
    <w:rsid w:val="007652C0"/>
    <w:rsid w:val="00766383"/>
    <w:rsid w:val="00777FFA"/>
    <w:rsid w:val="007843C5"/>
    <w:rsid w:val="00784F5C"/>
    <w:rsid w:val="00786F68"/>
    <w:rsid w:val="007913F5"/>
    <w:rsid w:val="00796CF5"/>
    <w:rsid w:val="007A11FE"/>
    <w:rsid w:val="007A2ABA"/>
    <w:rsid w:val="007A4D49"/>
    <w:rsid w:val="007A573D"/>
    <w:rsid w:val="007A68D7"/>
    <w:rsid w:val="007A7F4E"/>
    <w:rsid w:val="007B28E4"/>
    <w:rsid w:val="007B32BA"/>
    <w:rsid w:val="007B5177"/>
    <w:rsid w:val="007B6401"/>
    <w:rsid w:val="007B64F6"/>
    <w:rsid w:val="007C1DD1"/>
    <w:rsid w:val="007D4E69"/>
    <w:rsid w:val="007D6D26"/>
    <w:rsid w:val="007D6D44"/>
    <w:rsid w:val="007D6EB7"/>
    <w:rsid w:val="007D75E4"/>
    <w:rsid w:val="007E2F5E"/>
    <w:rsid w:val="007F1EB5"/>
    <w:rsid w:val="007F24F5"/>
    <w:rsid w:val="007F6E83"/>
    <w:rsid w:val="007F759A"/>
    <w:rsid w:val="007F7E64"/>
    <w:rsid w:val="00806CC9"/>
    <w:rsid w:val="0080733F"/>
    <w:rsid w:val="00810395"/>
    <w:rsid w:val="00814492"/>
    <w:rsid w:val="00815809"/>
    <w:rsid w:val="00815B08"/>
    <w:rsid w:val="00821B2C"/>
    <w:rsid w:val="0082214E"/>
    <w:rsid w:val="0082401C"/>
    <w:rsid w:val="00824336"/>
    <w:rsid w:val="00824942"/>
    <w:rsid w:val="008251FB"/>
    <w:rsid w:val="00826184"/>
    <w:rsid w:val="00826B52"/>
    <w:rsid w:val="0082731C"/>
    <w:rsid w:val="008311D9"/>
    <w:rsid w:val="008326B3"/>
    <w:rsid w:val="00833847"/>
    <w:rsid w:val="00834902"/>
    <w:rsid w:val="008349E1"/>
    <w:rsid w:val="008373F7"/>
    <w:rsid w:val="008378A8"/>
    <w:rsid w:val="00837C5F"/>
    <w:rsid w:val="00841F4D"/>
    <w:rsid w:val="008446D3"/>
    <w:rsid w:val="00844DA4"/>
    <w:rsid w:val="00845B88"/>
    <w:rsid w:val="0084625B"/>
    <w:rsid w:val="0084718C"/>
    <w:rsid w:val="008503A4"/>
    <w:rsid w:val="0085047D"/>
    <w:rsid w:val="00850A0F"/>
    <w:rsid w:val="00850E89"/>
    <w:rsid w:val="00851EDF"/>
    <w:rsid w:val="00857608"/>
    <w:rsid w:val="00860DAC"/>
    <w:rsid w:val="00861893"/>
    <w:rsid w:val="00863820"/>
    <w:rsid w:val="00863971"/>
    <w:rsid w:val="00863EBD"/>
    <w:rsid w:val="00866DF6"/>
    <w:rsid w:val="0086732A"/>
    <w:rsid w:val="008702B2"/>
    <w:rsid w:val="00873459"/>
    <w:rsid w:val="00873AD8"/>
    <w:rsid w:val="0087533B"/>
    <w:rsid w:val="00876805"/>
    <w:rsid w:val="00877A28"/>
    <w:rsid w:val="0088029C"/>
    <w:rsid w:val="00883943"/>
    <w:rsid w:val="00886A68"/>
    <w:rsid w:val="00886C22"/>
    <w:rsid w:val="00890FE4"/>
    <w:rsid w:val="00893637"/>
    <w:rsid w:val="0089473F"/>
    <w:rsid w:val="008957DB"/>
    <w:rsid w:val="00895AA2"/>
    <w:rsid w:val="0089683B"/>
    <w:rsid w:val="008A38C9"/>
    <w:rsid w:val="008A7584"/>
    <w:rsid w:val="008B264F"/>
    <w:rsid w:val="008B26F4"/>
    <w:rsid w:val="008B6559"/>
    <w:rsid w:val="008B7128"/>
    <w:rsid w:val="008C4E7C"/>
    <w:rsid w:val="008C6285"/>
    <w:rsid w:val="008D0169"/>
    <w:rsid w:val="008D2618"/>
    <w:rsid w:val="008D58ED"/>
    <w:rsid w:val="008D5C4B"/>
    <w:rsid w:val="008E05D9"/>
    <w:rsid w:val="008E1771"/>
    <w:rsid w:val="008E3E2B"/>
    <w:rsid w:val="008E4075"/>
    <w:rsid w:val="008E604E"/>
    <w:rsid w:val="008E7106"/>
    <w:rsid w:val="008F34E9"/>
    <w:rsid w:val="008F44F7"/>
    <w:rsid w:val="008F632F"/>
    <w:rsid w:val="0090276C"/>
    <w:rsid w:val="009037F6"/>
    <w:rsid w:val="00904989"/>
    <w:rsid w:val="00904EAE"/>
    <w:rsid w:val="00913493"/>
    <w:rsid w:val="00920CAD"/>
    <w:rsid w:val="009226B6"/>
    <w:rsid w:val="0092599A"/>
    <w:rsid w:val="00926B75"/>
    <w:rsid w:val="00930B9A"/>
    <w:rsid w:val="00930D3A"/>
    <w:rsid w:val="0093204C"/>
    <w:rsid w:val="009323E9"/>
    <w:rsid w:val="009343ED"/>
    <w:rsid w:val="0094215D"/>
    <w:rsid w:val="009457CE"/>
    <w:rsid w:val="00945FA0"/>
    <w:rsid w:val="00946650"/>
    <w:rsid w:val="0094674E"/>
    <w:rsid w:val="00946B09"/>
    <w:rsid w:val="00954C08"/>
    <w:rsid w:val="0096119D"/>
    <w:rsid w:val="00962E5C"/>
    <w:rsid w:val="009664A8"/>
    <w:rsid w:val="00971C83"/>
    <w:rsid w:val="009735E7"/>
    <w:rsid w:val="00976638"/>
    <w:rsid w:val="009774B3"/>
    <w:rsid w:val="00982F39"/>
    <w:rsid w:val="00987045"/>
    <w:rsid w:val="00992ECF"/>
    <w:rsid w:val="00994AF9"/>
    <w:rsid w:val="00995ABB"/>
    <w:rsid w:val="00995D0F"/>
    <w:rsid w:val="009969BE"/>
    <w:rsid w:val="00997668"/>
    <w:rsid w:val="00997FFE"/>
    <w:rsid w:val="009A0766"/>
    <w:rsid w:val="009A13AE"/>
    <w:rsid w:val="009A335C"/>
    <w:rsid w:val="009A6E81"/>
    <w:rsid w:val="009B4F70"/>
    <w:rsid w:val="009B5A78"/>
    <w:rsid w:val="009B6F1C"/>
    <w:rsid w:val="009C0A7B"/>
    <w:rsid w:val="009C696C"/>
    <w:rsid w:val="009C7466"/>
    <w:rsid w:val="009D1966"/>
    <w:rsid w:val="009D2D81"/>
    <w:rsid w:val="009D71CF"/>
    <w:rsid w:val="009D752B"/>
    <w:rsid w:val="009D7EAC"/>
    <w:rsid w:val="009E317A"/>
    <w:rsid w:val="009E4218"/>
    <w:rsid w:val="009E4D59"/>
    <w:rsid w:val="009E6263"/>
    <w:rsid w:val="009E747E"/>
    <w:rsid w:val="009E78AD"/>
    <w:rsid w:val="009F1121"/>
    <w:rsid w:val="009F3419"/>
    <w:rsid w:val="009F4333"/>
    <w:rsid w:val="00A02D33"/>
    <w:rsid w:val="00A02ED4"/>
    <w:rsid w:val="00A0376D"/>
    <w:rsid w:val="00A05F98"/>
    <w:rsid w:val="00A10E50"/>
    <w:rsid w:val="00A11FBE"/>
    <w:rsid w:val="00A123F0"/>
    <w:rsid w:val="00A12BE7"/>
    <w:rsid w:val="00A12DFD"/>
    <w:rsid w:val="00A14888"/>
    <w:rsid w:val="00A148D3"/>
    <w:rsid w:val="00A20EFC"/>
    <w:rsid w:val="00A2675C"/>
    <w:rsid w:val="00A34162"/>
    <w:rsid w:val="00A36C36"/>
    <w:rsid w:val="00A45182"/>
    <w:rsid w:val="00A51D77"/>
    <w:rsid w:val="00A52D15"/>
    <w:rsid w:val="00A53983"/>
    <w:rsid w:val="00A60413"/>
    <w:rsid w:val="00A62C37"/>
    <w:rsid w:val="00A66658"/>
    <w:rsid w:val="00A67473"/>
    <w:rsid w:val="00A67C78"/>
    <w:rsid w:val="00A71E93"/>
    <w:rsid w:val="00A72A86"/>
    <w:rsid w:val="00A751AE"/>
    <w:rsid w:val="00A778A8"/>
    <w:rsid w:val="00A80646"/>
    <w:rsid w:val="00A81006"/>
    <w:rsid w:val="00A821D6"/>
    <w:rsid w:val="00A82FFD"/>
    <w:rsid w:val="00A84B00"/>
    <w:rsid w:val="00A8555E"/>
    <w:rsid w:val="00A928FF"/>
    <w:rsid w:val="00A933ED"/>
    <w:rsid w:val="00A956F6"/>
    <w:rsid w:val="00A96501"/>
    <w:rsid w:val="00A9686E"/>
    <w:rsid w:val="00A9708A"/>
    <w:rsid w:val="00AA0207"/>
    <w:rsid w:val="00AA031B"/>
    <w:rsid w:val="00AA0E48"/>
    <w:rsid w:val="00AA1984"/>
    <w:rsid w:val="00AA2A34"/>
    <w:rsid w:val="00AA2AE3"/>
    <w:rsid w:val="00AA4E51"/>
    <w:rsid w:val="00AA4FEF"/>
    <w:rsid w:val="00AA69F1"/>
    <w:rsid w:val="00AA7C37"/>
    <w:rsid w:val="00AB0849"/>
    <w:rsid w:val="00AB2C2A"/>
    <w:rsid w:val="00AB2D43"/>
    <w:rsid w:val="00AB4D46"/>
    <w:rsid w:val="00AB52B9"/>
    <w:rsid w:val="00AB7F47"/>
    <w:rsid w:val="00AC4C44"/>
    <w:rsid w:val="00AC72FB"/>
    <w:rsid w:val="00AC7F6F"/>
    <w:rsid w:val="00AD0798"/>
    <w:rsid w:val="00AD1F20"/>
    <w:rsid w:val="00AD20CD"/>
    <w:rsid w:val="00AD2273"/>
    <w:rsid w:val="00AD2B5C"/>
    <w:rsid w:val="00AD4E4A"/>
    <w:rsid w:val="00AE02DD"/>
    <w:rsid w:val="00AE1C6B"/>
    <w:rsid w:val="00AE22CE"/>
    <w:rsid w:val="00AE2321"/>
    <w:rsid w:val="00AE243C"/>
    <w:rsid w:val="00AE2712"/>
    <w:rsid w:val="00AE5DB6"/>
    <w:rsid w:val="00AE6930"/>
    <w:rsid w:val="00AE6FBA"/>
    <w:rsid w:val="00AE7C98"/>
    <w:rsid w:val="00AF028B"/>
    <w:rsid w:val="00AF2C63"/>
    <w:rsid w:val="00AF43A1"/>
    <w:rsid w:val="00B00599"/>
    <w:rsid w:val="00B01FC0"/>
    <w:rsid w:val="00B03714"/>
    <w:rsid w:val="00B1036D"/>
    <w:rsid w:val="00B1567D"/>
    <w:rsid w:val="00B22711"/>
    <w:rsid w:val="00B2451A"/>
    <w:rsid w:val="00B25B7B"/>
    <w:rsid w:val="00B3067A"/>
    <w:rsid w:val="00B30905"/>
    <w:rsid w:val="00B32CE1"/>
    <w:rsid w:val="00B32FE6"/>
    <w:rsid w:val="00B4172B"/>
    <w:rsid w:val="00B428B8"/>
    <w:rsid w:val="00B47E0F"/>
    <w:rsid w:val="00B5076A"/>
    <w:rsid w:val="00B53E96"/>
    <w:rsid w:val="00B54125"/>
    <w:rsid w:val="00B6202C"/>
    <w:rsid w:val="00B62BF3"/>
    <w:rsid w:val="00B64C1C"/>
    <w:rsid w:val="00B708C0"/>
    <w:rsid w:val="00B70E39"/>
    <w:rsid w:val="00B73869"/>
    <w:rsid w:val="00B73F5C"/>
    <w:rsid w:val="00B81387"/>
    <w:rsid w:val="00B83CC2"/>
    <w:rsid w:val="00B85504"/>
    <w:rsid w:val="00B85F4B"/>
    <w:rsid w:val="00B86577"/>
    <w:rsid w:val="00B87728"/>
    <w:rsid w:val="00B921DE"/>
    <w:rsid w:val="00B97E57"/>
    <w:rsid w:val="00BA0019"/>
    <w:rsid w:val="00BA0F41"/>
    <w:rsid w:val="00BA119C"/>
    <w:rsid w:val="00BA26D4"/>
    <w:rsid w:val="00BA2F29"/>
    <w:rsid w:val="00BA3826"/>
    <w:rsid w:val="00BA3DA3"/>
    <w:rsid w:val="00BA415C"/>
    <w:rsid w:val="00BA4A7D"/>
    <w:rsid w:val="00BA57C8"/>
    <w:rsid w:val="00BA6269"/>
    <w:rsid w:val="00BB07EA"/>
    <w:rsid w:val="00BB107E"/>
    <w:rsid w:val="00BB1117"/>
    <w:rsid w:val="00BB215D"/>
    <w:rsid w:val="00BB5968"/>
    <w:rsid w:val="00BB6255"/>
    <w:rsid w:val="00BC0C29"/>
    <w:rsid w:val="00BC20DA"/>
    <w:rsid w:val="00BC3DAA"/>
    <w:rsid w:val="00BC5BEE"/>
    <w:rsid w:val="00BD12B5"/>
    <w:rsid w:val="00BD3136"/>
    <w:rsid w:val="00BD4FD8"/>
    <w:rsid w:val="00BD554E"/>
    <w:rsid w:val="00BE0183"/>
    <w:rsid w:val="00BE2B1A"/>
    <w:rsid w:val="00BE3AD1"/>
    <w:rsid w:val="00BE4078"/>
    <w:rsid w:val="00BE4B7C"/>
    <w:rsid w:val="00BE5068"/>
    <w:rsid w:val="00BE5F36"/>
    <w:rsid w:val="00BE7258"/>
    <w:rsid w:val="00BF12E0"/>
    <w:rsid w:val="00BF2E5A"/>
    <w:rsid w:val="00C04377"/>
    <w:rsid w:val="00C05003"/>
    <w:rsid w:val="00C0602C"/>
    <w:rsid w:val="00C10167"/>
    <w:rsid w:val="00C12E3B"/>
    <w:rsid w:val="00C14AAA"/>
    <w:rsid w:val="00C21DBB"/>
    <w:rsid w:val="00C257DA"/>
    <w:rsid w:val="00C26CD2"/>
    <w:rsid w:val="00C344A0"/>
    <w:rsid w:val="00C36465"/>
    <w:rsid w:val="00C41E37"/>
    <w:rsid w:val="00C446CF"/>
    <w:rsid w:val="00C45109"/>
    <w:rsid w:val="00C45CB1"/>
    <w:rsid w:val="00C47419"/>
    <w:rsid w:val="00C5094E"/>
    <w:rsid w:val="00C51A8A"/>
    <w:rsid w:val="00C533BF"/>
    <w:rsid w:val="00C5454D"/>
    <w:rsid w:val="00C57D22"/>
    <w:rsid w:val="00C6112B"/>
    <w:rsid w:val="00C6279F"/>
    <w:rsid w:val="00C6355E"/>
    <w:rsid w:val="00C636E8"/>
    <w:rsid w:val="00C66A49"/>
    <w:rsid w:val="00C717E0"/>
    <w:rsid w:val="00C72DD3"/>
    <w:rsid w:val="00C736A7"/>
    <w:rsid w:val="00C74570"/>
    <w:rsid w:val="00C74986"/>
    <w:rsid w:val="00C80706"/>
    <w:rsid w:val="00C82A7A"/>
    <w:rsid w:val="00C8572C"/>
    <w:rsid w:val="00C87ED4"/>
    <w:rsid w:val="00C90BDF"/>
    <w:rsid w:val="00C90BF9"/>
    <w:rsid w:val="00C93672"/>
    <w:rsid w:val="00C94138"/>
    <w:rsid w:val="00C95E96"/>
    <w:rsid w:val="00C9629D"/>
    <w:rsid w:val="00CA0DB1"/>
    <w:rsid w:val="00CA393D"/>
    <w:rsid w:val="00CA49F4"/>
    <w:rsid w:val="00CB08AA"/>
    <w:rsid w:val="00CB1ECD"/>
    <w:rsid w:val="00CC1066"/>
    <w:rsid w:val="00CC1235"/>
    <w:rsid w:val="00CC1C9F"/>
    <w:rsid w:val="00CC4E0F"/>
    <w:rsid w:val="00CC5040"/>
    <w:rsid w:val="00CC7109"/>
    <w:rsid w:val="00CC759C"/>
    <w:rsid w:val="00CD6EEA"/>
    <w:rsid w:val="00CD7856"/>
    <w:rsid w:val="00CE0A62"/>
    <w:rsid w:val="00CE5A41"/>
    <w:rsid w:val="00CF2569"/>
    <w:rsid w:val="00CF4B05"/>
    <w:rsid w:val="00CF70E5"/>
    <w:rsid w:val="00D02532"/>
    <w:rsid w:val="00D0277A"/>
    <w:rsid w:val="00D0551C"/>
    <w:rsid w:val="00D05B65"/>
    <w:rsid w:val="00D0709F"/>
    <w:rsid w:val="00D13E1C"/>
    <w:rsid w:val="00D160C1"/>
    <w:rsid w:val="00D20BC9"/>
    <w:rsid w:val="00D22D61"/>
    <w:rsid w:val="00D27D29"/>
    <w:rsid w:val="00D31112"/>
    <w:rsid w:val="00D34E2D"/>
    <w:rsid w:val="00D36755"/>
    <w:rsid w:val="00D37303"/>
    <w:rsid w:val="00D41C14"/>
    <w:rsid w:val="00D41C32"/>
    <w:rsid w:val="00D43C50"/>
    <w:rsid w:val="00D45A48"/>
    <w:rsid w:val="00D50C20"/>
    <w:rsid w:val="00D512ED"/>
    <w:rsid w:val="00D52C0C"/>
    <w:rsid w:val="00D56AFF"/>
    <w:rsid w:val="00D62709"/>
    <w:rsid w:val="00D62A29"/>
    <w:rsid w:val="00D65C6C"/>
    <w:rsid w:val="00D676C7"/>
    <w:rsid w:val="00D719F4"/>
    <w:rsid w:val="00D759EF"/>
    <w:rsid w:val="00D8380F"/>
    <w:rsid w:val="00D8420D"/>
    <w:rsid w:val="00D90F83"/>
    <w:rsid w:val="00D91DBF"/>
    <w:rsid w:val="00D92E62"/>
    <w:rsid w:val="00D9492E"/>
    <w:rsid w:val="00D96863"/>
    <w:rsid w:val="00DA326F"/>
    <w:rsid w:val="00DA35E1"/>
    <w:rsid w:val="00DA53EF"/>
    <w:rsid w:val="00DB38E8"/>
    <w:rsid w:val="00DB52AE"/>
    <w:rsid w:val="00DB6C2E"/>
    <w:rsid w:val="00DC5410"/>
    <w:rsid w:val="00DC7AE0"/>
    <w:rsid w:val="00DD2C4C"/>
    <w:rsid w:val="00DD31D0"/>
    <w:rsid w:val="00DD4AD3"/>
    <w:rsid w:val="00DD7BBE"/>
    <w:rsid w:val="00DD7C64"/>
    <w:rsid w:val="00DE1651"/>
    <w:rsid w:val="00DE48E0"/>
    <w:rsid w:val="00DE6CF9"/>
    <w:rsid w:val="00DE7EF8"/>
    <w:rsid w:val="00DF47F8"/>
    <w:rsid w:val="00DF50F3"/>
    <w:rsid w:val="00DF6627"/>
    <w:rsid w:val="00E04AAE"/>
    <w:rsid w:val="00E06A82"/>
    <w:rsid w:val="00E102E4"/>
    <w:rsid w:val="00E141F8"/>
    <w:rsid w:val="00E16C0A"/>
    <w:rsid w:val="00E17706"/>
    <w:rsid w:val="00E21CA6"/>
    <w:rsid w:val="00E2359F"/>
    <w:rsid w:val="00E261FF"/>
    <w:rsid w:val="00E27745"/>
    <w:rsid w:val="00E27E74"/>
    <w:rsid w:val="00E30871"/>
    <w:rsid w:val="00E30A5D"/>
    <w:rsid w:val="00E345D5"/>
    <w:rsid w:val="00E3766F"/>
    <w:rsid w:val="00E42BCE"/>
    <w:rsid w:val="00E4527E"/>
    <w:rsid w:val="00E47989"/>
    <w:rsid w:val="00E5146E"/>
    <w:rsid w:val="00E54F80"/>
    <w:rsid w:val="00E55EEA"/>
    <w:rsid w:val="00E60F6A"/>
    <w:rsid w:val="00E611AD"/>
    <w:rsid w:val="00E615C0"/>
    <w:rsid w:val="00E63298"/>
    <w:rsid w:val="00E64C73"/>
    <w:rsid w:val="00E70977"/>
    <w:rsid w:val="00E722BC"/>
    <w:rsid w:val="00E741C9"/>
    <w:rsid w:val="00E75040"/>
    <w:rsid w:val="00E75328"/>
    <w:rsid w:val="00E75A6B"/>
    <w:rsid w:val="00E80927"/>
    <w:rsid w:val="00E81AA9"/>
    <w:rsid w:val="00E824D9"/>
    <w:rsid w:val="00E8388B"/>
    <w:rsid w:val="00E924C2"/>
    <w:rsid w:val="00E9567A"/>
    <w:rsid w:val="00E97A44"/>
    <w:rsid w:val="00EA0084"/>
    <w:rsid w:val="00EA05BF"/>
    <w:rsid w:val="00EA560F"/>
    <w:rsid w:val="00EA77F5"/>
    <w:rsid w:val="00EB1E93"/>
    <w:rsid w:val="00EB51B5"/>
    <w:rsid w:val="00EB6647"/>
    <w:rsid w:val="00EB6EB7"/>
    <w:rsid w:val="00EC6E78"/>
    <w:rsid w:val="00EC7533"/>
    <w:rsid w:val="00EC773A"/>
    <w:rsid w:val="00ED2C0B"/>
    <w:rsid w:val="00ED3853"/>
    <w:rsid w:val="00ED3D03"/>
    <w:rsid w:val="00ED4ACF"/>
    <w:rsid w:val="00ED5029"/>
    <w:rsid w:val="00ED56BB"/>
    <w:rsid w:val="00ED5AD1"/>
    <w:rsid w:val="00ED7389"/>
    <w:rsid w:val="00EE19D0"/>
    <w:rsid w:val="00EE31BE"/>
    <w:rsid w:val="00EE32C7"/>
    <w:rsid w:val="00EE3CBA"/>
    <w:rsid w:val="00EE763B"/>
    <w:rsid w:val="00EF0536"/>
    <w:rsid w:val="00EF09F4"/>
    <w:rsid w:val="00EF0C12"/>
    <w:rsid w:val="00EF3FB5"/>
    <w:rsid w:val="00F0032B"/>
    <w:rsid w:val="00F01D47"/>
    <w:rsid w:val="00F02509"/>
    <w:rsid w:val="00F026E5"/>
    <w:rsid w:val="00F04CDB"/>
    <w:rsid w:val="00F12D34"/>
    <w:rsid w:val="00F14E41"/>
    <w:rsid w:val="00F17C6C"/>
    <w:rsid w:val="00F21C7B"/>
    <w:rsid w:val="00F2573D"/>
    <w:rsid w:val="00F266F3"/>
    <w:rsid w:val="00F27A66"/>
    <w:rsid w:val="00F3683C"/>
    <w:rsid w:val="00F43CE2"/>
    <w:rsid w:val="00F442AD"/>
    <w:rsid w:val="00F446F2"/>
    <w:rsid w:val="00F541DB"/>
    <w:rsid w:val="00F5591A"/>
    <w:rsid w:val="00F570B5"/>
    <w:rsid w:val="00F57B65"/>
    <w:rsid w:val="00F634F1"/>
    <w:rsid w:val="00F640CE"/>
    <w:rsid w:val="00F64CBB"/>
    <w:rsid w:val="00F67518"/>
    <w:rsid w:val="00F70BA8"/>
    <w:rsid w:val="00F71180"/>
    <w:rsid w:val="00F82E30"/>
    <w:rsid w:val="00F83963"/>
    <w:rsid w:val="00F86E8B"/>
    <w:rsid w:val="00F87209"/>
    <w:rsid w:val="00F9223F"/>
    <w:rsid w:val="00F94039"/>
    <w:rsid w:val="00F94E35"/>
    <w:rsid w:val="00F94FEB"/>
    <w:rsid w:val="00F95290"/>
    <w:rsid w:val="00F97751"/>
    <w:rsid w:val="00F977E1"/>
    <w:rsid w:val="00FA09A8"/>
    <w:rsid w:val="00FA100A"/>
    <w:rsid w:val="00FA1891"/>
    <w:rsid w:val="00FA4D69"/>
    <w:rsid w:val="00FB01C5"/>
    <w:rsid w:val="00FB1562"/>
    <w:rsid w:val="00FB27E6"/>
    <w:rsid w:val="00FB3619"/>
    <w:rsid w:val="00FB4945"/>
    <w:rsid w:val="00FB6256"/>
    <w:rsid w:val="00FC311A"/>
    <w:rsid w:val="00FC4A98"/>
    <w:rsid w:val="00FC7706"/>
    <w:rsid w:val="00FD3FE7"/>
    <w:rsid w:val="00FF08B4"/>
    <w:rsid w:val="00FF320B"/>
    <w:rsid w:val="00FF3E92"/>
    <w:rsid w:val="00FF5ED9"/>
    <w:rsid w:val="16E3525D"/>
    <w:rsid w:val="31AE7B62"/>
    <w:rsid w:val="3AC87C88"/>
    <w:rsid w:val="6140092C"/>
    <w:rsid w:val="7EBE2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D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eastAsia="zh-CN"/>
    </w:rPr>
  </w:style>
  <w:style w:type="paragraph" w:styleId="1">
    <w:name w:val="heading 1"/>
    <w:basedOn w:val="a0"/>
    <w:next w:val="a"/>
    <w:link w:val="10"/>
    <w:uiPriority w:val="2"/>
    <w:qFormat/>
    <w:pPr>
      <w:widowControl/>
      <w:numPr>
        <w:numId w:val="1"/>
      </w:numPr>
      <w:spacing w:before="240" w:after="240"/>
      <w:ind w:firstLineChars="0" w:firstLine="0"/>
      <w:jc w:val="left"/>
      <w:outlineLvl w:val="0"/>
    </w:pPr>
    <w:rPr>
      <w:rFonts w:ascii="Times New Roman" w:eastAsia="Cambria" w:hAnsi="Times New Roman"/>
      <w:b/>
      <w:kern w:val="0"/>
      <w:sz w:val="24"/>
      <w:szCs w:val="24"/>
      <w:lang w:eastAsia="en-US"/>
    </w:rPr>
  </w:style>
  <w:style w:type="paragraph" w:styleId="2">
    <w:name w:val="heading 2"/>
    <w:basedOn w:val="1"/>
    <w:next w:val="a"/>
    <w:link w:val="20"/>
    <w:uiPriority w:val="2"/>
    <w:semiHidden/>
    <w:unhideWhenUsed/>
    <w:qFormat/>
    <w:pPr>
      <w:numPr>
        <w:ilvl w:val="1"/>
      </w:numPr>
      <w:spacing w:after="200"/>
      <w:outlineLvl w:val="1"/>
    </w:pPr>
  </w:style>
  <w:style w:type="paragraph" w:styleId="3">
    <w:name w:val="heading 3"/>
    <w:basedOn w:val="a"/>
    <w:next w:val="a"/>
    <w:link w:val="30"/>
    <w:uiPriority w:val="2"/>
    <w:semiHidden/>
    <w:unhideWhenUsed/>
    <w:qFormat/>
    <w:pPr>
      <w:keepNext/>
      <w:keepLines/>
      <w:widowControl/>
      <w:numPr>
        <w:ilvl w:val="2"/>
        <w:numId w:val="1"/>
      </w:numPr>
      <w:spacing w:before="40" w:after="120"/>
      <w:jc w:val="left"/>
      <w:outlineLvl w:val="2"/>
    </w:pPr>
    <w:rPr>
      <w:rFonts w:ascii="Times New Roman" w:eastAsiaTheme="majorEastAsia" w:hAnsi="Times New Roman" w:cstheme="majorBidi"/>
      <w:b/>
      <w:kern w:val="0"/>
      <w:sz w:val="24"/>
      <w:szCs w:val="24"/>
      <w:lang w:eastAsia="en-US"/>
    </w:rPr>
  </w:style>
  <w:style w:type="paragraph" w:styleId="4">
    <w:name w:val="heading 4"/>
    <w:basedOn w:val="3"/>
    <w:next w:val="a"/>
    <w:link w:val="40"/>
    <w:uiPriority w:val="2"/>
    <w:semiHidden/>
    <w:unhideWhenUsed/>
    <w:qFormat/>
    <w:pPr>
      <w:numPr>
        <w:ilvl w:val="3"/>
      </w:numPr>
      <w:outlineLvl w:val="3"/>
    </w:pPr>
    <w:rPr>
      <w:iCs/>
    </w:rPr>
  </w:style>
  <w:style w:type="paragraph" w:styleId="5">
    <w:name w:val="heading 5"/>
    <w:basedOn w:val="4"/>
    <w:next w:val="a"/>
    <w:link w:val="50"/>
    <w:uiPriority w:val="2"/>
    <w:semiHidden/>
    <w:unhideWhenUsed/>
    <w:qFormat/>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annotation text"/>
    <w:basedOn w:val="a"/>
    <w:link w:val="a5"/>
    <w:uiPriority w:val="99"/>
    <w:unhideWhenUsed/>
    <w:rPr>
      <w:sz w:val="20"/>
      <w:szCs w:val="20"/>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Pr>
      <w:b/>
      <w:bCs/>
    </w:rPr>
  </w:style>
  <w:style w:type="table" w:styleId="ae">
    <w:name w:val="Table Grid"/>
    <w:basedOn w:val="a2"/>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1"/>
    <w:uiPriority w:val="99"/>
    <w:semiHidden/>
    <w:unhideWhenUsed/>
    <w:qFormat/>
  </w:style>
  <w:style w:type="character" w:styleId="af0">
    <w:name w:val="Hyperlink"/>
    <w:uiPriority w:val="99"/>
    <w:unhideWhenUsed/>
    <w:qFormat/>
    <w:rPr>
      <w:color w:val="0563C1"/>
      <w:u w:val="single"/>
    </w:rPr>
  </w:style>
  <w:style w:type="character" w:styleId="af1">
    <w:name w:val="annotation reference"/>
    <w:basedOn w:val="a1"/>
    <w:uiPriority w:val="99"/>
    <w:semiHidden/>
    <w:unhideWhenUsed/>
    <w:qFormat/>
    <w:rPr>
      <w:sz w:val="16"/>
      <w:szCs w:val="16"/>
    </w:rPr>
  </w:style>
  <w:style w:type="character" w:customStyle="1" w:styleId="ab">
    <w:name w:val="页眉 字符"/>
    <w:link w:val="aa"/>
    <w:uiPriority w:val="99"/>
    <w:qFormat/>
    <w:rPr>
      <w:sz w:val="18"/>
      <w:szCs w:val="18"/>
    </w:rPr>
  </w:style>
  <w:style w:type="character" w:customStyle="1" w:styleId="a9">
    <w:name w:val="页脚 字符"/>
    <w:link w:val="a8"/>
    <w:uiPriority w:val="99"/>
    <w:qFormat/>
    <w:rPr>
      <w:sz w:val="18"/>
      <w:szCs w:val="18"/>
    </w:rPr>
  </w:style>
  <w:style w:type="character" w:customStyle="1" w:styleId="11">
    <w:name w:val="未处理的提及1"/>
    <w:uiPriority w:val="99"/>
    <w:semiHidden/>
    <w:unhideWhenUsed/>
    <w:qFormat/>
    <w:rPr>
      <w:color w:val="605E5C"/>
      <w:shd w:val="clear" w:color="auto" w:fill="E1DFDD"/>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7">
    <w:name w:val="批注框文本 字符"/>
    <w:basedOn w:val="a1"/>
    <w:link w:val="a6"/>
    <w:uiPriority w:val="99"/>
    <w:semiHidden/>
    <w:qFormat/>
    <w:rPr>
      <w:kern w:val="2"/>
      <w:sz w:val="18"/>
      <w:szCs w:val="18"/>
    </w:rPr>
  </w:style>
  <w:style w:type="character" w:customStyle="1" w:styleId="a5">
    <w:name w:val="批注文字 字符"/>
    <w:basedOn w:val="a1"/>
    <w:link w:val="a4"/>
    <w:uiPriority w:val="99"/>
    <w:qFormat/>
    <w:rPr>
      <w:kern w:val="2"/>
    </w:rPr>
  </w:style>
  <w:style w:type="character" w:customStyle="1" w:styleId="ad">
    <w:name w:val="批注主题 字符"/>
    <w:basedOn w:val="a5"/>
    <w:link w:val="ac"/>
    <w:uiPriority w:val="99"/>
    <w:semiHidden/>
    <w:qFormat/>
    <w:rPr>
      <w:b/>
      <w:bCs/>
      <w:kern w:val="2"/>
    </w:rPr>
  </w:style>
  <w:style w:type="character" w:customStyle="1" w:styleId="10">
    <w:name w:val="标题 1 字符"/>
    <w:basedOn w:val="a1"/>
    <w:link w:val="1"/>
    <w:uiPriority w:val="2"/>
    <w:qFormat/>
    <w:rPr>
      <w:rFonts w:ascii="Times New Roman" w:eastAsia="Cambria" w:hAnsi="Times New Roman"/>
      <w:b/>
      <w:sz w:val="24"/>
      <w:szCs w:val="24"/>
      <w:lang w:eastAsia="en-US"/>
    </w:rPr>
  </w:style>
  <w:style w:type="character" w:customStyle="1" w:styleId="20">
    <w:name w:val="标题 2 字符"/>
    <w:basedOn w:val="a1"/>
    <w:link w:val="2"/>
    <w:uiPriority w:val="2"/>
    <w:semiHidden/>
    <w:qFormat/>
    <w:rPr>
      <w:rFonts w:ascii="Times New Roman" w:eastAsia="Cambria" w:hAnsi="Times New Roman"/>
      <w:b/>
      <w:sz w:val="24"/>
      <w:szCs w:val="24"/>
      <w:lang w:eastAsia="en-US"/>
    </w:rPr>
  </w:style>
  <w:style w:type="character" w:customStyle="1" w:styleId="30">
    <w:name w:val="标题 3 字符"/>
    <w:basedOn w:val="a1"/>
    <w:link w:val="3"/>
    <w:uiPriority w:val="2"/>
    <w:semiHidden/>
    <w:qFormat/>
    <w:rPr>
      <w:rFonts w:ascii="Times New Roman" w:eastAsiaTheme="majorEastAsia" w:hAnsi="Times New Roman" w:cstheme="majorBidi"/>
      <w:b/>
      <w:sz w:val="24"/>
      <w:szCs w:val="24"/>
      <w:lang w:eastAsia="en-US"/>
    </w:rPr>
  </w:style>
  <w:style w:type="character" w:customStyle="1" w:styleId="40">
    <w:name w:val="标题 4 字符"/>
    <w:basedOn w:val="a1"/>
    <w:link w:val="4"/>
    <w:uiPriority w:val="2"/>
    <w:semiHidden/>
    <w:qFormat/>
    <w:rPr>
      <w:rFonts w:ascii="Times New Roman" w:eastAsiaTheme="majorEastAsia" w:hAnsi="Times New Roman" w:cstheme="majorBidi"/>
      <w:b/>
      <w:iCs/>
      <w:sz w:val="24"/>
      <w:szCs w:val="24"/>
      <w:lang w:eastAsia="en-US"/>
    </w:rPr>
  </w:style>
  <w:style w:type="character" w:customStyle="1" w:styleId="50">
    <w:name w:val="标题 5 字符"/>
    <w:basedOn w:val="a1"/>
    <w:link w:val="5"/>
    <w:uiPriority w:val="2"/>
    <w:semiHidden/>
    <w:qFormat/>
    <w:rPr>
      <w:rFonts w:ascii="Times New Roman" w:eastAsiaTheme="majorEastAsia" w:hAnsi="Times New Roman" w:cstheme="majorBidi"/>
      <w:b/>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6F9D0-D34A-4114-8B17-72021464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5963</Words>
  <Characters>33991</Characters>
  <Application>Microsoft Office Word</Application>
  <DocSecurity>0</DocSecurity>
  <Lines>283</Lines>
  <Paragraphs>79</Paragraphs>
  <ScaleCrop>false</ScaleCrop>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2021-05-22T02:04:00Z</dcterms:created>
  <dcterms:modified xsi:type="dcterms:W3CDTF">2021-07-20T02:39:00Z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B32140EB2642454490079E7100DFF96B</vt:lpwstr>
  </property>
</Properties>
</file>