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E6390" w14:textId="77777777" w:rsidR="00A77B3E" w:rsidRDefault="00CB090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78E3547" w14:textId="77777777" w:rsidR="00A77B3E" w:rsidRDefault="00CB090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65830</w:t>
      </w:r>
    </w:p>
    <w:p w14:paraId="759E8D7A" w14:textId="77777777" w:rsidR="00A77B3E" w:rsidRDefault="00CB090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EA6735C" w14:textId="77777777" w:rsidR="00A77B3E" w:rsidRDefault="00A77B3E">
      <w:pPr>
        <w:spacing w:line="360" w:lineRule="auto"/>
        <w:jc w:val="both"/>
      </w:pPr>
    </w:p>
    <w:p w14:paraId="32A47BF2" w14:textId="64FFC5F0" w:rsidR="00A77B3E" w:rsidRDefault="00CB0905">
      <w:pPr>
        <w:spacing w:line="360" w:lineRule="auto"/>
        <w:jc w:val="both"/>
      </w:pPr>
      <w:r>
        <w:rPr>
          <w:rFonts w:ascii="Book Antiqua" w:eastAsia="Book Antiqua" w:hAnsi="Book Antiqua" w:cs="Book Antiqua"/>
          <w:b/>
          <w:bCs/>
          <w:color w:val="000000"/>
        </w:rPr>
        <w:t>Unusual immunohistochemical</w:t>
      </w:r>
      <w:r w:rsidR="00C55601">
        <w:rPr>
          <w:rFonts w:ascii="Book Antiqua" w:eastAsia="Book Antiqua" w:hAnsi="Book Antiqua" w:cs="Book Antiqua"/>
          <w:b/>
          <w:bCs/>
          <w:color w:val="000000"/>
        </w:rPr>
        <w:t xml:space="preserve"> </w:t>
      </w:r>
      <w:r>
        <w:rPr>
          <w:rFonts w:ascii="Book Antiqua" w:eastAsia="Book Antiqua" w:hAnsi="Book Antiqua" w:cs="Book Antiqua"/>
          <w:b/>
          <w:bCs/>
          <w:color w:val="000000"/>
        </w:rPr>
        <w:t>“null” pattern</w:t>
      </w:r>
      <w:r w:rsidR="005D1985">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5D1985">
        <w:rPr>
          <w:rFonts w:ascii="Book Antiqua" w:eastAsia="Book Antiqua" w:hAnsi="Book Antiqua" w:cs="Book Antiqua"/>
          <w:b/>
          <w:bCs/>
          <w:color w:val="000000"/>
        </w:rPr>
        <w:t xml:space="preserve"> </w:t>
      </w:r>
      <w:r>
        <w:rPr>
          <w:rFonts w:ascii="Book Antiqua" w:eastAsia="Book Antiqua" w:hAnsi="Book Antiqua" w:cs="Book Antiqua"/>
          <w:b/>
          <w:bCs/>
          <w:color w:val="000000"/>
        </w:rPr>
        <w:t>four</w:t>
      </w:r>
      <w:r w:rsidR="005D1985">
        <w:rPr>
          <w:rFonts w:ascii="Book Antiqua" w:eastAsia="Book Antiqua" w:hAnsi="Book Antiqua" w:cs="Book Antiqua"/>
          <w:b/>
          <w:bCs/>
          <w:color w:val="000000"/>
        </w:rPr>
        <w:t xml:space="preserve"> </w:t>
      </w:r>
      <w:r w:rsidR="00984A08" w:rsidRPr="00984A08">
        <w:rPr>
          <w:rFonts w:ascii="Book Antiqua" w:eastAsia="Book Antiqua" w:hAnsi="Book Antiqua" w:cs="Book Antiqua"/>
          <w:b/>
          <w:bCs/>
          <w:color w:val="000000"/>
        </w:rPr>
        <w:t>mismatch repair</w:t>
      </w:r>
      <w:r w:rsidR="00C55601">
        <w:rPr>
          <w:rFonts w:ascii="Book Antiqua" w:eastAsia="Book Antiqua" w:hAnsi="Book Antiqua" w:cs="Book Antiqua"/>
          <w:b/>
          <w:bCs/>
          <w:color w:val="000000"/>
        </w:rPr>
        <w:t xml:space="preserve"> </w:t>
      </w:r>
      <w:r>
        <w:rPr>
          <w:rFonts w:ascii="Book Antiqua" w:eastAsia="Book Antiqua" w:hAnsi="Book Antiqua" w:cs="Book Antiqua"/>
          <w:b/>
          <w:bCs/>
          <w:color w:val="000000"/>
        </w:rPr>
        <w:t>proteins </w:t>
      </w:r>
      <w:r w:rsidR="00C0650A">
        <w:rPr>
          <w:rFonts w:ascii="Book Antiqua" w:eastAsia="Book Antiqua" w:hAnsi="Book Antiqua" w:cs="Book Antiqua"/>
          <w:b/>
          <w:bCs/>
          <w:color w:val="000000"/>
        </w:rPr>
        <w:t xml:space="preserve">in </w:t>
      </w:r>
      <w:r>
        <w:rPr>
          <w:rFonts w:ascii="Book Antiqua" w:eastAsia="Book Antiqua" w:hAnsi="Book Antiqua" w:cs="Book Antiqua"/>
          <w:b/>
          <w:bCs/>
          <w:color w:val="000000"/>
        </w:rPr>
        <w:t xml:space="preserve">gastric cancer: </w:t>
      </w:r>
      <w:r w:rsidRPr="005D1985">
        <w:rPr>
          <w:rFonts w:ascii="Book Antiqua" w:eastAsia="Book Antiqua" w:hAnsi="Book Antiqua" w:cs="Book Antiqua"/>
          <w:b/>
          <w:bCs/>
          <w:caps/>
          <w:color w:val="000000"/>
        </w:rPr>
        <w:t>a</w:t>
      </w:r>
      <w:r>
        <w:rPr>
          <w:rFonts w:ascii="Book Antiqua" w:eastAsia="Book Antiqua" w:hAnsi="Book Antiqua" w:cs="Book Antiqua"/>
          <w:b/>
          <w:bCs/>
          <w:color w:val="000000"/>
        </w:rPr>
        <w:t xml:space="preserve"> case report</w:t>
      </w:r>
    </w:p>
    <w:p w14:paraId="6B33BF7D" w14:textId="77777777" w:rsidR="00A77B3E" w:rsidRDefault="00A77B3E">
      <w:pPr>
        <w:spacing w:line="360" w:lineRule="auto"/>
        <w:jc w:val="both"/>
      </w:pPr>
    </w:p>
    <w:p w14:paraId="3B4610AD" w14:textId="5BE96079" w:rsidR="00A77B3E" w:rsidRDefault="00415F94">
      <w:pPr>
        <w:spacing w:line="360" w:lineRule="auto"/>
        <w:jc w:val="both"/>
      </w:pPr>
      <w:r>
        <w:rPr>
          <w:rFonts w:ascii="Book Antiqua" w:eastAsia="Book Antiqua" w:hAnsi="Book Antiqua" w:cs="Book Antiqua"/>
          <w:color w:val="000000"/>
        </w:rPr>
        <w:t xml:space="preserve">Yue </w:t>
      </w:r>
      <w:r w:rsidR="00CB0905">
        <w:rPr>
          <w:rFonts w:ascii="Book Antiqua" w:eastAsia="Book Antiqua" w:hAnsi="Book Antiqua" w:cs="Book Antiqua"/>
          <w:color w:val="000000"/>
        </w:rPr>
        <w:t>M</w:t>
      </w:r>
      <w:r>
        <w:rPr>
          <w:rFonts w:ascii="Book Antiqua" w:eastAsia="Book Antiqua" w:hAnsi="Book Antiqua" w:cs="Book Antiqua"/>
          <w:color w:val="000000"/>
        </w:rPr>
        <w:t xml:space="preserve"> </w:t>
      </w:r>
      <w:r w:rsidR="00CB0905">
        <w:rPr>
          <w:rFonts w:ascii="Book Antiqua" w:eastAsia="Book Antiqua" w:hAnsi="Book Antiqua" w:cs="Book Antiqua"/>
          <w:i/>
          <w:iCs/>
          <w:color w:val="000000"/>
        </w:rPr>
        <w:t>et al</w:t>
      </w:r>
      <w:r w:rsidR="00CB0905">
        <w:rPr>
          <w:rFonts w:ascii="Book Antiqua" w:eastAsia="Book Antiqua" w:hAnsi="Book Antiqua" w:cs="Book Antiqua"/>
          <w:color w:val="000000"/>
        </w:rPr>
        <w:t xml:space="preserve">. Null pattern of MMR proteins </w:t>
      </w:r>
      <w:r w:rsidR="00C0650A">
        <w:rPr>
          <w:rFonts w:ascii="Book Antiqua" w:eastAsia="Book Antiqua" w:hAnsi="Book Antiqua" w:cs="Book Antiqua"/>
          <w:color w:val="000000"/>
        </w:rPr>
        <w:t xml:space="preserve">in </w:t>
      </w:r>
      <w:r w:rsidR="00CB0905">
        <w:rPr>
          <w:rFonts w:ascii="Book Antiqua" w:eastAsia="Book Antiqua" w:hAnsi="Book Antiqua" w:cs="Book Antiqua"/>
          <w:color w:val="000000"/>
        </w:rPr>
        <w:t>gastric cancer</w:t>
      </w:r>
    </w:p>
    <w:p w14:paraId="09FA96D7" w14:textId="77777777" w:rsidR="00A77B3E" w:rsidRDefault="00A77B3E">
      <w:pPr>
        <w:spacing w:line="360" w:lineRule="auto"/>
        <w:jc w:val="both"/>
      </w:pPr>
    </w:p>
    <w:p w14:paraId="6D796F59" w14:textId="77777777" w:rsidR="00A77B3E" w:rsidRDefault="00CB0905">
      <w:pPr>
        <w:spacing w:line="360" w:lineRule="auto"/>
        <w:jc w:val="both"/>
      </w:pPr>
      <w:r>
        <w:rPr>
          <w:rFonts w:ascii="Book Antiqua" w:eastAsia="Book Antiqua" w:hAnsi="Book Antiqua" w:cs="Book Antiqua"/>
          <w:color w:val="000000"/>
        </w:rPr>
        <w:t>Meng Yue, Jun-Ying Liu, Yue-Ping Liu</w:t>
      </w:r>
    </w:p>
    <w:p w14:paraId="66B1A0D7" w14:textId="77777777" w:rsidR="00A77B3E" w:rsidRDefault="00A77B3E">
      <w:pPr>
        <w:spacing w:line="360" w:lineRule="auto"/>
        <w:jc w:val="both"/>
      </w:pPr>
    </w:p>
    <w:p w14:paraId="47744D85" w14:textId="77777777" w:rsidR="00A77B3E" w:rsidRDefault="00CB0905">
      <w:pPr>
        <w:spacing w:line="360" w:lineRule="auto"/>
        <w:jc w:val="both"/>
      </w:pPr>
      <w:r>
        <w:rPr>
          <w:rFonts w:ascii="Book Antiqua" w:eastAsia="Book Antiqua" w:hAnsi="Book Antiqua" w:cs="Book Antiqua"/>
          <w:b/>
          <w:bCs/>
          <w:color w:val="000000"/>
        </w:rPr>
        <w:t xml:space="preserve">Meng Yue, Jun-Ying Liu, Yue-Ping Liu, </w:t>
      </w:r>
      <w:r>
        <w:rPr>
          <w:rFonts w:ascii="Book Antiqua" w:eastAsia="Book Antiqua" w:hAnsi="Book Antiqua" w:cs="Book Antiqua"/>
          <w:color w:val="000000"/>
        </w:rPr>
        <w:t xml:space="preserve">Department of Pathology, The Fourth Hospital of Hebei Medical University, Shijiazhuang 050011, </w:t>
      </w:r>
      <w:r w:rsidR="005B2C69">
        <w:rPr>
          <w:rFonts w:ascii="Book Antiqua" w:eastAsia="Book Antiqua" w:hAnsi="Book Antiqua" w:cs="Book Antiqua"/>
          <w:color w:val="000000"/>
        </w:rPr>
        <w:t xml:space="preserve">Hebei Province, </w:t>
      </w:r>
      <w:r>
        <w:rPr>
          <w:rFonts w:ascii="Book Antiqua" w:eastAsia="Book Antiqua" w:hAnsi="Book Antiqua" w:cs="Book Antiqua"/>
          <w:color w:val="000000"/>
        </w:rPr>
        <w:t>China</w:t>
      </w:r>
    </w:p>
    <w:p w14:paraId="53CEB2FE" w14:textId="77777777" w:rsidR="00A77B3E" w:rsidRDefault="00A77B3E">
      <w:pPr>
        <w:spacing w:line="360" w:lineRule="auto"/>
        <w:jc w:val="both"/>
      </w:pPr>
    </w:p>
    <w:p w14:paraId="3BB5A5A5" w14:textId="2326F63F" w:rsidR="00A77B3E" w:rsidRDefault="00CB0905">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Yue M collected the patient’s clinical data, performed literature review, and drafted the whole manuscript</w:t>
      </w:r>
      <w:r w:rsidR="00EB2A89">
        <w:rPr>
          <w:rFonts w:ascii="Book Antiqua" w:eastAsia="Book Antiqua" w:hAnsi="Book Antiqua" w:cs="Book Antiqua"/>
          <w:color w:val="000000"/>
        </w:rPr>
        <w:t>;</w:t>
      </w:r>
      <w:r>
        <w:rPr>
          <w:rFonts w:ascii="Book Antiqua" w:eastAsia="Book Antiqua" w:hAnsi="Book Antiqua" w:cs="Book Antiqua"/>
          <w:color w:val="000000"/>
        </w:rPr>
        <w:t xml:space="preserve"> Liu JY assisted in data collection and literature review</w:t>
      </w:r>
      <w:r w:rsidR="00EB2A89">
        <w:rPr>
          <w:rFonts w:ascii="Book Antiqua" w:eastAsia="Book Antiqua" w:hAnsi="Book Antiqua" w:cs="Book Antiqua"/>
          <w:color w:val="000000"/>
        </w:rPr>
        <w:t>;</w:t>
      </w:r>
      <w:r>
        <w:rPr>
          <w:rFonts w:ascii="Book Antiqua" w:eastAsia="Book Antiqua" w:hAnsi="Book Antiqua" w:cs="Book Antiqua"/>
          <w:color w:val="000000"/>
        </w:rPr>
        <w:t xml:space="preserve"> Liu YP helped</w:t>
      </w:r>
      <w:r w:rsidR="00C0650A">
        <w:rPr>
          <w:rFonts w:ascii="Book Antiqua" w:eastAsia="Book Antiqua" w:hAnsi="Book Antiqua" w:cs="Book Antiqua"/>
          <w:color w:val="000000"/>
        </w:rPr>
        <w:t xml:space="preserve"> revise</w:t>
      </w:r>
      <w:r>
        <w:rPr>
          <w:rFonts w:ascii="Book Antiqua" w:eastAsia="Book Antiqua" w:hAnsi="Book Antiqua" w:cs="Book Antiqua"/>
          <w:color w:val="000000"/>
        </w:rPr>
        <w:t xml:space="preserve"> the manuscript</w:t>
      </w:r>
      <w:r w:rsidR="002977F0">
        <w:rPr>
          <w:rFonts w:ascii="Book Antiqua" w:eastAsia="Book Antiqua" w:hAnsi="Book Antiqua" w:cs="Book Antiqua"/>
          <w:color w:val="000000"/>
        </w:rPr>
        <w:t>; a</w:t>
      </w:r>
      <w:r>
        <w:rPr>
          <w:rFonts w:ascii="Book Antiqua" w:eastAsia="Book Antiqua" w:hAnsi="Book Antiqua" w:cs="Book Antiqua"/>
          <w:color w:val="000000"/>
        </w:rPr>
        <w:t>ll authors read and approved the final manuscript.</w:t>
      </w:r>
    </w:p>
    <w:p w14:paraId="42A08FF2" w14:textId="77777777" w:rsidR="00A77B3E" w:rsidRDefault="00A77B3E">
      <w:pPr>
        <w:spacing w:line="360" w:lineRule="auto"/>
        <w:jc w:val="both"/>
      </w:pPr>
    </w:p>
    <w:p w14:paraId="24BF0B0F" w14:textId="77777777" w:rsidR="00A77B3E" w:rsidRDefault="00CB0905">
      <w:pPr>
        <w:spacing w:line="360" w:lineRule="auto"/>
        <w:jc w:val="both"/>
      </w:pPr>
      <w:r>
        <w:rPr>
          <w:rFonts w:ascii="Book Antiqua" w:eastAsia="Book Antiqua" w:hAnsi="Book Antiqua" w:cs="Book Antiqua"/>
          <w:b/>
          <w:bCs/>
          <w:color w:val="000000"/>
        </w:rPr>
        <w:t xml:space="preserve">Corresponding author: Yue-Ping Liu, MD, PhD, Chief Doctor, Professor, Senior Scientist, </w:t>
      </w:r>
      <w:r>
        <w:rPr>
          <w:rFonts w:ascii="Book Antiqua" w:eastAsia="Book Antiqua" w:hAnsi="Book Antiqua" w:cs="Book Antiqua"/>
          <w:color w:val="000000"/>
        </w:rPr>
        <w:t>Department of Pathology, The Fourth Hospital of Hebei Medical University, No.</w:t>
      </w:r>
      <w:r w:rsidR="005B2C69">
        <w:rPr>
          <w:rFonts w:ascii="Book Antiqua" w:eastAsia="Book Antiqua" w:hAnsi="Book Antiqua" w:cs="Book Antiqua"/>
          <w:color w:val="000000"/>
        </w:rPr>
        <w:t xml:space="preserve"> </w:t>
      </w:r>
      <w:r>
        <w:rPr>
          <w:rFonts w:ascii="Book Antiqua" w:eastAsia="Book Antiqua" w:hAnsi="Book Antiqua" w:cs="Book Antiqua"/>
          <w:color w:val="000000"/>
        </w:rPr>
        <w:t>12</w:t>
      </w:r>
      <w:r w:rsidR="005B2C69">
        <w:rPr>
          <w:rFonts w:ascii="Book Antiqua" w:eastAsia="Book Antiqua" w:hAnsi="Book Antiqua" w:cs="Book Antiqua"/>
          <w:color w:val="000000"/>
        </w:rPr>
        <w:t xml:space="preserve"> </w:t>
      </w:r>
      <w:r>
        <w:rPr>
          <w:rFonts w:ascii="Book Antiqua" w:eastAsia="Book Antiqua" w:hAnsi="Book Antiqua" w:cs="Book Antiqua"/>
          <w:color w:val="000000"/>
        </w:rPr>
        <w:t>Jiankang Road, Shijiazhuang</w:t>
      </w:r>
      <w:r w:rsidR="005B2C69">
        <w:rPr>
          <w:rFonts w:ascii="Book Antiqua" w:eastAsia="Book Antiqua" w:hAnsi="Book Antiqua" w:cs="Book Antiqua"/>
          <w:color w:val="000000"/>
        </w:rPr>
        <w:t xml:space="preserve"> </w:t>
      </w:r>
      <w:r>
        <w:rPr>
          <w:rFonts w:ascii="Book Antiqua" w:eastAsia="Book Antiqua" w:hAnsi="Book Antiqua" w:cs="Book Antiqua"/>
          <w:color w:val="000000"/>
        </w:rPr>
        <w:t xml:space="preserve">050011, </w:t>
      </w:r>
      <w:r w:rsidR="005B2C69">
        <w:rPr>
          <w:rFonts w:ascii="Book Antiqua" w:eastAsia="Book Antiqua" w:hAnsi="Book Antiqua" w:cs="Book Antiqua"/>
          <w:color w:val="000000"/>
        </w:rPr>
        <w:t xml:space="preserve">Hebei Province, </w:t>
      </w:r>
      <w:r>
        <w:rPr>
          <w:rFonts w:ascii="Book Antiqua" w:eastAsia="Book Antiqua" w:hAnsi="Book Antiqua" w:cs="Book Antiqua"/>
          <w:color w:val="000000"/>
        </w:rPr>
        <w:t>China. annama@163.com</w:t>
      </w:r>
    </w:p>
    <w:p w14:paraId="5018179D" w14:textId="77777777" w:rsidR="00A77B3E" w:rsidRDefault="00A77B3E">
      <w:pPr>
        <w:spacing w:line="360" w:lineRule="auto"/>
        <w:jc w:val="both"/>
      </w:pPr>
    </w:p>
    <w:p w14:paraId="474EC1B8" w14:textId="77777777" w:rsidR="00A77B3E" w:rsidRDefault="00CB090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17, 2021</w:t>
      </w:r>
    </w:p>
    <w:p w14:paraId="336A87F6" w14:textId="77777777" w:rsidR="00A77B3E" w:rsidRDefault="00CB090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16, 2021</w:t>
      </w:r>
    </w:p>
    <w:p w14:paraId="18EEB339" w14:textId="303C26FE" w:rsidR="00A77B3E" w:rsidRDefault="00CB0905">
      <w:pPr>
        <w:spacing w:line="360" w:lineRule="auto"/>
        <w:jc w:val="both"/>
      </w:pPr>
      <w:r>
        <w:rPr>
          <w:rFonts w:ascii="Book Antiqua" w:eastAsia="Book Antiqua" w:hAnsi="Book Antiqua" w:cs="Book Antiqua"/>
          <w:b/>
          <w:bCs/>
          <w:color w:val="000000"/>
        </w:rPr>
        <w:t xml:space="preserve">Accepted: </w:t>
      </w:r>
      <w:r w:rsidR="00635291" w:rsidRPr="00635291">
        <w:rPr>
          <w:rFonts w:ascii="Book Antiqua" w:eastAsia="Book Antiqua" w:hAnsi="Book Antiqua" w:cs="Book Antiqua"/>
          <w:color w:val="000000"/>
        </w:rPr>
        <w:t>May 19, 2021</w:t>
      </w:r>
    </w:p>
    <w:p w14:paraId="185E56CB" w14:textId="5C395E3A" w:rsidR="00A77B3E" w:rsidRDefault="00CB0905">
      <w:pPr>
        <w:spacing w:line="360" w:lineRule="auto"/>
        <w:jc w:val="both"/>
      </w:pPr>
      <w:r>
        <w:rPr>
          <w:rFonts w:ascii="Book Antiqua" w:eastAsia="Book Antiqua" w:hAnsi="Book Antiqua" w:cs="Book Antiqua"/>
          <w:b/>
          <w:bCs/>
          <w:color w:val="000000"/>
        </w:rPr>
        <w:t xml:space="preserve">Published online: </w:t>
      </w:r>
      <w:r w:rsidR="00810EFF" w:rsidRPr="00343FB9">
        <w:rPr>
          <w:rFonts w:ascii="Book Antiqua" w:hAnsi="Book Antiqua"/>
        </w:rPr>
        <w:t>Ju</w:t>
      </w:r>
      <w:r w:rsidR="009D2598">
        <w:rPr>
          <w:rFonts w:ascii="Book Antiqua" w:hAnsi="Book Antiqua" w:hint="eastAsia"/>
          <w:lang w:eastAsia="zh-CN"/>
        </w:rPr>
        <w:t>ly</w:t>
      </w:r>
      <w:r w:rsidR="00810EFF" w:rsidRPr="00343FB9">
        <w:rPr>
          <w:rFonts w:ascii="Book Antiqua" w:hAnsi="Book Antiqua"/>
        </w:rPr>
        <w:t xml:space="preserve"> 26, 2021</w:t>
      </w:r>
    </w:p>
    <w:p w14:paraId="76346F5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4A0C615" w14:textId="77777777" w:rsidR="00A77B3E" w:rsidRDefault="00CB0905">
      <w:pPr>
        <w:spacing w:line="360" w:lineRule="auto"/>
        <w:jc w:val="both"/>
      </w:pPr>
      <w:r>
        <w:rPr>
          <w:rFonts w:ascii="Book Antiqua" w:eastAsia="Book Antiqua" w:hAnsi="Book Antiqua" w:cs="Book Antiqua"/>
          <w:b/>
          <w:color w:val="000000"/>
        </w:rPr>
        <w:lastRenderedPageBreak/>
        <w:t>Abstract</w:t>
      </w:r>
    </w:p>
    <w:p w14:paraId="36DBED2B" w14:textId="77777777" w:rsidR="00A77B3E" w:rsidRDefault="00CB0905">
      <w:pPr>
        <w:spacing w:line="360" w:lineRule="auto"/>
        <w:jc w:val="both"/>
      </w:pPr>
      <w:r>
        <w:rPr>
          <w:rFonts w:ascii="Book Antiqua" w:eastAsia="Book Antiqua" w:hAnsi="Book Antiqua" w:cs="Book Antiqua"/>
          <w:color w:val="000000"/>
        </w:rPr>
        <w:t>BACKGROUND</w:t>
      </w:r>
    </w:p>
    <w:p w14:paraId="2E2666C9" w14:textId="77777777" w:rsidR="00A77B3E" w:rsidRDefault="00CB0905">
      <w:pPr>
        <w:spacing w:line="360" w:lineRule="auto"/>
        <w:jc w:val="both"/>
      </w:pPr>
      <w:r>
        <w:rPr>
          <w:rFonts w:ascii="Book Antiqua" w:eastAsia="Book Antiqua" w:hAnsi="Book Antiqua" w:cs="Book Antiqua"/>
          <w:color w:val="000000"/>
        </w:rPr>
        <w:t>Immunohistochemical (IHC) staining for mismatch repair (MMR) proteins is useful for gastric cancer treatment and prognosis. Different IHC staining patterns reflect the complex biological phenomena underlying MMR deficiency. We herein report a rare IHC staining pattern of four MMR-related proteins in gastric cancer.</w:t>
      </w:r>
    </w:p>
    <w:p w14:paraId="1241F088" w14:textId="77777777" w:rsidR="00A77B3E" w:rsidRDefault="00A77B3E">
      <w:pPr>
        <w:spacing w:line="360" w:lineRule="auto"/>
        <w:jc w:val="both"/>
      </w:pPr>
    </w:p>
    <w:p w14:paraId="06B55E23" w14:textId="77777777" w:rsidR="00A77B3E" w:rsidRDefault="00CB0905">
      <w:pPr>
        <w:spacing w:line="360" w:lineRule="auto"/>
        <w:jc w:val="both"/>
      </w:pPr>
      <w:r>
        <w:rPr>
          <w:rFonts w:ascii="Book Antiqua" w:eastAsia="Book Antiqua" w:hAnsi="Book Antiqua" w:cs="Book Antiqua"/>
          <w:color w:val="000000"/>
        </w:rPr>
        <w:t>CASE SUMMARY</w:t>
      </w:r>
    </w:p>
    <w:p w14:paraId="76E91830" w14:textId="77777777" w:rsidR="00A77B3E" w:rsidRDefault="00CB0905">
      <w:pPr>
        <w:spacing w:line="360" w:lineRule="auto"/>
        <w:jc w:val="both"/>
      </w:pPr>
      <w:r>
        <w:rPr>
          <w:rFonts w:ascii="Book Antiqua" w:eastAsia="Book Antiqua" w:hAnsi="Book Antiqua" w:cs="Book Antiqua"/>
          <w:color w:val="000000"/>
        </w:rPr>
        <w:t xml:space="preserve">A “null” IHC staining pattern of four MMR-related proteins, including MLH1, PMS2, MSH2, and MSH6, in a 67-year-old male patient with gastric cancer pT3N3aM0 revealed promoter hypermethylation of </w:t>
      </w:r>
      <w:r w:rsidRPr="0099252B">
        <w:rPr>
          <w:rFonts w:ascii="Book Antiqua" w:eastAsia="Book Antiqua" w:hAnsi="Book Antiqua" w:cs="Book Antiqua"/>
          <w:i/>
          <w:color w:val="000000"/>
        </w:rPr>
        <w:t>MLH1</w:t>
      </w:r>
      <w:r>
        <w:rPr>
          <w:rFonts w:ascii="Book Antiqua" w:eastAsia="Book Antiqua" w:hAnsi="Book Antiqua" w:cs="Book Antiqua"/>
          <w:color w:val="000000"/>
        </w:rPr>
        <w:t xml:space="preserve">. Next-generation sequencing showed that these four genes exhibited changes. One of these was the somatic mutation of the missing copy number in exon 14 of </w:t>
      </w:r>
      <w:r w:rsidRPr="0099252B">
        <w:rPr>
          <w:rFonts w:ascii="Book Antiqua" w:eastAsia="Book Antiqua" w:hAnsi="Book Antiqua" w:cs="Book Antiqua"/>
          <w:i/>
          <w:color w:val="000000"/>
        </w:rPr>
        <w:t>MSH2</w:t>
      </w:r>
      <w:r>
        <w:rPr>
          <w:rFonts w:ascii="Book Antiqua" w:eastAsia="Book Antiqua" w:hAnsi="Book Antiqua" w:cs="Book Antiqua"/>
          <w:color w:val="000000"/>
        </w:rPr>
        <w:t xml:space="preserve">. Mutation analysis using peripheral blood showed no germline mutations in these four genes. The patient had no history of personal or family tumor history. We classified this case as sporadic. The patient returned to normal after operation, and there were no signs of tumor metastasis and recurrence. After six cycles of adjuvant chemotherapy, the patient was discharged in a stable condition. The patient had a mild reaction to chemotherapy and a good prognosis. At present, 16 mo after the operation, the patient's condition is stable. </w:t>
      </w:r>
    </w:p>
    <w:p w14:paraId="6751E178" w14:textId="77777777" w:rsidR="00A77B3E" w:rsidRDefault="00A77B3E">
      <w:pPr>
        <w:spacing w:line="360" w:lineRule="auto"/>
        <w:jc w:val="both"/>
      </w:pPr>
    </w:p>
    <w:p w14:paraId="4B43B87F" w14:textId="77777777" w:rsidR="00A77B3E" w:rsidRDefault="00CB0905">
      <w:pPr>
        <w:spacing w:line="360" w:lineRule="auto"/>
        <w:jc w:val="both"/>
      </w:pPr>
      <w:r>
        <w:rPr>
          <w:rFonts w:ascii="Book Antiqua" w:eastAsia="Book Antiqua" w:hAnsi="Book Antiqua" w:cs="Book Antiqua"/>
          <w:color w:val="000000"/>
        </w:rPr>
        <w:t>CONCLUSION</w:t>
      </w:r>
    </w:p>
    <w:p w14:paraId="0009BC4E" w14:textId="28C1A522" w:rsidR="00A77B3E" w:rsidRDefault="00C0650A">
      <w:pPr>
        <w:spacing w:line="360" w:lineRule="auto"/>
        <w:jc w:val="both"/>
      </w:pPr>
      <w:r>
        <w:rPr>
          <w:rFonts w:ascii="Book Antiqua" w:eastAsia="Book Antiqua" w:hAnsi="Book Antiqua" w:cs="Book Antiqua"/>
          <w:color w:val="000000"/>
        </w:rPr>
        <w:t>A</w:t>
      </w:r>
      <w:r w:rsidR="00CB0905">
        <w:rPr>
          <w:rFonts w:ascii="Book Antiqua" w:eastAsia="Book Antiqua" w:hAnsi="Book Antiqua" w:cs="Book Antiqua"/>
          <w:color w:val="000000"/>
        </w:rPr>
        <w:t xml:space="preserve">bnormal MMR protein expression, helpful for individualized follow-up care, helped identify a sporadic case lacking familial clinical management implications. </w:t>
      </w:r>
    </w:p>
    <w:p w14:paraId="1089997C" w14:textId="77777777" w:rsidR="00A77B3E" w:rsidRDefault="00A77B3E">
      <w:pPr>
        <w:spacing w:line="360" w:lineRule="auto"/>
        <w:jc w:val="both"/>
      </w:pPr>
    </w:p>
    <w:p w14:paraId="09D1F6C7" w14:textId="77777777" w:rsidR="00A77B3E" w:rsidRDefault="00CB0905">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Gastric cancer; Mismatch repair proteins; Next-generation sequencing; Sporadic; Family management; Case report</w:t>
      </w:r>
    </w:p>
    <w:p w14:paraId="643AA327" w14:textId="77777777" w:rsidR="0020238C" w:rsidRDefault="0020238C" w:rsidP="0020238C">
      <w:pPr>
        <w:spacing w:line="360" w:lineRule="auto"/>
        <w:jc w:val="both"/>
        <w:rPr>
          <w:lang w:eastAsia="zh-CN"/>
        </w:rPr>
      </w:pPr>
    </w:p>
    <w:p w14:paraId="3891F3DF" w14:textId="77777777" w:rsidR="0020238C" w:rsidRPr="00026CB8" w:rsidRDefault="0020238C" w:rsidP="0020238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6F4F16C" w14:textId="77777777" w:rsidR="00A77B3E" w:rsidRDefault="00A77B3E">
      <w:pPr>
        <w:spacing w:line="360" w:lineRule="auto"/>
        <w:jc w:val="both"/>
      </w:pPr>
    </w:p>
    <w:p w14:paraId="38D60300" w14:textId="6281C3FE" w:rsidR="000C0B73" w:rsidRDefault="000C0B73" w:rsidP="00B01ECC">
      <w:pPr>
        <w:adjustRightInd w:val="0"/>
        <w:snapToGrid w:val="0"/>
        <w:spacing w:line="360" w:lineRule="auto"/>
        <w:rPr>
          <w:rFonts w:ascii="Book Antiqua" w:hAnsi="Book Antiqua" w:cs="Book Antiqua" w:hint="eastAsia"/>
          <w:lang w:val="pt-BR" w:eastAsia="zh-CN"/>
        </w:rPr>
      </w:pPr>
      <w:r w:rsidRPr="000C0B73">
        <w:rPr>
          <w:rFonts w:ascii="Book Antiqua" w:hAnsi="Book Antiqua" w:cs="Book Antiqua" w:hint="eastAsia"/>
          <w:b/>
          <w:color w:val="000000"/>
          <w:lang w:eastAsia="zh-CN"/>
        </w:rPr>
        <w:t xml:space="preserve">Citation: </w:t>
      </w:r>
      <w:r w:rsidR="00CB0905">
        <w:rPr>
          <w:rFonts w:ascii="Book Antiqua" w:eastAsia="Book Antiqua" w:hAnsi="Book Antiqua" w:cs="Book Antiqua"/>
          <w:color w:val="000000"/>
        </w:rPr>
        <w:t xml:space="preserve">Yue M, Liu JY, Liu YP. </w:t>
      </w:r>
      <w:r w:rsidR="001A4DA1" w:rsidRPr="001A4DA1">
        <w:rPr>
          <w:rFonts w:ascii="Book Antiqua" w:eastAsia="Book Antiqua" w:hAnsi="Book Antiqua" w:cs="Book Antiqua"/>
          <w:bCs/>
          <w:color w:val="000000"/>
        </w:rPr>
        <w:t>Unusual immunohistochemical “null” pattern of four mismatch repair proteins </w:t>
      </w:r>
      <w:r w:rsidR="00C0650A">
        <w:rPr>
          <w:rFonts w:ascii="Book Antiqua" w:eastAsia="Book Antiqua" w:hAnsi="Book Antiqua" w:cs="Book Antiqua"/>
          <w:bCs/>
          <w:color w:val="000000"/>
        </w:rPr>
        <w:t>in</w:t>
      </w:r>
      <w:r w:rsidR="00C0650A" w:rsidRPr="001A4DA1">
        <w:rPr>
          <w:rFonts w:ascii="Book Antiqua" w:eastAsia="Book Antiqua" w:hAnsi="Book Antiqua" w:cs="Book Antiqua"/>
          <w:bCs/>
          <w:color w:val="000000"/>
        </w:rPr>
        <w:t xml:space="preserve"> </w:t>
      </w:r>
      <w:r w:rsidR="001A4DA1" w:rsidRPr="001A4DA1">
        <w:rPr>
          <w:rFonts w:ascii="Book Antiqua" w:eastAsia="Book Antiqua" w:hAnsi="Book Antiqua" w:cs="Book Antiqua"/>
          <w:bCs/>
          <w:color w:val="000000"/>
        </w:rPr>
        <w:t xml:space="preserve">gastric cancer: </w:t>
      </w:r>
      <w:r w:rsidR="001A4DA1" w:rsidRPr="001A4DA1">
        <w:rPr>
          <w:rFonts w:ascii="Book Antiqua" w:eastAsia="Book Antiqua" w:hAnsi="Book Antiqua" w:cs="Book Antiqua"/>
          <w:bCs/>
          <w:caps/>
          <w:color w:val="000000"/>
        </w:rPr>
        <w:t>a</w:t>
      </w:r>
      <w:r w:rsidR="001A4DA1" w:rsidRPr="001A4DA1">
        <w:rPr>
          <w:rFonts w:ascii="Book Antiqua" w:eastAsia="Book Antiqua" w:hAnsi="Book Antiqua" w:cs="Book Antiqua"/>
          <w:bCs/>
          <w:color w:val="000000"/>
        </w:rPr>
        <w:t xml:space="preserve"> case report</w:t>
      </w:r>
      <w:r w:rsidR="00CB0905" w:rsidRPr="001A4DA1">
        <w:rPr>
          <w:rFonts w:ascii="Book Antiqua" w:eastAsia="Book Antiqua" w:hAnsi="Book Antiqua" w:cs="Book Antiqua"/>
          <w:color w:val="000000"/>
        </w:rPr>
        <w:t xml:space="preserve">. </w:t>
      </w:r>
      <w:r w:rsidR="00CB0905">
        <w:rPr>
          <w:rFonts w:ascii="Book Antiqua" w:eastAsia="Book Antiqua" w:hAnsi="Book Antiqua" w:cs="Book Antiqua"/>
          <w:i/>
          <w:iCs/>
          <w:color w:val="000000"/>
        </w:rPr>
        <w:t>World J Clin Cases</w:t>
      </w:r>
      <w:r w:rsidR="00CB0905">
        <w:rPr>
          <w:rFonts w:ascii="Book Antiqua" w:eastAsia="Book Antiqua" w:hAnsi="Book Antiqua" w:cs="Book Antiqua"/>
          <w:color w:val="000000"/>
        </w:rPr>
        <w:t xml:space="preserve"> </w:t>
      </w:r>
      <w:bookmarkStart w:id="0" w:name="_Hlk56867303"/>
      <w:bookmarkStart w:id="1" w:name="OLE_LINK263"/>
      <w:bookmarkStart w:id="2" w:name="OLE_LINK264"/>
      <w:r w:rsidR="00B01ECC" w:rsidRPr="00D2753A">
        <w:rPr>
          <w:rFonts w:ascii="Book Antiqua" w:eastAsia="Book Antiqua" w:hAnsi="Book Antiqua" w:cs="Book Antiqua"/>
          <w:lang w:val="pt-BR"/>
        </w:rPr>
        <w:t>2021; 9(</w:t>
      </w:r>
      <w:r w:rsidR="00B01ECC">
        <w:rPr>
          <w:rFonts w:ascii="Book Antiqua" w:eastAsia="Book Antiqua" w:hAnsi="Book Antiqua" w:cs="Book Antiqua"/>
          <w:lang w:val="pt-BR"/>
        </w:rPr>
        <w:t>21</w:t>
      </w:r>
      <w:r w:rsidR="00B01ECC" w:rsidRPr="00D2753A">
        <w:rPr>
          <w:rFonts w:ascii="Book Antiqua" w:eastAsia="Book Antiqua" w:hAnsi="Book Antiqua" w:cs="Book Antiqua"/>
          <w:lang w:val="pt-BR"/>
        </w:rPr>
        <w:t xml:space="preserve">): </w:t>
      </w:r>
      <w:r w:rsidR="00350E9B" w:rsidRPr="00350E9B">
        <w:rPr>
          <w:rFonts w:ascii="Book Antiqua" w:eastAsia="Book Antiqua" w:hAnsi="Book Antiqua" w:cs="Book Antiqua"/>
          <w:lang w:val="pt-BR"/>
        </w:rPr>
        <w:t>6102-</w:t>
      </w:r>
      <w:bookmarkStart w:id="3" w:name="OLE_LINK266"/>
      <w:bookmarkStart w:id="4" w:name="OLE_LINK267"/>
      <w:r w:rsidR="00350E9B" w:rsidRPr="00350E9B">
        <w:rPr>
          <w:rFonts w:ascii="Book Antiqua" w:eastAsia="Book Antiqua" w:hAnsi="Book Antiqua" w:cs="Book Antiqua"/>
          <w:lang w:val="pt-BR"/>
        </w:rPr>
        <w:t>6109</w:t>
      </w:r>
      <w:bookmarkEnd w:id="1"/>
      <w:bookmarkEnd w:id="2"/>
      <w:bookmarkEnd w:id="3"/>
      <w:bookmarkEnd w:id="4"/>
      <w:r w:rsidR="00B01ECC" w:rsidRPr="00D2753A">
        <w:rPr>
          <w:rFonts w:ascii="Book Antiqua" w:eastAsia="Book Antiqua" w:hAnsi="Book Antiqua" w:cs="Book Antiqua"/>
          <w:lang w:val="pt-BR"/>
        </w:rPr>
        <w:t xml:space="preserve"> </w:t>
      </w:r>
    </w:p>
    <w:p w14:paraId="4E2B3867" w14:textId="053DF08B" w:rsidR="000C0B73" w:rsidRDefault="00B01ECC" w:rsidP="00B01ECC">
      <w:pPr>
        <w:adjustRightInd w:val="0"/>
        <w:snapToGrid w:val="0"/>
        <w:spacing w:line="360" w:lineRule="auto"/>
        <w:rPr>
          <w:rFonts w:ascii="Book Antiqua" w:hAnsi="Book Antiqua" w:cs="Book Antiqua" w:hint="eastAsia"/>
          <w:lang w:val="pt-BR" w:eastAsia="zh-CN"/>
        </w:rPr>
      </w:pPr>
      <w:r w:rsidRPr="000C0B73">
        <w:rPr>
          <w:rFonts w:ascii="Book Antiqua" w:eastAsia="Book Antiqua" w:hAnsi="Book Antiqua" w:cs="Book Antiqua"/>
          <w:b/>
          <w:lang w:val="pt-BR"/>
        </w:rPr>
        <w:t>URL:</w:t>
      </w:r>
      <w:r w:rsidRPr="00D2753A">
        <w:rPr>
          <w:rFonts w:ascii="Book Antiqua" w:eastAsia="Book Antiqua" w:hAnsi="Book Antiqua" w:cs="Book Antiqua"/>
          <w:lang w:val="pt-BR"/>
        </w:rPr>
        <w:t xml:space="preserve"> https://www.wjgnet.com/2307-8960/full/v9/i</w:t>
      </w:r>
      <w:r>
        <w:rPr>
          <w:rFonts w:ascii="Book Antiqua" w:eastAsia="Book Antiqua" w:hAnsi="Book Antiqua" w:cs="Book Antiqua"/>
          <w:lang w:val="pt-BR"/>
        </w:rPr>
        <w:t>21</w:t>
      </w:r>
      <w:r w:rsidRPr="00D2753A">
        <w:rPr>
          <w:rFonts w:ascii="Book Antiqua" w:eastAsia="Book Antiqua" w:hAnsi="Book Antiqua" w:cs="Book Antiqua"/>
          <w:lang w:val="pt-BR"/>
        </w:rPr>
        <w:t>/</w:t>
      </w:r>
      <w:r w:rsidR="000C0B73" w:rsidRPr="00350E9B">
        <w:rPr>
          <w:rFonts w:ascii="Book Antiqua" w:eastAsia="Book Antiqua" w:hAnsi="Book Antiqua" w:cs="Book Antiqua"/>
          <w:lang w:val="pt-BR"/>
        </w:rPr>
        <w:t>6102</w:t>
      </w:r>
      <w:r w:rsidRPr="00D2753A">
        <w:rPr>
          <w:rFonts w:ascii="Book Antiqua" w:eastAsia="Book Antiqua" w:hAnsi="Book Antiqua" w:cs="Book Antiqua"/>
          <w:lang w:val="pt-BR"/>
        </w:rPr>
        <w:t>.htm</w:t>
      </w:r>
      <w:r>
        <w:rPr>
          <w:rFonts w:ascii="Book Antiqua" w:eastAsia="Book Antiqua" w:hAnsi="Book Antiqua" w:cs="Book Antiqua"/>
          <w:lang w:val="pt-BR"/>
        </w:rPr>
        <w:t xml:space="preserve"> </w:t>
      </w:r>
    </w:p>
    <w:p w14:paraId="0DDEAEAC" w14:textId="6B1FAA52" w:rsidR="00A77B3E" w:rsidRPr="00B01ECC" w:rsidRDefault="00B01ECC" w:rsidP="00B01ECC">
      <w:pPr>
        <w:adjustRightInd w:val="0"/>
        <w:snapToGrid w:val="0"/>
        <w:spacing w:line="360" w:lineRule="auto"/>
        <w:rPr>
          <w:rFonts w:ascii="Book Antiqua" w:hAnsi="Book Antiqua" w:cs="Book Antiqua"/>
          <w:lang w:val="pt-BR"/>
        </w:rPr>
      </w:pPr>
      <w:r w:rsidRPr="000C0B73">
        <w:rPr>
          <w:rFonts w:ascii="Book Antiqua" w:eastAsia="Book Antiqua" w:hAnsi="Book Antiqua" w:cs="Book Antiqua"/>
          <w:b/>
          <w:lang w:val="pt-BR"/>
        </w:rPr>
        <w:t>DOI:</w:t>
      </w:r>
      <w:r w:rsidRPr="00D2753A">
        <w:rPr>
          <w:rFonts w:ascii="Book Antiqua" w:eastAsia="Book Antiqua" w:hAnsi="Book Antiqua" w:cs="Book Antiqua"/>
          <w:lang w:val="pt-BR"/>
        </w:rPr>
        <w:t xml:space="preserve"> </w:t>
      </w:r>
      <w:bookmarkStart w:id="5" w:name="OLE_LINK265"/>
      <w:r w:rsidRPr="00D2753A">
        <w:rPr>
          <w:rFonts w:ascii="Book Antiqua" w:eastAsia="Book Antiqua" w:hAnsi="Book Antiqua" w:cs="Book Antiqua"/>
          <w:lang w:val="pt-BR"/>
        </w:rPr>
        <w:t>https://dx.doi.org/10.12998/wjcc.v9.i</w:t>
      </w:r>
      <w:r>
        <w:rPr>
          <w:rFonts w:ascii="Book Antiqua" w:eastAsia="Book Antiqua" w:hAnsi="Book Antiqua" w:cs="Book Antiqua"/>
          <w:lang w:val="pt-BR"/>
        </w:rPr>
        <w:t>21</w:t>
      </w:r>
      <w:r w:rsidRPr="00D2753A">
        <w:rPr>
          <w:rFonts w:ascii="Book Antiqua" w:eastAsia="Book Antiqua" w:hAnsi="Book Antiqua" w:cs="Book Antiqua"/>
          <w:lang w:val="pt-BR"/>
        </w:rPr>
        <w:t>.</w:t>
      </w:r>
      <w:bookmarkEnd w:id="0"/>
      <w:r w:rsidR="000C0B73" w:rsidRPr="00350E9B">
        <w:rPr>
          <w:rFonts w:ascii="Book Antiqua" w:eastAsia="Book Antiqua" w:hAnsi="Book Antiqua" w:cs="Book Antiqua"/>
          <w:lang w:val="pt-BR"/>
        </w:rPr>
        <w:t>6102</w:t>
      </w:r>
      <w:bookmarkEnd w:id="5"/>
    </w:p>
    <w:p w14:paraId="32DFB61B" w14:textId="77777777" w:rsidR="00A77B3E" w:rsidRDefault="00A77B3E">
      <w:pPr>
        <w:spacing w:line="360" w:lineRule="auto"/>
        <w:jc w:val="both"/>
      </w:pPr>
    </w:p>
    <w:p w14:paraId="4B59F76F" w14:textId="77777777" w:rsidR="00A77B3E" w:rsidRDefault="00CB0905">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A “null” immunohistochemical</w:t>
      </w:r>
      <w:r w:rsidR="00A60A9B">
        <w:rPr>
          <w:rFonts w:ascii="Book Antiqua" w:eastAsia="Book Antiqua" w:hAnsi="Book Antiqua" w:cs="Book Antiqua"/>
          <w:color w:val="000000"/>
        </w:rPr>
        <w:t xml:space="preserve"> </w:t>
      </w:r>
      <w:r>
        <w:rPr>
          <w:rFonts w:ascii="Book Antiqua" w:eastAsia="Book Antiqua" w:hAnsi="Book Antiqua" w:cs="Book Antiqua"/>
          <w:color w:val="000000"/>
        </w:rPr>
        <w:t xml:space="preserve">staining pattern of </w:t>
      </w:r>
      <w:r w:rsidR="0099252B">
        <w:rPr>
          <w:rFonts w:ascii="Book Antiqua" w:eastAsia="Book Antiqua" w:hAnsi="Book Antiqua" w:cs="Book Antiqua"/>
          <w:color w:val="000000"/>
        </w:rPr>
        <w:t xml:space="preserve">mismatch repair (MMR) </w:t>
      </w:r>
      <w:r>
        <w:rPr>
          <w:rFonts w:ascii="Book Antiqua" w:eastAsia="Book Antiqua" w:hAnsi="Book Antiqua" w:cs="Book Antiqua"/>
          <w:color w:val="000000"/>
        </w:rPr>
        <w:t>proteins was revealed, which helped identify this case as sporadic without familial clinical management implications. An in-depth understanding of the abnormal MMR expression is helpful for individualized follow-up treatment and assessment of prognosis.</w:t>
      </w:r>
    </w:p>
    <w:p w14:paraId="55763E0E" w14:textId="77777777" w:rsidR="00A77B3E" w:rsidRDefault="00A77B3E">
      <w:pPr>
        <w:spacing w:line="360" w:lineRule="auto"/>
        <w:jc w:val="both"/>
      </w:pPr>
    </w:p>
    <w:p w14:paraId="34378C08" w14:textId="77777777" w:rsidR="00A77B3E" w:rsidRDefault="00CB0905">
      <w:pPr>
        <w:spacing w:line="360" w:lineRule="auto"/>
        <w:jc w:val="both"/>
      </w:pPr>
      <w:r>
        <w:rPr>
          <w:rFonts w:ascii="Book Antiqua" w:eastAsia="Book Antiqua" w:hAnsi="Book Antiqua" w:cs="Book Antiqua"/>
          <w:b/>
          <w:caps/>
          <w:color w:val="000000"/>
          <w:u w:val="single"/>
        </w:rPr>
        <w:t>INTRODUCTION</w:t>
      </w:r>
    </w:p>
    <w:p w14:paraId="5203ECCA" w14:textId="27057E2A" w:rsidR="00A77B3E" w:rsidRDefault="00CB0905">
      <w:pPr>
        <w:spacing w:line="360" w:lineRule="auto"/>
        <w:jc w:val="both"/>
      </w:pPr>
      <w:r>
        <w:rPr>
          <w:rFonts w:ascii="Book Antiqua" w:eastAsia="Book Antiqua" w:hAnsi="Book Antiqua" w:cs="Book Antiqua"/>
          <w:color w:val="000000"/>
        </w:rPr>
        <w:t xml:space="preserve">Gastric cancer is one of the most common cancers and a major cause of cancer-related deaths worldwide. Its molecular and clinical characteristics are complicated by histological and etiological heterogeneity. Gastric adenocarcinomas are divided into four subtypes according to their molecular features: </w:t>
      </w:r>
      <w:r w:rsidR="00C0650A">
        <w:rPr>
          <w:rFonts w:ascii="Book Antiqua" w:eastAsia="Book Antiqua" w:hAnsi="Book Antiqua" w:cs="Book Antiqua"/>
          <w:color w:val="000000"/>
        </w:rPr>
        <w:t xml:space="preserve">Tumors </w:t>
      </w:r>
      <w:r>
        <w:rPr>
          <w:rFonts w:ascii="Book Antiqua" w:eastAsia="Book Antiqua" w:hAnsi="Book Antiqua" w:cs="Book Antiqua"/>
          <w:color w:val="000000"/>
        </w:rPr>
        <w:t>exhibiting chromosomal instability, microsatellite instability (MSI)-high (MSI-H), Epstein–Barr virus (EBV) positivity, and genomic stability</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MSI and molecular typing are essential for the treatment and prognosis of gastric cancer</w:t>
      </w:r>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xml:space="preserve">. </w:t>
      </w:r>
    </w:p>
    <w:p w14:paraId="7B9FF212" w14:textId="776982D6" w:rsidR="00A77B3E" w:rsidRDefault="00CB0905" w:rsidP="00D15CF5">
      <w:pPr>
        <w:spacing w:line="360" w:lineRule="auto"/>
        <w:ind w:firstLineChars="100" w:firstLine="240"/>
        <w:jc w:val="both"/>
      </w:pPr>
      <w:r>
        <w:rPr>
          <w:rFonts w:ascii="Book Antiqua" w:eastAsia="Book Antiqua" w:hAnsi="Book Antiqua" w:cs="Book Antiqua"/>
          <w:color w:val="000000"/>
        </w:rPr>
        <w:t>Maintaining the mismatch repair (MMR) pathway is vital for accurate DNA replication and genome stability. Base pair insertion or loss occurs in the microsatellite region due to mismatch repair system defects, and replication errors cause MSI</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Immunohistochemistry (IHC) testing of four representative MMR-related proteins, MLH1, PMS2, MSH2, and MSH6, can detect a specific gene and help identify patients with Lynch syndrome (LS)</w:t>
      </w:r>
      <w:r w:rsidR="00C0650A">
        <w:rPr>
          <w:rFonts w:ascii="Book Antiqua" w:eastAsia="Book Antiqua" w:hAnsi="Book Antiqua" w:cs="Book Antiqua"/>
          <w:color w:val="000000"/>
        </w:rPr>
        <w:t xml:space="preserve">, </w:t>
      </w:r>
      <w:r>
        <w:rPr>
          <w:rFonts w:ascii="Book Antiqua" w:eastAsia="Book Antiqua" w:hAnsi="Book Antiqua" w:cs="Book Antiqua"/>
          <w:color w:val="000000"/>
        </w:rPr>
        <w:t>an autosomal dominant disease caused by germline mutations in MMR-related genes</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IHC is a convenient and affordable method for MSI analysis and has </w:t>
      </w:r>
      <w:r w:rsidR="00C0650A">
        <w:rPr>
          <w:rFonts w:ascii="Book Antiqua" w:eastAsia="Book Antiqua" w:hAnsi="Book Antiqua" w:cs="Book Antiqua"/>
          <w:color w:val="000000"/>
        </w:rPr>
        <w:t xml:space="preserve">a </w:t>
      </w:r>
      <w:r>
        <w:rPr>
          <w:rFonts w:ascii="Book Antiqua" w:eastAsia="Book Antiqua" w:hAnsi="Book Antiqua" w:cs="Book Antiqua"/>
          <w:color w:val="000000"/>
        </w:rPr>
        <w:t xml:space="preserve">high sensitivity and specificity. Different IHC staining patterns reflect the complex biological phenomena underlying MMR deficiency. Therefore, it is essential to expand our understanding of abnormal IHC findings and their biological significance. </w:t>
      </w:r>
      <w:r w:rsidR="00C0650A">
        <w:rPr>
          <w:rFonts w:ascii="Book Antiqua" w:eastAsia="Book Antiqua" w:hAnsi="Book Antiqua" w:cs="Book Antiqua"/>
          <w:color w:val="000000"/>
        </w:rPr>
        <w:t xml:space="preserve">In the present case, </w:t>
      </w:r>
      <w:r>
        <w:rPr>
          <w:rFonts w:ascii="Book Antiqua" w:eastAsia="Book Antiqua" w:hAnsi="Book Antiqua" w:cs="Book Antiqua"/>
          <w:color w:val="000000"/>
        </w:rPr>
        <w:t>IHC testing of four MMR-related proteins revealed abnormal and rare protein expression with an unusual “null” pattern. These MMR-related genes exhibited changes tested by genetic analysis.</w:t>
      </w:r>
    </w:p>
    <w:p w14:paraId="4216A3EF" w14:textId="77777777" w:rsidR="00A77B3E" w:rsidRDefault="00A77B3E">
      <w:pPr>
        <w:spacing w:line="360" w:lineRule="auto"/>
        <w:jc w:val="both"/>
      </w:pPr>
    </w:p>
    <w:p w14:paraId="799BEA5A" w14:textId="77777777" w:rsidR="00A77B3E" w:rsidRDefault="00CB0905">
      <w:pPr>
        <w:spacing w:line="360" w:lineRule="auto"/>
        <w:jc w:val="both"/>
      </w:pPr>
      <w:r>
        <w:rPr>
          <w:rFonts w:ascii="Book Antiqua" w:eastAsia="Book Antiqua" w:hAnsi="Book Antiqua" w:cs="Book Antiqua"/>
          <w:b/>
          <w:caps/>
          <w:color w:val="000000"/>
          <w:u w:val="single"/>
        </w:rPr>
        <w:t>CASE PRESENTATION</w:t>
      </w:r>
    </w:p>
    <w:p w14:paraId="6D7A796D" w14:textId="77777777" w:rsidR="00A77B3E" w:rsidRDefault="00CB0905">
      <w:pPr>
        <w:spacing w:line="360" w:lineRule="auto"/>
        <w:jc w:val="both"/>
      </w:pPr>
      <w:r>
        <w:rPr>
          <w:rFonts w:ascii="Book Antiqua" w:eastAsia="Book Antiqua" w:hAnsi="Book Antiqua" w:cs="Book Antiqua"/>
          <w:b/>
          <w:i/>
          <w:color w:val="000000"/>
        </w:rPr>
        <w:t>Chief complaints</w:t>
      </w:r>
    </w:p>
    <w:p w14:paraId="0E9138D2" w14:textId="77777777" w:rsidR="00A77B3E" w:rsidRDefault="00CB0905">
      <w:pPr>
        <w:spacing w:line="360" w:lineRule="auto"/>
        <w:jc w:val="both"/>
      </w:pPr>
      <w:r>
        <w:rPr>
          <w:rFonts w:ascii="Book Antiqua" w:eastAsia="Book Antiqua" w:hAnsi="Book Antiqua" w:cs="Book Antiqua"/>
          <w:color w:val="000000"/>
        </w:rPr>
        <w:t>A 67</w:t>
      </w:r>
      <w:r w:rsidR="00663828">
        <w:rPr>
          <w:rFonts w:ascii="Book Antiqua" w:eastAsia="Book Antiqua" w:hAnsi="Book Antiqua" w:cs="Book Antiqua"/>
          <w:color w:val="000000"/>
        </w:rPr>
        <w:t>-</w:t>
      </w:r>
      <w:r>
        <w:rPr>
          <w:rFonts w:ascii="Book Antiqua" w:eastAsia="Book Antiqua" w:hAnsi="Book Antiqua" w:cs="Book Antiqua"/>
          <w:color w:val="000000"/>
        </w:rPr>
        <w:t>year-old male patient presented with upper abdominal discomfort and vomiting.</w:t>
      </w:r>
    </w:p>
    <w:p w14:paraId="743D8B41" w14:textId="77777777" w:rsidR="00A77B3E" w:rsidRDefault="00A77B3E">
      <w:pPr>
        <w:spacing w:line="360" w:lineRule="auto"/>
        <w:jc w:val="both"/>
      </w:pPr>
    </w:p>
    <w:p w14:paraId="78143AF0" w14:textId="77777777" w:rsidR="00A77B3E" w:rsidRDefault="00CB0905">
      <w:pPr>
        <w:spacing w:line="360" w:lineRule="auto"/>
        <w:jc w:val="both"/>
      </w:pPr>
      <w:r>
        <w:rPr>
          <w:rFonts w:ascii="Book Antiqua" w:eastAsia="Book Antiqua" w:hAnsi="Book Antiqua" w:cs="Book Antiqua"/>
          <w:b/>
          <w:i/>
          <w:color w:val="000000"/>
        </w:rPr>
        <w:t>History of present illness</w:t>
      </w:r>
    </w:p>
    <w:p w14:paraId="3B2612FB" w14:textId="77777777" w:rsidR="00A77B3E" w:rsidRDefault="00CB0905">
      <w:pPr>
        <w:spacing w:line="360" w:lineRule="auto"/>
        <w:jc w:val="both"/>
      </w:pPr>
      <w:r>
        <w:rPr>
          <w:rFonts w:ascii="Book Antiqua" w:eastAsia="Book Antiqua" w:hAnsi="Book Antiqua" w:cs="Book Antiqua"/>
          <w:color w:val="000000"/>
        </w:rPr>
        <w:t>The patient experienced upper abdominal discomfort and vomiting for 4 mo. These events occurred without obvious inducement.</w:t>
      </w:r>
    </w:p>
    <w:p w14:paraId="3EB30286" w14:textId="77777777" w:rsidR="00A77B3E" w:rsidRDefault="00A77B3E">
      <w:pPr>
        <w:spacing w:line="360" w:lineRule="auto"/>
        <w:jc w:val="both"/>
      </w:pPr>
    </w:p>
    <w:p w14:paraId="74749243" w14:textId="77777777" w:rsidR="00A77B3E" w:rsidRDefault="00CB0905">
      <w:pPr>
        <w:spacing w:line="360" w:lineRule="auto"/>
        <w:jc w:val="both"/>
      </w:pPr>
      <w:r>
        <w:rPr>
          <w:rFonts w:ascii="Book Antiqua" w:eastAsia="Book Antiqua" w:hAnsi="Book Antiqua" w:cs="Book Antiqua"/>
          <w:b/>
          <w:i/>
          <w:color w:val="000000"/>
        </w:rPr>
        <w:t>History of past illness</w:t>
      </w:r>
    </w:p>
    <w:p w14:paraId="371C0E66" w14:textId="77777777" w:rsidR="00A77B3E" w:rsidRDefault="00CB0905">
      <w:pPr>
        <w:spacing w:line="360" w:lineRule="auto"/>
        <w:jc w:val="both"/>
      </w:pPr>
      <w:r w:rsidRPr="00D15CF5">
        <w:rPr>
          <w:rFonts w:ascii="Book Antiqua" w:eastAsia="Book Antiqua" w:hAnsi="Book Antiqua" w:cs="Book Antiqua"/>
          <w:i/>
          <w:color w:val="000000"/>
        </w:rPr>
        <w:t>Helicobacter pylori</w:t>
      </w:r>
      <w:r>
        <w:rPr>
          <w:rFonts w:ascii="Book Antiqua" w:eastAsia="Book Antiqua" w:hAnsi="Book Antiqua" w:cs="Book Antiqua"/>
          <w:color w:val="000000"/>
        </w:rPr>
        <w:t xml:space="preserve"> infection was not observed. Left inguinal hernioplasty was performed 6 mo ago. </w:t>
      </w:r>
    </w:p>
    <w:p w14:paraId="4A6134D9" w14:textId="77777777" w:rsidR="00A77B3E" w:rsidRDefault="00A77B3E">
      <w:pPr>
        <w:spacing w:line="360" w:lineRule="auto"/>
        <w:jc w:val="both"/>
      </w:pPr>
    </w:p>
    <w:p w14:paraId="0E3541DA" w14:textId="77777777" w:rsidR="00A77B3E" w:rsidRDefault="00CB0905">
      <w:pPr>
        <w:spacing w:line="360" w:lineRule="auto"/>
        <w:jc w:val="both"/>
      </w:pPr>
      <w:r>
        <w:rPr>
          <w:rFonts w:ascii="Book Antiqua" w:eastAsia="Book Antiqua" w:hAnsi="Book Antiqua" w:cs="Book Antiqua"/>
          <w:b/>
          <w:i/>
          <w:color w:val="000000"/>
        </w:rPr>
        <w:t>Personal and family history</w:t>
      </w:r>
    </w:p>
    <w:p w14:paraId="2C2BF395" w14:textId="77777777" w:rsidR="00A77B3E" w:rsidRDefault="00CB0905">
      <w:pPr>
        <w:spacing w:line="360" w:lineRule="auto"/>
        <w:jc w:val="both"/>
      </w:pPr>
      <w:r>
        <w:rPr>
          <w:rFonts w:ascii="Book Antiqua" w:eastAsia="Book Antiqua" w:hAnsi="Book Antiqua" w:cs="Book Antiqua"/>
          <w:color w:val="000000"/>
        </w:rPr>
        <w:t>No personal or family history of tumors was noted.</w:t>
      </w:r>
    </w:p>
    <w:p w14:paraId="2D2C5520" w14:textId="77777777" w:rsidR="00A77B3E" w:rsidRDefault="00A77B3E">
      <w:pPr>
        <w:spacing w:line="360" w:lineRule="auto"/>
        <w:jc w:val="both"/>
      </w:pPr>
    </w:p>
    <w:p w14:paraId="18CA76BB" w14:textId="77777777" w:rsidR="00A77B3E" w:rsidRDefault="00CB0905">
      <w:pPr>
        <w:spacing w:line="360" w:lineRule="auto"/>
        <w:jc w:val="both"/>
      </w:pPr>
      <w:r>
        <w:rPr>
          <w:rFonts w:ascii="Book Antiqua" w:eastAsia="Book Antiqua" w:hAnsi="Book Antiqua" w:cs="Book Antiqua"/>
          <w:b/>
          <w:i/>
          <w:color w:val="000000"/>
        </w:rPr>
        <w:t>Physical examination</w:t>
      </w:r>
    </w:p>
    <w:p w14:paraId="2A39B010" w14:textId="77777777" w:rsidR="00A77B3E" w:rsidRDefault="00CB0905">
      <w:pPr>
        <w:spacing w:line="360" w:lineRule="auto"/>
        <w:jc w:val="both"/>
      </w:pPr>
      <w:r>
        <w:rPr>
          <w:rFonts w:ascii="Book Antiqua" w:eastAsia="Book Antiqua" w:hAnsi="Book Antiqua" w:cs="Book Antiqua"/>
          <w:color w:val="000000"/>
        </w:rPr>
        <w:t>No obvious abnormality.</w:t>
      </w:r>
    </w:p>
    <w:p w14:paraId="02241E46" w14:textId="77777777" w:rsidR="00A77B3E" w:rsidRDefault="00A77B3E">
      <w:pPr>
        <w:spacing w:line="360" w:lineRule="auto"/>
        <w:jc w:val="both"/>
      </w:pPr>
    </w:p>
    <w:p w14:paraId="3EAA0958" w14:textId="77777777" w:rsidR="00A77B3E" w:rsidRDefault="00CB0905">
      <w:pPr>
        <w:spacing w:line="360" w:lineRule="auto"/>
        <w:jc w:val="both"/>
      </w:pPr>
      <w:r>
        <w:rPr>
          <w:rFonts w:ascii="Book Antiqua" w:eastAsia="Book Antiqua" w:hAnsi="Book Antiqua" w:cs="Book Antiqua"/>
          <w:b/>
          <w:i/>
          <w:color w:val="000000"/>
        </w:rPr>
        <w:t>Laboratory examinations</w:t>
      </w:r>
    </w:p>
    <w:p w14:paraId="1C354B5E" w14:textId="77777777" w:rsidR="00D15CF5" w:rsidRDefault="00D15CF5" w:rsidP="00D15CF5">
      <w:pPr>
        <w:spacing w:line="360" w:lineRule="auto"/>
        <w:jc w:val="both"/>
      </w:pPr>
      <w:r>
        <w:rPr>
          <w:rFonts w:ascii="Book Antiqua" w:eastAsia="Book Antiqua" w:hAnsi="Book Antiqua" w:cs="Book Antiqua"/>
          <w:color w:val="000000"/>
        </w:rPr>
        <w:t xml:space="preserve">Paraffin-embedded blocks of gastric cancer tissues were used for pathologic diagnosis, IHC, and molecular analysis. The tumor showed an infiltrative growth pattern on gross examination (Figure 1A). Histologically, the tumor was poorly differentiated. It had a solid pattern with necrosis and was heterogeneous with glandular differentiation and prominent tumor-infiltrating lymphocytes (Figure 1B and C). The tumor cells were positive for low-molecular-weight cytokeratin (AE1/AE3, Ventana) (Figure 1D). The combined positive score (CPS) of programmed death-ligand 1 (PD-L1, 22C3, Dako) was high (Figure 1E). </w:t>
      </w:r>
      <w:r w:rsidRPr="00122EC6">
        <w:rPr>
          <w:rFonts w:ascii="Book Antiqua" w:eastAsia="Book Antiqua" w:hAnsi="Book Antiqua" w:cs="Book Antiqua"/>
          <w:i/>
          <w:color w:val="000000"/>
        </w:rPr>
        <w:t>In situ</w:t>
      </w:r>
      <w:r>
        <w:rPr>
          <w:rFonts w:ascii="Book Antiqua" w:eastAsia="Book Antiqua" w:hAnsi="Book Antiqua" w:cs="Book Antiqua"/>
          <w:color w:val="000000"/>
        </w:rPr>
        <w:t xml:space="preserve"> hybridization of EBV-encoded small RNA was negative (Figure 1F). MMR proteins, including MLH1 (M1, Ventana), PMS2 (A16-4, Ventana), MSH2 (G219-1129, Ventana), and MSH6 (SP93, Ventana), were analyzed using IHC. All four proteins were negative in the tumor cells but positive in the positive control, stromal, and inflammatory cells. IHC results coincided with those of other paraffin blocks (Figure 2). HER2 (4B5, Ventana) was 1+, and Ki-67 (30-9, Ventana) was 60%. </w:t>
      </w:r>
    </w:p>
    <w:p w14:paraId="439909D3" w14:textId="77777777" w:rsidR="00D15CF5" w:rsidRDefault="00D15CF5" w:rsidP="00D15CF5">
      <w:pPr>
        <w:spacing w:line="360" w:lineRule="auto"/>
        <w:ind w:firstLine="240"/>
        <w:jc w:val="both"/>
      </w:pPr>
      <w:r>
        <w:rPr>
          <w:rFonts w:ascii="Book Antiqua" w:eastAsia="Book Antiqua" w:hAnsi="Book Antiqua" w:cs="Book Antiqua"/>
          <w:color w:val="000000"/>
        </w:rPr>
        <w:t xml:space="preserve">Subsequently, a methylation-specific polymerase chain reaction assay of the </w:t>
      </w:r>
      <w:r w:rsidRPr="00122EC6">
        <w:rPr>
          <w:rFonts w:ascii="Book Antiqua" w:eastAsia="Book Antiqua" w:hAnsi="Book Antiqua" w:cs="Book Antiqua"/>
          <w:i/>
          <w:color w:val="000000"/>
        </w:rPr>
        <w:t>MLH1</w:t>
      </w:r>
      <w:r>
        <w:rPr>
          <w:rFonts w:ascii="Book Antiqua" w:eastAsia="Book Antiqua" w:hAnsi="Book Antiqua" w:cs="Book Antiqua"/>
          <w:color w:val="000000"/>
        </w:rPr>
        <w:t xml:space="preserve"> promoter region was performed, which revealed promoter hypermethylation of </w:t>
      </w:r>
      <w:r w:rsidRPr="00122EC6">
        <w:rPr>
          <w:rFonts w:ascii="Book Antiqua" w:eastAsia="Book Antiqua" w:hAnsi="Book Antiqua" w:cs="Book Antiqua"/>
          <w:i/>
          <w:color w:val="000000"/>
        </w:rPr>
        <w:t>MLH1</w:t>
      </w:r>
      <w:r>
        <w:rPr>
          <w:rFonts w:ascii="Book Antiqua" w:eastAsia="Book Antiqua" w:hAnsi="Book Antiqua" w:cs="Book Antiqua"/>
          <w:color w:val="000000"/>
        </w:rPr>
        <w:t xml:space="preserve">. </w:t>
      </w:r>
    </w:p>
    <w:p w14:paraId="611AB1BA" w14:textId="77777777" w:rsidR="00D15CF5" w:rsidRDefault="00D15CF5" w:rsidP="00D15CF5">
      <w:pPr>
        <w:spacing w:line="360" w:lineRule="auto"/>
        <w:ind w:firstLine="240"/>
        <w:jc w:val="both"/>
      </w:pPr>
      <w:r>
        <w:rPr>
          <w:rFonts w:ascii="Book Antiqua" w:eastAsia="Book Antiqua" w:hAnsi="Book Antiqua" w:cs="Book Antiqua"/>
          <w:color w:val="000000"/>
        </w:rPr>
        <w:t xml:space="preserve">Next-generation sequencing (NGS) of genes including </w:t>
      </w:r>
      <w:r w:rsidRPr="0044623B">
        <w:rPr>
          <w:rFonts w:ascii="Book Antiqua" w:eastAsia="Book Antiqua" w:hAnsi="Book Antiqua" w:cs="Book Antiqua"/>
          <w:i/>
          <w:color w:val="000000"/>
        </w:rPr>
        <w:t>MLH1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MSH2</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MSH6</w:t>
      </w:r>
      <w:r>
        <w:rPr>
          <w:rFonts w:ascii="Book Antiqua" w:eastAsia="Book Antiqua" w:hAnsi="Book Antiqua" w:cs="Book Antiqua"/>
          <w:color w:val="000000"/>
        </w:rPr>
        <w:t xml:space="preserve">, and PMS2 was performed. In addition, 37 genes, including gastrointestinal tumor-related genes such as </w:t>
      </w:r>
      <w:r w:rsidRPr="0044623B">
        <w:rPr>
          <w:rFonts w:ascii="Book Antiqua" w:eastAsia="Book Antiqua" w:hAnsi="Book Antiqua" w:cs="Book Antiqua"/>
          <w:i/>
          <w:color w:val="000000"/>
        </w:rPr>
        <w:t>AKT1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ATM</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BRCA1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BRCA2</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CDH1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EGFR</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ERBB2</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HRAS</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KIT</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MET</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PDGFRA</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PIK3CA</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PMS1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PTCH1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SDHB</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SDHC</w:t>
      </w:r>
      <w:r>
        <w:rPr>
          <w:rFonts w:ascii="Book Antiqua" w:eastAsia="Book Antiqua" w:hAnsi="Book Antiqua" w:cs="Book Antiqua"/>
          <w:color w:val="000000"/>
        </w:rPr>
        <w:t xml:space="preserve">, and </w:t>
      </w:r>
      <w:r w:rsidRPr="0044623B">
        <w:rPr>
          <w:rFonts w:ascii="Book Antiqua" w:eastAsia="Book Antiqua" w:hAnsi="Book Antiqua" w:cs="Book Antiqua"/>
          <w:i/>
          <w:color w:val="000000"/>
        </w:rPr>
        <w:t>SDHD</w:t>
      </w:r>
      <w:r>
        <w:rPr>
          <w:rFonts w:ascii="Book Antiqua" w:eastAsia="Book Antiqua" w:hAnsi="Book Antiqua" w:cs="Book Antiqua"/>
          <w:color w:val="000000"/>
        </w:rPr>
        <w:t xml:space="preserve">; genes related to drug metabolism toxicity such as </w:t>
      </w:r>
      <w:r w:rsidRPr="0044623B">
        <w:rPr>
          <w:rFonts w:ascii="Book Antiqua" w:eastAsia="Book Antiqua" w:hAnsi="Book Antiqua" w:cs="Book Antiqua"/>
          <w:i/>
          <w:color w:val="000000"/>
        </w:rPr>
        <w:t>CYP2D6</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DPYD</w:t>
      </w:r>
      <w:r>
        <w:rPr>
          <w:rFonts w:ascii="Book Antiqua" w:eastAsia="Book Antiqua" w:hAnsi="Book Antiqua" w:cs="Book Antiqua"/>
          <w:color w:val="000000"/>
        </w:rPr>
        <w:t xml:space="preserve">, and </w:t>
      </w:r>
      <w:r w:rsidRPr="0044623B">
        <w:rPr>
          <w:rFonts w:ascii="Book Antiqua" w:eastAsia="Book Antiqua" w:hAnsi="Book Antiqua" w:cs="Book Antiqua"/>
          <w:i/>
          <w:color w:val="000000"/>
        </w:rPr>
        <w:t>UGT1A1</w:t>
      </w:r>
      <w:r>
        <w:rPr>
          <w:rFonts w:ascii="Book Antiqua" w:eastAsia="Book Antiqua" w:hAnsi="Book Antiqua" w:cs="Book Antiqua"/>
          <w:color w:val="000000"/>
        </w:rPr>
        <w:t xml:space="preserve">; and genes related to gastrointestinal therapy, prognosis, and inheritance such as </w:t>
      </w:r>
      <w:r w:rsidRPr="0044623B">
        <w:rPr>
          <w:rFonts w:ascii="Book Antiqua" w:eastAsia="Book Antiqua" w:hAnsi="Book Antiqua" w:cs="Book Antiqua"/>
          <w:i/>
          <w:color w:val="000000"/>
        </w:rPr>
        <w:t>APC</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BLM</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BMPR1A</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CHEK2</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EPCAM</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GALNT12</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GREM1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MUTYH</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POLD1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POLE</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PTEN</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SMAD4</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STK11</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TP53</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KRAS</w:t>
      </w:r>
      <w:r>
        <w:rPr>
          <w:rFonts w:ascii="Book Antiqua" w:eastAsia="Book Antiqua" w:hAnsi="Book Antiqua" w:cs="Book Antiqua"/>
          <w:color w:val="000000"/>
        </w:rPr>
        <w:t xml:space="preserve">, </w:t>
      </w:r>
      <w:r w:rsidRPr="0044623B">
        <w:rPr>
          <w:rFonts w:ascii="Book Antiqua" w:eastAsia="Book Antiqua" w:hAnsi="Book Antiqua" w:cs="Book Antiqua"/>
          <w:i/>
          <w:color w:val="000000"/>
        </w:rPr>
        <w:t>NRAS</w:t>
      </w:r>
      <w:r>
        <w:rPr>
          <w:rFonts w:ascii="Book Antiqua" w:eastAsia="Book Antiqua" w:hAnsi="Book Antiqua" w:cs="Book Antiqua"/>
          <w:color w:val="000000"/>
        </w:rPr>
        <w:t xml:space="preserve">, and </w:t>
      </w:r>
      <w:r w:rsidRPr="0044623B">
        <w:rPr>
          <w:rFonts w:ascii="Book Antiqua" w:eastAsia="Book Antiqua" w:hAnsi="Book Antiqua" w:cs="Book Antiqua"/>
          <w:i/>
          <w:color w:val="000000"/>
        </w:rPr>
        <w:t>BRAF</w:t>
      </w:r>
      <w:r>
        <w:rPr>
          <w:rFonts w:ascii="Book Antiqua" w:eastAsia="Book Antiqua" w:hAnsi="Book Antiqua" w:cs="Book Antiqua"/>
          <w:color w:val="000000"/>
        </w:rPr>
        <w:t xml:space="preserve">, were identified. </w:t>
      </w:r>
    </w:p>
    <w:p w14:paraId="582110C0" w14:textId="6FFE8EE2" w:rsidR="00D15CF5" w:rsidRDefault="00D15CF5" w:rsidP="00D15CF5">
      <w:pPr>
        <w:spacing w:line="360" w:lineRule="auto"/>
        <w:ind w:firstLine="240"/>
        <w:jc w:val="both"/>
      </w:pPr>
      <w:r>
        <w:rPr>
          <w:rFonts w:ascii="Book Antiqua" w:eastAsia="Book Antiqua" w:hAnsi="Book Antiqua" w:cs="Book Antiqua"/>
          <w:color w:val="000000"/>
        </w:rPr>
        <w:t xml:space="preserve">NGS demonstrated that </w:t>
      </w:r>
      <w:r w:rsidRPr="00EA234B">
        <w:rPr>
          <w:rFonts w:ascii="Book Antiqua" w:eastAsia="Book Antiqua" w:hAnsi="Book Antiqua" w:cs="Book Antiqua"/>
          <w:i/>
          <w:color w:val="000000"/>
        </w:rPr>
        <w:t>MLH1</w:t>
      </w:r>
      <w:r>
        <w:rPr>
          <w:rFonts w:ascii="Book Antiqua" w:eastAsia="Book Antiqua" w:hAnsi="Book Antiqua" w:cs="Book Antiqua"/>
          <w:color w:val="000000"/>
        </w:rPr>
        <w:t xml:space="preserve">, </w:t>
      </w:r>
      <w:r w:rsidRPr="00EA234B">
        <w:rPr>
          <w:rFonts w:ascii="Book Antiqua" w:eastAsia="Book Antiqua" w:hAnsi="Book Antiqua" w:cs="Book Antiqua"/>
          <w:i/>
          <w:color w:val="000000"/>
        </w:rPr>
        <w:t>MSH2</w:t>
      </w:r>
      <w:r>
        <w:rPr>
          <w:rFonts w:ascii="Book Antiqua" w:eastAsia="Book Antiqua" w:hAnsi="Book Antiqua" w:cs="Book Antiqua"/>
          <w:color w:val="000000"/>
        </w:rPr>
        <w:t xml:space="preserve">, </w:t>
      </w:r>
      <w:r w:rsidRPr="00EA234B">
        <w:rPr>
          <w:rFonts w:ascii="Book Antiqua" w:eastAsia="Book Antiqua" w:hAnsi="Book Antiqua" w:cs="Book Antiqua"/>
          <w:i/>
          <w:color w:val="000000"/>
        </w:rPr>
        <w:t>MSH6</w:t>
      </w:r>
      <w:r>
        <w:rPr>
          <w:rFonts w:ascii="Book Antiqua" w:eastAsia="Book Antiqua" w:hAnsi="Book Antiqua" w:cs="Book Antiqua"/>
          <w:color w:val="000000"/>
        </w:rPr>
        <w:t xml:space="preserve">, and </w:t>
      </w:r>
      <w:r w:rsidRPr="00EA234B">
        <w:rPr>
          <w:rFonts w:ascii="Book Antiqua" w:eastAsia="Book Antiqua" w:hAnsi="Book Antiqua" w:cs="Book Antiqua"/>
          <w:i/>
          <w:color w:val="000000"/>
        </w:rPr>
        <w:t>PMS2</w:t>
      </w:r>
      <w:r>
        <w:rPr>
          <w:rFonts w:ascii="Book Antiqua" w:eastAsia="Book Antiqua" w:hAnsi="Book Antiqua" w:cs="Book Antiqua"/>
          <w:color w:val="000000"/>
        </w:rPr>
        <w:t xml:space="preserve"> genes exhibited changes. There was a mutation in the</w:t>
      </w:r>
      <w:r w:rsidR="00AF408A">
        <w:rPr>
          <w:rFonts w:ascii="Book Antiqua" w:eastAsia="Book Antiqua" w:hAnsi="Book Antiqua" w:cs="Book Antiqua"/>
          <w:color w:val="000000"/>
        </w:rPr>
        <w:t xml:space="preserve"> splicing</w:t>
      </w:r>
      <w:r>
        <w:rPr>
          <w:rFonts w:ascii="Book Antiqua" w:eastAsia="Book Antiqua" w:hAnsi="Book Antiqua" w:cs="Book Antiqua"/>
          <w:color w:val="000000"/>
        </w:rPr>
        <w:t xml:space="preserve"> region </w:t>
      </w:r>
      <w:r w:rsidR="00AF408A">
        <w:rPr>
          <w:rFonts w:ascii="Book Antiqua" w:eastAsia="Book Antiqua" w:hAnsi="Book Antiqua" w:cs="Book Antiqua"/>
          <w:color w:val="000000"/>
        </w:rPr>
        <w:t xml:space="preserve">of </w:t>
      </w:r>
      <w:r>
        <w:rPr>
          <w:rFonts w:ascii="Book Antiqua" w:eastAsia="Book Antiqua" w:hAnsi="Book Antiqua" w:cs="Book Antiqua"/>
          <w:color w:val="000000"/>
        </w:rPr>
        <w:t xml:space="preserve">exon 12 of </w:t>
      </w:r>
      <w:r w:rsidRPr="005B3F8D">
        <w:rPr>
          <w:rFonts w:ascii="Book Antiqua" w:eastAsia="Book Antiqua" w:hAnsi="Book Antiqua" w:cs="Book Antiqua"/>
          <w:i/>
          <w:color w:val="000000"/>
        </w:rPr>
        <w:t>MLH1</w:t>
      </w:r>
      <w:r>
        <w:rPr>
          <w:rFonts w:ascii="Book Antiqua" w:eastAsia="Book Antiqua" w:hAnsi="Book Antiqua" w:cs="Book Antiqua"/>
          <w:color w:val="000000"/>
        </w:rPr>
        <w:t xml:space="preserve"> (c.1039-13_1039-8del), a missense mutation in exon 11 of </w:t>
      </w:r>
      <w:r w:rsidRPr="005B3F8D">
        <w:rPr>
          <w:rFonts w:ascii="Book Antiqua" w:eastAsia="Book Antiqua" w:hAnsi="Book Antiqua" w:cs="Book Antiqua"/>
          <w:i/>
          <w:color w:val="000000"/>
        </w:rPr>
        <w:t>PMS2</w:t>
      </w:r>
      <w:r>
        <w:rPr>
          <w:rFonts w:ascii="Book Antiqua" w:eastAsia="Book Antiqua" w:hAnsi="Book Antiqua" w:cs="Book Antiqua"/>
          <w:color w:val="000000"/>
        </w:rPr>
        <w:t xml:space="preserve"> (c.1799T&gt;C, p.Met600Thr), a missing copy number in exon 14 of </w:t>
      </w:r>
      <w:r w:rsidRPr="00E404A9">
        <w:rPr>
          <w:rFonts w:ascii="Book Antiqua" w:eastAsia="Book Antiqua" w:hAnsi="Book Antiqua" w:cs="Book Antiqua"/>
          <w:i/>
          <w:color w:val="000000"/>
        </w:rPr>
        <w:t>MSH2</w:t>
      </w:r>
      <w:r>
        <w:rPr>
          <w:rFonts w:ascii="Book Antiqua" w:eastAsia="Book Antiqua" w:hAnsi="Book Antiqua" w:cs="Book Antiqua"/>
          <w:color w:val="000000"/>
        </w:rPr>
        <w:t xml:space="preserve"> (Figure 3), and a missense mutation in exon 4 of MSH6 (c.2693C&gt;A, p.Pro898His). This mutation of MSH2 may lead to a shift in the subsequent coding frame of MSH2, leading to the loss of protein expression. Mutation analysis using peripheral blood showed no germline mutations in these four genes. The presence of </w:t>
      </w:r>
      <w:r w:rsidR="00AF408A" w:rsidRPr="00122EC6">
        <w:rPr>
          <w:rFonts w:ascii="Book Antiqua" w:eastAsia="Book Antiqua" w:hAnsi="Book Antiqua" w:cs="Book Antiqua"/>
          <w:i/>
          <w:color w:val="000000"/>
        </w:rPr>
        <w:t>MLH</w:t>
      </w:r>
      <w:r w:rsidR="00AF408A">
        <w:rPr>
          <w:rFonts w:ascii="Book Antiqua" w:eastAsia="Book Antiqua" w:hAnsi="Book Antiqua" w:cs="Book Antiqua"/>
          <w:i/>
          <w:color w:val="000000"/>
        </w:rPr>
        <w:t>1</w:t>
      </w:r>
      <w:r w:rsidR="00AF408A">
        <w:rPr>
          <w:rFonts w:ascii="Book Antiqua" w:eastAsia="Book Antiqua" w:hAnsi="Book Antiqua" w:cs="Book Antiqua"/>
          <w:color w:val="000000"/>
        </w:rPr>
        <w:t xml:space="preserve"> </w:t>
      </w:r>
      <w:r>
        <w:rPr>
          <w:rFonts w:ascii="Book Antiqua" w:eastAsia="Book Antiqua" w:hAnsi="Book Antiqua" w:cs="Book Antiqua"/>
          <w:color w:val="000000"/>
        </w:rPr>
        <w:t xml:space="preserve">promoter methylation and mutation of </w:t>
      </w:r>
      <w:r w:rsidRPr="00122EC6">
        <w:rPr>
          <w:rFonts w:ascii="Book Antiqua" w:eastAsia="Book Antiqua" w:hAnsi="Book Antiqua" w:cs="Book Antiqua"/>
          <w:i/>
          <w:color w:val="000000"/>
        </w:rPr>
        <w:t>MSH2</w:t>
      </w:r>
      <w:r>
        <w:rPr>
          <w:rFonts w:ascii="Book Antiqua" w:eastAsia="Book Antiqua" w:hAnsi="Book Antiqua" w:cs="Book Antiqua"/>
          <w:color w:val="000000"/>
        </w:rPr>
        <w:t xml:space="preserve"> confirm</w:t>
      </w:r>
      <w:r w:rsidR="00AF408A">
        <w:rPr>
          <w:rFonts w:ascii="Book Antiqua" w:eastAsia="Book Antiqua" w:hAnsi="Book Antiqua" w:cs="Book Antiqua"/>
          <w:color w:val="000000"/>
        </w:rPr>
        <w:t>ed</w:t>
      </w:r>
      <w:r>
        <w:rPr>
          <w:rFonts w:ascii="Book Antiqua" w:eastAsia="Book Antiqua" w:hAnsi="Book Antiqua" w:cs="Book Antiqua"/>
          <w:color w:val="000000"/>
        </w:rPr>
        <w:t xml:space="preserve"> MSI-H. The patient had no personal or family tumor history, indicating that this MMR deficiency was highly likely sporadic in nature. Thus, there were no clinical management implications for his family. </w:t>
      </w:r>
    </w:p>
    <w:p w14:paraId="078C69F9" w14:textId="117B8A11" w:rsidR="00D15CF5" w:rsidRDefault="00D15CF5" w:rsidP="00D15CF5">
      <w:pPr>
        <w:spacing w:line="360" w:lineRule="auto"/>
        <w:ind w:firstLine="240"/>
        <w:jc w:val="both"/>
      </w:pPr>
      <w:r>
        <w:rPr>
          <w:rFonts w:ascii="Book Antiqua" w:eastAsia="Book Antiqua" w:hAnsi="Book Antiqua" w:cs="Book Antiqua"/>
          <w:color w:val="000000"/>
        </w:rPr>
        <w:t xml:space="preserve">The tumor showed several other mutations, including copy number amplification of the </w:t>
      </w:r>
      <w:r w:rsidRPr="000C663A">
        <w:rPr>
          <w:rFonts w:ascii="Book Antiqua" w:eastAsia="Book Antiqua" w:hAnsi="Book Antiqua" w:cs="Book Antiqua"/>
          <w:i/>
          <w:color w:val="000000"/>
        </w:rPr>
        <w:t>PIK3CA</w:t>
      </w:r>
      <w:r>
        <w:rPr>
          <w:rFonts w:ascii="Book Antiqua" w:eastAsia="Book Antiqua" w:hAnsi="Book Antiqua" w:cs="Book Antiqua"/>
          <w:color w:val="000000"/>
        </w:rPr>
        <w:t xml:space="preserve"> gene (Figure 3), possibly leading to the upregulation of </w:t>
      </w:r>
      <w:r w:rsidRPr="00CC73A7">
        <w:rPr>
          <w:rFonts w:ascii="Book Antiqua" w:eastAsia="Book Antiqua" w:hAnsi="Book Antiqua" w:cs="Book Antiqua"/>
          <w:i/>
          <w:color w:val="000000"/>
        </w:rPr>
        <w:t>PIK3CA</w:t>
      </w:r>
      <w:r>
        <w:rPr>
          <w:rFonts w:ascii="Book Antiqua" w:eastAsia="Book Antiqua" w:hAnsi="Book Antiqua" w:cs="Book Antiqua"/>
          <w:color w:val="000000"/>
        </w:rPr>
        <w:t xml:space="preserve"> expression. The </w:t>
      </w:r>
      <w:r w:rsidRPr="00B70FFB">
        <w:rPr>
          <w:rFonts w:ascii="Book Antiqua" w:eastAsia="Book Antiqua" w:hAnsi="Book Antiqua" w:cs="Book Antiqua"/>
          <w:i/>
          <w:color w:val="000000"/>
        </w:rPr>
        <w:t>PTEN</w:t>
      </w:r>
      <w:r>
        <w:rPr>
          <w:rFonts w:ascii="Book Antiqua" w:eastAsia="Book Antiqua" w:hAnsi="Book Antiqua" w:cs="Book Antiqua"/>
          <w:color w:val="000000"/>
        </w:rPr>
        <w:t xml:space="preserve"> gene had a frameshift mutation in exon 7 (c.800del, p.Lys267fs) and a nonsense mutation in exon 5 (c.388C&gt;T, p.Arg130). The exon began to shift from the amino acid </w:t>
      </w:r>
      <w:r w:rsidR="00AF408A">
        <w:rPr>
          <w:rFonts w:ascii="Book Antiqua" w:eastAsia="Book Antiqua" w:hAnsi="Book Antiqua" w:cs="Book Antiqua"/>
          <w:color w:val="000000"/>
        </w:rPr>
        <w:t>residue 267 (</w:t>
      </w:r>
      <w:r>
        <w:rPr>
          <w:rFonts w:ascii="Book Antiqua" w:eastAsia="Book Antiqua" w:hAnsi="Book Antiqua" w:cs="Book Antiqua"/>
          <w:color w:val="000000"/>
        </w:rPr>
        <w:t>lysine</w:t>
      </w:r>
      <w:r w:rsidR="00AF408A">
        <w:rPr>
          <w:rFonts w:ascii="Book Antiqua" w:eastAsia="Book Antiqua" w:hAnsi="Book Antiqua" w:cs="Book Antiqua"/>
          <w:color w:val="000000"/>
        </w:rPr>
        <w:t>)</w:t>
      </w:r>
      <w:r>
        <w:rPr>
          <w:rFonts w:ascii="Book Antiqua" w:eastAsia="Book Antiqua" w:hAnsi="Book Antiqua" w:cs="Book Antiqua"/>
          <w:color w:val="000000"/>
        </w:rPr>
        <w:t xml:space="preserve"> in exon 7. Terminators are likely to be introduced into the new reading frame. The</w:t>
      </w:r>
      <w:r w:rsidR="00AF408A">
        <w:rPr>
          <w:rFonts w:ascii="Book Antiqua" w:eastAsia="Book Antiqua" w:hAnsi="Book Antiqua" w:cs="Book Antiqua"/>
          <w:color w:val="000000"/>
        </w:rPr>
        <w:t xml:space="preserve"> </w:t>
      </w:r>
      <w:r>
        <w:rPr>
          <w:rFonts w:ascii="Book Antiqua" w:eastAsia="Book Antiqua" w:hAnsi="Book Antiqua" w:cs="Book Antiqua"/>
          <w:color w:val="000000"/>
        </w:rPr>
        <w:t xml:space="preserve">amino acid </w:t>
      </w:r>
      <w:r w:rsidR="00AF408A">
        <w:rPr>
          <w:rFonts w:ascii="Book Antiqua" w:eastAsia="Book Antiqua" w:hAnsi="Book Antiqua" w:cs="Book Antiqua"/>
          <w:color w:val="000000"/>
        </w:rPr>
        <w:t xml:space="preserve">residue 130 encoded by </w:t>
      </w:r>
      <w:r>
        <w:rPr>
          <w:rFonts w:ascii="Book Antiqua" w:eastAsia="Book Antiqua" w:hAnsi="Book Antiqua" w:cs="Book Antiqua"/>
          <w:color w:val="000000"/>
        </w:rPr>
        <w:t>exon 5 was mutated from arginine to the terminator. These two premature terminators may lead to meaningless mRNA degradation, resulting in protein loss. There was a missense mutation of p.g245s in</w:t>
      </w:r>
      <w:r w:rsidR="00AF408A">
        <w:rPr>
          <w:rFonts w:ascii="Book Antiqua" w:eastAsia="Book Antiqua" w:hAnsi="Book Antiqua" w:cs="Book Antiqua"/>
          <w:color w:val="000000"/>
        </w:rPr>
        <w:t xml:space="preserve"> exon 7 of </w:t>
      </w:r>
      <w:r>
        <w:rPr>
          <w:rFonts w:ascii="Book Antiqua" w:eastAsia="Book Antiqua" w:hAnsi="Book Antiqua" w:cs="Book Antiqua"/>
          <w:color w:val="000000"/>
        </w:rPr>
        <w:t xml:space="preserve">the </w:t>
      </w:r>
      <w:r w:rsidRPr="00122EC6">
        <w:rPr>
          <w:rFonts w:ascii="Book Antiqua" w:eastAsia="Book Antiqua" w:hAnsi="Book Antiqua" w:cs="Book Antiqua"/>
          <w:i/>
          <w:color w:val="000000"/>
        </w:rPr>
        <w:t>TP53</w:t>
      </w:r>
      <w:r>
        <w:rPr>
          <w:rFonts w:ascii="Book Antiqua" w:eastAsia="Book Antiqua" w:hAnsi="Book Antiqua" w:cs="Book Antiqua"/>
          <w:color w:val="000000"/>
        </w:rPr>
        <w:t xml:space="preserve"> gene</w:t>
      </w:r>
      <w:r w:rsidR="00AF408A">
        <w:rPr>
          <w:rFonts w:ascii="Book Antiqua" w:eastAsia="Book Antiqua" w:hAnsi="Book Antiqua" w:cs="Book Antiqua"/>
          <w:color w:val="000000"/>
        </w:rPr>
        <w:t xml:space="preserve"> </w:t>
      </w:r>
      <w:r>
        <w:rPr>
          <w:rFonts w:ascii="Book Antiqua" w:eastAsia="Book Antiqua" w:hAnsi="Book Antiqua" w:cs="Book Antiqua"/>
          <w:color w:val="000000"/>
        </w:rPr>
        <w:t xml:space="preserve">and mutations in the </w:t>
      </w:r>
      <w:r w:rsidR="00AF408A">
        <w:rPr>
          <w:rFonts w:ascii="Book Antiqua" w:eastAsia="Book Antiqua" w:hAnsi="Book Antiqua" w:cs="Book Antiqua"/>
          <w:color w:val="000000"/>
        </w:rPr>
        <w:t xml:space="preserve">splicing </w:t>
      </w:r>
      <w:r>
        <w:rPr>
          <w:rFonts w:ascii="Book Antiqua" w:eastAsia="Book Antiqua" w:hAnsi="Book Antiqua" w:cs="Book Antiqua"/>
          <w:color w:val="000000"/>
        </w:rPr>
        <w:t xml:space="preserve">region of </w:t>
      </w:r>
      <w:r w:rsidR="00AF408A">
        <w:rPr>
          <w:rFonts w:ascii="Book Antiqua" w:eastAsia="Book Antiqua" w:hAnsi="Book Antiqua" w:cs="Book Antiqua"/>
          <w:color w:val="000000"/>
        </w:rPr>
        <w:t xml:space="preserve">exon 6 of </w:t>
      </w:r>
      <w:r>
        <w:rPr>
          <w:rFonts w:ascii="Book Antiqua" w:eastAsia="Book Antiqua" w:hAnsi="Book Antiqua" w:cs="Book Antiqua"/>
          <w:color w:val="000000"/>
        </w:rPr>
        <w:t xml:space="preserve">the </w:t>
      </w:r>
      <w:r w:rsidRPr="00E067FA">
        <w:rPr>
          <w:rFonts w:ascii="Book Antiqua" w:eastAsia="Book Antiqua" w:hAnsi="Book Antiqua" w:cs="Book Antiqua"/>
          <w:i/>
          <w:color w:val="000000"/>
        </w:rPr>
        <w:t>ATM</w:t>
      </w:r>
      <w:r>
        <w:rPr>
          <w:rFonts w:ascii="Book Antiqua" w:eastAsia="Book Antiqua" w:hAnsi="Book Antiqua" w:cs="Book Antiqua"/>
          <w:color w:val="000000"/>
        </w:rPr>
        <w:t xml:space="preserve"> gene</w:t>
      </w:r>
      <w:r w:rsidR="00AF408A">
        <w:rPr>
          <w:rFonts w:ascii="Book Antiqua" w:eastAsia="Book Antiqua" w:hAnsi="Book Antiqua" w:cs="Book Antiqua"/>
          <w:color w:val="000000"/>
        </w:rPr>
        <w:t xml:space="preserve"> </w:t>
      </w:r>
      <w:r>
        <w:rPr>
          <w:rFonts w:ascii="Book Antiqua" w:eastAsia="Book Antiqua" w:hAnsi="Book Antiqua" w:cs="Book Antiqua"/>
          <w:color w:val="000000"/>
        </w:rPr>
        <w:t>(c.497-5_497-4del) and</w:t>
      </w:r>
      <w:r w:rsidR="00AF408A" w:rsidRPr="00AF408A">
        <w:rPr>
          <w:rFonts w:ascii="Book Antiqua" w:eastAsia="Book Antiqua" w:hAnsi="Book Antiqua" w:cs="Book Antiqua"/>
          <w:color w:val="000000"/>
        </w:rPr>
        <w:t xml:space="preserve"> </w:t>
      </w:r>
      <w:r w:rsidR="00AF408A">
        <w:rPr>
          <w:rFonts w:ascii="Book Antiqua" w:eastAsia="Book Antiqua" w:hAnsi="Book Antiqua" w:cs="Book Antiqua"/>
          <w:color w:val="000000"/>
        </w:rPr>
        <w:t>exon 12 of</w:t>
      </w:r>
      <w:r>
        <w:rPr>
          <w:rFonts w:ascii="Book Antiqua" w:eastAsia="Book Antiqua" w:hAnsi="Book Antiqua" w:cs="Book Antiqua"/>
          <w:color w:val="000000"/>
        </w:rPr>
        <w:t xml:space="preserve"> </w:t>
      </w:r>
      <w:r w:rsidR="00AF408A">
        <w:rPr>
          <w:rFonts w:ascii="Book Antiqua" w:eastAsia="Book Antiqua" w:hAnsi="Book Antiqua" w:cs="Book Antiqua"/>
          <w:color w:val="000000"/>
        </w:rPr>
        <w:t xml:space="preserve">the </w:t>
      </w:r>
      <w:r w:rsidRPr="00E067FA">
        <w:rPr>
          <w:rFonts w:ascii="Book Antiqua" w:eastAsia="Book Antiqua" w:hAnsi="Book Antiqua" w:cs="Book Antiqua"/>
          <w:i/>
          <w:color w:val="000000"/>
        </w:rPr>
        <w:t xml:space="preserve">MET </w:t>
      </w:r>
      <w:r>
        <w:rPr>
          <w:rFonts w:ascii="Book Antiqua" w:eastAsia="Book Antiqua" w:hAnsi="Book Antiqua" w:cs="Book Antiqua"/>
          <w:color w:val="000000"/>
        </w:rPr>
        <w:t>gene</w:t>
      </w:r>
      <w:r w:rsidR="00AF408A">
        <w:rPr>
          <w:rFonts w:ascii="Book Antiqua" w:eastAsia="Book Antiqua" w:hAnsi="Book Antiqua" w:cs="Book Antiqua"/>
          <w:color w:val="000000"/>
        </w:rPr>
        <w:t xml:space="preserve"> </w:t>
      </w:r>
      <w:r>
        <w:rPr>
          <w:rFonts w:ascii="Book Antiqua" w:eastAsia="Book Antiqua" w:hAnsi="Book Antiqua" w:cs="Book Antiqua"/>
          <w:color w:val="000000"/>
        </w:rPr>
        <w:t xml:space="preserve">(c. 2584-13_2584-9del). </w:t>
      </w:r>
    </w:p>
    <w:p w14:paraId="30CA2F3A" w14:textId="77777777" w:rsidR="00A77B3E" w:rsidRDefault="00A77B3E">
      <w:pPr>
        <w:spacing w:line="360" w:lineRule="auto"/>
        <w:jc w:val="both"/>
      </w:pPr>
    </w:p>
    <w:p w14:paraId="57829FA2" w14:textId="77777777" w:rsidR="00A77B3E" w:rsidRDefault="00CB0905">
      <w:pPr>
        <w:spacing w:line="360" w:lineRule="auto"/>
        <w:jc w:val="both"/>
      </w:pPr>
      <w:r>
        <w:rPr>
          <w:rFonts w:ascii="Book Antiqua" w:eastAsia="Book Antiqua" w:hAnsi="Book Antiqua" w:cs="Book Antiqua"/>
          <w:b/>
          <w:i/>
          <w:color w:val="000000"/>
        </w:rPr>
        <w:t>Imaging examinations</w:t>
      </w:r>
    </w:p>
    <w:p w14:paraId="4932E257" w14:textId="4B6C6686" w:rsidR="00A77B3E" w:rsidRDefault="00CB0905">
      <w:pPr>
        <w:spacing w:line="360" w:lineRule="auto"/>
        <w:jc w:val="both"/>
      </w:pPr>
      <w:r>
        <w:rPr>
          <w:rFonts w:ascii="Book Antiqua" w:eastAsia="Book Antiqua" w:hAnsi="Book Antiqua" w:cs="Book Antiqua"/>
          <w:color w:val="000000"/>
        </w:rPr>
        <w:t>Computed tomography</w:t>
      </w:r>
      <w:r w:rsidR="001E266F">
        <w:rPr>
          <w:rFonts w:ascii="Book Antiqua" w:eastAsia="Book Antiqua" w:hAnsi="Book Antiqua" w:cs="Book Antiqua"/>
          <w:color w:val="000000"/>
        </w:rPr>
        <w:t xml:space="preserve"> </w:t>
      </w:r>
      <w:r>
        <w:rPr>
          <w:rFonts w:ascii="Book Antiqua" w:eastAsia="Book Antiqua" w:hAnsi="Book Antiqua" w:cs="Book Antiqua"/>
          <w:color w:val="000000"/>
        </w:rPr>
        <w:t xml:space="preserve">showed space-occupying lesions in the gastric cardia and fundus and multiple </w:t>
      </w:r>
      <w:r w:rsidR="00AF408A">
        <w:rPr>
          <w:rFonts w:ascii="Book Antiqua" w:eastAsia="Book Antiqua" w:hAnsi="Book Antiqua" w:cs="Book Antiqua"/>
          <w:color w:val="000000"/>
        </w:rPr>
        <w:t xml:space="preserve">slightly enlarged </w:t>
      </w:r>
      <w:r>
        <w:rPr>
          <w:rFonts w:ascii="Book Antiqua" w:eastAsia="Book Antiqua" w:hAnsi="Book Antiqua" w:cs="Book Antiqua"/>
          <w:color w:val="000000"/>
        </w:rPr>
        <w:t>peripheral</w:t>
      </w:r>
      <w:r w:rsidR="00AF408A">
        <w:rPr>
          <w:rFonts w:ascii="Book Antiqua" w:eastAsia="Book Antiqua" w:hAnsi="Book Antiqua" w:cs="Book Antiqua"/>
          <w:color w:val="000000"/>
        </w:rPr>
        <w:t xml:space="preserve"> lymph nodes</w:t>
      </w:r>
      <w:r>
        <w:rPr>
          <w:rFonts w:ascii="Book Antiqua" w:eastAsia="Book Antiqua" w:hAnsi="Book Antiqua" w:cs="Book Antiqua"/>
          <w:color w:val="000000"/>
        </w:rPr>
        <w:t xml:space="preserve"> around the stomach.</w:t>
      </w:r>
    </w:p>
    <w:p w14:paraId="4022114D" w14:textId="77777777" w:rsidR="00A77B3E" w:rsidRDefault="00A77B3E">
      <w:pPr>
        <w:spacing w:line="360" w:lineRule="auto"/>
        <w:jc w:val="both"/>
      </w:pPr>
    </w:p>
    <w:p w14:paraId="75FE8DD0" w14:textId="77777777" w:rsidR="00A77B3E" w:rsidRDefault="00CB0905">
      <w:pPr>
        <w:spacing w:line="360" w:lineRule="auto"/>
        <w:jc w:val="both"/>
      </w:pPr>
      <w:r>
        <w:rPr>
          <w:rFonts w:ascii="Book Antiqua" w:eastAsia="Book Antiqua" w:hAnsi="Book Antiqua" w:cs="Book Antiqua"/>
          <w:b/>
          <w:bCs/>
          <w:i/>
          <w:iCs/>
          <w:color w:val="000000"/>
        </w:rPr>
        <w:t>Endoscopy</w:t>
      </w:r>
    </w:p>
    <w:p w14:paraId="41935268" w14:textId="18A5ECF0" w:rsidR="00A77B3E" w:rsidRDefault="00CB0905">
      <w:pPr>
        <w:spacing w:line="360" w:lineRule="auto"/>
        <w:jc w:val="both"/>
      </w:pPr>
      <w:r>
        <w:rPr>
          <w:rFonts w:ascii="Book Antiqua" w:eastAsia="Book Antiqua" w:hAnsi="Book Antiqua" w:cs="Book Antiqua"/>
          <w:color w:val="000000"/>
        </w:rPr>
        <w:t xml:space="preserve">Gastroscopy revealed a large mass </w:t>
      </w:r>
      <w:r w:rsidR="00C0650A">
        <w:rPr>
          <w:rFonts w:ascii="Book Antiqua" w:eastAsia="Book Antiqua" w:hAnsi="Book Antiqua" w:cs="Book Antiqua"/>
          <w:color w:val="000000"/>
        </w:rPr>
        <w:t xml:space="preserve">in </w:t>
      </w:r>
      <w:r>
        <w:rPr>
          <w:rFonts w:ascii="Book Antiqua" w:eastAsia="Book Antiqua" w:hAnsi="Book Antiqua" w:cs="Book Antiqua"/>
          <w:color w:val="000000"/>
        </w:rPr>
        <w:t xml:space="preserve">the gastric body. The endoscope could not pass through the gastric body. </w:t>
      </w:r>
    </w:p>
    <w:p w14:paraId="4BCD44B6" w14:textId="77777777" w:rsidR="00A77B3E" w:rsidRDefault="00A77B3E">
      <w:pPr>
        <w:spacing w:line="360" w:lineRule="auto"/>
        <w:jc w:val="both"/>
      </w:pPr>
    </w:p>
    <w:p w14:paraId="1CD1C74C" w14:textId="77777777" w:rsidR="00A77B3E" w:rsidRDefault="00CB0905">
      <w:pPr>
        <w:spacing w:line="360" w:lineRule="auto"/>
        <w:jc w:val="both"/>
      </w:pPr>
      <w:r>
        <w:rPr>
          <w:rFonts w:ascii="Book Antiqua" w:eastAsia="Book Antiqua" w:hAnsi="Book Antiqua" w:cs="Book Antiqua"/>
          <w:b/>
          <w:bCs/>
          <w:i/>
          <w:iCs/>
          <w:color w:val="000000"/>
        </w:rPr>
        <w:t>Biopsy</w:t>
      </w:r>
    </w:p>
    <w:p w14:paraId="36D76588" w14:textId="77777777" w:rsidR="00A77B3E" w:rsidRDefault="00CB0905">
      <w:pPr>
        <w:spacing w:line="360" w:lineRule="auto"/>
        <w:jc w:val="both"/>
      </w:pPr>
      <w:r>
        <w:rPr>
          <w:rFonts w:ascii="Book Antiqua" w:eastAsia="Book Antiqua" w:hAnsi="Book Antiqua" w:cs="Book Antiqua"/>
          <w:color w:val="000000"/>
        </w:rPr>
        <w:t>Biopsy showed severe dysplasia and canceration of the glandular epithelium.</w:t>
      </w:r>
    </w:p>
    <w:p w14:paraId="005EF1B8" w14:textId="77777777" w:rsidR="00A77B3E" w:rsidRDefault="00A77B3E" w:rsidP="00534709">
      <w:pPr>
        <w:spacing w:line="360" w:lineRule="auto"/>
        <w:jc w:val="both"/>
      </w:pPr>
    </w:p>
    <w:p w14:paraId="556BD51E" w14:textId="77777777" w:rsidR="00A77B3E" w:rsidRDefault="00CB0905">
      <w:pPr>
        <w:spacing w:line="360" w:lineRule="auto"/>
        <w:jc w:val="both"/>
      </w:pPr>
      <w:r>
        <w:rPr>
          <w:rFonts w:ascii="Book Antiqua" w:eastAsia="Book Antiqua" w:hAnsi="Book Antiqua" w:cs="Book Antiqua"/>
          <w:b/>
          <w:caps/>
          <w:color w:val="000000"/>
          <w:u w:val="single"/>
        </w:rPr>
        <w:t>FINAL DIAGNOSIS</w:t>
      </w:r>
    </w:p>
    <w:p w14:paraId="24DBBF5C" w14:textId="229AF90B" w:rsidR="00A77B3E" w:rsidRDefault="00CB0905">
      <w:pPr>
        <w:spacing w:line="360" w:lineRule="auto"/>
        <w:jc w:val="both"/>
      </w:pPr>
      <w:r>
        <w:rPr>
          <w:rFonts w:ascii="Book Antiqua" w:eastAsia="Book Antiqua" w:hAnsi="Book Antiqua" w:cs="Book Antiqua"/>
          <w:color w:val="000000"/>
        </w:rPr>
        <w:t xml:space="preserve">The results showed a 5-cm pT3N3aM0 adenocarcinoma. Furthermore, 7 of the 21 </w:t>
      </w:r>
      <w:r w:rsidR="00AF408A">
        <w:rPr>
          <w:rFonts w:ascii="Book Antiqua" w:eastAsia="Book Antiqua" w:hAnsi="Book Antiqua" w:cs="Book Antiqua"/>
          <w:color w:val="000000"/>
        </w:rPr>
        <w:t xml:space="preserve">lymph </w:t>
      </w:r>
      <w:r>
        <w:rPr>
          <w:rFonts w:ascii="Book Antiqua" w:eastAsia="Book Antiqua" w:hAnsi="Book Antiqua" w:cs="Book Antiqua"/>
          <w:color w:val="000000"/>
        </w:rPr>
        <w:t>nodes showed metastasis and a “null” IHC staining pattern of four MMR-related proteins, including MLH1, PMS2, MSH2, and MSH6. Th</w:t>
      </w:r>
      <w:r w:rsidR="00AF408A">
        <w:rPr>
          <w:rFonts w:ascii="Book Antiqua" w:eastAsia="Book Antiqua" w:hAnsi="Book Antiqua" w:cs="Book Antiqua"/>
          <w:color w:val="000000"/>
        </w:rPr>
        <w:t>us, th</w:t>
      </w:r>
      <w:r>
        <w:rPr>
          <w:rFonts w:ascii="Book Antiqua" w:eastAsia="Book Antiqua" w:hAnsi="Book Antiqua" w:cs="Book Antiqua"/>
          <w:color w:val="000000"/>
        </w:rPr>
        <w:t>is case belongs to the MSI-H subtype of gastric adenocarcinoma.</w:t>
      </w:r>
    </w:p>
    <w:p w14:paraId="1D48FE05" w14:textId="77777777" w:rsidR="00A77B3E" w:rsidRDefault="00A77B3E">
      <w:pPr>
        <w:spacing w:line="360" w:lineRule="auto"/>
        <w:jc w:val="both"/>
      </w:pPr>
    </w:p>
    <w:p w14:paraId="1445D83E" w14:textId="77777777" w:rsidR="00A77B3E" w:rsidRDefault="00CB0905">
      <w:pPr>
        <w:spacing w:line="360" w:lineRule="auto"/>
        <w:jc w:val="both"/>
      </w:pPr>
      <w:r>
        <w:rPr>
          <w:rFonts w:ascii="Book Antiqua" w:eastAsia="Book Antiqua" w:hAnsi="Book Antiqua" w:cs="Book Antiqua"/>
          <w:b/>
          <w:caps/>
          <w:color w:val="000000"/>
          <w:u w:val="single"/>
        </w:rPr>
        <w:t>TREATMENT</w:t>
      </w:r>
    </w:p>
    <w:p w14:paraId="56856E81" w14:textId="2E50E806" w:rsidR="00A77B3E" w:rsidRDefault="00534709">
      <w:pPr>
        <w:spacing w:line="360" w:lineRule="auto"/>
        <w:jc w:val="both"/>
      </w:pPr>
      <w:r>
        <w:rPr>
          <w:rFonts w:ascii="Book Antiqua" w:eastAsia="Book Antiqua" w:hAnsi="Book Antiqua" w:cs="Book Antiqua"/>
          <w:color w:val="000000"/>
        </w:rPr>
        <w:t xml:space="preserve">Total gastrectomy was performed, and 21 </w:t>
      </w:r>
      <w:r w:rsidR="00AF408A">
        <w:rPr>
          <w:rFonts w:ascii="Book Antiqua" w:eastAsia="Book Antiqua" w:hAnsi="Book Antiqua" w:cs="Book Antiqua"/>
          <w:color w:val="000000"/>
        </w:rPr>
        <w:t xml:space="preserve">lymph </w:t>
      </w:r>
      <w:r>
        <w:rPr>
          <w:rFonts w:ascii="Book Antiqua" w:eastAsia="Book Antiqua" w:hAnsi="Book Antiqua" w:cs="Book Antiqua"/>
          <w:color w:val="000000"/>
        </w:rPr>
        <w:t>nodes were dissected.</w:t>
      </w:r>
      <w:r>
        <w:rPr>
          <w:rFonts w:hint="eastAsia"/>
          <w:lang w:eastAsia="zh-CN"/>
        </w:rPr>
        <w:t xml:space="preserve"> </w:t>
      </w:r>
      <w:r w:rsidR="00CB0905">
        <w:rPr>
          <w:rFonts w:ascii="Book Antiqua" w:eastAsia="Book Antiqua" w:hAnsi="Book Antiqua" w:cs="Book Antiqua"/>
          <w:color w:val="000000"/>
        </w:rPr>
        <w:t>The patient returned to normal after operation. Nine months after the operation, the patient was admitted to the hospital for continued treatment. Ultrasound results showed several solid nodules in the patient's inguinal region, and biopsy results revealed normal lymph tissue. There were no signs of tumor metastasis or recurrence. After six cycles of adjuvant chemotherapy, the patient's response to chemotherapy was mild. The patient was satisfied with the treatment results.</w:t>
      </w:r>
    </w:p>
    <w:p w14:paraId="57ED3C9A" w14:textId="77777777" w:rsidR="00A77B3E" w:rsidRDefault="00A77B3E">
      <w:pPr>
        <w:spacing w:line="360" w:lineRule="auto"/>
        <w:jc w:val="both"/>
      </w:pPr>
    </w:p>
    <w:p w14:paraId="433AD5CF" w14:textId="77777777" w:rsidR="00A77B3E" w:rsidRDefault="00CB0905">
      <w:pPr>
        <w:spacing w:line="360" w:lineRule="auto"/>
        <w:jc w:val="both"/>
      </w:pPr>
      <w:r>
        <w:rPr>
          <w:rFonts w:ascii="Book Antiqua" w:eastAsia="Book Antiqua" w:hAnsi="Book Antiqua" w:cs="Book Antiqua"/>
          <w:b/>
          <w:caps/>
          <w:color w:val="000000"/>
          <w:u w:val="single"/>
        </w:rPr>
        <w:t>OUTCOME AND FOLLOW-UP</w:t>
      </w:r>
    </w:p>
    <w:p w14:paraId="43293553" w14:textId="70E1FD87" w:rsidR="00A77B3E" w:rsidRDefault="00CB0905">
      <w:pPr>
        <w:spacing w:line="360" w:lineRule="auto"/>
        <w:jc w:val="both"/>
      </w:pPr>
      <w:r>
        <w:rPr>
          <w:rFonts w:ascii="Book Antiqua" w:eastAsia="Book Antiqua" w:hAnsi="Book Antiqua" w:cs="Book Antiqua"/>
          <w:color w:val="000000"/>
        </w:rPr>
        <w:t xml:space="preserve">The patient was asked to </w:t>
      </w:r>
      <w:r w:rsidR="00AF408A">
        <w:rPr>
          <w:rFonts w:ascii="Book Antiqua" w:eastAsia="Book Antiqua" w:hAnsi="Book Antiqua" w:cs="Book Antiqua"/>
          <w:color w:val="000000"/>
        </w:rPr>
        <w:t xml:space="preserve">undergo follow-up </w:t>
      </w:r>
      <w:r>
        <w:rPr>
          <w:rFonts w:ascii="Book Antiqua" w:eastAsia="Book Antiqua" w:hAnsi="Book Antiqua" w:cs="Book Antiqua"/>
          <w:color w:val="000000"/>
        </w:rPr>
        <w:t>every 3 mo. The patient was discharged in a stable condition for 16 mo after the operation. At present, the prognosis is good, but the long-term prognosis is yet to be determined.</w:t>
      </w:r>
    </w:p>
    <w:p w14:paraId="1EEF83CD" w14:textId="77777777" w:rsidR="00A77B3E" w:rsidRDefault="00A77B3E">
      <w:pPr>
        <w:spacing w:line="360" w:lineRule="auto"/>
        <w:jc w:val="both"/>
      </w:pPr>
    </w:p>
    <w:p w14:paraId="65A0105C" w14:textId="77777777" w:rsidR="00A77B3E" w:rsidRDefault="00CB0905">
      <w:pPr>
        <w:spacing w:line="360" w:lineRule="auto"/>
        <w:jc w:val="both"/>
      </w:pPr>
      <w:r>
        <w:rPr>
          <w:rFonts w:ascii="Book Antiqua" w:eastAsia="Book Antiqua" w:hAnsi="Book Antiqua" w:cs="Book Antiqua"/>
          <w:b/>
          <w:caps/>
          <w:color w:val="000000"/>
          <w:u w:val="single"/>
        </w:rPr>
        <w:t>DISCUSSION</w:t>
      </w:r>
    </w:p>
    <w:p w14:paraId="48A07ECD" w14:textId="7421BE67" w:rsidR="00A77B3E" w:rsidRDefault="00AF408A">
      <w:pPr>
        <w:spacing w:line="360" w:lineRule="auto"/>
        <w:jc w:val="both"/>
      </w:pPr>
      <w:r>
        <w:rPr>
          <w:rFonts w:ascii="Book Antiqua" w:eastAsia="Book Antiqua" w:hAnsi="Book Antiqua" w:cs="Book Antiqua"/>
          <w:color w:val="000000"/>
        </w:rPr>
        <w:t xml:space="preserve">Hagen </w:t>
      </w:r>
      <w:r w:rsidRPr="0097733C">
        <w:rPr>
          <w:rFonts w:ascii="Book Antiqua" w:eastAsia="Book Antiqua" w:hAnsi="Book Antiqua" w:cs="Book Antiqua"/>
          <w:i/>
          <w:color w:val="000000"/>
        </w:rPr>
        <w:t>et al</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szCs w:val="36"/>
          <w:vertAlign w:val="superscript"/>
        </w:rPr>
        <w:t xml:space="preserve">] </w:t>
      </w:r>
      <w:r>
        <w:rPr>
          <w:rFonts w:ascii="Book Antiqua" w:eastAsia="Book Antiqua" w:hAnsi="Book Antiqua" w:cs="Book Antiqua"/>
          <w:color w:val="000000"/>
        </w:rPr>
        <w:t xml:space="preserve">first reported this </w:t>
      </w:r>
      <w:r w:rsidR="00CB0905">
        <w:rPr>
          <w:rFonts w:ascii="Book Antiqua" w:eastAsia="Book Antiqua" w:hAnsi="Book Antiqua" w:cs="Book Antiqua"/>
          <w:color w:val="000000"/>
        </w:rPr>
        <w:t>“null” IHC staining pattern of all four MMR proteins</w:t>
      </w:r>
      <w:r>
        <w:rPr>
          <w:rFonts w:ascii="Book Antiqua" w:eastAsia="Book Antiqua" w:hAnsi="Book Antiqua" w:cs="Book Antiqua"/>
          <w:color w:val="000000"/>
        </w:rPr>
        <w:t xml:space="preserve"> </w:t>
      </w:r>
      <w:r w:rsidR="00CB0905">
        <w:rPr>
          <w:rFonts w:ascii="Book Antiqua" w:eastAsia="Book Antiqua" w:hAnsi="Book Antiqua" w:cs="Book Antiqua"/>
          <w:color w:val="000000"/>
        </w:rPr>
        <w:t>in colorectal cancer</w:t>
      </w:r>
      <w:r>
        <w:rPr>
          <w:rFonts w:ascii="Book Antiqua" w:eastAsia="Book Antiqua" w:hAnsi="Book Antiqua" w:cs="Book Antiqua"/>
          <w:color w:val="000000"/>
        </w:rPr>
        <w:t xml:space="preserve"> </w:t>
      </w:r>
      <w:r w:rsidR="00CB0905">
        <w:rPr>
          <w:rFonts w:ascii="Book Antiqua" w:eastAsia="Book Antiqua" w:hAnsi="Book Antiqua" w:cs="Book Antiqua"/>
          <w:color w:val="000000"/>
        </w:rPr>
        <w:t xml:space="preserve">due to germline </w:t>
      </w:r>
      <w:r w:rsidR="00CB0905" w:rsidRPr="00122EC6">
        <w:rPr>
          <w:rFonts w:ascii="Book Antiqua" w:eastAsia="Book Antiqua" w:hAnsi="Book Antiqua" w:cs="Book Antiqua"/>
          <w:i/>
          <w:color w:val="000000"/>
        </w:rPr>
        <w:t>MSH2</w:t>
      </w:r>
      <w:r w:rsidR="00CB0905">
        <w:rPr>
          <w:rFonts w:ascii="Book Antiqua" w:eastAsia="Book Antiqua" w:hAnsi="Book Antiqua" w:cs="Book Antiqua"/>
          <w:color w:val="000000"/>
        </w:rPr>
        <w:t xml:space="preserve"> mutation and somatic </w:t>
      </w:r>
      <w:r w:rsidR="00CB0905" w:rsidRPr="00122EC6">
        <w:rPr>
          <w:rFonts w:ascii="Book Antiqua" w:eastAsia="Book Antiqua" w:hAnsi="Book Antiqua" w:cs="Book Antiqua"/>
          <w:i/>
          <w:color w:val="000000"/>
        </w:rPr>
        <w:t>MLH1</w:t>
      </w:r>
      <w:r w:rsidR="00CB0905">
        <w:rPr>
          <w:rFonts w:ascii="Book Antiqua" w:eastAsia="Book Antiqua" w:hAnsi="Book Antiqua" w:cs="Book Antiqua"/>
          <w:color w:val="000000"/>
        </w:rPr>
        <w:t xml:space="preserve"> hypermethylation in a 71-year-old female patient with LS. Using microscopy, the morphology observed in </w:t>
      </w:r>
      <w:r>
        <w:rPr>
          <w:rFonts w:ascii="Book Antiqua" w:eastAsia="Book Antiqua" w:hAnsi="Book Antiqua" w:cs="Book Antiqua"/>
          <w:color w:val="000000"/>
        </w:rPr>
        <w:t xml:space="preserve">that </w:t>
      </w:r>
      <w:r w:rsidR="00CB0905">
        <w:rPr>
          <w:rFonts w:ascii="Book Antiqua" w:eastAsia="Book Antiqua" w:hAnsi="Book Antiqua" w:cs="Book Antiqua"/>
          <w:color w:val="000000"/>
        </w:rPr>
        <w:t xml:space="preserve">case was similar to that observed in our case, but the gene expression was inconsistent. </w:t>
      </w:r>
      <w:r>
        <w:rPr>
          <w:rFonts w:ascii="Book Antiqua" w:eastAsia="Book Antiqua" w:hAnsi="Book Antiqua" w:cs="Book Antiqua"/>
          <w:color w:val="000000"/>
        </w:rPr>
        <w:t xml:space="preserve">That </w:t>
      </w:r>
      <w:r w:rsidR="00CB0905">
        <w:rPr>
          <w:rFonts w:ascii="Book Antiqua" w:eastAsia="Book Antiqua" w:hAnsi="Book Antiqua" w:cs="Book Antiqua"/>
          <w:color w:val="000000"/>
        </w:rPr>
        <w:t>patient had a history of colon cancer and ureteral cancer. She also had a strong family history of tumors. All these findings confirmed the diagnosis of LS. However, our case was sporadic.</w:t>
      </w:r>
    </w:p>
    <w:p w14:paraId="502D4F18" w14:textId="06442BAF" w:rsidR="00A77B3E" w:rsidRDefault="00CB0905">
      <w:pPr>
        <w:spacing w:line="360" w:lineRule="auto"/>
        <w:ind w:firstLine="240"/>
        <w:jc w:val="both"/>
      </w:pPr>
      <w:r>
        <w:rPr>
          <w:rFonts w:ascii="Book Antiqua" w:eastAsia="Book Antiqua" w:hAnsi="Book Antiqua" w:cs="Book Antiqua"/>
          <w:color w:val="000000"/>
        </w:rPr>
        <w:t xml:space="preserve">Wang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found that the four MMR protein deficiencies in an 80-year-old female patient with colorectal cancer were highly likely sporadic, and no high-risk surveillance protocols were recommended to the patient or her family members. The morphology and gene expression observed in </w:t>
      </w:r>
      <w:r w:rsidR="00CC2D36">
        <w:rPr>
          <w:rFonts w:ascii="Book Antiqua" w:eastAsia="Book Antiqua" w:hAnsi="Book Antiqua" w:cs="Book Antiqua"/>
          <w:color w:val="000000"/>
        </w:rPr>
        <w:t xml:space="preserve">their </w:t>
      </w:r>
      <w:r>
        <w:rPr>
          <w:rFonts w:ascii="Book Antiqua" w:eastAsia="Book Antiqua" w:hAnsi="Book Antiqua" w:cs="Book Antiqua"/>
          <w:color w:val="000000"/>
        </w:rPr>
        <w:t xml:space="preserve">case were similar to those observed in our case. They found promoter hypermethylation of </w:t>
      </w:r>
      <w:r w:rsidRPr="00122EC6">
        <w:rPr>
          <w:rFonts w:ascii="Book Antiqua" w:eastAsia="Book Antiqua" w:hAnsi="Book Antiqua" w:cs="Book Antiqua"/>
          <w:i/>
          <w:color w:val="000000"/>
        </w:rPr>
        <w:t>MLH1</w:t>
      </w:r>
      <w:r>
        <w:rPr>
          <w:rFonts w:ascii="Book Antiqua" w:eastAsia="Book Antiqua" w:hAnsi="Book Antiqua" w:cs="Book Antiqua"/>
          <w:color w:val="000000"/>
        </w:rPr>
        <w:t xml:space="preserve"> and double somatic truncating mutations in </w:t>
      </w:r>
      <w:r w:rsidRPr="00122EC6">
        <w:rPr>
          <w:rFonts w:ascii="Book Antiqua" w:eastAsia="Book Antiqua" w:hAnsi="Book Antiqua" w:cs="Book Antiqua"/>
          <w:i/>
          <w:color w:val="000000"/>
        </w:rPr>
        <w:t>MSH2</w:t>
      </w:r>
      <w:r>
        <w:rPr>
          <w:rFonts w:ascii="Book Antiqua" w:eastAsia="Book Antiqua" w:hAnsi="Book Antiqua" w:cs="Book Antiqua"/>
          <w:color w:val="000000"/>
        </w:rPr>
        <w:t xml:space="preserve">. They also found a BRAFV600E mutation. In our case, we found promoter hypermethylation of </w:t>
      </w:r>
      <w:r w:rsidRPr="00122EC6">
        <w:rPr>
          <w:rFonts w:ascii="Book Antiqua" w:eastAsia="Book Antiqua" w:hAnsi="Book Antiqua" w:cs="Book Antiqua"/>
          <w:i/>
          <w:color w:val="000000"/>
        </w:rPr>
        <w:t>MLH1</w:t>
      </w:r>
      <w:r>
        <w:rPr>
          <w:rFonts w:ascii="Book Antiqua" w:eastAsia="Book Antiqua" w:hAnsi="Book Antiqua" w:cs="Book Antiqua"/>
          <w:color w:val="000000"/>
        </w:rPr>
        <w:t xml:space="preserve"> and a missing copy number in exon 14 of </w:t>
      </w:r>
      <w:r w:rsidRPr="00122EC6">
        <w:rPr>
          <w:rFonts w:ascii="Book Antiqua" w:eastAsia="Book Antiqua" w:hAnsi="Book Antiqua" w:cs="Book Antiqua"/>
          <w:i/>
          <w:color w:val="000000"/>
        </w:rPr>
        <w:t>MSH2</w:t>
      </w:r>
      <w:r>
        <w:rPr>
          <w:rFonts w:ascii="Book Antiqua" w:eastAsia="Book Antiqua" w:hAnsi="Book Antiqua" w:cs="Book Antiqua"/>
          <w:color w:val="000000"/>
        </w:rPr>
        <w:t>. Westwood</w:t>
      </w:r>
      <w:r w:rsidR="006B6419">
        <w:rPr>
          <w:rFonts w:ascii="Book Antiqua" w:eastAsia="Book Antiqua" w:hAnsi="Book Antiqua" w:cs="Book Antiqua"/>
          <w:color w:val="000000"/>
        </w:rPr>
        <w:t xml:space="preserve"> </w:t>
      </w:r>
      <w:r w:rsidR="006B6419" w:rsidRPr="006B6419">
        <w:rPr>
          <w:rFonts w:ascii="Book Antiqua" w:eastAsia="Book Antiqua" w:hAnsi="Book Antiqua" w:cs="Book Antiqua"/>
          <w:i/>
          <w:color w:val="000000"/>
        </w:rPr>
        <w:t>et al</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0</w:t>
      </w:r>
      <w:r>
        <w:rPr>
          <w:rFonts w:ascii="Book Antiqua" w:eastAsia="Book Antiqua" w:hAnsi="Book Antiqua" w:cs="Book Antiqua"/>
          <w:color w:val="000000"/>
          <w:szCs w:val="36"/>
          <w:vertAlign w:val="superscript"/>
        </w:rPr>
        <w:t>]</w:t>
      </w:r>
      <w:r w:rsidR="003D797C">
        <w:rPr>
          <w:rFonts w:ascii="Book Antiqua" w:eastAsia="Book Antiqua" w:hAnsi="Book Antiqua" w:cs="Book Antiqua"/>
          <w:color w:val="000000"/>
        </w:rPr>
        <w:t xml:space="preserve"> </w:t>
      </w:r>
      <w:r>
        <w:rPr>
          <w:rFonts w:ascii="Book Antiqua" w:eastAsia="Book Antiqua" w:hAnsi="Book Antiqua" w:cs="Book Antiqua"/>
          <w:color w:val="000000"/>
        </w:rPr>
        <w:t>found that the percentage of additional partial or complete loss of MSH2 and MSH6 in MLH1-deficient CRC patients was 0.48% (4/829). Additionally, IHC staining showed</w:t>
      </w:r>
      <w:r w:rsidR="00CC2D36">
        <w:rPr>
          <w:rFonts w:ascii="Book Antiqua" w:eastAsia="Book Antiqua" w:hAnsi="Book Antiqua" w:cs="Book Antiqua"/>
          <w:color w:val="000000"/>
        </w:rPr>
        <w:t xml:space="preserve"> </w:t>
      </w:r>
      <w:r>
        <w:rPr>
          <w:rFonts w:ascii="Book Antiqua" w:eastAsia="Book Antiqua" w:hAnsi="Book Antiqua" w:cs="Book Antiqua"/>
          <w:color w:val="000000"/>
        </w:rPr>
        <w:t xml:space="preserve">complete null expression of MMR proteins in only one colon cancer case, but it showed strong staining for all four proteins in rectal cancer. Unfortunately, biopsy was the only available procedure for testing in colon cancer. Further genetic analysis showed </w:t>
      </w:r>
      <w:r w:rsidRPr="00122EC6">
        <w:rPr>
          <w:rFonts w:ascii="Book Antiqua" w:eastAsia="Book Antiqua" w:hAnsi="Book Antiqua" w:cs="Book Antiqua"/>
          <w:i/>
          <w:color w:val="000000"/>
        </w:rPr>
        <w:t>MLH1</w:t>
      </w:r>
      <w:r>
        <w:rPr>
          <w:rFonts w:ascii="Book Antiqua" w:eastAsia="Book Antiqua" w:hAnsi="Book Antiqua" w:cs="Book Antiqua"/>
          <w:color w:val="000000"/>
        </w:rPr>
        <w:t xml:space="preserve"> promoter hypermethylation and BRAFV600E mutation. A summary of the “null” IHC staining pattern of all four MMR proteins reported in the literature is provided in Table 1.</w:t>
      </w:r>
    </w:p>
    <w:p w14:paraId="754036A3" w14:textId="77777777" w:rsidR="00A77B3E" w:rsidRDefault="00CB0905" w:rsidP="00CC2D36">
      <w:pPr>
        <w:tabs>
          <w:tab w:val="left" w:pos="1843"/>
        </w:tabs>
        <w:spacing w:line="360" w:lineRule="auto"/>
        <w:ind w:firstLine="240"/>
        <w:jc w:val="both"/>
      </w:pPr>
      <w:r>
        <w:rPr>
          <w:rFonts w:ascii="Book Antiqua" w:eastAsia="Book Antiqua" w:hAnsi="Book Antiqua" w:cs="Book Antiqua"/>
          <w:color w:val="000000"/>
        </w:rPr>
        <w:t xml:space="preserve">MSI tumors with </w:t>
      </w:r>
      <w:r w:rsidRPr="00122EC6">
        <w:rPr>
          <w:rFonts w:ascii="Book Antiqua" w:eastAsia="Book Antiqua" w:hAnsi="Book Antiqua" w:cs="Book Antiqua"/>
          <w:i/>
          <w:color w:val="000000"/>
        </w:rPr>
        <w:t>MLH1</w:t>
      </w:r>
      <w:r>
        <w:rPr>
          <w:rFonts w:ascii="Book Antiqua" w:eastAsia="Book Antiqua" w:hAnsi="Book Antiqua" w:cs="Book Antiqua"/>
          <w:color w:val="000000"/>
        </w:rPr>
        <w:t xml:space="preserve"> methylation were associated with BRAFV600E mutation only in the colon but not in the stomach</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BRAFV600E mutation was not detected in our case, which illustrates this point. Additionally, no abnormalities were found at the detection sites of </w:t>
      </w:r>
      <w:r w:rsidRPr="00122EC6">
        <w:rPr>
          <w:rFonts w:ascii="Book Antiqua" w:eastAsia="Book Antiqua" w:hAnsi="Book Antiqua" w:cs="Book Antiqua"/>
          <w:i/>
          <w:color w:val="000000"/>
        </w:rPr>
        <w:t>KRAS</w:t>
      </w:r>
      <w:r>
        <w:rPr>
          <w:rFonts w:ascii="Book Antiqua" w:eastAsia="Book Antiqua" w:hAnsi="Book Antiqua" w:cs="Book Antiqua"/>
          <w:color w:val="000000"/>
        </w:rPr>
        <w:t xml:space="preserve">, </w:t>
      </w:r>
      <w:r w:rsidRPr="00122EC6">
        <w:rPr>
          <w:rFonts w:ascii="Book Antiqua" w:eastAsia="Book Antiqua" w:hAnsi="Book Antiqua" w:cs="Book Antiqua"/>
          <w:i/>
          <w:color w:val="000000"/>
        </w:rPr>
        <w:t>NRAS</w:t>
      </w:r>
      <w:r>
        <w:rPr>
          <w:rFonts w:ascii="Book Antiqua" w:eastAsia="Book Antiqua" w:hAnsi="Book Antiqua" w:cs="Book Antiqua"/>
          <w:color w:val="000000"/>
        </w:rPr>
        <w:t xml:space="preserve">, and </w:t>
      </w:r>
      <w:r w:rsidRPr="00122EC6">
        <w:rPr>
          <w:rFonts w:ascii="Book Antiqua" w:eastAsia="Book Antiqua" w:hAnsi="Book Antiqua" w:cs="Book Antiqua"/>
          <w:i/>
          <w:color w:val="000000"/>
        </w:rPr>
        <w:t>HRAS</w:t>
      </w:r>
      <w:r>
        <w:rPr>
          <w:rFonts w:ascii="Book Antiqua" w:eastAsia="Book Antiqua" w:hAnsi="Book Antiqua" w:cs="Book Antiqua"/>
          <w:color w:val="000000"/>
        </w:rPr>
        <w:t xml:space="preserve">, which is also different from that in colon cancer. </w:t>
      </w:r>
    </w:p>
    <w:p w14:paraId="3B7D1323" w14:textId="140376B2" w:rsidR="00A77B3E" w:rsidRDefault="00CB0905">
      <w:pPr>
        <w:spacing w:line="360" w:lineRule="auto"/>
        <w:ind w:firstLine="240"/>
        <w:jc w:val="both"/>
      </w:pPr>
      <w:r>
        <w:rPr>
          <w:rFonts w:ascii="Book Antiqua" w:eastAsia="Book Antiqua" w:hAnsi="Book Antiqua" w:cs="Book Antiqua"/>
          <w:color w:val="000000"/>
        </w:rPr>
        <w:t>All the above</w:t>
      </w:r>
      <w:r w:rsidR="00535E73">
        <w:rPr>
          <w:rFonts w:ascii="Book Antiqua" w:eastAsia="Book Antiqua" w:hAnsi="Book Antiqua" w:cs="Book Antiqua"/>
          <w:color w:val="000000"/>
        </w:rPr>
        <w:t xml:space="preserve"> </w:t>
      </w:r>
      <w:r>
        <w:rPr>
          <w:rFonts w:ascii="Book Antiqua" w:eastAsia="Book Antiqua" w:hAnsi="Book Antiqua" w:cs="Book Antiqua"/>
          <w:color w:val="000000"/>
        </w:rPr>
        <w:t>mentioned studies reported colorectal cancer cases but not gastric cancer cases. Cho</w:t>
      </w:r>
      <w:r w:rsidR="006B6419">
        <w:rPr>
          <w:rFonts w:ascii="Book Antiqua" w:eastAsia="Book Antiqua" w:hAnsi="Book Antiqua" w:cs="Book Antiqua"/>
          <w:color w:val="000000"/>
        </w:rPr>
        <w:t xml:space="preserve"> </w:t>
      </w:r>
      <w:r w:rsidR="006B6419" w:rsidRPr="006B6419">
        <w:rPr>
          <w:rFonts w:ascii="Book Antiqua" w:eastAsia="Book Antiqua" w:hAnsi="Book Antiqua" w:cs="Book Antiqua"/>
          <w:i/>
          <w:color w:val="000000"/>
        </w:rPr>
        <w:t>et al</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reported </w:t>
      </w:r>
      <w:r w:rsidR="00CC2D36">
        <w:rPr>
          <w:rFonts w:ascii="Book Antiqua" w:eastAsia="Book Antiqua" w:hAnsi="Book Antiqua" w:cs="Book Antiqua"/>
          <w:color w:val="000000"/>
        </w:rPr>
        <w:t xml:space="preserve">five </w:t>
      </w:r>
      <w:r>
        <w:rPr>
          <w:rFonts w:ascii="Book Antiqua" w:eastAsia="Book Antiqua" w:hAnsi="Book Antiqua" w:cs="Book Antiqua"/>
          <w:color w:val="000000"/>
        </w:rPr>
        <w:t xml:space="preserve">cases in which all four MMR proteins were negative and none of 580 cases showed a single MMR protein loss by IHC; further genetic testing was not performed except for PCR analysis of </w:t>
      </w:r>
      <w:r w:rsidRPr="009A6E27">
        <w:rPr>
          <w:rFonts w:ascii="Book Antiqua" w:eastAsia="Book Antiqua" w:hAnsi="Book Antiqua" w:cs="Book Antiqua"/>
          <w:i/>
          <w:color w:val="000000"/>
        </w:rPr>
        <w:t>MMR</w:t>
      </w:r>
      <w:r>
        <w:rPr>
          <w:rFonts w:ascii="Book Antiqua" w:eastAsia="Book Antiqua" w:hAnsi="Book Antiqua" w:cs="Book Antiqua"/>
          <w:color w:val="000000"/>
        </w:rPr>
        <w:t xml:space="preserve"> genes. In contrast, we retrospectively collected </w:t>
      </w:r>
      <w:r w:rsidR="00CC2D36">
        <w:rPr>
          <w:rFonts w:ascii="Book Antiqua" w:eastAsia="Book Antiqua" w:hAnsi="Book Antiqua" w:cs="Book Antiqua"/>
          <w:color w:val="000000"/>
        </w:rPr>
        <w:t xml:space="preserve">the </w:t>
      </w:r>
      <w:r>
        <w:rPr>
          <w:rFonts w:ascii="Book Antiqua" w:eastAsia="Book Antiqua" w:hAnsi="Book Antiqua" w:cs="Book Antiqua"/>
          <w:color w:val="000000"/>
        </w:rPr>
        <w:t xml:space="preserve">data </w:t>
      </w:r>
      <w:r w:rsidR="00CC2D36">
        <w:rPr>
          <w:rFonts w:ascii="Book Antiqua" w:eastAsia="Book Antiqua" w:hAnsi="Book Antiqua" w:cs="Book Antiqua"/>
          <w:color w:val="000000"/>
        </w:rPr>
        <w:t xml:space="preserve">of </w:t>
      </w:r>
      <w:r>
        <w:rPr>
          <w:rFonts w:ascii="Book Antiqua" w:eastAsia="Book Antiqua" w:hAnsi="Book Antiqua" w:cs="Book Antiqua"/>
          <w:color w:val="000000"/>
        </w:rPr>
        <w:t xml:space="preserve">2808 cases of postoperative gastric cancer from the Fourth Hospital of Hebei Medical University from May 2017 to August 2020 and found that only this case was completely negative. </w:t>
      </w:r>
      <w:r w:rsidR="00CC2D36">
        <w:rPr>
          <w:rFonts w:ascii="Book Antiqua" w:eastAsia="Book Antiqua" w:hAnsi="Book Antiqua" w:cs="Book Antiqua"/>
          <w:color w:val="000000"/>
        </w:rPr>
        <w:t xml:space="preserve">Thus, the </w:t>
      </w:r>
      <w:r>
        <w:rPr>
          <w:rFonts w:ascii="Book Antiqua" w:eastAsia="Book Antiqua" w:hAnsi="Book Antiqua" w:cs="Book Antiqua"/>
          <w:color w:val="000000"/>
        </w:rPr>
        <w:t xml:space="preserve">incidence rate </w:t>
      </w:r>
      <w:r w:rsidR="00CC2D36">
        <w:rPr>
          <w:rFonts w:ascii="Book Antiqua" w:eastAsia="Book Antiqua" w:hAnsi="Book Antiqua" w:cs="Book Antiqua"/>
          <w:color w:val="000000"/>
        </w:rPr>
        <w:t xml:space="preserve">was </w:t>
      </w:r>
      <w:r>
        <w:rPr>
          <w:rFonts w:ascii="Book Antiqua" w:eastAsia="Book Antiqua" w:hAnsi="Book Antiqua" w:cs="Book Antiqua"/>
          <w:color w:val="000000"/>
        </w:rPr>
        <w:t xml:space="preserve">0.0356%. Fifteen cases showed only negative results for </w:t>
      </w:r>
      <w:r w:rsidRPr="009A6E27">
        <w:rPr>
          <w:rFonts w:ascii="Book Antiqua" w:eastAsia="Book Antiqua" w:hAnsi="Book Antiqua" w:cs="Book Antiqua"/>
          <w:i/>
          <w:color w:val="000000"/>
        </w:rPr>
        <w:t>PMS2</w:t>
      </w:r>
      <w:r>
        <w:rPr>
          <w:rFonts w:ascii="Book Antiqua" w:eastAsia="Book Antiqua" w:hAnsi="Book Antiqua" w:cs="Book Antiqua"/>
          <w:color w:val="000000"/>
        </w:rPr>
        <w:t xml:space="preserve">, and three cases were negative for MSH6. The reasons for these differences remain unclear. </w:t>
      </w:r>
      <w:r w:rsidR="00CC2D36">
        <w:rPr>
          <w:rFonts w:ascii="Book Antiqua" w:eastAsia="Book Antiqua" w:hAnsi="Book Antiqua" w:cs="Book Antiqua"/>
          <w:color w:val="000000"/>
        </w:rPr>
        <w:t xml:space="preserve">The standard used by Cho </w:t>
      </w:r>
      <w:r w:rsidR="00CC2D36" w:rsidRPr="006B6419">
        <w:rPr>
          <w:rFonts w:ascii="Book Antiqua" w:eastAsia="Book Antiqua" w:hAnsi="Book Antiqua" w:cs="Book Antiqua"/>
          <w:i/>
          <w:color w:val="000000"/>
        </w:rPr>
        <w:t>et al</w:t>
      </w:r>
      <w:r w:rsidR="00CC2D36">
        <w:rPr>
          <w:rFonts w:ascii="Book Antiqua" w:eastAsia="Book Antiqua" w:hAnsi="Book Antiqua" w:cs="Book Antiqua"/>
          <w:color w:val="000000"/>
          <w:szCs w:val="36"/>
          <w:vertAlign w:val="superscript"/>
        </w:rPr>
        <w:t>[1</w:t>
      </w:r>
      <w:r w:rsidR="00CC2D36">
        <w:rPr>
          <w:rFonts w:ascii="Book Antiqua" w:eastAsia="Book Antiqua" w:hAnsi="Book Antiqua" w:cs="Book Antiqua"/>
          <w:color w:val="000000"/>
          <w:vertAlign w:val="superscript"/>
        </w:rPr>
        <w:t>2</w:t>
      </w:r>
      <w:r w:rsidR="00CC2D36">
        <w:rPr>
          <w:rFonts w:ascii="Book Antiqua" w:eastAsia="Book Antiqua" w:hAnsi="Book Antiqua" w:cs="Book Antiqua"/>
          <w:color w:val="000000"/>
          <w:szCs w:val="36"/>
          <w:vertAlign w:val="superscript"/>
        </w:rPr>
        <w:t xml:space="preserve">] </w:t>
      </w:r>
      <w:r w:rsidR="00CC2D36" w:rsidRPr="00122EC6">
        <w:rPr>
          <w:rFonts w:ascii="Book Antiqua" w:eastAsia="Book Antiqua" w:hAnsi="Book Antiqua" w:cs="Book Antiqua"/>
          <w:color w:val="000000"/>
          <w:szCs w:val="36"/>
        </w:rPr>
        <w:t>for jud</w:t>
      </w:r>
      <w:r w:rsidR="00CC2D36">
        <w:rPr>
          <w:rFonts w:ascii="Book Antiqua" w:eastAsia="Book Antiqua" w:hAnsi="Book Antiqua" w:cs="Book Antiqua"/>
          <w:color w:val="000000"/>
          <w:szCs w:val="36"/>
        </w:rPr>
        <w:t>g</w:t>
      </w:r>
      <w:r w:rsidR="00CC2D36" w:rsidRPr="00122EC6">
        <w:rPr>
          <w:rFonts w:ascii="Book Antiqua" w:eastAsia="Book Antiqua" w:hAnsi="Book Antiqua" w:cs="Book Antiqua"/>
          <w:color w:val="000000"/>
          <w:szCs w:val="36"/>
        </w:rPr>
        <w:t xml:space="preserve">ement of </w:t>
      </w:r>
      <w:r w:rsidR="00CC2D36">
        <w:rPr>
          <w:rFonts w:ascii="Book Antiqua" w:eastAsia="Book Antiqua" w:hAnsi="Book Antiqua" w:cs="Book Antiqua"/>
          <w:color w:val="000000"/>
          <w:szCs w:val="36"/>
        </w:rPr>
        <w:t xml:space="preserve">negative results </w:t>
      </w:r>
      <w:r w:rsidR="00CC2D36">
        <w:rPr>
          <w:rFonts w:ascii="Book Antiqua" w:eastAsia="Book Antiqua" w:hAnsi="Book Antiqua" w:cs="Book Antiqua"/>
          <w:color w:val="000000"/>
        </w:rPr>
        <w:t xml:space="preserve">was </w:t>
      </w:r>
      <w:r>
        <w:rPr>
          <w:rFonts w:ascii="Book Antiqua" w:eastAsia="Book Antiqua" w:hAnsi="Book Antiqua" w:cs="Book Antiqua"/>
          <w:color w:val="000000"/>
        </w:rPr>
        <w:t>complete loss or &lt;</w:t>
      </w:r>
      <w:r w:rsidR="009052B2">
        <w:rPr>
          <w:rFonts w:ascii="Book Antiqua" w:eastAsia="Book Antiqua" w:hAnsi="Book Antiqua" w:cs="Book Antiqua"/>
          <w:color w:val="000000"/>
        </w:rPr>
        <w:t xml:space="preserve"> </w:t>
      </w:r>
      <w:r>
        <w:rPr>
          <w:rFonts w:ascii="Book Antiqua" w:eastAsia="Book Antiqua" w:hAnsi="Book Antiqua" w:cs="Book Antiqua"/>
          <w:color w:val="000000"/>
        </w:rPr>
        <w:t>20% focal weak equivocal nuclear staining. We consider that our</w:t>
      </w:r>
      <w:r w:rsidR="00CC2D36">
        <w:rPr>
          <w:rFonts w:ascii="Book Antiqua" w:eastAsia="Book Antiqua" w:hAnsi="Book Antiqua" w:cs="Book Antiqua"/>
          <w:color w:val="000000"/>
        </w:rPr>
        <w:t xml:space="preserve"> </w:t>
      </w:r>
      <w:r>
        <w:rPr>
          <w:rFonts w:ascii="Book Antiqua" w:eastAsia="Book Antiqua" w:hAnsi="Book Antiqua" w:cs="Book Antiqua"/>
          <w:color w:val="000000"/>
        </w:rPr>
        <w:t xml:space="preserve">judgment standard </w:t>
      </w:r>
      <w:r w:rsidR="00CC2D36">
        <w:rPr>
          <w:rFonts w:ascii="Book Antiqua" w:eastAsia="Book Antiqua" w:hAnsi="Book Antiqua" w:cs="Book Antiqua"/>
          <w:color w:val="000000"/>
        </w:rPr>
        <w:t xml:space="preserve">was </w:t>
      </w:r>
      <w:r>
        <w:rPr>
          <w:rFonts w:ascii="Book Antiqua" w:eastAsia="Book Antiqua" w:hAnsi="Book Antiqua" w:cs="Book Antiqua"/>
          <w:color w:val="000000"/>
        </w:rPr>
        <w:t xml:space="preserve">stricter; thus, the total number of negative cases was </w:t>
      </w:r>
      <w:r w:rsidR="00CC2D36">
        <w:rPr>
          <w:rFonts w:ascii="Book Antiqua" w:eastAsia="Book Antiqua" w:hAnsi="Book Antiqua" w:cs="Book Antiqua"/>
          <w:color w:val="000000"/>
        </w:rPr>
        <w:t>lower</w:t>
      </w:r>
      <w:r>
        <w:rPr>
          <w:rFonts w:ascii="Book Antiqua" w:eastAsia="Book Antiqua" w:hAnsi="Book Antiqua" w:cs="Book Antiqua"/>
          <w:color w:val="000000"/>
        </w:rPr>
        <w:t>. Additionally, we tested more cases and identified cases with a single negative MMR protein. In another 464 cases of gastric cancer, the co-negative percentage of MLH1 and MSH2 was 4.4%</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w:t>
      </w:r>
      <w:r w:rsidR="00CC2D36">
        <w:rPr>
          <w:rFonts w:ascii="Book Antiqua" w:eastAsia="Book Antiqua" w:hAnsi="Book Antiqua" w:cs="Book Antiqua"/>
          <w:color w:val="000000"/>
        </w:rPr>
        <w:t>se</w:t>
      </w:r>
      <w:r>
        <w:rPr>
          <w:rFonts w:ascii="Book Antiqua" w:eastAsia="Book Antiqua" w:hAnsi="Book Antiqua" w:cs="Book Antiqua"/>
          <w:color w:val="000000"/>
        </w:rPr>
        <w:t xml:space="preserve"> researchers used tissue microarrays for testing. However, there was potential heterogeneity in the use of tissue microarrays. In-depth genetic testing was not performed. Therefore, our case is the first to reveal this rare IHC staining pattern of four MMR proteins in gastric cancer and show differences in gene expression in colorectal cancer. We believe that this is not a common phenomenon in gastric cancer </w:t>
      </w:r>
      <w:r w:rsidR="00CC2D36">
        <w:rPr>
          <w:rFonts w:ascii="Book Antiqua" w:eastAsia="Book Antiqua" w:hAnsi="Book Antiqua" w:cs="Book Antiqua"/>
          <w:color w:val="000000"/>
        </w:rPr>
        <w:t xml:space="preserve">since it </w:t>
      </w:r>
      <w:r>
        <w:rPr>
          <w:rFonts w:ascii="Book Antiqua" w:eastAsia="Book Antiqua" w:hAnsi="Book Antiqua" w:cs="Book Antiqua"/>
          <w:color w:val="000000"/>
        </w:rPr>
        <w:t xml:space="preserve">has not been previously reported in detail in the stomach. </w:t>
      </w:r>
    </w:p>
    <w:p w14:paraId="4853EC5F" w14:textId="3ECC958C" w:rsidR="00A77B3E" w:rsidRDefault="00CB0905">
      <w:pPr>
        <w:spacing w:line="360" w:lineRule="auto"/>
        <w:ind w:firstLine="240"/>
        <w:jc w:val="both"/>
      </w:pPr>
      <w:r>
        <w:rPr>
          <w:rFonts w:ascii="Book Antiqua" w:eastAsia="Book Antiqua" w:hAnsi="Book Antiqua" w:cs="Book Antiqua"/>
          <w:color w:val="000000"/>
        </w:rPr>
        <w:t>Patients with MSI-H gastric cancer are usually older, with the majority being women. The cancer is mostly</w:t>
      </w:r>
      <w:r w:rsidR="00CC2D36">
        <w:rPr>
          <w:rFonts w:ascii="Book Antiqua" w:eastAsia="Book Antiqua" w:hAnsi="Book Antiqua" w:cs="Book Antiqua"/>
          <w:color w:val="000000"/>
        </w:rPr>
        <w:t xml:space="preserve"> located</w:t>
      </w:r>
      <w:r>
        <w:rPr>
          <w:rFonts w:ascii="Book Antiqua" w:eastAsia="Book Antiqua" w:hAnsi="Book Antiqua" w:cs="Book Antiqua"/>
          <w:color w:val="000000"/>
        </w:rPr>
        <w:t xml:space="preserve"> in the distal part of the stomach; most of the cases are intestinal-type as per Lauren's classification and show less lymph node metastasis. They have a lower recurrence rate and better prognosis compared to those of other subgroups</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However, our patient was an aged </w:t>
      </w:r>
      <w:r w:rsidR="00CC2D36">
        <w:rPr>
          <w:rFonts w:ascii="Book Antiqua" w:eastAsia="Book Antiqua" w:hAnsi="Book Antiqua" w:cs="Book Antiqua"/>
          <w:color w:val="000000"/>
        </w:rPr>
        <w:t xml:space="preserve">man </w:t>
      </w:r>
      <w:r>
        <w:rPr>
          <w:rFonts w:ascii="Book Antiqua" w:eastAsia="Book Antiqua" w:hAnsi="Book Antiqua" w:cs="Book Antiqua"/>
          <w:color w:val="000000"/>
        </w:rPr>
        <w:t>with cancer located near the cardia. Although the tumors were heterogeneous, the intestinal-type part</w:t>
      </w:r>
      <w:r w:rsidR="00CC2D36">
        <w:rPr>
          <w:rFonts w:ascii="Book Antiqua" w:eastAsia="Book Antiqua" w:hAnsi="Book Antiqua" w:cs="Book Antiqua"/>
          <w:color w:val="000000"/>
        </w:rPr>
        <w:t xml:space="preserve"> </w:t>
      </w:r>
      <w:r>
        <w:rPr>
          <w:rFonts w:ascii="Book Antiqua" w:eastAsia="Book Antiqua" w:hAnsi="Book Antiqua" w:cs="Book Antiqua"/>
          <w:color w:val="000000"/>
        </w:rPr>
        <w:t>only occupied a small portion of the tumor. Kawazoe</w:t>
      </w:r>
      <w:r w:rsidR="006B6419">
        <w:rPr>
          <w:rFonts w:ascii="Book Antiqua" w:eastAsia="Book Antiqua" w:hAnsi="Book Antiqua" w:cs="Book Antiqua"/>
          <w:color w:val="000000"/>
        </w:rPr>
        <w:t xml:space="preserve"> </w:t>
      </w:r>
      <w:r w:rsidR="006B6419" w:rsidRPr="006B6419">
        <w:rPr>
          <w:rFonts w:ascii="Book Antiqua" w:eastAsia="Book Antiqua" w:hAnsi="Book Antiqua" w:cs="Book Antiqua"/>
          <w:i/>
          <w:color w:val="000000"/>
        </w:rPr>
        <w:t>et al</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4</w:t>
      </w:r>
      <w:r>
        <w:rPr>
          <w:rFonts w:ascii="Book Antiqua" w:eastAsia="Book Antiqua" w:hAnsi="Book Antiqua" w:cs="Book Antiqua"/>
          <w:color w:val="000000"/>
          <w:szCs w:val="36"/>
          <w:vertAlign w:val="superscript"/>
        </w:rPr>
        <w:t>]</w:t>
      </w:r>
      <w:r w:rsidR="006B6419">
        <w:rPr>
          <w:rFonts w:ascii="Book Antiqua" w:eastAsia="Book Antiqua" w:hAnsi="Book Antiqua" w:cs="Book Antiqua"/>
          <w:color w:val="000000"/>
        </w:rPr>
        <w:t xml:space="preserve"> </w:t>
      </w:r>
      <w:r>
        <w:rPr>
          <w:rFonts w:ascii="Book Antiqua" w:eastAsia="Book Antiqua" w:hAnsi="Book Antiqua" w:cs="Book Antiqua"/>
          <w:color w:val="000000"/>
        </w:rPr>
        <w:t>showed that PD-L1 expression (22C3) in immune cells (ICs) was associated with EBV positivity and lymph node metastasis. Our case showed the expression of PD-L1 only on ICs and high CPS with EBV</w:t>
      </w:r>
      <w:r w:rsidR="00CC2D36">
        <w:rPr>
          <w:rFonts w:ascii="Book Antiqua" w:eastAsia="Book Antiqua" w:hAnsi="Book Antiqua" w:cs="Book Antiqua"/>
          <w:color w:val="000000"/>
        </w:rPr>
        <w:t xml:space="preserve"> negativity </w:t>
      </w:r>
      <w:r>
        <w:rPr>
          <w:rFonts w:ascii="Book Antiqua" w:eastAsia="Book Antiqua" w:hAnsi="Book Antiqua" w:cs="Book Antiqua"/>
          <w:color w:val="000000"/>
        </w:rPr>
        <w:t>and lymph node metastasis. MSI status is considered a practical alternative to the immunotherapy response. Immunotherapy is recommended for patients with MSI-H</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However, our patient did not receive any immunotherapy, but the patient's condition remained stable after 9 mo, and there was no sign of recurrence or metastasis. Additionally, this patient had a large tumor size, many lymph node metastases, and specificity of gene expression. These findings are unusual compared with those in other cases; thus, the patient was asked to </w:t>
      </w:r>
      <w:r w:rsidR="00D64360">
        <w:rPr>
          <w:rFonts w:ascii="Book Antiqua" w:eastAsia="Book Antiqua" w:hAnsi="Book Antiqua" w:cs="Book Antiqua"/>
          <w:color w:val="000000"/>
        </w:rPr>
        <w:t xml:space="preserve">undergo </w:t>
      </w:r>
      <w:r>
        <w:rPr>
          <w:rFonts w:ascii="Book Antiqua" w:eastAsia="Book Antiqua" w:hAnsi="Book Antiqua" w:cs="Book Antiqua"/>
          <w:color w:val="000000"/>
        </w:rPr>
        <w:t>follow-up regularly for safety precautions.</w:t>
      </w:r>
    </w:p>
    <w:p w14:paraId="569FDD5D" w14:textId="77777777" w:rsidR="00A77B3E" w:rsidRDefault="00A77B3E">
      <w:pPr>
        <w:spacing w:line="360" w:lineRule="auto"/>
        <w:ind w:firstLine="240"/>
        <w:jc w:val="both"/>
      </w:pPr>
    </w:p>
    <w:p w14:paraId="4DFC255B" w14:textId="77777777" w:rsidR="00A77B3E" w:rsidRDefault="00CB0905">
      <w:pPr>
        <w:spacing w:line="360" w:lineRule="auto"/>
        <w:jc w:val="both"/>
      </w:pPr>
      <w:r>
        <w:rPr>
          <w:rFonts w:ascii="Book Antiqua" w:eastAsia="Book Antiqua" w:hAnsi="Book Antiqua" w:cs="Book Antiqua"/>
          <w:b/>
          <w:caps/>
          <w:color w:val="000000"/>
          <w:u w:val="single"/>
        </w:rPr>
        <w:t>CONCLUSION</w:t>
      </w:r>
    </w:p>
    <w:p w14:paraId="5D31F577" w14:textId="77777777" w:rsidR="00A77B3E" w:rsidRDefault="00CB0905">
      <w:pPr>
        <w:spacing w:line="360" w:lineRule="auto"/>
        <w:jc w:val="both"/>
      </w:pPr>
      <w:r>
        <w:rPr>
          <w:rFonts w:ascii="Book Antiqua" w:eastAsia="Book Antiqua" w:hAnsi="Book Antiqua" w:cs="Book Antiqua"/>
          <w:color w:val="000000"/>
        </w:rPr>
        <w:t xml:space="preserve">Here, we report a sporadic case with unusual MMR IHC and gene patterns in gastric adenocarcinoma. The patient had a mild reaction to chemotherapy and a good prognosis, and no clinical management implications for the family were identified. An in-depth understanding of the abnormal expression of MMR is helpful for individualized follow-up treatment and assessment of prognosis. </w:t>
      </w:r>
    </w:p>
    <w:p w14:paraId="60A2B52A" w14:textId="77777777" w:rsidR="00A77B3E" w:rsidRDefault="00A77B3E">
      <w:pPr>
        <w:spacing w:line="360" w:lineRule="auto"/>
        <w:jc w:val="both"/>
      </w:pPr>
    </w:p>
    <w:p w14:paraId="5D0CEB6A" w14:textId="77777777" w:rsidR="00A77B3E" w:rsidRDefault="00CB0905">
      <w:pPr>
        <w:spacing w:line="360" w:lineRule="auto"/>
        <w:jc w:val="both"/>
      </w:pPr>
      <w:r>
        <w:rPr>
          <w:rFonts w:ascii="Book Antiqua" w:eastAsia="Book Antiqua" w:hAnsi="Book Antiqua" w:cs="Book Antiqua"/>
          <w:b/>
          <w:caps/>
          <w:color w:val="000000"/>
          <w:u w:val="single"/>
        </w:rPr>
        <w:t>ACKNOWLEDGEMENTS</w:t>
      </w:r>
    </w:p>
    <w:p w14:paraId="53B03592" w14:textId="007D1AD7" w:rsidR="00A77B3E" w:rsidRDefault="00CB0905">
      <w:pPr>
        <w:spacing w:line="360" w:lineRule="auto"/>
        <w:jc w:val="both"/>
      </w:pPr>
      <w:r>
        <w:rPr>
          <w:rFonts w:ascii="Book Antiqua" w:eastAsia="Book Antiqua" w:hAnsi="Book Antiqua" w:cs="Book Antiqua"/>
          <w:color w:val="000000"/>
        </w:rPr>
        <w:t xml:space="preserve">The authors thank all the clinicians and nurses involved </w:t>
      </w:r>
      <w:r w:rsidR="00D64360">
        <w:rPr>
          <w:rFonts w:ascii="Book Antiqua" w:eastAsia="Book Antiqua" w:hAnsi="Book Antiqua" w:cs="Book Antiqua"/>
          <w:color w:val="000000"/>
        </w:rPr>
        <w:t xml:space="preserve">in </w:t>
      </w:r>
      <w:r>
        <w:rPr>
          <w:rFonts w:ascii="Book Antiqua" w:eastAsia="Book Antiqua" w:hAnsi="Book Antiqua" w:cs="Book Antiqua"/>
          <w:color w:val="000000"/>
        </w:rPr>
        <w:t>the treatment of this case.</w:t>
      </w:r>
    </w:p>
    <w:p w14:paraId="2A0409BE" w14:textId="77777777" w:rsidR="00A77B3E" w:rsidRDefault="00A77B3E">
      <w:pPr>
        <w:spacing w:line="360" w:lineRule="auto"/>
        <w:jc w:val="both"/>
      </w:pPr>
    </w:p>
    <w:p w14:paraId="77F6807B" w14:textId="77777777" w:rsidR="00A77B3E" w:rsidRDefault="00CB0905">
      <w:pPr>
        <w:spacing w:line="360" w:lineRule="auto"/>
        <w:jc w:val="both"/>
      </w:pPr>
      <w:r>
        <w:rPr>
          <w:rFonts w:ascii="Book Antiqua" w:eastAsia="Book Antiqua" w:hAnsi="Book Antiqua" w:cs="Book Antiqua"/>
          <w:b/>
          <w:color w:val="000000"/>
        </w:rPr>
        <w:t>REFERENCES</w:t>
      </w:r>
    </w:p>
    <w:p w14:paraId="46ABF34E" w14:textId="77777777" w:rsidR="00A77B3E" w:rsidRDefault="00CB090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Cancer Genome Atlas Research Network</w:t>
      </w:r>
      <w:r>
        <w:rPr>
          <w:rFonts w:ascii="Book Antiqua" w:eastAsia="Book Antiqua" w:hAnsi="Book Antiqua" w:cs="Book Antiqua"/>
          <w:color w:val="000000"/>
        </w:rPr>
        <w:t xml:space="preserve">. Comprehensive molecular characterization of gastric adenocarcinoma.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513</w:t>
      </w:r>
      <w:r>
        <w:rPr>
          <w:rFonts w:ascii="Book Antiqua" w:eastAsia="Book Antiqua" w:hAnsi="Book Antiqua" w:cs="Book Antiqua"/>
          <w:color w:val="000000"/>
        </w:rPr>
        <w:t>: 202-209 [PMID: 25079317 DOI: 10.1038/nature13480]</w:t>
      </w:r>
    </w:p>
    <w:p w14:paraId="4DA1E4A8" w14:textId="77777777" w:rsidR="00A77B3E" w:rsidRDefault="00CB090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Katoh H</w:t>
      </w:r>
      <w:r>
        <w:rPr>
          <w:rFonts w:ascii="Book Antiqua" w:eastAsia="Book Antiqua" w:hAnsi="Book Antiqua" w:cs="Book Antiqua"/>
          <w:color w:val="000000"/>
        </w:rPr>
        <w:t xml:space="preserve">, Ishikawa S. Genomic pathobiology of gastric carcinoma. </w:t>
      </w:r>
      <w:r>
        <w:rPr>
          <w:rFonts w:ascii="Book Antiqua" w:eastAsia="Book Antiqua" w:hAnsi="Book Antiqua" w:cs="Book Antiqua"/>
          <w:i/>
          <w:iCs/>
          <w:color w:val="000000"/>
        </w:rPr>
        <w:t>Pathol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63-71 [PMID: 28004449 DOI: 10.1111/pin.12493]</w:t>
      </w:r>
    </w:p>
    <w:p w14:paraId="56CDDB65" w14:textId="77777777" w:rsidR="00A77B3E" w:rsidRDefault="00CB090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Zappasodi R</w:t>
      </w:r>
      <w:r>
        <w:rPr>
          <w:rFonts w:ascii="Book Antiqua" w:eastAsia="Book Antiqua" w:hAnsi="Book Antiqua" w:cs="Book Antiqua"/>
          <w:color w:val="000000"/>
        </w:rPr>
        <w:t xml:space="preserve">, Merghoub T, Wolchok JD. Emerging Concepts for Immune Checkpoint Blockade-Based Combination Therapies.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581-598 [PMID: 29634946 DOI: 10.1016/j.ccell.2018.03.005]</w:t>
      </w:r>
    </w:p>
    <w:p w14:paraId="32668DC8" w14:textId="77777777" w:rsidR="00A77B3E" w:rsidRDefault="00CB090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Zhao X</w:t>
      </w:r>
      <w:r>
        <w:rPr>
          <w:rFonts w:ascii="Book Antiqua" w:eastAsia="Book Antiqua" w:hAnsi="Book Antiqua" w:cs="Book Antiqua"/>
          <w:color w:val="000000"/>
        </w:rPr>
        <w:t xml:space="preserve">, Dai D, Li X, Shen B, Chen X, Shu Y, Wang D. A polymorphism within the mismatch repair gene predicts prognosis and adjuvant chemotherapy benefit in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1121-1129 [PMID: 30989434 DOI: 10.1007/s10120-019-00962-8]</w:t>
      </w:r>
    </w:p>
    <w:p w14:paraId="2359EE33" w14:textId="77777777" w:rsidR="00A77B3E" w:rsidRDefault="00CB090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Liu D</w:t>
      </w:r>
      <w:r>
        <w:rPr>
          <w:rFonts w:ascii="Book Antiqua" w:eastAsia="Book Antiqua" w:hAnsi="Book Antiqua" w:cs="Book Antiqua"/>
          <w:color w:val="000000"/>
        </w:rPr>
        <w:t xml:space="preserve">, Keijzers G, Rasmussen LJ. DNA mismatch repair and its many roles in eukaryotic cells. </w:t>
      </w:r>
      <w:r>
        <w:rPr>
          <w:rFonts w:ascii="Book Antiqua" w:eastAsia="Book Antiqua" w:hAnsi="Book Antiqua" w:cs="Book Antiqua"/>
          <w:i/>
          <w:iCs/>
          <w:color w:val="000000"/>
        </w:rPr>
        <w:t>Mutat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773</w:t>
      </w:r>
      <w:r>
        <w:rPr>
          <w:rFonts w:ascii="Book Antiqua" w:eastAsia="Book Antiqua" w:hAnsi="Book Antiqua" w:cs="Book Antiqua"/>
          <w:color w:val="000000"/>
        </w:rPr>
        <w:t>: 174-187 [PMID: 28927527 DOI: 10.1016/j.mrrev.2017.07.001]</w:t>
      </w:r>
    </w:p>
    <w:p w14:paraId="4C13EB60" w14:textId="77777777" w:rsidR="00A77B3E" w:rsidRDefault="00CB090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Lee V</w:t>
      </w:r>
      <w:r>
        <w:rPr>
          <w:rFonts w:ascii="Book Antiqua" w:eastAsia="Book Antiqua" w:hAnsi="Book Antiqua" w:cs="Book Antiqua"/>
          <w:color w:val="000000"/>
        </w:rPr>
        <w:t xml:space="preserve">, Murphy A, Le DT, Diaz LA Jr. Mismatch Repair Deficiency and Response to Immune Checkpoint Blockade.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1200-1211 [PMID: 27412392 DOI: 10.1634/theoncologist.2016-0046]</w:t>
      </w:r>
    </w:p>
    <w:p w14:paraId="33399B57" w14:textId="77777777" w:rsidR="00A77B3E" w:rsidRDefault="00CB090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Kawakami H</w:t>
      </w:r>
      <w:r>
        <w:rPr>
          <w:rFonts w:ascii="Book Antiqua" w:eastAsia="Book Antiqua" w:hAnsi="Book Antiqua" w:cs="Book Antiqua"/>
          <w:color w:val="000000"/>
        </w:rPr>
        <w:t xml:space="preserve">, Zaanan A, Sinicrope FA. Microsatellite instability testing and its role in the management of colorectal cancer. </w:t>
      </w:r>
      <w:r>
        <w:rPr>
          <w:rFonts w:ascii="Book Antiqua" w:eastAsia="Book Antiqua" w:hAnsi="Book Antiqua" w:cs="Book Antiqua"/>
          <w:i/>
          <w:iCs/>
          <w:color w:val="000000"/>
        </w:rPr>
        <w:t>Curr Treat Options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30 [PMID: 26031544 DOI: 10.1007/s11864-015-0348-2]</w:t>
      </w:r>
    </w:p>
    <w:p w14:paraId="44092DCD" w14:textId="77777777" w:rsidR="00A77B3E" w:rsidRDefault="00CB090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Hagen CE</w:t>
      </w:r>
      <w:r>
        <w:rPr>
          <w:rFonts w:ascii="Book Antiqua" w:eastAsia="Book Antiqua" w:hAnsi="Book Antiqua" w:cs="Book Antiqua"/>
          <w:color w:val="000000"/>
        </w:rPr>
        <w:t xml:space="preserve">, Lefferts J, Hornick JL, Srivastava A. "Null pattern" of immunoreactivity in a Lynch syndrome-associated colon cancer due to germline MSH2 mutation and somatic MLH1 hypermethylation.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1902-1905 [PMID: 22067334 DOI: 10.1097/PAS.0b013e318237c6ab]</w:t>
      </w:r>
    </w:p>
    <w:p w14:paraId="2F2ED91B" w14:textId="77777777" w:rsidR="00A77B3E" w:rsidRDefault="00CB090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Wang T</w:t>
      </w:r>
      <w:r>
        <w:rPr>
          <w:rFonts w:ascii="Book Antiqua" w:eastAsia="Book Antiqua" w:hAnsi="Book Antiqua" w:cs="Book Antiqua"/>
          <w:color w:val="000000"/>
        </w:rPr>
        <w:t xml:space="preserve">, Stadler ZK, Zhang L, Weiser MR, Basturk O, Hechtman JF, Vakiani E, Saltz LB, Klimstra DS, Shia J. Immunohistochemical null-phenotype for mismatch repair proteins in colonic carcinoma associated with concurrent MLH1 hypermethylation and MSH2 somatic mutations. </w:t>
      </w:r>
      <w:r>
        <w:rPr>
          <w:rFonts w:ascii="Book Antiqua" w:eastAsia="Book Antiqua" w:hAnsi="Book Antiqua" w:cs="Book Antiqua"/>
          <w:i/>
          <w:iCs/>
          <w:color w:val="000000"/>
        </w:rPr>
        <w:t>Fam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225-228 [PMID: 28819720 DOI: 10.1007/s10689-017-0031-9]</w:t>
      </w:r>
    </w:p>
    <w:p w14:paraId="334BAD29" w14:textId="77777777" w:rsidR="00A77B3E" w:rsidRDefault="00CB090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Westwood A</w:t>
      </w:r>
      <w:r>
        <w:rPr>
          <w:rFonts w:ascii="Book Antiqua" w:eastAsia="Book Antiqua" w:hAnsi="Book Antiqua" w:cs="Book Antiqua"/>
          <w:color w:val="000000"/>
        </w:rPr>
        <w:t xml:space="preserve">, Glover A, Hutchins G, Young C, Brockmoeller S, Robinson R, Worrilow L, Wallace D, Rankeillor K, Adlard J, Quirke P, West N. Additional loss of MSH2 and MSH6 expression in sporadic deficient mismatch repair colorectal cancer due to MLH1 promoter hypermethylation. </w:t>
      </w:r>
      <w:r>
        <w:rPr>
          <w:rFonts w:ascii="Book Antiqua" w:eastAsia="Book Antiqua" w:hAnsi="Book Antiqua" w:cs="Book Antiqua"/>
          <w:i/>
          <w:iCs/>
          <w:color w:val="000000"/>
        </w:rPr>
        <w:t>J Clin 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72</w:t>
      </w:r>
      <w:r>
        <w:rPr>
          <w:rFonts w:ascii="Book Antiqua" w:eastAsia="Book Antiqua" w:hAnsi="Book Antiqua" w:cs="Book Antiqua"/>
          <w:color w:val="000000"/>
        </w:rPr>
        <w:t>: 443-447 [PMID: 30723092 DOI: 10.1136/jclinpath-2018-205687]</w:t>
      </w:r>
    </w:p>
    <w:p w14:paraId="793EDB41" w14:textId="77777777" w:rsidR="00A77B3E" w:rsidRDefault="00CB090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Liu Y</w:t>
      </w:r>
      <w:r>
        <w:rPr>
          <w:rFonts w:ascii="Book Antiqua" w:eastAsia="Book Antiqua" w:hAnsi="Book Antiqua" w:cs="Book Antiqua"/>
          <w:color w:val="000000"/>
        </w:rPr>
        <w:t xml:space="preserve">, Sethi NS, Hinoue T, Schneider BG, Cherniack AD, Sanchez-Vega F, Seoane JA, Farshidfar F, Bowlby R, Islam M, Kim J, Chatila W, Akbani R, Kanchi RS, Rabkin CS, Willis JE, Wang KK, McCall SJ, Mishra L, Ojesina AI, Bullman S, Pedamallu CS, Lazar AJ, Sakai R; Cancer Genome Atlas Research Network, Thorsson V, Bass AJ, Laird PW. Comparative Molecular Analysis of Gastrointestinal Adenocarcinomas.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721-735.e8 [PMID: 29622466 DOI: 10.1016/j.ccell.2018.03.010]</w:t>
      </w:r>
    </w:p>
    <w:p w14:paraId="7B6E32E3" w14:textId="77777777" w:rsidR="00A77B3E" w:rsidRDefault="00CB090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Cho J</w:t>
      </w:r>
      <w:r>
        <w:rPr>
          <w:rFonts w:ascii="Book Antiqua" w:eastAsia="Book Antiqua" w:hAnsi="Book Antiqua" w:cs="Book Antiqua"/>
          <w:color w:val="000000"/>
        </w:rPr>
        <w:t xml:space="preserve">, Kang SY, Kim KM. MMR protein immunohistochemistry and microsatellite instability in gastric cancers.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110-113 [PMID: 30497803 DOI: 10.1016/j.pathol.2018.09.057]</w:t>
      </w:r>
    </w:p>
    <w:p w14:paraId="4DA32C6B" w14:textId="77777777" w:rsidR="00A77B3E" w:rsidRDefault="00CB090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Bae YS</w:t>
      </w:r>
      <w:r>
        <w:rPr>
          <w:rFonts w:ascii="Book Antiqua" w:eastAsia="Book Antiqua" w:hAnsi="Book Antiqua" w:cs="Book Antiqua"/>
          <w:color w:val="000000"/>
        </w:rPr>
        <w:t xml:space="preserve">, Kim H, Noh SH, Kim H. Usefulness of Immunohistochemistry for Microsatellite Instability Screening in Gastric Cancer.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629-635 [PMID: 26343070 DOI: 10.5009/gnl15133]</w:t>
      </w:r>
    </w:p>
    <w:p w14:paraId="07EBEBC0" w14:textId="77777777" w:rsidR="00A77B3E" w:rsidRDefault="00CB090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Kawazoe A</w:t>
      </w:r>
      <w:r>
        <w:rPr>
          <w:rFonts w:ascii="Book Antiqua" w:eastAsia="Book Antiqua" w:hAnsi="Book Antiqua" w:cs="Book Antiqua"/>
          <w:color w:val="000000"/>
        </w:rPr>
        <w:t xml:space="preserve">, Shitara K, Kuboki Y, Bando H, Kojima T, Yoshino T, Ohtsu A, Ochiai A, Togashi Y, Nishikawa H, Doi T, Kuwata T. Clinicopathological features of 22C3 PD-L1 expression with mismatch repair, Epstein-Barr virus status, and cancer genome alterations in metastatic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69-76 [PMID: 29859006 DOI: 10.1007/s10120-018-0843-9]</w:t>
      </w:r>
    </w:p>
    <w:p w14:paraId="00BFE74A" w14:textId="77777777" w:rsidR="00A77B3E" w:rsidRDefault="00CB090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Chivu-Economescu M</w:t>
      </w:r>
      <w:r>
        <w:rPr>
          <w:rFonts w:ascii="Book Antiqua" w:eastAsia="Book Antiqua" w:hAnsi="Book Antiqua" w:cs="Book Antiqua"/>
          <w:color w:val="000000"/>
        </w:rPr>
        <w:t xml:space="preserve">, Matei L, Necula LG, Dragu DL, Bleotu C, Diaconu CC. New therapeutic options opened by the molecular classification of gastric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1942-1961 [PMID: 29760539 DOI: 10.3748/wjg.v24.i18.1942]</w:t>
      </w:r>
    </w:p>
    <w:p w14:paraId="5D18C0B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9A74871" w14:textId="77777777" w:rsidR="00A77B3E" w:rsidRDefault="00CB0905">
      <w:pPr>
        <w:spacing w:line="360" w:lineRule="auto"/>
        <w:jc w:val="both"/>
      </w:pPr>
      <w:r>
        <w:rPr>
          <w:rFonts w:ascii="Book Antiqua" w:eastAsia="Book Antiqua" w:hAnsi="Book Antiqua" w:cs="Book Antiqua"/>
          <w:b/>
          <w:color w:val="000000"/>
        </w:rPr>
        <w:t>Footnotes</w:t>
      </w:r>
    </w:p>
    <w:p w14:paraId="4192C8F4" w14:textId="77777777" w:rsidR="00A77B3E" w:rsidRDefault="00CB0905">
      <w:pPr>
        <w:spacing w:line="360" w:lineRule="auto"/>
        <w:jc w:val="both"/>
      </w:pPr>
      <w:r>
        <w:rPr>
          <w:rFonts w:ascii="Book Antiqua" w:eastAsia="Book Antiqua" w:hAnsi="Book Antiqua" w:cs="Book Antiqua"/>
          <w:b/>
          <w:bCs/>
          <w:color w:val="000000"/>
          <w:szCs w:val="21"/>
        </w:rPr>
        <w:t>Informed consent statement:</w:t>
      </w:r>
      <w:r w:rsidR="004709D4">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The patient provided informed written consent prior to study enrollment.</w:t>
      </w:r>
    </w:p>
    <w:p w14:paraId="3734116E" w14:textId="77777777" w:rsidR="00A77B3E" w:rsidRDefault="00A77B3E">
      <w:pPr>
        <w:spacing w:line="360" w:lineRule="auto"/>
        <w:jc w:val="both"/>
      </w:pPr>
    </w:p>
    <w:p w14:paraId="638D8C2A" w14:textId="4D987D3D" w:rsidR="00A77B3E" w:rsidRDefault="00CB090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competing interests</w:t>
      </w:r>
      <w:r w:rsidR="00D64360">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484713FB" w14:textId="77777777" w:rsidR="00A77B3E" w:rsidRDefault="00A77B3E">
      <w:pPr>
        <w:spacing w:line="360" w:lineRule="auto"/>
        <w:jc w:val="both"/>
      </w:pPr>
    </w:p>
    <w:p w14:paraId="69D64D29" w14:textId="77777777" w:rsidR="00A77B3E" w:rsidRDefault="00CB090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D5B1AF3" w14:textId="77777777" w:rsidR="00A77B3E" w:rsidRDefault="00A77B3E">
      <w:pPr>
        <w:spacing w:line="360" w:lineRule="auto"/>
        <w:jc w:val="both"/>
      </w:pPr>
    </w:p>
    <w:p w14:paraId="0B25BC30" w14:textId="77777777" w:rsidR="00A77B3E" w:rsidRDefault="00CB09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B14418" w14:textId="77777777" w:rsidR="00A77B3E" w:rsidRDefault="00A77B3E">
      <w:pPr>
        <w:spacing w:line="360" w:lineRule="auto"/>
        <w:jc w:val="both"/>
      </w:pPr>
    </w:p>
    <w:p w14:paraId="488E3192" w14:textId="77777777" w:rsidR="00A77B3E" w:rsidRDefault="00CB090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F2F3B">
        <w:rPr>
          <w:rFonts w:ascii="Book Antiqua" w:eastAsia="Book Antiqua" w:hAnsi="Book Antiqua" w:cs="Book Antiqua"/>
          <w:color w:val="000000"/>
        </w:rPr>
        <w:t>m</w:t>
      </w:r>
      <w:r>
        <w:rPr>
          <w:rFonts w:ascii="Book Antiqua" w:eastAsia="Book Antiqua" w:hAnsi="Book Antiqua" w:cs="Book Antiqua"/>
          <w:color w:val="000000"/>
        </w:rPr>
        <w:t>anuscript</w:t>
      </w:r>
    </w:p>
    <w:p w14:paraId="12109A9D" w14:textId="77777777" w:rsidR="00A77B3E" w:rsidRDefault="00A77B3E">
      <w:pPr>
        <w:spacing w:line="360" w:lineRule="auto"/>
        <w:jc w:val="both"/>
      </w:pPr>
    </w:p>
    <w:p w14:paraId="22083415" w14:textId="77777777" w:rsidR="00A77B3E" w:rsidRDefault="00CB09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17, 2021</w:t>
      </w:r>
    </w:p>
    <w:p w14:paraId="2FC2C233" w14:textId="77777777" w:rsidR="00A77B3E" w:rsidRDefault="00CB09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4, 2021</w:t>
      </w:r>
    </w:p>
    <w:p w14:paraId="5DA0FDAF" w14:textId="205B75DA" w:rsidR="00A77B3E" w:rsidRDefault="00CB0905">
      <w:pPr>
        <w:spacing w:line="360" w:lineRule="auto"/>
        <w:jc w:val="both"/>
      </w:pPr>
      <w:r>
        <w:rPr>
          <w:rFonts w:ascii="Book Antiqua" w:eastAsia="Book Antiqua" w:hAnsi="Book Antiqua" w:cs="Book Antiqua"/>
          <w:b/>
          <w:color w:val="000000"/>
        </w:rPr>
        <w:t xml:space="preserve">Article in press: </w:t>
      </w:r>
      <w:r w:rsidR="001C33A2" w:rsidRPr="00635291">
        <w:rPr>
          <w:rFonts w:ascii="Book Antiqua" w:eastAsia="Book Antiqua" w:hAnsi="Book Antiqua" w:cs="Book Antiqua"/>
          <w:color w:val="000000"/>
        </w:rPr>
        <w:t>May 19, 2021</w:t>
      </w:r>
    </w:p>
    <w:p w14:paraId="043116A4" w14:textId="77777777" w:rsidR="00A77B3E" w:rsidRDefault="00A77B3E">
      <w:pPr>
        <w:spacing w:line="360" w:lineRule="auto"/>
        <w:jc w:val="both"/>
      </w:pPr>
    </w:p>
    <w:p w14:paraId="6A3E52EA" w14:textId="77777777" w:rsidR="00A77B3E" w:rsidRDefault="00CB090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73FFC3D4" w14:textId="77777777" w:rsidR="00A77B3E" w:rsidRDefault="00CB09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08A0A4" w14:textId="77777777" w:rsidR="00A77B3E" w:rsidRDefault="00CB0905">
      <w:pPr>
        <w:spacing w:line="360" w:lineRule="auto"/>
        <w:jc w:val="both"/>
      </w:pPr>
      <w:r>
        <w:rPr>
          <w:rFonts w:ascii="Book Antiqua" w:eastAsia="Book Antiqua" w:hAnsi="Book Antiqua" w:cs="Book Antiqua"/>
          <w:b/>
          <w:color w:val="000000"/>
        </w:rPr>
        <w:t>Peer-review report’s scientific quality classification</w:t>
      </w:r>
    </w:p>
    <w:p w14:paraId="04077A8A" w14:textId="77777777" w:rsidR="00A77B3E" w:rsidRDefault="00CB0905">
      <w:pPr>
        <w:spacing w:line="360" w:lineRule="auto"/>
        <w:jc w:val="both"/>
      </w:pPr>
      <w:r>
        <w:rPr>
          <w:rFonts w:ascii="Book Antiqua" w:eastAsia="Book Antiqua" w:hAnsi="Book Antiqua" w:cs="Book Antiqua"/>
          <w:color w:val="000000"/>
        </w:rPr>
        <w:t>Grade A (Excellent): 0</w:t>
      </w:r>
    </w:p>
    <w:p w14:paraId="2DF4B422" w14:textId="77777777" w:rsidR="00A77B3E" w:rsidRDefault="00CB0905">
      <w:pPr>
        <w:spacing w:line="360" w:lineRule="auto"/>
        <w:jc w:val="both"/>
      </w:pPr>
      <w:r>
        <w:rPr>
          <w:rFonts w:ascii="Book Antiqua" w:eastAsia="Book Antiqua" w:hAnsi="Book Antiqua" w:cs="Book Antiqua"/>
          <w:color w:val="000000"/>
        </w:rPr>
        <w:t>Grade B (Very good): B</w:t>
      </w:r>
    </w:p>
    <w:p w14:paraId="1FAF5871" w14:textId="77777777" w:rsidR="00A77B3E" w:rsidRDefault="00CB0905">
      <w:pPr>
        <w:spacing w:line="360" w:lineRule="auto"/>
        <w:jc w:val="both"/>
      </w:pPr>
      <w:r>
        <w:rPr>
          <w:rFonts w:ascii="Book Antiqua" w:eastAsia="Book Antiqua" w:hAnsi="Book Antiqua" w:cs="Book Antiqua"/>
          <w:color w:val="000000"/>
        </w:rPr>
        <w:t>Grade C (Good): C</w:t>
      </w:r>
    </w:p>
    <w:p w14:paraId="24E0A398" w14:textId="77777777" w:rsidR="00A77B3E" w:rsidRDefault="00CB0905">
      <w:pPr>
        <w:spacing w:line="360" w:lineRule="auto"/>
        <w:jc w:val="both"/>
      </w:pPr>
      <w:r>
        <w:rPr>
          <w:rFonts w:ascii="Book Antiqua" w:eastAsia="Book Antiqua" w:hAnsi="Book Antiqua" w:cs="Book Antiqua"/>
          <w:color w:val="000000"/>
        </w:rPr>
        <w:t>Grade D (Fair): 0</w:t>
      </w:r>
    </w:p>
    <w:p w14:paraId="58F0CF11" w14:textId="77777777" w:rsidR="00A77B3E" w:rsidRDefault="00CB0905">
      <w:pPr>
        <w:spacing w:line="360" w:lineRule="auto"/>
        <w:jc w:val="both"/>
      </w:pPr>
      <w:r>
        <w:rPr>
          <w:rFonts w:ascii="Book Antiqua" w:eastAsia="Book Antiqua" w:hAnsi="Book Antiqua" w:cs="Book Antiqua"/>
          <w:color w:val="000000"/>
        </w:rPr>
        <w:t>Grade E (Poor): 0</w:t>
      </w:r>
    </w:p>
    <w:p w14:paraId="294498A4" w14:textId="77777777" w:rsidR="00A77B3E" w:rsidRDefault="00A77B3E">
      <w:pPr>
        <w:spacing w:line="360" w:lineRule="auto"/>
        <w:jc w:val="both"/>
      </w:pPr>
    </w:p>
    <w:p w14:paraId="47A0A0C5" w14:textId="55A33E39" w:rsidR="00A77B3E" w:rsidRPr="00EA2F63" w:rsidRDefault="00CB0905">
      <w:pPr>
        <w:spacing w:line="360" w:lineRule="auto"/>
        <w:jc w:val="both"/>
        <w:rPr>
          <w:bCs/>
        </w:rPr>
        <w:sectPr w:rsidR="00A77B3E" w:rsidRPr="00EA2F6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Naem A, Villarejo-Campos P</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D64360" w:rsidRPr="00122EC6">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EA2F63">
        <w:rPr>
          <w:rFonts w:ascii="Book Antiqua" w:eastAsia="Book Antiqua" w:hAnsi="Book Antiqua" w:cs="Book Antiqua"/>
          <w:b/>
          <w:color w:val="000000"/>
        </w:rPr>
        <w:t xml:space="preserve"> </w:t>
      </w:r>
      <w:bookmarkStart w:id="6" w:name="_Hlk76934952"/>
      <w:r w:rsidR="00EA2F63">
        <w:rPr>
          <w:rFonts w:ascii="Book Antiqua" w:eastAsia="Book Antiqua" w:hAnsi="Book Antiqua" w:cs="Book Antiqua"/>
          <w:bCs/>
          <w:color w:val="000000"/>
        </w:rPr>
        <w:t>Wang LYT</w:t>
      </w:r>
      <w:bookmarkEnd w:id="6"/>
    </w:p>
    <w:p w14:paraId="7844938F" w14:textId="77777777" w:rsidR="00A77B3E" w:rsidRDefault="00CB0905">
      <w:pPr>
        <w:spacing w:line="360" w:lineRule="auto"/>
        <w:jc w:val="both"/>
      </w:pPr>
      <w:r>
        <w:rPr>
          <w:rFonts w:ascii="Book Antiqua" w:eastAsia="Book Antiqua" w:hAnsi="Book Antiqua" w:cs="Book Antiqua"/>
          <w:b/>
          <w:color w:val="000000"/>
        </w:rPr>
        <w:t>Figure Legends</w:t>
      </w:r>
    </w:p>
    <w:p w14:paraId="79DDC7A9" w14:textId="77777777" w:rsidR="00AF2F3B" w:rsidRDefault="00AF2F3B">
      <w:pPr>
        <w:spacing w:line="360" w:lineRule="auto"/>
        <w:jc w:val="both"/>
        <w:rPr>
          <w:rFonts w:ascii="Book Antiqua" w:eastAsia="Book Antiqua" w:hAnsi="Book Antiqua" w:cs="Book Antiqua"/>
          <w:b/>
          <w:bCs/>
          <w:color w:val="000000"/>
        </w:rPr>
      </w:pPr>
      <w:r>
        <w:rPr>
          <w:noProof/>
          <w:lang w:eastAsia="zh-CN"/>
        </w:rPr>
        <w:drawing>
          <wp:inline distT="0" distB="0" distL="0" distR="0" wp14:anchorId="69A930AE" wp14:editId="1ABD7C5F">
            <wp:extent cx="5943600" cy="2894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94330"/>
                    </a:xfrm>
                    <a:prstGeom prst="rect">
                      <a:avLst/>
                    </a:prstGeom>
                  </pic:spPr>
                </pic:pic>
              </a:graphicData>
            </a:graphic>
          </wp:inline>
        </w:drawing>
      </w:r>
    </w:p>
    <w:p w14:paraId="4C41A231" w14:textId="5A7B5C3B" w:rsidR="00A77B3E" w:rsidRDefault="00CB0905">
      <w:pPr>
        <w:spacing w:line="360" w:lineRule="auto"/>
        <w:jc w:val="both"/>
      </w:pPr>
      <w:r w:rsidRPr="004C30C8">
        <w:rPr>
          <w:rFonts w:ascii="Book Antiqua" w:eastAsia="Book Antiqua" w:hAnsi="Book Antiqua" w:cs="Book Antiqua"/>
          <w:b/>
          <w:bCs/>
          <w:color w:val="000000"/>
        </w:rPr>
        <w:t>Fig</w:t>
      </w:r>
      <w:r w:rsidR="00AF2F3B" w:rsidRPr="004C30C8">
        <w:rPr>
          <w:rFonts w:ascii="Book Antiqua" w:eastAsia="Book Antiqua" w:hAnsi="Book Antiqua" w:cs="Book Antiqua"/>
          <w:b/>
          <w:bCs/>
          <w:color w:val="000000"/>
        </w:rPr>
        <w:t>ure</w:t>
      </w:r>
      <w:r w:rsidRPr="004C30C8">
        <w:rPr>
          <w:rFonts w:ascii="Book Antiqua" w:eastAsia="Book Antiqua" w:hAnsi="Book Antiqua" w:cs="Book Antiqua"/>
          <w:b/>
          <w:bCs/>
          <w:color w:val="000000"/>
        </w:rPr>
        <w:t xml:space="preserve"> 1 </w:t>
      </w:r>
      <w:r w:rsidRPr="004C30C8">
        <w:rPr>
          <w:rFonts w:ascii="Book Antiqua" w:eastAsia="Book Antiqua" w:hAnsi="Book Antiqua" w:cs="Book Antiqua"/>
          <w:b/>
          <w:color w:val="000000"/>
        </w:rPr>
        <w:t>Pathological characteristics.</w:t>
      </w:r>
      <w:r>
        <w:rPr>
          <w:rFonts w:ascii="Book Antiqua" w:eastAsia="Book Antiqua" w:hAnsi="Book Antiqua" w:cs="Book Antiqua"/>
          <w:color w:val="000000"/>
        </w:rPr>
        <w:t xml:space="preserve"> A: Gross appearance of </w:t>
      </w:r>
      <w:r w:rsidR="00D64360">
        <w:rPr>
          <w:rFonts w:ascii="Book Antiqua" w:eastAsia="Book Antiqua" w:hAnsi="Book Antiqua" w:cs="Book Antiqua"/>
          <w:color w:val="000000"/>
        </w:rPr>
        <w:t xml:space="preserve">the </w:t>
      </w:r>
      <w:r>
        <w:rPr>
          <w:rFonts w:ascii="Book Antiqua" w:eastAsia="Book Antiqua" w:hAnsi="Book Antiqua" w:cs="Book Antiqua"/>
          <w:color w:val="000000"/>
        </w:rPr>
        <w:t>tumor; B: Microscopic appearance of</w:t>
      </w:r>
      <w:r w:rsidR="00D64360">
        <w:rPr>
          <w:rFonts w:ascii="Book Antiqua" w:eastAsia="Book Antiqua" w:hAnsi="Book Antiqua" w:cs="Book Antiqua"/>
          <w:color w:val="000000"/>
        </w:rPr>
        <w:t xml:space="preserve"> the</w:t>
      </w:r>
      <w:r>
        <w:rPr>
          <w:rFonts w:ascii="Book Antiqua" w:eastAsia="Book Antiqua" w:hAnsi="Book Antiqua" w:cs="Book Antiqua"/>
          <w:color w:val="000000"/>
        </w:rPr>
        <w:t xml:space="preserve"> tumor with necrosis; C: Microscopic appearance of </w:t>
      </w:r>
      <w:r w:rsidR="00D64360">
        <w:rPr>
          <w:rFonts w:ascii="Book Antiqua" w:eastAsia="Book Antiqua" w:hAnsi="Book Antiqua" w:cs="Book Antiqua"/>
          <w:color w:val="000000"/>
        </w:rPr>
        <w:t xml:space="preserve">the </w:t>
      </w:r>
      <w:r>
        <w:rPr>
          <w:rFonts w:ascii="Book Antiqua" w:eastAsia="Book Antiqua" w:hAnsi="Book Antiqua" w:cs="Book Antiqua"/>
          <w:color w:val="000000"/>
        </w:rPr>
        <w:t xml:space="preserve">tumor with solid pattern and lymphatic stroma; D: The tumor cells </w:t>
      </w:r>
      <w:r w:rsidR="00D64360">
        <w:rPr>
          <w:rFonts w:ascii="Book Antiqua" w:eastAsia="Book Antiqua" w:hAnsi="Book Antiqua" w:cs="Book Antiqua"/>
          <w:color w:val="000000"/>
        </w:rPr>
        <w:t xml:space="preserve">were </w:t>
      </w:r>
      <w:r>
        <w:rPr>
          <w:rFonts w:ascii="Book Antiqua" w:eastAsia="Book Antiqua" w:hAnsi="Book Antiqua" w:cs="Book Antiqua"/>
          <w:color w:val="000000"/>
        </w:rPr>
        <w:t xml:space="preserve">positive for cytokeratin AE1/AE3 by </w:t>
      </w:r>
      <w:r w:rsidR="006436AA" w:rsidRPr="006436AA">
        <w:rPr>
          <w:rFonts w:ascii="Book Antiqua" w:eastAsia="Book Antiqua" w:hAnsi="Book Antiqua" w:cs="Book Antiqua"/>
          <w:color w:val="000000"/>
        </w:rPr>
        <w:t>immunohistochemical staining</w:t>
      </w:r>
      <w:r>
        <w:rPr>
          <w:rFonts w:ascii="Book Antiqua" w:eastAsia="Book Antiqua" w:hAnsi="Book Antiqua" w:cs="Book Antiqua"/>
          <w:color w:val="000000"/>
        </w:rPr>
        <w:t>; E: High expression of PDL1</w:t>
      </w:r>
      <w:r w:rsidR="0020441A">
        <w:rPr>
          <w:rFonts w:ascii="Book Antiqua" w:eastAsia="Book Antiqua" w:hAnsi="Book Antiqua" w:cs="Book Antiqua"/>
          <w:color w:val="000000"/>
        </w:rPr>
        <w:t xml:space="preserve"> </w:t>
      </w:r>
      <w:r>
        <w:rPr>
          <w:rFonts w:ascii="Book Antiqua" w:eastAsia="Book Antiqua" w:hAnsi="Book Antiqua" w:cs="Book Antiqua"/>
          <w:color w:val="000000"/>
        </w:rPr>
        <w:t xml:space="preserve">(22C3) CPS&gt;1; F: </w:t>
      </w:r>
      <w:r w:rsidR="00706DC4" w:rsidRPr="00706DC4">
        <w:rPr>
          <w:rFonts w:ascii="Book Antiqua" w:eastAsia="Book Antiqua" w:hAnsi="Book Antiqua" w:cs="Book Antiqua"/>
          <w:color w:val="000000"/>
        </w:rPr>
        <w:t>Epstein–Barr virus</w:t>
      </w:r>
      <w:r>
        <w:rPr>
          <w:rFonts w:ascii="Book Antiqua" w:eastAsia="Book Antiqua" w:hAnsi="Book Antiqua" w:cs="Book Antiqua"/>
          <w:color w:val="000000"/>
        </w:rPr>
        <w:t xml:space="preserve"> encoded small RNA</w:t>
      </w:r>
      <w:r w:rsidR="00706DC4">
        <w:rPr>
          <w:rFonts w:ascii="Book Antiqua" w:eastAsia="Book Antiqua" w:hAnsi="Book Antiqua" w:cs="Book Antiqua"/>
          <w:color w:val="000000"/>
        </w:rPr>
        <w:t xml:space="preserve"> </w:t>
      </w:r>
      <w:r>
        <w:rPr>
          <w:rFonts w:ascii="Book Antiqua" w:eastAsia="Book Antiqua" w:hAnsi="Book Antiqua" w:cs="Book Antiqua"/>
          <w:color w:val="000000"/>
        </w:rPr>
        <w:t>was neg</w:t>
      </w:r>
      <w:r w:rsidR="000B7B02">
        <w:rPr>
          <w:rFonts w:ascii="Book Antiqua" w:eastAsia="Book Antiqua" w:hAnsi="Book Antiqua" w:cs="Book Antiqua"/>
          <w:color w:val="000000"/>
        </w:rPr>
        <w:t>a</w:t>
      </w:r>
      <w:r>
        <w:rPr>
          <w:rFonts w:ascii="Book Antiqua" w:eastAsia="Book Antiqua" w:hAnsi="Book Antiqua" w:cs="Book Antiqua"/>
          <w:color w:val="000000"/>
        </w:rPr>
        <w:t>tive (figures at 100-200</w:t>
      </w:r>
      <w:r w:rsidR="00C918FB">
        <w:rPr>
          <w:rFonts w:ascii="Book Antiqua" w:eastAsia="Book Antiqua" w:hAnsi="Book Antiqua" w:cs="Book Antiqua"/>
          <w:color w:val="000000"/>
        </w:rPr>
        <w:t xml:space="preserve"> </w:t>
      </w:r>
      <w:r>
        <w:rPr>
          <w:rFonts w:ascii="Book Antiqua" w:eastAsia="Book Antiqua" w:hAnsi="Book Antiqua" w:cs="Book Antiqua"/>
          <w:color w:val="000000"/>
        </w:rPr>
        <w:t>× magnification).</w:t>
      </w:r>
    </w:p>
    <w:p w14:paraId="0CF81F20" w14:textId="77777777" w:rsidR="00AF2F3B" w:rsidRDefault="00AF2F3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69197D">
        <w:rPr>
          <w:noProof/>
          <w:lang w:eastAsia="zh-CN"/>
        </w:rPr>
        <w:drawing>
          <wp:inline distT="0" distB="0" distL="0" distR="0" wp14:anchorId="72591755" wp14:editId="5EE11B60">
            <wp:extent cx="5943600" cy="42964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96410"/>
                    </a:xfrm>
                    <a:prstGeom prst="rect">
                      <a:avLst/>
                    </a:prstGeom>
                  </pic:spPr>
                </pic:pic>
              </a:graphicData>
            </a:graphic>
          </wp:inline>
        </w:drawing>
      </w:r>
    </w:p>
    <w:p w14:paraId="25CEC2A1" w14:textId="6EFFA14B" w:rsidR="00A77B3E" w:rsidRDefault="00CB0905">
      <w:pPr>
        <w:spacing w:line="360" w:lineRule="auto"/>
        <w:jc w:val="both"/>
      </w:pPr>
      <w:r w:rsidRPr="0069197D">
        <w:rPr>
          <w:rFonts w:ascii="Book Antiqua" w:eastAsia="Book Antiqua" w:hAnsi="Book Antiqua" w:cs="Book Antiqua"/>
          <w:b/>
          <w:bCs/>
          <w:color w:val="000000"/>
        </w:rPr>
        <w:t>Fig</w:t>
      </w:r>
      <w:r w:rsidR="0049523F" w:rsidRPr="0069197D">
        <w:rPr>
          <w:rFonts w:ascii="Book Antiqua" w:eastAsia="Book Antiqua" w:hAnsi="Book Antiqua" w:cs="Book Antiqua"/>
          <w:b/>
          <w:bCs/>
          <w:color w:val="000000"/>
        </w:rPr>
        <w:t>ure</w:t>
      </w:r>
      <w:r w:rsidRPr="0069197D">
        <w:rPr>
          <w:rFonts w:ascii="Book Antiqua" w:eastAsia="Book Antiqua" w:hAnsi="Book Antiqua" w:cs="Book Antiqua"/>
          <w:b/>
          <w:bCs/>
          <w:color w:val="000000"/>
        </w:rPr>
        <w:t xml:space="preserve"> 2 </w:t>
      </w:r>
      <w:r w:rsidR="00D64360">
        <w:rPr>
          <w:rFonts w:ascii="Book Antiqua" w:eastAsia="Book Antiqua" w:hAnsi="Book Antiqua" w:cs="Book Antiqua"/>
          <w:b/>
          <w:color w:val="000000"/>
        </w:rPr>
        <w:t>E</w:t>
      </w:r>
      <w:r w:rsidRPr="0069197D">
        <w:rPr>
          <w:rFonts w:ascii="Book Antiqua" w:eastAsia="Book Antiqua" w:hAnsi="Book Antiqua" w:cs="Book Antiqua"/>
          <w:b/>
          <w:color w:val="000000"/>
        </w:rPr>
        <w:t xml:space="preserve">xpression of </w:t>
      </w:r>
      <w:r w:rsidR="003E5747" w:rsidRPr="004D1C1D">
        <w:rPr>
          <w:rFonts w:ascii="Book Antiqua" w:eastAsia="Book Antiqua" w:hAnsi="Book Antiqua" w:cs="Book Antiqua"/>
          <w:b/>
          <w:color w:val="000000"/>
        </w:rPr>
        <w:t>mismatch repair</w:t>
      </w:r>
      <w:r w:rsidRPr="0069197D">
        <w:rPr>
          <w:rFonts w:ascii="Book Antiqua" w:eastAsia="Book Antiqua" w:hAnsi="Book Antiqua" w:cs="Book Antiqua"/>
          <w:b/>
          <w:color w:val="000000"/>
        </w:rPr>
        <w:t xml:space="preserve">-related proteins by </w:t>
      </w:r>
      <w:r w:rsidR="00957A2A" w:rsidRPr="003E5747">
        <w:rPr>
          <w:rFonts w:ascii="Book Antiqua" w:eastAsia="Book Antiqua" w:hAnsi="Book Antiqua" w:cs="Book Antiqua"/>
          <w:b/>
          <w:color w:val="000000"/>
        </w:rPr>
        <w:t>i</w:t>
      </w:r>
      <w:r w:rsidR="003E5747" w:rsidRPr="003E5747">
        <w:rPr>
          <w:rFonts w:ascii="Book Antiqua" w:eastAsia="Book Antiqua" w:hAnsi="Book Antiqua" w:cs="Book Antiqua"/>
          <w:b/>
          <w:color w:val="000000"/>
        </w:rPr>
        <w:t>mmunohistochemical staining</w:t>
      </w:r>
      <w:r w:rsidRPr="0069197D">
        <w:rPr>
          <w:rFonts w:ascii="Book Antiqua" w:eastAsia="Book Antiqua" w:hAnsi="Book Antiqua" w:cs="Book Antiqua"/>
          <w:b/>
          <w:color w:val="000000"/>
        </w:rPr>
        <w:t>.</w:t>
      </w:r>
      <w:r>
        <w:rPr>
          <w:rFonts w:ascii="Book Antiqua" w:eastAsia="Book Antiqua" w:hAnsi="Book Antiqua" w:cs="Book Antiqua"/>
          <w:color w:val="000000"/>
        </w:rPr>
        <w:t xml:space="preserve"> The tumor cells</w:t>
      </w:r>
      <w:r w:rsidR="00D64360">
        <w:rPr>
          <w:rFonts w:ascii="Book Antiqua" w:eastAsia="Book Antiqua" w:hAnsi="Book Antiqua" w:cs="Book Antiqua"/>
          <w:color w:val="000000"/>
        </w:rPr>
        <w:t xml:space="preserve"> </w:t>
      </w:r>
      <w:r>
        <w:rPr>
          <w:rFonts w:ascii="Book Antiqua" w:eastAsia="Book Antiqua" w:hAnsi="Book Antiqua" w:cs="Book Antiqua"/>
          <w:color w:val="000000"/>
        </w:rPr>
        <w:t>were completely negative</w:t>
      </w:r>
      <w:r w:rsidR="00D64360">
        <w:rPr>
          <w:rFonts w:ascii="Book Antiqua" w:eastAsia="Book Antiqua" w:hAnsi="Book Antiqua" w:cs="Book Antiqua"/>
          <w:color w:val="000000"/>
        </w:rPr>
        <w:t xml:space="preserve"> for all four proteins</w:t>
      </w:r>
      <w:r>
        <w:rPr>
          <w:rFonts w:ascii="Book Antiqua" w:eastAsia="Book Antiqua" w:hAnsi="Book Antiqua" w:cs="Book Antiqua"/>
          <w:color w:val="000000"/>
        </w:rPr>
        <w:t xml:space="preserve">. A: MLH1; B: PMS2; C: MSH2; D: MSH6 (all </w:t>
      </w:r>
      <w:r w:rsidR="0069197D">
        <w:rPr>
          <w:rFonts w:ascii="Book Antiqua" w:eastAsia="Book Antiqua" w:hAnsi="Book Antiqua" w:cs="Book Antiqua"/>
          <w:color w:val="000000"/>
        </w:rPr>
        <w:t>image</w:t>
      </w:r>
      <w:r>
        <w:rPr>
          <w:rFonts w:ascii="Book Antiqua" w:eastAsia="Book Antiqua" w:hAnsi="Book Antiqua" w:cs="Book Antiqua"/>
          <w:color w:val="000000"/>
        </w:rPr>
        <w:t>s at 200</w:t>
      </w:r>
      <w:r w:rsidR="0069197D">
        <w:rPr>
          <w:rFonts w:ascii="Book Antiqua" w:eastAsia="Book Antiqua" w:hAnsi="Book Antiqua" w:cs="Book Antiqua"/>
          <w:color w:val="000000"/>
        </w:rPr>
        <w:t xml:space="preserve"> </w:t>
      </w:r>
      <w:r>
        <w:rPr>
          <w:rFonts w:ascii="Book Antiqua" w:eastAsia="Book Antiqua" w:hAnsi="Book Antiqua" w:cs="Book Antiqua"/>
          <w:color w:val="000000"/>
        </w:rPr>
        <w:t>× magnification).</w:t>
      </w:r>
    </w:p>
    <w:p w14:paraId="080D5037" w14:textId="77777777" w:rsidR="00AF2F3B" w:rsidRDefault="00AF2F3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101EEA" w:rsidRPr="00101EEA">
        <w:rPr>
          <w:rFonts w:ascii="Book Antiqua" w:eastAsia="Book Antiqua" w:hAnsi="Book Antiqua" w:cs="Book Antiqua"/>
          <w:noProof/>
          <w:color w:val="000000"/>
          <w:lang w:eastAsia="zh-CN"/>
        </w:rPr>
        <w:drawing>
          <wp:inline distT="0" distB="0" distL="0" distR="0" wp14:anchorId="7CE429AF" wp14:editId="5820096C">
            <wp:extent cx="5943600" cy="2474595"/>
            <wp:effectExtent l="0" t="0" r="0" b="0"/>
            <wp:docPr id="4"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Grp="1" noChangeAspect="1"/>
                    </pic:cNvPicPr>
                  </pic:nvPicPr>
                  <pic:blipFill>
                    <a:blip r:embed="rId10"/>
                    <a:stretch>
                      <a:fillRect/>
                    </a:stretch>
                  </pic:blipFill>
                  <pic:spPr>
                    <a:xfrm>
                      <a:off x="0" y="0"/>
                      <a:ext cx="5943600" cy="2474595"/>
                    </a:xfrm>
                    <a:prstGeom prst="rect">
                      <a:avLst/>
                    </a:prstGeom>
                  </pic:spPr>
                </pic:pic>
              </a:graphicData>
            </a:graphic>
          </wp:inline>
        </w:drawing>
      </w:r>
    </w:p>
    <w:p w14:paraId="01CB0A87" w14:textId="5FDBA012" w:rsidR="009F5A47" w:rsidRDefault="00CB0905" w:rsidP="009F5A47">
      <w:pPr>
        <w:spacing w:line="360" w:lineRule="auto"/>
        <w:jc w:val="both"/>
        <w:rPr>
          <w:rFonts w:ascii="Book Antiqua" w:eastAsia="Book Antiqua" w:hAnsi="Book Antiqua" w:cs="Book Antiqua"/>
          <w:color w:val="000000"/>
        </w:rPr>
      </w:pPr>
      <w:r w:rsidRPr="00101EEA">
        <w:rPr>
          <w:rFonts w:ascii="Book Antiqua" w:eastAsia="Book Antiqua" w:hAnsi="Book Antiqua" w:cs="Book Antiqua"/>
          <w:b/>
          <w:bCs/>
          <w:color w:val="000000"/>
        </w:rPr>
        <w:t>Fig</w:t>
      </w:r>
      <w:r w:rsidR="00101EEA" w:rsidRPr="00101EEA">
        <w:rPr>
          <w:rFonts w:ascii="Book Antiqua" w:eastAsia="Book Antiqua" w:hAnsi="Book Antiqua" w:cs="Book Antiqua"/>
          <w:b/>
          <w:bCs/>
          <w:color w:val="000000"/>
        </w:rPr>
        <w:t>ure</w:t>
      </w:r>
      <w:r w:rsidRPr="00101EEA">
        <w:rPr>
          <w:rFonts w:ascii="Book Antiqua" w:eastAsia="Book Antiqua" w:hAnsi="Book Antiqua" w:cs="Book Antiqua"/>
          <w:b/>
          <w:bCs/>
          <w:color w:val="000000"/>
        </w:rPr>
        <w:t xml:space="preserve"> 3</w:t>
      </w:r>
      <w:r w:rsidR="00101EEA" w:rsidRPr="00101EEA">
        <w:rPr>
          <w:rFonts w:ascii="Book Antiqua" w:eastAsia="Book Antiqua" w:hAnsi="Book Antiqua" w:cs="Book Antiqua"/>
          <w:b/>
          <w:color w:val="000000"/>
        </w:rPr>
        <w:t xml:space="preserve"> </w:t>
      </w:r>
      <w:r w:rsidRPr="00101EEA">
        <w:rPr>
          <w:rFonts w:ascii="Book Antiqua" w:eastAsia="Book Antiqua" w:hAnsi="Book Antiqua" w:cs="Book Antiqua"/>
          <w:b/>
          <w:color w:val="000000"/>
        </w:rPr>
        <w:t xml:space="preserve">Results of </w:t>
      </w:r>
      <w:r w:rsidR="00101EEA" w:rsidRPr="00101EEA">
        <w:rPr>
          <w:rFonts w:ascii="Book Antiqua" w:eastAsia="Book Antiqua" w:hAnsi="Book Antiqua" w:cs="Book Antiqua"/>
          <w:b/>
          <w:color w:val="000000"/>
        </w:rPr>
        <w:t>next-generation sequencing</w:t>
      </w:r>
      <w:r w:rsidRPr="00101EEA">
        <w:rPr>
          <w:rFonts w:ascii="Book Antiqua" w:eastAsia="Book Antiqua" w:hAnsi="Book Antiqua" w:cs="Book Antiqua"/>
          <w:b/>
          <w:color w:val="000000"/>
        </w:rPr>
        <w:t>.</w:t>
      </w:r>
      <w:r>
        <w:rPr>
          <w:rFonts w:ascii="Book Antiqua" w:eastAsia="Book Antiqua" w:hAnsi="Book Antiqua" w:cs="Book Antiqua"/>
          <w:color w:val="000000"/>
        </w:rPr>
        <w:t xml:space="preserve"> The mutation of </w:t>
      </w:r>
      <w:r w:rsidRPr="00101EEA">
        <w:rPr>
          <w:rFonts w:ascii="Book Antiqua" w:eastAsia="Book Antiqua" w:hAnsi="Book Antiqua" w:cs="Book Antiqua"/>
          <w:i/>
          <w:color w:val="000000"/>
        </w:rPr>
        <w:t>MSH2</w:t>
      </w:r>
      <w:r>
        <w:rPr>
          <w:rFonts w:ascii="Book Antiqua" w:eastAsia="Book Antiqua" w:hAnsi="Book Antiqua" w:cs="Book Antiqua"/>
          <w:color w:val="000000"/>
        </w:rPr>
        <w:t xml:space="preserve"> and </w:t>
      </w:r>
      <w:r w:rsidR="00D64360">
        <w:rPr>
          <w:rFonts w:ascii="Book Antiqua" w:eastAsia="Book Antiqua" w:hAnsi="Book Antiqua" w:cs="Book Antiqua"/>
          <w:color w:val="000000"/>
        </w:rPr>
        <w:t xml:space="preserve">amplification </w:t>
      </w:r>
      <w:r>
        <w:rPr>
          <w:rFonts w:ascii="Book Antiqua" w:eastAsia="Book Antiqua" w:hAnsi="Book Antiqua" w:cs="Book Antiqua"/>
          <w:color w:val="000000"/>
        </w:rPr>
        <w:t xml:space="preserve">of </w:t>
      </w:r>
      <w:r w:rsidRPr="00101EEA">
        <w:rPr>
          <w:rFonts w:ascii="Book Antiqua" w:eastAsia="Book Antiqua" w:hAnsi="Book Antiqua" w:cs="Book Antiqua"/>
          <w:i/>
          <w:color w:val="000000"/>
        </w:rPr>
        <w:t>PIK3CA</w:t>
      </w:r>
      <w:r w:rsidR="00D64360" w:rsidRPr="00122EC6">
        <w:rPr>
          <w:rFonts w:ascii="Book Antiqua" w:eastAsia="Book Antiqua" w:hAnsi="Book Antiqua" w:cs="Book Antiqua"/>
          <w:color w:val="000000"/>
        </w:rPr>
        <w:t xml:space="preserve"> were observed</w:t>
      </w:r>
      <w:r>
        <w:rPr>
          <w:rFonts w:ascii="Book Antiqua" w:eastAsia="Book Antiqua" w:hAnsi="Book Antiqua" w:cs="Book Antiqua"/>
          <w:color w:val="000000"/>
        </w:rPr>
        <w:t xml:space="preserve">. </w:t>
      </w:r>
    </w:p>
    <w:p w14:paraId="655F8786" w14:textId="77777777" w:rsidR="009F5A47" w:rsidRDefault="009F5A47" w:rsidP="00D146C9">
      <w:pPr>
        <w:rPr>
          <w:rFonts w:ascii="Book Antiqua" w:eastAsia="Book Antiqua" w:hAnsi="Book Antiqua" w:cs="Book Antiqua"/>
        </w:rPr>
      </w:pPr>
    </w:p>
    <w:p w14:paraId="1CDF1F83" w14:textId="77777777" w:rsidR="00D146C9" w:rsidRPr="00D146C9" w:rsidRDefault="00D146C9" w:rsidP="00D146C9">
      <w:pPr>
        <w:rPr>
          <w:rFonts w:ascii="Book Antiqua" w:eastAsia="Book Antiqua" w:hAnsi="Book Antiqua" w:cs="Book Antiqua"/>
        </w:rPr>
        <w:sectPr w:rsidR="00D146C9" w:rsidRPr="00D146C9">
          <w:pgSz w:w="12240" w:h="15840"/>
          <w:pgMar w:top="1440" w:right="1440" w:bottom="1440" w:left="1440" w:header="720" w:footer="720" w:gutter="0"/>
          <w:cols w:space="720"/>
          <w:docGrid w:linePitch="360"/>
        </w:sectPr>
      </w:pPr>
    </w:p>
    <w:p w14:paraId="36C8AA6D" w14:textId="1D62BA04" w:rsidR="004D1C1D" w:rsidRPr="00EE1D18" w:rsidRDefault="00EE1D18" w:rsidP="00EE1D18">
      <w:pPr>
        <w:spacing w:line="360" w:lineRule="auto"/>
        <w:jc w:val="both"/>
        <w:rPr>
          <w:rFonts w:ascii="Book Antiqua" w:eastAsia="Book Antiqua" w:hAnsi="Book Antiqua" w:cs="Book Antiqua"/>
          <w:b/>
          <w:color w:val="000000"/>
        </w:rPr>
      </w:pPr>
      <w:r w:rsidRPr="00EE1D18">
        <w:rPr>
          <w:rFonts w:ascii="Book Antiqua" w:eastAsia="Book Antiqua" w:hAnsi="Book Antiqua" w:cs="Book Antiqua"/>
          <w:b/>
          <w:bCs/>
          <w:color w:val="000000"/>
        </w:rPr>
        <w:t>Table 1</w:t>
      </w:r>
      <w:r w:rsidRPr="00EE1D18">
        <w:rPr>
          <w:rFonts w:ascii="Book Antiqua" w:eastAsia="Book Antiqua" w:hAnsi="Book Antiqua" w:cs="Book Antiqua"/>
          <w:b/>
          <w:color w:val="000000"/>
        </w:rPr>
        <w:t xml:space="preserve"> Summary of </w:t>
      </w:r>
      <w:r w:rsidRPr="00EE1D18">
        <w:rPr>
          <w:rFonts w:ascii="Book Antiqua" w:eastAsia="Book Antiqua" w:hAnsi="Book Antiqua" w:cs="Book Antiqua" w:hint="eastAsia"/>
          <w:b/>
          <w:color w:val="000000"/>
        </w:rPr>
        <w:t>c</w:t>
      </w:r>
      <w:r w:rsidRPr="00EE1D18">
        <w:rPr>
          <w:rFonts w:ascii="Book Antiqua" w:eastAsia="Book Antiqua" w:hAnsi="Book Antiqua" w:cs="Book Antiqua"/>
          <w:b/>
          <w:color w:val="000000"/>
        </w:rPr>
        <w:t xml:space="preserve">linicopathological features of null </w:t>
      </w:r>
      <w:r w:rsidR="004D1C1D" w:rsidRPr="004D1C1D">
        <w:rPr>
          <w:rFonts w:ascii="Book Antiqua" w:eastAsia="Book Antiqua" w:hAnsi="Book Antiqua" w:cs="Book Antiqua"/>
          <w:b/>
          <w:color w:val="000000"/>
        </w:rPr>
        <w:t>mismatch repair</w:t>
      </w:r>
      <w:r w:rsidRPr="004D1C1D">
        <w:rPr>
          <w:rFonts w:ascii="Book Antiqua" w:eastAsia="Book Antiqua" w:hAnsi="Book Antiqua" w:cs="Book Antiqua"/>
          <w:b/>
          <w:color w:val="000000"/>
        </w:rPr>
        <w:t xml:space="preserve"> </w:t>
      </w:r>
      <w:r w:rsidR="004D1C1D" w:rsidRPr="004D1C1D">
        <w:rPr>
          <w:rFonts w:ascii="Book Antiqua" w:eastAsia="Book Antiqua" w:hAnsi="Book Antiqua" w:cs="Book Antiqua"/>
          <w:b/>
          <w:color w:val="000000"/>
        </w:rPr>
        <w:t>immunohistochemical</w:t>
      </w:r>
      <w:r w:rsidRPr="00EE1D18">
        <w:rPr>
          <w:rFonts w:ascii="Book Antiqua" w:eastAsia="Book Antiqua" w:hAnsi="Book Antiqua" w:cs="Book Antiqua"/>
          <w:b/>
          <w:color w:val="000000"/>
        </w:rPr>
        <w:t xml:space="preserve"> staining pattern reported in the literature</w:t>
      </w:r>
    </w:p>
    <w:tbl>
      <w:tblPr>
        <w:tblStyle w:val="a5"/>
        <w:tblW w:w="5292" w:type="pct"/>
        <w:tblInd w:w="-4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
        <w:gridCol w:w="1088"/>
        <w:gridCol w:w="1228"/>
        <w:gridCol w:w="1359"/>
        <w:gridCol w:w="1871"/>
        <w:gridCol w:w="2570"/>
        <w:gridCol w:w="1274"/>
        <w:gridCol w:w="1419"/>
        <w:gridCol w:w="1567"/>
      </w:tblGrid>
      <w:tr w:rsidR="00EE1D18" w:rsidRPr="00EE1D18" w14:paraId="113D690E" w14:textId="77777777" w:rsidTr="0022238F">
        <w:trPr>
          <w:trHeight w:val="812"/>
        </w:trPr>
        <w:tc>
          <w:tcPr>
            <w:tcW w:w="309" w:type="pct"/>
            <w:tcBorders>
              <w:top w:val="single" w:sz="4" w:space="0" w:color="auto"/>
              <w:bottom w:val="single" w:sz="4" w:space="0" w:color="auto"/>
            </w:tcBorders>
          </w:tcPr>
          <w:p w14:paraId="4B3ED62A" w14:textId="77777777" w:rsidR="00EE1D18" w:rsidRPr="00EE1D18" w:rsidRDefault="00EE1D18" w:rsidP="00EE1D18">
            <w:pPr>
              <w:widowControl/>
              <w:spacing w:line="360" w:lineRule="auto"/>
              <w:rPr>
                <w:rFonts w:ascii="Book Antiqua" w:hAnsi="Book Antiqua"/>
                <w:b/>
              </w:rPr>
            </w:pPr>
            <w:r w:rsidRPr="00EE1D18">
              <w:rPr>
                <w:rFonts w:ascii="Book Antiqua" w:hAnsi="Book Antiqua"/>
                <w:b/>
              </w:rPr>
              <w:t>Case No.</w:t>
            </w:r>
          </w:p>
        </w:tc>
        <w:tc>
          <w:tcPr>
            <w:tcW w:w="412" w:type="pct"/>
            <w:tcBorders>
              <w:top w:val="single" w:sz="4" w:space="0" w:color="auto"/>
              <w:bottom w:val="single" w:sz="4" w:space="0" w:color="auto"/>
            </w:tcBorders>
          </w:tcPr>
          <w:p w14:paraId="44AAD66F" w14:textId="77777777" w:rsidR="00EE1D18" w:rsidRPr="00EE1D18" w:rsidRDefault="00EE1D18" w:rsidP="00EE1D18">
            <w:pPr>
              <w:widowControl/>
              <w:spacing w:line="360" w:lineRule="auto"/>
              <w:rPr>
                <w:rFonts w:ascii="Book Antiqua" w:hAnsi="Book Antiqua"/>
                <w:b/>
              </w:rPr>
            </w:pPr>
            <w:r w:rsidRPr="00EE1D18">
              <w:rPr>
                <w:rFonts w:ascii="Book Antiqua" w:hAnsi="Book Antiqua"/>
                <w:b/>
              </w:rPr>
              <w:t>Age</w:t>
            </w:r>
            <w:r>
              <w:rPr>
                <w:rFonts w:ascii="Book Antiqua" w:hAnsi="Book Antiqua"/>
                <w:b/>
              </w:rPr>
              <w:t xml:space="preserve"> (yr)</w:t>
            </w:r>
          </w:p>
        </w:tc>
        <w:tc>
          <w:tcPr>
            <w:tcW w:w="465" w:type="pct"/>
            <w:tcBorders>
              <w:top w:val="single" w:sz="4" w:space="0" w:color="auto"/>
              <w:bottom w:val="single" w:sz="4" w:space="0" w:color="auto"/>
            </w:tcBorders>
          </w:tcPr>
          <w:p w14:paraId="68F13D9C" w14:textId="77777777" w:rsidR="00EE1D18" w:rsidRPr="00EE1D18" w:rsidRDefault="00EE1D18" w:rsidP="00EE1D18">
            <w:pPr>
              <w:widowControl/>
              <w:spacing w:line="360" w:lineRule="auto"/>
              <w:rPr>
                <w:rFonts w:ascii="Book Antiqua" w:hAnsi="Book Antiqua"/>
                <w:b/>
              </w:rPr>
            </w:pPr>
            <w:r w:rsidRPr="00EE1D18">
              <w:rPr>
                <w:rFonts w:ascii="Book Antiqua" w:hAnsi="Book Antiqua"/>
                <w:b/>
              </w:rPr>
              <w:t>Sex</w:t>
            </w:r>
          </w:p>
        </w:tc>
        <w:tc>
          <w:tcPr>
            <w:tcW w:w="515" w:type="pct"/>
            <w:tcBorders>
              <w:top w:val="single" w:sz="4" w:space="0" w:color="auto"/>
              <w:bottom w:val="single" w:sz="4" w:space="0" w:color="auto"/>
            </w:tcBorders>
          </w:tcPr>
          <w:p w14:paraId="09D568FC" w14:textId="77777777" w:rsidR="00EE1D18" w:rsidRPr="00EE1D18" w:rsidRDefault="00EE1D18" w:rsidP="00EE1D18">
            <w:pPr>
              <w:widowControl/>
              <w:spacing w:line="360" w:lineRule="auto"/>
              <w:rPr>
                <w:rFonts w:ascii="Book Antiqua" w:hAnsi="Book Antiqua"/>
                <w:b/>
              </w:rPr>
            </w:pPr>
            <w:r w:rsidRPr="00EE1D18">
              <w:rPr>
                <w:rFonts w:ascii="Book Antiqua" w:hAnsi="Book Antiqua"/>
                <w:b/>
              </w:rPr>
              <w:t>Location</w:t>
            </w:r>
          </w:p>
        </w:tc>
        <w:tc>
          <w:tcPr>
            <w:tcW w:w="709" w:type="pct"/>
            <w:tcBorders>
              <w:top w:val="single" w:sz="4" w:space="0" w:color="auto"/>
              <w:bottom w:val="single" w:sz="4" w:space="0" w:color="auto"/>
            </w:tcBorders>
          </w:tcPr>
          <w:p w14:paraId="5B2940D2" w14:textId="77777777" w:rsidR="00EE1D18" w:rsidRPr="00EE1D18" w:rsidRDefault="00EE1D18" w:rsidP="00EE1D18">
            <w:pPr>
              <w:widowControl/>
              <w:spacing w:line="360" w:lineRule="auto"/>
              <w:rPr>
                <w:rFonts w:ascii="Book Antiqua" w:hAnsi="Book Antiqua"/>
                <w:b/>
              </w:rPr>
            </w:pPr>
            <w:r w:rsidRPr="00E404A9">
              <w:rPr>
                <w:rFonts w:ascii="Book Antiqua" w:hAnsi="Book Antiqua"/>
                <w:b/>
                <w:i/>
              </w:rPr>
              <w:t xml:space="preserve">MLH1 </w:t>
            </w:r>
            <w:r w:rsidRPr="00EE1D18">
              <w:rPr>
                <w:rFonts w:ascii="Book Antiqua" w:hAnsi="Book Antiqua"/>
                <w:b/>
              </w:rPr>
              <w:t>promoter methylation status</w:t>
            </w:r>
          </w:p>
        </w:tc>
        <w:tc>
          <w:tcPr>
            <w:tcW w:w="974" w:type="pct"/>
            <w:tcBorders>
              <w:top w:val="single" w:sz="4" w:space="0" w:color="auto"/>
              <w:bottom w:val="single" w:sz="4" w:space="0" w:color="auto"/>
            </w:tcBorders>
          </w:tcPr>
          <w:p w14:paraId="58A897BF" w14:textId="77777777" w:rsidR="00EE1D18" w:rsidRPr="00EE1D18" w:rsidRDefault="00EE1D18" w:rsidP="00EE1D18">
            <w:pPr>
              <w:widowControl/>
              <w:spacing w:line="360" w:lineRule="auto"/>
              <w:rPr>
                <w:rFonts w:ascii="Book Antiqua" w:hAnsi="Book Antiqua"/>
                <w:b/>
              </w:rPr>
            </w:pPr>
            <w:r w:rsidRPr="00E404A9">
              <w:rPr>
                <w:rFonts w:ascii="Book Antiqua" w:hAnsi="Book Antiqua"/>
                <w:b/>
                <w:i/>
              </w:rPr>
              <w:t>MSH2</w:t>
            </w:r>
            <w:r w:rsidRPr="00EE1D18">
              <w:rPr>
                <w:rFonts w:ascii="Book Antiqua" w:hAnsi="Book Antiqua"/>
                <w:b/>
              </w:rPr>
              <w:t xml:space="preserve"> status</w:t>
            </w:r>
          </w:p>
        </w:tc>
        <w:tc>
          <w:tcPr>
            <w:tcW w:w="483" w:type="pct"/>
            <w:tcBorders>
              <w:top w:val="single" w:sz="4" w:space="0" w:color="auto"/>
              <w:bottom w:val="single" w:sz="4" w:space="0" w:color="auto"/>
            </w:tcBorders>
          </w:tcPr>
          <w:p w14:paraId="56D263F6" w14:textId="77777777" w:rsidR="00EE1D18" w:rsidRPr="00EE1D18" w:rsidRDefault="00EE1D18" w:rsidP="00EE1D18">
            <w:pPr>
              <w:widowControl/>
              <w:spacing w:line="360" w:lineRule="auto"/>
              <w:rPr>
                <w:rFonts w:ascii="Book Antiqua" w:hAnsi="Book Antiqua"/>
                <w:b/>
              </w:rPr>
            </w:pPr>
            <w:r w:rsidRPr="00823867">
              <w:rPr>
                <w:rFonts w:ascii="Book Antiqua" w:hAnsi="Book Antiqua"/>
                <w:b/>
                <w:i/>
              </w:rPr>
              <w:t xml:space="preserve">BRAF </w:t>
            </w:r>
            <w:r w:rsidRPr="00EE1D18">
              <w:rPr>
                <w:rFonts w:ascii="Book Antiqua" w:hAnsi="Book Antiqua"/>
                <w:b/>
              </w:rPr>
              <w:t>status</w:t>
            </w:r>
          </w:p>
        </w:tc>
        <w:tc>
          <w:tcPr>
            <w:tcW w:w="538" w:type="pct"/>
            <w:tcBorders>
              <w:top w:val="single" w:sz="4" w:space="0" w:color="auto"/>
              <w:bottom w:val="single" w:sz="4" w:space="0" w:color="auto"/>
            </w:tcBorders>
          </w:tcPr>
          <w:p w14:paraId="6051AB95" w14:textId="77777777" w:rsidR="00EE1D18" w:rsidRPr="00EE1D18" w:rsidRDefault="00EE1D18" w:rsidP="00EE1D18">
            <w:pPr>
              <w:widowControl/>
              <w:spacing w:line="360" w:lineRule="auto"/>
              <w:rPr>
                <w:rFonts w:ascii="Book Antiqua" w:hAnsi="Book Antiqua"/>
                <w:b/>
              </w:rPr>
            </w:pPr>
            <w:r w:rsidRPr="00EE1D18">
              <w:rPr>
                <w:rFonts w:ascii="Book Antiqua" w:hAnsi="Book Antiqua"/>
                <w:b/>
              </w:rPr>
              <w:t>Specimen tested</w:t>
            </w:r>
          </w:p>
          <w:p w14:paraId="38305D74" w14:textId="77777777" w:rsidR="00EE1D18" w:rsidRPr="00EE1D18" w:rsidRDefault="00EE1D18" w:rsidP="00EE1D18">
            <w:pPr>
              <w:widowControl/>
              <w:spacing w:line="360" w:lineRule="auto"/>
              <w:rPr>
                <w:rFonts w:ascii="Book Antiqua" w:hAnsi="Book Antiqua"/>
                <w:b/>
              </w:rPr>
            </w:pPr>
          </w:p>
        </w:tc>
        <w:tc>
          <w:tcPr>
            <w:tcW w:w="594" w:type="pct"/>
            <w:tcBorders>
              <w:top w:val="single" w:sz="4" w:space="0" w:color="auto"/>
              <w:bottom w:val="single" w:sz="4" w:space="0" w:color="auto"/>
            </w:tcBorders>
          </w:tcPr>
          <w:p w14:paraId="327DFB51" w14:textId="77777777" w:rsidR="00EE1D18" w:rsidRPr="00EE1D18" w:rsidRDefault="00EE1D18" w:rsidP="00EE1D18">
            <w:pPr>
              <w:widowControl/>
              <w:spacing w:line="360" w:lineRule="auto"/>
              <w:rPr>
                <w:rFonts w:ascii="Book Antiqua" w:hAnsi="Book Antiqua"/>
                <w:b/>
              </w:rPr>
            </w:pPr>
            <w:r w:rsidRPr="00EE1D18">
              <w:rPr>
                <w:rFonts w:ascii="Book Antiqua" w:hAnsi="Book Antiqua"/>
                <w:b/>
              </w:rPr>
              <w:t>Ref.</w:t>
            </w:r>
          </w:p>
          <w:p w14:paraId="261F138A" w14:textId="77777777" w:rsidR="00EE1D18" w:rsidRPr="00EE1D18" w:rsidRDefault="00EE1D18" w:rsidP="00EE1D18">
            <w:pPr>
              <w:widowControl/>
              <w:spacing w:line="360" w:lineRule="auto"/>
              <w:rPr>
                <w:rFonts w:ascii="Book Antiqua" w:hAnsi="Book Antiqua"/>
                <w:b/>
              </w:rPr>
            </w:pPr>
          </w:p>
        </w:tc>
      </w:tr>
      <w:tr w:rsidR="00EE1D18" w:rsidRPr="00EE1D18" w14:paraId="79B18FA6" w14:textId="77777777" w:rsidTr="0022238F">
        <w:trPr>
          <w:trHeight w:val="546"/>
        </w:trPr>
        <w:tc>
          <w:tcPr>
            <w:tcW w:w="309" w:type="pct"/>
            <w:tcBorders>
              <w:top w:val="single" w:sz="4" w:space="0" w:color="auto"/>
            </w:tcBorders>
          </w:tcPr>
          <w:p w14:paraId="7BF40258" w14:textId="77777777" w:rsidR="00EE1D18" w:rsidRPr="00EE1D18" w:rsidRDefault="00EE1D18" w:rsidP="00EE1D18">
            <w:pPr>
              <w:widowControl/>
              <w:spacing w:line="360" w:lineRule="auto"/>
              <w:rPr>
                <w:rFonts w:ascii="Book Antiqua" w:hAnsi="Book Antiqua"/>
              </w:rPr>
            </w:pPr>
            <w:r w:rsidRPr="00EE1D18">
              <w:rPr>
                <w:rFonts w:ascii="Book Antiqua" w:hAnsi="Book Antiqua"/>
              </w:rPr>
              <w:t>1</w:t>
            </w:r>
          </w:p>
        </w:tc>
        <w:tc>
          <w:tcPr>
            <w:tcW w:w="412" w:type="pct"/>
            <w:tcBorders>
              <w:top w:val="single" w:sz="4" w:space="0" w:color="auto"/>
            </w:tcBorders>
          </w:tcPr>
          <w:p w14:paraId="5B0AD604" w14:textId="77777777" w:rsidR="00EE1D18" w:rsidRPr="00EE1D18" w:rsidRDefault="00EE1D18" w:rsidP="00EE1D18">
            <w:pPr>
              <w:widowControl/>
              <w:spacing w:line="360" w:lineRule="auto"/>
              <w:rPr>
                <w:rFonts w:ascii="Book Antiqua" w:hAnsi="Book Antiqua"/>
              </w:rPr>
            </w:pPr>
            <w:r w:rsidRPr="00EE1D18">
              <w:rPr>
                <w:rFonts w:ascii="Book Antiqua" w:hAnsi="Book Antiqua"/>
              </w:rPr>
              <w:t>72</w:t>
            </w:r>
          </w:p>
        </w:tc>
        <w:tc>
          <w:tcPr>
            <w:tcW w:w="465" w:type="pct"/>
            <w:tcBorders>
              <w:top w:val="single" w:sz="4" w:space="0" w:color="auto"/>
            </w:tcBorders>
          </w:tcPr>
          <w:p w14:paraId="49C12E98" w14:textId="77777777" w:rsidR="00EE1D18" w:rsidRPr="00EE1D18" w:rsidRDefault="00EE1D18" w:rsidP="00EE1D18">
            <w:pPr>
              <w:widowControl/>
              <w:spacing w:line="360" w:lineRule="auto"/>
              <w:rPr>
                <w:rFonts w:ascii="Book Antiqua" w:hAnsi="Book Antiqua"/>
              </w:rPr>
            </w:pPr>
            <w:r w:rsidRPr="00EE1D18">
              <w:rPr>
                <w:rFonts w:ascii="Book Antiqua" w:hAnsi="Book Antiqua"/>
              </w:rPr>
              <w:t>Female</w:t>
            </w:r>
          </w:p>
        </w:tc>
        <w:tc>
          <w:tcPr>
            <w:tcW w:w="515" w:type="pct"/>
            <w:tcBorders>
              <w:top w:val="single" w:sz="4" w:space="0" w:color="auto"/>
            </w:tcBorders>
          </w:tcPr>
          <w:p w14:paraId="13256094" w14:textId="77777777" w:rsidR="00EE1D18" w:rsidRPr="00EE1D18" w:rsidRDefault="00EE1D18" w:rsidP="00EE1D18">
            <w:pPr>
              <w:widowControl/>
              <w:spacing w:line="360" w:lineRule="auto"/>
              <w:rPr>
                <w:rFonts w:ascii="Book Antiqua" w:hAnsi="Book Antiqua"/>
              </w:rPr>
            </w:pPr>
            <w:r w:rsidRPr="00EE1D18">
              <w:rPr>
                <w:rFonts w:ascii="Book Antiqua" w:hAnsi="Book Antiqua"/>
              </w:rPr>
              <w:t>Colorectal cancer</w:t>
            </w:r>
          </w:p>
        </w:tc>
        <w:tc>
          <w:tcPr>
            <w:tcW w:w="709" w:type="pct"/>
            <w:tcBorders>
              <w:top w:val="single" w:sz="4" w:space="0" w:color="auto"/>
            </w:tcBorders>
          </w:tcPr>
          <w:p w14:paraId="1BF6BBB3" w14:textId="77777777" w:rsidR="00EE1D18" w:rsidRPr="00EE1D18" w:rsidRDefault="00EE1D18" w:rsidP="00EE1D18">
            <w:pPr>
              <w:widowControl/>
              <w:spacing w:line="360" w:lineRule="auto"/>
              <w:rPr>
                <w:rFonts w:ascii="Book Antiqua" w:hAnsi="Book Antiqua"/>
              </w:rPr>
            </w:pPr>
            <w:r w:rsidRPr="00EE1D18">
              <w:rPr>
                <w:rFonts w:ascii="Book Antiqua" w:hAnsi="Book Antiqua"/>
              </w:rPr>
              <w:t>Hypermethylation</w:t>
            </w:r>
          </w:p>
        </w:tc>
        <w:tc>
          <w:tcPr>
            <w:tcW w:w="974" w:type="pct"/>
            <w:tcBorders>
              <w:top w:val="single" w:sz="4" w:space="0" w:color="auto"/>
            </w:tcBorders>
          </w:tcPr>
          <w:p w14:paraId="638B82C3" w14:textId="77777777" w:rsidR="00EE1D18" w:rsidRPr="00EE1D18" w:rsidRDefault="00EE1D18" w:rsidP="00EE1D18">
            <w:pPr>
              <w:widowControl/>
              <w:spacing w:line="360" w:lineRule="auto"/>
              <w:rPr>
                <w:rFonts w:ascii="Book Antiqua" w:hAnsi="Book Antiqua"/>
              </w:rPr>
            </w:pPr>
            <w:r w:rsidRPr="00EE1D18">
              <w:rPr>
                <w:rFonts w:ascii="Book Antiqua" w:hAnsi="Book Antiqua"/>
              </w:rPr>
              <w:t xml:space="preserve">Germline G587R mutation </w:t>
            </w:r>
          </w:p>
        </w:tc>
        <w:tc>
          <w:tcPr>
            <w:tcW w:w="483" w:type="pct"/>
            <w:tcBorders>
              <w:top w:val="single" w:sz="4" w:space="0" w:color="auto"/>
            </w:tcBorders>
          </w:tcPr>
          <w:p w14:paraId="7A2470A4" w14:textId="77777777" w:rsidR="00EE1D18" w:rsidRPr="00EE1D18" w:rsidRDefault="00EE1D18" w:rsidP="00EE1D18">
            <w:pPr>
              <w:widowControl/>
              <w:spacing w:line="360" w:lineRule="auto"/>
              <w:rPr>
                <w:rFonts w:ascii="Book Antiqua" w:hAnsi="Book Antiqua"/>
              </w:rPr>
            </w:pPr>
            <w:r w:rsidRPr="00EE1D18">
              <w:rPr>
                <w:rFonts w:ascii="Book Antiqua" w:hAnsi="Book Antiqua"/>
              </w:rPr>
              <w:t>Negative</w:t>
            </w:r>
          </w:p>
        </w:tc>
        <w:tc>
          <w:tcPr>
            <w:tcW w:w="538" w:type="pct"/>
            <w:tcBorders>
              <w:top w:val="single" w:sz="4" w:space="0" w:color="auto"/>
            </w:tcBorders>
          </w:tcPr>
          <w:p w14:paraId="68C9C328" w14:textId="71387C7C" w:rsidR="00EE1D18" w:rsidRPr="00EE1D18" w:rsidRDefault="00EE1D18" w:rsidP="00EE1D18">
            <w:pPr>
              <w:widowControl/>
              <w:spacing w:line="360" w:lineRule="auto"/>
              <w:rPr>
                <w:rFonts w:ascii="Book Antiqua" w:hAnsi="Book Antiqua"/>
              </w:rPr>
            </w:pPr>
            <w:r w:rsidRPr="00EE1D18">
              <w:rPr>
                <w:rFonts w:ascii="Book Antiqua" w:hAnsi="Book Antiqua"/>
              </w:rPr>
              <w:t>Resection</w:t>
            </w:r>
          </w:p>
        </w:tc>
        <w:tc>
          <w:tcPr>
            <w:tcW w:w="594" w:type="pct"/>
            <w:tcBorders>
              <w:top w:val="single" w:sz="4" w:space="0" w:color="auto"/>
            </w:tcBorders>
          </w:tcPr>
          <w:p w14:paraId="1F50CC12" w14:textId="77777777" w:rsidR="00EE1D18" w:rsidRPr="00EE1D18" w:rsidRDefault="00EE1D18" w:rsidP="0022238F">
            <w:pPr>
              <w:widowControl/>
              <w:spacing w:line="360" w:lineRule="auto"/>
              <w:rPr>
                <w:rFonts w:ascii="Book Antiqua" w:hAnsi="Book Antiqua"/>
              </w:rPr>
            </w:pPr>
            <w:r w:rsidRPr="00EE1D18">
              <w:rPr>
                <w:rFonts w:ascii="Book Antiqua" w:hAnsi="Book Antiqua"/>
              </w:rPr>
              <w:t xml:space="preserve">Hagen </w:t>
            </w:r>
            <w:r w:rsidRPr="0033034A">
              <w:rPr>
                <w:rFonts w:ascii="Book Antiqua" w:hAnsi="Book Antiqua"/>
                <w:i/>
              </w:rPr>
              <w:t>et al</w:t>
            </w:r>
            <w:r w:rsidR="0033034A" w:rsidRPr="00EE1D18">
              <w:rPr>
                <w:rFonts w:ascii="Book Antiqua" w:hAnsi="Book Antiqua"/>
                <w:vertAlign w:val="superscript"/>
              </w:rPr>
              <w:t>[8]</w:t>
            </w:r>
            <w:r w:rsidRPr="00EE1D18">
              <w:rPr>
                <w:rFonts w:ascii="Book Antiqua" w:hAnsi="Book Antiqua"/>
              </w:rPr>
              <w:t>,</w:t>
            </w:r>
            <w:r w:rsidR="0022238F">
              <w:rPr>
                <w:rFonts w:ascii="Book Antiqua" w:hAnsi="Book Antiqua"/>
              </w:rPr>
              <w:t xml:space="preserve"> </w:t>
            </w:r>
            <w:r w:rsidRPr="00EE1D18">
              <w:rPr>
                <w:rFonts w:ascii="Book Antiqua" w:hAnsi="Book Antiqua"/>
              </w:rPr>
              <w:t>2011</w:t>
            </w:r>
          </w:p>
        </w:tc>
      </w:tr>
      <w:tr w:rsidR="00EE1D18" w:rsidRPr="00EE1D18" w14:paraId="2D7AF2F3" w14:textId="77777777" w:rsidTr="0022238F">
        <w:trPr>
          <w:trHeight w:val="1893"/>
        </w:trPr>
        <w:tc>
          <w:tcPr>
            <w:tcW w:w="309" w:type="pct"/>
          </w:tcPr>
          <w:p w14:paraId="2BE0CD97" w14:textId="77777777" w:rsidR="00EE1D18" w:rsidRPr="00EE1D18" w:rsidRDefault="00EE1D18" w:rsidP="00EE1D18">
            <w:pPr>
              <w:widowControl/>
              <w:spacing w:line="360" w:lineRule="auto"/>
              <w:rPr>
                <w:rFonts w:ascii="Book Antiqua" w:hAnsi="Book Antiqua"/>
              </w:rPr>
            </w:pPr>
            <w:r w:rsidRPr="00EE1D18">
              <w:rPr>
                <w:rFonts w:ascii="Book Antiqua" w:hAnsi="Book Antiqua"/>
              </w:rPr>
              <w:t>2</w:t>
            </w:r>
          </w:p>
        </w:tc>
        <w:tc>
          <w:tcPr>
            <w:tcW w:w="412" w:type="pct"/>
          </w:tcPr>
          <w:p w14:paraId="6A3BDE1D" w14:textId="77777777" w:rsidR="00EE1D18" w:rsidRPr="00EE1D18" w:rsidRDefault="00EE1D18" w:rsidP="00EE1D18">
            <w:pPr>
              <w:widowControl/>
              <w:spacing w:line="360" w:lineRule="auto"/>
              <w:rPr>
                <w:rFonts w:ascii="Book Antiqua" w:hAnsi="Book Antiqua"/>
              </w:rPr>
            </w:pPr>
            <w:r w:rsidRPr="00EE1D18">
              <w:rPr>
                <w:rFonts w:ascii="Book Antiqua" w:hAnsi="Book Antiqua"/>
              </w:rPr>
              <w:t>80</w:t>
            </w:r>
          </w:p>
        </w:tc>
        <w:tc>
          <w:tcPr>
            <w:tcW w:w="465" w:type="pct"/>
          </w:tcPr>
          <w:p w14:paraId="15C4EA96" w14:textId="77777777" w:rsidR="00EE1D18" w:rsidRPr="00EE1D18" w:rsidRDefault="00EE1D18" w:rsidP="00EE1D18">
            <w:pPr>
              <w:widowControl/>
              <w:spacing w:line="360" w:lineRule="auto"/>
              <w:rPr>
                <w:rFonts w:ascii="Book Antiqua" w:hAnsi="Book Antiqua"/>
              </w:rPr>
            </w:pPr>
            <w:r w:rsidRPr="00EE1D18">
              <w:rPr>
                <w:rFonts w:ascii="Book Antiqua" w:hAnsi="Book Antiqua"/>
              </w:rPr>
              <w:t>Female</w:t>
            </w:r>
          </w:p>
        </w:tc>
        <w:tc>
          <w:tcPr>
            <w:tcW w:w="515" w:type="pct"/>
          </w:tcPr>
          <w:p w14:paraId="3E682D1F" w14:textId="77777777" w:rsidR="00EE1D18" w:rsidRPr="00EE1D18" w:rsidRDefault="00EE1D18" w:rsidP="00EE1D18">
            <w:pPr>
              <w:widowControl/>
              <w:spacing w:line="360" w:lineRule="auto"/>
              <w:rPr>
                <w:rFonts w:ascii="Book Antiqua" w:hAnsi="Book Antiqua"/>
              </w:rPr>
            </w:pPr>
            <w:r w:rsidRPr="00EE1D18">
              <w:rPr>
                <w:rFonts w:ascii="Book Antiqua" w:hAnsi="Book Antiqua"/>
              </w:rPr>
              <w:t>Colorectal cancer</w:t>
            </w:r>
          </w:p>
        </w:tc>
        <w:tc>
          <w:tcPr>
            <w:tcW w:w="709" w:type="pct"/>
          </w:tcPr>
          <w:p w14:paraId="3D97D3AE" w14:textId="77777777" w:rsidR="00EE1D18" w:rsidRPr="00EE1D18" w:rsidRDefault="00EE1D18" w:rsidP="00EE1D18">
            <w:pPr>
              <w:widowControl/>
              <w:spacing w:line="360" w:lineRule="auto"/>
              <w:rPr>
                <w:rFonts w:ascii="Book Antiqua" w:hAnsi="Book Antiqua"/>
              </w:rPr>
            </w:pPr>
            <w:r w:rsidRPr="00EE1D18">
              <w:rPr>
                <w:rFonts w:ascii="Book Antiqua" w:hAnsi="Book Antiqua"/>
              </w:rPr>
              <w:t>Hypermethylation</w:t>
            </w:r>
          </w:p>
        </w:tc>
        <w:tc>
          <w:tcPr>
            <w:tcW w:w="974" w:type="pct"/>
          </w:tcPr>
          <w:p w14:paraId="3DD04825" w14:textId="6E507B2D" w:rsidR="00EE1D18" w:rsidRPr="00EE1D18" w:rsidRDefault="00EE1D18" w:rsidP="00EE1D18">
            <w:pPr>
              <w:widowControl/>
              <w:spacing w:line="360" w:lineRule="auto"/>
              <w:rPr>
                <w:rFonts w:ascii="Book Antiqua" w:hAnsi="Book Antiqua"/>
              </w:rPr>
            </w:pPr>
            <w:r w:rsidRPr="00EE1D18">
              <w:rPr>
                <w:rFonts w:ascii="Book Antiqua" w:hAnsi="Book Antiqua"/>
              </w:rPr>
              <w:t>Three somatic mutations (</w:t>
            </w:r>
            <w:r w:rsidRPr="00E404A9">
              <w:rPr>
                <w:rFonts w:ascii="Book Antiqua" w:hAnsi="Book Antiqua"/>
                <w:i/>
              </w:rPr>
              <w:t>MSH2</w:t>
            </w:r>
            <w:r w:rsidRPr="00EE1D18">
              <w:rPr>
                <w:rFonts w:ascii="Book Antiqua" w:hAnsi="Book Antiqua"/>
              </w:rPr>
              <w:t xml:space="preserve"> c.1861 C&gt;T (p.R621*) in exon 12, c.298G&gt;A (p.V100I)</w:t>
            </w:r>
            <w:r w:rsidR="001D156D">
              <w:rPr>
                <w:rFonts w:ascii="Book Antiqua" w:hAnsi="Book Antiqua" w:hint="eastAsia"/>
              </w:rPr>
              <w:t xml:space="preserve"> </w:t>
            </w:r>
            <w:r w:rsidRPr="00EE1D18">
              <w:rPr>
                <w:rFonts w:ascii="Book Antiqua" w:hAnsi="Book Antiqua"/>
              </w:rPr>
              <w:t>and c.633dupG</w:t>
            </w:r>
            <w:r w:rsidR="00883F35">
              <w:rPr>
                <w:rFonts w:ascii="Book Antiqua" w:hAnsi="Book Antiqua"/>
              </w:rPr>
              <w:t xml:space="preserve"> </w:t>
            </w:r>
            <w:r w:rsidRPr="00EE1D18">
              <w:rPr>
                <w:rFonts w:ascii="Book Antiqua" w:hAnsi="Book Antiqua"/>
              </w:rPr>
              <w:t xml:space="preserve">(p.K212Efs*20) </w:t>
            </w:r>
          </w:p>
        </w:tc>
        <w:tc>
          <w:tcPr>
            <w:tcW w:w="483" w:type="pct"/>
          </w:tcPr>
          <w:p w14:paraId="7A6C8F27" w14:textId="77777777" w:rsidR="00EE1D18" w:rsidRPr="00EE1D18" w:rsidRDefault="00EE1D18" w:rsidP="00EE1D18">
            <w:pPr>
              <w:widowControl/>
              <w:spacing w:line="360" w:lineRule="auto"/>
              <w:rPr>
                <w:rFonts w:ascii="Book Antiqua" w:hAnsi="Book Antiqua"/>
              </w:rPr>
            </w:pPr>
            <w:r w:rsidRPr="00EE1D18">
              <w:rPr>
                <w:rFonts w:ascii="Book Antiqua" w:hAnsi="Book Antiqua"/>
              </w:rPr>
              <w:t>Mutation</w:t>
            </w:r>
          </w:p>
        </w:tc>
        <w:tc>
          <w:tcPr>
            <w:tcW w:w="538" w:type="pct"/>
          </w:tcPr>
          <w:p w14:paraId="31BCB199" w14:textId="77777777" w:rsidR="00EE1D18" w:rsidRPr="00EE1D18" w:rsidRDefault="00EE1D18" w:rsidP="00EE1D18">
            <w:pPr>
              <w:widowControl/>
              <w:spacing w:line="360" w:lineRule="auto"/>
              <w:rPr>
                <w:rFonts w:ascii="Book Antiqua" w:hAnsi="Book Antiqua"/>
              </w:rPr>
            </w:pPr>
            <w:r w:rsidRPr="00EE1D18">
              <w:rPr>
                <w:rFonts w:ascii="Book Antiqua" w:hAnsi="Book Antiqua"/>
              </w:rPr>
              <w:t>Resection</w:t>
            </w:r>
          </w:p>
        </w:tc>
        <w:tc>
          <w:tcPr>
            <w:tcW w:w="594" w:type="pct"/>
          </w:tcPr>
          <w:p w14:paraId="2EF5F9BF" w14:textId="77777777" w:rsidR="00EE1D18" w:rsidRPr="00EE1D18" w:rsidRDefault="00EE1D18" w:rsidP="0033034A">
            <w:pPr>
              <w:widowControl/>
              <w:spacing w:line="360" w:lineRule="auto"/>
              <w:rPr>
                <w:rFonts w:ascii="Book Antiqua" w:hAnsi="Book Antiqua"/>
              </w:rPr>
            </w:pPr>
            <w:r w:rsidRPr="00EE1D18">
              <w:rPr>
                <w:rFonts w:ascii="Book Antiqua" w:hAnsi="Book Antiqua"/>
              </w:rPr>
              <w:t>Wang</w:t>
            </w:r>
            <w:r w:rsidR="0033034A" w:rsidRPr="0033034A">
              <w:rPr>
                <w:rFonts w:ascii="Book Antiqua" w:hAnsi="Book Antiqua"/>
                <w:i/>
              </w:rPr>
              <w:t xml:space="preserve"> et al</w:t>
            </w:r>
            <w:r w:rsidR="0033034A" w:rsidRPr="00EE1D18">
              <w:rPr>
                <w:rFonts w:ascii="Book Antiqua" w:hAnsi="Book Antiqua"/>
                <w:vertAlign w:val="superscript"/>
              </w:rPr>
              <w:t>[</w:t>
            </w:r>
            <w:r w:rsidR="0033034A">
              <w:rPr>
                <w:rFonts w:ascii="Book Antiqua" w:hAnsi="Book Antiqua"/>
                <w:vertAlign w:val="superscript"/>
              </w:rPr>
              <w:t>9</w:t>
            </w:r>
            <w:r w:rsidR="0033034A" w:rsidRPr="00EE1D18">
              <w:rPr>
                <w:rFonts w:ascii="Book Antiqua" w:hAnsi="Book Antiqua"/>
                <w:vertAlign w:val="superscript"/>
              </w:rPr>
              <w:t>]</w:t>
            </w:r>
            <w:r w:rsidR="0022238F">
              <w:rPr>
                <w:rFonts w:ascii="Book Antiqua" w:hAnsi="Book Antiqua"/>
              </w:rPr>
              <w:t xml:space="preserve">, </w:t>
            </w:r>
            <w:r w:rsidRPr="00EE1D18">
              <w:rPr>
                <w:rFonts w:ascii="Book Antiqua" w:hAnsi="Book Antiqua"/>
              </w:rPr>
              <w:t>2017</w:t>
            </w:r>
          </w:p>
        </w:tc>
      </w:tr>
      <w:tr w:rsidR="00EE1D18" w:rsidRPr="00EE1D18" w14:paraId="4242F603" w14:textId="77777777" w:rsidTr="0022238F">
        <w:trPr>
          <w:trHeight w:val="820"/>
        </w:trPr>
        <w:tc>
          <w:tcPr>
            <w:tcW w:w="309" w:type="pct"/>
          </w:tcPr>
          <w:p w14:paraId="60C71098" w14:textId="77777777" w:rsidR="00EE1D18" w:rsidRPr="00EE1D18" w:rsidRDefault="00EE1D18" w:rsidP="00EE1D18">
            <w:pPr>
              <w:widowControl/>
              <w:spacing w:line="360" w:lineRule="auto"/>
              <w:rPr>
                <w:rFonts w:ascii="Book Antiqua" w:hAnsi="Book Antiqua"/>
              </w:rPr>
            </w:pPr>
            <w:r w:rsidRPr="00EE1D18">
              <w:rPr>
                <w:rFonts w:ascii="Book Antiqua" w:hAnsi="Book Antiqua"/>
              </w:rPr>
              <w:t>3</w:t>
            </w:r>
          </w:p>
        </w:tc>
        <w:tc>
          <w:tcPr>
            <w:tcW w:w="412" w:type="pct"/>
          </w:tcPr>
          <w:p w14:paraId="4FD47986" w14:textId="77777777" w:rsidR="00EE1D18" w:rsidRPr="00EE1D18" w:rsidRDefault="00EE1D18" w:rsidP="00EE1D18">
            <w:pPr>
              <w:widowControl/>
              <w:spacing w:line="360" w:lineRule="auto"/>
              <w:rPr>
                <w:rFonts w:ascii="Book Antiqua" w:hAnsi="Book Antiqua"/>
              </w:rPr>
            </w:pPr>
            <w:r w:rsidRPr="00EE1D18">
              <w:rPr>
                <w:rFonts w:ascii="Book Antiqua" w:hAnsi="Book Antiqua"/>
              </w:rPr>
              <w:t>76</w:t>
            </w:r>
          </w:p>
        </w:tc>
        <w:tc>
          <w:tcPr>
            <w:tcW w:w="465" w:type="pct"/>
          </w:tcPr>
          <w:p w14:paraId="2546EF82" w14:textId="77777777" w:rsidR="00EE1D18" w:rsidRPr="00EE1D18" w:rsidRDefault="00EE1D18" w:rsidP="00EE1D18">
            <w:pPr>
              <w:widowControl/>
              <w:spacing w:line="360" w:lineRule="auto"/>
              <w:rPr>
                <w:rFonts w:ascii="Book Antiqua" w:hAnsi="Book Antiqua"/>
              </w:rPr>
            </w:pPr>
            <w:r w:rsidRPr="00EE1D18">
              <w:rPr>
                <w:rFonts w:ascii="Book Antiqua" w:hAnsi="Book Antiqua"/>
              </w:rPr>
              <w:t>Male</w:t>
            </w:r>
          </w:p>
        </w:tc>
        <w:tc>
          <w:tcPr>
            <w:tcW w:w="515" w:type="pct"/>
          </w:tcPr>
          <w:p w14:paraId="2D5F224C" w14:textId="77777777" w:rsidR="00EE1D18" w:rsidRPr="00EE1D18" w:rsidRDefault="00EE1D18" w:rsidP="00EE1D18">
            <w:pPr>
              <w:widowControl/>
              <w:spacing w:line="360" w:lineRule="auto"/>
              <w:rPr>
                <w:rFonts w:ascii="Book Antiqua" w:hAnsi="Book Antiqua"/>
              </w:rPr>
            </w:pPr>
            <w:r w:rsidRPr="00EE1D18">
              <w:rPr>
                <w:rFonts w:ascii="Book Antiqua" w:hAnsi="Book Antiqua"/>
              </w:rPr>
              <w:t>Ascending colon</w:t>
            </w:r>
          </w:p>
        </w:tc>
        <w:tc>
          <w:tcPr>
            <w:tcW w:w="709" w:type="pct"/>
          </w:tcPr>
          <w:p w14:paraId="35B38FCF" w14:textId="77777777" w:rsidR="00EE1D18" w:rsidRPr="00EE1D18" w:rsidRDefault="00EE1D18" w:rsidP="00EE1D18">
            <w:pPr>
              <w:widowControl/>
              <w:spacing w:line="360" w:lineRule="auto"/>
              <w:rPr>
                <w:rFonts w:ascii="Book Antiqua" w:hAnsi="Book Antiqua"/>
              </w:rPr>
            </w:pPr>
            <w:r w:rsidRPr="00EE1D18">
              <w:rPr>
                <w:rFonts w:ascii="Book Antiqua" w:hAnsi="Book Antiqua"/>
              </w:rPr>
              <w:t>Hypermethylation</w:t>
            </w:r>
          </w:p>
        </w:tc>
        <w:tc>
          <w:tcPr>
            <w:tcW w:w="974" w:type="pct"/>
          </w:tcPr>
          <w:p w14:paraId="44A0B5A4" w14:textId="77777777" w:rsidR="00EE1D18" w:rsidRPr="00EE1D18" w:rsidRDefault="00EE1D18" w:rsidP="00EE1D18">
            <w:pPr>
              <w:widowControl/>
              <w:spacing w:line="360" w:lineRule="auto"/>
              <w:rPr>
                <w:rFonts w:ascii="Book Antiqua" w:hAnsi="Book Antiqua"/>
              </w:rPr>
            </w:pPr>
            <w:r w:rsidRPr="00EE1D18">
              <w:rPr>
                <w:rFonts w:ascii="Book Antiqua" w:hAnsi="Book Antiqua"/>
              </w:rPr>
              <w:t>Unknown</w:t>
            </w:r>
          </w:p>
        </w:tc>
        <w:tc>
          <w:tcPr>
            <w:tcW w:w="483" w:type="pct"/>
          </w:tcPr>
          <w:p w14:paraId="64652C51" w14:textId="77777777" w:rsidR="00EE1D18" w:rsidRPr="00EE1D18" w:rsidRDefault="00EE1D18" w:rsidP="00EE1D18">
            <w:pPr>
              <w:widowControl/>
              <w:spacing w:line="360" w:lineRule="auto"/>
              <w:rPr>
                <w:rFonts w:ascii="Book Antiqua" w:hAnsi="Book Antiqua"/>
              </w:rPr>
            </w:pPr>
            <w:r w:rsidRPr="00EE1D18">
              <w:rPr>
                <w:rFonts w:ascii="Book Antiqua" w:hAnsi="Book Antiqua"/>
              </w:rPr>
              <w:t>Mutation</w:t>
            </w:r>
          </w:p>
        </w:tc>
        <w:tc>
          <w:tcPr>
            <w:tcW w:w="538" w:type="pct"/>
          </w:tcPr>
          <w:p w14:paraId="1862142B" w14:textId="77777777" w:rsidR="00EE1D18" w:rsidRPr="00EE1D18" w:rsidRDefault="00EE1D18" w:rsidP="00EE1D18">
            <w:pPr>
              <w:widowControl/>
              <w:spacing w:line="360" w:lineRule="auto"/>
              <w:rPr>
                <w:rFonts w:ascii="Book Antiqua" w:hAnsi="Book Antiqua"/>
              </w:rPr>
            </w:pPr>
            <w:r w:rsidRPr="00EE1D18">
              <w:rPr>
                <w:rFonts w:ascii="Book Antiqua" w:hAnsi="Book Antiqua"/>
              </w:rPr>
              <w:t>Biopsy</w:t>
            </w:r>
          </w:p>
        </w:tc>
        <w:tc>
          <w:tcPr>
            <w:tcW w:w="594" w:type="pct"/>
          </w:tcPr>
          <w:p w14:paraId="05AC68F3" w14:textId="77777777" w:rsidR="00EE1D18" w:rsidRPr="00EE1D18" w:rsidRDefault="00EE1D18" w:rsidP="0033034A">
            <w:pPr>
              <w:widowControl/>
              <w:spacing w:line="360" w:lineRule="auto"/>
              <w:rPr>
                <w:rFonts w:ascii="Book Antiqua" w:hAnsi="Book Antiqua"/>
              </w:rPr>
            </w:pPr>
            <w:r w:rsidRPr="00EE1D18">
              <w:rPr>
                <w:rFonts w:ascii="Book Antiqua" w:hAnsi="Book Antiqua"/>
              </w:rPr>
              <w:t>Westwood</w:t>
            </w:r>
            <w:r w:rsidR="0033034A" w:rsidRPr="0033034A">
              <w:rPr>
                <w:rFonts w:ascii="Book Antiqua" w:hAnsi="Book Antiqua"/>
                <w:i/>
              </w:rPr>
              <w:t xml:space="preserve"> et al</w:t>
            </w:r>
            <w:r w:rsidR="0033034A" w:rsidRPr="00EE1D18">
              <w:rPr>
                <w:rFonts w:ascii="Book Antiqua" w:hAnsi="Book Antiqua"/>
                <w:vertAlign w:val="superscript"/>
              </w:rPr>
              <w:t>[</w:t>
            </w:r>
            <w:r w:rsidR="0033034A">
              <w:rPr>
                <w:rFonts w:ascii="Book Antiqua" w:hAnsi="Book Antiqua"/>
                <w:vertAlign w:val="superscript"/>
              </w:rPr>
              <w:t>10</w:t>
            </w:r>
            <w:r w:rsidR="0033034A" w:rsidRPr="00EE1D18">
              <w:rPr>
                <w:rFonts w:ascii="Book Antiqua" w:hAnsi="Book Antiqua"/>
                <w:vertAlign w:val="superscript"/>
              </w:rPr>
              <w:t>]</w:t>
            </w:r>
            <w:r w:rsidR="0033034A" w:rsidRPr="00EE1D18">
              <w:rPr>
                <w:rFonts w:ascii="Book Antiqua" w:hAnsi="Book Antiqua"/>
              </w:rPr>
              <w:t xml:space="preserve">, </w:t>
            </w:r>
            <w:r w:rsidRPr="00EE1D18">
              <w:rPr>
                <w:rFonts w:ascii="Book Antiqua" w:hAnsi="Book Antiqua"/>
              </w:rPr>
              <w:t>2019</w:t>
            </w:r>
          </w:p>
        </w:tc>
      </w:tr>
    </w:tbl>
    <w:p w14:paraId="5FFD3B74" w14:textId="77777777" w:rsidR="00EA2968" w:rsidRDefault="00EA2968">
      <w:pPr>
        <w:spacing w:line="360" w:lineRule="auto"/>
        <w:jc w:val="both"/>
        <w:sectPr w:rsidR="00EA2968" w:rsidSect="00EE1D18">
          <w:pgSz w:w="15842" w:h="12242" w:orient="landscape"/>
          <w:pgMar w:top="1440" w:right="1797" w:bottom="1440" w:left="1797" w:header="720" w:footer="720" w:gutter="0"/>
          <w:cols w:space="720"/>
          <w:docGrid w:linePitch="360"/>
        </w:sectPr>
      </w:pPr>
    </w:p>
    <w:p w14:paraId="2E801E6B" w14:textId="77777777" w:rsidR="00EA2968" w:rsidRDefault="00EA2968" w:rsidP="00EA2968">
      <w:pPr>
        <w:jc w:val="center"/>
        <w:rPr>
          <w:rFonts w:ascii="Book Antiqua" w:hAnsi="Book Antiqua"/>
          <w:lang w:eastAsia="zh-CN"/>
        </w:rPr>
      </w:pPr>
      <w:bookmarkStart w:id="7" w:name="OLE_LINK1"/>
      <w:bookmarkStart w:id="8" w:name="OLE_LINK2"/>
    </w:p>
    <w:p w14:paraId="041BC74A" w14:textId="77777777" w:rsidR="00EA2968" w:rsidRDefault="00EA2968" w:rsidP="00EA2968">
      <w:pPr>
        <w:jc w:val="center"/>
        <w:rPr>
          <w:rFonts w:ascii="Book Antiqua" w:hAnsi="Book Antiqua"/>
          <w:lang w:eastAsia="zh-CN"/>
        </w:rPr>
      </w:pPr>
    </w:p>
    <w:p w14:paraId="38B9223F" w14:textId="77777777" w:rsidR="00EA2968" w:rsidRDefault="00EA2968" w:rsidP="00EA2968">
      <w:pPr>
        <w:jc w:val="center"/>
        <w:rPr>
          <w:rFonts w:ascii="Book Antiqua" w:hAnsi="Book Antiqua"/>
          <w:lang w:eastAsia="zh-CN"/>
        </w:rPr>
      </w:pPr>
    </w:p>
    <w:p w14:paraId="3163A5DA" w14:textId="77777777" w:rsidR="00EA2968" w:rsidRDefault="00EA2968" w:rsidP="00EA2968">
      <w:pPr>
        <w:jc w:val="center"/>
        <w:rPr>
          <w:rFonts w:ascii="Book Antiqua" w:hAnsi="Book Antiqua"/>
          <w:lang w:eastAsia="zh-CN"/>
        </w:rPr>
      </w:pPr>
    </w:p>
    <w:p w14:paraId="56DE634D" w14:textId="77777777" w:rsidR="00EA2968" w:rsidRDefault="00EA2968" w:rsidP="00EA2968">
      <w:pPr>
        <w:jc w:val="center"/>
        <w:rPr>
          <w:rFonts w:ascii="Book Antiqua" w:hAnsi="Book Antiqua"/>
          <w:lang w:eastAsia="zh-CN"/>
        </w:rPr>
      </w:pPr>
    </w:p>
    <w:p w14:paraId="2C946946" w14:textId="77777777" w:rsidR="00EA2968" w:rsidRDefault="00EA2968" w:rsidP="00EA2968">
      <w:pPr>
        <w:jc w:val="center"/>
        <w:rPr>
          <w:rFonts w:ascii="Book Antiqua" w:hAnsi="Book Antiqua"/>
          <w:lang w:eastAsia="zh-CN"/>
        </w:rPr>
      </w:pPr>
      <w:r>
        <w:rPr>
          <w:rFonts w:ascii="Book Antiqua" w:hAnsi="Book Antiqua"/>
          <w:noProof/>
          <w:lang w:eastAsia="zh-CN"/>
        </w:rPr>
        <w:drawing>
          <wp:inline distT="0" distB="0" distL="0" distR="0" wp14:anchorId="5E3D9D63" wp14:editId="7CCBC47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977646" w14:textId="77777777" w:rsidR="00EA2968" w:rsidRDefault="00EA2968" w:rsidP="00EA2968">
      <w:pPr>
        <w:jc w:val="center"/>
        <w:rPr>
          <w:rFonts w:ascii="Book Antiqua" w:hAnsi="Book Antiqua"/>
          <w:lang w:eastAsia="zh-CN"/>
        </w:rPr>
      </w:pPr>
    </w:p>
    <w:p w14:paraId="51A13F15" w14:textId="77777777" w:rsidR="00EA2968" w:rsidRPr="00763D22" w:rsidRDefault="00EA2968" w:rsidP="00EA296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1FDF8CC" w14:textId="77777777" w:rsidR="00EA2968" w:rsidRPr="00763D22" w:rsidRDefault="00EA2968" w:rsidP="00EA296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73E80B9" w14:textId="77777777" w:rsidR="00EA2968" w:rsidRPr="00763D22" w:rsidRDefault="00EA2968" w:rsidP="00EA296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3DD3883" w14:textId="77777777" w:rsidR="00EA2968" w:rsidRPr="00763D22" w:rsidRDefault="00EA2968" w:rsidP="00EA296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8CDC471" w14:textId="77777777" w:rsidR="00EA2968" w:rsidRPr="00763D22" w:rsidRDefault="00EA2968" w:rsidP="00EA296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8F60E80" w14:textId="77777777" w:rsidR="00EA2968" w:rsidRPr="00763D22" w:rsidRDefault="00EA2968" w:rsidP="00EA296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2970A1C" w14:textId="77777777" w:rsidR="00EA2968" w:rsidRDefault="00EA2968" w:rsidP="00EA2968">
      <w:pPr>
        <w:jc w:val="center"/>
        <w:rPr>
          <w:rFonts w:ascii="Book Antiqua" w:hAnsi="Book Antiqua"/>
          <w:lang w:eastAsia="zh-CN"/>
        </w:rPr>
      </w:pPr>
    </w:p>
    <w:p w14:paraId="676BA431" w14:textId="77777777" w:rsidR="00EA2968" w:rsidRDefault="00EA2968" w:rsidP="00EA2968">
      <w:pPr>
        <w:jc w:val="center"/>
        <w:rPr>
          <w:rFonts w:ascii="Book Antiqua" w:hAnsi="Book Antiqua"/>
          <w:lang w:eastAsia="zh-CN"/>
        </w:rPr>
      </w:pPr>
    </w:p>
    <w:p w14:paraId="2786EBB5" w14:textId="77777777" w:rsidR="00EA2968" w:rsidRDefault="00EA2968" w:rsidP="00EA2968">
      <w:pPr>
        <w:jc w:val="center"/>
        <w:rPr>
          <w:rFonts w:ascii="Book Antiqua" w:hAnsi="Book Antiqua"/>
          <w:lang w:eastAsia="zh-CN"/>
        </w:rPr>
      </w:pPr>
    </w:p>
    <w:p w14:paraId="7E0D348D" w14:textId="77777777" w:rsidR="00EA2968" w:rsidRDefault="00EA2968" w:rsidP="00EA2968">
      <w:pPr>
        <w:jc w:val="center"/>
        <w:rPr>
          <w:rFonts w:ascii="Book Antiqua" w:hAnsi="Book Antiqua"/>
          <w:lang w:eastAsia="zh-CN"/>
        </w:rPr>
      </w:pPr>
      <w:r>
        <w:rPr>
          <w:rFonts w:ascii="Book Antiqua" w:hAnsi="Book Antiqua"/>
          <w:noProof/>
          <w:lang w:eastAsia="zh-CN"/>
        </w:rPr>
        <w:drawing>
          <wp:inline distT="0" distB="0" distL="0" distR="0" wp14:anchorId="303DF456" wp14:editId="53D3438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BA5EF18" w14:textId="77777777" w:rsidR="00EA2968" w:rsidRDefault="00EA2968" w:rsidP="00EA2968">
      <w:pPr>
        <w:jc w:val="center"/>
        <w:rPr>
          <w:rFonts w:ascii="Book Antiqua" w:hAnsi="Book Antiqua"/>
          <w:lang w:eastAsia="zh-CN"/>
        </w:rPr>
      </w:pPr>
    </w:p>
    <w:p w14:paraId="07D25EE3" w14:textId="77777777" w:rsidR="00EA2968" w:rsidRDefault="00EA2968" w:rsidP="00EA2968">
      <w:pPr>
        <w:jc w:val="center"/>
        <w:rPr>
          <w:rFonts w:ascii="Book Antiqua" w:hAnsi="Book Antiqua"/>
          <w:lang w:eastAsia="zh-CN"/>
        </w:rPr>
      </w:pPr>
    </w:p>
    <w:p w14:paraId="2C8EE4E9" w14:textId="77777777" w:rsidR="00EA2968" w:rsidRDefault="00EA2968" w:rsidP="00EA2968">
      <w:pPr>
        <w:jc w:val="center"/>
        <w:rPr>
          <w:rFonts w:ascii="Book Antiqua" w:hAnsi="Book Antiqua"/>
          <w:lang w:eastAsia="zh-CN"/>
        </w:rPr>
      </w:pPr>
    </w:p>
    <w:p w14:paraId="00F08C33" w14:textId="77777777" w:rsidR="00EA2968" w:rsidRDefault="00EA2968" w:rsidP="00EA2968">
      <w:pPr>
        <w:jc w:val="center"/>
        <w:rPr>
          <w:rFonts w:ascii="Book Antiqua" w:hAnsi="Book Antiqua"/>
          <w:lang w:eastAsia="zh-CN"/>
        </w:rPr>
      </w:pPr>
    </w:p>
    <w:p w14:paraId="273F33EE" w14:textId="77777777" w:rsidR="00EA2968" w:rsidRDefault="00EA2968" w:rsidP="00EA2968">
      <w:pPr>
        <w:jc w:val="center"/>
        <w:rPr>
          <w:rFonts w:ascii="Book Antiqua" w:hAnsi="Book Antiqua"/>
          <w:lang w:eastAsia="zh-CN"/>
        </w:rPr>
      </w:pPr>
    </w:p>
    <w:p w14:paraId="3EB7FC2B" w14:textId="77777777" w:rsidR="00EA2968" w:rsidRDefault="00EA2968" w:rsidP="00EA2968">
      <w:pPr>
        <w:jc w:val="center"/>
        <w:rPr>
          <w:rFonts w:ascii="Book Antiqua" w:hAnsi="Book Antiqua"/>
          <w:lang w:eastAsia="zh-CN"/>
        </w:rPr>
      </w:pPr>
    </w:p>
    <w:p w14:paraId="3351C045" w14:textId="77777777" w:rsidR="00EA2968" w:rsidRDefault="00EA2968" w:rsidP="00EA2968">
      <w:pPr>
        <w:jc w:val="center"/>
        <w:rPr>
          <w:rFonts w:ascii="Book Antiqua" w:hAnsi="Book Antiqua"/>
          <w:lang w:eastAsia="zh-CN"/>
        </w:rPr>
      </w:pPr>
    </w:p>
    <w:p w14:paraId="6249F39A" w14:textId="77777777" w:rsidR="00EA2968" w:rsidRDefault="00EA2968" w:rsidP="00EA2968">
      <w:pPr>
        <w:jc w:val="center"/>
        <w:rPr>
          <w:rFonts w:ascii="Book Antiqua" w:hAnsi="Book Antiqua"/>
          <w:lang w:eastAsia="zh-CN"/>
        </w:rPr>
      </w:pPr>
    </w:p>
    <w:p w14:paraId="4A13414C" w14:textId="77777777" w:rsidR="00EA2968" w:rsidRDefault="00EA2968" w:rsidP="00EA2968">
      <w:pPr>
        <w:jc w:val="center"/>
        <w:rPr>
          <w:rFonts w:ascii="Book Antiqua" w:hAnsi="Book Antiqua"/>
          <w:lang w:eastAsia="zh-CN"/>
        </w:rPr>
      </w:pPr>
    </w:p>
    <w:p w14:paraId="5FBCDF18" w14:textId="77777777" w:rsidR="00EA2968" w:rsidRPr="00763D22" w:rsidRDefault="00EA2968" w:rsidP="00EA2968">
      <w:pPr>
        <w:jc w:val="right"/>
        <w:rPr>
          <w:rFonts w:ascii="Book Antiqua" w:hAnsi="Book Antiqua"/>
          <w:color w:val="000000" w:themeColor="text1"/>
          <w:lang w:eastAsia="zh-CN"/>
        </w:rPr>
      </w:pPr>
    </w:p>
    <w:p w14:paraId="6BC7776E" w14:textId="77777777" w:rsidR="00EA2968" w:rsidRPr="00763D22" w:rsidRDefault="00EA2968" w:rsidP="00EA296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bookmarkEnd w:id="8"/>
    </w:p>
    <w:p w14:paraId="1DE4B2B9" w14:textId="12624BA9" w:rsidR="00A77B3E" w:rsidRDefault="00A77B3E">
      <w:pPr>
        <w:spacing w:line="360" w:lineRule="auto"/>
        <w:jc w:val="both"/>
      </w:pPr>
      <w:bookmarkStart w:id="9" w:name="_GoBack"/>
      <w:bookmarkEnd w:id="9"/>
    </w:p>
    <w:sectPr w:rsidR="00A77B3E"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0592F" w14:textId="77777777" w:rsidR="00815B9D" w:rsidRDefault="00815B9D" w:rsidP="00837481">
      <w:r>
        <w:separator/>
      </w:r>
    </w:p>
  </w:endnote>
  <w:endnote w:type="continuationSeparator" w:id="0">
    <w:p w14:paraId="2AF60163" w14:textId="77777777" w:rsidR="00815B9D" w:rsidRDefault="00815B9D" w:rsidP="00837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等线"/>
    <w:panose1 w:val="00000000000000000000"/>
    <w:charset w:val="86"/>
    <w:family w:val="auto"/>
    <w:notTrueType/>
    <w:pitch w:val="default"/>
    <w:sig w:usb0="00000003" w:usb1="080E0000" w:usb2="00000010" w:usb3="00000000" w:csb0="0004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921643"/>
      <w:docPartObj>
        <w:docPartGallery w:val="Page Numbers (Bottom of Page)"/>
        <w:docPartUnique/>
      </w:docPartObj>
    </w:sdtPr>
    <w:sdtEndPr/>
    <w:sdtContent>
      <w:sdt>
        <w:sdtPr>
          <w:id w:val="-1705238520"/>
          <w:docPartObj>
            <w:docPartGallery w:val="Page Numbers (Top of Page)"/>
            <w:docPartUnique/>
          </w:docPartObj>
        </w:sdtPr>
        <w:sdtEndPr/>
        <w:sdtContent>
          <w:p w14:paraId="20775F9A" w14:textId="77777777" w:rsidR="00837481" w:rsidRDefault="00837481" w:rsidP="00837481">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15B9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15B9D">
              <w:rPr>
                <w:b/>
                <w:bCs/>
                <w:noProof/>
              </w:rPr>
              <w:t>1</w:t>
            </w:r>
            <w:r>
              <w:rPr>
                <w:b/>
                <w:bCs/>
                <w:sz w:val="24"/>
                <w:szCs w:val="24"/>
              </w:rPr>
              <w:fldChar w:fldCharType="end"/>
            </w:r>
          </w:p>
        </w:sdtContent>
      </w:sdt>
    </w:sdtContent>
  </w:sdt>
  <w:p w14:paraId="1E9B5BF5" w14:textId="77777777" w:rsidR="00837481" w:rsidRDefault="0083748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D52CB" w14:textId="77777777" w:rsidR="00815B9D" w:rsidRDefault="00815B9D" w:rsidP="00837481">
      <w:r>
        <w:separator/>
      </w:r>
    </w:p>
  </w:footnote>
  <w:footnote w:type="continuationSeparator" w:id="0">
    <w:p w14:paraId="116C40C7" w14:textId="77777777" w:rsidR="00815B9D" w:rsidRDefault="00815B9D" w:rsidP="008374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4F1B"/>
    <w:rsid w:val="000451DD"/>
    <w:rsid w:val="000806D9"/>
    <w:rsid w:val="000A0A3D"/>
    <w:rsid w:val="000A79C6"/>
    <w:rsid w:val="000B7B02"/>
    <w:rsid w:val="000C0B73"/>
    <w:rsid w:val="000C663A"/>
    <w:rsid w:val="000E48E8"/>
    <w:rsid w:val="000F79A4"/>
    <w:rsid w:val="00101EEA"/>
    <w:rsid w:val="00122EC6"/>
    <w:rsid w:val="00147D39"/>
    <w:rsid w:val="0019638C"/>
    <w:rsid w:val="001A4DA1"/>
    <w:rsid w:val="001B0A4C"/>
    <w:rsid w:val="001B1B99"/>
    <w:rsid w:val="001B4BAE"/>
    <w:rsid w:val="001C33A2"/>
    <w:rsid w:val="001D156D"/>
    <w:rsid w:val="001E266F"/>
    <w:rsid w:val="0020238C"/>
    <w:rsid w:val="0020441A"/>
    <w:rsid w:val="0022238F"/>
    <w:rsid w:val="00233096"/>
    <w:rsid w:val="002466A9"/>
    <w:rsid w:val="00254BE8"/>
    <w:rsid w:val="00257AA5"/>
    <w:rsid w:val="00265890"/>
    <w:rsid w:val="002709B4"/>
    <w:rsid w:val="00286888"/>
    <w:rsid w:val="002977F0"/>
    <w:rsid w:val="002C09AD"/>
    <w:rsid w:val="002F0CED"/>
    <w:rsid w:val="0033034A"/>
    <w:rsid w:val="00342583"/>
    <w:rsid w:val="00350E9B"/>
    <w:rsid w:val="0036446A"/>
    <w:rsid w:val="003C63D1"/>
    <w:rsid w:val="003D797C"/>
    <w:rsid w:val="003E5747"/>
    <w:rsid w:val="00415F94"/>
    <w:rsid w:val="00441349"/>
    <w:rsid w:val="0044623B"/>
    <w:rsid w:val="004709D4"/>
    <w:rsid w:val="004841A1"/>
    <w:rsid w:val="0049523F"/>
    <w:rsid w:val="004B42F4"/>
    <w:rsid w:val="004C30C8"/>
    <w:rsid w:val="004D1C1D"/>
    <w:rsid w:val="004F0964"/>
    <w:rsid w:val="0050725A"/>
    <w:rsid w:val="00534709"/>
    <w:rsid w:val="00535E73"/>
    <w:rsid w:val="005455C8"/>
    <w:rsid w:val="005504D5"/>
    <w:rsid w:val="005948FF"/>
    <w:rsid w:val="005A3683"/>
    <w:rsid w:val="005B2C69"/>
    <w:rsid w:val="005B3F8D"/>
    <w:rsid w:val="005B4111"/>
    <w:rsid w:val="005C2CB7"/>
    <w:rsid w:val="005D1985"/>
    <w:rsid w:val="00606607"/>
    <w:rsid w:val="00635291"/>
    <w:rsid w:val="006436AA"/>
    <w:rsid w:val="0065018A"/>
    <w:rsid w:val="00662A71"/>
    <w:rsid w:val="00663828"/>
    <w:rsid w:val="0069197D"/>
    <w:rsid w:val="0069746D"/>
    <w:rsid w:val="006A05E9"/>
    <w:rsid w:val="006B6419"/>
    <w:rsid w:val="006C06B1"/>
    <w:rsid w:val="006C75CF"/>
    <w:rsid w:val="00706AFC"/>
    <w:rsid w:val="00706DC4"/>
    <w:rsid w:val="00720B55"/>
    <w:rsid w:val="007E70D2"/>
    <w:rsid w:val="00810EFF"/>
    <w:rsid w:val="00815B9D"/>
    <w:rsid w:val="00823867"/>
    <w:rsid w:val="00825778"/>
    <w:rsid w:val="00837481"/>
    <w:rsid w:val="00841885"/>
    <w:rsid w:val="00883F35"/>
    <w:rsid w:val="008B61DB"/>
    <w:rsid w:val="008E402B"/>
    <w:rsid w:val="0090164E"/>
    <w:rsid w:val="009052B2"/>
    <w:rsid w:val="00951B6F"/>
    <w:rsid w:val="00954059"/>
    <w:rsid w:val="00957A2A"/>
    <w:rsid w:val="00984A08"/>
    <w:rsid w:val="0099252B"/>
    <w:rsid w:val="009978A1"/>
    <w:rsid w:val="009A6E27"/>
    <w:rsid w:val="009B683C"/>
    <w:rsid w:val="009D2598"/>
    <w:rsid w:val="009F5A47"/>
    <w:rsid w:val="00A107D1"/>
    <w:rsid w:val="00A60A9B"/>
    <w:rsid w:val="00A65D4C"/>
    <w:rsid w:val="00A77B3E"/>
    <w:rsid w:val="00AA4415"/>
    <w:rsid w:val="00AF2F3B"/>
    <w:rsid w:val="00AF408A"/>
    <w:rsid w:val="00B01ECC"/>
    <w:rsid w:val="00B045D0"/>
    <w:rsid w:val="00B70FFB"/>
    <w:rsid w:val="00B979F5"/>
    <w:rsid w:val="00BA05CA"/>
    <w:rsid w:val="00C0650A"/>
    <w:rsid w:val="00C10E74"/>
    <w:rsid w:val="00C55601"/>
    <w:rsid w:val="00C57C67"/>
    <w:rsid w:val="00C918FB"/>
    <w:rsid w:val="00CA2A55"/>
    <w:rsid w:val="00CA6BFF"/>
    <w:rsid w:val="00CB0905"/>
    <w:rsid w:val="00CC2D36"/>
    <w:rsid w:val="00CC73A7"/>
    <w:rsid w:val="00D1039E"/>
    <w:rsid w:val="00D146C9"/>
    <w:rsid w:val="00D15CF5"/>
    <w:rsid w:val="00D64360"/>
    <w:rsid w:val="00D964D7"/>
    <w:rsid w:val="00E067FA"/>
    <w:rsid w:val="00E22E7C"/>
    <w:rsid w:val="00E404A9"/>
    <w:rsid w:val="00E74E4D"/>
    <w:rsid w:val="00E825BA"/>
    <w:rsid w:val="00E972C6"/>
    <w:rsid w:val="00EA234B"/>
    <w:rsid w:val="00EA2968"/>
    <w:rsid w:val="00EA2F63"/>
    <w:rsid w:val="00EB2A89"/>
    <w:rsid w:val="00ED797A"/>
    <w:rsid w:val="00EE1D18"/>
    <w:rsid w:val="00F24676"/>
    <w:rsid w:val="00F65CEB"/>
    <w:rsid w:val="00F91EF4"/>
    <w:rsid w:val="00FB371F"/>
    <w:rsid w:val="00FD1E49"/>
    <w:rsid w:val="00FD2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926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374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37481"/>
    <w:rPr>
      <w:sz w:val="18"/>
      <w:szCs w:val="18"/>
    </w:rPr>
  </w:style>
  <w:style w:type="paragraph" w:styleId="a4">
    <w:name w:val="footer"/>
    <w:basedOn w:val="a"/>
    <w:link w:val="Char0"/>
    <w:uiPriority w:val="99"/>
    <w:unhideWhenUsed/>
    <w:rsid w:val="00837481"/>
    <w:pPr>
      <w:tabs>
        <w:tab w:val="center" w:pos="4153"/>
        <w:tab w:val="right" w:pos="8306"/>
      </w:tabs>
      <w:snapToGrid w:val="0"/>
    </w:pPr>
    <w:rPr>
      <w:sz w:val="18"/>
      <w:szCs w:val="18"/>
    </w:rPr>
  </w:style>
  <w:style w:type="character" w:customStyle="1" w:styleId="Char0">
    <w:name w:val="页脚 Char"/>
    <w:basedOn w:val="a0"/>
    <w:link w:val="a4"/>
    <w:uiPriority w:val="99"/>
    <w:rsid w:val="00837481"/>
    <w:rPr>
      <w:sz w:val="18"/>
      <w:szCs w:val="18"/>
    </w:rPr>
  </w:style>
  <w:style w:type="table" w:styleId="a5">
    <w:name w:val="Table Grid"/>
    <w:basedOn w:val="a1"/>
    <w:qFormat/>
    <w:rsid w:val="00EE1D18"/>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122EC6"/>
    <w:rPr>
      <w:sz w:val="18"/>
      <w:szCs w:val="18"/>
    </w:rPr>
  </w:style>
  <w:style w:type="character" w:customStyle="1" w:styleId="Char1">
    <w:name w:val="批注框文本 Char"/>
    <w:basedOn w:val="a0"/>
    <w:link w:val="a6"/>
    <w:semiHidden/>
    <w:rsid w:val="00122EC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374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37481"/>
    <w:rPr>
      <w:sz w:val="18"/>
      <w:szCs w:val="18"/>
    </w:rPr>
  </w:style>
  <w:style w:type="paragraph" w:styleId="a4">
    <w:name w:val="footer"/>
    <w:basedOn w:val="a"/>
    <w:link w:val="Char0"/>
    <w:uiPriority w:val="99"/>
    <w:unhideWhenUsed/>
    <w:rsid w:val="00837481"/>
    <w:pPr>
      <w:tabs>
        <w:tab w:val="center" w:pos="4153"/>
        <w:tab w:val="right" w:pos="8306"/>
      </w:tabs>
      <w:snapToGrid w:val="0"/>
    </w:pPr>
    <w:rPr>
      <w:sz w:val="18"/>
      <w:szCs w:val="18"/>
    </w:rPr>
  </w:style>
  <w:style w:type="character" w:customStyle="1" w:styleId="Char0">
    <w:name w:val="页脚 Char"/>
    <w:basedOn w:val="a0"/>
    <w:link w:val="a4"/>
    <w:uiPriority w:val="99"/>
    <w:rsid w:val="00837481"/>
    <w:rPr>
      <w:sz w:val="18"/>
      <w:szCs w:val="18"/>
    </w:rPr>
  </w:style>
  <w:style w:type="table" w:styleId="a5">
    <w:name w:val="Table Grid"/>
    <w:basedOn w:val="a1"/>
    <w:qFormat/>
    <w:rsid w:val="00EE1D18"/>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122EC6"/>
    <w:rPr>
      <w:sz w:val="18"/>
      <w:szCs w:val="18"/>
    </w:rPr>
  </w:style>
  <w:style w:type="character" w:customStyle="1" w:styleId="Char1">
    <w:name w:val="批注框文本 Char"/>
    <w:basedOn w:val="a0"/>
    <w:link w:val="a6"/>
    <w:semiHidden/>
    <w:rsid w:val="00122EC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19</Pages>
  <Words>3442</Words>
  <Characters>19621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14</cp:revision>
  <dcterms:created xsi:type="dcterms:W3CDTF">2021-05-24T02:16:00Z</dcterms:created>
  <dcterms:modified xsi:type="dcterms:W3CDTF">2021-07-15T07:59:00Z</dcterms:modified>
</cp:coreProperties>
</file>