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A2BD6"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Name of Journal: </w:t>
      </w:r>
      <w:r w:rsidRPr="00310595">
        <w:rPr>
          <w:rFonts w:ascii="Book Antiqua" w:eastAsia="Book Antiqua" w:hAnsi="Book Antiqua" w:cs="Book Antiqua"/>
          <w:i/>
          <w:color w:val="000000"/>
        </w:rPr>
        <w:t>World Journal of Clinical Cases</w:t>
      </w:r>
    </w:p>
    <w:p w14:paraId="3E008D5B"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Manuscript NO: </w:t>
      </w:r>
      <w:r w:rsidRPr="00310595">
        <w:rPr>
          <w:rFonts w:ascii="Book Antiqua" w:eastAsia="Book Antiqua" w:hAnsi="Book Antiqua" w:cs="Book Antiqua"/>
          <w:color w:val="000000"/>
        </w:rPr>
        <w:t>66477</w:t>
      </w:r>
    </w:p>
    <w:p w14:paraId="363BA304"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Manuscript Type: </w:t>
      </w:r>
      <w:r w:rsidRPr="00310595">
        <w:rPr>
          <w:rFonts w:ascii="Book Antiqua" w:eastAsia="Book Antiqua" w:hAnsi="Book Antiqua" w:cs="Book Antiqua"/>
          <w:color w:val="000000"/>
        </w:rPr>
        <w:t>CASE REPORT</w:t>
      </w:r>
    </w:p>
    <w:p w14:paraId="28E9AAD2" w14:textId="77777777" w:rsidR="00A77B3E" w:rsidRPr="00310595" w:rsidRDefault="00A77B3E">
      <w:pPr>
        <w:spacing w:line="360" w:lineRule="auto"/>
        <w:jc w:val="both"/>
      </w:pPr>
    </w:p>
    <w:p w14:paraId="274AF004" w14:textId="77777777" w:rsidR="00A77B3E" w:rsidRPr="00310595" w:rsidRDefault="000A428C">
      <w:pPr>
        <w:spacing w:line="360" w:lineRule="auto"/>
        <w:jc w:val="both"/>
      </w:pPr>
      <w:r w:rsidRPr="00310595">
        <w:rPr>
          <w:rFonts w:ascii="Book Antiqua" w:eastAsia="Book Antiqua" w:hAnsi="Book Antiqua" w:cs="Book Antiqua"/>
          <w:b/>
          <w:bCs/>
          <w:caps/>
          <w:color w:val="000000"/>
        </w:rPr>
        <w:t>c</w:t>
      </w:r>
      <w:r w:rsidRPr="00310595">
        <w:rPr>
          <w:rFonts w:ascii="Book Antiqua" w:eastAsia="Book Antiqua" w:hAnsi="Book Antiqua" w:cs="Book Antiqua"/>
          <w:b/>
          <w:bCs/>
          <w:color w:val="000000"/>
        </w:rPr>
        <w:t xml:space="preserve">omplicated course of biliary inflammatory myofibroblastic tumor mimicking hilar cholangiocarcinoma: </w:t>
      </w:r>
      <w:r w:rsidRPr="00310595">
        <w:rPr>
          <w:rFonts w:ascii="Book Antiqua" w:eastAsia="Book Antiqua" w:hAnsi="Book Antiqua" w:cs="Book Antiqua"/>
          <w:b/>
          <w:bCs/>
          <w:caps/>
          <w:color w:val="000000"/>
        </w:rPr>
        <w:t>a</w:t>
      </w:r>
      <w:r w:rsidRPr="00310595">
        <w:rPr>
          <w:rFonts w:ascii="Book Antiqua" w:eastAsia="Book Antiqua" w:hAnsi="Book Antiqua" w:cs="Book Antiqua"/>
          <w:b/>
          <w:bCs/>
          <w:color w:val="000000"/>
        </w:rPr>
        <w:t xml:space="preserve"> case report and literature review</w:t>
      </w:r>
    </w:p>
    <w:p w14:paraId="00E68600" w14:textId="77777777" w:rsidR="00A77B3E" w:rsidRPr="00310595" w:rsidRDefault="00A77B3E">
      <w:pPr>
        <w:spacing w:line="360" w:lineRule="auto"/>
        <w:jc w:val="both"/>
      </w:pPr>
    </w:p>
    <w:p w14:paraId="26AF587C" w14:textId="30478980" w:rsidR="00A77B3E" w:rsidRPr="004C16C9" w:rsidRDefault="00E232C5">
      <w:pPr>
        <w:spacing w:line="360" w:lineRule="auto"/>
        <w:jc w:val="both"/>
        <w:rPr>
          <w:lang w:eastAsia="zh-CN"/>
        </w:rPr>
      </w:pPr>
      <w:r w:rsidRPr="00310595">
        <w:rPr>
          <w:rFonts w:ascii="Book Antiqua" w:eastAsia="Book Antiqua" w:hAnsi="Book Antiqua" w:cs="Book Antiqua"/>
          <w:color w:val="000000"/>
        </w:rPr>
        <w:t xml:space="preserve">Strainiene </w:t>
      </w:r>
      <w:r w:rsidRPr="00310595">
        <w:rPr>
          <w:rFonts w:ascii="Book Antiqua" w:hAnsi="Book Antiqua" w:cs="Book Antiqua" w:hint="eastAsia"/>
          <w:color w:val="000000"/>
          <w:lang w:eastAsia="zh-CN"/>
        </w:rPr>
        <w:t>S</w:t>
      </w:r>
      <w:r w:rsidRPr="00310595">
        <w:rPr>
          <w:rFonts w:ascii="Book Antiqua" w:hAnsi="Book Antiqua" w:cs="Book Antiqua" w:hint="eastAsia"/>
          <w:i/>
          <w:color w:val="000000"/>
          <w:lang w:eastAsia="zh-CN"/>
        </w:rPr>
        <w:t xml:space="preserve"> et al</w:t>
      </w:r>
      <w:r w:rsidRPr="00310595">
        <w:rPr>
          <w:rFonts w:ascii="Book Antiqua" w:hAnsi="Book Antiqua" w:cs="Book Antiqua" w:hint="eastAsia"/>
          <w:color w:val="000000"/>
          <w:lang w:eastAsia="zh-CN"/>
        </w:rPr>
        <w:t xml:space="preserve">. </w:t>
      </w:r>
      <w:r w:rsidR="004C16C9">
        <w:rPr>
          <w:rFonts w:ascii="Book Antiqua" w:eastAsia="Book Antiqua" w:hAnsi="Book Antiqua" w:cs="Book Antiqua"/>
          <w:color w:val="000000"/>
        </w:rPr>
        <w:t>Complicated biliary IMT</w:t>
      </w:r>
    </w:p>
    <w:p w14:paraId="2FE26684" w14:textId="77777777" w:rsidR="00A77B3E" w:rsidRPr="00310595" w:rsidRDefault="00A77B3E">
      <w:pPr>
        <w:spacing w:line="360" w:lineRule="auto"/>
        <w:jc w:val="both"/>
      </w:pPr>
    </w:p>
    <w:p w14:paraId="1B83904A" w14:textId="77777777" w:rsidR="00A77B3E" w:rsidRPr="00310595" w:rsidRDefault="000A428C">
      <w:pPr>
        <w:spacing w:line="360" w:lineRule="auto"/>
        <w:jc w:val="both"/>
      </w:pPr>
      <w:r w:rsidRPr="00310595">
        <w:rPr>
          <w:rFonts w:ascii="Book Antiqua" w:eastAsia="Book Antiqua" w:hAnsi="Book Antiqua" w:cs="Book Antiqua"/>
          <w:color w:val="000000"/>
        </w:rPr>
        <w:t>Sandra Strainiene, Kotryna Sedleckaite, Juozas Jarasunas, Ilona Savlan, Juozas Stanaitis, Ieva Stundiene, Tomas Strainys, Valentina Liakina, Jonas Valantinas</w:t>
      </w:r>
    </w:p>
    <w:p w14:paraId="214316CD" w14:textId="77777777" w:rsidR="00A77B3E" w:rsidRPr="00310595" w:rsidRDefault="00A77B3E">
      <w:pPr>
        <w:spacing w:line="360" w:lineRule="auto"/>
        <w:jc w:val="both"/>
      </w:pPr>
    </w:p>
    <w:p w14:paraId="25CE833D"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Sandra Strainiene, Ilona Savlan, Juozas Stanaitis, Ieva Stundiene, Valentina Liakina, Jonas Valantinas, </w:t>
      </w:r>
      <w:r w:rsidRPr="00310595">
        <w:rPr>
          <w:rFonts w:ascii="Book Antiqua" w:eastAsia="Book Antiqua" w:hAnsi="Book Antiqua" w:cs="Book Antiqua"/>
          <w:color w:val="000000"/>
        </w:rPr>
        <w:t>Clinic of Gastroenterology, Nephrourology and Surgery, Institute of Clinical Medicine, Vilnius University, Vilnius 01513, Lithuania</w:t>
      </w:r>
    </w:p>
    <w:p w14:paraId="7E8D854C" w14:textId="77777777" w:rsidR="00A77B3E" w:rsidRPr="00310595" w:rsidRDefault="00A77B3E">
      <w:pPr>
        <w:spacing w:line="360" w:lineRule="auto"/>
        <w:jc w:val="both"/>
      </w:pPr>
    </w:p>
    <w:p w14:paraId="163FBDC5"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Kotryna Sedleckaite, </w:t>
      </w:r>
      <w:r w:rsidRPr="00310595">
        <w:rPr>
          <w:rFonts w:ascii="Book Antiqua" w:eastAsia="Book Antiqua" w:hAnsi="Book Antiqua" w:cs="Book Antiqua"/>
          <w:color w:val="000000"/>
        </w:rPr>
        <w:t>Vilnius University, Faculty of Medicine, Vilnius 01513, Lithuania</w:t>
      </w:r>
    </w:p>
    <w:p w14:paraId="265FE1E5" w14:textId="77777777" w:rsidR="00A77B3E" w:rsidRPr="00310595" w:rsidRDefault="00A77B3E">
      <w:pPr>
        <w:spacing w:line="360" w:lineRule="auto"/>
        <w:jc w:val="both"/>
      </w:pPr>
    </w:p>
    <w:p w14:paraId="4769D1ED"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Juozas Jarasunas, </w:t>
      </w:r>
      <w:r w:rsidRPr="00310595">
        <w:rPr>
          <w:rFonts w:ascii="Book Antiqua" w:eastAsia="Book Antiqua" w:hAnsi="Book Antiqua" w:cs="Book Antiqua"/>
          <w:color w:val="000000"/>
        </w:rPr>
        <w:t>Department of Radiology, Nuclear Medicine and Medical Physics, Institute of Clinical Medicine, Vilnius University, Vilnius 01513, Lithuania</w:t>
      </w:r>
    </w:p>
    <w:p w14:paraId="41A752BB" w14:textId="77777777" w:rsidR="00A77B3E" w:rsidRPr="00310595" w:rsidRDefault="00A77B3E">
      <w:pPr>
        <w:spacing w:line="360" w:lineRule="auto"/>
        <w:jc w:val="both"/>
      </w:pPr>
    </w:p>
    <w:p w14:paraId="4B1D9D69"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Tomas Strainys, </w:t>
      </w:r>
      <w:r w:rsidRPr="00310595">
        <w:rPr>
          <w:rFonts w:ascii="Book Antiqua" w:eastAsia="Book Antiqua" w:hAnsi="Book Antiqua" w:cs="Book Antiqua"/>
          <w:color w:val="000000"/>
        </w:rPr>
        <w:t>Clinic of Anesthesiology and Intensive Care Institute of Clinical Medicine, Vilnius University, Vilnius 01513, Lithuania</w:t>
      </w:r>
    </w:p>
    <w:p w14:paraId="4A2C97F1" w14:textId="77777777" w:rsidR="00A77B3E" w:rsidRPr="00310595" w:rsidRDefault="00A77B3E">
      <w:pPr>
        <w:spacing w:line="360" w:lineRule="auto"/>
        <w:jc w:val="both"/>
      </w:pPr>
    </w:p>
    <w:p w14:paraId="2BCDC760"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Valentina Liakina, </w:t>
      </w:r>
      <w:r w:rsidRPr="00310595">
        <w:rPr>
          <w:rFonts w:ascii="Book Antiqua" w:eastAsia="Book Antiqua" w:hAnsi="Book Antiqua" w:cs="Book Antiqua"/>
          <w:color w:val="000000"/>
        </w:rPr>
        <w:t>Department of Chemistry and Bioengineering, Faculty of Fundamental Science, Vilnius Gediminas Technical University, Vilnius 10223, Lithuania</w:t>
      </w:r>
    </w:p>
    <w:p w14:paraId="10668B04" w14:textId="77777777" w:rsidR="00A77B3E" w:rsidRPr="00310595" w:rsidRDefault="00A77B3E">
      <w:pPr>
        <w:spacing w:line="360" w:lineRule="auto"/>
        <w:jc w:val="both"/>
      </w:pPr>
    </w:p>
    <w:p w14:paraId="48EFC376"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Author contributions: </w:t>
      </w:r>
      <w:r w:rsidRPr="00310595">
        <w:rPr>
          <w:rFonts w:ascii="Book Antiqua" w:eastAsia="Book Antiqua" w:hAnsi="Book Antiqua" w:cs="Book Antiqua"/>
          <w:color w:val="000000"/>
        </w:rPr>
        <w:t xml:space="preserve">Strainiene S, Sedleckaite K, Jarasunas J, and Strainys T performed the patient’s data extraction; Strainiene S, Sedleckaite K, Jarasunas J, and Strainys T wrote the original manuscript and reviewed the literature; Savlan I was the </w:t>
      </w:r>
      <w:r w:rsidRPr="00310595">
        <w:rPr>
          <w:rFonts w:ascii="Book Antiqua" w:eastAsia="Book Antiqua" w:hAnsi="Book Antiqua" w:cs="Book Antiqua"/>
          <w:color w:val="000000"/>
        </w:rPr>
        <w:lastRenderedPageBreak/>
        <w:t>gastroenterologist who followed-up the patient; Jarasunas J was the radiologist in this case and selected the radiological images; Stanaitis J was the endoscopist who performed most of the procedures; Savlan I, Liakina V, and Stundiene I reviewed and edited the manuscript; Stanaitis J, and Valantinas J revised the manuscript for important intellectual content; All authors have read and approved the final manuscript.</w:t>
      </w:r>
    </w:p>
    <w:p w14:paraId="312A69BF" w14:textId="77777777" w:rsidR="00A77B3E" w:rsidRPr="00310595" w:rsidRDefault="00A77B3E">
      <w:pPr>
        <w:spacing w:line="360" w:lineRule="auto"/>
        <w:jc w:val="both"/>
      </w:pPr>
    </w:p>
    <w:p w14:paraId="4327A319"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Corresponding author: Sandra Strainiene, MD, Doctor, </w:t>
      </w:r>
      <w:r w:rsidRPr="00310595">
        <w:rPr>
          <w:rFonts w:ascii="Book Antiqua" w:eastAsia="Book Antiqua" w:hAnsi="Book Antiqua" w:cs="Book Antiqua"/>
          <w:color w:val="000000"/>
        </w:rPr>
        <w:t>Clinic of Gastroenterology, Nephrourology and Surgery, Institute of Clinical Medicine, Vilnius University, 3 Universiteto Street, Vilnius 01513, Lithuania. sandra.strainiene@santa.lt</w:t>
      </w:r>
    </w:p>
    <w:p w14:paraId="62A8C056" w14:textId="77777777" w:rsidR="00A77B3E" w:rsidRPr="00310595" w:rsidRDefault="00A77B3E">
      <w:pPr>
        <w:spacing w:line="360" w:lineRule="auto"/>
        <w:jc w:val="both"/>
      </w:pPr>
    </w:p>
    <w:p w14:paraId="7EE77D4D"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Received: </w:t>
      </w:r>
      <w:r w:rsidRPr="00310595">
        <w:rPr>
          <w:rFonts w:ascii="Book Antiqua" w:eastAsia="Book Antiqua" w:hAnsi="Book Antiqua" w:cs="Book Antiqua"/>
          <w:color w:val="000000"/>
        </w:rPr>
        <w:t>March 29, 2021</w:t>
      </w:r>
    </w:p>
    <w:p w14:paraId="11BEFFEA"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Revised: </w:t>
      </w:r>
      <w:r w:rsidRPr="00310595">
        <w:rPr>
          <w:rFonts w:ascii="Book Antiqua" w:eastAsia="Book Antiqua" w:hAnsi="Book Antiqua" w:cs="Book Antiqua"/>
          <w:color w:val="000000"/>
        </w:rPr>
        <w:t>April 30, 2021</w:t>
      </w:r>
    </w:p>
    <w:p w14:paraId="676C811B" w14:textId="7610673A" w:rsidR="00A77B3E" w:rsidRPr="00310595" w:rsidRDefault="000A428C">
      <w:pPr>
        <w:spacing w:line="360" w:lineRule="auto"/>
        <w:jc w:val="both"/>
      </w:pPr>
      <w:r w:rsidRPr="00310595">
        <w:rPr>
          <w:rFonts w:ascii="Book Antiqua" w:eastAsia="Book Antiqua" w:hAnsi="Book Antiqua" w:cs="Book Antiqua"/>
          <w:b/>
          <w:bCs/>
          <w:color w:val="000000"/>
        </w:rPr>
        <w:t xml:space="preserve">Accepted: </w:t>
      </w:r>
      <w:r w:rsidR="008E3E59" w:rsidRPr="008E3E59">
        <w:rPr>
          <w:rFonts w:ascii="Book Antiqua" w:eastAsia="Book Antiqua" w:hAnsi="Book Antiqua" w:cs="Book Antiqua"/>
          <w:color w:val="000000"/>
        </w:rPr>
        <w:t>May 20, 2021</w:t>
      </w:r>
    </w:p>
    <w:p w14:paraId="48A1E57D" w14:textId="5719195A" w:rsidR="00A77B3E" w:rsidRPr="00310595" w:rsidRDefault="000A428C">
      <w:pPr>
        <w:spacing w:line="360" w:lineRule="auto"/>
        <w:jc w:val="both"/>
      </w:pPr>
      <w:r w:rsidRPr="00310595">
        <w:rPr>
          <w:rFonts w:ascii="Book Antiqua" w:eastAsia="Book Antiqua" w:hAnsi="Book Antiqua" w:cs="Book Antiqua"/>
          <w:b/>
          <w:bCs/>
          <w:color w:val="000000"/>
        </w:rPr>
        <w:t xml:space="preserve">Published online: </w:t>
      </w:r>
      <w:r w:rsidR="003D7EBA" w:rsidRPr="003D7EBA">
        <w:rPr>
          <w:rFonts w:ascii="Book Antiqua" w:eastAsia="Book Antiqua" w:hAnsi="Book Antiqua" w:cs="Book Antiqua"/>
          <w:bCs/>
          <w:color w:val="000000"/>
        </w:rPr>
        <w:t>July 26, 2021</w:t>
      </w:r>
    </w:p>
    <w:p w14:paraId="05EDCFD8" w14:textId="77777777" w:rsidR="00A77B3E" w:rsidRPr="00310595" w:rsidRDefault="00A77B3E">
      <w:pPr>
        <w:spacing w:line="360" w:lineRule="auto"/>
        <w:jc w:val="both"/>
        <w:sectPr w:rsidR="00A77B3E" w:rsidRPr="00310595">
          <w:footerReference w:type="default" r:id="rId7"/>
          <w:pgSz w:w="12240" w:h="15840"/>
          <w:pgMar w:top="1440" w:right="1440" w:bottom="1440" w:left="1440" w:header="720" w:footer="720" w:gutter="0"/>
          <w:cols w:space="720"/>
          <w:docGrid w:linePitch="360"/>
        </w:sectPr>
      </w:pPr>
    </w:p>
    <w:p w14:paraId="0F4B465F" w14:textId="77777777" w:rsidR="00A77B3E" w:rsidRPr="00310595" w:rsidRDefault="000A428C">
      <w:pPr>
        <w:spacing w:line="360" w:lineRule="auto"/>
        <w:jc w:val="both"/>
      </w:pPr>
      <w:r w:rsidRPr="00310595">
        <w:rPr>
          <w:rFonts w:ascii="Book Antiqua" w:eastAsia="Book Antiqua" w:hAnsi="Book Antiqua" w:cs="Book Antiqua"/>
          <w:b/>
          <w:color w:val="000000"/>
        </w:rPr>
        <w:t>Abstract</w:t>
      </w:r>
    </w:p>
    <w:p w14:paraId="55D76721" w14:textId="77777777" w:rsidR="00A77B3E" w:rsidRPr="00310595" w:rsidRDefault="000A428C">
      <w:pPr>
        <w:spacing w:line="360" w:lineRule="auto"/>
        <w:jc w:val="both"/>
      </w:pPr>
      <w:r w:rsidRPr="00310595">
        <w:rPr>
          <w:rFonts w:ascii="Book Antiqua" w:eastAsia="Book Antiqua" w:hAnsi="Book Antiqua" w:cs="Book Antiqua"/>
          <w:color w:val="000000"/>
        </w:rPr>
        <w:t>BACKGROUND</w:t>
      </w:r>
    </w:p>
    <w:p w14:paraId="439C34CE"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The inflammatory myofibroblastic tumor (IMT) is a rare, idiopathic, usually benign, mass-forming disease with myofibroblastic proliferation and a varying amount of inflammatory cells. Although it can affect various organs, the biliary tract is a rare localization of primary IMT, clinically, endoscopically and radiologically imitating cholangiocarcinoma. The treatment options are based only on clinical practice experience.</w:t>
      </w:r>
    </w:p>
    <w:p w14:paraId="5AA2982E" w14:textId="77777777" w:rsidR="00A77B3E" w:rsidRPr="00310595" w:rsidRDefault="00A77B3E">
      <w:pPr>
        <w:spacing w:line="360" w:lineRule="auto"/>
        <w:jc w:val="both"/>
      </w:pPr>
    </w:p>
    <w:p w14:paraId="2AB4F248" w14:textId="77777777" w:rsidR="00A77B3E" w:rsidRPr="00310595" w:rsidRDefault="000A428C">
      <w:pPr>
        <w:spacing w:line="360" w:lineRule="auto"/>
        <w:jc w:val="both"/>
      </w:pPr>
      <w:r w:rsidRPr="00310595">
        <w:rPr>
          <w:rFonts w:ascii="Book Antiqua" w:eastAsia="Book Antiqua" w:hAnsi="Book Antiqua" w:cs="Book Antiqua"/>
          <w:color w:val="000000"/>
        </w:rPr>
        <w:t>CASE SUMMARY</w:t>
      </w:r>
    </w:p>
    <w:p w14:paraId="7ABF7843" w14:textId="77777777" w:rsidR="00A77B3E" w:rsidRPr="00310595" w:rsidRDefault="000A428C">
      <w:pPr>
        <w:spacing w:line="360" w:lineRule="auto"/>
        <w:jc w:val="both"/>
      </w:pPr>
      <w:r w:rsidRPr="00310595">
        <w:rPr>
          <w:rFonts w:ascii="Book Antiqua" w:eastAsia="Book Antiqua" w:hAnsi="Book Antiqua" w:cs="Book Antiqua"/>
          <w:color w:val="000000"/>
        </w:rPr>
        <w:t>A 70-year-old woman was referred to our center due to progressive fatigue, weight loss, abdominal pain, night sweats, and elevated liver enzymes. Magnetic resonance cholangiopancreatography and endoscopic retrograde cholangiopancreatography (ERCP) revealed proximal common hepatic duct and hilar biliary strictures extending bilaterally to lobular bile ducts. Although initial clinical, endoscopic and radiological signs were typical for hilar cholangiocarcinoma, histological examination showed no signs of malignancy. In total, 8 biopsies using different approaches were performed (several biopsies from dominant stricture during ERCP and direct cholangioscopy; ultrasound-guided liver biopsy; diagnostic laparoscopy with liver and lymph node biopsies). Histological examination revealed signs of IMT, and the final diagnosis of biliary IMT was stated. Although IMT is usually a benign disease, in our case, it was complicated. All pharmacological treatment measures were ineffective. The patient still needs permanent stenting, suffers from recurrent infections and mechanical jaundice. Despite that, the patient already survived 24 mo.</w:t>
      </w:r>
    </w:p>
    <w:p w14:paraId="1E75A6D1" w14:textId="77777777" w:rsidR="00A77B3E" w:rsidRPr="00310595" w:rsidRDefault="00A77B3E">
      <w:pPr>
        <w:spacing w:line="360" w:lineRule="auto"/>
        <w:jc w:val="both"/>
      </w:pPr>
    </w:p>
    <w:p w14:paraId="228D58CC" w14:textId="77777777" w:rsidR="00A77B3E" w:rsidRPr="00310595" w:rsidRDefault="000A428C">
      <w:pPr>
        <w:spacing w:line="360" w:lineRule="auto"/>
        <w:jc w:val="both"/>
      </w:pPr>
      <w:r w:rsidRPr="00310595">
        <w:rPr>
          <w:rFonts w:ascii="Book Antiqua" w:eastAsia="Book Antiqua" w:hAnsi="Book Antiqua" w:cs="Book Antiqua"/>
          <w:color w:val="000000"/>
        </w:rPr>
        <w:t>CONCLUSION</w:t>
      </w:r>
    </w:p>
    <w:p w14:paraId="23945EC8" w14:textId="77777777" w:rsidR="00A77B3E" w:rsidRPr="00310595" w:rsidRDefault="000A428C">
      <w:pPr>
        <w:spacing w:line="360" w:lineRule="auto"/>
        <w:jc w:val="both"/>
      </w:pPr>
      <w:r w:rsidRPr="00310595">
        <w:rPr>
          <w:rFonts w:ascii="Book Antiqua" w:eastAsia="Book Antiqua" w:hAnsi="Book Antiqua" w:cs="Book Antiqua"/>
          <w:color w:val="000000"/>
        </w:rPr>
        <w:t>IMT presenting with hilar biliary strictures is a unique diagnostic and clinical challenge as it is indistinguishable from cholangiocarcinoma, and there are no evidence-based treatment options. Our goal is to increase the understanding of this rare disease and its possible course.</w:t>
      </w:r>
    </w:p>
    <w:p w14:paraId="0E04DBE0" w14:textId="77777777" w:rsidR="00A77B3E" w:rsidRPr="00310595" w:rsidRDefault="00A77B3E">
      <w:pPr>
        <w:spacing w:line="360" w:lineRule="auto"/>
        <w:jc w:val="both"/>
      </w:pPr>
    </w:p>
    <w:p w14:paraId="6B73E335"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Key Words: </w:t>
      </w:r>
      <w:r w:rsidRPr="00310595">
        <w:rPr>
          <w:rFonts w:ascii="Book Antiqua" w:eastAsia="Book Antiqua" w:hAnsi="Book Antiqua" w:cs="Book Antiqua"/>
          <w:color w:val="000000"/>
          <w:shd w:val="clear" w:color="auto" w:fill="FFFFFF"/>
        </w:rPr>
        <w:t>Inflammatory myofibroblastic tumor; Hilar cholangiocarcinoma; Biliary strictures; Recurrent cholangitis; Case report; Literature review</w:t>
      </w:r>
    </w:p>
    <w:p w14:paraId="69042B05" w14:textId="77777777" w:rsidR="00F64673" w:rsidRDefault="00F64673" w:rsidP="00F64673">
      <w:pPr>
        <w:spacing w:line="360" w:lineRule="auto"/>
        <w:jc w:val="both"/>
        <w:rPr>
          <w:lang w:eastAsia="zh-CN"/>
        </w:rPr>
      </w:pPr>
    </w:p>
    <w:p w14:paraId="5FF34445" w14:textId="77777777" w:rsidR="00F64673" w:rsidRPr="00026CB8" w:rsidRDefault="00F64673" w:rsidP="00F6467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7E0695B" w14:textId="77777777" w:rsidR="00A77B3E" w:rsidRPr="00310595" w:rsidRDefault="00A77B3E">
      <w:pPr>
        <w:spacing w:line="360" w:lineRule="auto"/>
        <w:jc w:val="both"/>
      </w:pPr>
    </w:p>
    <w:p w14:paraId="3ECB841D" w14:textId="30DFEE24" w:rsidR="00B97AB8" w:rsidRDefault="00B97AB8">
      <w:pPr>
        <w:spacing w:line="360" w:lineRule="auto"/>
        <w:jc w:val="both"/>
        <w:rPr>
          <w:rFonts w:ascii="Book Antiqua" w:hAnsi="Book Antiqua" w:cs="Book Antiqua" w:hint="eastAsia"/>
          <w:color w:val="000000"/>
          <w:lang w:eastAsia="zh-CN"/>
        </w:rPr>
      </w:pPr>
      <w:r w:rsidRPr="00B97AB8">
        <w:rPr>
          <w:rFonts w:ascii="Book Antiqua" w:hAnsi="Book Antiqua" w:cs="Book Antiqua" w:hint="eastAsia"/>
          <w:b/>
          <w:color w:val="000000"/>
          <w:lang w:eastAsia="zh-CN"/>
        </w:rPr>
        <w:t xml:space="preserve">Citation: </w:t>
      </w:r>
      <w:r w:rsidR="000A428C" w:rsidRPr="00310595">
        <w:rPr>
          <w:rFonts w:ascii="Book Antiqua" w:eastAsia="Book Antiqua" w:hAnsi="Book Antiqua" w:cs="Book Antiqua"/>
          <w:color w:val="000000"/>
        </w:rPr>
        <w:t xml:space="preserve">Strainiene S, Sedleckaite K, Jarasunas J, Savlan I, Stanaitis J, Stundiene I, Strainys T, Liakina V, Valantinas J. Complicated course of biliary inflammatory myofibroblastic tumor mimicking hilar cholangiocarcinoma: A case report and literature review. </w:t>
      </w:r>
      <w:r w:rsidR="000A428C" w:rsidRPr="00310595">
        <w:rPr>
          <w:rFonts w:ascii="Book Antiqua" w:eastAsia="Book Antiqua" w:hAnsi="Book Antiqua" w:cs="Book Antiqua"/>
          <w:i/>
          <w:iCs/>
          <w:color w:val="000000"/>
        </w:rPr>
        <w:t>World J Clin Cases</w:t>
      </w:r>
      <w:r w:rsidR="000A428C" w:rsidRPr="00310595">
        <w:rPr>
          <w:rFonts w:ascii="Book Antiqua" w:eastAsia="Book Antiqua" w:hAnsi="Book Antiqua" w:cs="Book Antiqua"/>
          <w:color w:val="000000"/>
        </w:rPr>
        <w:t xml:space="preserve"> 2021;</w:t>
      </w:r>
      <w:r w:rsidR="003D7EBA" w:rsidRPr="003D7EBA">
        <w:rPr>
          <w:rFonts w:ascii="Book Antiqua" w:eastAsia="Book Antiqua" w:hAnsi="Book Antiqua" w:cs="Book Antiqua"/>
          <w:color w:val="000000"/>
        </w:rPr>
        <w:t xml:space="preserve"> 9(21): </w:t>
      </w:r>
      <w:r w:rsidRPr="00B97AB8">
        <w:rPr>
          <w:rFonts w:ascii="Book Antiqua" w:eastAsia="Book Antiqua" w:hAnsi="Book Antiqua" w:cs="Book Antiqua"/>
          <w:color w:val="000000"/>
        </w:rPr>
        <w:t>6155-6169</w:t>
      </w:r>
      <w:r w:rsidR="003D7EBA" w:rsidRPr="003D7EBA">
        <w:rPr>
          <w:rFonts w:ascii="Book Antiqua" w:eastAsia="Book Antiqua" w:hAnsi="Book Antiqua" w:cs="Book Antiqua"/>
          <w:color w:val="000000"/>
        </w:rPr>
        <w:t xml:space="preserve">  </w:t>
      </w:r>
    </w:p>
    <w:p w14:paraId="0516C44E" w14:textId="77777777" w:rsidR="00B97AB8" w:rsidRDefault="003D7EBA">
      <w:pPr>
        <w:spacing w:line="360" w:lineRule="auto"/>
        <w:jc w:val="both"/>
        <w:rPr>
          <w:rFonts w:ascii="Book Antiqua" w:hAnsi="Book Antiqua" w:cs="Book Antiqua" w:hint="eastAsia"/>
          <w:color w:val="000000"/>
          <w:lang w:eastAsia="zh-CN"/>
        </w:rPr>
      </w:pPr>
      <w:r w:rsidRPr="00B97AB8">
        <w:rPr>
          <w:rFonts w:ascii="Book Antiqua" w:eastAsia="Book Antiqua" w:hAnsi="Book Antiqua" w:cs="Book Antiqua"/>
          <w:b/>
          <w:color w:val="000000"/>
        </w:rPr>
        <w:t>URL:</w:t>
      </w:r>
      <w:r w:rsidRPr="003D7EBA">
        <w:rPr>
          <w:rFonts w:ascii="Book Antiqua" w:eastAsia="Book Antiqua" w:hAnsi="Book Antiqua" w:cs="Book Antiqua"/>
          <w:color w:val="000000"/>
        </w:rPr>
        <w:t xml:space="preserve"> https://www.wjgnet.com/2307-8960/full/v9/i21/</w:t>
      </w:r>
      <w:r w:rsidR="00B97AB8" w:rsidRPr="00B97AB8">
        <w:rPr>
          <w:rFonts w:ascii="Book Antiqua" w:eastAsia="Book Antiqua" w:hAnsi="Book Antiqua" w:cs="Book Antiqua"/>
          <w:color w:val="000000"/>
        </w:rPr>
        <w:t>6155</w:t>
      </w:r>
      <w:r w:rsidRPr="003D7EBA">
        <w:rPr>
          <w:rFonts w:ascii="Book Antiqua" w:eastAsia="Book Antiqua" w:hAnsi="Book Antiqua" w:cs="Book Antiqua"/>
          <w:color w:val="000000"/>
        </w:rPr>
        <w:t xml:space="preserve">.htm  </w:t>
      </w:r>
    </w:p>
    <w:p w14:paraId="5736A0B3" w14:textId="557598C9" w:rsidR="00A77B3E" w:rsidRPr="00310595" w:rsidRDefault="003D7EBA">
      <w:pPr>
        <w:spacing w:line="360" w:lineRule="auto"/>
        <w:jc w:val="both"/>
      </w:pPr>
      <w:r w:rsidRPr="00B97AB8">
        <w:rPr>
          <w:rFonts w:ascii="Book Antiqua" w:eastAsia="Book Antiqua" w:hAnsi="Book Antiqua" w:cs="Book Antiqua"/>
          <w:b/>
          <w:color w:val="000000"/>
        </w:rPr>
        <w:t>DOI:</w:t>
      </w:r>
      <w:r w:rsidRPr="003D7EBA">
        <w:rPr>
          <w:rFonts w:ascii="Book Antiqua" w:eastAsia="Book Antiqua" w:hAnsi="Book Antiqua" w:cs="Book Antiqua"/>
          <w:color w:val="000000"/>
        </w:rPr>
        <w:t xml:space="preserve"> </w:t>
      </w:r>
      <w:bookmarkStart w:id="0" w:name="OLE_LINK293"/>
      <w:r w:rsidRPr="003D7EBA">
        <w:rPr>
          <w:rFonts w:ascii="Book Antiqua" w:eastAsia="Book Antiqua" w:hAnsi="Book Antiqua" w:cs="Book Antiqua"/>
          <w:color w:val="000000"/>
        </w:rPr>
        <w:t>https://dx.doi.org/10.12998/wjcc.v9.i21.</w:t>
      </w:r>
      <w:r w:rsidR="00B97AB8" w:rsidRPr="00B97AB8">
        <w:rPr>
          <w:rFonts w:ascii="Book Antiqua" w:eastAsia="Book Antiqua" w:hAnsi="Book Antiqua" w:cs="Book Antiqua"/>
          <w:color w:val="000000"/>
        </w:rPr>
        <w:t>6155</w:t>
      </w:r>
      <w:bookmarkEnd w:id="0"/>
    </w:p>
    <w:p w14:paraId="65BFC84B" w14:textId="77777777" w:rsidR="00A77B3E" w:rsidRPr="00310595" w:rsidRDefault="00A77B3E">
      <w:pPr>
        <w:spacing w:line="360" w:lineRule="auto"/>
        <w:jc w:val="both"/>
      </w:pPr>
    </w:p>
    <w:p w14:paraId="0973DA36"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Core Tip: </w:t>
      </w:r>
      <w:r w:rsidRPr="00310595">
        <w:rPr>
          <w:rFonts w:ascii="Book Antiqua" w:eastAsia="Book Antiqua" w:hAnsi="Book Antiqua" w:cs="Book Antiqua"/>
          <w:color w:val="000000"/>
          <w:shd w:val="clear" w:color="auto" w:fill="FFFFFF"/>
        </w:rPr>
        <w:t>Biliary inflammatory myofibroblastic tumor (IMT) is a rare, idiopathic, usually benign, mass-forming disease with myofibroblastic proliferation and the varying amount of inflammatory cells that can occur in almost every organ. IMTs of the biliary ducts are an uncommon cause of obstructive jaundice. The clinical and radiological presentation usually mimics cholangiocarcinoma (Klatskin tumor). However, histological examination shows no malignancy</w:t>
      </w:r>
      <w:r w:rsidRPr="00310595">
        <w:rPr>
          <w:rFonts w:ascii="Book Antiqua" w:eastAsia="Book Antiqua" w:hAnsi="Book Antiqua" w:cs="Book Antiqua"/>
          <w:color w:val="000000"/>
        </w:rPr>
        <w:t>. We present a rare, difficult to diagnose and treat biliary IMT, which was unresponsive to the pharmacological treatment and complicated by recurrent infections and disease progression. The global experience towards diagnosing and treating this disease is limited and based mostly on clinical practice experience.</w:t>
      </w:r>
    </w:p>
    <w:p w14:paraId="3C8711D9" w14:textId="77777777" w:rsidR="00A77B3E" w:rsidRPr="00310595" w:rsidRDefault="008A6778">
      <w:pPr>
        <w:spacing w:line="360" w:lineRule="auto"/>
        <w:jc w:val="both"/>
      </w:pPr>
      <w:r w:rsidRPr="00310595">
        <w:br w:type="page"/>
      </w:r>
      <w:r w:rsidR="000A428C" w:rsidRPr="00310595">
        <w:rPr>
          <w:rFonts w:ascii="Book Antiqua" w:eastAsia="Book Antiqua" w:hAnsi="Book Antiqua" w:cs="Book Antiqua"/>
          <w:b/>
          <w:caps/>
          <w:color w:val="000000"/>
          <w:u w:val="single"/>
        </w:rPr>
        <w:t>INTRODUCTION</w:t>
      </w:r>
    </w:p>
    <w:p w14:paraId="24C48F92"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An inflammatory myofibroblastic tumor (IMT) is a rare, usually benign mass or multiple masses forming disease with myofibroblastic proliferation along with the varying amount of inflammatory infiltrate. These lesions can be found in every organ throughout the body</w:t>
      </w:r>
      <w:r w:rsidRPr="00310595">
        <w:rPr>
          <w:rFonts w:ascii="Book Antiqua" w:eastAsia="Book Antiqua" w:hAnsi="Book Antiqua" w:cs="Book Antiqua"/>
          <w:color w:val="000000"/>
          <w:szCs w:val="30"/>
          <w:shd w:val="clear" w:color="auto" w:fill="FFFFFF"/>
          <w:vertAlign w:val="superscript"/>
        </w:rPr>
        <w:t>[1–3]</w:t>
      </w:r>
      <w:r w:rsidRPr="00310595">
        <w:rPr>
          <w:rFonts w:ascii="Book Antiqua" w:eastAsia="Book Antiqua" w:hAnsi="Book Antiqua" w:cs="Book Antiqua"/>
          <w:color w:val="000000"/>
          <w:shd w:val="clear" w:color="auto" w:fill="FFFFFF"/>
        </w:rPr>
        <w:t>. Although</w:t>
      </w:r>
      <w:r w:rsidRPr="00310595">
        <w:rPr>
          <w:rFonts w:ascii="Book Antiqua" w:eastAsia="Book Antiqua" w:hAnsi="Book Antiqua" w:cs="Book Antiqua"/>
          <w:color w:val="000000"/>
        </w:rPr>
        <w:t xml:space="preserve"> their appearance clinically and radiologically mimics various aggressive malignancies, IMTs are usually considered as benign neoplasms. However, these tumors might also have a diverse spectrum of biological behavior</w:t>
      </w:r>
      <w:r w:rsidRPr="00310595">
        <w:rPr>
          <w:rFonts w:ascii="Book Antiqua" w:eastAsia="Book Antiqua" w:hAnsi="Book Antiqua" w:cs="Book Antiqua"/>
          <w:color w:val="000000"/>
          <w:szCs w:val="30"/>
          <w:vertAlign w:val="superscript"/>
        </w:rPr>
        <w:t>[4]</w:t>
      </w:r>
      <w:r w:rsidRPr="00310595">
        <w:rPr>
          <w:rFonts w:ascii="Book Antiqua" w:eastAsia="Book Antiqua" w:hAnsi="Book Antiqua" w:cs="Book Antiqua"/>
          <w:color w:val="000000"/>
        </w:rPr>
        <w:t>. According to the World Health Organization (WHO) classification</w:t>
      </w:r>
      <w:r w:rsidRPr="00310595">
        <w:rPr>
          <w:rFonts w:ascii="Book Antiqua" w:eastAsia="Book Antiqua" w:hAnsi="Book Antiqua" w:cs="Book Antiqua"/>
          <w:color w:val="000000"/>
          <w:shd w:val="clear" w:color="auto" w:fill="FFFFFF"/>
        </w:rPr>
        <w:t>, IMT is an intermediate-grade tumor</w:t>
      </w:r>
      <w:r w:rsidRPr="00310595">
        <w:rPr>
          <w:rFonts w:ascii="Book Antiqua" w:eastAsia="Book Antiqua" w:hAnsi="Book Antiqua" w:cs="Book Antiqua"/>
          <w:color w:val="000000"/>
          <w:szCs w:val="30"/>
          <w:shd w:val="clear" w:color="auto" w:fill="FFFFFF"/>
          <w:vertAlign w:val="superscript"/>
        </w:rPr>
        <w:t>[3]</w:t>
      </w:r>
      <w:r w:rsidRPr="00310595">
        <w:rPr>
          <w:rFonts w:ascii="Book Antiqua" w:eastAsia="Book Antiqua" w:hAnsi="Book Antiqua" w:cs="Book Antiqua"/>
          <w:color w:val="000000"/>
          <w:shd w:val="clear" w:color="auto" w:fill="FFFFFF"/>
        </w:rPr>
        <w:t xml:space="preserve">. Several terms have been applied to this condition, such as inflammatory pseudotumor (IPT), fibrous xanthoma, plasma cell granuloma, pseudosarcoma, lymphoid hamartoma, myxoid hamartoma, inflammatory myofibrohistiocytic proliferation, benign </w:t>
      </w:r>
      <w:r w:rsidRPr="00310595">
        <w:rPr>
          <w:rFonts w:ascii="Book Antiqua" w:eastAsia="Book Antiqua" w:hAnsi="Book Antiqua" w:cs="Book Antiqua"/>
          <w:color w:val="000000"/>
        </w:rPr>
        <w:t xml:space="preserve">myofibrosblastoma, </w:t>
      </w:r>
      <w:r w:rsidRPr="00310595">
        <w:rPr>
          <w:rFonts w:ascii="Book Antiqua" w:eastAsia="Book Antiqua" w:hAnsi="Book Antiqua" w:cs="Book Antiqua"/>
          <w:color w:val="000000"/>
          <w:shd w:val="clear" w:color="auto" w:fill="FFFFFF"/>
        </w:rPr>
        <w:t>and most recently, IMT. The diverse nomenclature is mainly descriptive and reflects the uncertainty regarding the true biologic nature of these lesions</w:t>
      </w:r>
      <w:r w:rsidRPr="00310595">
        <w:rPr>
          <w:rFonts w:ascii="Book Antiqua" w:eastAsia="Book Antiqua" w:hAnsi="Book Antiqua" w:cs="Book Antiqua"/>
          <w:color w:val="000000"/>
          <w:szCs w:val="30"/>
          <w:shd w:val="clear" w:color="auto" w:fill="FFFFFF"/>
          <w:vertAlign w:val="superscript"/>
        </w:rPr>
        <w:t>[5,6]</w:t>
      </w:r>
      <w:r w:rsidRPr="00310595">
        <w:rPr>
          <w:rFonts w:ascii="Book Antiqua" w:eastAsia="Book Antiqua" w:hAnsi="Book Antiqua" w:cs="Book Antiqua"/>
          <w:color w:val="000000"/>
          <w:shd w:val="clear" w:color="auto" w:fill="FFFFFF"/>
        </w:rPr>
        <w:t>.</w:t>
      </w:r>
    </w:p>
    <w:p w14:paraId="23C4906F" w14:textId="77777777" w:rsidR="00A77B3E" w:rsidRPr="00310595" w:rsidRDefault="000A428C">
      <w:pPr>
        <w:spacing w:line="360" w:lineRule="auto"/>
        <w:ind w:firstLine="480"/>
        <w:jc w:val="both"/>
      </w:pPr>
      <w:r w:rsidRPr="00310595">
        <w:rPr>
          <w:rFonts w:ascii="Book Antiqua" w:eastAsia="Book Antiqua" w:hAnsi="Book Antiqua" w:cs="Book Antiqua"/>
          <w:color w:val="000000"/>
          <w:shd w:val="clear" w:color="auto" w:fill="FFFFFF"/>
        </w:rPr>
        <w:t>The biliary tract is rarely involved by IMT</w:t>
      </w:r>
      <w:r w:rsidRPr="00310595">
        <w:rPr>
          <w:rFonts w:ascii="Book Antiqua" w:eastAsia="Book Antiqua" w:hAnsi="Book Antiqua" w:cs="Book Antiqua"/>
          <w:color w:val="000000"/>
          <w:szCs w:val="30"/>
          <w:shd w:val="clear" w:color="auto" w:fill="FFFFFF"/>
          <w:vertAlign w:val="superscript"/>
        </w:rPr>
        <w:t>[1,2]</w:t>
      </w:r>
      <w:r w:rsidRPr="00310595">
        <w:rPr>
          <w:rFonts w:ascii="Book Antiqua" w:eastAsia="Book Antiqua" w:hAnsi="Book Antiqua" w:cs="Book Antiqua"/>
          <w:color w:val="000000"/>
          <w:shd w:val="clear" w:color="auto" w:fill="FFFFFF"/>
        </w:rPr>
        <w:t>. It should be emphasized that since the first description of liver IMT by Pack and Baker</w:t>
      </w:r>
      <w:r w:rsidRPr="00310595">
        <w:rPr>
          <w:rFonts w:ascii="Book Antiqua" w:eastAsia="Book Antiqua" w:hAnsi="Book Antiqua" w:cs="Book Antiqua"/>
          <w:color w:val="000000"/>
          <w:szCs w:val="30"/>
          <w:shd w:val="clear" w:color="auto" w:fill="FFFFFF"/>
          <w:vertAlign w:val="superscript"/>
        </w:rPr>
        <w:t>[7]</w:t>
      </w:r>
      <w:r w:rsidRPr="00310595">
        <w:rPr>
          <w:rFonts w:ascii="Book Antiqua" w:eastAsia="Book Antiqua" w:hAnsi="Book Antiqua" w:cs="Book Antiqua"/>
          <w:color w:val="000000"/>
          <w:shd w:val="clear" w:color="auto" w:fill="FFFFFF"/>
        </w:rPr>
        <w:t xml:space="preserve"> in 1953, over 300 Liver IMT cases have been reported, and very few IMTs were located in a biliary tract</w:t>
      </w:r>
      <w:r w:rsidRPr="00310595">
        <w:rPr>
          <w:rFonts w:ascii="Book Antiqua" w:eastAsia="Book Antiqua" w:hAnsi="Book Antiqua" w:cs="Book Antiqua"/>
          <w:color w:val="000000"/>
          <w:szCs w:val="20"/>
          <w:vertAlign w:val="superscript"/>
        </w:rPr>
        <w:t>[8]</w:t>
      </w:r>
      <w:r w:rsidRPr="00310595">
        <w:rPr>
          <w:rFonts w:ascii="Book Antiqua" w:eastAsia="Book Antiqua" w:hAnsi="Book Antiqua" w:cs="Book Antiqua"/>
          <w:color w:val="000000"/>
        </w:rPr>
        <w:t xml:space="preserve">. Biliary </w:t>
      </w:r>
      <w:r w:rsidRPr="00310595">
        <w:rPr>
          <w:rFonts w:ascii="Book Antiqua" w:eastAsia="Book Antiqua" w:hAnsi="Book Antiqua" w:cs="Book Antiqua"/>
          <w:color w:val="000000"/>
          <w:shd w:val="clear" w:color="auto" w:fill="FFFFFF"/>
        </w:rPr>
        <w:t>IMT is a great challenge for clinicians to diagnose and treat, as there are no confirmed recommendations or systemic trials towards treating this condition. We present a unique case of unknown origin, difficult to diagnose and treat biliary IMT presenting with significant biliary strictures, clinically, endoscopically, and radiologically imitating perihilar cholangiocarcinoma, Bismuth Corlette type IV.</w:t>
      </w:r>
    </w:p>
    <w:p w14:paraId="46E5B53C" w14:textId="77777777" w:rsidR="00A77B3E" w:rsidRPr="00310595" w:rsidRDefault="00A77B3E">
      <w:pPr>
        <w:spacing w:line="360" w:lineRule="auto"/>
        <w:ind w:firstLine="480"/>
        <w:jc w:val="both"/>
      </w:pPr>
    </w:p>
    <w:p w14:paraId="7566A080"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CASE PRESENTATION</w:t>
      </w:r>
    </w:p>
    <w:p w14:paraId="7D28494E" w14:textId="77777777" w:rsidR="00A77B3E" w:rsidRPr="00310595" w:rsidRDefault="000A428C">
      <w:pPr>
        <w:spacing w:line="360" w:lineRule="auto"/>
        <w:jc w:val="both"/>
      </w:pPr>
      <w:r w:rsidRPr="00310595">
        <w:rPr>
          <w:rFonts w:ascii="Book Antiqua" w:eastAsia="Book Antiqua" w:hAnsi="Book Antiqua" w:cs="Book Antiqua"/>
          <w:b/>
          <w:i/>
          <w:color w:val="000000"/>
        </w:rPr>
        <w:t>Chief complaints</w:t>
      </w:r>
    </w:p>
    <w:p w14:paraId="0D912A74" w14:textId="77777777" w:rsidR="00A77B3E" w:rsidRPr="00310595" w:rsidRDefault="000A428C">
      <w:pPr>
        <w:spacing w:line="360" w:lineRule="auto"/>
        <w:jc w:val="both"/>
      </w:pPr>
      <w:r w:rsidRPr="00310595">
        <w:rPr>
          <w:rFonts w:ascii="Book Antiqua" w:eastAsia="Book Antiqua" w:hAnsi="Book Antiqua" w:cs="Book Antiqua"/>
          <w:color w:val="000000"/>
        </w:rPr>
        <w:t>A 70-year-old woman was referred to our tertiary Center of Hepatology, Gastroenterology and Dietetics due to progressive fatigue, weight loss (about 10 kg per year without special diets), right upper abdominal quadrant pain, heatwaves, and night sweats.</w:t>
      </w:r>
    </w:p>
    <w:p w14:paraId="15165406" w14:textId="77777777" w:rsidR="00A77B3E" w:rsidRPr="00310595" w:rsidRDefault="00A77B3E">
      <w:pPr>
        <w:spacing w:line="360" w:lineRule="auto"/>
        <w:jc w:val="both"/>
      </w:pPr>
    </w:p>
    <w:p w14:paraId="14A22048" w14:textId="77777777" w:rsidR="00A77B3E" w:rsidRPr="00310595" w:rsidRDefault="000A428C">
      <w:pPr>
        <w:spacing w:line="360" w:lineRule="auto"/>
        <w:jc w:val="both"/>
      </w:pPr>
      <w:r w:rsidRPr="00310595">
        <w:rPr>
          <w:rFonts w:ascii="Book Antiqua" w:eastAsia="Book Antiqua" w:hAnsi="Book Antiqua" w:cs="Book Antiqua"/>
          <w:b/>
          <w:i/>
          <w:color w:val="000000"/>
        </w:rPr>
        <w:t>History of present illness</w:t>
      </w:r>
    </w:p>
    <w:p w14:paraId="2ABD232E" w14:textId="5B85C6CE" w:rsidR="00A77B3E" w:rsidRPr="00310595" w:rsidRDefault="000A428C">
      <w:pPr>
        <w:spacing w:line="360" w:lineRule="auto"/>
        <w:jc w:val="both"/>
      </w:pPr>
      <w:r w:rsidRPr="00310595">
        <w:rPr>
          <w:rFonts w:ascii="Book Antiqua" w:eastAsia="Book Antiqua" w:hAnsi="Book Antiqua" w:cs="Book Antiqua"/>
          <w:color w:val="000000"/>
        </w:rPr>
        <w:t xml:space="preserve">The patient was observed by a family physician due to hepatosteatosis and slightly elevated liver enzymes since 2017. Two years later, during the routine yearly check-up, laboratory tests showed a more significant elevation of liver enzymes (aspartate aminotransferase (AST) by 76 U/L, alanine aminotransferase (ALT)) by 80 U/L, alkaline phosphatase by 296 U/L, and gamma-glutamyltransferase by 455 U/L)). She was then further investigated for possible liver diseases. Viral hepatitis B and C, autoimmune hepatic diseases were excluded: </w:t>
      </w:r>
      <w:r w:rsidR="00B1280B">
        <w:rPr>
          <w:rFonts w:ascii="Book Antiqua" w:hAnsi="Book Antiqua" w:cs="Book Antiqua" w:hint="eastAsia"/>
          <w:color w:val="000000"/>
          <w:lang w:eastAsia="zh-CN"/>
        </w:rPr>
        <w:t>T</w:t>
      </w:r>
      <w:r w:rsidRPr="00310595">
        <w:rPr>
          <w:rFonts w:ascii="Book Antiqua" w:eastAsia="Book Antiqua" w:hAnsi="Book Antiqua" w:cs="Book Antiqua"/>
          <w:color w:val="000000"/>
        </w:rPr>
        <w:t>he patient was negative for viral hepatitis B and C markers, antimitochondrial (AMA)</w:t>
      </w:r>
      <w:r w:rsidR="00892C35">
        <w:rPr>
          <w:rFonts w:ascii="Book Antiqua" w:hAnsi="Book Antiqua" w:cs="Book Antiqua" w:hint="eastAsia"/>
          <w:color w:val="000000"/>
          <w:lang w:eastAsia="zh-CN"/>
        </w:rPr>
        <w:t>,</w:t>
      </w:r>
      <w:r w:rsidRPr="00310595">
        <w:rPr>
          <w:rFonts w:ascii="Book Antiqua" w:eastAsia="Book Antiqua" w:hAnsi="Book Antiqua" w:cs="Book Antiqua"/>
          <w:color w:val="000000"/>
        </w:rPr>
        <w:t xml:space="preserve"> and antinuclear (ANA) antibody titers were also negative. Abdominal ultrasound showed dilatation of intrahepatic ducts in the right lobe and segment IV, without apparent perihilar tumor signs. There were no gallstones in the gallbladder and common bile duct. The patient was referred to our center for further investigation.</w:t>
      </w:r>
    </w:p>
    <w:p w14:paraId="34FB57F4" w14:textId="77777777" w:rsidR="00A77B3E" w:rsidRPr="00310595" w:rsidRDefault="00A77B3E">
      <w:pPr>
        <w:spacing w:line="360" w:lineRule="auto"/>
        <w:jc w:val="both"/>
      </w:pPr>
    </w:p>
    <w:p w14:paraId="296A06FB" w14:textId="77777777" w:rsidR="00A77B3E" w:rsidRPr="00310595" w:rsidRDefault="000A428C">
      <w:pPr>
        <w:spacing w:line="360" w:lineRule="auto"/>
        <w:jc w:val="both"/>
      </w:pPr>
      <w:r w:rsidRPr="00310595">
        <w:rPr>
          <w:rFonts w:ascii="Book Antiqua" w:eastAsia="Book Antiqua" w:hAnsi="Book Antiqua" w:cs="Book Antiqua"/>
          <w:b/>
          <w:i/>
          <w:color w:val="000000"/>
        </w:rPr>
        <w:t>History of past illness</w:t>
      </w:r>
    </w:p>
    <w:p w14:paraId="639A8EC4" w14:textId="77777777" w:rsidR="00A77B3E" w:rsidRPr="00310595" w:rsidRDefault="000A428C">
      <w:pPr>
        <w:spacing w:line="360" w:lineRule="auto"/>
        <w:jc w:val="both"/>
      </w:pPr>
      <w:r w:rsidRPr="00310595">
        <w:rPr>
          <w:rFonts w:ascii="Book Antiqua" w:eastAsia="Book Antiqua" w:hAnsi="Book Antiqua" w:cs="Book Antiqua"/>
          <w:color w:val="000000"/>
        </w:rPr>
        <w:t>The patient was diagnosed with dyslipidemia, hepatosteatosis, arterial hypertension, nontoxic multinodular goiter. There was no history of jaundice, previous hepatobiliary diseases, infections, or abdominal operations.</w:t>
      </w:r>
    </w:p>
    <w:p w14:paraId="3B63EF43" w14:textId="77777777" w:rsidR="00A77B3E" w:rsidRPr="00310595" w:rsidRDefault="00A77B3E">
      <w:pPr>
        <w:spacing w:line="360" w:lineRule="auto"/>
        <w:jc w:val="both"/>
      </w:pPr>
    </w:p>
    <w:p w14:paraId="03DEB310" w14:textId="77777777" w:rsidR="00A77B3E" w:rsidRPr="00310595" w:rsidRDefault="000A428C">
      <w:pPr>
        <w:spacing w:line="360" w:lineRule="auto"/>
        <w:jc w:val="both"/>
      </w:pPr>
      <w:r w:rsidRPr="00310595">
        <w:rPr>
          <w:rFonts w:ascii="Book Antiqua" w:eastAsia="Book Antiqua" w:hAnsi="Book Antiqua" w:cs="Book Antiqua"/>
          <w:b/>
          <w:i/>
          <w:color w:val="000000"/>
        </w:rPr>
        <w:t>Personal and family history</w:t>
      </w:r>
    </w:p>
    <w:p w14:paraId="11881880" w14:textId="77777777" w:rsidR="00A77B3E" w:rsidRPr="00310595" w:rsidRDefault="000A428C">
      <w:pPr>
        <w:spacing w:line="360" w:lineRule="auto"/>
        <w:jc w:val="both"/>
      </w:pPr>
      <w:r w:rsidRPr="00310595">
        <w:rPr>
          <w:rFonts w:ascii="Book Antiqua" w:eastAsia="Book Antiqua" w:hAnsi="Book Antiqua" w:cs="Book Antiqua"/>
          <w:color w:val="000000"/>
        </w:rPr>
        <w:t>The patient denied alcohol consumption, allergies to food or medicines.</w:t>
      </w:r>
    </w:p>
    <w:p w14:paraId="2D209602" w14:textId="77777777" w:rsidR="00A77B3E" w:rsidRPr="00310595" w:rsidRDefault="00A77B3E">
      <w:pPr>
        <w:spacing w:line="360" w:lineRule="auto"/>
        <w:jc w:val="both"/>
      </w:pPr>
    </w:p>
    <w:p w14:paraId="56278458" w14:textId="77777777" w:rsidR="00A77B3E" w:rsidRPr="00310595" w:rsidRDefault="000A428C">
      <w:pPr>
        <w:spacing w:line="360" w:lineRule="auto"/>
        <w:jc w:val="both"/>
      </w:pPr>
      <w:r w:rsidRPr="00310595">
        <w:rPr>
          <w:rFonts w:ascii="Book Antiqua" w:eastAsia="Book Antiqua" w:hAnsi="Book Antiqua" w:cs="Book Antiqua"/>
          <w:b/>
          <w:i/>
          <w:color w:val="000000"/>
        </w:rPr>
        <w:t>Physical examination</w:t>
      </w:r>
    </w:p>
    <w:p w14:paraId="450D17F5" w14:textId="77777777" w:rsidR="00A77B3E" w:rsidRPr="00310595" w:rsidRDefault="000A428C">
      <w:pPr>
        <w:spacing w:line="360" w:lineRule="auto"/>
        <w:jc w:val="both"/>
      </w:pPr>
      <w:r w:rsidRPr="00310595">
        <w:rPr>
          <w:rFonts w:ascii="Book Antiqua" w:eastAsia="Book Antiqua" w:hAnsi="Book Antiqua" w:cs="Book Antiqua"/>
          <w:color w:val="000000"/>
        </w:rPr>
        <w:t>On admission, the patient was asthenic (normal body mass index 22 kg/m</w:t>
      </w:r>
      <w:r w:rsidRPr="00310595">
        <w:rPr>
          <w:rFonts w:ascii="Book Antiqua" w:eastAsia="Book Antiqua" w:hAnsi="Book Antiqua" w:cs="Book Antiqua"/>
          <w:color w:val="000000"/>
          <w:szCs w:val="30"/>
          <w:vertAlign w:val="superscript"/>
        </w:rPr>
        <w:t>2</w:t>
      </w:r>
      <w:r w:rsidRPr="00310595">
        <w:rPr>
          <w:rFonts w:ascii="Book Antiqua" w:eastAsia="Book Antiqua" w:hAnsi="Book Antiqua" w:cs="Book Antiqua"/>
          <w:color w:val="000000"/>
        </w:rPr>
        <w:t xml:space="preserve">), afebrile (body temperature 36.8ºC) with normal vital signs (blood pressure 120/70 mmHg, pulse 88 bpm). There was no visible jaundice and no palpable abdominal pain. The patients’ liver, spleen and superficial lymph nodes were not enlarged. </w:t>
      </w:r>
    </w:p>
    <w:p w14:paraId="225CF2BD" w14:textId="77777777" w:rsidR="00A77B3E" w:rsidRPr="00310595" w:rsidRDefault="00A77B3E">
      <w:pPr>
        <w:spacing w:line="360" w:lineRule="auto"/>
        <w:jc w:val="both"/>
      </w:pPr>
    </w:p>
    <w:p w14:paraId="62D9033E" w14:textId="77777777" w:rsidR="00A77B3E" w:rsidRPr="00310595" w:rsidRDefault="000A428C">
      <w:pPr>
        <w:spacing w:line="360" w:lineRule="auto"/>
        <w:jc w:val="both"/>
      </w:pPr>
      <w:r w:rsidRPr="00310595">
        <w:rPr>
          <w:rFonts w:ascii="Book Antiqua" w:eastAsia="Book Antiqua" w:hAnsi="Book Antiqua" w:cs="Book Antiqua"/>
          <w:b/>
          <w:i/>
          <w:color w:val="000000"/>
        </w:rPr>
        <w:t>Laboratory examinations</w:t>
      </w:r>
    </w:p>
    <w:p w14:paraId="3A5E3F69" w14:textId="77777777" w:rsidR="00A77B3E" w:rsidRPr="00310595" w:rsidRDefault="000A428C">
      <w:pPr>
        <w:spacing w:line="360" w:lineRule="auto"/>
        <w:jc w:val="both"/>
      </w:pPr>
      <w:r w:rsidRPr="00310595">
        <w:rPr>
          <w:rFonts w:ascii="Book Antiqua" w:eastAsia="Book Antiqua" w:hAnsi="Book Antiqua" w:cs="Book Antiqua"/>
          <w:color w:val="000000"/>
        </w:rPr>
        <w:t>Laboratory tests revealed signs of inflammation, elevated liver enzymes, mild hyperbilirubinemia, and slightly elevated carbohydrate antigen (CA) 19-9 of 111.98 kU/L (Table 1).</w:t>
      </w:r>
    </w:p>
    <w:p w14:paraId="4CB36979" w14:textId="77777777" w:rsidR="00A77B3E" w:rsidRPr="00310595" w:rsidRDefault="00A77B3E">
      <w:pPr>
        <w:spacing w:line="360" w:lineRule="auto"/>
        <w:jc w:val="both"/>
      </w:pPr>
    </w:p>
    <w:p w14:paraId="19E227FE" w14:textId="77777777" w:rsidR="00A77B3E" w:rsidRPr="00310595" w:rsidRDefault="000A428C">
      <w:pPr>
        <w:spacing w:line="360" w:lineRule="auto"/>
        <w:jc w:val="both"/>
      </w:pPr>
      <w:r w:rsidRPr="00310595">
        <w:rPr>
          <w:rFonts w:ascii="Book Antiqua" w:eastAsia="Book Antiqua" w:hAnsi="Book Antiqua" w:cs="Book Antiqua"/>
          <w:b/>
          <w:i/>
          <w:color w:val="000000"/>
        </w:rPr>
        <w:t>Imaging examinations</w:t>
      </w:r>
    </w:p>
    <w:p w14:paraId="1424F75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Abdominal ultrasound showed dilated intrahepatic ducts with a normal common bile duct. Contrast-enhanced magnetic resonance cholangiopancreatography (MRCP) was performed to clarify the diagnosis, revealing a radiological image resembling perihilar cholangiocarcinoma, Bismuth-Corlette type IV, also known as Klatskin tumor (Figure 1). </w:t>
      </w:r>
    </w:p>
    <w:p w14:paraId="69329E8C"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Further, we proceeded with endoscopic retrograde cholangiopancreatography (ERCP</w:t>
      </w:r>
      <w:r w:rsidRPr="00310595">
        <w:rPr>
          <w:rFonts w:ascii="Book Antiqua" w:eastAsia="Book Antiqua" w:hAnsi="Book Antiqua" w:cs="Book Antiqua"/>
          <w:color w:val="000000"/>
        </w:rPr>
        <w:t xml:space="preserve">). ERCP revealed tight stricture in the proximal part of the common hepatic duct (CHD) and the confluence extending to the left and right hepatic ducts (Figure 2A). Right and left hepatic ducts were not visualized due to complete obstruction. The radiological image was typical for cholangiocarcinoma, Bismuth Corlette IV. The biopsy was taken from the dominant CHD stricture, and a 7 Fr 12 cm pigtail stent was placed into the left hepatic duct to manage cholestasis. The preventive pancreatic 5 Fr 5 cm stent was placed in the pancreatic duct during the first ERCP procedure after nonintentional cannulation of the pancreatic duct. </w:t>
      </w:r>
    </w:p>
    <w:p w14:paraId="55F9530D"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Histological examination of the first biopsy revealed no signs of malignant disease. Therefore, direct cholangioscopy with biopsies was performed (Figure 2B). However, histological examination repeatedly showed no atypical changes.</w:t>
      </w:r>
    </w:p>
    <w:p w14:paraId="58F3ECAB" w14:textId="77777777" w:rsidR="00A77B3E" w:rsidRPr="00310595" w:rsidRDefault="00A77B3E">
      <w:pPr>
        <w:spacing w:line="360" w:lineRule="auto"/>
        <w:ind w:firstLine="720"/>
        <w:jc w:val="both"/>
      </w:pPr>
    </w:p>
    <w:p w14:paraId="20CB38E2" w14:textId="77777777" w:rsidR="00A77B3E" w:rsidRPr="00310595" w:rsidRDefault="000A428C">
      <w:pPr>
        <w:spacing w:line="360" w:lineRule="auto"/>
        <w:jc w:val="both"/>
      </w:pPr>
      <w:r w:rsidRPr="00310595">
        <w:rPr>
          <w:rFonts w:ascii="Book Antiqua" w:eastAsia="Book Antiqua" w:hAnsi="Book Antiqua" w:cs="Book Antiqua"/>
          <w:b/>
          <w:bCs/>
          <w:i/>
          <w:iCs/>
          <w:color w:val="000000"/>
        </w:rPr>
        <w:t>Further diagnostic work-up</w:t>
      </w:r>
    </w:p>
    <w:p w14:paraId="2F520AF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Based on clinical, radiological and endoscopic findings, the patient was diagnosed with perihilar cholangiocarcinoma during the multidisciplinary team meeting (MDT). The treatment with re-stenting every 3 mo and stereotaxic radiotherapy was recommended. However, radiotherapy was postponed until the pathological confirmation of the tumor. Therefore, ultrasound-guided liver and lymph node biopsies were performed. Histological examination revealed signs of the IMT/IPT. </w:t>
      </w:r>
      <w:r w:rsidRPr="00310595">
        <w:rPr>
          <w:rFonts w:ascii="Book Antiqua" w:eastAsia="Book Antiqua" w:hAnsi="Book Antiqua" w:cs="Book Antiqua"/>
          <w:color w:val="000000"/>
          <w:shd w:val="clear" w:color="auto" w:fill="FFFFFF"/>
        </w:rPr>
        <w:t>IMT could have been the primary tumor or similar chronic active inflammatory infiltrate (IPT) due to cholangitis. As the patient did not experience any signs of cholangitis before, it was more likely to be IMT.</w:t>
      </w:r>
    </w:p>
    <w:p w14:paraId="797CAAC1"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The second MRCP 3 mo later showed a periductal mass in the liver hilum obstructing left and right main hepatic and segmental ducts to a similar extent as on the previous MRCP with a cluster of rim enhancing lesions on segments VIII and VII subsistent with small abscesses due to cholangitis. Enlarged cardiophrenic lymph nodes were also observed due to tumor spread or long-lasting inflammation of the liver (Figure 3).</w:t>
      </w:r>
    </w:p>
    <w:p w14:paraId="3EAFB150" w14:textId="2D22F830" w:rsidR="00A77B3E" w:rsidRPr="00310595" w:rsidRDefault="000A428C">
      <w:pPr>
        <w:spacing w:line="360" w:lineRule="auto"/>
        <w:ind w:firstLine="709"/>
        <w:jc w:val="both"/>
      </w:pPr>
      <w:r w:rsidRPr="00310595">
        <w:rPr>
          <w:rFonts w:ascii="Book Antiqua" w:eastAsia="Book Antiqua" w:hAnsi="Book Antiqua" w:cs="Book Antiqua"/>
          <w:color w:val="000000"/>
        </w:rPr>
        <w:t>During the second MDT meeting, it was decided to perform diagnostic laparoscopy to specify the lesions and finally withdraw cholangiocarcinoma. The radical surgical treatment was contraindicated as the mass was extending into both hepatic and some segmental ducts. Liver transplantation was not an option because of the patient</w:t>
      </w:r>
      <w:r w:rsidR="00B1280B">
        <w:rPr>
          <w:rFonts w:ascii="Book Antiqua" w:hAnsi="Book Antiqua" w:cs="Book Antiqua"/>
          <w:color w:val="000000"/>
          <w:lang w:eastAsia="zh-CN"/>
        </w:rPr>
        <w:t>’</w:t>
      </w:r>
      <w:r w:rsidRPr="00310595">
        <w:rPr>
          <w:rFonts w:ascii="Book Antiqua" w:eastAsia="Book Antiqua" w:hAnsi="Book Antiqua" w:cs="Book Antiqua"/>
          <w:color w:val="000000"/>
        </w:rPr>
        <w:t xml:space="preserve">s age. Histological examination of the CBD, liver mass and lymph node biopsies was compatible with the previous dominant stricture biopsies. Histopathology of the lesions showed no evidence of malignancy, atypical mitosis or necrosis. The non-specific changes were noted: </w:t>
      </w:r>
      <w:r w:rsidR="00B1280B">
        <w:rPr>
          <w:rFonts w:ascii="Book Antiqua" w:hAnsi="Book Antiqua" w:cs="Book Antiqua" w:hint="eastAsia"/>
          <w:color w:val="000000"/>
          <w:lang w:eastAsia="zh-CN"/>
        </w:rPr>
        <w:t>W</w:t>
      </w:r>
      <w:r w:rsidRPr="00310595">
        <w:rPr>
          <w:rFonts w:ascii="Book Antiqua" w:eastAsia="Book Antiqua" w:hAnsi="Book Antiqua" w:cs="Book Antiqua"/>
          <w:color w:val="000000"/>
        </w:rPr>
        <w:t>idespread myofibroblastic and fibroblastic spindle cells with inflammatory infiltrate of lymphocytes, plasma cells, eosinophils, histiocytes. The immunohistochemical reaction for anaplastic lymphoma kinase (ALK)-1 and ALK (D5F3) was negative (Figure 4). Histologically, the tumor proved an IMT arising from the bile duct epithelium and confirmed the diagnosis of biliary IMT</w:t>
      </w:r>
      <w:r w:rsidRPr="00310595">
        <w:rPr>
          <w:rFonts w:ascii="Book Antiqua" w:eastAsia="Book Antiqua" w:hAnsi="Book Antiqua" w:cs="Book Antiqua"/>
          <w:i/>
          <w:iCs/>
          <w:color w:val="000000"/>
        </w:rPr>
        <w:t>.</w:t>
      </w:r>
    </w:p>
    <w:p w14:paraId="753225FF"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To specify the possible etiology of the tumor, several additional laboratory tests were performed. The patient was tested negative for cytomegalovirus, Epstein-Barr virus, HIV 1 and 2, and immunoglobulin (Ig) G4. Tuberculosis was also withdrawn. The biochemical markers for common oncological diseases were also negative (Table 1). The patient did not have a history of cholangitis before the first ERCP.</w:t>
      </w:r>
    </w:p>
    <w:p w14:paraId="1FE8A2F9" w14:textId="77777777" w:rsidR="00A77B3E" w:rsidRPr="00310595" w:rsidRDefault="00A77B3E">
      <w:pPr>
        <w:spacing w:line="360" w:lineRule="auto"/>
        <w:ind w:firstLine="720"/>
        <w:jc w:val="both"/>
      </w:pPr>
    </w:p>
    <w:p w14:paraId="3AC0DD56"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FINAL DIAGNOSIS</w:t>
      </w:r>
    </w:p>
    <w:p w14:paraId="13F7EC89" w14:textId="77777777" w:rsidR="00A77B3E" w:rsidRPr="00310595" w:rsidRDefault="000A428C">
      <w:pPr>
        <w:spacing w:line="360" w:lineRule="auto"/>
        <w:jc w:val="both"/>
      </w:pPr>
      <w:r w:rsidRPr="00310595">
        <w:rPr>
          <w:rFonts w:ascii="Book Antiqua" w:eastAsia="Book Antiqua" w:hAnsi="Book Antiqua" w:cs="Book Antiqua"/>
          <w:color w:val="000000"/>
        </w:rPr>
        <w:t>Although imaging examinations showed signs of perihilar cholangiocarcinoma, the pathological investigations revealed only inflammatory changes, and the other possible diseases were excluded. Accordingly, the patient was diagnosed with biliary IMT and dominant CHD stricture.</w:t>
      </w:r>
    </w:p>
    <w:p w14:paraId="2939F167" w14:textId="77777777" w:rsidR="00A77B3E" w:rsidRPr="00310595" w:rsidRDefault="00A77B3E">
      <w:pPr>
        <w:spacing w:line="360" w:lineRule="auto"/>
        <w:jc w:val="both"/>
      </w:pPr>
    </w:p>
    <w:p w14:paraId="2EEEC7A6"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TREATMENT</w:t>
      </w:r>
    </w:p>
    <w:p w14:paraId="196DEC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The primary symptomatic treatment with permanent CBD stenting every 3 mo was applied and continued throughout patients’ treatment and follow-up in our hospital. After confirming the diagnosis of biliary IMT, it was decided to start the treatment with a 1-month course of steroids (40 mg/d of prednisolone tapering by 5 mg) and non-steroidal anti-inflammatory drugs (NSAIDs) (celecoxib 100 mg/d) based on the cohort study by Casanova </w:t>
      </w:r>
      <w:r w:rsidRPr="00310595">
        <w:rPr>
          <w:rFonts w:ascii="Book Antiqua" w:eastAsia="Book Antiqua" w:hAnsi="Book Antiqua" w:cs="Book Antiqua"/>
          <w:i/>
          <w:iCs/>
          <w:color w:val="000000"/>
        </w:rPr>
        <w:t>et al</w:t>
      </w:r>
      <w:r w:rsidRPr="00310595">
        <w:rPr>
          <w:rFonts w:ascii="Book Antiqua" w:eastAsia="Book Antiqua" w:hAnsi="Book Antiqua" w:cs="Book Antiqua"/>
          <w:color w:val="000000"/>
          <w:szCs w:val="30"/>
          <w:vertAlign w:val="superscript"/>
        </w:rPr>
        <w:t>[5]</w:t>
      </w:r>
      <w:r w:rsidRPr="00310595">
        <w:rPr>
          <w:rFonts w:ascii="Book Antiqua" w:eastAsia="Book Antiqua" w:hAnsi="Book Antiqua" w:cs="Book Antiqua"/>
          <w:color w:val="000000"/>
        </w:rPr>
        <w:t xml:space="preserve">. However, prednisolone was discontinued 10 d after due to significantly increased C-reactive protein (to 100 mg/L). </w:t>
      </w:r>
    </w:p>
    <w:p w14:paraId="2924D804"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We continued restenting every 3 mo. However, the majority of procedures have been followed by cholangitis and septic complications. Therefore</w:t>
      </w:r>
      <w:r w:rsidRPr="00310595">
        <w:rPr>
          <w:rFonts w:ascii="Book Antiqua" w:eastAsia="Book Antiqua" w:hAnsi="Book Antiqua" w:cs="Book Antiqua"/>
          <w:color w:val="000000"/>
          <w:shd w:val="clear" w:color="auto" w:fill="FFFFFF"/>
        </w:rPr>
        <w:t xml:space="preserve">, the culture from the bile was taken after elective ERCP. Six pathogens were cultured: </w:t>
      </w:r>
      <w:r w:rsidRPr="00310595">
        <w:rPr>
          <w:rFonts w:ascii="Book Antiqua" w:eastAsia="Book Antiqua" w:hAnsi="Book Antiqua" w:cs="Book Antiqua"/>
          <w:i/>
          <w:iCs/>
          <w:color w:val="000000"/>
          <w:shd w:val="clear" w:color="auto" w:fill="FFFFFF"/>
        </w:rPr>
        <w:t>Pseudomonas aeruginosa, Klebsiella pneumoniae, Escherichia coli, Enterococcus avium, Enterococcus gallinarum and</w:t>
      </w:r>
      <w:r w:rsidRPr="00310595">
        <w:rPr>
          <w:rFonts w:ascii="Book Antiqua" w:eastAsia="Book Antiqua" w:hAnsi="Book Antiqua" w:cs="Book Antiqua"/>
          <w:color w:val="000000"/>
          <w:shd w:val="clear" w:color="auto" w:fill="FFFFFF"/>
        </w:rPr>
        <w:t xml:space="preserve"> </w:t>
      </w:r>
      <w:r w:rsidRPr="00310595">
        <w:rPr>
          <w:rFonts w:ascii="Book Antiqua" w:eastAsia="Book Antiqua" w:hAnsi="Book Antiqua" w:cs="Book Antiqua"/>
          <w:i/>
          <w:iCs/>
          <w:color w:val="000000"/>
          <w:shd w:val="clear" w:color="auto" w:fill="FFFFFF"/>
        </w:rPr>
        <w:t>Enterococcus faecium.</w:t>
      </w:r>
      <w:r w:rsidRPr="00310595">
        <w:rPr>
          <w:rFonts w:ascii="Book Antiqua" w:eastAsia="Book Antiqua" w:hAnsi="Book Antiqua" w:cs="Book Antiqua"/>
          <w:color w:val="000000"/>
          <w:shd w:val="clear" w:color="auto" w:fill="FFFFFF"/>
        </w:rPr>
        <w:t xml:space="preserve"> The patient was treated with antibiotics according to the antibioticogram. However, this approach did not affect the stricture as </w:t>
      </w:r>
      <w:r w:rsidRPr="00310595">
        <w:rPr>
          <w:rFonts w:ascii="Book Antiqua" w:eastAsia="Book Antiqua" w:hAnsi="Book Antiqua" w:cs="Book Antiqua"/>
          <w:color w:val="000000"/>
        </w:rPr>
        <w:t>control MRCP 9 mo after the initial diagnosis showed no significant changes in stricture length. The concentration of carbohydrate antigen 19-9 significantly increased from 112.15 to 1184.1 kU/L and continued to rise (Figure 5).</w:t>
      </w:r>
    </w:p>
    <w:p w14:paraId="057FE35B" w14:textId="6CA93F7A" w:rsidR="00A77B3E" w:rsidRPr="00310595" w:rsidRDefault="000A428C">
      <w:pPr>
        <w:spacing w:line="360" w:lineRule="auto"/>
        <w:ind w:firstLine="720"/>
        <w:jc w:val="both"/>
      </w:pPr>
      <w:r w:rsidRPr="00310595">
        <w:rPr>
          <w:rFonts w:ascii="Book Antiqua" w:eastAsia="Book Antiqua" w:hAnsi="Book Antiqua" w:cs="Book Antiqua"/>
          <w:color w:val="000000"/>
        </w:rPr>
        <w:t>Further, the patient was consulted by the oncochemotherapist. As steroids and celecoxib therapy failed due to infectious complications, it was decided to start the second-line treatment with vinblastine and methotrexate. MRCP after 3 cycles of chemotherapy (18 mo since</w:t>
      </w:r>
      <w:r w:rsidR="00892C35">
        <w:rPr>
          <w:rFonts w:ascii="Book Antiqua" w:hAnsi="Book Antiqua" w:cs="Book Antiqua" w:hint="eastAsia"/>
          <w:color w:val="000000"/>
          <w:lang w:eastAsia="zh-CN"/>
        </w:rPr>
        <w:t xml:space="preserve"> </w:t>
      </w:r>
      <w:r w:rsidR="00892C35" w:rsidRPr="00892C35">
        <w:rPr>
          <w:rFonts w:ascii="Book Antiqua" w:eastAsia="Book Antiqua" w:hAnsi="Book Antiqua" w:cs="Book Antiqua"/>
          <w:color w:val="000000"/>
        </w:rPr>
        <w:t>diagnosis</w:t>
      </w:r>
      <w:r w:rsidRPr="00310595">
        <w:rPr>
          <w:rFonts w:ascii="Book Antiqua" w:eastAsia="Book Antiqua" w:hAnsi="Book Antiqua" w:cs="Book Antiqua"/>
          <w:color w:val="000000"/>
        </w:rPr>
        <w:t>) showed no positive results. There were no liver abscesses seen on subsequent MRI. However, the stricture length of the bile ducts remained the same, and cardiophrenic and liver hilum lymph nodes did increase by few millimeters in size. It is hard to attribute lymph node enlargement for tumor progression as they can also enlarge due to recurrent infections. The patient’s clinical condition and well-being did improve at that time, but this is most likely due to treated infectious complications.</w:t>
      </w:r>
    </w:p>
    <w:p w14:paraId="1641BBA1" w14:textId="77777777" w:rsidR="00A77B3E" w:rsidRPr="00310595" w:rsidRDefault="00A77B3E">
      <w:pPr>
        <w:spacing w:line="360" w:lineRule="auto"/>
        <w:ind w:firstLine="720"/>
        <w:jc w:val="both"/>
      </w:pPr>
    </w:p>
    <w:p w14:paraId="72C7D159"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OUTCOME AND FOLLOW-UP</w:t>
      </w:r>
    </w:p>
    <w:p w14:paraId="76B73692" w14:textId="0E194C73" w:rsidR="00A77B3E" w:rsidRPr="00310595" w:rsidRDefault="000A428C">
      <w:pPr>
        <w:spacing w:line="360" w:lineRule="auto"/>
        <w:jc w:val="both"/>
      </w:pPr>
      <w:r w:rsidRPr="00310595">
        <w:rPr>
          <w:rFonts w:ascii="Book Antiqua" w:eastAsia="Book Antiqua" w:hAnsi="Book Antiqua" w:cs="Book Antiqua"/>
          <w:color w:val="000000"/>
        </w:rPr>
        <w:t>The patient continued chemotherapy (5 cycles). Unfortunately, this treatment was discontinued, as the patient was repeatedly hospitalized due to recurrent cholangitis and sepsis. What is more, she gained a COVID-19 infection. After fighting COVID-19 disease, the patient’s condition significantly worsened as she developed cholecystitis (</w:t>
      </w:r>
      <w:r w:rsidRPr="00310595">
        <w:rPr>
          <w:rFonts w:ascii="Book Antiqua" w:eastAsia="Book Antiqua" w:hAnsi="Book Antiqua" w:cs="Book Antiqua"/>
          <w:i/>
          <w:iCs/>
          <w:color w:val="000000"/>
        </w:rPr>
        <w:t>Pseudomonas aeurginosa</w:t>
      </w:r>
      <w:r w:rsidRPr="00310595">
        <w:rPr>
          <w:rFonts w:ascii="Book Antiqua" w:eastAsia="Book Antiqua" w:hAnsi="Book Antiqua" w:cs="Book Antiqua"/>
          <w:color w:val="000000"/>
        </w:rPr>
        <w:t>) – related to cystic duct blockade with the ductal stents. The whole body computer tomography (CT) images after biliary stenting showed the same biliary stricture in the liver hilum with a large gallbladder and a new solid mass at the site of the gallbladder fundus. Enlarged lymph nodes in the right lung were also observed (Figure 6). A percutaneous cholecystostomy was performed, and the biopsy was taken from the newly developed mass in the gallbladder fundus. Histological examination showed fibrotic changes without any signs of a malignant tumor. Although CA 19-9 rose to 7884 kU/L, which could have been a reaction to constant infections, disease progression, and COVID-19 disease. Improvement in infectious status was observed after cholecystostomy. The patient</w:t>
      </w:r>
      <w:r w:rsidR="00B1280B">
        <w:rPr>
          <w:rFonts w:ascii="Book Antiqua" w:hAnsi="Book Antiqua" w:cs="Book Antiqua"/>
          <w:color w:val="000000"/>
          <w:lang w:eastAsia="zh-CN"/>
        </w:rPr>
        <w:t>’</w:t>
      </w:r>
      <w:r w:rsidRPr="00310595">
        <w:rPr>
          <w:rFonts w:ascii="Book Antiqua" w:eastAsia="Book Antiqua" w:hAnsi="Book Antiqua" w:cs="Book Antiqua"/>
          <w:color w:val="000000"/>
        </w:rPr>
        <w:t>s survival time is already 24 mo, and her general condition is satisfactory due to timely management of recurrent infections (Figure 7). Although the stricture site remains stable, the patient might have a poor prognosis due to constant infectious complications.</w:t>
      </w:r>
    </w:p>
    <w:p w14:paraId="6DB566F6" w14:textId="77777777" w:rsidR="00A77B3E" w:rsidRPr="00310595" w:rsidRDefault="00A77B3E">
      <w:pPr>
        <w:spacing w:line="360" w:lineRule="auto"/>
        <w:jc w:val="both"/>
      </w:pPr>
    </w:p>
    <w:p w14:paraId="633BE92C"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DISCUSSION</w:t>
      </w:r>
    </w:p>
    <w:p w14:paraId="0C6D15ED" w14:textId="5A1694E9"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 xml:space="preserve">IMTs are rare, usually benign </w:t>
      </w:r>
      <w:r w:rsidR="00892C35" w:rsidRPr="00892C35">
        <w:rPr>
          <w:rFonts w:ascii="Book Antiqua" w:eastAsia="Book Antiqua" w:hAnsi="Book Antiqua" w:cs="Book Antiqua"/>
          <w:color w:val="000000"/>
          <w:shd w:val="clear" w:color="auto" w:fill="FFFFFF"/>
        </w:rPr>
        <w:t>mass-</w:t>
      </w:r>
      <w:r w:rsidRPr="00310595">
        <w:rPr>
          <w:rFonts w:ascii="Book Antiqua" w:eastAsia="Book Antiqua" w:hAnsi="Book Antiqua" w:cs="Book Antiqua"/>
          <w:color w:val="000000"/>
          <w:shd w:val="clear" w:color="auto" w:fill="FFFFFF"/>
        </w:rPr>
        <w:t>forming lesions of unknown origin. It encompasses a spectrum of myofibroblastic proliferation and varying amounts of polymorphous inflammatory cell infiltrate consisting of spindle cells, plasma cells, lymphocytes, eosinophils and macrophages. Also, there are variable amounts of fibrosis, necrosis, granulomatous reactions</w:t>
      </w:r>
      <w:r w:rsidRPr="00310595">
        <w:rPr>
          <w:rFonts w:ascii="Book Antiqua" w:eastAsia="Book Antiqua" w:hAnsi="Book Antiqua" w:cs="Book Antiqua"/>
          <w:color w:val="000000"/>
          <w:szCs w:val="30"/>
          <w:shd w:val="clear" w:color="auto" w:fill="FFFFFF"/>
          <w:vertAlign w:val="superscript"/>
        </w:rPr>
        <w:t>[3,9]</w:t>
      </w:r>
      <w:r w:rsidRPr="00310595">
        <w:rPr>
          <w:rFonts w:ascii="Book Antiqua" w:eastAsia="Book Antiqua" w:hAnsi="Book Antiqua" w:cs="Book Antiqua"/>
          <w:color w:val="000000"/>
          <w:shd w:val="clear" w:color="auto" w:fill="FFFFFF"/>
        </w:rPr>
        <w:t>. These lesions can be found in every organ throughout the body, most commonly in the lung, orbit, peritoneum, omentum and mesentery, followed by soft tissue, mediastinum, gastrointestinal tract, pancreas, genitourinary tract, oral cavity, skin, breast, nerve, bone, and central nervous system</w:t>
      </w:r>
      <w:r w:rsidRPr="00310595">
        <w:rPr>
          <w:rFonts w:ascii="Book Antiqua" w:eastAsia="Book Antiqua" w:hAnsi="Book Antiqua" w:cs="Book Antiqua"/>
          <w:color w:val="000000"/>
          <w:szCs w:val="30"/>
          <w:shd w:val="clear" w:color="auto" w:fill="FFFFFF"/>
          <w:vertAlign w:val="superscript"/>
        </w:rPr>
        <w:t>[1–3]</w:t>
      </w:r>
      <w:r w:rsidRPr="00B1280B">
        <w:rPr>
          <w:rFonts w:ascii="Book Antiqua" w:eastAsia="Book Antiqua" w:hAnsi="Book Antiqua" w:cs="Book Antiqua"/>
          <w:color w:val="000000"/>
          <w:szCs w:val="30"/>
          <w:shd w:val="clear" w:color="auto" w:fill="FFFFFF"/>
        </w:rPr>
        <w:t>.</w:t>
      </w:r>
    </w:p>
    <w:p w14:paraId="4FEEEFE0" w14:textId="77777777" w:rsidR="00A77B3E" w:rsidRPr="00310595" w:rsidRDefault="000A428C">
      <w:pPr>
        <w:spacing w:line="360" w:lineRule="auto"/>
        <w:ind w:firstLine="709"/>
        <w:jc w:val="both"/>
      </w:pPr>
      <w:r w:rsidRPr="00310595">
        <w:rPr>
          <w:rFonts w:ascii="Book Antiqua" w:eastAsia="Book Antiqua" w:hAnsi="Book Antiqua" w:cs="Book Antiqua"/>
          <w:color w:val="000000"/>
          <w:shd w:val="clear" w:color="auto" w:fill="FFFFFF"/>
        </w:rPr>
        <w:t>IMTs of the biliary ducts are an uncommon cause of obstructive jaundice. The cases found during the literature search using PubMed are presented in Table 2</w:t>
      </w:r>
      <w:r w:rsidRPr="00310595">
        <w:rPr>
          <w:rFonts w:ascii="Book Antiqua" w:eastAsia="Book Antiqua" w:hAnsi="Book Antiqua" w:cs="Book Antiqua"/>
          <w:b/>
          <w:bCs/>
          <w:color w:val="000000"/>
          <w:shd w:val="clear" w:color="auto" w:fill="FFFFFF"/>
        </w:rPr>
        <w:t xml:space="preserve"> </w:t>
      </w:r>
      <w:r w:rsidRPr="00310595">
        <w:rPr>
          <w:rFonts w:ascii="Book Antiqua" w:eastAsia="Book Antiqua" w:hAnsi="Book Antiqua" w:cs="Book Antiqua"/>
          <w:color w:val="000000"/>
          <w:shd w:val="clear" w:color="auto" w:fill="FFFFFF"/>
        </w:rPr>
        <w:t>(used keywords: biliary IMT, inflammatory myofibroblastic tumor of the biliary tract, perihilar IMT, hepatic bifurcation IMT).</w:t>
      </w:r>
      <w:r w:rsidRPr="00310595">
        <w:rPr>
          <w:rFonts w:ascii="Book Antiqua" w:eastAsia="Book Antiqua" w:hAnsi="Book Antiqua" w:cs="Book Antiqua"/>
          <w:b/>
          <w:bCs/>
          <w:color w:val="000000"/>
          <w:shd w:val="clear" w:color="auto" w:fill="FFFFFF"/>
        </w:rPr>
        <w:t xml:space="preserve"> </w:t>
      </w:r>
    </w:p>
    <w:p w14:paraId="1C7548DB" w14:textId="77777777" w:rsidR="00A77B3E" w:rsidRPr="00310595" w:rsidRDefault="00A77B3E">
      <w:pPr>
        <w:spacing w:line="360" w:lineRule="auto"/>
        <w:ind w:firstLine="709"/>
        <w:jc w:val="both"/>
      </w:pPr>
    </w:p>
    <w:p w14:paraId="5A78C349" w14:textId="77777777" w:rsidR="00A77B3E" w:rsidRPr="00310595" w:rsidRDefault="000A428C">
      <w:pPr>
        <w:spacing w:line="360" w:lineRule="auto"/>
        <w:jc w:val="both"/>
      </w:pPr>
      <w:r w:rsidRPr="00310595">
        <w:rPr>
          <w:rFonts w:ascii="Book Antiqua" w:eastAsia="Book Antiqua" w:hAnsi="Book Antiqua" w:cs="Book Antiqua"/>
          <w:b/>
          <w:bCs/>
          <w:i/>
          <w:iCs/>
          <w:color w:val="000000"/>
          <w:shd w:val="clear" w:color="auto" w:fill="FFFFFF"/>
        </w:rPr>
        <w:t>Etiopathogenesis</w:t>
      </w:r>
    </w:p>
    <w:p w14:paraId="65E8BD88" w14:textId="77777777" w:rsidR="00A77B3E" w:rsidRPr="00310595" w:rsidRDefault="000A428C">
      <w:pPr>
        <w:spacing w:line="360" w:lineRule="auto"/>
        <w:jc w:val="both"/>
      </w:pPr>
      <w:r w:rsidRPr="00310595">
        <w:rPr>
          <w:rFonts w:ascii="Book Antiqua" w:eastAsia="Book Antiqua" w:hAnsi="Book Antiqua" w:cs="Book Antiqua"/>
          <w:color w:val="000000"/>
          <w:shd w:val="clear" w:color="auto" w:fill="FFFFFF"/>
        </w:rPr>
        <w:t>The exact origin and pathogenesis of the disease are poorly understood. The tumor can affect both sexes and all ethnic groups equally, and can occur in any age group</w:t>
      </w:r>
      <w:r w:rsidRPr="00310595">
        <w:rPr>
          <w:rFonts w:ascii="Book Antiqua" w:eastAsia="Book Antiqua" w:hAnsi="Book Antiqua" w:cs="Book Antiqua"/>
          <w:color w:val="000000"/>
          <w:szCs w:val="30"/>
          <w:shd w:val="clear" w:color="auto" w:fill="FFFFFF"/>
          <w:vertAlign w:val="superscript"/>
        </w:rPr>
        <w:t>[10,11]</w:t>
      </w:r>
      <w:r w:rsidRPr="00310595">
        <w:rPr>
          <w:rFonts w:ascii="Book Antiqua" w:eastAsia="Book Antiqua" w:hAnsi="Book Antiqua" w:cs="Book Antiqua"/>
          <w:color w:val="000000"/>
          <w:shd w:val="clear" w:color="auto" w:fill="FFFFFF"/>
        </w:rPr>
        <w:t xml:space="preserve">. </w:t>
      </w:r>
      <w:r w:rsidRPr="00310595">
        <w:rPr>
          <w:rFonts w:ascii="Book Antiqua" w:eastAsia="Book Antiqua" w:hAnsi="Book Antiqua" w:cs="Book Antiqua"/>
          <w:color w:val="000000"/>
        </w:rPr>
        <w:t>The most popular and widely accepted theories describe IMTs as either primary reactive and inflammatory processes or low-intermediate grade neoplastic processes with secondary inflammation</w:t>
      </w:r>
      <w:r w:rsidRPr="00310595">
        <w:rPr>
          <w:rFonts w:ascii="Book Antiqua" w:eastAsia="Book Antiqua" w:hAnsi="Book Antiqua" w:cs="Book Antiqua"/>
          <w:color w:val="000000"/>
          <w:shd w:val="clear" w:color="auto" w:fill="FFFFFF"/>
        </w:rPr>
        <w:t xml:space="preserve">. Infection, minor trauma, previous abdominal surgery or procedure, radiotherapy, chemotherapy, and steroid use - all might play a role in the pathogenesis of the heightened inflammatory reaction and result in IMT/IPT. </w:t>
      </w:r>
      <w:r w:rsidRPr="00310595">
        <w:rPr>
          <w:rFonts w:ascii="Book Antiqua" w:eastAsia="Book Antiqua" w:hAnsi="Book Antiqua" w:cs="Book Antiqua"/>
          <w:color w:val="000000"/>
        </w:rPr>
        <w:t>An immune-autoimmune mechanism has also been implicated</w:t>
      </w:r>
      <w:r w:rsidRPr="00310595">
        <w:rPr>
          <w:rFonts w:ascii="Book Antiqua" w:eastAsia="Book Antiqua" w:hAnsi="Book Antiqua" w:cs="Book Antiqua"/>
          <w:color w:val="000000"/>
          <w:szCs w:val="30"/>
          <w:vertAlign w:val="superscript"/>
        </w:rPr>
        <w:t>[9]</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The unusual inflammatory or immune responses such as sclerosing cholangitis, phlebitis, and retroperitoneal fibrosis also can be found in association with IPT.</w:t>
      </w:r>
    </w:p>
    <w:p w14:paraId="2CBBE778"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Some organisms like parasitic fragments, </w:t>
      </w:r>
      <w:r w:rsidRPr="00310595">
        <w:rPr>
          <w:rFonts w:ascii="Book Antiqua" w:eastAsia="Book Antiqua" w:hAnsi="Book Antiqua" w:cs="Book Antiqua"/>
          <w:i/>
          <w:iCs/>
          <w:color w:val="000000"/>
        </w:rPr>
        <w:t>Escherichia coli</w:t>
      </w:r>
      <w:r w:rsidRPr="00310595">
        <w:rPr>
          <w:rFonts w:ascii="Book Antiqua" w:eastAsia="Book Antiqua" w:hAnsi="Book Antiqua" w:cs="Book Antiqua"/>
          <w:color w:val="000000"/>
        </w:rPr>
        <w:t xml:space="preserve">, gram-positive cocci, </w:t>
      </w:r>
      <w:r w:rsidRPr="00310595">
        <w:rPr>
          <w:rFonts w:ascii="Book Antiqua" w:eastAsia="Book Antiqua" w:hAnsi="Book Antiqua" w:cs="Book Antiqua"/>
          <w:i/>
          <w:iCs/>
          <w:color w:val="000000"/>
        </w:rPr>
        <w:t>Klebsiella pneumonia</w:t>
      </w:r>
      <w:r w:rsidRPr="00310595">
        <w:rPr>
          <w:rFonts w:ascii="Book Antiqua" w:eastAsia="Book Antiqua" w:hAnsi="Book Antiqua" w:cs="Book Antiqua"/>
          <w:color w:val="000000"/>
        </w:rPr>
        <w:t xml:space="preserve">, </w:t>
      </w:r>
      <w:r w:rsidRPr="00310595">
        <w:rPr>
          <w:rFonts w:ascii="Book Antiqua" w:eastAsia="Book Antiqua" w:hAnsi="Book Antiqua" w:cs="Book Antiqua"/>
          <w:i/>
          <w:iCs/>
          <w:color w:val="000000"/>
        </w:rPr>
        <w:t>Epstein-Barr</w:t>
      </w:r>
      <w:r w:rsidRPr="00310595">
        <w:rPr>
          <w:rFonts w:ascii="Book Antiqua" w:eastAsia="Book Antiqua" w:hAnsi="Book Antiqua" w:cs="Book Antiqua"/>
          <w:color w:val="000000"/>
        </w:rPr>
        <w:t xml:space="preserve"> virus were found in splenic and nodal pseudotumors. </w:t>
      </w:r>
      <w:r w:rsidRPr="00310595">
        <w:rPr>
          <w:rFonts w:ascii="Book Antiqua" w:eastAsia="Book Antiqua" w:hAnsi="Book Antiqua" w:cs="Book Antiqua"/>
          <w:i/>
          <w:iCs/>
          <w:color w:val="000000"/>
        </w:rPr>
        <w:t>Actinomycetes</w:t>
      </w:r>
      <w:r w:rsidRPr="00310595">
        <w:rPr>
          <w:rFonts w:ascii="Book Antiqua" w:eastAsia="Book Antiqua" w:hAnsi="Book Antiqua" w:cs="Book Antiqua"/>
          <w:color w:val="000000"/>
        </w:rPr>
        <w:t xml:space="preserve"> and </w:t>
      </w:r>
      <w:r w:rsidRPr="00310595">
        <w:rPr>
          <w:rFonts w:ascii="Book Antiqua" w:eastAsia="Book Antiqua" w:hAnsi="Book Antiqua" w:cs="Book Antiqua"/>
          <w:i/>
          <w:iCs/>
          <w:color w:val="000000"/>
        </w:rPr>
        <w:t xml:space="preserve">nocardiae </w:t>
      </w:r>
      <w:r w:rsidRPr="00310595">
        <w:rPr>
          <w:rFonts w:ascii="Book Antiqua" w:eastAsia="Book Antiqua" w:hAnsi="Book Antiqua" w:cs="Book Antiqua"/>
          <w:color w:val="000000"/>
        </w:rPr>
        <w:t>were found in hepatic and pulmonary pseudotumors, respectively; mycobacteria associated with spindle cell tumor and mycoplasma found in pulmonary pseudotumors</w:t>
      </w:r>
      <w:r w:rsidRPr="00310595">
        <w:rPr>
          <w:rFonts w:ascii="Book Antiqua" w:eastAsia="Book Antiqua" w:hAnsi="Book Antiqua" w:cs="Book Antiqua"/>
          <w:color w:val="000000"/>
          <w:szCs w:val="30"/>
          <w:vertAlign w:val="superscript"/>
        </w:rPr>
        <w:t>[9,12]</w:t>
      </w:r>
      <w:r w:rsidRPr="00310595">
        <w:rPr>
          <w:rFonts w:ascii="Book Antiqua" w:eastAsia="Book Antiqua" w:hAnsi="Book Antiqua" w:cs="Book Antiqua"/>
          <w:color w:val="000000"/>
        </w:rPr>
        <w:t xml:space="preserve">. There have been reports of IMTs/IPTs related to </w:t>
      </w:r>
      <w:r w:rsidRPr="00310595">
        <w:rPr>
          <w:rFonts w:ascii="Book Antiqua" w:eastAsia="Book Antiqua" w:hAnsi="Book Antiqua" w:cs="Book Antiqua"/>
          <w:i/>
          <w:iCs/>
          <w:color w:val="000000"/>
        </w:rPr>
        <w:t>Mycobacterium avium–intracellulare</w:t>
      </w:r>
      <w:r w:rsidRPr="00310595">
        <w:rPr>
          <w:rFonts w:ascii="Book Antiqua" w:eastAsia="Book Antiqua" w:hAnsi="Book Antiqua" w:cs="Book Antiqua"/>
          <w:color w:val="000000"/>
        </w:rPr>
        <w:t xml:space="preserve"> complex, </w:t>
      </w:r>
      <w:r w:rsidRPr="00310595">
        <w:rPr>
          <w:rFonts w:ascii="Book Antiqua" w:eastAsia="Book Antiqua" w:hAnsi="Book Antiqua" w:cs="Book Antiqua"/>
          <w:i/>
          <w:iCs/>
          <w:color w:val="000000"/>
        </w:rPr>
        <w:t>Escherichia coli, Klebsiella, Bacillus sphaericus, Pseudomonas, Helicobacter pylori,</w:t>
      </w:r>
      <w:r w:rsidRPr="00310595">
        <w:rPr>
          <w:rFonts w:ascii="Book Antiqua" w:eastAsia="Book Antiqua" w:hAnsi="Book Antiqua" w:cs="Book Antiqua"/>
          <w:color w:val="000000"/>
        </w:rPr>
        <w:t xml:space="preserve"> </w:t>
      </w:r>
      <w:r w:rsidRPr="00310595">
        <w:rPr>
          <w:rFonts w:ascii="Book Antiqua" w:eastAsia="Book Antiqua" w:hAnsi="Book Antiqua" w:cs="Book Antiqua"/>
          <w:i/>
          <w:iCs/>
          <w:color w:val="000000"/>
        </w:rPr>
        <w:t xml:space="preserve">Corynebacterium equi, </w:t>
      </w:r>
      <w:r w:rsidRPr="00310595">
        <w:rPr>
          <w:rFonts w:ascii="Book Antiqua" w:eastAsia="Book Antiqua" w:hAnsi="Book Antiqua" w:cs="Book Antiqua"/>
          <w:color w:val="000000"/>
        </w:rPr>
        <w:t xml:space="preserve">and </w:t>
      </w:r>
      <w:r w:rsidRPr="00310595">
        <w:rPr>
          <w:rFonts w:ascii="Book Antiqua" w:eastAsia="Book Antiqua" w:hAnsi="Book Antiqua" w:cs="Book Antiqua"/>
          <w:i/>
          <w:iCs/>
          <w:color w:val="000000"/>
        </w:rPr>
        <w:t>Coxiella burnetti</w:t>
      </w:r>
      <w:r w:rsidRPr="00310595">
        <w:rPr>
          <w:rFonts w:ascii="Book Antiqua" w:eastAsia="Book Antiqua" w:hAnsi="Book Antiqua" w:cs="Book Antiqua"/>
          <w:color w:val="000000"/>
          <w:szCs w:val="30"/>
          <w:vertAlign w:val="superscript"/>
        </w:rPr>
        <w:t>[9,12–14]</w:t>
      </w:r>
      <w:r w:rsidRPr="00310595">
        <w:rPr>
          <w:rFonts w:ascii="Book Antiqua" w:eastAsia="Book Antiqua" w:hAnsi="Book Antiqua" w:cs="Book Antiqua"/>
          <w:color w:val="000000"/>
        </w:rPr>
        <w:t>. However, in most cases, no organisms were cultured or identified in tissue sections, and nothing was cultured from the specimens. There are some cases where liver IPT has been reported in patients with a history of cholangitis and intra- and extrahepatic bile duct dilatation</w:t>
      </w:r>
      <w:r w:rsidRPr="00310595">
        <w:rPr>
          <w:rFonts w:ascii="Book Antiqua" w:eastAsia="Book Antiqua" w:hAnsi="Book Antiqua" w:cs="Book Antiqua"/>
          <w:color w:val="000000"/>
          <w:szCs w:val="30"/>
          <w:vertAlign w:val="superscript"/>
        </w:rPr>
        <w:t>[15-17]</w:t>
      </w:r>
      <w:r w:rsidRPr="00310595">
        <w:rPr>
          <w:rFonts w:ascii="Book Antiqua" w:eastAsia="Book Antiqua" w:hAnsi="Book Antiqua" w:cs="Book Antiqua"/>
          <w:color w:val="000000"/>
        </w:rPr>
        <w:t>. The sequence in these cases indicates that cholangitis may play a role in the development of hepatic IPT.</w:t>
      </w:r>
    </w:p>
    <w:p w14:paraId="3FABB0FF"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 xml:space="preserve">In our case, the etiology of the lesion remained unclear. The patient didn’t have any predisposing infections, no history of cholangitis or any abdominal surgery procedures. Recurrent cholangitis manifested only after the first ERCP and stenting. The microabscesses in the liver could have been a consequence of repeated invasive procedures, maintaining the inflammation in the biliary tract. </w:t>
      </w:r>
    </w:p>
    <w:p w14:paraId="38B20EA3" w14:textId="77777777" w:rsidR="00A77B3E" w:rsidRPr="00310595" w:rsidRDefault="00A77B3E">
      <w:pPr>
        <w:spacing w:line="360" w:lineRule="auto"/>
        <w:ind w:firstLine="720"/>
        <w:jc w:val="both"/>
      </w:pPr>
    </w:p>
    <w:p w14:paraId="21E8618D" w14:textId="77777777" w:rsidR="00A77B3E" w:rsidRPr="00310595" w:rsidRDefault="000A428C">
      <w:pPr>
        <w:spacing w:line="360" w:lineRule="auto"/>
        <w:jc w:val="both"/>
      </w:pPr>
      <w:r w:rsidRPr="00310595">
        <w:rPr>
          <w:rFonts w:ascii="Book Antiqua" w:eastAsia="Book Antiqua" w:hAnsi="Book Antiqua" w:cs="Book Antiqua"/>
          <w:b/>
          <w:bCs/>
          <w:i/>
          <w:iCs/>
          <w:color w:val="000000"/>
        </w:rPr>
        <w:t>Clinical manifestation</w:t>
      </w:r>
    </w:p>
    <w:p w14:paraId="6AF32BFF" w14:textId="77777777" w:rsidR="00A77B3E" w:rsidRPr="00310595" w:rsidRDefault="000A428C">
      <w:pPr>
        <w:spacing w:line="360" w:lineRule="auto"/>
        <w:jc w:val="both"/>
      </w:pPr>
      <w:r w:rsidRPr="00310595">
        <w:rPr>
          <w:rFonts w:ascii="Book Antiqua" w:eastAsia="Book Antiqua" w:hAnsi="Book Antiqua" w:cs="Book Antiqua"/>
          <w:color w:val="000000"/>
        </w:rPr>
        <w:t>Painless obstructive jaundice, abdominal pain, weight loss and fever are the most common clinical findings in patients with biliary IMTs. Their clinical presentation and imaging features are non-specific and are indistinguishable from cholangiocarcinoma, especially when hepatic hilum or bile ducts are involved</w:t>
      </w:r>
      <w:r w:rsidRPr="00310595">
        <w:rPr>
          <w:rFonts w:ascii="Book Antiqua" w:eastAsia="Book Antiqua" w:hAnsi="Book Antiqua" w:cs="Book Antiqua"/>
          <w:color w:val="000000"/>
          <w:szCs w:val="30"/>
          <w:vertAlign w:val="superscript"/>
        </w:rPr>
        <w:t>[18]</w:t>
      </w:r>
      <w:r w:rsidRPr="00310595">
        <w:rPr>
          <w:rFonts w:ascii="Book Antiqua" w:eastAsia="Book Antiqua" w:hAnsi="Book Antiqua" w:cs="Book Antiqua"/>
          <w:color w:val="000000"/>
        </w:rPr>
        <w:t>.</w:t>
      </w:r>
    </w:p>
    <w:p w14:paraId="0DEBC44F" w14:textId="77777777" w:rsidR="00A77B3E" w:rsidRPr="00310595" w:rsidRDefault="000A428C">
      <w:pPr>
        <w:spacing w:line="360" w:lineRule="auto"/>
        <w:ind w:firstLine="720"/>
        <w:jc w:val="both"/>
      </w:pPr>
      <w:r w:rsidRPr="00310595">
        <w:rPr>
          <w:rFonts w:ascii="Book Antiqua" w:eastAsia="Book Antiqua" w:hAnsi="Book Antiqua" w:cs="Book Antiqua"/>
          <w:color w:val="000000"/>
          <w:shd w:val="clear" w:color="auto" w:fill="FFFFFF"/>
        </w:rPr>
        <w:t xml:space="preserve">Laboratory tests usually </w:t>
      </w:r>
      <w:r w:rsidRPr="00310595">
        <w:rPr>
          <w:rFonts w:ascii="Book Antiqua" w:eastAsia="Book Antiqua" w:hAnsi="Book Antiqua" w:cs="Book Antiqua"/>
          <w:color w:val="000000"/>
        </w:rPr>
        <w:t>show leukocytosis, elevated C-reactive protein (CRP), anemia, thrombocytosis, polyclonal hypergammaglobulinemia, and slightly elevated liver enzymes. Tumor markers, such as carcinoembryonic antigen (CEA) and serum alpha-fetoprotein (AFP), are usually normal, although in some patients, marginally elevated CA 19-9 can be found</w:t>
      </w:r>
      <w:r w:rsidRPr="00310595">
        <w:rPr>
          <w:rFonts w:ascii="Book Antiqua" w:eastAsia="Book Antiqua" w:hAnsi="Book Antiqua" w:cs="Book Antiqua"/>
          <w:color w:val="000000"/>
          <w:szCs w:val="30"/>
          <w:vertAlign w:val="superscript"/>
        </w:rPr>
        <w:t>[8,19]</w:t>
      </w:r>
      <w:r w:rsidRPr="00310595">
        <w:rPr>
          <w:rFonts w:ascii="Book Antiqua" w:eastAsia="Book Antiqua" w:hAnsi="Book Antiqua" w:cs="Book Antiqua"/>
          <w:color w:val="000000"/>
        </w:rPr>
        <w:t xml:space="preserve">. </w:t>
      </w:r>
    </w:p>
    <w:p w14:paraId="28D6C91E"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Highly increased CA 19-9 is characteristic of cholangiocarcinoma and other malignancies</w:t>
      </w:r>
      <w:r w:rsidRPr="00310595">
        <w:rPr>
          <w:rFonts w:ascii="Book Antiqua" w:eastAsia="Book Antiqua" w:hAnsi="Book Antiqua" w:cs="Book Antiqua"/>
          <w:color w:val="000000"/>
          <w:szCs w:val="30"/>
          <w:vertAlign w:val="superscript"/>
        </w:rPr>
        <w:t>[20]</w:t>
      </w:r>
      <w:r w:rsidRPr="00310595">
        <w:rPr>
          <w:rFonts w:ascii="Book Antiqua" w:eastAsia="Book Antiqua" w:hAnsi="Book Antiqua" w:cs="Book Antiqua"/>
          <w:color w:val="000000"/>
        </w:rPr>
        <w:t>. Moreover, elevated CA 19-9 can also be observed in patients with benign hepatobiliary diseases. For instance, CA 19-9 elevation above 1000 U/mL can be observed in obstructive jaundice, acute liver injury or alcoholic liver injury and benign hepatic strictures</w:t>
      </w:r>
      <w:r w:rsidRPr="00310595">
        <w:rPr>
          <w:rFonts w:ascii="Book Antiqua" w:eastAsia="Book Antiqua" w:hAnsi="Book Antiqua" w:cs="Book Antiqua"/>
          <w:color w:val="000000"/>
          <w:szCs w:val="30"/>
          <w:vertAlign w:val="superscript"/>
        </w:rPr>
        <w:t>[19,21]</w:t>
      </w:r>
      <w:r w:rsidRPr="00310595">
        <w:rPr>
          <w:rFonts w:ascii="Book Antiqua" w:eastAsia="Book Antiqua" w:hAnsi="Book Antiqua" w:cs="Book Antiqua"/>
          <w:color w:val="000000"/>
        </w:rPr>
        <w:t>. In our case, CA 19-9 value was slightly increased on the onset and further increased to 1184 U/mL before starting chemotherapy. We found only one case in the literature regarding IPT with CA 19-9 elevation above 1000 U/mL</w:t>
      </w:r>
      <w:r w:rsidRPr="00310595">
        <w:rPr>
          <w:rFonts w:ascii="Book Antiqua" w:eastAsia="Book Antiqua" w:hAnsi="Book Antiqua" w:cs="Book Antiqua"/>
          <w:color w:val="000000"/>
          <w:szCs w:val="30"/>
          <w:vertAlign w:val="superscript"/>
        </w:rPr>
        <w:t>[22]</w:t>
      </w:r>
      <w:r w:rsidRPr="00310595">
        <w:rPr>
          <w:rFonts w:ascii="Book Antiqua" w:eastAsia="Book Antiqua" w:hAnsi="Book Antiqua" w:cs="Book Antiqua"/>
          <w:color w:val="000000"/>
        </w:rPr>
        <w:t>. CA 19-9 marker elevation may also be induced by chemotherapy or severe inflammatory process</w:t>
      </w:r>
      <w:r w:rsidRPr="00310595">
        <w:rPr>
          <w:rFonts w:ascii="Book Antiqua" w:eastAsia="Book Antiqua" w:hAnsi="Book Antiqua" w:cs="Book Antiqua"/>
          <w:color w:val="000000"/>
          <w:szCs w:val="30"/>
          <w:vertAlign w:val="superscript"/>
        </w:rPr>
        <w:t>[23]</w:t>
      </w:r>
      <w:r w:rsidRPr="00310595">
        <w:rPr>
          <w:rFonts w:ascii="Book Antiqua" w:eastAsia="Book Antiqua" w:hAnsi="Book Antiqua" w:cs="Book Antiqua"/>
          <w:color w:val="000000"/>
        </w:rPr>
        <w:t xml:space="preserve">. The latest CA 19-9 elevation to 7884 kU/L could have been a reaction to constant infections, disease progression, and COVID-19 disease. Considering this, the importance of CA 19-9 as a negative predictive factor of IMT and a prognostic mark of the disease progression is questionable as there were no changes in the stenosis site. </w:t>
      </w:r>
    </w:p>
    <w:p w14:paraId="52EE4323"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Imaging findings of IMT are not specific, and their radiological identification is not always possible. Typical radiological features of the biliary IMT are infiltrating hilar lesions and intrahepatic ductal dilatation</w:t>
      </w:r>
      <w:r w:rsidRPr="00310595">
        <w:rPr>
          <w:rFonts w:ascii="Book Antiqua" w:eastAsia="Book Antiqua" w:hAnsi="Book Antiqua" w:cs="Book Antiqua"/>
          <w:color w:val="000000"/>
          <w:szCs w:val="30"/>
          <w:vertAlign w:val="superscript"/>
        </w:rPr>
        <w:t>[24]</w:t>
      </w:r>
      <w:r w:rsidRPr="00310595">
        <w:rPr>
          <w:rFonts w:ascii="Book Antiqua" w:eastAsia="Book Antiqua" w:hAnsi="Book Antiqua" w:cs="Book Antiqua"/>
          <w:color w:val="000000"/>
        </w:rPr>
        <w:t>.</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Tublin</w:t>
      </w:r>
      <w:r w:rsidRPr="00310595">
        <w:rPr>
          <w:rFonts w:ascii="Book Antiqua" w:eastAsia="Book Antiqua" w:hAnsi="Book Antiqua" w:cs="Book Antiqua"/>
          <w:i/>
          <w:iCs/>
          <w:color w:val="000000"/>
        </w:rPr>
        <w:t xml:space="preserve"> et al</w:t>
      </w:r>
      <w:r w:rsidRPr="00310595">
        <w:rPr>
          <w:rFonts w:ascii="Book Antiqua" w:eastAsia="Book Antiqua" w:hAnsi="Book Antiqua" w:cs="Book Antiqua"/>
          <w:color w:val="000000"/>
          <w:szCs w:val="30"/>
          <w:vertAlign w:val="superscript"/>
        </w:rPr>
        <w:t>[18]</w:t>
      </w:r>
      <w:r w:rsidRPr="00310595">
        <w:rPr>
          <w:rFonts w:ascii="Book Antiqua" w:eastAsia="Book Antiqua" w:hAnsi="Book Antiqua" w:cs="Book Antiqua"/>
          <w:color w:val="000000"/>
        </w:rPr>
        <w:t xml:space="preserve"> studied biliary pseudotumors in seven patients and concluded that there were no radiological signs to differentiate them from cholangiocarcinoma. Thus, the main method to diagnose IMT is the histological examination of the biopsy or postoperative material</w:t>
      </w:r>
      <w:r w:rsidRPr="00310595">
        <w:rPr>
          <w:rFonts w:ascii="Book Antiqua" w:eastAsia="Book Antiqua" w:hAnsi="Book Antiqua" w:cs="Book Antiqua"/>
          <w:color w:val="000000"/>
          <w:szCs w:val="30"/>
          <w:vertAlign w:val="superscript"/>
        </w:rPr>
        <w:t>[2,24]</w:t>
      </w:r>
      <w:r w:rsidRPr="00310595">
        <w:rPr>
          <w:rFonts w:ascii="Book Antiqua" w:eastAsia="Book Antiqua" w:hAnsi="Book Antiqua" w:cs="Book Antiqua"/>
          <w:color w:val="000000"/>
        </w:rPr>
        <w:t xml:space="preserve">. </w:t>
      </w:r>
    </w:p>
    <w:p w14:paraId="19927B3F"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Immunohistochemical studies of T and B-cell subpopulations may help to distinguish IMT from lymphoma. IMTs usually contain both T cells and B cells, whereas in lymphoma, a clonal B- or T-cell population predominates. Also, the heterogeneity of the inflammatory cell population in IMT tends to exclude lymphoma. Most IMT cases can be considered as IgG4 related based on their histopathologic features and immunohistochemistry criteria</w:t>
      </w:r>
      <w:r w:rsidRPr="00310595">
        <w:rPr>
          <w:rFonts w:ascii="Book Antiqua" w:eastAsia="Book Antiqua" w:hAnsi="Book Antiqua" w:cs="Book Antiqua"/>
          <w:color w:val="000000"/>
          <w:szCs w:val="30"/>
          <w:vertAlign w:val="superscript"/>
        </w:rPr>
        <w:t>[25,26]</w:t>
      </w:r>
      <w:r w:rsidRPr="00310595">
        <w:rPr>
          <w:rFonts w:ascii="Book Antiqua" w:eastAsia="Book Antiqua" w:hAnsi="Book Antiqua" w:cs="Book Antiqua"/>
          <w:color w:val="000000"/>
        </w:rPr>
        <w:t>.</w:t>
      </w:r>
    </w:p>
    <w:p w14:paraId="238ED816" w14:textId="77777777" w:rsidR="00A77B3E" w:rsidRPr="00310595" w:rsidRDefault="000A428C">
      <w:pPr>
        <w:spacing w:line="360" w:lineRule="auto"/>
        <w:ind w:firstLine="709"/>
        <w:jc w:val="both"/>
      </w:pPr>
      <w:r w:rsidRPr="00310595">
        <w:rPr>
          <w:rFonts w:ascii="Book Antiqua" w:eastAsia="Book Antiqua" w:hAnsi="Book Antiqua" w:cs="Book Antiqua"/>
          <w:color w:val="000000"/>
          <w:shd w:val="clear" w:color="auto" w:fill="FFFFFF"/>
        </w:rPr>
        <w:t>About half of recently analyzed cases of IMT harbors an anaplastic lymphoma kinase (ALK-1) gene rearrangement locus on chromosome 2p23, causing aberrant ALK-1 expression</w:t>
      </w:r>
      <w:r w:rsidRPr="00310595">
        <w:rPr>
          <w:rFonts w:ascii="Book Antiqua" w:eastAsia="Book Antiqua" w:hAnsi="Book Antiqua" w:cs="Book Antiqua"/>
          <w:color w:val="000000"/>
          <w:szCs w:val="20"/>
          <w:vertAlign w:val="superscript"/>
        </w:rPr>
        <w:t>[26]</w:t>
      </w:r>
      <w:r w:rsidRPr="00310595">
        <w:rPr>
          <w:rFonts w:ascii="Book Antiqua" w:eastAsia="Book Antiqua" w:hAnsi="Book Antiqua" w:cs="Book Antiqua"/>
          <w:color w:val="000000"/>
          <w:shd w:val="clear" w:color="auto" w:fill="FFFFFF"/>
        </w:rPr>
        <w:t xml:space="preserve">. Although there is no statistically significant correlation between ALK-1 expression, tumor type, recurrence and </w:t>
      </w:r>
      <w:r w:rsidRPr="00310595">
        <w:rPr>
          <w:rFonts w:ascii="Book Antiqua" w:eastAsia="Book Antiqua" w:hAnsi="Book Antiqua" w:cs="Book Antiqua"/>
          <w:color w:val="000000"/>
        </w:rPr>
        <w:t>metastasis, it is a useful diagnostic aid, based on which decision on chemotherapeutic treatment might be made</w:t>
      </w:r>
      <w:r w:rsidRPr="00310595">
        <w:rPr>
          <w:rFonts w:ascii="Book Antiqua" w:eastAsia="Book Antiqua" w:hAnsi="Book Antiqua" w:cs="Book Antiqua"/>
          <w:color w:val="000000"/>
          <w:szCs w:val="30"/>
          <w:vertAlign w:val="superscript"/>
        </w:rPr>
        <w:t>[27]</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It has been suggested that predominating histiocytic cells in IPT are associated with infection, whereas myofibroblastic cells characterize the lesions more likely to be considered true neoplasms</w:t>
      </w:r>
      <w:r w:rsidRPr="00310595">
        <w:rPr>
          <w:rFonts w:ascii="Book Antiqua" w:eastAsia="Book Antiqua" w:hAnsi="Book Antiqua" w:cs="Book Antiqua"/>
          <w:color w:val="000000"/>
          <w:szCs w:val="30"/>
          <w:shd w:val="clear" w:color="auto" w:fill="FFFFFF"/>
          <w:vertAlign w:val="superscript"/>
        </w:rPr>
        <w:t>[9,12]</w:t>
      </w:r>
      <w:r w:rsidRPr="00310595">
        <w:rPr>
          <w:rFonts w:ascii="Book Antiqua" w:eastAsia="Book Antiqua" w:hAnsi="Book Antiqua" w:cs="Book Antiqua"/>
          <w:color w:val="000000"/>
          <w:shd w:val="clear" w:color="auto" w:fill="FFFFFF"/>
        </w:rPr>
        <w:t>.</w:t>
      </w:r>
      <w:r w:rsidRPr="00310595">
        <w:rPr>
          <w:rFonts w:ascii="Book Antiqua" w:eastAsia="Book Antiqua" w:hAnsi="Book Antiqua" w:cs="Book Antiqua"/>
          <w:color w:val="000000"/>
        </w:rPr>
        <w:t xml:space="preserve"> Even if the biopsy of the mass shows signs of IMT, there is still a concern regarding the biopsy’s adequacy because only the inflammatory changes surrounding cancer may have been sampled. These fears often lead to an aggressive surgical approach as the initial treatment of choice. </w:t>
      </w:r>
    </w:p>
    <w:p w14:paraId="3A04804F" w14:textId="77777777" w:rsidR="00A77B3E" w:rsidRPr="00310595" w:rsidRDefault="00A77B3E">
      <w:pPr>
        <w:spacing w:line="360" w:lineRule="auto"/>
        <w:ind w:firstLine="709"/>
        <w:jc w:val="both"/>
      </w:pPr>
    </w:p>
    <w:p w14:paraId="59BB3901" w14:textId="77777777" w:rsidR="00A77B3E" w:rsidRPr="00310595" w:rsidRDefault="000A428C">
      <w:pPr>
        <w:spacing w:line="360" w:lineRule="auto"/>
        <w:jc w:val="both"/>
      </w:pPr>
      <w:r w:rsidRPr="00310595">
        <w:rPr>
          <w:rFonts w:ascii="Book Antiqua" w:eastAsia="Book Antiqua" w:hAnsi="Book Antiqua" w:cs="Book Antiqua"/>
          <w:b/>
          <w:bCs/>
          <w:i/>
          <w:iCs/>
          <w:color w:val="000000"/>
        </w:rPr>
        <w:t>Treatment</w:t>
      </w:r>
    </w:p>
    <w:p w14:paraId="7E86C130" w14:textId="77777777" w:rsidR="00A77B3E" w:rsidRPr="00310595" w:rsidRDefault="000A428C">
      <w:pPr>
        <w:spacing w:line="360" w:lineRule="auto"/>
        <w:jc w:val="both"/>
      </w:pPr>
      <w:r w:rsidRPr="00310595">
        <w:rPr>
          <w:rFonts w:ascii="Book Antiqua" w:eastAsia="Book Antiqua" w:hAnsi="Book Antiqua" w:cs="Book Antiqua"/>
          <w:color w:val="000000"/>
        </w:rPr>
        <w:t>Although poorly understood, the etiology of IMT seems to relate closely to an altered immune response to injury. Infection, trauma, previous abdominal surgery, radiotherapy, chemotherapy, and steroid use - all have been thought to play a role in the pathogenesis of the heightened inflammatory reaction. Therefore, it seemed logical to treat this disease with an anti-inflammatory agent</w:t>
      </w:r>
      <w:r w:rsidRPr="00310595">
        <w:rPr>
          <w:rFonts w:ascii="Book Antiqua" w:eastAsia="Book Antiqua" w:hAnsi="Book Antiqua" w:cs="Book Antiqua"/>
          <w:color w:val="000000"/>
          <w:szCs w:val="30"/>
          <w:vertAlign w:val="superscript"/>
        </w:rPr>
        <w:t>[28]</w:t>
      </w:r>
      <w:r w:rsidRPr="00310595">
        <w:rPr>
          <w:rFonts w:ascii="Book Antiqua" w:eastAsia="Book Antiqua" w:hAnsi="Book Antiqua" w:cs="Book Antiqua"/>
          <w:color w:val="000000"/>
        </w:rPr>
        <w:t>. Some studies described the complete reduction and disappearance of the pseudotumor with conservative treatment with NSAIDs and steroids (such as prednisolone)</w:t>
      </w:r>
      <w:r w:rsidRPr="00310595">
        <w:rPr>
          <w:rFonts w:ascii="Book Antiqua" w:eastAsia="Book Antiqua" w:hAnsi="Book Antiqua" w:cs="Book Antiqua"/>
          <w:color w:val="000000"/>
          <w:szCs w:val="30"/>
          <w:vertAlign w:val="superscript"/>
        </w:rPr>
        <w:t>[29–32]</w:t>
      </w:r>
      <w:r w:rsidRPr="00310595">
        <w:rPr>
          <w:rFonts w:ascii="Book Antiqua" w:eastAsia="Book Antiqua" w:hAnsi="Book Antiqua" w:cs="Book Antiqua"/>
          <w:color w:val="000000"/>
        </w:rPr>
        <w:t xml:space="preserve">. </w:t>
      </w:r>
    </w:p>
    <w:p w14:paraId="12AE48E0"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Conservative management of IMT includes NSAIDs, corticosteroids and chemotherapeutic agents (like vinorelbine, methotrexate, azathioprine, cyclosporine, cyclophosphamide)</w:t>
      </w:r>
      <w:r w:rsidR="00310595" w:rsidRPr="00310595">
        <w:rPr>
          <w:rFonts w:ascii="Book Antiqua" w:eastAsia="Book Antiqua" w:hAnsi="Book Antiqua" w:cs="Book Antiqua"/>
          <w:color w:val="000000"/>
          <w:szCs w:val="30"/>
          <w:vertAlign w:val="superscript"/>
        </w:rPr>
        <w:t>[5,</w:t>
      </w:r>
      <w:r w:rsidRPr="00310595">
        <w:rPr>
          <w:rFonts w:ascii="Book Antiqua" w:eastAsia="Book Antiqua" w:hAnsi="Book Antiqua" w:cs="Book Antiqua"/>
          <w:color w:val="000000"/>
          <w:szCs w:val="30"/>
          <w:vertAlign w:val="superscript"/>
        </w:rPr>
        <w:t>33-35]</w:t>
      </w:r>
      <w:r w:rsidRPr="00310595">
        <w:rPr>
          <w:rFonts w:ascii="Book Antiqua" w:eastAsia="Book Antiqua" w:hAnsi="Book Antiqua" w:cs="Book Antiqua"/>
          <w:color w:val="000000"/>
        </w:rPr>
        <w:t>. It should also be emphasized that this conservative treatment could not be started in many cases due to the lack of definitive diagnosis of the mass preoperatively. Therefore, we performed diagnostic laparoscopy for a definite diagnosis.</w:t>
      </w:r>
    </w:p>
    <w:p w14:paraId="432E655C"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However, in our case, treatment with NSAIDs was not effective, and steroids were discontinued due to increased inflammatory markers. Therefore, an alternative treatment plan was applied. C</w:t>
      </w:r>
      <w:r w:rsidRPr="00310595">
        <w:rPr>
          <w:rFonts w:ascii="Book Antiqua" w:eastAsia="Book Antiqua" w:hAnsi="Book Antiqua" w:cs="Book Antiqua"/>
          <w:color w:val="000000"/>
          <w:shd w:val="clear" w:color="auto" w:fill="FFFFFF"/>
        </w:rPr>
        <w:t>ytotoxic chemotherapy with methotrexate and/or vinorelbine/vinblastine (MTX-V) has been shown to be very effective, and long-term disease control could be achieved</w:t>
      </w:r>
      <w:r w:rsidRPr="00310595">
        <w:rPr>
          <w:rFonts w:ascii="Book Antiqua" w:eastAsia="Book Antiqua" w:hAnsi="Book Antiqua" w:cs="Book Antiqua"/>
          <w:color w:val="000000"/>
          <w:szCs w:val="30"/>
          <w:shd w:val="clear" w:color="auto" w:fill="FFFFFF"/>
          <w:vertAlign w:val="superscript"/>
        </w:rPr>
        <w:t>[34]</w:t>
      </w:r>
      <w:r w:rsidRPr="00310595">
        <w:rPr>
          <w:rFonts w:ascii="Book Antiqua" w:eastAsia="Book Antiqua" w:hAnsi="Book Antiqua" w:cs="Book Antiqua"/>
          <w:color w:val="000000"/>
          <w:shd w:val="clear" w:color="auto" w:fill="FFFFFF"/>
        </w:rPr>
        <w:t>.</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Casanova</w:t>
      </w:r>
      <w:r w:rsidRPr="00310595">
        <w:rPr>
          <w:rFonts w:ascii="Book Antiqua" w:eastAsia="Book Antiqua" w:hAnsi="Book Antiqua" w:cs="Book Antiqua"/>
          <w:i/>
          <w:iCs/>
          <w:color w:val="000000"/>
          <w:shd w:val="clear" w:color="auto" w:fill="FFFFFF"/>
        </w:rPr>
        <w:t xml:space="preserve"> et al</w:t>
      </w:r>
      <w:r w:rsidRPr="00310595">
        <w:rPr>
          <w:rFonts w:ascii="Book Antiqua" w:eastAsia="Book Antiqua" w:hAnsi="Book Antiqua" w:cs="Book Antiqua"/>
          <w:color w:val="000000"/>
          <w:szCs w:val="30"/>
          <w:shd w:val="clear" w:color="auto" w:fill="FFFFFF"/>
          <w:vertAlign w:val="superscript"/>
        </w:rPr>
        <w:t>[5]</w:t>
      </w:r>
      <w:r w:rsidRPr="00310595">
        <w:rPr>
          <w:rFonts w:ascii="Book Antiqua" w:eastAsia="Book Antiqua" w:hAnsi="Book Antiqua" w:cs="Book Antiqua"/>
          <w:i/>
          <w:iCs/>
          <w:color w:val="000000"/>
          <w:shd w:val="clear" w:color="auto" w:fill="FFFFFF"/>
        </w:rPr>
        <w:t xml:space="preserve"> </w:t>
      </w:r>
      <w:r w:rsidRPr="00310595">
        <w:rPr>
          <w:rFonts w:ascii="Book Antiqua" w:eastAsia="Book Antiqua" w:hAnsi="Book Antiqua" w:cs="Book Antiqua"/>
          <w:color w:val="000000"/>
          <w:shd w:val="clear" w:color="auto" w:fill="FFFFFF"/>
        </w:rPr>
        <w:t>reported the clinical findings and treatment results in the cohort of patients with IMT managed according to the European pediatric Soft Tissue Sarcoma Study Group protocol from 2005 to 2016.</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However, data is inconclusive on long-term remission, as studies have also shown recurrence of IMT combining surgery and chemotherapy</w:t>
      </w:r>
      <w:r w:rsidRPr="00310595">
        <w:rPr>
          <w:rFonts w:ascii="Book Antiqua" w:eastAsia="Book Antiqua" w:hAnsi="Book Antiqua" w:cs="Book Antiqua"/>
          <w:color w:val="000000"/>
          <w:szCs w:val="30"/>
          <w:shd w:val="clear" w:color="auto" w:fill="FFFFFF"/>
          <w:vertAlign w:val="superscript"/>
        </w:rPr>
        <w:t>[35]</w:t>
      </w:r>
      <w:r w:rsidRPr="00310595">
        <w:rPr>
          <w:rFonts w:ascii="Book Antiqua" w:eastAsia="Book Antiqua" w:hAnsi="Book Antiqua" w:cs="Book Antiqua"/>
          <w:color w:val="000000"/>
          <w:shd w:val="clear" w:color="auto" w:fill="FFFFFF"/>
        </w:rPr>
        <w:t xml:space="preserve">. Possible treatment options for IMT are summarised in Table 3. </w:t>
      </w:r>
    </w:p>
    <w:p w14:paraId="65F345CC" w14:textId="358645D8" w:rsidR="00A77B3E" w:rsidRPr="00B1280B" w:rsidRDefault="000A428C">
      <w:pPr>
        <w:spacing w:line="360" w:lineRule="auto"/>
        <w:ind w:firstLine="720"/>
        <w:jc w:val="both"/>
        <w:rPr>
          <w:lang w:eastAsia="zh-CN"/>
        </w:rPr>
      </w:pPr>
      <w:r w:rsidRPr="00310595">
        <w:rPr>
          <w:rFonts w:ascii="Book Antiqua" w:eastAsia="Book Antiqua" w:hAnsi="Book Antiqua" w:cs="Book Antiqua"/>
          <w:color w:val="000000"/>
        </w:rPr>
        <w:t>Despite reported successful treatment, complete reduction and tumor regression using a conservative approach (corticosteroids, NSAIDs, antibiotics, chemotherapy), tumors identified as IMTs by histopathology are locally progressive and often need surgical resection, especially if medical therapy is not effective</w:t>
      </w:r>
      <w:r w:rsidRPr="00310595">
        <w:rPr>
          <w:rFonts w:ascii="Book Antiqua" w:eastAsia="Book Antiqua" w:hAnsi="Book Antiqua" w:cs="Book Antiqua"/>
          <w:color w:val="000000"/>
          <w:szCs w:val="30"/>
          <w:vertAlign w:val="superscript"/>
        </w:rPr>
        <w:t>[36,37]</w:t>
      </w:r>
      <w:r w:rsidRPr="00310595">
        <w:rPr>
          <w:rFonts w:ascii="Book Antiqua" w:eastAsia="Book Antiqua" w:hAnsi="Book Antiqua" w:cs="Book Antiqua"/>
          <w:color w:val="000000"/>
        </w:rPr>
        <w:t>. Although there are no approved recommendations for operative hepatobiliary IMTs treatment, the literature suggests that patients with resectable IMTs should be managed with radical surgical resection when it is anatomically and physiologically feasible</w:t>
      </w:r>
      <w:r w:rsidRPr="00310595">
        <w:rPr>
          <w:rFonts w:ascii="Book Antiqua" w:eastAsia="Book Antiqua" w:hAnsi="Book Antiqua" w:cs="Book Antiqua"/>
          <w:color w:val="000000"/>
          <w:szCs w:val="30"/>
          <w:vertAlign w:val="superscript"/>
        </w:rPr>
        <w:t>[5,35-37]</w:t>
      </w:r>
      <w:r w:rsidRPr="00310595">
        <w:rPr>
          <w:rFonts w:ascii="Book Antiqua" w:eastAsia="Book Antiqua" w:hAnsi="Book Antiqua" w:cs="Book Antiqua"/>
          <w:color w:val="000000"/>
        </w:rPr>
        <w:t>. The selection of liver resection candidates must be based on the patient</w:t>
      </w:r>
      <w:r w:rsidR="00B1280B">
        <w:rPr>
          <w:rFonts w:ascii="Book Antiqua" w:hAnsi="Book Antiqua" w:cs="Book Antiqua"/>
          <w:color w:val="000000"/>
          <w:lang w:eastAsia="zh-CN"/>
        </w:rPr>
        <w:t>’</w:t>
      </w:r>
      <w:r w:rsidRPr="00310595">
        <w:rPr>
          <w:rFonts w:ascii="Book Antiqua" w:eastAsia="Book Antiqua" w:hAnsi="Book Antiqua" w:cs="Book Antiqua"/>
          <w:color w:val="000000"/>
        </w:rPr>
        <w:t>s condition, tumor location, size and extension, the functional reserve capacity, and a sufficient liver remnant assessed by clinical and biochemical measures and by hepatic volume in cases of major hepatectomy</w:t>
      </w:r>
      <w:r w:rsidRPr="00310595">
        <w:rPr>
          <w:rFonts w:ascii="Book Antiqua" w:eastAsia="Book Antiqua" w:hAnsi="Book Antiqua" w:cs="Book Antiqua"/>
          <w:color w:val="000000"/>
          <w:szCs w:val="30"/>
          <w:vertAlign w:val="superscript"/>
        </w:rPr>
        <w:t>[38,39]</w:t>
      </w:r>
      <w:r w:rsidRPr="00310595">
        <w:rPr>
          <w:rFonts w:ascii="Book Antiqua" w:eastAsia="Book Antiqua" w:hAnsi="Book Antiqua" w:cs="Book Antiqua"/>
          <w:color w:val="000000"/>
        </w:rPr>
        <w:t>. Complete resection of hilar tumors requires a partial hepatectomy or extended hemi-hepatectomy</w:t>
      </w:r>
      <w:r w:rsidRPr="00310595">
        <w:rPr>
          <w:rFonts w:ascii="Book Antiqua" w:eastAsia="Book Antiqua" w:hAnsi="Book Antiqua" w:cs="Book Antiqua"/>
          <w:color w:val="000000"/>
          <w:szCs w:val="30"/>
          <w:vertAlign w:val="superscript"/>
        </w:rPr>
        <w:t>[39,40]</w:t>
      </w:r>
      <w:r w:rsidRPr="00310595">
        <w:rPr>
          <w:rFonts w:ascii="Book Antiqua" w:eastAsia="Book Antiqua" w:hAnsi="Book Antiqua" w:cs="Book Antiqua"/>
          <w:color w:val="000000"/>
        </w:rPr>
        <w:t>. There have also been some reports of a successful liver transplant, pancreaticoduodenectomy and combined liver transplant with pancreaticoduodenectomy in patients with hilar IMTs (Table 3)</w:t>
      </w:r>
      <w:r w:rsidRPr="00310595">
        <w:rPr>
          <w:rFonts w:ascii="Book Antiqua" w:eastAsia="Book Antiqua" w:hAnsi="Book Antiqua" w:cs="Book Antiqua"/>
          <w:color w:val="000000"/>
          <w:szCs w:val="30"/>
          <w:vertAlign w:val="superscript"/>
        </w:rPr>
        <w:t>[1,37]</w:t>
      </w:r>
      <w:r w:rsidRPr="00310595">
        <w:rPr>
          <w:rFonts w:ascii="Book Antiqua" w:eastAsia="Book Antiqua" w:hAnsi="Book Antiqua" w:cs="Book Antiqua"/>
          <w:color w:val="000000"/>
        </w:rPr>
        <w:t>.</w:t>
      </w:r>
    </w:p>
    <w:p w14:paraId="40C998F9" w14:textId="38AF3B64" w:rsidR="00A77B3E" w:rsidRPr="00B1280B" w:rsidRDefault="000A428C">
      <w:pPr>
        <w:spacing w:line="360" w:lineRule="auto"/>
        <w:ind w:firstLine="720"/>
        <w:jc w:val="both"/>
        <w:rPr>
          <w:lang w:eastAsia="zh-CN"/>
        </w:rPr>
      </w:pPr>
      <w:r w:rsidRPr="00310595">
        <w:rPr>
          <w:rFonts w:ascii="Book Antiqua" w:eastAsia="Book Antiqua" w:hAnsi="Book Antiqua" w:cs="Book Antiqua"/>
          <w:color w:val="000000"/>
        </w:rPr>
        <w:t>Cases with hilar tumors are always challenging (particularly those in perihilar cholangiocarcinoma) as anatomically these tumors in the hepatic hilum are in intimate relation with the portal vein and hepatic artery. Only about 1 in 5 patients with perihilar cholangiocarcinoma is eligible for surgery at the time of presentation</w:t>
      </w:r>
      <w:r w:rsidRPr="00310595">
        <w:rPr>
          <w:rFonts w:ascii="Book Antiqua" w:eastAsia="Book Antiqua" w:hAnsi="Book Antiqua" w:cs="Book Antiqua"/>
          <w:color w:val="000000"/>
          <w:szCs w:val="30"/>
          <w:vertAlign w:val="superscript"/>
        </w:rPr>
        <w:t>[41]</w:t>
      </w:r>
      <w:r w:rsidRPr="00310595">
        <w:rPr>
          <w:rFonts w:ascii="Book Antiqua" w:eastAsia="Book Antiqua" w:hAnsi="Book Antiqua" w:cs="Book Antiqua"/>
          <w:color w:val="000000"/>
        </w:rPr>
        <w:t>. The biliary extent of the tumor towards the segmental bile ducts is often more extensive than seemed on preoperative imaging</w:t>
      </w:r>
      <w:r w:rsidRPr="00310595">
        <w:rPr>
          <w:rFonts w:ascii="Book Antiqua" w:eastAsia="Book Antiqua" w:hAnsi="Book Antiqua" w:cs="Book Antiqua"/>
          <w:color w:val="000000"/>
          <w:szCs w:val="30"/>
          <w:vertAlign w:val="superscript"/>
        </w:rPr>
        <w:t>[40]</w:t>
      </w:r>
      <w:r w:rsidRPr="00310595">
        <w:rPr>
          <w:rFonts w:ascii="Book Antiqua" w:eastAsia="Book Antiqua" w:hAnsi="Book Antiqua" w:cs="Book Antiqua"/>
          <w:color w:val="000000"/>
        </w:rPr>
        <w:t>.</w:t>
      </w:r>
    </w:p>
    <w:p w14:paraId="10FE5796" w14:textId="7E0FA0A5" w:rsidR="00A77B3E" w:rsidRPr="00310595" w:rsidRDefault="000A428C">
      <w:pPr>
        <w:spacing w:line="360" w:lineRule="auto"/>
        <w:ind w:firstLine="720"/>
        <w:jc w:val="both"/>
      </w:pPr>
      <w:r w:rsidRPr="00310595">
        <w:rPr>
          <w:rFonts w:ascii="Book Antiqua" w:eastAsia="Book Antiqua" w:hAnsi="Book Antiqua" w:cs="Book Antiqua"/>
          <w:color w:val="000000"/>
        </w:rPr>
        <w:t>The outcome of liver surgery during the past few decades improved. However, postoperative liver failure remains the leading cause of postoperative mortality. The assessment of hepatic functional reserve remains one of the most important issues in liver surgery</w:t>
      </w:r>
      <w:r w:rsidRPr="00310595">
        <w:rPr>
          <w:rFonts w:ascii="Book Antiqua" w:eastAsia="Book Antiqua" w:hAnsi="Book Antiqua" w:cs="Book Antiqua"/>
          <w:color w:val="000000"/>
          <w:szCs w:val="30"/>
          <w:vertAlign w:val="superscript"/>
        </w:rPr>
        <w:t>[42]</w:t>
      </w:r>
      <w:r w:rsidRPr="00310595">
        <w:rPr>
          <w:rFonts w:ascii="Book Antiqua" w:eastAsia="Book Antiqua" w:hAnsi="Book Antiqua" w:cs="Book Antiqua"/>
          <w:color w:val="000000"/>
        </w:rPr>
        <w:t xml:space="preserve">. The limit for </w:t>
      </w:r>
      <w:r w:rsidR="00B1280B">
        <w:rPr>
          <w:rFonts w:ascii="Book Antiqua" w:hAnsi="Book Antiqua" w:cs="Book Antiqua"/>
          <w:color w:val="000000"/>
          <w:lang w:eastAsia="zh-CN"/>
        </w:rPr>
        <w:t>“</w:t>
      </w:r>
      <w:r w:rsidRPr="00310595">
        <w:rPr>
          <w:rFonts w:ascii="Book Antiqua" w:eastAsia="Book Antiqua" w:hAnsi="Book Antiqua" w:cs="Book Antiqua"/>
          <w:color w:val="000000"/>
        </w:rPr>
        <w:t>safe</w:t>
      </w:r>
      <w:r w:rsidR="00B1280B">
        <w:rPr>
          <w:rFonts w:ascii="Book Antiqua" w:hAnsi="Book Antiqua" w:cs="Book Antiqua"/>
          <w:color w:val="000000"/>
          <w:lang w:eastAsia="zh-CN"/>
        </w:rPr>
        <w:t>”</w:t>
      </w:r>
      <w:r w:rsidRPr="00310595">
        <w:rPr>
          <w:rFonts w:ascii="Book Antiqua" w:eastAsia="Book Antiqua" w:hAnsi="Book Antiqua" w:cs="Book Antiqua"/>
          <w:color w:val="000000"/>
        </w:rPr>
        <w:t xml:space="preserve"> liver resection is leaving a future liver remnant of at least 25% of the preoperative liver volume in patients with normal liver parenchyma or at least 30% to 40% in livers that are compromised by steatosis, chronic cholestasis, cirrhosis or chemotherapy</w:t>
      </w:r>
      <w:r w:rsidRPr="00310595">
        <w:rPr>
          <w:rFonts w:ascii="Book Antiqua" w:eastAsia="Book Antiqua" w:hAnsi="Book Antiqua" w:cs="Book Antiqua"/>
          <w:color w:val="000000"/>
          <w:szCs w:val="30"/>
          <w:vertAlign w:val="superscript"/>
        </w:rPr>
        <w:t>[40,43,44]</w:t>
      </w:r>
      <w:r w:rsidRPr="00310595">
        <w:rPr>
          <w:rFonts w:ascii="Book Antiqua" w:eastAsia="Book Antiqua" w:hAnsi="Book Antiqua" w:cs="Book Antiqua"/>
          <w:color w:val="000000"/>
        </w:rPr>
        <w:t>. The potential risks and benefits of the surgery must be considered, especially when there are no established recommendations in the surgical treatment of biliary IMT.</w:t>
      </w:r>
    </w:p>
    <w:p w14:paraId="0872C1C7"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 xml:space="preserve">Contraindications for liver resection are similar to those of cholangiocarcinoma and include: (1) </w:t>
      </w:r>
      <w:r w:rsidRPr="00310595">
        <w:rPr>
          <w:rFonts w:ascii="Book Antiqua" w:eastAsia="Book Antiqua" w:hAnsi="Book Antiqua" w:cs="Book Antiqua"/>
          <w:caps/>
          <w:color w:val="000000"/>
        </w:rPr>
        <w:t>p</w:t>
      </w:r>
      <w:r w:rsidRPr="00310595">
        <w:rPr>
          <w:rFonts w:ascii="Book Antiqua" w:eastAsia="Book Antiqua" w:hAnsi="Book Antiqua" w:cs="Book Antiqua"/>
          <w:color w:val="000000"/>
        </w:rPr>
        <w:t xml:space="preserve">atient factors (medically unfit for operation, cirrhosis/portal hypertension, malnutrition); (2) </w:t>
      </w:r>
      <w:r w:rsidRPr="00310595">
        <w:rPr>
          <w:rFonts w:ascii="Book Antiqua" w:eastAsia="Book Antiqua" w:hAnsi="Book Antiqua" w:cs="Book Antiqua"/>
          <w:caps/>
          <w:color w:val="000000"/>
        </w:rPr>
        <w:t>l</w:t>
      </w:r>
      <w:r w:rsidRPr="00310595">
        <w:rPr>
          <w:rFonts w:ascii="Book Antiqua" w:eastAsia="Book Antiqua" w:hAnsi="Book Antiqua" w:cs="Book Antiqua"/>
          <w:color w:val="000000"/>
        </w:rPr>
        <w:t xml:space="preserve">ocal factors (bilateral involvement of secondary biliary radicles, encasement or occlusion of the main portal vein, atrophy of one lobe with encasement of contralateral portal vein branch, atrophy of one lobe with contralateral involvement of secondary biliary radicles); and (3) </w:t>
      </w:r>
      <w:r w:rsidRPr="00310595">
        <w:rPr>
          <w:rFonts w:ascii="Book Antiqua" w:eastAsia="Book Antiqua" w:hAnsi="Book Antiqua" w:cs="Book Antiqua"/>
          <w:caps/>
          <w:color w:val="000000"/>
        </w:rPr>
        <w:t>d</w:t>
      </w:r>
      <w:r w:rsidRPr="00310595">
        <w:rPr>
          <w:rFonts w:ascii="Book Antiqua" w:eastAsia="Book Antiqua" w:hAnsi="Book Antiqua" w:cs="Book Antiqua"/>
          <w:color w:val="000000"/>
        </w:rPr>
        <w:t>istant metastases</w:t>
      </w:r>
      <w:r w:rsidRPr="00310595">
        <w:rPr>
          <w:rFonts w:ascii="Book Antiqua" w:eastAsia="Book Antiqua" w:hAnsi="Book Antiqua" w:cs="Book Antiqua"/>
          <w:color w:val="000000"/>
          <w:szCs w:val="30"/>
          <w:vertAlign w:val="superscript"/>
        </w:rPr>
        <w:t>[40,42]</w:t>
      </w:r>
      <w:r w:rsidRPr="00310595">
        <w:rPr>
          <w:rFonts w:ascii="Book Antiqua" w:eastAsia="Book Antiqua" w:hAnsi="Book Antiqua" w:cs="Book Antiqua"/>
          <w:color w:val="000000"/>
        </w:rPr>
        <w:t xml:space="preserve">. </w:t>
      </w:r>
    </w:p>
    <w:p w14:paraId="3580B02F"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Usually, IMTs are considered as benign neoplasms. According to the WHO classification, IMT is an intermediate-grade tumor with the potential for recurrence and rare metastasis</w:t>
      </w:r>
      <w:r w:rsidRPr="00310595">
        <w:rPr>
          <w:rFonts w:ascii="Book Antiqua" w:eastAsia="Book Antiqua" w:hAnsi="Book Antiqua" w:cs="Book Antiqua"/>
          <w:color w:val="000000"/>
          <w:szCs w:val="30"/>
          <w:vertAlign w:val="superscript"/>
        </w:rPr>
        <w:t>[3]</w:t>
      </w:r>
      <w:r w:rsidRPr="00310595">
        <w:rPr>
          <w:rFonts w:ascii="Book Antiqua" w:eastAsia="Book Antiqua" w:hAnsi="Book Antiqua" w:cs="Book Antiqua"/>
          <w:color w:val="000000"/>
        </w:rPr>
        <w:t>. In rare cases, IMT takes a malignant course and is hard to treat. There are no definite histopathologic, molecular, or cytogenetic features to predict malignant transformation, recurrence or metastasis</w:t>
      </w:r>
      <w:r w:rsidRPr="00310595">
        <w:rPr>
          <w:rFonts w:ascii="Book Antiqua" w:eastAsia="Book Antiqua" w:hAnsi="Book Antiqua" w:cs="Book Antiqua"/>
          <w:color w:val="000000"/>
          <w:szCs w:val="30"/>
          <w:vertAlign w:val="superscript"/>
        </w:rPr>
        <w:t>[5]</w:t>
      </w:r>
      <w:r w:rsidRPr="00310595">
        <w:rPr>
          <w:rFonts w:ascii="Book Antiqua" w:eastAsia="Book Antiqua" w:hAnsi="Book Antiqua" w:cs="Book Antiqua"/>
          <w:color w:val="000000"/>
        </w:rPr>
        <w:t xml:space="preserve">. </w:t>
      </w:r>
      <w:r w:rsidRPr="00310595">
        <w:rPr>
          <w:rFonts w:ascii="Book Antiqua" w:eastAsia="Book Antiqua" w:hAnsi="Book Antiqua" w:cs="Book Antiqua"/>
          <w:color w:val="000000"/>
          <w:shd w:val="clear" w:color="auto" w:fill="FFFFFF"/>
        </w:rPr>
        <w:t>Some IMTs are classified as neoplastic lesions, or reactive lesions, that have undergone a malignant transformation because a subset of IMT grows aggressively and shows a malignant behavior, sometimes with the formation of metastases. Whether a pseudotumor is a neoplastic or reactive process remains a debatable question. Some features, such as progressive growth, local recurrence, the development of multifocal masses, the destruction of liver substance and bile ducts, and the vascular (portal-venous) invasion, deny the purely reactive/inflammatory nature of these lesions. However, there are no signs of a neoplastic process in the histologic pattern</w:t>
      </w:r>
      <w:r w:rsidRPr="00310595">
        <w:rPr>
          <w:rFonts w:ascii="Book Antiqua" w:eastAsia="Book Antiqua" w:hAnsi="Book Antiqua" w:cs="Book Antiqua"/>
          <w:color w:val="000000"/>
          <w:szCs w:val="30"/>
          <w:shd w:val="clear" w:color="auto" w:fill="FFFFFF"/>
          <w:vertAlign w:val="superscript"/>
        </w:rPr>
        <w:t>[</w:t>
      </w:r>
      <w:r w:rsidR="00310595" w:rsidRPr="00310595">
        <w:rPr>
          <w:rFonts w:ascii="Book Antiqua" w:hAnsi="Book Antiqua" w:cs="Book Antiqua" w:hint="eastAsia"/>
          <w:color w:val="000000"/>
          <w:szCs w:val="30"/>
          <w:shd w:val="clear" w:color="auto" w:fill="FFFFFF"/>
          <w:vertAlign w:val="superscript"/>
          <w:lang w:eastAsia="zh-CN"/>
        </w:rPr>
        <w:t>9,</w:t>
      </w:r>
      <w:r w:rsidRPr="00310595">
        <w:rPr>
          <w:rFonts w:ascii="Book Antiqua" w:eastAsia="Book Antiqua" w:hAnsi="Book Antiqua" w:cs="Book Antiqua"/>
          <w:color w:val="000000"/>
          <w:szCs w:val="30"/>
          <w:shd w:val="clear" w:color="auto" w:fill="FFFFFF"/>
          <w:vertAlign w:val="superscript"/>
        </w:rPr>
        <w:t>27,</w:t>
      </w:r>
      <w:r w:rsidRPr="00310595">
        <w:rPr>
          <w:rFonts w:ascii="Book Antiqua" w:eastAsia="Book Antiqua" w:hAnsi="Book Antiqua" w:cs="Book Antiqua"/>
          <w:color w:val="000000"/>
          <w:szCs w:val="30"/>
          <w:vertAlign w:val="superscript"/>
        </w:rPr>
        <w:t>3</w:t>
      </w:r>
      <w:r w:rsidRPr="00310595">
        <w:rPr>
          <w:rFonts w:ascii="Book Antiqua" w:eastAsia="Book Antiqua" w:hAnsi="Book Antiqua" w:cs="Book Antiqua"/>
          <w:color w:val="000000"/>
          <w:szCs w:val="20"/>
          <w:shd w:val="clear" w:color="auto" w:fill="FFFFFF"/>
          <w:vertAlign w:val="superscript"/>
        </w:rPr>
        <w:t>3]</w:t>
      </w:r>
      <w:r w:rsidRPr="00310595">
        <w:rPr>
          <w:rFonts w:ascii="Book Antiqua" w:eastAsia="Book Antiqua" w:hAnsi="Book Antiqua" w:cs="Book Antiqua"/>
          <w:color w:val="000000"/>
          <w:shd w:val="clear" w:color="auto" w:fill="FFFFFF"/>
        </w:rPr>
        <w:t>.</w:t>
      </w:r>
    </w:p>
    <w:p w14:paraId="24F3BA17" w14:textId="77777777" w:rsidR="00A77B3E" w:rsidRPr="00310595" w:rsidRDefault="00A77B3E">
      <w:pPr>
        <w:spacing w:line="360" w:lineRule="auto"/>
        <w:ind w:firstLine="720"/>
        <w:jc w:val="both"/>
      </w:pPr>
    </w:p>
    <w:p w14:paraId="3536D4FB" w14:textId="77777777" w:rsidR="00A77B3E" w:rsidRPr="00310595" w:rsidRDefault="000A428C">
      <w:pPr>
        <w:spacing w:line="360" w:lineRule="auto"/>
        <w:jc w:val="both"/>
      </w:pPr>
      <w:r w:rsidRPr="00310595">
        <w:rPr>
          <w:rFonts w:ascii="Book Antiqua" w:eastAsia="Book Antiqua" w:hAnsi="Book Antiqua" w:cs="Book Antiqua"/>
          <w:b/>
          <w:bCs/>
          <w:i/>
          <w:iCs/>
          <w:color w:val="000000"/>
          <w:shd w:val="clear" w:color="auto" w:fill="FFFFFF"/>
        </w:rPr>
        <w:t>Diagnostic and clinical challenges of the case</w:t>
      </w:r>
    </w:p>
    <w:p w14:paraId="139565BF" w14:textId="5E51971A" w:rsidR="00A77B3E" w:rsidRPr="00310595" w:rsidRDefault="000A428C">
      <w:pPr>
        <w:spacing w:line="360" w:lineRule="auto"/>
        <w:jc w:val="both"/>
      </w:pPr>
      <w:r w:rsidRPr="00310595">
        <w:rPr>
          <w:rFonts w:ascii="Book Antiqua" w:eastAsia="Book Antiqua" w:hAnsi="Book Antiqua" w:cs="Book Antiqua"/>
          <w:color w:val="000000"/>
        </w:rPr>
        <w:t>The patient’s clinical course of the disease and instrumental examinations were compatible with malignant disease, most likely perihilar cholangiocarcinoma. Therefore, multiple biopsies were taken using different approaches (from the site of strictures during ERCP and direct cholangioscopy; ultrasound-guided liver biopsy; diagnostic laparoscopy; biopsy from new mass near the gallbladder) and reviewed by several pathologists. However, none of them confirmed perihilar carcinoma or any other malignancy and were compatible with the diagnosis of IMT, which was negative for ALK-1. What is more, despite ineffective treatment and constant infections, the patient already survived 24 mo, and her general condition is satisfactory, which is not characteristic of cholangiocarcinoma. The median survival time of inoperable patients with Klatskin tumor</w:t>
      </w:r>
      <w:r w:rsidR="00892C35">
        <w:rPr>
          <w:rFonts w:ascii="Book Antiqua" w:hAnsi="Book Antiqua" w:cs="Book Antiqua" w:hint="eastAsia"/>
          <w:color w:val="000000"/>
          <w:lang w:eastAsia="zh-CN"/>
        </w:rPr>
        <w:t>s</w:t>
      </w:r>
      <w:r w:rsidRPr="00310595">
        <w:rPr>
          <w:rFonts w:ascii="Book Antiqua" w:eastAsia="Book Antiqua" w:hAnsi="Book Antiqua" w:cs="Book Antiqua"/>
          <w:color w:val="000000"/>
        </w:rPr>
        <w:t xml:space="preserve"> is 6 to 12 mo</w:t>
      </w:r>
      <w:r w:rsidRPr="00310595">
        <w:rPr>
          <w:rFonts w:ascii="Book Antiqua" w:eastAsia="Book Antiqua" w:hAnsi="Book Antiqua" w:cs="Book Antiqua"/>
          <w:color w:val="000000"/>
          <w:szCs w:val="30"/>
          <w:vertAlign w:val="superscript"/>
        </w:rPr>
        <w:t>[45]</w:t>
      </w:r>
      <w:r w:rsidRPr="00310595">
        <w:rPr>
          <w:rFonts w:ascii="Book Antiqua" w:eastAsia="Book Antiqua" w:hAnsi="Book Antiqua" w:cs="Book Antiqua"/>
          <w:color w:val="000000"/>
        </w:rPr>
        <w:t>.</w:t>
      </w:r>
    </w:p>
    <w:p w14:paraId="656D0B94" w14:textId="240164FB" w:rsidR="00A77B3E" w:rsidRPr="00310595" w:rsidRDefault="000A428C">
      <w:pPr>
        <w:spacing w:line="360" w:lineRule="auto"/>
        <w:ind w:firstLine="720"/>
        <w:jc w:val="both"/>
      </w:pPr>
      <w:r w:rsidRPr="00310595">
        <w:rPr>
          <w:rFonts w:ascii="Book Antiqua" w:eastAsia="Book Antiqua" w:hAnsi="Book Antiqua" w:cs="Book Antiqua"/>
          <w:color w:val="000000"/>
        </w:rPr>
        <w:t>This case’s management included repeated biliary tract stenting, glucocorticoids, NSAIDs, and, lastly, chemotherapy. Radical surgical treatment was impossible as the mass was locally advanced - extending into both hepatic and some segmental ducts. Liver transplantation was also not an option due to the patient</w:t>
      </w:r>
      <w:r w:rsidR="00B1280B">
        <w:rPr>
          <w:rFonts w:ascii="Book Antiqua" w:hAnsi="Book Antiqua" w:cs="Book Antiqua"/>
          <w:color w:val="000000"/>
          <w:lang w:eastAsia="zh-CN"/>
        </w:rPr>
        <w:t>’</w:t>
      </w:r>
      <w:r w:rsidRPr="00310595">
        <w:rPr>
          <w:rFonts w:ascii="Book Antiqua" w:eastAsia="Book Antiqua" w:hAnsi="Book Antiqua" w:cs="Book Antiqua"/>
          <w:color w:val="000000"/>
        </w:rPr>
        <w:t xml:space="preserve">s age and recurrent infections. The infectious complications almost after each ERCP and re-stenting procedure limited the ability to prescribe and continue steroids. Based on the literature, chemotherapy is one of the possible treatment methods for IMT as it is defined as intermediate-grade sarcoma. Therefore, after rigorous discussion with oncochemotherapists, we decided to start </w:t>
      </w:r>
      <w:r w:rsidRPr="00310595">
        <w:rPr>
          <w:rFonts w:ascii="Book Antiqua" w:eastAsia="Book Antiqua" w:hAnsi="Book Antiqua" w:cs="Book Antiqua"/>
          <w:color w:val="000000"/>
          <w:shd w:val="clear" w:color="auto" w:fill="FFFFFF"/>
        </w:rPr>
        <w:t xml:space="preserve">cytotoxic </w:t>
      </w:r>
      <w:r w:rsidRPr="00310595">
        <w:rPr>
          <w:rFonts w:ascii="Book Antiqua" w:eastAsia="Book Antiqua" w:hAnsi="Book Antiqua" w:cs="Book Antiqua"/>
          <w:color w:val="000000"/>
        </w:rPr>
        <w:t>chemotherapy, as other treatment methods showed no effect. Although the patient</w:t>
      </w:r>
      <w:r w:rsidR="00B1280B">
        <w:rPr>
          <w:rFonts w:ascii="Book Antiqua" w:hAnsi="Book Antiqua" w:cs="Book Antiqua"/>
          <w:color w:val="000000"/>
          <w:lang w:eastAsia="zh-CN"/>
        </w:rPr>
        <w:t>’</w:t>
      </w:r>
      <w:r w:rsidRPr="00310595">
        <w:rPr>
          <w:rFonts w:ascii="Book Antiqua" w:eastAsia="Book Antiqua" w:hAnsi="Book Antiqua" w:cs="Book Antiqua"/>
          <w:color w:val="000000"/>
        </w:rPr>
        <w:t>s overall condition improved after the MTX-V scheme, it is probably misleading as the stricture length remained almost the same, and the MRCP images were performed during the time with and without cholangitis. Later on, it became impossible to continue chemotherapy due to constant infections. The patient developed COVID-19 disease, after which cholangitis became more severe: the patient developed cholecystitis, and some more solid masses were observed in the CT, indicating disease progression.</w:t>
      </w:r>
    </w:p>
    <w:p w14:paraId="236219A3" w14:textId="77777777" w:rsidR="00A77B3E" w:rsidRPr="00310595" w:rsidRDefault="000A428C">
      <w:pPr>
        <w:spacing w:line="360" w:lineRule="auto"/>
        <w:ind w:firstLine="720"/>
        <w:jc w:val="both"/>
      </w:pPr>
      <w:r w:rsidRPr="00310595">
        <w:rPr>
          <w:rFonts w:ascii="Book Antiqua" w:eastAsia="Book Antiqua" w:hAnsi="Book Antiqua" w:cs="Book Antiqua"/>
          <w:color w:val="000000"/>
        </w:rPr>
        <w:t>The reported outcomes of IMTs is ranging from completely benign to malignant and even fatal outcomes. In our case, IMT took a complicated course with constant infections leaving us with no effective treatment options.</w:t>
      </w:r>
    </w:p>
    <w:p w14:paraId="057E5923" w14:textId="77777777" w:rsidR="00A77B3E" w:rsidRPr="00310595" w:rsidRDefault="00A77B3E">
      <w:pPr>
        <w:spacing w:line="360" w:lineRule="auto"/>
        <w:ind w:firstLine="720"/>
        <w:jc w:val="both"/>
      </w:pPr>
    </w:p>
    <w:p w14:paraId="5B2E3BCD"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CONCLUSION</w:t>
      </w:r>
    </w:p>
    <w:p w14:paraId="17B9082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IMTs can occur in various sites of the body. However biliary tract as the tumor’s primary location is reported rarely. Differentiation between benign and malignant strictures is a challenge for radiologists, endoscopists and gastroenterologists, as lesions are often indistinguishable from cholangiocarcinoma. Although IMTs are generally benign, </w:t>
      </w:r>
      <w:r w:rsidRPr="00310595">
        <w:rPr>
          <w:rFonts w:ascii="Book Antiqua" w:eastAsia="Book Antiqua" w:hAnsi="Book Antiqua" w:cs="Book Antiqua"/>
          <w:color w:val="000000"/>
          <w:shd w:val="clear" w:color="auto" w:fill="FFFFFF"/>
        </w:rPr>
        <w:t xml:space="preserve">these lesions can lead to hardly controlled recurrent infections or malignant course. </w:t>
      </w:r>
      <w:r w:rsidRPr="00310595">
        <w:rPr>
          <w:rFonts w:ascii="Book Antiqua" w:eastAsia="Book Antiqua" w:hAnsi="Book Antiqua" w:cs="Book Antiqua"/>
          <w:color w:val="000000"/>
        </w:rPr>
        <w:t>Data about disease characteristics and effective treatment methods is lacking. Therefore, we report a case of an unusual localization, non-operable hard to diagnose and treat IMT of the biliary tract, and we hope this article will contribute to increasing the understanding of this rare condition.</w:t>
      </w:r>
    </w:p>
    <w:p w14:paraId="3079BFF8" w14:textId="77777777" w:rsidR="00A77B3E" w:rsidRPr="00310595" w:rsidRDefault="00A77B3E">
      <w:pPr>
        <w:spacing w:line="360" w:lineRule="auto"/>
        <w:jc w:val="both"/>
      </w:pPr>
    </w:p>
    <w:p w14:paraId="49C648BD" w14:textId="77777777" w:rsidR="00A77B3E" w:rsidRPr="00310595" w:rsidRDefault="000A428C">
      <w:pPr>
        <w:spacing w:line="360" w:lineRule="auto"/>
        <w:jc w:val="both"/>
      </w:pPr>
      <w:r w:rsidRPr="00310595">
        <w:rPr>
          <w:rFonts w:ascii="Book Antiqua" w:eastAsia="Book Antiqua" w:hAnsi="Book Antiqua" w:cs="Book Antiqua"/>
          <w:b/>
          <w:caps/>
          <w:color w:val="000000"/>
          <w:u w:val="single"/>
        </w:rPr>
        <w:t>ACKNOWLEDGEMENTS</w:t>
      </w:r>
    </w:p>
    <w:p w14:paraId="56E1449D" w14:textId="77777777" w:rsidR="00A77B3E" w:rsidRPr="00310595" w:rsidRDefault="000A428C">
      <w:pPr>
        <w:spacing w:line="360" w:lineRule="auto"/>
        <w:jc w:val="both"/>
      </w:pPr>
      <w:r w:rsidRPr="00310595">
        <w:rPr>
          <w:rFonts w:ascii="Book Antiqua" w:eastAsia="Book Antiqua" w:hAnsi="Book Antiqua" w:cs="Book Antiqua"/>
          <w:color w:val="000000"/>
        </w:rPr>
        <w:t>We wish to thank the patient and Vilnius University Hospital Santaros Clinics for giving the consent and providing the data to report this case.</w:t>
      </w:r>
    </w:p>
    <w:p w14:paraId="1B121F97" w14:textId="77777777" w:rsidR="00A77B3E" w:rsidRPr="00310595" w:rsidRDefault="00A77B3E">
      <w:pPr>
        <w:spacing w:line="360" w:lineRule="auto"/>
        <w:jc w:val="both"/>
      </w:pPr>
    </w:p>
    <w:p w14:paraId="2152B48E" w14:textId="77777777" w:rsidR="00A77B3E" w:rsidRPr="00310595" w:rsidRDefault="000A428C">
      <w:pPr>
        <w:spacing w:line="360" w:lineRule="auto"/>
        <w:jc w:val="both"/>
      </w:pPr>
      <w:r w:rsidRPr="00310595">
        <w:rPr>
          <w:rFonts w:ascii="Book Antiqua" w:eastAsia="Book Antiqua" w:hAnsi="Book Antiqua" w:cs="Book Antiqua"/>
          <w:b/>
          <w:color w:val="000000"/>
        </w:rPr>
        <w:t>REFERENCES</w:t>
      </w:r>
    </w:p>
    <w:p w14:paraId="7CE5771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 </w:t>
      </w:r>
      <w:r w:rsidRPr="00310595">
        <w:rPr>
          <w:rFonts w:ascii="Book Antiqua" w:eastAsia="Book Antiqua" w:hAnsi="Book Antiqua" w:cs="Book Antiqua"/>
          <w:b/>
          <w:bCs/>
          <w:color w:val="000000"/>
        </w:rPr>
        <w:t>Verma R</w:t>
      </w:r>
      <w:r w:rsidRPr="00310595">
        <w:rPr>
          <w:rFonts w:ascii="Book Antiqua" w:eastAsia="Book Antiqua" w:hAnsi="Book Antiqua" w:cs="Book Antiqua"/>
          <w:color w:val="000000"/>
        </w:rPr>
        <w:t xml:space="preserve">, Saha A, Saha K. Inflammatory Myofibroblastic Tumor of the Mid Common Bile Duct Masquerading as Cholangiocarcinoma. </w:t>
      </w:r>
      <w:r w:rsidRPr="00310595">
        <w:rPr>
          <w:rFonts w:ascii="Book Antiqua" w:eastAsia="Book Antiqua" w:hAnsi="Book Antiqua" w:cs="Book Antiqua"/>
          <w:i/>
          <w:iCs/>
          <w:color w:val="000000"/>
        </w:rPr>
        <w:t>J Gastrointest Cancer</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50</w:t>
      </w:r>
      <w:r w:rsidRPr="00310595">
        <w:rPr>
          <w:rFonts w:ascii="Book Antiqua" w:eastAsia="Book Antiqua" w:hAnsi="Book Antiqua" w:cs="Book Antiqua"/>
          <w:color w:val="000000"/>
        </w:rPr>
        <w:t>: 613-616 [PMID: 29453762 DOI: 10.1007/s12029-018-0074-7]</w:t>
      </w:r>
    </w:p>
    <w:p w14:paraId="0A1770F9"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 </w:t>
      </w:r>
      <w:r w:rsidRPr="00310595">
        <w:rPr>
          <w:rFonts w:ascii="Book Antiqua" w:eastAsia="Book Antiqua" w:hAnsi="Book Antiqua" w:cs="Book Antiqua"/>
          <w:b/>
          <w:bCs/>
          <w:color w:val="000000"/>
        </w:rPr>
        <w:t>Vasiliadis K</w:t>
      </w:r>
      <w:r w:rsidRPr="00310595">
        <w:rPr>
          <w:rFonts w:ascii="Book Antiqua" w:eastAsia="Book Antiqua" w:hAnsi="Book Antiqua" w:cs="Book Antiqua"/>
          <w:color w:val="000000"/>
        </w:rPr>
        <w:t xml:space="preserve">, Fortounis K, Papavasiliou C, Kokarhidas A, Al Nimer A, Fachiridis D, Pervana S, Makridis C. Mid common bile duct inflammatory pseudotumor mimicking cholangiocarcinoma. A case report and literature review. </w:t>
      </w:r>
      <w:r w:rsidRPr="00310595">
        <w:rPr>
          <w:rFonts w:ascii="Book Antiqua" w:eastAsia="Book Antiqua" w:hAnsi="Book Antiqua" w:cs="Book Antiqua"/>
          <w:i/>
          <w:iCs/>
          <w:color w:val="000000"/>
        </w:rPr>
        <w:t>Int J Surg Case Rep</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5</w:t>
      </w:r>
      <w:r w:rsidRPr="00310595">
        <w:rPr>
          <w:rFonts w:ascii="Book Antiqua" w:eastAsia="Book Antiqua" w:hAnsi="Book Antiqua" w:cs="Book Antiqua"/>
          <w:color w:val="000000"/>
        </w:rPr>
        <w:t>: 12-15 [PMID: 24394855 DOI: 10.1016/j.ijscr.2013.10.017]</w:t>
      </w:r>
    </w:p>
    <w:p w14:paraId="4055C76A" w14:textId="74E4ACD4" w:rsidR="00A77B3E" w:rsidRPr="00310595" w:rsidRDefault="000A428C">
      <w:pPr>
        <w:spacing w:line="360" w:lineRule="auto"/>
        <w:jc w:val="both"/>
        <w:rPr>
          <w:lang w:eastAsia="zh-CN"/>
        </w:rPr>
      </w:pPr>
      <w:r w:rsidRPr="00310595">
        <w:rPr>
          <w:rFonts w:ascii="Book Antiqua" w:eastAsia="Book Antiqua" w:hAnsi="Book Antiqua" w:cs="Book Antiqua"/>
          <w:color w:val="000000"/>
        </w:rPr>
        <w:t xml:space="preserve">3 </w:t>
      </w:r>
      <w:r w:rsidRPr="00310595">
        <w:rPr>
          <w:rFonts w:ascii="Book Antiqua" w:eastAsia="Book Antiqua" w:hAnsi="Book Antiqua" w:cs="Book Antiqua"/>
          <w:b/>
          <w:bCs/>
          <w:color w:val="000000"/>
        </w:rPr>
        <w:t>Coffin CM</w:t>
      </w:r>
      <w:r w:rsidRPr="00093C00">
        <w:rPr>
          <w:rFonts w:ascii="Book Antiqua" w:eastAsia="Book Antiqua" w:hAnsi="Book Antiqua" w:cs="Book Antiqua"/>
          <w:bCs/>
          <w:color w:val="000000"/>
        </w:rPr>
        <w:t>,</w:t>
      </w:r>
      <w:r w:rsidRPr="00093C00">
        <w:rPr>
          <w:rFonts w:ascii="Book Antiqua" w:eastAsia="Book Antiqua" w:hAnsi="Book Antiqua" w:cs="Book Antiqua"/>
          <w:color w:val="000000"/>
        </w:rPr>
        <w:t xml:space="preserve"> </w:t>
      </w:r>
      <w:r w:rsidRPr="00310595">
        <w:rPr>
          <w:rFonts w:ascii="Book Antiqua" w:eastAsia="Book Antiqua" w:hAnsi="Book Antiqua" w:cs="Book Antiqua"/>
          <w:color w:val="000000"/>
        </w:rPr>
        <w:t>Fletcher JA. Inflammatory myofibroblastic tumor. In: Fletcher CDM, Bridge JA, Hogendooorn PCW, Mertens F, editors. WHO classification of tumors of soft tissue and bone. 4th edition. Lyon, France: IARC Press; 2013: 83</w:t>
      </w:r>
      <w:r w:rsidR="00093C00">
        <w:rPr>
          <w:rFonts w:ascii="Book Antiqua" w:hAnsi="Book Antiqua" w:cs="Book Antiqua" w:hint="eastAsia"/>
          <w:color w:val="000000"/>
          <w:lang w:eastAsia="zh-CN"/>
        </w:rPr>
        <w:t>-</w:t>
      </w:r>
      <w:r w:rsidRPr="00310595">
        <w:rPr>
          <w:rFonts w:ascii="Book Antiqua" w:eastAsia="Book Antiqua" w:hAnsi="Book Antiqua" w:cs="Book Antiqua"/>
          <w:color w:val="000000"/>
        </w:rPr>
        <w:t>84</w:t>
      </w:r>
    </w:p>
    <w:p w14:paraId="35D007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 </w:t>
      </w:r>
      <w:r w:rsidRPr="00310595">
        <w:rPr>
          <w:rFonts w:ascii="Book Antiqua" w:eastAsia="Book Antiqua" w:hAnsi="Book Antiqua" w:cs="Book Antiqua"/>
          <w:b/>
          <w:bCs/>
          <w:color w:val="000000"/>
        </w:rPr>
        <w:t>Biniraj KR</w:t>
      </w:r>
      <w:r w:rsidRPr="00310595">
        <w:rPr>
          <w:rFonts w:ascii="Book Antiqua" w:eastAsia="Book Antiqua" w:hAnsi="Book Antiqua" w:cs="Book Antiqua"/>
          <w:color w:val="000000"/>
        </w:rPr>
        <w:t xml:space="preserve">, Janardhanan M. Inflammatory myofibroblastic tumor of maxilla showing sarcomatous change in an edentulous site with a history of tooth extraction following periodontitis: A case report with discussion. </w:t>
      </w:r>
      <w:r w:rsidRPr="00310595">
        <w:rPr>
          <w:rFonts w:ascii="Book Antiqua" w:eastAsia="Book Antiqua" w:hAnsi="Book Antiqua" w:cs="Book Antiqua"/>
          <w:i/>
          <w:iCs/>
          <w:color w:val="000000"/>
        </w:rPr>
        <w:t>J Indian Soc Periodontol</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18</w:t>
      </w:r>
      <w:r w:rsidRPr="00310595">
        <w:rPr>
          <w:rFonts w:ascii="Book Antiqua" w:eastAsia="Book Antiqua" w:hAnsi="Book Antiqua" w:cs="Book Antiqua"/>
          <w:color w:val="000000"/>
        </w:rPr>
        <w:t>: 375-378 [PMID: 25024554 DOI: 10.4103/0972-124X.134582]</w:t>
      </w:r>
    </w:p>
    <w:p w14:paraId="08CAD21A"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 </w:t>
      </w:r>
      <w:r w:rsidRPr="00310595">
        <w:rPr>
          <w:rFonts w:ascii="Book Antiqua" w:eastAsia="Book Antiqua" w:hAnsi="Book Antiqua" w:cs="Book Antiqua"/>
          <w:b/>
          <w:bCs/>
          <w:color w:val="000000"/>
        </w:rPr>
        <w:t>Casanova M</w:t>
      </w:r>
      <w:r w:rsidRPr="00310595">
        <w:rPr>
          <w:rFonts w:ascii="Book Antiqua" w:eastAsia="Book Antiqua" w:hAnsi="Book Antiqua" w:cs="Book Antiqua"/>
          <w:color w:val="000000"/>
        </w:rPr>
        <w:t xml:space="preserve">, Brennan B, Alaggio R, Kelsey A, Orbach D, van Noesel MM, Corradini N, Minard-Colin V, Zanetti I, Bisogno G, Gallego S, Merks JHM, De Salvo GL, Ferrari A. Inflammatory myofibroblastic tumor: The experience of the European pediatric Soft Tissue Sarcoma Study Group (EpSSG). </w:t>
      </w:r>
      <w:r w:rsidRPr="00310595">
        <w:rPr>
          <w:rFonts w:ascii="Book Antiqua" w:eastAsia="Book Antiqua" w:hAnsi="Book Antiqua" w:cs="Book Antiqua"/>
          <w:i/>
          <w:iCs/>
          <w:color w:val="000000"/>
        </w:rPr>
        <w:t>Eur J Cancer</w:t>
      </w:r>
      <w:r w:rsidRPr="00310595">
        <w:rPr>
          <w:rFonts w:ascii="Book Antiqua" w:eastAsia="Book Antiqua" w:hAnsi="Book Antiqua" w:cs="Book Antiqua"/>
          <w:color w:val="000000"/>
        </w:rPr>
        <w:t xml:space="preserve"> 2020; </w:t>
      </w:r>
      <w:r w:rsidRPr="00310595">
        <w:rPr>
          <w:rFonts w:ascii="Book Antiqua" w:eastAsia="Book Antiqua" w:hAnsi="Book Antiqua" w:cs="Book Antiqua"/>
          <w:b/>
          <w:bCs/>
          <w:color w:val="000000"/>
        </w:rPr>
        <w:t>127</w:t>
      </w:r>
      <w:r w:rsidRPr="00310595">
        <w:rPr>
          <w:rFonts w:ascii="Book Antiqua" w:eastAsia="Book Antiqua" w:hAnsi="Book Antiqua" w:cs="Book Antiqua"/>
          <w:color w:val="000000"/>
        </w:rPr>
        <w:t>: 123-129 [PMID: 32007712 DOI: 10.1016/j.ejca.2019.12.021]</w:t>
      </w:r>
    </w:p>
    <w:p w14:paraId="67EAEBF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6 </w:t>
      </w:r>
      <w:r w:rsidRPr="00310595">
        <w:rPr>
          <w:rFonts w:ascii="Book Antiqua" w:eastAsia="Book Antiqua" w:hAnsi="Book Antiqua" w:cs="Book Antiqua"/>
          <w:b/>
          <w:bCs/>
          <w:color w:val="000000"/>
        </w:rPr>
        <w:t>Poh CF</w:t>
      </w:r>
      <w:r w:rsidRPr="00310595">
        <w:rPr>
          <w:rFonts w:ascii="Book Antiqua" w:eastAsia="Book Antiqua" w:hAnsi="Book Antiqua" w:cs="Book Antiqua"/>
          <w:color w:val="000000"/>
        </w:rPr>
        <w:t xml:space="preserve">, Priddy RW, Dahlman DM. Intramandibular inflammatory myofibroblastic tumor--a true neoplasm or reactive lesion? </w:t>
      </w:r>
      <w:r w:rsidRPr="00310595">
        <w:rPr>
          <w:rFonts w:ascii="Book Antiqua" w:eastAsia="Book Antiqua" w:hAnsi="Book Antiqua" w:cs="Book Antiqua"/>
          <w:i/>
          <w:iCs/>
          <w:color w:val="000000"/>
        </w:rPr>
        <w:t>Oral Surg Oral Med Oral Pathol Oral Radiol Endod</w:t>
      </w:r>
      <w:r w:rsidRPr="00310595">
        <w:rPr>
          <w:rFonts w:ascii="Book Antiqua" w:eastAsia="Book Antiqua" w:hAnsi="Book Antiqua" w:cs="Book Antiqua"/>
          <w:color w:val="000000"/>
        </w:rPr>
        <w:t xml:space="preserve"> 2005; </w:t>
      </w:r>
      <w:r w:rsidRPr="00310595">
        <w:rPr>
          <w:rFonts w:ascii="Book Antiqua" w:eastAsia="Book Antiqua" w:hAnsi="Book Antiqua" w:cs="Book Antiqua"/>
          <w:b/>
          <w:bCs/>
          <w:color w:val="000000"/>
        </w:rPr>
        <w:t>100</w:t>
      </w:r>
      <w:r w:rsidRPr="00310595">
        <w:rPr>
          <w:rFonts w:ascii="Book Antiqua" w:eastAsia="Book Antiqua" w:hAnsi="Book Antiqua" w:cs="Book Antiqua"/>
          <w:color w:val="000000"/>
        </w:rPr>
        <w:t>: 460-466 [PMID: 16182167 DOI: 10.1016/j.tripleo.2004.07.005]</w:t>
      </w:r>
    </w:p>
    <w:p w14:paraId="3A6C19C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7 </w:t>
      </w:r>
      <w:r w:rsidR="009C6D3A" w:rsidRPr="00310595">
        <w:rPr>
          <w:rFonts w:ascii="Book Antiqua" w:eastAsia="Book Antiqua" w:hAnsi="Book Antiqua" w:cs="Book Antiqua"/>
          <w:b/>
          <w:bCs/>
          <w:color w:val="000000"/>
        </w:rPr>
        <w:t xml:space="preserve">Pack </w:t>
      </w:r>
      <w:r w:rsidRPr="00310595">
        <w:rPr>
          <w:rFonts w:ascii="Book Antiqua" w:eastAsia="Book Antiqua" w:hAnsi="Book Antiqua" w:cs="Book Antiqua"/>
          <w:b/>
          <w:bCs/>
          <w:color w:val="000000"/>
        </w:rPr>
        <w:t>GT</w:t>
      </w:r>
      <w:r w:rsidRPr="00310595">
        <w:rPr>
          <w:rFonts w:ascii="Book Antiqua" w:eastAsia="Book Antiqua" w:hAnsi="Book Antiqua" w:cs="Book Antiqua"/>
          <w:color w:val="000000"/>
        </w:rPr>
        <w:t xml:space="preserve">, </w:t>
      </w:r>
      <w:r w:rsidR="009C6D3A" w:rsidRPr="00310595">
        <w:rPr>
          <w:rFonts w:ascii="Book Antiqua" w:eastAsia="Book Antiqua" w:hAnsi="Book Antiqua" w:cs="Book Antiqua"/>
          <w:color w:val="000000"/>
        </w:rPr>
        <w:t xml:space="preserve">Baker </w:t>
      </w:r>
      <w:r w:rsidRPr="00310595">
        <w:rPr>
          <w:rFonts w:ascii="Book Antiqua" w:eastAsia="Book Antiqua" w:hAnsi="Book Antiqua" w:cs="Book Antiqua"/>
          <w:color w:val="000000"/>
        </w:rPr>
        <w:t xml:space="preserve">HW. Total right hepatic lobectomy; report of a case. </w:t>
      </w:r>
      <w:r w:rsidRPr="00310595">
        <w:rPr>
          <w:rFonts w:ascii="Book Antiqua" w:eastAsia="Book Antiqua" w:hAnsi="Book Antiqua" w:cs="Book Antiqua"/>
          <w:i/>
          <w:iCs/>
          <w:color w:val="000000"/>
        </w:rPr>
        <w:t>Ann Surg</w:t>
      </w:r>
      <w:r w:rsidRPr="00310595">
        <w:rPr>
          <w:rFonts w:ascii="Book Antiqua" w:eastAsia="Book Antiqua" w:hAnsi="Book Antiqua" w:cs="Book Antiqua"/>
          <w:color w:val="000000"/>
        </w:rPr>
        <w:t xml:space="preserve"> 1953; </w:t>
      </w:r>
      <w:r w:rsidRPr="00310595">
        <w:rPr>
          <w:rFonts w:ascii="Book Antiqua" w:eastAsia="Book Antiqua" w:hAnsi="Book Antiqua" w:cs="Book Antiqua"/>
          <w:b/>
          <w:bCs/>
          <w:color w:val="000000"/>
        </w:rPr>
        <w:t>138</w:t>
      </w:r>
      <w:r w:rsidRPr="00310595">
        <w:rPr>
          <w:rFonts w:ascii="Book Antiqua" w:eastAsia="Book Antiqua" w:hAnsi="Book Antiqua" w:cs="Book Antiqua"/>
          <w:color w:val="000000"/>
        </w:rPr>
        <w:t>: 253-258 [PMID: 13066016 DOI: 10.1097/00000658-195308000-00012]</w:t>
      </w:r>
    </w:p>
    <w:p w14:paraId="602500F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8 </w:t>
      </w:r>
      <w:r w:rsidRPr="00310595">
        <w:rPr>
          <w:rFonts w:ascii="Book Antiqua" w:eastAsia="Book Antiqua" w:hAnsi="Book Antiqua" w:cs="Book Antiqua"/>
          <w:b/>
          <w:bCs/>
          <w:color w:val="000000"/>
        </w:rPr>
        <w:t>Elpek GÖ</w:t>
      </w:r>
      <w:r w:rsidRPr="00310595">
        <w:rPr>
          <w:rFonts w:ascii="Book Antiqua" w:eastAsia="Book Antiqua" w:hAnsi="Book Antiqua" w:cs="Book Antiqua"/>
          <w:color w:val="000000"/>
        </w:rPr>
        <w:t xml:space="preserve">. Inflammatory Myofibroblastic Tumor of the Liver: A Diagnostic Challenge. </w:t>
      </w:r>
      <w:r w:rsidRPr="00310595">
        <w:rPr>
          <w:rFonts w:ascii="Book Antiqua" w:eastAsia="Book Antiqua" w:hAnsi="Book Antiqua" w:cs="Book Antiqua"/>
          <w:i/>
          <w:iCs/>
          <w:color w:val="000000"/>
        </w:rPr>
        <w:t>J Clin Transl Hepatol</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2</w:t>
      </w:r>
      <w:r w:rsidRPr="00310595">
        <w:rPr>
          <w:rFonts w:ascii="Book Antiqua" w:eastAsia="Book Antiqua" w:hAnsi="Book Antiqua" w:cs="Book Antiqua"/>
          <w:color w:val="000000"/>
        </w:rPr>
        <w:t>: 53-57 [PMID: 26356188 DOI: 10.14218/JCTH.2013.00023]</w:t>
      </w:r>
    </w:p>
    <w:p w14:paraId="06A1F2C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9 </w:t>
      </w:r>
      <w:r w:rsidRPr="00310595">
        <w:rPr>
          <w:rFonts w:ascii="Book Antiqua" w:eastAsia="Book Antiqua" w:hAnsi="Book Antiqua" w:cs="Book Antiqua"/>
          <w:b/>
          <w:bCs/>
          <w:color w:val="000000"/>
        </w:rPr>
        <w:t>Narla LD</w:t>
      </w:r>
      <w:r w:rsidRPr="00310595">
        <w:rPr>
          <w:rFonts w:ascii="Book Antiqua" w:eastAsia="Book Antiqua" w:hAnsi="Book Antiqua" w:cs="Book Antiqua"/>
          <w:color w:val="000000"/>
        </w:rPr>
        <w:t xml:space="preserve">, Newman B, Spottswood SS, Narla S, Kolli R. Inflammatory pseudotumor. </w:t>
      </w:r>
      <w:r w:rsidRPr="00310595">
        <w:rPr>
          <w:rFonts w:ascii="Book Antiqua" w:eastAsia="Book Antiqua" w:hAnsi="Book Antiqua" w:cs="Book Antiqua"/>
          <w:i/>
          <w:iCs/>
          <w:color w:val="000000"/>
        </w:rPr>
        <w:t>Radiographics</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23</w:t>
      </w:r>
      <w:r w:rsidRPr="00310595">
        <w:rPr>
          <w:rFonts w:ascii="Book Antiqua" w:eastAsia="Book Antiqua" w:hAnsi="Book Antiqua" w:cs="Book Antiqua"/>
          <w:color w:val="000000"/>
        </w:rPr>
        <w:t>: 719-729 [PMID: 12740472 DOI: 10.1148/rg.233025073]</w:t>
      </w:r>
    </w:p>
    <w:p w14:paraId="0DEA510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10 </w:t>
      </w:r>
      <w:r w:rsidRPr="00310595">
        <w:rPr>
          <w:rFonts w:ascii="Book Antiqua" w:eastAsia="Book Antiqua" w:hAnsi="Book Antiqua" w:cs="Book Antiqua"/>
          <w:b/>
          <w:bCs/>
          <w:color w:val="000000"/>
        </w:rPr>
        <w:t>Lai LM</w:t>
      </w:r>
      <w:r w:rsidRPr="00310595">
        <w:rPr>
          <w:rFonts w:ascii="Book Antiqua" w:eastAsia="Book Antiqua" w:hAnsi="Book Antiqua" w:cs="Book Antiqua"/>
          <w:color w:val="000000"/>
        </w:rPr>
        <w:t xml:space="preserve">, McCarville MB, Kirby P, Kao SC, Moritani T, Clark E, Ishigami K, Bahrami A, Sato Y. Shedding light on inflammatory pseudotumor in children: spotlight on inflammatory myofibroblastic tumor. </w:t>
      </w:r>
      <w:r w:rsidRPr="00310595">
        <w:rPr>
          <w:rFonts w:ascii="Book Antiqua" w:eastAsia="Book Antiqua" w:hAnsi="Book Antiqua" w:cs="Book Antiqua"/>
          <w:i/>
          <w:iCs/>
          <w:color w:val="000000"/>
        </w:rPr>
        <w:t>Pediatr Radiol</w:t>
      </w:r>
      <w:r w:rsidRPr="00310595">
        <w:rPr>
          <w:rFonts w:ascii="Book Antiqua" w:eastAsia="Book Antiqua" w:hAnsi="Book Antiqua" w:cs="Book Antiqua"/>
          <w:color w:val="000000"/>
        </w:rPr>
        <w:t xml:space="preserve"> 2015; </w:t>
      </w:r>
      <w:r w:rsidRPr="00310595">
        <w:rPr>
          <w:rFonts w:ascii="Book Antiqua" w:eastAsia="Book Antiqua" w:hAnsi="Book Antiqua" w:cs="Book Antiqua"/>
          <w:b/>
          <w:bCs/>
          <w:color w:val="000000"/>
        </w:rPr>
        <w:t>45</w:t>
      </w:r>
      <w:r w:rsidRPr="00310595">
        <w:rPr>
          <w:rFonts w:ascii="Book Antiqua" w:eastAsia="Book Antiqua" w:hAnsi="Book Antiqua" w:cs="Book Antiqua"/>
          <w:color w:val="000000"/>
        </w:rPr>
        <w:t>: 1738-1752 [PMID: 25964134 DOI: 10.1007/s00247-015-3360-6]</w:t>
      </w:r>
    </w:p>
    <w:p w14:paraId="7132F92A"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11 </w:t>
      </w:r>
      <w:r w:rsidRPr="00310595">
        <w:rPr>
          <w:rFonts w:ascii="Book Antiqua" w:eastAsia="Book Antiqua" w:hAnsi="Book Antiqua" w:cs="Book Antiqua"/>
          <w:b/>
          <w:bCs/>
          <w:color w:val="000000"/>
        </w:rPr>
        <w:t>Kim JH</w:t>
      </w:r>
      <w:r w:rsidRPr="00310595">
        <w:rPr>
          <w:rFonts w:ascii="Book Antiqua" w:eastAsia="Book Antiqua" w:hAnsi="Book Antiqua" w:cs="Book Antiqua"/>
          <w:color w:val="000000"/>
        </w:rPr>
        <w:t xml:space="preserve">, Cho JH, Park MS, Chung JH, Lee JG, Kim YS, Kim SK, Kim SK, Shin DH, Choi BW, Choe KO, Chang J. Pulmonary inflammatory pseudotumor--a report of 28 cases. </w:t>
      </w:r>
      <w:r w:rsidRPr="00310595">
        <w:rPr>
          <w:rFonts w:ascii="Book Antiqua" w:eastAsia="Book Antiqua" w:hAnsi="Book Antiqua" w:cs="Book Antiqua"/>
          <w:i/>
          <w:iCs/>
          <w:color w:val="000000"/>
        </w:rPr>
        <w:t>Korean J Intern Med</w:t>
      </w:r>
      <w:r w:rsidRPr="00310595">
        <w:rPr>
          <w:rFonts w:ascii="Book Antiqua" w:eastAsia="Book Antiqua" w:hAnsi="Book Antiqua" w:cs="Book Antiqua"/>
          <w:color w:val="000000"/>
        </w:rPr>
        <w:t xml:space="preserve"> 2002; </w:t>
      </w:r>
      <w:r w:rsidRPr="00310595">
        <w:rPr>
          <w:rFonts w:ascii="Book Antiqua" w:eastAsia="Book Antiqua" w:hAnsi="Book Antiqua" w:cs="Book Antiqua"/>
          <w:b/>
          <w:bCs/>
          <w:color w:val="000000"/>
        </w:rPr>
        <w:t>17</w:t>
      </w:r>
      <w:r w:rsidRPr="00310595">
        <w:rPr>
          <w:rFonts w:ascii="Book Antiqua" w:eastAsia="Book Antiqua" w:hAnsi="Book Antiqua" w:cs="Book Antiqua"/>
          <w:color w:val="000000"/>
        </w:rPr>
        <w:t>: 252-258 [PMID: 12647641 DOI: 10.3904/kjim.2002.17.4.252]</w:t>
      </w:r>
    </w:p>
    <w:p w14:paraId="4B8DC3F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12 </w:t>
      </w:r>
      <w:r w:rsidRPr="00310595">
        <w:rPr>
          <w:rFonts w:ascii="Book Antiqua" w:eastAsia="Book Antiqua" w:hAnsi="Book Antiqua" w:cs="Book Antiqua"/>
          <w:b/>
          <w:bCs/>
          <w:color w:val="000000"/>
        </w:rPr>
        <w:t>Dehner LP</w:t>
      </w:r>
      <w:r w:rsidRPr="00310595">
        <w:rPr>
          <w:rFonts w:ascii="Book Antiqua" w:eastAsia="Book Antiqua" w:hAnsi="Book Antiqua" w:cs="Book Antiqua"/>
          <w:color w:val="000000"/>
        </w:rPr>
        <w:t xml:space="preserve">. The enigmatic inflammatory pseudotumours: the current state of our understanding, or misunderstanding. </w:t>
      </w:r>
      <w:r w:rsidRPr="00310595">
        <w:rPr>
          <w:rFonts w:ascii="Book Antiqua" w:eastAsia="Book Antiqua" w:hAnsi="Book Antiqua" w:cs="Book Antiqua"/>
          <w:i/>
          <w:iCs/>
          <w:color w:val="000000"/>
        </w:rPr>
        <w:t>J Pathol</w:t>
      </w:r>
      <w:r w:rsidRPr="00310595">
        <w:rPr>
          <w:rFonts w:ascii="Book Antiqua" w:eastAsia="Book Antiqua" w:hAnsi="Book Antiqua" w:cs="Book Antiqua"/>
          <w:color w:val="000000"/>
        </w:rPr>
        <w:t xml:space="preserve"> 2000; </w:t>
      </w:r>
      <w:r w:rsidRPr="00310595">
        <w:rPr>
          <w:rFonts w:ascii="Book Antiqua" w:eastAsia="Book Antiqua" w:hAnsi="Book Antiqua" w:cs="Book Antiqua"/>
          <w:b/>
          <w:bCs/>
          <w:color w:val="000000"/>
        </w:rPr>
        <w:t>192</w:t>
      </w:r>
      <w:r w:rsidRPr="00310595">
        <w:rPr>
          <w:rFonts w:ascii="Book Antiqua" w:eastAsia="Book Antiqua" w:hAnsi="Book Antiqua" w:cs="Book Antiqua"/>
          <w:color w:val="000000"/>
        </w:rPr>
        <w:t>: 277-279 [PMID: 11054708 DOI: 10.1002/1096-9896(200011)192:3&lt;277::AID-PATH749&gt;3.0.CO;2-E]</w:t>
      </w:r>
    </w:p>
    <w:p w14:paraId="18A45A9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13 </w:t>
      </w:r>
      <w:r w:rsidRPr="00310595">
        <w:rPr>
          <w:rFonts w:ascii="Book Antiqua" w:eastAsia="Book Antiqua" w:hAnsi="Book Antiqua" w:cs="Book Antiqua"/>
          <w:b/>
          <w:bCs/>
          <w:color w:val="000000"/>
        </w:rPr>
        <w:t>Sanders BM</w:t>
      </w:r>
      <w:r w:rsidRPr="00310595">
        <w:rPr>
          <w:rFonts w:ascii="Book Antiqua" w:eastAsia="Book Antiqua" w:hAnsi="Book Antiqua" w:cs="Book Antiqua"/>
          <w:color w:val="000000"/>
        </w:rPr>
        <w:t xml:space="preserve">, West KW, Gingalewski C, Engum S, Davis M, Grosfeld JL. Inflammatory pseudotumor of the alimentary tract: clinical and surgical experience. </w:t>
      </w:r>
      <w:r w:rsidRPr="00310595">
        <w:rPr>
          <w:rFonts w:ascii="Book Antiqua" w:eastAsia="Book Antiqua" w:hAnsi="Book Antiqua" w:cs="Book Antiqua"/>
          <w:i/>
          <w:iCs/>
          <w:color w:val="000000"/>
        </w:rPr>
        <w:t>J Pediatr Surg</w:t>
      </w:r>
      <w:r w:rsidRPr="00310595">
        <w:rPr>
          <w:rFonts w:ascii="Book Antiqua" w:eastAsia="Book Antiqua" w:hAnsi="Book Antiqua" w:cs="Book Antiqua"/>
          <w:color w:val="000000"/>
        </w:rPr>
        <w:t xml:space="preserve"> 2001; </w:t>
      </w:r>
      <w:r w:rsidRPr="00310595">
        <w:rPr>
          <w:rFonts w:ascii="Book Antiqua" w:eastAsia="Book Antiqua" w:hAnsi="Book Antiqua" w:cs="Book Antiqua"/>
          <w:b/>
          <w:bCs/>
          <w:color w:val="000000"/>
        </w:rPr>
        <w:t>36</w:t>
      </w:r>
      <w:r w:rsidRPr="00310595">
        <w:rPr>
          <w:rFonts w:ascii="Book Antiqua" w:eastAsia="Book Antiqua" w:hAnsi="Book Antiqua" w:cs="Book Antiqua"/>
          <w:color w:val="000000"/>
        </w:rPr>
        <w:t>: 169-173 [PMID: 11150459 DOI: 10.1053/jpsu.2001.20045]</w:t>
      </w:r>
    </w:p>
    <w:p w14:paraId="7434F81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14 </w:t>
      </w:r>
      <w:r w:rsidRPr="00310595">
        <w:rPr>
          <w:rFonts w:ascii="Book Antiqua" w:eastAsia="Book Antiqua" w:hAnsi="Book Antiqua" w:cs="Book Antiqua"/>
          <w:b/>
          <w:bCs/>
          <w:color w:val="000000"/>
        </w:rPr>
        <w:t>Zhang Y</w:t>
      </w:r>
      <w:r w:rsidRPr="00310595">
        <w:rPr>
          <w:rFonts w:ascii="Book Antiqua" w:eastAsia="Book Antiqua" w:hAnsi="Book Antiqua" w:cs="Book Antiqua"/>
          <w:color w:val="000000"/>
        </w:rPr>
        <w:t xml:space="preserve">, Lu H, Ji H, Li Y. Inflammatory pseudotumor of the liver: A case report and literature review. </w:t>
      </w:r>
      <w:r w:rsidRPr="00310595">
        <w:rPr>
          <w:rFonts w:ascii="Book Antiqua" w:eastAsia="Book Antiqua" w:hAnsi="Book Antiqua" w:cs="Book Antiqua"/>
          <w:i/>
          <w:iCs/>
          <w:color w:val="000000"/>
        </w:rPr>
        <w:t>Intractable Rare Dis Res</w:t>
      </w:r>
      <w:r w:rsidRPr="00310595">
        <w:rPr>
          <w:rFonts w:ascii="Book Antiqua" w:eastAsia="Book Antiqua" w:hAnsi="Book Antiqua" w:cs="Book Antiqua"/>
          <w:color w:val="000000"/>
        </w:rPr>
        <w:t xml:space="preserve"> 2015; </w:t>
      </w:r>
      <w:r w:rsidRPr="00310595">
        <w:rPr>
          <w:rFonts w:ascii="Book Antiqua" w:eastAsia="Book Antiqua" w:hAnsi="Book Antiqua" w:cs="Book Antiqua"/>
          <w:b/>
          <w:bCs/>
          <w:color w:val="000000"/>
        </w:rPr>
        <w:t>4</w:t>
      </w:r>
      <w:r w:rsidRPr="00310595">
        <w:rPr>
          <w:rFonts w:ascii="Book Antiqua" w:eastAsia="Book Antiqua" w:hAnsi="Book Antiqua" w:cs="Book Antiqua"/>
          <w:color w:val="000000"/>
        </w:rPr>
        <w:t>: 155-158 [PMID: 26361568 DOI: 10.5582/irdr.2015.01021]</w:t>
      </w:r>
    </w:p>
    <w:p w14:paraId="2F1FBB3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15 </w:t>
      </w:r>
      <w:r w:rsidRPr="00310595">
        <w:rPr>
          <w:rFonts w:ascii="Book Antiqua" w:eastAsia="Book Antiqua" w:hAnsi="Book Antiqua" w:cs="Book Antiqua"/>
          <w:b/>
          <w:bCs/>
          <w:color w:val="000000"/>
        </w:rPr>
        <w:t>Nonomura A</w:t>
      </w:r>
      <w:r w:rsidRPr="00310595">
        <w:rPr>
          <w:rFonts w:ascii="Book Antiqua" w:eastAsia="Book Antiqua" w:hAnsi="Book Antiqua" w:cs="Book Antiqua"/>
          <w:color w:val="000000"/>
        </w:rPr>
        <w:t xml:space="preserve">, Minato H, Shimizu K, Kadoya M, Matsui O. Hepatic hilar inflammatory pseudotumor mimicking cholangiocarcinoma with cholangitis and phlebitis--a variant of primary sclerosing cholangitis? </w:t>
      </w:r>
      <w:r w:rsidRPr="00310595">
        <w:rPr>
          <w:rFonts w:ascii="Book Antiqua" w:eastAsia="Book Antiqua" w:hAnsi="Book Antiqua" w:cs="Book Antiqua"/>
          <w:i/>
          <w:iCs/>
          <w:color w:val="000000"/>
        </w:rPr>
        <w:t>Pathol Res Pract</w:t>
      </w:r>
      <w:r w:rsidRPr="00310595">
        <w:rPr>
          <w:rFonts w:ascii="Book Antiqua" w:eastAsia="Book Antiqua" w:hAnsi="Book Antiqua" w:cs="Book Antiqua"/>
          <w:color w:val="000000"/>
        </w:rPr>
        <w:t xml:space="preserve"> 1997; </w:t>
      </w:r>
      <w:r w:rsidRPr="00310595">
        <w:rPr>
          <w:rFonts w:ascii="Book Antiqua" w:eastAsia="Book Antiqua" w:hAnsi="Book Antiqua" w:cs="Book Antiqua"/>
          <w:b/>
          <w:bCs/>
          <w:color w:val="000000"/>
        </w:rPr>
        <w:t>193</w:t>
      </w:r>
      <w:r w:rsidRPr="00310595">
        <w:rPr>
          <w:rFonts w:ascii="Book Antiqua" w:eastAsia="Book Antiqua" w:hAnsi="Book Antiqua" w:cs="Book Antiqua"/>
          <w:color w:val="000000"/>
        </w:rPr>
        <w:t>: 519-25; discussion 526 [PMID: 9342759 DOI: 10.1016/S0344-0338(97)80106-9]</w:t>
      </w:r>
    </w:p>
    <w:p w14:paraId="6F5E13D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16 </w:t>
      </w:r>
      <w:r w:rsidRPr="00310595">
        <w:rPr>
          <w:rFonts w:ascii="Book Antiqua" w:eastAsia="Book Antiqua" w:hAnsi="Book Antiqua" w:cs="Book Antiqua"/>
          <w:b/>
          <w:bCs/>
          <w:color w:val="000000"/>
        </w:rPr>
        <w:t>Toda K</w:t>
      </w:r>
      <w:r w:rsidRPr="00310595">
        <w:rPr>
          <w:rFonts w:ascii="Book Antiqua" w:eastAsia="Book Antiqua" w:hAnsi="Book Antiqua" w:cs="Book Antiqua"/>
          <w:color w:val="000000"/>
        </w:rPr>
        <w:t xml:space="preserve">, Yasuda I, Nishigaki Y, Enya M, Yamada T, Nagura K, Sugihara J, Wakahara T, Tomita E, Moriwaki H. Inflammatory pseudotumor of the liver with primary sclerosing cholangitis. </w:t>
      </w:r>
      <w:r w:rsidRPr="00310595">
        <w:rPr>
          <w:rFonts w:ascii="Book Antiqua" w:eastAsia="Book Antiqua" w:hAnsi="Book Antiqua" w:cs="Book Antiqua"/>
          <w:i/>
          <w:iCs/>
          <w:color w:val="000000"/>
        </w:rPr>
        <w:t>J Gastroenterol</w:t>
      </w:r>
      <w:r w:rsidRPr="00310595">
        <w:rPr>
          <w:rFonts w:ascii="Book Antiqua" w:eastAsia="Book Antiqua" w:hAnsi="Book Antiqua" w:cs="Book Antiqua"/>
          <w:color w:val="000000"/>
        </w:rPr>
        <w:t xml:space="preserve"> 2000; </w:t>
      </w:r>
      <w:r w:rsidRPr="00310595">
        <w:rPr>
          <w:rFonts w:ascii="Book Antiqua" w:eastAsia="Book Antiqua" w:hAnsi="Book Antiqua" w:cs="Book Antiqua"/>
          <w:b/>
          <w:bCs/>
          <w:color w:val="000000"/>
        </w:rPr>
        <w:t>35</w:t>
      </w:r>
      <w:r w:rsidRPr="00310595">
        <w:rPr>
          <w:rFonts w:ascii="Book Antiqua" w:eastAsia="Book Antiqua" w:hAnsi="Book Antiqua" w:cs="Book Antiqua"/>
          <w:color w:val="000000"/>
        </w:rPr>
        <w:t>: 304-309 [PMID: 10777162 DOI: 10.1007/s005350050351]</w:t>
      </w:r>
    </w:p>
    <w:p w14:paraId="072CA17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17 </w:t>
      </w:r>
      <w:r w:rsidRPr="00310595">
        <w:rPr>
          <w:rFonts w:ascii="Book Antiqua" w:eastAsia="Book Antiqua" w:hAnsi="Book Antiqua" w:cs="Book Antiqua"/>
          <w:b/>
          <w:bCs/>
          <w:color w:val="000000"/>
        </w:rPr>
        <w:t>Koide H</w:t>
      </w:r>
      <w:r w:rsidRPr="00310595">
        <w:rPr>
          <w:rFonts w:ascii="Book Antiqua" w:eastAsia="Book Antiqua" w:hAnsi="Book Antiqua" w:cs="Book Antiqua"/>
          <w:color w:val="000000"/>
        </w:rPr>
        <w:t xml:space="preserve">, Sato K, Fukusato T, Kashiwabara K, Sunaga N, Tsuchiya T, Morino S, Sohara N, Kakizaki S, Takagi H, Mori M. Spontaneous regression of hepatic inflammatory pseudotumor with primary biliary cirrhosis: case report and literature review.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12</w:t>
      </w:r>
      <w:r w:rsidRPr="00310595">
        <w:rPr>
          <w:rFonts w:ascii="Book Antiqua" w:eastAsia="Book Antiqua" w:hAnsi="Book Antiqua" w:cs="Book Antiqua"/>
          <w:color w:val="000000"/>
        </w:rPr>
        <w:t>: 1645-1648 [PMID: 16570364 DOI: 10.3748/wjg.v12.i10.1645]</w:t>
      </w:r>
    </w:p>
    <w:p w14:paraId="563AEAB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18 </w:t>
      </w:r>
      <w:r w:rsidRPr="00310595">
        <w:rPr>
          <w:rFonts w:ascii="Book Antiqua" w:eastAsia="Book Antiqua" w:hAnsi="Book Antiqua" w:cs="Book Antiqua"/>
          <w:b/>
          <w:bCs/>
          <w:color w:val="000000"/>
        </w:rPr>
        <w:t>Tublin ME</w:t>
      </w:r>
      <w:r w:rsidRPr="00310595">
        <w:rPr>
          <w:rFonts w:ascii="Book Antiqua" w:eastAsia="Book Antiqua" w:hAnsi="Book Antiqua" w:cs="Book Antiqua"/>
          <w:color w:val="000000"/>
        </w:rPr>
        <w:t xml:space="preserve">, Moser AJ, Marsh JW, Gamblin TC. Biliary inflammatory pseudotumor: imaging features in seven patients. </w:t>
      </w:r>
      <w:r w:rsidRPr="00310595">
        <w:rPr>
          <w:rFonts w:ascii="Book Antiqua" w:eastAsia="Book Antiqua" w:hAnsi="Book Antiqua" w:cs="Book Antiqua"/>
          <w:i/>
          <w:iCs/>
          <w:color w:val="000000"/>
        </w:rPr>
        <w:t>AJR Am J Roentgenol</w:t>
      </w:r>
      <w:r w:rsidRPr="00310595">
        <w:rPr>
          <w:rFonts w:ascii="Book Antiqua" w:eastAsia="Book Antiqua" w:hAnsi="Book Antiqua" w:cs="Book Antiqua"/>
          <w:color w:val="000000"/>
        </w:rPr>
        <w:t xml:space="preserve"> 2007; </w:t>
      </w:r>
      <w:r w:rsidRPr="00310595">
        <w:rPr>
          <w:rFonts w:ascii="Book Antiqua" w:eastAsia="Book Antiqua" w:hAnsi="Book Antiqua" w:cs="Book Antiqua"/>
          <w:b/>
          <w:bCs/>
          <w:color w:val="000000"/>
        </w:rPr>
        <w:t>188</w:t>
      </w:r>
      <w:r w:rsidRPr="00310595">
        <w:rPr>
          <w:rFonts w:ascii="Book Antiqua" w:eastAsia="Book Antiqua" w:hAnsi="Book Antiqua" w:cs="Book Antiqua"/>
          <w:color w:val="000000"/>
        </w:rPr>
        <w:t>: W44-W48 [PMID: 17179326 DOI: 10.2214/AJR.05.0985]</w:t>
      </w:r>
    </w:p>
    <w:p w14:paraId="2D4BF0F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19 </w:t>
      </w:r>
      <w:r w:rsidRPr="00310595">
        <w:rPr>
          <w:rFonts w:ascii="Book Antiqua" w:eastAsia="Book Antiqua" w:hAnsi="Book Antiqua" w:cs="Book Antiqua"/>
          <w:b/>
          <w:bCs/>
          <w:color w:val="000000"/>
        </w:rPr>
        <w:t>Lin MS</w:t>
      </w:r>
      <w:r w:rsidRPr="00310595">
        <w:rPr>
          <w:rFonts w:ascii="Book Antiqua" w:eastAsia="Book Antiqua" w:hAnsi="Book Antiqua" w:cs="Book Antiqua"/>
          <w:color w:val="000000"/>
        </w:rPr>
        <w:t xml:space="preserve">, Huang JX, Yu H. Elevated serum level of carbohydrate antigen 19-9 in benign biliary stricture diseases can reduce its value as a tumor marker. </w:t>
      </w:r>
      <w:r w:rsidRPr="00310595">
        <w:rPr>
          <w:rFonts w:ascii="Book Antiqua" w:eastAsia="Book Antiqua" w:hAnsi="Book Antiqua" w:cs="Book Antiqua"/>
          <w:i/>
          <w:iCs/>
          <w:color w:val="000000"/>
        </w:rPr>
        <w:t>Int J Clin Exp Med</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7</w:t>
      </w:r>
      <w:r w:rsidRPr="00310595">
        <w:rPr>
          <w:rFonts w:ascii="Book Antiqua" w:eastAsia="Book Antiqua" w:hAnsi="Book Antiqua" w:cs="Book Antiqua"/>
          <w:color w:val="000000"/>
        </w:rPr>
        <w:t>: 744-750 [PMID: 24753772]</w:t>
      </w:r>
    </w:p>
    <w:p w14:paraId="5568C059"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20 </w:t>
      </w:r>
      <w:r w:rsidRPr="00310595">
        <w:rPr>
          <w:rFonts w:ascii="Book Antiqua" w:eastAsia="Book Antiqua" w:hAnsi="Book Antiqua" w:cs="Book Antiqua"/>
          <w:b/>
          <w:bCs/>
          <w:color w:val="000000"/>
        </w:rPr>
        <w:t>Qin XL</w:t>
      </w:r>
      <w:r w:rsidRPr="00310595">
        <w:rPr>
          <w:rFonts w:ascii="Book Antiqua" w:eastAsia="Book Antiqua" w:hAnsi="Book Antiqua" w:cs="Book Antiqua"/>
          <w:color w:val="000000"/>
        </w:rPr>
        <w:t xml:space="preserve">, Wang ZR, Shi JS, Lu M, Wang L, He QR. Utility of serum CA19-9 in diagnosis of cholangiocarcinoma: in comparison with CEA.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2004; </w:t>
      </w:r>
      <w:r w:rsidRPr="00310595">
        <w:rPr>
          <w:rFonts w:ascii="Book Antiqua" w:eastAsia="Book Antiqua" w:hAnsi="Book Antiqua" w:cs="Book Antiqua"/>
          <w:b/>
          <w:bCs/>
          <w:color w:val="000000"/>
        </w:rPr>
        <w:t>10</w:t>
      </w:r>
      <w:r w:rsidRPr="00310595">
        <w:rPr>
          <w:rFonts w:ascii="Book Antiqua" w:eastAsia="Book Antiqua" w:hAnsi="Book Antiqua" w:cs="Book Antiqua"/>
          <w:color w:val="000000"/>
        </w:rPr>
        <w:t>: 427-432 [PMID: 14760772 DOI: 10.3748/wjg.v10.i3.427]</w:t>
      </w:r>
    </w:p>
    <w:p w14:paraId="2EA7F72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21 </w:t>
      </w:r>
      <w:r w:rsidRPr="00310595">
        <w:rPr>
          <w:rFonts w:ascii="Book Antiqua" w:eastAsia="Book Antiqua" w:hAnsi="Book Antiqua" w:cs="Book Antiqua"/>
          <w:b/>
          <w:bCs/>
          <w:color w:val="000000"/>
        </w:rPr>
        <w:t>Howaizi M</w:t>
      </w:r>
      <w:r w:rsidRPr="00310595">
        <w:rPr>
          <w:rFonts w:ascii="Book Antiqua" w:eastAsia="Book Antiqua" w:hAnsi="Book Antiqua" w:cs="Book Antiqua"/>
          <w:color w:val="000000"/>
        </w:rPr>
        <w:t xml:space="preserve">, Abboura M, Krespine C, Sbai-Idrissi MS, Marty O, Djabbari-Sobhani M. A new cause for CA19.9 elevation: heavy tea consumption. </w:t>
      </w:r>
      <w:r w:rsidRPr="00310595">
        <w:rPr>
          <w:rFonts w:ascii="Book Antiqua" w:eastAsia="Book Antiqua" w:hAnsi="Book Antiqua" w:cs="Book Antiqua"/>
          <w:i/>
          <w:iCs/>
          <w:color w:val="000000"/>
        </w:rPr>
        <w:t>Gut</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52</w:t>
      </w:r>
      <w:r w:rsidRPr="00310595">
        <w:rPr>
          <w:rFonts w:ascii="Book Antiqua" w:eastAsia="Book Antiqua" w:hAnsi="Book Antiqua" w:cs="Book Antiqua"/>
          <w:color w:val="000000"/>
        </w:rPr>
        <w:t>: 913-914 [PMID: 12740355 DOI: 10.1136/gut.52.6.913]</w:t>
      </w:r>
    </w:p>
    <w:p w14:paraId="7CC0EDA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22 </w:t>
      </w:r>
      <w:r w:rsidRPr="00310595">
        <w:rPr>
          <w:rFonts w:ascii="Book Antiqua" w:eastAsia="Book Antiqua" w:hAnsi="Book Antiqua" w:cs="Book Antiqua"/>
          <w:b/>
          <w:bCs/>
          <w:color w:val="000000"/>
        </w:rPr>
        <w:t>Ogawa T</w:t>
      </w:r>
      <w:r w:rsidRPr="00310595">
        <w:rPr>
          <w:rFonts w:ascii="Book Antiqua" w:eastAsia="Book Antiqua" w:hAnsi="Book Antiqua" w:cs="Book Antiqua"/>
          <w:color w:val="000000"/>
        </w:rPr>
        <w:t xml:space="preserve">, Yokoi H, Kawarada Y. A case of inflammatory pseudotumor of the liver causing elevated serum CA19-9 Levels. </w:t>
      </w:r>
      <w:r w:rsidRPr="00310595">
        <w:rPr>
          <w:rFonts w:ascii="Book Antiqua" w:eastAsia="Book Antiqua" w:hAnsi="Book Antiqua" w:cs="Book Antiqua"/>
          <w:i/>
          <w:iCs/>
          <w:color w:val="000000"/>
        </w:rPr>
        <w:t>Am J Gastroenterol</w:t>
      </w:r>
      <w:r w:rsidRPr="00310595">
        <w:rPr>
          <w:rFonts w:ascii="Book Antiqua" w:eastAsia="Book Antiqua" w:hAnsi="Book Antiqua" w:cs="Book Antiqua"/>
          <w:color w:val="000000"/>
        </w:rPr>
        <w:t xml:space="preserve"> 1998; </w:t>
      </w:r>
      <w:r w:rsidRPr="00310595">
        <w:rPr>
          <w:rFonts w:ascii="Book Antiqua" w:eastAsia="Book Antiqua" w:hAnsi="Book Antiqua" w:cs="Book Antiqua"/>
          <w:b/>
          <w:bCs/>
          <w:color w:val="000000"/>
        </w:rPr>
        <w:t>93</w:t>
      </w:r>
      <w:r w:rsidRPr="00310595">
        <w:rPr>
          <w:rFonts w:ascii="Book Antiqua" w:eastAsia="Book Antiqua" w:hAnsi="Book Antiqua" w:cs="Book Antiqua"/>
          <w:color w:val="000000"/>
        </w:rPr>
        <w:t>: 2551-2555 [PMID: 9860425 DOI: 10.1111/j.1572-0241.1998.00717.x]</w:t>
      </w:r>
    </w:p>
    <w:p w14:paraId="10691341"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23 </w:t>
      </w:r>
      <w:r w:rsidRPr="00310595">
        <w:rPr>
          <w:rFonts w:ascii="Book Antiqua" w:eastAsia="Book Antiqua" w:hAnsi="Book Antiqua" w:cs="Book Antiqua"/>
          <w:b/>
          <w:bCs/>
          <w:color w:val="000000"/>
        </w:rPr>
        <w:t>Kim HJ</w:t>
      </w:r>
      <w:r w:rsidRPr="00310595">
        <w:rPr>
          <w:rFonts w:ascii="Book Antiqua" w:eastAsia="Book Antiqua" w:hAnsi="Book Antiqua" w:cs="Book Antiqua"/>
          <w:color w:val="000000"/>
        </w:rPr>
        <w:t xml:space="preserve">, Lee KW, Kim YJ, Oh DY, Kim JH, Im SA, Lee JS. Chemotherapy-induced transient CEA and CA19-9 surges in patients with metastatic or recurrent gastric cancer. </w:t>
      </w:r>
      <w:r w:rsidRPr="00310595">
        <w:rPr>
          <w:rFonts w:ascii="Book Antiqua" w:eastAsia="Book Antiqua" w:hAnsi="Book Antiqua" w:cs="Book Antiqua"/>
          <w:i/>
          <w:iCs/>
          <w:color w:val="000000"/>
        </w:rPr>
        <w:t>Acta Oncol</w:t>
      </w:r>
      <w:r w:rsidRPr="00310595">
        <w:rPr>
          <w:rFonts w:ascii="Book Antiqua" w:eastAsia="Book Antiqua" w:hAnsi="Book Antiqua" w:cs="Book Antiqua"/>
          <w:color w:val="000000"/>
        </w:rPr>
        <w:t xml:space="preserve"> 2009; </w:t>
      </w:r>
      <w:r w:rsidRPr="00310595">
        <w:rPr>
          <w:rFonts w:ascii="Book Antiqua" w:eastAsia="Book Antiqua" w:hAnsi="Book Antiqua" w:cs="Book Antiqua"/>
          <w:b/>
          <w:bCs/>
          <w:color w:val="000000"/>
        </w:rPr>
        <w:t>48</w:t>
      </w:r>
      <w:r w:rsidRPr="00310595">
        <w:rPr>
          <w:rFonts w:ascii="Book Antiqua" w:eastAsia="Book Antiqua" w:hAnsi="Book Antiqua" w:cs="Book Antiqua"/>
          <w:color w:val="000000"/>
        </w:rPr>
        <w:t>: 385-390 [PMID: 18855156 DOI: 10.1080/02841860802446761]</w:t>
      </w:r>
    </w:p>
    <w:p w14:paraId="2A146F7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24 </w:t>
      </w:r>
      <w:r w:rsidRPr="00310595">
        <w:rPr>
          <w:rFonts w:ascii="Book Antiqua" w:eastAsia="Book Antiqua" w:hAnsi="Book Antiqua" w:cs="Book Antiqua"/>
          <w:b/>
          <w:bCs/>
          <w:color w:val="000000"/>
        </w:rPr>
        <w:t>Patnana M</w:t>
      </w:r>
      <w:r w:rsidRPr="00310595">
        <w:rPr>
          <w:rFonts w:ascii="Book Antiqua" w:eastAsia="Book Antiqua" w:hAnsi="Book Antiqua" w:cs="Book Antiqua"/>
          <w:color w:val="000000"/>
        </w:rPr>
        <w:t xml:space="preserve">, Sevrukov AB, Elsayes KM, Viswanathan C, Lubner M, Menias CO. Inflammatory pseudotumor: the great mimicker. </w:t>
      </w:r>
      <w:r w:rsidRPr="00310595">
        <w:rPr>
          <w:rFonts w:ascii="Book Antiqua" w:eastAsia="Book Antiqua" w:hAnsi="Book Antiqua" w:cs="Book Antiqua"/>
          <w:i/>
          <w:iCs/>
          <w:color w:val="000000"/>
        </w:rPr>
        <w:t>AJR Am J Roentgenol</w:t>
      </w:r>
      <w:r w:rsidRPr="00310595">
        <w:rPr>
          <w:rFonts w:ascii="Book Antiqua" w:eastAsia="Book Antiqua" w:hAnsi="Book Antiqua" w:cs="Book Antiqua"/>
          <w:color w:val="000000"/>
        </w:rPr>
        <w:t xml:space="preserve"> 2012; </w:t>
      </w:r>
      <w:r w:rsidRPr="00310595">
        <w:rPr>
          <w:rFonts w:ascii="Book Antiqua" w:eastAsia="Book Antiqua" w:hAnsi="Book Antiqua" w:cs="Book Antiqua"/>
          <w:b/>
          <w:bCs/>
          <w:color w:val="000000"/>
        </w:rPr>
        <w:t>198</w:t>
      </w:r>
      <w:r w:rsidRPr="00310595">
        <w:rPr>
          <w:rFonts w:ascii="Book Antiqua" w:eastAsia="Book Antiqua" w:hAnsi="Book Antiqua" w:cs="Book Antiqua"/>
          <w:color w:val="000000"/>
        </w:rPr>
        <w:t>: W217-W227 [PMID: 22358018 DOI: 10.2214/AJR.11.7288]</w:t>
      </w:r>
    </w:p>
    <w:p w14:paraId="6D0513A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25 </w:t>
      </w:r>
      <w:r w:rsidRPr="00310595">
        <w:rPr>
          <w:rFonts w:ascii="Book Antiqua" w:eastAsia="Book Antiqua" w:hAnsi="Book Antiqua" w:cs="Book Antiqua"/>
          <w:b/>
          <w:bCs/>
          <w:color w:val="000000"/>
        </w:rPr>
        <w:t>Chougule A</w:t>
      </w:r>
      <w:r w:rsidRPr="00310595">
        <w:rPr>
          <w:rFonts w:ascii="Book Antiqua" w:eastAsia="Book Antiqua" w:hAnsi="Book Antiqua" w:cs="Book Antiqua"/>
          <w:color w:val="000000"/>
        </w:rPr>
        <w:t xml:space="preserve">, Bal A, Das A, Agarwal R, Singh N, Rao KL. A Comparative Study of Inflammatory Myofibroblastic Tumors and Tumefactive IgG4-related Inflammatory Lesions: the Relevance of IgG4 Plasma Cells. </w:t>
      </w:r>
      <w:r w:rsidRPr="00310595">
        <w:rPr>
          <w:rFonts w:ascii="Book Antiqua" w:eastAsia="Book Antiqua" w:hAnsi="Book Antiqua" w:cs="Book Antiqua"/>
          <w:i/>
          <w:iCs/>
          <w:color w:val="000000"/>
        </w:rPr>
        <w:t>Appl Immunohistochem Mol Morphol</w:t>
      </w:r>
      <w:r w:rsidRPr="00310595">
        <w:rPr>
          <w:rFonts w:ascii="Book Antiqua" w:eastAsia="Book Antiqua" w:hAnsi="Book Antiqua" w:cs="Book Antiqua"/>
          <w:color w:val="000000"/>
        </w:rPr>
        <w:t xml:space="preserve"> 2016; </w:t>
      </w:r>
      <w:r w:rsidRPr="00310595">
        <w:rPr>
          <w:rFonts w:ascii="Book Antiqua" w:eastAsia="Book Antiqua" w:hAnsi="Book Antiqua" w:cs="Book Antiqua"/>
          <w:b/>
          <w:bCs/>
          <w:color w:val="000000"/>
        </w:rPr>
        <w:t>24</w:t>
      </w:r>
      <w:r w:rsidRPr="00310595">
        <w:rPr>
          <w:rFonts w:ascii="Book Antiqua" w:eastAsia="Book Antiqua" w:hAnsi="Book Antiqua" w:cs="Book Antiqua"/>
          <w:color w:val="000000"/>
        </w:rPr>
        <w:t>: 721-728 [PMID: 26469330 DOI: 10.1097/PAI.0000000000000252]</w:t>
      </w:r>
    </w:p>
    <w:p w14:paraId="76D0BFD1"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26 </w:t>
      </w:r>
      <w:r w:rsidRPr="00310595">
        <w:rPr>
          <w:rFonts w:ascii="Book Antiqua" w:eastAsia="Book Antiqua" w:hAnsi="Book Antiqua" w:cs="Book Antiqua"/>
          <w:b/>
          <w:bCs/>
          <w:color w:val="000000"/>
        </w:rPr>
        <w:t>Saab ST</w:t>
      </w:r>
      <w:r w:rsidRPr="00310595">
        <w:rPr>
          <w:rFonts w:ascii="Book Antiqua" w:eastAsia="Book Antiqua" w:hAnsi="Book Antiqua" w:cs="Book Antiqua"/>
          <w:color w:val="000000"/>
        </w:rPr>
        <w:t xml:space="preserve">, Hornick JL, Fletcher CD, Olson SJ, Coffin CM. IgG4 plasma cells in inflammatory myofibroblastic tumor: inflammatory marker or pathogenic link? </w:t>
      </w:r>
      <w:r w:rsidRPr="00310595">
        <w:rPr>
          <w:rFonts w:ascii="Book Antiqua" w:eastAsia="Book Antiqua" w:hAnsi="Book Antiqua" w:cs="Book Antiqua"/>
          <w:i/>
          <w:iCs/>
          <w:color w:val="000000"/>
        </w:rPr>
        <w:t>Mod Pathol</w:t>
      </w:r>
      <w:r w:rsidRPr="00310595">
        <w:rPr>
          <w:rFonts w:ascii="Book Antiqua" w:eastAsia="Book Antiqua" w:hAnsi="Book Antiqua" w:cs="Book Antiqua"/>
          <w:color w:val="000000"/>
        </w:rPr>
        <w:t xml:space="preserve"> 2011; </w:t>
      </w:r>
      <w:r w:rsidRPr="00310595">
        <w:rPr>
          <w:rFonts w:ascii="Book Antiqua" w:eastAsia="Book Antiqua" w:hAnsi="Book Antiqua" w:cs="Book Antiqua"/>
          <w:b/>
          <w:bCs/>
          <w:color w:val="000000"/>
        </w:rPr>
        <w:t>24</w:t>
      </w:r>
      <w:r w:rsidRPr="00310595">
        <w:rPr>
          <w:rFonts w:ascii="Book Antiqua" w:eastAsia="Book Antiqua" w:hAnsi="Book Antiqua" w:cs="Book Antiqua"/>
          <w:color w:val="000000"/>
        </w:rPr>
        <w:t>: 606-612 [PMID: 21297584 DOI: 10.1038/modpathol.2010.226]</w:t>
      </w:r>
    </w:p>
    <w:p w14:paraId="415BAB6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27 </w:t>
      </w:r>
      <w:r w:rsidRPr="00310595">
        <w:rPr>
          <w:rFonts w:ascii="Book Antiqua" w:eastAsia="Book Antiqua" w:hAnsi="Book Antiqua" w:cs="Book Antiqua"/>
          <w:b/>
          <w:bCs/>
          <w:color w:val="000000"/>
        </w:rPr>
        <w:t>Telugu RB</w:t>
      </w:r>
      <w:r w:rsidRPr="00310595">
        <w:rPr>
          <w:rFonts w:ascii="Book Antiqua" w:eastAsia="Book Antiqua" w:hAnsi="Book Antiqua" w:cs="Book Antiqua"/>
          <w:color w:val="000000"/>
        </w:rPr>
        <w:t xml:space="preserve">, Prabhu AJ, Kalappurayil NB, Mathai J, Gnanamuthu BR, Manipadam MT. Clinicopathological Study of 18 Cases of Inflammatory Myofibroblastic Tumors with Reference to ALK-1 Expression: 5-Year Experience in a Tertiary Care Center. </w:t>
      </w:r>
      <w:r w:rsidRPr="00310595">
        <w:rPr>
          <w:rFonts w:ascii="Book Antiqua" w:eastAsia="Book Antiqua" w:hAnsi="Book Antiqua" w:cs="Book Antiqua"/>
          <w:i/>
          <w:iCs/>
          <w:color w:val="000000"/>
        </w:rPr>
        <w:t>J Pathol Transl Med</w:t>
      </w:r>
      <w:r w:rsidRPr="00310595">
        <w:rPr>
          <w:rFonts w:ascii="Book Antiqua" w:eastAsia="Book Antiqua" w:hAnsi="Book Antiqua" w:cs="Book Antiqua"/>
          <w:color w:val="000000"/>
        </w:rPr>
        <w:t xml:space="preserve"> 2017; </w:t>
      </w:r>
      <w:r w:rsidRPr="00310595">
        <w:rPr>
          <w:rFonts w:ascii="Book Antiqua" w:eastAsia="Book Antiqua" w:hAnsi="Book Antiqua" w:cs="Book Antiqua"/>
          <w:b/>
          <w:bCs/>
          <w:color w:val="000000"/>
        </w:rPr>
        <w:t>51</w:t>
      </w:r>
      <w:r w:rsidRPr="00310595">
        <w:rPr>
          <w:rFonts w:ascii="Book Antiqua" w:eastAsia="Book Antiqua" w:hAnsi="Book Antiqua" w:cs="Book Antiqua"/>
          <w:color w:val="000000"/>
        </w:rPr>
        <w:t>: 255-263 [PMID: 28415158 DOI: 10.4132/jptm.2017.01.12]</w:t>
      </w:r>
    </w:p>
    <w:p w14:paraId="74CAD58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28 </w:t>
      </w:r>
      <w:r w:rsidRPr="00310595">
        <w:rPr>
          <w:rFonts w:ascii="Book Antiqua" w:eastAsia="Book Antiqua" w:hAnsi="Book Antiqua" w:cs="Book Antiqua"/>
          <w:b/>
          <w:bCs/>
          <w:color w:val="000000"/>
        </w:rPr>
        <w:t>Su W</w:t>
      </w:r>
      <w:r w:rsidRPr="00310595">
        <w:rPr>
          <w:rFonts w:ascii="Book Antiqua" w:eastAsia="Book Antiqua" w:hAnsi="Book Antiqua" w:cs="Book Antiqua"/>
          <w:color w:val="000000"/>
        </w:rPr>
        <w:t xml:space="preserve">, Ko A, O'Connell T, Applebaum H. Treatment of pseudotumors with nonsteroidal antiinflammatory drugs. </w:t>
      </w:r>
      <w:r w:rsidRPr="00310595">
        <w:rPr>
          <w:rFonts w:ascii="Book Antiqua" w:eastAsia="Book Antiqua" w:hAnsi="Book Antiqua" w:cs="Book Antiqua"/>
          <w:i/>
          <w:iCs/>
          <w:color w:val="000000"/>
        </w:rPr>
        <w:t>J Pediatr Surg</w:t>
      </w:r>
      <w:r w:rsidRPr="00310595">
        <w:rPr>
          <w:rFonts w:ascii="Book Antiqua" w:eastAsia="Book Antiqua" w:hAnsi="Book Antiqua" w:cs="Book Antiqua"/>
          <w:color w:val="000000"/>
        </w:rPr>
        <w:t xml:space="preserve"> 2000; </w:t>
      </w:r>
      <w:r w:rsidRPr="00310595">
        <w:rPr>
          <w:rFonts w:ascii="Book Antiqua" w:eastAsia="Book Antiqua" w:hAnsi="Book Antiqua" w:cs="Book Antiqua"/>
          <w:b/>
          <w:bCs/>
          <w:color w:val="000000"/>
        </w:rPr>
        <w:t>35</w:t>
      </w:r>
      <w:r w:rsidRPr="00310595">
        <w:rPr>
          <w:rFonts w:ascii="Book Antiqua" w:eastAsia="Book Antiqua" w:hAnsi="Book Antiqua" w:cs="Book Antiqua"/>
          <w:color w:val="000000"/>
        </w:rPr>
        <w:t>: 1635-1637 [PMID: 11083441 DOI: 10.1053/jpsu.2000.18340]</w:t>
      </w:r>
    </w:p>
    <w:p w14:paraId="246F3A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29 </w:t>
      </w:r>
      <w:r w:rsidRPr="00310595">
        <w:rPr>
          <w:rFonts w:ascii="Book Antiqua" w:eastAsia="Book Antiqua" w:hAnsi="Book Antiqua" w:cs="Book Antiqua"/>
          <w:b/>
          <w:bCs/>
          <w:color w:val="000000"/>
        </w:rPr>
        <w:t>Al-Hussaini H</w:t>
      </w:r>
      <w:r w:rsidRPr="00310595">
        <w:rPr>
          <w:rFonts w:ascii="Book Antiqua" w:eastAsia="Book Antiqua" w:hAnsi="Book Antiqua" w:cs="Book Antiqua"/>
          <w:color w:val="000000"/>
        </w:rPr>
        <w:t xml:space="preserve">, Azouz H, Abu-Zaid A. Hepatic inflammatory pseudotumor presenting in an 8-year-old boy: A case report and review of literature.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2015; </w:t>
      </w:r>
      <w:r w:rsidRPr="00310595">
        <w:rPr>
          <w:rFonts w:ascii="Book Antiqua" w:eastAsia="Book Antiqua" w:hAnsi="Book Antiqua" w:cs="Book Antiqua"/>
          <w:b/>
          <w:bCs/>
          <w:color w:val="000000"/>
        </w:rPr>
        <w:t>21</w:t>
      </w:r>
      <w:r w:rsidRPr="00310595">
        <w:rPr>
          <w:rFonts w:ascii="Book Antiqua" w:eastAsia="Book Antiqua" w:hAnsi="Book Antiqua" w:cs="Book Antiqua"/>
          <w:color w:val="000000"/>
        </w:rPr>
        <w:t>: 8730-8738 [PMID: 26229415 DOI: 10.3748/wjg.v21.i28.8730]</w:t>
      </w:r>
    </w:p>
    <w:p w14:paraId="5A323CC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30 </w:t>
      </w:r>
      <w:r w:rsidRPr="00310595">
        <w:rPr>
          <w:rFonts w:ascii="Book Antiqua" w:eastAsia="Book Antiqua" w:hAnsi="Book Antiqua" w:cs="Book Antiqua"/>
          <w:b/>
          <w:bCs/>
          <w:color w:val="000000"/>
        </w:rPr>
        <w:t>Zhao J</w:t>
      </w:r>
      <w:r w:rsidRPr="00310595">
        <w:rPr>
          <w:rFonts w:ascii="Book Antiqua" w:eastAsia="Book Antiqua" w:hAnsi="Book Antiqua" w:cs="Book Antiqua"/>
          <w:color w:val="000000"/>
        </w:rPr>
        <w:t xml:space="preserve">, Olino K, Low LE, Qiu S, Stevenson HL. Hepatic Inflammatory Pseudotumor: An Important Differential Diagnosis in Patients With a History of Previous Biliary Procedures. </w:t>
      </w:r>
      <w:r w:rsidRPr="00310595">
        <w:rPr>
          <w:rFonts w:ascii="Book Antiqua" w:eastAsia="Book Antiqua" w:hAnsi="Book Antiqua" w:cs="Book Antiqua"/>
          <w:i/>
          <w:iCs/>
          <w:color w:val="000000"/>
        </w:rPr>
        <w:t>ACG Case Rep J</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6</w:t>
      </w:r>
      <w:r w:rsidRPr="00310595">
        <w:rPr>
          <w:rFonts w:ascii="Book Antiqua" w:eastAsia="Book Antiqua" w:hAnsi="Book Antiqua" w:cs="Book Antiqua"/>
          <w:color w:val="000000"/>
        </w:rPr>
        <w:t>: e00015 [PMID: 31598534 DOI: 10.14309/crj.0000000000000015]</w:t>
      </w:r>
    </w:p>
    <w:p w14:paraId="545267DF"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31 </w:t>
      </w:r>
      <w:r w:rsidRPr="00310595">
        <w:rPr>
          <w:rFonts w:ascii="Book Antiqua" w:eastAsia="Book Antiqua" w:hAnsi="Book Antiqua" w:cs="Book Antiqua"/>
          <w:b/>
          <w:bCs/>
          <w:color w:val="000000"/>
        </w:rPr>
        <w:t>Ballester-Pla N</w:t>
      </w:r>
      <w:r w:rsidRPr="00310595">
        <w:rPr>
          <w:rFonts w:ascii="Book Antiqua" w:eastAsia="Book Antiqua" w:hAnsi="Book Antiqua" w:cs="Book Antiqua"/>
          <w:color w:val="000000"/>
        </w:rPr>
        <w:t xml:space="preserve">, García-Domínguez R, Pérez-Girbes A, Orbis-Castellanos JF, Pareja E. Conservative treatment of hepatic inflammatory pseudotumor. </w:t>
      </w:r>
      <w:r w:rsidRPr="00310595">
        <w:rPr>
          <w:rFonts w:ascii="Book Antiqua" w:eastAsia="Book Antiqua" w:hAnsi="Book Antiqua" w:cs="Book Antiqua"/>
          <w:i/>
          <w:iCs/>
          <w:color w:val="000000"/>
        </w:rPr>
        <w:t>Cir Esp</w:t>
      </w:r>
      <w:r w:rsidRPr="00310595">
        <w:rPr>
          <w:rFonts w:ascii="Book Antiqua" w:eastAsia="Book Antiqua" w:hAnsi="Book Antiqua" w:cs="Book Antiqua"/>
          <w:color w:val="000000"/>
        </w:rPr>
        <w:t xml:space="preserve"> 2016; </w:t>
      </w:r>
      <w:r w:rsidRPr="00310595">
        <w:rPr>
          <w:rFonts w:ascii="Book Antiqua" w:eastAsia="Book Antiqua" w:hAnsi="Book Antiqua" w:cs="Book Antiqua"/>
          <w:b/>
          <w:bCs/>
          <w:color w:val="000000"/>
        </w:rPr>
        <w:t>94</w:t>
      </w:r>
      <w:r w:rsidRPr="00310595">
        <w:rPr>
          <w:rFonts w:ascii="Book Antiqua" w:eastAsia="Book Antiqua" w:hAnsi="Book Antiqua" w:cs="Book Antiqua"/>
          <w:color w:val="000000"/>
        </w:rPr>
        <w:t>: 422-424 [PMID: 26238429 DOI: 10.1016/j.ciresp.2015.05.008]</w:t>
      </w:r>
    </w:p>
    <w:p w14:paraId="7867BE1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32 </w:t>
      </w:r>
      <w:r w:rsidRPr="00310595">
        <w:rPr>
          <w:rFonts w:ascii="Book Antiqua" w:eastAsia="Book Antiqua" w:hAnsi="Book Antiqua" w:cs="Book Antiqua"/>
          <w:b/>
          <w:bCs/>
          <w:color w:val="000000"/>
        </w:rPr>
        <w:t>Pfeifer L</w:t>
      </w:r>
      <w:r w:rsidRPr="00310595">
        <w:rPr>
          <w:rFonts w:ascii="Book Antiqua" w:eastAsia="Book Antiqua" w:hAnsi="Book Antiqua" w:cs="Book Antiqua"/>
          <w:color w:val="000000"/>
        </w:rPr>
        <w:t xml:space="preserve">, Agaimy A, Janka R, Boxberger F, Wein A, Neurath MF, Siebler J. Complete Long-Term Remission of an Inflammatory Pseudotumor under Corticosteroid Therapy. </w:t>
      </w:r>
      <w:r w:rsidRPr="00310595">
        <w:rPr>
          <w:rFonts w:ascii="Book Antiqua" w:eastAsia="Book Antiqua" w:hAnsi="Book Antiqua" w:cs="Book Antiqua"/>
          <w:i/>
          <w:iCs/>
          <w:color w:val="000000"/>
        </w:rPr>
        <w:t>Case Rep Oncol</w:t>
      </w:r>
      <w:r w:rsidRPr="00310595">
        <w:rPr>
          <w:rFonts w:ascii="Book Antiqua" w:eastAsia="Book Antiqua" w:hAnsi="Book Antiqua" w:cs="Book Antiqua"/>
          <w:color w:val="000000"/>
        </w:rPr>
        <w:t xml:space="preserve"> 2011; </w:t>
      </w:r>
      <w:r w:rsidRPr="00310595">
        <w:rPr>
          <w:rFonts w:ascii="Book Antiqua" w:eastAsia="Book Antiqua" w:hAnsi="Book Antiqua" w:cs="Book Antiqua"/>
          <w:b/>
          <w:bCs/>
          <w:color w:val="000000"/>
        </w:rPr>
        <w:t>4</w:t>
      </w:r>
      <w:r w:rsidRPr="00310595">
        <w:rPr>
          <w:rFonts w:ascii="Book Antiqua" w:eastAsia="Book Antiqua" w:hAnsi="Book Antiqua" w:cs="Book Antiqua"/>
          <w:color w:val="000000"/>
        </w:rPr>
        <w:t>: 304-310 [PMID: 21734886 DOI: 10.1159/000329415]</w:t>
      </w:r>
    </w:p>
    <w:p w14:paraId="3EF4374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33 </w:t>
      </w:r>
      <w:r w:rsidRPr="00310595">
        <w:rPr>
          <w:rFonts w:ascii="Book Antiqua" w:eastAsia="Book Antiqua" w:hAnsi="Book Antiqua" w:cs="Book Antiqua"/>
          <w:b/>
          <w:bCs/>
          <w:color w:val="000000"/>
        </w:rPr>
        <w:t>Tao YL</w:t>
      </w:r>
      <w:r w:rsidRPr="00310595">
        <w:rPr>
          <w:rFonts w:ascii="Book Antiqua" w:eastAsia="Book Antiqua" w:hAnsi="Book Antiqua" w:cs="Book Antiqua"/>
          <w:color w:val="000000"/>
        </w:rPr>
        <w:t xml:space="preserve">, Wang ZJ, Han JG, Wei P. Inflammatory myofibroblastic tumor successfully treated with chemotherapy and nonsteroidals: a case report.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2012; </w:t>
      </w:r>
      <w:r w:rsidRPr="00310595">
        <w:rPr>
          <w:rFonts w:ascii="Book Antiqua" w:eastAsia="Book Antiqua" w:hAnsi="Book Antiqua" w:cs="Book Antiqua"/>
          <w:b/>
          <w:bCs/>
          <w:color w:val="000000"/>
        </w:rPr>
        <w:t>18</w:t>
      </w:r>
      <w:r w:rsidRPr="00310595">
        <w:rPr>
          <w:rFonts w:ascii="Book Antiqua" w:eastAsia="Book Antiqua" w:hAnsi="Book Antiqua" w:cs="Book Antiqua"/>
          <w:color w:val="000000"/>
        </w:rPr>
        <w:t>: 7100-7103 [PMID: 23323014 DOI: 10.3748/wjg.v18.i47.7100]</w:t>
      </w:r>
    </w:p>
    <w:p w14:paraId="39FA284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34 </w:t>
      </w:r>
      <w:r w:rsidRPr="00310595">
        <w:rPr>
          <w:rFonts w:ascii="Book Antiqua" w:eastAsia="Book Antiqua" w:hAnsi="Book Antiqua" w:cs="Book Antiqua"/>
          <w:b/>
          <w:bCs/>
          <w:color w:val="000000"/>
        </w:rPr>
        <w:t>Baldi GG</w:t>
      </w:r>
      <w:r w:rsidRPr="00310595">
        <w:rPr>
          <w:rFonts w:ascii="Book Antiqua" w:eastAsia="Book Antiqua" w:hAnsi="Book Antiqua" w:cs="Book Antiqua"/>
          <w:color w:val="000000"/>
        </w:rPr>
        <w:t xml:space="preserve">, Brahmi M, Lo Vullo S, Cojocaru E, Mir O, Casanova M, Vincenzi B, De Pas TM, Grignani G, Pantaleo MA, Blay JY, Jones RL, Le Cesne A, Frezza AM, Gronchi A, Collini P, Dei Tos AP, Morosi C, Mariani L, Casali PG, Stacchiotti S. The Activity of Chemotherapy in Inflammatory Myofibroblastic Tumors: A Multicenter, European Retrospective Case Series Analysis. </w:t>
      </w:r>
      <w:r w:rsidRPr="00310595">
        <w:rPr>
          <w:rFonts w:ascii="Book Antiqua" w:eastAsia="Book Antiqua" w:hAnsi="Book Antiqua" w:cs="Book Antiqua"/>
          <w:i/>
          <w:iCs/>
          <w:color w:val="000000"/>
        </w:rPr>
        <w:t>Oncologist</w:t>
      </w:r>
      <w:r w:rsidRPr="00310595">
        <w:rPr>
          <w:rFonts w:ascii="Book Antiqua" w:eastAsia="Book Antiqua" w:hAnsi="Book Antiqua" w:cs="Book Antiqua"/>
          <w:color w:val="000000"/>
        </w:rPr>
        <w:t xml:space="preserve"> 2020; </w:t>
      </w:r>
      <w:r w:rsidRPr="00310595">
        <w:rPr>
          <w:rFonts w:ascii="Book Antiqua" w:eastAsia="Book Antiqua" w:hAnsi="Book Antiqua" w:cs="Book Antiqua"/>
          <w:b/>
          <w:bCs/>
          <w:color w:val="000000"/>
        </w:rPr>
        <w:t>25</w:t>
      </w:r>
      <w:r w:rsidRPr="00310595">
        <w:rPr>
          <w:rFonts w:ascii="Book Antiqua" w:eastAsia="Book Antiqua" w:hAnsi="Book Antiqua" w:cs="Book Antiqua"/>
          <w:color w:val="000000"/>
        </w:rPr>
        <w:t>: e1777-e1784 [PMID: 32584482 DOI: 10.1634/theoncologist.2020-0352]</w:t>
      </w:r>
    </w:p>
    <w:p w14:paraId="4CE7816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35 </w:t>
      </w:r>
      <w:r w:rsidRPr="00310595">
        <w:rPr>
          <w:rFonts w:ascii="Book Antiqua" w:eastAsia="Book Antiqua" w:hAnsi="Book Antiqua" w:cs="Book Antiqua"/>
          <w:b/>
          <w:bCs/>
          <w:color w:val="000000"/>
        </w:rPr>
        <w:t>Trahair T</w:t>
      </w:r>
      <w:r w:rsidRPr="00310595">
        <w:rPr>
          <w:rFonts w:ascii="Book Antiqua" w:eastAsia="Book Antiqua" w:hAnsi="Book Antiqua" w:cs="Book Antiqua"/>
          <w:color w:val="000000"/>
        </w:rPr>
        <w:t xml:space="preserve">, Gifford AJ, Fordham A, Mayoh C, Fadia M, Lukeis R, Wood AC, Valvi S, Walker RD, Blackburn J, Heyer EE, Mercer TR, Barbaric D, Marshall GM, MacKenzie KL. Crizotinib and Surgery for Long-Term Disease Control in Children and Adolescents With ALK-Positive Inflammatory Myofibroblastic Tumors. </w:t>
      </w:r>
      <w:r w:rsidRPr="00310595">
        <w:rPr>
          <w:rFonts w:ascii="Book Antiqua" w:eastAsia="Book Antiqua" w:hAnsi="Book Antiqua" w:cs="Book Antiqua"/>
          <w:i/>
          <w:iCs/>
          <w:color w:val="000000"/>
        </w:rPr>
        <w:t>JCO Precis Oncol</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3</w:t>
      </w:r>
      <w:r w:rsidRPr="00310595">
        <w:rPr>
          <w:rFonts w:ascii="Book Antiqua" w:eastAsia="Book Antiqua" w:hAnsi="Book Antiqua" w:cs="Book Antiqua"/>
          <w:color w:val="000000"/>
        </w:rPr>
        <w:t xml:space="preserve"> [PMID: 32914017 DOI: 10.1200/PO.18.00297]</w:t>
      </w:r>
    </w:p>
    <w:p w14:paraId="685B6DC8"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36 </w:t>
      </w:r>
      <w:r w:rsidRPr="00310595">
        <w:rPr>
          <w:rFonts w:ascii="Book Antiqua" w:eastAsia="Book Antiqua" w:hAnsi="Book Antiqua" w:cs="Book Antiqua"/>
          <w:b/>
          <w:bCs/>
          <w:color w:val="000000"/>
        </w:rPr>
        <w:t>Karimi M</w:t>
      </w:r>
      <w:r w:rsidRPr="00310595">
        <w:rPr>
          <w:rFonts w:ascii="Book Antiqua" w:eastAsia="Book Antiqua" w:hAnsi="Book Antiqua" w:cs="Book Antiqua"/>
          <w:color w:val="000000"/>
        </w:rPr>
        <w:t xml:space="preserve">, Tizmaghz A, Shabestanipour G. An interesting case of inflammatory myofibroblastic tumor presenting as cholangiocarcinoma. </w:t>
      </w:r>
      <w:r w:rsidRPr="00310595">
        <w:rPr>
          <w:rFonts w:ascii="Book Antiqua" w:eastAsia="Book Antiqua" w:hAnsi="Book Antiqua" w:cs="Book Antiqua"/>
          <w:i/>
          <w:iCs/>
          <w:color w:val="000000"/>
        </w:rPr>
        <w:t>Int J Surg Case Rep</w:t>
      </w:r>
      <w:r w:rsidRPr="00310595">
        <w:rPr>
          <w:rFonts w:ascii="Book Antiqua" w:eastAsia="Book Antiqua" w:hAnsi="Book Antiqua" w:cs="Book Antiqua"/>
          <w:color w:val="000000"/>
        </w:rPr>
        <w:t xml:space="preserve"> 2018; </w:t>
      </w:r>
      <w:r w:rsidRPr="00310595">
        <w:rPr>
          <w:rFonts w:ascii="Book Antiqua" w:eastAsia="Book Antiqua" w:hAnsi="Book Antiqua" w:cs="Book Antiqua"/>
          <w:b/>
          <w:bCs/>
          <w:color w:val="000000"/>
        </w:rPr>
        <w:t>47</w:t>
      </w:r>
      <w:r w:rsidRPr="00310595">
        <w:rPr>
          <w:rFonts w:ascii="Book Antiqua" w:eastAsia="Book Antiqua" w:hAnsi="Book Antiqua" w:cs="Book Antiqua"/>
          <w:color w:val="000000"/>
        </w:rPr>
        <w:t>: 38-40 [PMID: 29705678 DOI: 10.1016/j.ijscr.2018.03.040]</w:t>
      </w:r>
    </w:p>
    <w:p w14:paraId="168F820D"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37 </w:t>
      </w:r>
      <w:r w:rsidRPr="00310595">
        <w:rPr>
          <w:rFonts w:ascii="Book Antiqua" w:eastAsia="Book Antiqua" w:hAnsi="Book Antiqua" w:cs="Book Antiqua"/>
          <w:b/>
          <w:bCs/>
          <w:color w:val="000000"/>
        </w:rPr>
        <w:t>Berumen J</w:t>
      </w:r>
      <w:r w:rsidRPr="00310595">
        <w:rPr>
          <w:rFonts w:ascii="Book Antiqua" w:eastAsia="Book Antiqua" w:hAnsi="Book Antiqua" w:cs="Book Antiqua"/>
          <w:color w:val="000000"/>
        </w:rPr>
        <w:t xml:space="preserve">, McCarty P, Mo J, Newton K, Fairbanks T, Mekeel K, Hemming A. Combined liver transplant and pancreaticoduodenectomy for inflammatory hilar myofibroblastic tumor: Case report and review of the literature. </w:t>
      </w:r>
      <w:r w:rsidRPr="00310595">
        <w:rPr>
          <w:rFonts w:ascii="Book Antiqua" w:eastAsia="Book Antiqua" w:hAnsi="Book Antiqua" w:cs="Book Antiqua"/>
          <w:i/>
          <w:iCs/>
          <w:color w:val="000000"/>
        </w:rPr>
        <w:t>Pediatr Transplant</w:t>
      </w:r>
      <w:r w:rsidRPr="00310595">
        <w:rPr>
          <w:rFonts w:ascii="Book Antiqua" w:eastAsia="Book Antiqua" w:hAnsi="Book Antiqua" w:cs="Book Antiqua"/>
          <w:color w:val="000000"/>
        </w:rPr>
        <w:t xml:space="preserve"> 2017; </w:t>
      </w:r>
      <w:r w:rsidRPr="00310595">
        <w:rPr>
          <w:rFonts w:ascii="Book Antiqua" w:eastAsia="Book Antiqua" w:hAnsi="Book Antiqua" w:cs="Book Antiqua"/>
          <w:b/>
          <w:bCs/>
          <w:color w:val="000000"/>
        </w:rPr>
        <w:t>21</w:t>
      </w:r>
      <w:r w:rsidRPr="00310595">
        <w:rPr>
          <w:rFonts w:ascii="Book Antiqua" w:eastAsia="Book Antiqua" w:hAnsi="Book Antiqua" w:cs="Book Antiqua"/>
          <w:color w:val="000000"/>
        </w:rPr>
        <w:t xml:space="preserve"> [PMID: 28000317 DOI: 10.1111/petr.12846]</w:t>
      </w:r>
    </w:p>
    <w:p w14:paraId="1A7CF1E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38 </w:t>
      </w:r>
      <w:r w:rsidRPr="00310595">
        <w:rPr>
          <w:rFonts w:ascii="Book Antiqua" w:eastAsia="Book Antiqua" w:hAnsi="Book Antiqua" w:cs="Book Antiqua"/>
          <w:b/>
          <w:bCs/>
          <w:color w:val="000000"/>
        </w:rPr>
        <w:t>Delis SG</w:t>
      </w:r>
      <w:r w:rsidRPr="00310595">
        <w:rPr>
          <w:rFonts w:ascii="Book Antiqua" w:eastAsia="Book Antiqua" w:hAnsi="Book Antiqua" w:cs="Book Antiqua"/>
          <w:color w:val="000000"/>
        </w:rPr>
        <w:t xml:space="preserve">, Dervenis C. Selection criteria for liver resection in patients with hepatocellular carcinoma and chronic liver disease.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2008; </w:t>
      </w:r>
      <w:r w:rsidRPr="00310595">
        <w:rPr>
          <w:rFonts w:ascii="Book Antiqua" w:eastAsia="Book Antiqua" w:hAnsi="Book Antiqua" w:cs="Book Antiqua"/>
          <w:b/>
          <w:bCs/>
          <w:color w:val="000000"/>
        </w:rPr>
        <w:t>14</w:t>
      </w:r>
      <w:r w:rsidRPr="00310595">
        <w:rPr>
          <w:rFonts w:ascii="Book Antiqua" w:eastAsia="Book Antiqua" w:hAnsi="Book Antiqua" w:cs="Book Antiqua"/>
          <w:color w:val="000000"/>
        </w:rPr>
        <w:t>: 3452-3460 [PMID: 18567070 DOI: 10.3748/wjg.14.3452]</w:t>
      </w:r>
    </w:p>
    <w:p w14:paraId="465837A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39 </w:t>
      </w:r>
      <w:r w:rsidRPr="00310595">
        <w:rPr>
          <w:rFonts w:ascii="Book Antiqua" w:eastAsia="Book Antiqua" w:hAnsi="Book Antiqua" w:cs="Book Antiqua"/>
          <w:b/>
          <w:bCs/>
          <w:color w:val="000000"/>
        </w:rPr>
        <w:t>Yamada S</w:t>
      </w:r>
      <w:r w:rsidRPr="00310595">
        <w:rPr>
          <w:rFonts w:ascii="Book Antiqua" w:eastAsia="Book Antiqua" w:hAnsi="Book Antiqua" w:cs="Book Antiqua"/>
          <w:color w:val="000000"/>
        </w:rPr>
        <w:t xml:space="preserve">, Shimada M, Morine Y, Imura S, Ikemoto T, Saito Y, Takasu C, Yoshikawa M, Teraoku H, Yoshimoto T. A new formula to calculate the resection limit in hepatectomy based on Gd-EOB-DTPA-enhanced magnetic resonance imaging. </w:t>
      </w:r>
      <w:r w:rsidRPr="00310595">
        <w:rPr>
          <w:rFonts w:ascii="Book Antiqua" w:eastAsia="Book Antiqua" w:hAnsi="Book Antiqua" w:cs="Book Antiqua"/>
          <w:i/>
          <w:iCs/>
          <w:color w:val="000000"/>
        </w:rPr>
        <w:t>PLoS One</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14</w:t>
      </w:r>
      <w:r w:rsidRPr="00310595">
        <w:rPr>
          <w:rFonts w:ascii="Book Antiqua" w:eastAsia="Book Antiqua" w:hAnsi="Book Antiqua" w:cs="Book Antiqua"/>
          <w:color w:val="000000"/>
        </w:rPr>
        <w:t>: e0210579 [PMID: 30682046 DOI: 10.1371/journal.pone.0210579]</w:t>
      </w:r>
    </w:p>
    <w:p w14:paraId="415CDA1D" w14:textId="55A57C7C" w:rsidR="00A77B3E" w:rsidRPr="00310595" w:rsidRDefault="000A428C">
      <w:pPr>
        <w:spacing w:line="360" w:lineRule="auto"/>
        <w:jc w:val="both"/>
      </w:pPr>
      <w:r w:rsidRPr="00310595">
        <w:rPr>
          <w:rFonts w:ascii="Book Antiqua" w:eastAsia="Book Antiqua" w:hAnsi="Book Antiqua" w:cs="Book Antiqua"/>
          <w:color w:val="000000"/>
        </w:rPr>
        <w:t xml:space="preserve">40 </w:t>
      </w:r>
      <w:r w:rsidRPr="00310595">
        <w:rPr>
          <w:rFonts w:ascii="Book Antiqua" w:eastAsia="Book Antiqua" w:hAnsi="Book Antiqua" w:cs="Book Antiqua"/>
          <w:b/>
          <w:bCs/>
          <w:color w:val="000000"/>
        </w:rPr>
        <w:t>Cillo U</w:t>
      </w:r>
      <w:r w:rsidRPr="00310595">
        <w:rPr>
          <w:rFonts w:ascii="Book Antiqua" w:eastAsia="Book Antiqua" w:hAnsi="Book Antiqua" w:cs="Book Antiqua"/>
          <w:color w:val="000000"/>
        </w:rPr>
        <w:t xml:space="preserve">, Fondevila C, Donadon M, Gringeri E, Mocchegiani F, Schlitt HJ, Ijzermans JNM, Vivarelli M, Zieniewicz K, Olde Damink SWM, Groot Koerkamp B. Surgery for cholangiocarcinoma. </w:t>
      </w:r>
      <w:r w:rsidRPr="00310595">
        <w:rPr>
          <w:rFonts w:ascii="Book Antiqua" w:eastAsia="Book Antiqua" w:hAnsi="Book Antiqua" w:cs="Book Antiqua"/>
          <w:i/>
          <w:iCs/>
          <w:color w:val="000000"/>
        </w:rPr>
        <w:t>Liver Int</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 xml:space="preserve">39 </w:t>
      </w:r>
      <w:r w:rsidRPr="00E5556A">
        <w:rPr>
          <w:rFonts w:ascii="Book Antiqua" w:eastAsia="Book Antiqua" w:hAnsi="Book Antiqua" w:cs="Book Antiqua"/>
          <w:bCs/>
          <w:color w:val="000000"/>
        </w:rPr>
        <w:t>Suppl 1</w:t>
      </w:r>
      <w:r w:rsidRPr="00E5556A">
        <w:rPr>
          <w:rFonts w:ascii="Book Antiqua" w:eastAsia="Book Antiqua" w:hAnsi="Book Antiqua" w:cs="Book Antiqua"/>
          <w:color w:val="000000"/>
        </w:rPr>
        <w:t>:</w:t>
      </w:r>
      <w:r w:rsidRPr="00310595">
        <w:rPr>
          <w:rFonts w:ascii="Book Antiqua" w:eastAsia="Book Antiqua" w:hAnsi="Book Antiqua" w:cs="Book Antiqua"/>
          <w:color w:val="000000"/>
        </w:rPr>
        <w:t xml:space="preserve"> 143-155 [PMID: 30843343 DOI: 10.1111/</w:t>
      </w:r>
      <w:r w:rsidR="00093C00">
        <w:rPr>
          <w:rFonts w:ascii="Book Antiqua" w:hAnsi="Book Antiqua" w:cs="Book Antiqua" w:hint="eastAsia"/>
          <w:color w:val="000000"/>
          <w:lang w:eastAsia="zh-CN"/>
        </w:rPr>
        <w:t>l</w:t>
      </w:r>
      <w:r w:rsidRPr="00310595">
        <w:rPr>
          <w:rFonts w:ascii="Book Antiqua" w:eastAsia="Book Antiqua" w:hAnsi="Book Antiqua" w:cs="Book Antiqua"/>
          <w:color w:val="000000"/>
        </w:rPr>
        <w:t>iv.14089]</w:t>
      </w:r>
    </w:p>
    <w:p w14:paraId="2228647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41 </w:t>
      </w:r>
      <w:r w:rsidRPr="00310595">
        <w:rPr>
          <w:rFonts w:ascii="Book Antiqua" w:eastAsia="Book Antiqua" w:hAnsi="Book Antiqua" w:cs="Book Antiqua"/>
          <w:b/>
          <w:bCs/>
          <w:color w:val="000000"/>
        </w:rPr>
        <w:t>Chaiteerakij R</w:t>
      </w:r>
      <w:r w:rsidRPr="00310595">
        <w:rPr>
          <w:rFonts w:ascii="Book Antiqua" w:eastAsia="Book Antiqua" w:hAnsi="Book Antiqua" w:cs="Book Antiqua"/>
          <w:color w:val="000000"/>
        </w:rPr>
        <w:t xml:space="preserve">, Harmsen WS, Marrero CR, Aboelsoud MM, Ndzengue A, Kaiya J, Therneau TM, Sanchez W, Gores GJ, Roberts LR. A new clinically based staging system for perihilar cholangiocarcinoma. </w:t>
      </w:r>
      <w:r w:rsidRPr="00310595">
        <w:rPr>
          <w:rFonts w:ascii="Book Antiqua" w:eastAsia="Book Antiqua" w:hAnsi="Book Antiqua" w:cs="Book Antiqua"/>
          <w:i/>
          <w:iCs/>
          <w:color w:val="000000"/>
        </w:rPr>
        <w:t>Am J Gastroenterol</w:t>
      </w:r>
      <w:r w:rsidRPr="00310595">
        <w:rPr>
          <w:rFonts w:ascii="Book Antiqua" w:eastAsia="Book Antiqua" w:hAnsi="Book Antiqua" w:cs="Book Antiqua"/>
          <w:color w:val="000000"/>
        </w:rPr>
        <w:t xml:space="preserve"> 2014; </w:t>
      </w:r>
      <w:r w:rsidRPr="00310595">
        <w:rPr>
          <w:rFonts w:ascii="Book Antiqua" w:eastAsia="Book Antiqua" w:hAnsi="Book Antiqua" w:cs="Book Antiqua"/>
          <w:b/>
          <w:bCs/>
          <w:color w:val="000000"/>
        </w:rPr>
        <w:t>109</w:t>
      </w:r>
      <w:r w:rsidRPr="00310595">
        <w:rPr>
          <w:rFonts w:ascii="Book Antiqua" w:eastAsia="Book Antiqua" w:hAnsi="Book Antiqua" w:cs="Book Antiqua"/>
          <w:color w:val="000000"/>
        </w:rPr>
        <w:t>: 1881-1890 [PMID: 25384902 DOI: 10.1038/ajg.2014.327]</w:t>
      </w:r>
    </w:p>
    <w:p w14:paraId="02A2686C" w14:textId="77777777" w:rsidR="00A77B3E" w:rsidRPr="00310595" w:rsidRDefault="000A428C">
      <w:pPr>
        <w:spacing w:line="360" w:lineRule="auto"/>
        <w:jc w:val="both"/>
      </w:pPr>
      <w:r w:rsidRPr="00093C00">
        <w:rPr>
          <w:rFonts w:ascii="Book Antiqua" w:eastAsia="Book Antiqua" w:hAnsi="Book Antiqua" w:cs="Book Antiqua"/>
          <w:color w:val="000000"/>
        </w:rPr>
        <w:t xml:space="preserve">42 </w:t>
      </w:r>
      <w:r w:rsidRPr="00093C00">
        <w:rPr>
          <w:rFonts w:ascii="Book Antiqua" w:eastAsia="Book Antiqua" w:hAnsi="Book Antiqua" w:cs="Book Antiqua"/>
          <w:b/>
          <w:bCs/>
          <w:color w:val="000000"/>
        </w:rPr>
        <w:t>Clary BM</w:t>
      </w:r>
      <w:r w:rsidRPr="00093C00">
        <w:rPr>
          <w:rFonts w:ascii="Book Antiqua" w:eastAsia="Book Antiqua" w:hAnsi="Book Antiqua" w:cs="Book Antiqua"/>
          <w:bCs/>
          <w:color w:val="000000"/>
        </w:rPr>
        <w:t>,</w:t>
      </w:r>
      <w:r w:rsidRPr="00093C00">
        <w:rPr>
          <w:rFonts w:ascii="Book Antiqua" w:eastAsia="Book Antiqua" w:hAnsi="Book Antiqua" w:cs="Book Antiqua"/>
          <w:color w:val="000000"/>
        </w:rPr>
        <w:t xml:space="preserve"> Jarnagin WR, Blumgart LH. Cholangiocarcinoma [Internet]. In: Holzheimer RG, Mannick JA, editors. Surgical Treatment: Evidence-Based and Problem-Oriented. Munich: Zuckschwerdt; 2001. [cited May 2</w:t>
      </w:r>
      <w:r w:rsidR="001C7136" w:rsidRPr="00093C00">
        <w:rPr>
          <w:rFonts w:ascii="Book Antiqua" w:hAnsi="Book Antiqua" w:cs="Book Antiqua" w:hint="eastAsia"/>
          <w:color w:val="000000"/>
          <w:lang w:eastAsia="zh-CN"/>
        </w:rPr>
        <w:t xml:space="preserve">, </w:t>
      </w:r>
      <w:r w:rsidR="001C7136" w:rsidRPr="00093C00">
        <w:rPr>
          <w:rFonts w:ascii="Book Antiqua" w:eastAsia="Book Antiqua" w:hAnsi="Book Antiqua" w:cs="Book Antiqua"/>
          <w:color w:val="000000"/>
        </w:rPr>
        <w:t>2020</w:t>
      </w:r>
      <w:r w:rsidRPr="00093C00">
        <w:rPr>
          <w:rFonts w:ascii="Book Antiqua" w:eastAsia="Book Antiqua" w:hAnsi="Book Antiqua" w:cs="Book Antiqua"/>
          <w:color w:val="000000"/>
        </w:rPr>
        <w:t>]. Available from: https://www.ncbi.nlm.nih.gov/books/NBK7001/</w:t>
      </w:r>
    </w:p>
    <w:p w14:paraId="2B8CA62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43 </w:t>
      </w:r>
      <w:r w:rsidRPr="00310595">
        <w:rPr>
          <w:rFonts w:ascii="Book Antiqua" w:eastAsia="Book Antiqua" w:hAnsi="Book Antiqua" w:cs="Book Antiqua"/>
          <w:b/>
          <w:bCs/>
          <w:color w:val="000000"/>
        </w:rPr>
        <w:t>Kubota K</w:t>
      </w:r>
      <w:r w:rsidRPr="00310595">
        <w:rPr>
          <w:rFonts w:ascii="Book Antiqua" w:eastAsia="Book Antiqua" w:hAnsi="Book Antiqua" w:cs="Book Antiqua"/>
          <w:color w:val="000000"/>
        </w:rPr>
        <w:t xml:space="preserve">, Makuuchi M, Kusaka K, Kobayashi T, Miki K, Hasegawa K, Harihara Y, Takayama T. Measurement of liver volume and hepatic functional reserve as a guide to decision-making in resectional surgery for hepatic tumors. </w:t>
      </w:r>
      <w:r w:rsidRPr="00310595">
        <w:rPr>
          <w:rFonts w:ascii="Book Antiqua" w:eastAsia="Book Antiqua" w:hAnsi="Book Antiqua" w:cs="Book Antiqua"/>
          <w:i/>
          <w:iCs/>
          <w:color w:val="000000"/>
        </w:rPr>
        <w:t>Hepatology</w:t>
      </w:r>
      <w:r w:rsidRPr="00310595">
        <w:rPr>
          <w:rFonts w:ascii="Book Antiqua" w:eastAsia="Book Antiqua" w:hAnsi="Book Antiqua" w:cs="Book Antiqua"/>
          <w:color w:val="000000"/>
        </w:rPr>
        <w:t xml:space="preserve"> 1997; </w:t>
      </w:r>
      <w:r w:rsidRPr="00310595">
        <w:rPr>
          <w:rFonts w:ascii="Book Antiqua" w:eastAsia="Book Antiqua" w:hAnsi="Book Antiqua" w:cs="Book Antiqua"/>
          <w:b/>
          <w:bCs/>
          <w:color w:val="000000"/>
        </w:rPr>
        <w:t>26</w:t>
      </w:r>
      <w:r w:rsidRPr="00310595">
        <w:rPr>
          <w:rFonts w:ascii="Book Antiqua" w:eastAsia="Book Antiqua" w:hAnsi="Book Antiqua" w:cs="Book Antiqua"/>
          <w:color w:val="000000"/>
        </w:rPr>
        <w:t>: 1176-1181 [PMID: 9362359 DOI: 10.1053/jhep.1997.v26.pm0009362359]</w:t>
      </w:r>
    </w:p>
    <w:p w14:paraId="4DCE81AE"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44 </w:t>
      </w:r>
      <w:r w:rsidRPr="00310595">
        <w:rPr>
          <w:rFonts w:ascii="Book Antiqua" w:eastAsia="Book Antiqua" w:hAnsi="Book Antiqua" w:cs="Book Antiqua"/>
          <w:b/>
          <w:bCs/>
          <w:color w:val="000000"/>
        </w:rPr>
        <w:t>Shoup M</w:t>
      </w:r>
      <w:r w:rsidRPr="00310595">
        <w:rPr>
          <w:rFonts w:ascii="Book Antiqua" w:eastAsia="Book Antiqua" w:hAnsi="Book Antiqua" w:cs="Book Antiqua"/>
          <w:color w:val="000000"/>
        </w:rPr>
        <w:t xml:space="preserve">, Gonen M, D'Angelica M, Jarnagin WR, DeMatteo RP, Schwartz LH, Tuorto S, Blumgart LH, Fong Y. Volumetric analysis predicts hepatic dysfunction in patients undergoing major liver resection. </w:t>
      </w:r>
      <w:r w:rsidRPr="00310595">
        <w:rPr>
          <w:rFonts w:ascii="Book Antiqua" w:eastAsia="Book Antiqua" w:hAnsi="Book Antiqua" w:cs="Book Antiqua"/>
          <w:i/>
          <w:iCs/>
          <w:color w:val="000000"/>
        </w:rPr>
        <w:t>J Gastrointest Surg</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7</w:t>
      </w:r>
      <w:r w:rsidRPr="00310595">
        <w:rPr>
          <w:rFonts w:ascii="Book Antiqua" w:eastAsia="Book Antiqua" w:hAnsi="Book Antiqua" w:cs="Book Antiqua"/>
          <w:color w:val="000000"/>
        </w:rPr>
        <w:t>: 325-330 [PMID: 12654556 DOI: 10.1016/s1091-255x(02)00370-0]</w:t>
      </w:r>
    </w:p>
    <w:p w14:paraId="0651CF7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45 </w:t>
      </w:r>
      <w:r w:rsidRPr="00310595">
        <w:rPr>
          <w:rFonts w:ascii="Book Antiqua" w:eastAsia="Book Antiqua" w:hAnsi="Book Antiqua" w:cs="Book Antiqua"/>
          <w:b/>
          <w:bCs/>
          <w:color w:val="000000"/>
        </w:rPr>
        <w:t>Zhang X</w:t>
      </w:r>
      <w:r w:rsidRPr="00310595">
        <w:rPr>
          <w:rFonts w:ascii="Book Antiqua" w:eastAsia="Book Antiqua" w:hAnsi="Book Antiqua" w:cs="Book Antiqua"/>
          <w:color w:val="000000"/>
        </w:rPr>
        <w:t xml:space="preserve">, Liu H. Klatskin Tumor: A Population-Based Study of Incidence and Survival. </w:t>
      </w:r>
      <w:r w:rsidRPr="00310595">
        <w:rPr>
          <w:rFonts w:ascii="Book Antiqua" w:eastAsia="Book Antiqua" w:hAnsi="Book Antiqua" w:cs="Book Antiqua"/>
          <w:i/>
          <w:iCs/>
          <w:color w:val="000000"/>
        </w:rPr>
        <w:t>Med Sci Monit</w:t>
      </w:r>
      <w:r w:rsidRPr="00310595">
        <w:rPr>
          <w:rFonts w:ascii="Book Antiqua" w:eastAsia="Book Antiqua" w:hAnsi="Book Antiqua" w:cs="Book Antiqua"/>
          <w:color w:val="000000"/>
        </w:rPr>
        <w:t xml:space="preserve"> 2019; </w:t>
      </w:r>
      <w:r w:rsidRPr="00310595">
        <w:rPr>
          <w:rFonts w:ascii="Book Antiqua" w:eastAsia="Book Antiqua" w:hAnsi="Book Antiqua" w:cs="Book Antiqua"/>
          <w:b/>
          <w:bCs/>
          <w:color w:val="000000"/>
        </w:rPr>
        <w:t>25</w:t>
      </w:r>
      <w:r w:rsidRPr="00310595">
        <w:rPr>
          <w:rFonts w:ascii="Book Antiqua" w:eastAsia="Book Antiqua" w:hAnsi="Book Antiqua" w:cs="Book Antiqua"/>
          <w:color w:val="000000"/>
        </w:rPr>
        <w:t>: 4503-4512 [PMID: 31204730 DOI: 10.12659/MSM.914987]</w:t>
      </w:r>
    </w:p>
    <w:p w14:paraId="0B901D1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46 </w:t>
      </w:r>
      <w:r w:rsidR="001C7136" w:rsidRPr="00310595">
        <w:rPr>
          <w:rFonts w:ascii="Book Antiqua" w:eastAsia="Book Antiqua" w:hAnsi="Book Antiqua" w:cs="Book Antiqua"/>
          <w:b/>
          <w:bCs/>
          <w:color w:val="000000"/>
        </w:rPr>
        <w:t xml:space="preserve">Haith </w:t>
      </w:r>
      <w:r w:rsidRPr="00310595">
        <w:rPr>
          <w:rFonts w:ascii="Book Antiqua" w:eastAsia="Book Antiqua" w:hAnsi="Book Antiqua" w:cs="Book Antiqua"/>
          <w:b/>
          <w:bCs/>
          <w:color w:val="000000"/>
        </w:rPr>
        <w:t>EE</w:t>
      </w:r>
      <w:r w:rsidRPr="00310595">
        <w:rPr>
          <w:rFonts w:ascii="Book Antiqua" w:eastAsia="Book Antiqua" w:hAnsi="Book Antiqua" w:cs="Book Antiqua"/>
          <w:color w:val="000000"/>
        </w:rPr>
        <w:t xml:space="preserve">, </w:t>
      </w:r>
      <w:r w:rsidR="001C7136" w:rsidRPr="00310595">
        <w:rPr>
          <w:rFonts w:ascii="Book Antiqua" w:eastAsia="Book Antiqua" w:hAnsi="Book Antiqua" w:cs="Book Antiqua"/>
          <w:color w:val="000000"/>
        </w:rPr>
        <w:t xml:space="preserve">Kepes </w:t>
      </w:r>
      <w:r w:rsidRPr="00310595">
        <w:rPr>
          <w:rFonts w:ascii="Book Antiqua" w:eastAsia="Book Antiqua" w:hAnsi="Book Antiqua" w:cs="Book Antiqua"/>
          <w:color w:val="000000"/>
        </w:rPr>
        <w:t xml:space="preserve">JJ, </w:t>
      </w:r>
      <w:r w:rsidR="001C7136" w:rsidRPr="00310595">
        <w:rPr>
          <w:rFonts w:ascii="Book Antiqua" w:eastAsia="Book Antiqua" w:hAnsi="Book Antiqua" w:cs="Book Antiqua"/>
          <w:color w:val="000000"/>
        </w:rPr>
        <w:t xml:space="preserve">Holder </w:t>
      </w:r>
      <w:r w:rsidRPr="00310595">
        <w:rPr>
          <w:rFonts w:ascii="Book Antiqua" w:eastAsia="Book Antiqua" w:hAnsi="Book Antiqua" w:cs="Book Antiqua"/>
          <w:color w:val="000000"/>
        </w:rPr>
        <w:t xml:space="preserve">TM. </w:t>
      </w:r>
      <w:r w:rsidR="001C7136" w:rsidRPr="00310595">
        <w:rPr>
          <w:rFonts w:ascii="Book Antiqua" w:eastAsia="Book Antiqua" w:hAnsi="Book Antiqua" w:cs="Book Antiqua"/>
          <w:color w:val="000000"/>
        </w:rPr>
        <w:t xml:space="preserve">Inflammatory pseudotumor involving the common bile duct of a six-year-old boy: successful pancreaticoduodenectomy. </w:t>
      </w:r>
      <w:r w:rsidRPr="00310595">
        <w:rPr>
          <w:rFonts w:ascii="Book Antiqua" w:eastAsia="Book Antiqua" w:hAnsi="Book Antiqua" w:cs="Book Antiqua"/>
          <w:i/>
          <w:iCs/>
          <w:color w:val="000000"/>
        </w:rPr>
        <w:t>Surgery</w:t>
      </w:r>
      <w:r w:rsidRPr="00310595">
        <w:rPr>
          <w:rFonts w:ascii="Book Antiqua" w:eastAsia="Book Antiqua" w:hAnsi="Book Antiqua" w:cs="Book Antiqua"/>
          <w:color w:val="000000"/>
        </w:rPr>
        <w:t xml:space="preserve"> 1964; </w:t>
      </w:r>
      <w:r w:rsidRPr="00310595">
        <w:rPr>
          <w:rFonts w:ascii="Book Antiqua" w:eastAsia="Book Antiqua" w:hAnsi="Book Antiqua" w:cs="Book Antiqua"/>
          <w:b/>
          <w:bCs/>
          <w:color w:val="000000"/>
        </w:rPr>
        <w:t>56</w:t>
      </w:r>
      <w:r w:rsidRPr="00310595">
        <w:rPr>
          <w:rFonts w:ascii="Book Antiqua" w:eastAsia="Book Antiqua" w:hAnsi="Book Antiqua" w:cs="Book Antiqua"/>
          <w:color w:val="000000"/>
        </w:rPr>
        <w:t>: 436-441 [PMID: 14213845]</w:t>
      </w:r>
    </w:p>
    <w:p w14:paraId="32B89236"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47 </w:t>
      </w:r>
      <w:r w:rsidRPr="00310595">
        <w:rPr>
          <w:rFonts w:ascii="Book Antiqua" w:eastAsia="Book Antiqua" w:hAnsi="Book Antiqua" w:cs="Book Antiqua"/>
          <w:b/>
          <w:bCs/>
          <w:color w:val="000000"/>
        </w:rPr>
        <w:t>Stamatakis JD</w:t>
      </w:r>
      <w:r w:rsidRPr="00310595">
        <w:rPr>
          <w:rFonts w:ascii="Book Antiqua" w:eastAsia="Book Antiqua" w:hAnsi="Book Antiqua" w:cs="Book Antiqua"/>
          <w:color w:val="000000"/>
        </w:rPr>
        <w:t xml:space="preserve">, Howard ER, Williams R. Benign inflammatory tumour of the common bile duct. </w:t>
      </w:r>
      <w:r w:rsidRPr="00310595">
        <w:rPr>
          <w:rFonts w:ascii="Book Antiqua" w:eastAsia="Book Antiqua" w:hAnsi="Book Antiqua" w:cs="Book Antiqua"/>
          <w:i/>
          <w:iCs/>
          <w:color w:val="000000"/>
        </w:rPr>
        <w:t>Br J Surg</w:t>
      </w:r>
      <w:r w:rsidRPr="00310595">
        <w:rPr>
          <w:rFonts w:ascii="Book Antiqua" w:eastAsia="Book Antiqua" w:hAnsi="Book Antiqua" w:cs="Book Antiqua"/>
          <w:color w:val="000000"/>
        </w:rPr>
        <w:t xml:space="preserve"> 1979; </w:t>
      </w:r>
      <w:r w:rsidRPr="00310595">
        <w:rPr>
          <w:rFonts w:ascii="Book Antiqua" w:eastAsia="Book Antiqua" w:hAnsi="Book Antiqua" w:cs="Book Antiqua"/>
          <w:b/>
          <w:bCs/>
          <w:color w:val="000000"/>
        </w:rPr>
        <w:t>66</w:t>
      </w:r>
      <w:r w:rsidRPr="00310595">
        <w:rPr>
          <w:rFonts w:ascii="Book Antiqua" w:eastAsia="Book Antiqua" w:hAnsi="Book Antiqua" w:cs="Book Antiqua"/>
          <w:color w:val="000000"/>
        </w:rPr>
        <w:t>: 257-258 [PMID: 454993 DOI: 10.1002/bjs.1800660412]</w:t>
      </w:r>
    </w:p>
    <w:p w14:paraId="6DCDE473"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48 </w:t>
      </w:r>
      <w:r w:rsidRPr="00310595">
        <w:rPr>
          <w:rFonts w:ascii="Book Antiqua" w:eastAsia="Book Antiqua" w:hAnsi="Book Antiqua" w:cs="Book Antiqua"/>
          <w:b/>
          <w:bCs/>
          <w:color w:val="000000"/>
        </w:rPr>
        <w:t>Ikeda H</w:t>
      </w:r>
      <w:r w:rsidRPr="00310595">
        <w:rPr>
          <w:rFonts w:ascii="Book Antiqua" w:eastAsia="Book Antiqua" w:hAnsi="Book Antiqua" w:cs="Book Antiqua"/>
          <w:color w:val="000000"/>
        </w:rPr>
        <w:t xml:space="preserve">, Oka T, Imafuku I, Yamada S, Yamada H, Fujiwara K, Hirata M, Idezuki Y, Oka H. A case of inflammatory pseudotumor of the gallbladder and bile duct. </w:t>
      </w:r>
      <w:r w:rsidRPr="00310595">
        <w:rPr>
          <w:rFonts w:ascii="Book Antiqua" w:eastAsia="Book Antiqua" w:hAnsi="Book Antiqua" w:cs="Book Antiqua"/>
          <w:i/>
          <w:iCs/>
          <w:color w:val="000000"/>
        </w:rPr>
        <w:t>Am J Gastroenterol</w:t>
      </w:r>
      <w:r w:rsidRPr="00310595">
        <w:rPr>
          <w:rFonts w:ascii="Book Antiqua" w:eastAsia="Book Antiqua" w:hAnsi="Book Antiqua" w:cs="Book Antiqua"/>
          <w:color w:val="000000"/>
        </w:rPr>
        <w:t xml:space="preserve"> 1990; </w:t>
      </w:r>
      <w:r w:rsidRPr="00310595">
        <w:rPr>
          <w:rFonts w:ascii="Book Antiqua" w:eastAsia="Book Antiqua" w:hAnsi="Book Antiqua" w:cs="Book Antiqua"/>
          <w:b/>
          <w:bCs/>
          <w:color w:val="000000"/>
        </w:rPr>
        <w:t>85</w:t>
      </w:r>
      <w:r w:rsidRPr="00310595">
        <w:rPr>
          <w:rFonts w:ascii="Book Antiqua" w:eastAsia="Book Antiqua" w:hAnsi="Book Antiqua" w:cs="Book Antiqua"/>
          <w:color w:val="000000"/>
        </w:rPr>
        <w:t>: 203-206 [PMID: 2405646]</w:t>
      </w:r>
    </w:p>
    <w:p w14:paraId="0EC210E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49 </w:t>
      </w:r>
      <w:r w:rsidRPr="00310595">
        <w:rPr>
          <w:rFonts w:ascii="Book Antiqua" w:eastAsia="Book Antiqua" w:hAnsi="Book Antiqua" w:cs="Book Antiqua"/>
          <w:b/>
          <w:bCs/>
          <w:color w:val="000000"/>
        </w:rPr>
        <w:t>Fukushima N</w:t>
      </w:r>
      <w:r w:rsidRPr="00310595">
        <w:rPr>
          <w:rFonts w:ascii="Book Antiqua" w:eastAsia="Book Antiqua" w:hAnsi="Book Antiqua" w:cs="Book Antiqua"/>
          <w:color w:val="000000"/>
        </w:rPr>
        <w:t xml:space="preserve">, Suzuki M, Abe T, Fukayama M. A case of inflammatory pseudotumour of the common bile duct. </w:t>
      </w:r>
      <w:r w:rsidRPr="00310595">
        <w:rPr>
          <w:rFonts w:ascii="Book Antiqua" w:eastAsia="Book Antiqua" w:hAnsi="Book Antiqua" w:cs="Book Antiqua"/>
          <w:i/>
          <w:iCs/>
          <w:color w:val="000000"/>
        </w:rPr>
        <w:t>Virchows Arch</w:t>
      </w:r>
      <w:r w:rsidRPr="00310595">
        <w:rPr>
          <w:rFonts w:ascii="Book Antiqua" w:eastAsia="Book Antiqua" w:hAnsi="Book Antiqua" w:cs="Book Antiqua"/>
          <w:color w:val="000000"/>
        </w:rPr>
        <w:t xml:space="preserve"> 1997; </w:t>
      </w:r>
      <w:r w:rsidRPr="00310595">
        <w:rPr>
          <w:rFonts w:ascii="Book Antiqua" w:eastAsia="Book Antiqua" w:hAnsi="Book Antiqua" w:cs="Book Antiqua"/>
          <w:b/>
          <w:bCs/>
          <w:color w:val="000000"/>
        </w:rPr>
        <w:t>431</w:t>
      </w:r>
      <w:r w:rsidRPr="00310595">
        <w:rPr>
          <w:rFonts w:ascii="Book Antiqua" w:eastAsia="Book Antiqua" w:hAnsi="Book Antiqua" w:cs="Book Antiqua"/>
          <w:color w:val="000000"/>
        </w:rPr>
        <w:t>: 219-224 [PMID: 9334845 DOI: 10.1007/s004280050092]</w:t>
      </w:r>
    </w:p>
    <w:p w14:paraId="460E6061"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50 </w:t>
      </w:r>
      <w:r w:rsidRPr="00310595">
        <w:rPr>
          <w:rFonts w:ascii="Book Antiqua" w:eastAsia="Book Antiqua" w:hAnsi="Book Antiqua" w:cs="Book Antiqua"/>
          <w:b/>
          <w:bCs/>
          <w:color w:val="000000"/>
        </w:rPr>
        <w:t>Walsh SV</w:t>
      </w:r>
      <w:r w:rsidRPr="00310595">
        <w:rPr>
          <w:rFonts w:ascii="Book Antiqua" w:eastAsia="Book Antiqua" w:hAnsi="Book Antiqua" w:cs="Book Antiqua"/>
          <w:color w:val="000000"/>
        </w:rPr>
        <w:t xml:space="preserve">, Evangelista F, Khettry U. Inflammatory myofibroblastic tumor of the pancreaticobiliary region: morphologic and immunocytochemical study of three cases. </w:t>
      </w:r>
      <w:r w:rsidRPr="00310595">
        <w:rPr>
          <w:rFonts w:ascii="Book Antiqua" w:eastAsia="Book Antiqua" w:hAnsi="Book Antiqua" w:cs="Book Antiqua"/>
          <w:i/>
          <w:iCs/>
          <w:color w:val="000000"/>
        </w:rPr>
        <w:t>Am J Surg Pathol</w:t>
      </w:r>
      <w:r w:rsidRPr="00310595">
        <w:rPr>
          <w:rFonts w:ascii="Book Antiqua" w:eastAsia="Book Antiqua" w:hAnsi="Book Antiqua" w:cs="Book Antiqua"/>
          <w:color w:val="000000"/>
        </w:rPr>
        <w:t xml:space="preserve"> 1998; </w:t>
      </w:r>
      <w:r w:rsidRPr="00310595">
        <w:rPr>
          <w:rFonts w:ascii="Book Antiqua" w:eastAsia="Book Antiqua" w:hAnsi="Book Antiqua" w:cs="Book Antiqua"/>
          <w:b/>
          <w:bCs/>
          <w:color w:val="000000"/>
        </w:rPr>
        <w:t>22</w:t>
      </w:r>
      <w:r w:rsidRPr="00310595">
        <w:rPr>
          <w:rFonts w:ascii="Book Antiqua" w:eastAsia="Book Antiqua" w:hAnsi="Book Antiqua" w:cs="Book Antiqua"/>
          <w:color w:val="000000"/>
        </w:rPr>
        <w:t>: 412-418 [PMID: 9537467 DOI: 10.1097/00000478-199804000-00004]</w:t>
      </w:r>
    </w:p>
    <w:p w14:paraId="30943E82"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51 </w:t>
      </w:r>
      <w:r w:rsidRPr="00310595">
        <w:rPr>
          <w:rFonts w:ascii="Book Antiqua" w:eastAsia="Book Antiqua" w:hAnsi="Book Antiqua" w:cs="Book Antiqua"/>
          <w:b/>
          <w:bCs/>
          <w:color w:val="000000"/>
        </w:rPr>
        <w:t>Sobesky R</w:t>
      </w:r>
      <w:r w:rsidRPr="00310595">
        <w:rPr>
          <w:rFonts w:ascii="Book Antiqua" w:eastAsia="Book Antiqua" w:hAnsi="Book Antiqua" w:cs="Book Antiqua"/>
          <w:color w:val="000000"/>
        </w:rPr>
        <w:t xml:space="preserve">, Chollet JM, Prat F, Karkouche B, Pelletier G, Fritsch J, Choury AD, Allonier C, Bedossa P, Buffet C. Inflammatory pseudotumor of the common bile duct. </w:t>
      </w:r>
      <w:r w:rsidRPr="00310595">
        <w:rPr>
          <w:rFonts w:ascii="Book Antiqua" w:eastAsia="Book Antiqua" w:hAnsi="Book Antiqua" w:cs="Book Antiqua"/>
          <w:i/>
          <w:iCs/>
          <w:color w:val="000000"/>
        </w:rPr>
        <w:t>Endoscopy</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35</w:t>
      </w:r>
      <w:r w:rsidRPr="00310595">
        <w:rPr>
          <w:rFonts w:ascii="Book Antiqua" w:eastAsia="Book Antiqua" w:hAnsi="Book Antiqua" w:cs="Book Antiqua"/>
          <w:color w:val="000000"/>
        </w:rPr>
        <w:t>: 698-700 [PMID: 12929069 DOI: 10.1055/s-2003-41522]</w:t>
      </w:r>
    </w:p>
    <w:p w14:paraId="422ECFD4"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52 </w:t>
      </w:r>
      <w:r w:rsidRPr="00310595">
        <w:rPr>
          <w:rFonts w:ascii="Book Antiqua" w:eastAsia="Book Antiqua" w:hAnsi="Book Antiqua" w:cs="Book Antiqua"/>
          <w:b/>
          <w:bCs/>
          <w:color w:val="000000"/>
        </w:rPr>
        <w:t>Venkataraman S</w:t>
      </w:r>
      <w:r w:rsidRPr="00310595">
        <w:rPr>
          <w:rFonts w:ascii="Book Antiqua" w:eastAsia="Book Antiqua" w:hAnsi="Book Antiqua" w:cs="Book Antiqua"/>
          <w:color w:val="000000"/>
        </w:rPr>
        <w:t xml:space="preserve">, Semelka RC, Braga L, Danet IM, Woosley JT. Inflammatory myofibroblastic tumor of the hepatobiliary system: report of MR imaging appearance in four patients. </w:t>
      </w:r>
      <w:r w:rsidRPr="00310595">
        <w:rPr>
          <w:rFonts w:ascii="Book Antiqua" w:eastAsia="Book Antiqua" w:hAnsi="Book Antiqua" w:cs="Book Antiqua"/>
          <w:i/>
          <w:iCs/>
          <w:color w:val="000000"/>
        </w:rPr>
        <w:t>Radiology</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227</w:t>
      </w:r>
      <w:r w:rsidRPr="00310595">
        <w:rPr>
          <w:rFonts w:ascii="Book Antiqua" w:eastAsia="Book Antiqua" w:hAnsi="Book Antiqua" w:cs="Book Antiqua"/>
          <w:color w:val="000000"/>
        </w:rPr>
        <w:t>: 758-763 [PMID: 12728186 DOI: 10.1148/radiol.2273020572]</w:t>
      </w:r>
    </w:p>
    <w:p w14:paraId="18E7C04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53 </w:t>
      </w:r>
      <w:r w:rsidRPr="00310595">
        <w:rPr>
          <w:rFonts w:ascii="Book Antiqua" w:eastAsia="Book Antiqua" w:hAnsi="Book Antiqua" w:cs="Book Antiqua"/>
          <w:b/>
          <w:bCs/>
          <w:color w:val="000000"/>
        </w:rPr>
        <w:t>Büyükyavuz I</w:t>
      </w:r>
      <w:r w:rsidRPr="00310595">
        <w:rPr>
          <w:rFonts w:ascii="Book Antiqua" w:eastAsia="Book Antiqua" w:hAnsi="Book Antiqua" w:cs="Book Antiqua"/>
          <w:color w:val="000000"/>
        </w:rPr>
        <w:t xml:space="preserve">, Karnak I, Haliloglu M, Senocak ME. Inflammatory myofibroblastic tumour of the extrahepatic bile ducts: an unusual cause of obstructive jaundice in children. </w:t>
      </w:r>
      <w:r w:rsidRPr="00310595">
        <w:rPr>
          <w:rFonts w:ascii="Book Antiqua" w:eastAsia="Book Antiqua" w:hAnsi="Book Antiqua" w:cs="Book Antiqua"/>
          <w:i/>
          <w:iCs/>
          <w:color w:val="000000"/>
        </w:rPr>
        <w:t>Eur J Pediatr Surg</w:t>
      </w:r>
      <w:r w:rsidRPr="00310595">
        <w:rPr>
          <w:rFonts w:ascii="Book Antiqua" w:eastAsia="Book Antiqua" w:hAnsi="Book Antiqua" w:cs="Book Antiqua"/>
          <w:color w:val="000000"/>
        </w:rPr>
        <w:t xml:space="preserve"> 2003; </w:t>
      </w:r>
      <w:r w:rsidRPr="00310595">
        <w:rPr>
          <w:rFonts w:ascii="Book Antiqua" w:eastAsia="Book Antiqua" w:hAnsi="Book Antiqua" w:cs="Book Antiqua"/>
          <w:b/>
          <w:bCs/>
          <w:color w:val="000000"/>
        </w:rPr>
        <w:t>13</w:t>
      </w:r>
      <w:r w:rsidRPr="00310595">
        <w:rPr>
          <w:rFonts w:ascii="Book Antiqua" w:eastAsia="Book Antiqua" w:hAnsi="Book Antiqua" w:cs="Book Antiqua"/>
          <w:color w:val="000000"/>
        </w:rPr>
        <w:t>: 421-424 [PMID: 14743334 DOI: 10.1055/s-2003-44736]</w:t>
      </w:r>
    </w:p>
    <w:p w14:paraId="0DC70EA0"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54 </w:t>
      </w:r>
      <w:r w:rsidRPr="00310595">
        <w:rPr>
          <w:rFonts w:ascii="Book Antiqua" w:eastAsia="Book Antiqua" w:hAnsi="Book Antiqua" w:cs="Book Antiqua"/>
          <w:b/>
          <w:bCs/>
          <w:color w:val="000000"/>
        </w:rPr>
        <w:t>Lopez-Tomassetti Fernandez EM</w:t>
      </w:r>
      <w:r w:rsidRPr="00310595">
        <w:rPr>
          <w:rFonts w:ascii="Book Antiqua" w:eastAsia="Book Antiqua" w:hAnsi="Book Antiqua" w:cs="Book Antiqua"/>
          <w:color w:val="000000"/>
        </w:rPr>
        <w:t xml:space="preserve">, Luis HD, Malagon AM, Gonzalez IA, Pallares AC. Recurrence of inflammatory pseudotumor in the distal bile duct: lessons learned from a single case and reported cases. </w:t>
      </w:r>
      <w:r w:rsidRPr="00310595">
        <w:rPr>
          <w:rFonts w:ascii="Book Antiqua" w:eastAsia="Book Antiqua" w:hAnsi="Book Antiqua" w:cs="Book Antiqua"/>
          <w:i/>
          <w:iCs/>
          <w:color w:val="000000"/>
        </w:rPr>
        <w:t>World J Gastroenterol</w:t>
      </w:r>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12</w:t>
      </w:r>
      <w:r w:rsidRPr="00310595">
        <w:rPr>
          <w:rFonts w:ascii="Book Antiqua" w:eastAsia="Book Antiqua" w:hAnsi="Book Antiqua" w:cs="Book Antiqua"/>
          <w:color w:val="000000"/>
        </w:rPr>
        <w:t>: 3938-3943 [PMID: 16804988 DOI: 10.3748/wjg.v12.i24.3938]</w:t>
      </w:r>
    </w:p>
    <w:p w14:paraId="2888CC85"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55 </w:t>
      </w:r>
      <w:r w:rsidRPr="00310595">
        <w:rPr>
          <w:rFonts w:ascii="Book Antiqua" w:eastAsia="Book Antiqua" w:hAnsi="Book Antiqua" w:cs="Book Antiqua"/>
          <w:b/>
          <w:bCs/>
          <w:color w:val="000000"/>
        </w:rPr>
        <w:t>Martín Malagón A</w:t>
      </w:r>
      <w:r w:rsidRPr="00310595">
        <w:rPr>
          <w:rFonts w:ascii="Book Antiqua" w:eastAsia="Book Antiqua" w:hAnsi="Book Antiqua" w:cs="Book Antiqua"/>
          <w:color w:val="000000"/>
        </w:rPr>
        <w:t xml:space="preserve">, López-Tomassetti Fernández E, Arteaga González I, Carrillo Pallarés A, Díaz Luis H. Inflammatory myofibroblastic tumor of the distal bile duct associated with lymphoplasmacytic sclerosing pancreatitis. Case report and review of the literature. </w:t>
      </w:r>
      <w:r w:rsidRPr="00310595">
        <w:rPr>
          <w:rFonts w:ascii="Book Antiqua" w:eastAsia="Book Antiqua" w:hAnsi="Book Antiqua" w:cs="Book Antiqua"/>
          <w:i/>
          <w:iCs/>
          <w:color w:val="000000"/>
        </w:rPr>
        <w:t>Pancreatology</w:t>
      </w:r>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6</w:t>
      </w:r>
      <w:r w:rsidRPr="00310595">
        <w:rPr>
          <w:rFonts w:ascii="Book Antiqua" w:eastAsia="Book Antiqua" w:hAnsi="Book Antiqua" w:cs="Book Antiqua"/>
          <w:color w:val="000000"/>
        </w:rPr>
        <w:t>: 145-154 [PMID: 16354963 DOI: 10.1159/000090256]</w:t>
      </w:r>
    </w:p>
    <w:p w14:paraId="231ACD3B"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56 </w:t>
      </w:r>
      <w:r w:rsidRPr="00310595">
        <w:rPr>
          <w:rFonts w:ascii="Book Antiqua" w:eastAsia="Book Antiqua" w:hAnsi="Book Antiqua" w:cs="Book Antiqua"/>
          <w:b/>
          <w:bCs/>
          <w:color w:val="000000"/>
        </w:rPr>
        <w:t>Kim BS</w:t>
      </w:r>
      <w:r w:rsidRPr="00310595">
        <w:rPr>
          <w:rFonts w:ascii="Book Antiqua" w:eastAsia="Book Antiqua" w:hAnsi="Book Antiqua" w:cs="Book Antiqua"/>
          <w:color w:val="000000"/>
        </w:rPr>
        <w:t xml:space="preserve">, Joo SH, Kim GY, Joo KR. Aggressive hilar inflammatory myofibroblastic tumor with hilar bile duct carcinoma in situ. </w:t>
      </w:r>
      <w:r w:rsidRPr="00310595">
        <w:rPr>
          <w:rFonts w:ascii="Book Antiqua" w:eastAsia="Book Antiqua" w:hAnsi="Book Antiqua" w:cs="Book Antiqua"/>
          <w:i/>
          <w:iCs/>
          <w:color w:val="000000"/>
        </w:rPr>
        <w:t>J Korean Surg Soc</w:t>
      </w:r>
      <w:r w:rsidRPr="00310595">
        <w:rPr>
          <w:rFonts w:ascii="Book Antiqua" w:eastAsia="Book Antiqua" w:hAnsi="Book Antiqua" w:cs="Book Antiqua"/>
          <w:color w:val="000000"/>
        </w:rPr>
        <w:t xml:space="preserve"> 2011; </w:t>
      </w:r>
      <w:r w:rsidRPr="00310595">
        <w:rPr>
          <w:rFonts w:ascii="Book Antiqua" w:eastAsia="Book Antiqua" w:hAnsi="Book Antiqua" w:cs="Book Antiqua"/>
          <w:b/>
          <w:bCs/>
          <w:color w:val="000000"/>
        </w:rPr>
        <w:t>81 Suppl 1</w:t>
      </w:r>
      <w:r w:rsidRPr="00310595">
        <w:rPr>
          <w:rFonts w:ascii="Book Antiqua" w:eastAsia="Book Antiqua" w:hAnsi="Book Antiqua" w:cs="Book Antiqua"/>
          <w:color w:val="000000"/>
        </w:rPr>
        <w:t>: S59-S63 [PMID: 22319741 DOI: 10.4174/jkss.2011.81.Suppl1.S59]</w:t>
      </w:r>
    </w:p>
    <w:p w14:paraId="56400BC7"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57 </w:t>
      </w:r>
      <w:r w:rsidRPr="00310595">
        <w:rPr>
          <w:rFonts w:ascii="Book Antiqua" w:eastAsia="Book Antiqua" w:hAnsi="Book Antiqua" w:cs="Book Antiqua"/>
          <w:b/>
          <w:bCs/>
          <w:color w:val="000000"/>
        </w:rPr>
        <w:t>Sekaran A</w:t>
      </w:r>
      <w:r w:rsidRPr="00310595">
        <w:rPr>
          <w:rFonts w:ascii="Book Antiqua" w:eastAsia="Book Antiqua" w:hAnsi="Book Antiqua" w:cs="Book Antiqua"/>
          <w:color w:val="000000"/>
        </w:rPr>
        <w:t xml:space="preserve">, Lakhtakia S, Pradeep R, Santosh D, Gupta R, Tandan M, Reddy DB, Rao GV, Reddy DN. Inflammatory myofibroblastic tumor of biliary tract presenting as recurrent GI bleed (with video). </w:t>
      </w:r>
      <w:r w:rsidRPr="00310595">
        <w:rPr>
          <w:rFonts w:ascii="Book Antiqua" w:eastAsia="Book Antiqua" w:hAnsi="Book Antiqua" w:cs="Book Antiqua"/>
          <w:i/>
          <w:iCs/>
          <w:color w:val="000000"/>
        </w:rPr>
        <w:t>Gastrointest Endosc</w:t>
      </w:r>
      <w:r w:rsidRPr="00310595">
        <w:rPr>
          <w:rFonts w:ascii="Book Antiqua" w:eastAsia="Book Antiqua" w:hAnsi="Book Antiqua" w:cs="Book Antiqua"/>
          <w:color w:val="000000"/>
        </w:rPr>
        <w:t xml:space="preserve"> 2006; </w:t>
      </w:r>
      <w:r w:rsidRPr="00310595">
        <w:rPr>
          <w:rFonts w:ascii="Book Antiqua" w:eastAsia="Book Antiqua" w:hAnsi="Book Antiqua" w:cs="Book Antiqua"/>
          <w:b/>
          <w:bCs/>
          <w:color w:val="000000"/>
        </w:rPr>
        <w:t>63</w:t>
      </w:r>
      <w:r w:rsidRPr="00310595">
        <w:rPr>
          <w:rFonts w:ascii="Book Antiqua" w:eastAsia="Book Antiqua" w:hAnsi="Book Antiqua" w:cs="Book Antiqua"/>
          <w:color w:val="000000"/>
        </w:rPr>
        <w:t>: 1077-1079 [PMID: 16733137 DOI: 10.1016/j.gie.2006.01.017]</w:t>
      </w:r>
    </w:p>
    <w:p w14:paraId="7210A5BC" w14:textId="77777777" w:rsidR="00A77B3E" w:rsidRPr="00310595" w:rsidRDefault="000A428C">
      <w:pPr>
        <w:spacing w:line="360" w:lineRule="auto"/>
        <w:jc w:val="both"/>
      </w:pPr>
      <w:r w:rsidRPr="00310595">
        <w:rPr>
          <w:rFonts w:ascii="Book Antiqua" w:eastAsia="Book Antiqua" w:hAnsi="Book Antiqua" w:cs="Book Antiqua"/>
          <w:color w:val="000000"/>
        </w:rPr>
        <w:t xml:space="preserve">58 </w:t>
      </w:r>
      <w:r w:rsidRPr="00310595">
        <w:rPr>
          <w:rFonts w:ascii="Book Antiqua" w:eastAsia="Book Antiqua" w:hAnsi="Book Antiqua" w:cs="Book Antiqua"/>
          <w:b/>
          <w:bCs/>
          <w:color w:val="000000"/>
        </w:rPr>
        <w:t>Abu-Wasel B</w:t>
      </w:r>
      <w:r w:rsidRPr="00310595">
        <w:rPr>
          <w:rFonts w:ascii="Book Antiqua" w:eastAsia="Book Antiqua" w:hAnsi="Book Antiqua" w:cs="Book Antiqua"/>
          <w:color w:val="000000"/>
        </w:rPr>
        <w:t xml:space="preserve">, Eltawil KM, Molinari M. Benign inflammatory pseudotumour mimicking extrahepatic bile duct cholangiocarcinoma in an adult man presenting with painless obstructive jaundice. </w:t>
      </w:r>
      <w:r w:rsidRPr="00310595">
        <w:rPr>
          <w:rFonts w:ascii="Book Antiqua" w:eastAsia="Book Antiqua" w:hAnsi="Book Antiqua" w:cs="Book Antiqua"/>
          <w:i/>
          <w:iCs/>
          <w:color w:val="000000"/>
        </w:rPr>
        <w:t>BMJ Case Rep</w:t>
      </w:r>
      <w:r w:rsidRPr="00310595">
        <w:rPr>
          <w:rFonts w:ascii="Book Antiqua" w:eastAsia="Book Antiqua" w:hAnsi="Book Antiqua" w:cs="Book Antiqua"/>
          <w:color w:val="000000"/>
        </w:rPr>
        <w:t xml:space="preserve"> 2012; </w:t>
      </w:r>
      <w:r w:rsidRPr="00310595">
        <w:rPr>
          <w:rFonts w:ascii="Book Antiqua" w:eastAsia="Book Antiqua" w:hAnsi="Book Antiqua" w:cs="Book Antiqua"/>
          <w:b/>
          <w:bCs/>
          <w:color w:val="000000"/>
        </w:rPr>
        <w:t>2012</w:t>
      </w:r>
      <w:r w:rsidRPr="00310595">
        <w:rPr>
          <w:rFonts w:ascii="Book Antiqua" w:eastAsia="Book Antiqua" w:hAnsi="Book Antiqua" w:cs="Book Antiqua"/>
          <w:color w:val="000000"/>
        </w:rPr>
        <w:t>: 006514 [PMID: 22739336 DOI: 10.1136/bcr-2012-006514]</w:t>
      </w:r>
    </w:p>
    <w:p w14:paraId="03B31257" w14:textId="1F9BD924" w:rsidR="00A77B3E" w:rsidRPr="00310595" w:rsidRDefault="000A428C">
      <w:pPr>
        <w:spacing w:line="360" w:lineRule="auto"/>
        <w:jc w:val="both"/>
      </w:pPr>
      <w:r w:rsidRPr="00310595">
        <w:rPr>
          <w:rFonts w:ascii="Book Antiqua" w:eastAsia="Book Antiqua" w:hAnsi="Book Antiqua" w:cs="Book Antiqua"/>
          <w:color w:val="000000"/>
        </w:rPr>
        <w:t xml:space="preserve">59 </w:t>
      </w:r>
      <w:r w:rsidRPr="00310595">
        <w:rPr>
          <w:rFonts w:ascii="Book Antiqua" w:eastAsia="Book Antiqua" w:hAnsi="Book Antiqua" w:cs="Book Antiqua"/>
          <w:b/>
          <w:bCs/>
          <w:color w:val="000000"/>
        </w:rPr>
        <w:t>D'Cunha A</w:t>
      </w:r>
      <w:r w:rsidRPr="00310595">
        <w:rPr>
          <w:rFonts w:ascii="Book Antiqua" w:eastAsia="Book Antiqua" w:hAnsi="Book Antiqua" w:cs="Book Antiqua"/>
          <w:color w:val="000000"/>
        </w:rPr>
        <w:t xml:space="preserve">, Jehangir S, Thomas R. Inflammatory Myofibroblastic Tumor of Common Bile Duct in a Girl. </w:t>
      </w:r>
      <w:r w:rsidRPr="00310595">
        <w:rPr>
          <w:rFonts w:ascii="Book Antiqua" w:eastAsia="Book Antiqua" w:hAnsi="Book Antiqua" w:cs="Book Antiqua"/>
          <w:i/>
          <w:iCs/>
          <w:color w:val="000000"/>
        </w:rPr>
        <w:t>APSP J Case Rep</w:t>
      </w:r>
      <w:r w:rsidRPr="00310595">
        <w:rPr>
          <w:rFonts w:ascii="Book Antiqua" w:eastAsia="Book Antiqua" w:hAnsi="Book Antiqua" w:cs="Book Antiqua"/>
          <w:color w:val="000000"/>
        </w:rPr>
        <w:t xml:space="preserve"> 2016; </w:t>
      </w:r>
      <w:r w:rsidRPr="00310595">
        <w:rPr>
          <w:rFonts w:ascii="Book Antiqua" w:eastAsia="Book Antiqua" w:hAnsi="Book Antiqua" w:cs="Book Antiqua"/>
          <w:b/>
          <w:bCs/>
          <w:color w:val="000000"/>
        </w:rPr>
        <w:t>7</w:t>
      </w:r>
      <w:r w:rsidRPr="00310595">
        <w:rPr>
          <w:rFonts w:ascii="Book Antiqua" w:eastAsia="Book Antiqua" w:hAnsi="Book Antiqua" w:cs="Book Antiqua"/>
          <w:color w:val="000000"/>
        </w:rPr>
        <w:t xml:space="preserve">: 28 [PMID: 27672578 DOI: </w:t>
      </w:r>
      <w:r w:rsidR="00093C00" w:rsidRPr="00093C00">
        <w:rPr>
          <w:rFonts w:ascii="Book Antiqua" w:eastAsia="Book Antiqua" w:hAnsi="Book Antiqua" w:cs="Book Antiqua"/>
          <w:color w:val="000000"/>
        </w:rPr>
        <w:t>10.21699/ajcr.v7i4.445</w:t>
      </w:r>
      <w:r w:rsidRPr="00310595">
        <w:rPr>
          <w:rFonts w:ascii="Book Antiqua" w:eastAsia="Book Antiqua" w:hAnsi="Book Antiqua" w:cs="Book Antiqua"/>
          <w:color w:val="000000"/>
        </w:rPr>
        <w:t>]</w:t>
      </w:r>
    </w:p>
    <w:p w14:paraId="07D33C98" w14:textId="77777777" w:rsidR="00A77B3E" w:rsidRPr="00310595" w:rsidRDefault="00A77B3E">
      <w:pPr>
        <w:spacing w:line="360" w:lineRule="auto"/>
        <w:jc w:val="both"/>
        <w:sectPr w:rsidR="00A77B3E" w:rsidRPr="00310595">
          <w:pgSz w:w="12240" w:h="15840"/>
          <w:pgMar w:top="1440" w:right="1440" w:bottom="1440" w:left="1440" w:header="720" w:footer="720" w:gutter="0"/>
          <w:cols w:space="720"/>
          <w:docGrid w:linePitch="360"/>
        </w:sectPr>
      </w:pPr>
    </w:p>
    <w:p w14:paraId="4DC85468" w14:textId="77777777" w:rsidR="00A77B3E" w:rsidRPr="00310595" w:rsidRDefault="000A428C">
      <w:pPr>
        <w:spacing w:line="360" w:lineRule="auto"/>
        <w:jc w:val="both"/>
      </w:pPr>
      <w:r w:rsidRPr="00310595">
        <w:rPr>
          <w:rFonts w:ascii="Book Antiqua" w:eastAsia="Book Antiqua" w:hAnsi="Book Antiqua" w:cs="Book Antiqua"/>
          <w:b/>
          <w:color w:val="000000"/>
        </w:rPr>
        <w:t>Footnotes</w:t>
      </w:r>
    </w:p>
    <w:p w14:paraId="195AF4AC" w14:textId="77777777" w:rsidR="00A77B3E" w:rsidRPr="00310595" w:rsidRDefault="000A428C">
      <w:pPr>
        <w:spacing w:line="360" w:lineRule="auto"/>
        <w:jc w:val="both"/>
      </w:pPr>
      <w:r w:rsidRPr="00310595">
        <w:rPr>
          <w:rFonts w:ascii="Book Antiqua" w:eastAsia="Book Antiqua" w:hAnsi="Book Antiqua" w:cs="Book Antiqua"/>
          <w:b/>
          <w:bCs/>
          <w:color w:val="000000"/>
          <w:szCs w:val="22"/>
        </w:rPr>
        <w:t xml:space="preserve">Informed consent statement: </w:t>
      </w:r>
      <w:r w:rsidRPr="00310595">
        <w:rPr>
          <w:rFonts w:ascii="Book Antiqua" w:eastAsia="Book Antiqua" w:hAnsi="Book Antiqua" w:cs="Book Antiqua"/>
          <w:color w:val="000000"/>
        </w:rPr>
        <w:t>Informed written consent was obtained from the patient for the publication of this report and any accompanying images.</w:t>
      </w:r>
    </w:p>
    <w:p w14:paraId="51692A9F" w14:textId="77777777" w:rsidR="00A77B3E" w:rsidRPr="00310595" w:rsidRDefault="00A77B3E">
      <w:pPr>
        <w:spacing w:line="360" w:lineRule="auto"/>
        <w:jc w:val="both"/>
      </w:pPr>
    </w:p>
    <w:p w14:paraId="4A95022F" w14:textId="77777777" w:rsidR="00A77B3E" w:rsidRPr="00310595" w:rsidRDefault="000A428C">
      <w:pPr>
        <w:spacing w:line="360" w:lineRule="auto"/>
        <w:jc w:val="both"/>
      </w:pPr>
      <w:r w:rsidRPr="00310595">
        <w:rPr>
          <w:rFonts w:ascii="Book Antiqua" w:eastAsia="Book Antiqua" w:hAnsi="Book Antiqua" w:cs="Book Antiqua"/>
          <w:b/>
          <w:bCs/>
          <w:color w:val="000000"/>
          <w:szCs w:val="22"/>
        </w:rPr>
        <w:t xml:space="preserve">Conflict-of-interest statement: </w:t>
      </w:r>
      <w:r w:rsidRPr="00310595">
        <w:rPr>
          <w:rFonts w:ascii="Book Antiqua" w:eastAsia="Book Antiqua" w:hAnsi="Book Antiqua" w:cs="Book Antiqua"/>
          <w:color w:val="000000"/>
        </w:rPr>
        <w:t>The authors declare that they have no conflicts of interest.</w:t>
      </w:r>
    </w:p>
    <w:p w14:paraId="5181988B" w14:textId="77777777" w:rsidR="00A77B3E" w:rsidRPr="00310595" w:rsidRDefault="00A77B3E">
      <w:pPr>
        <w:spacing w:line="360" w:lineRule="auto"/>
        <w:jc w:val="both"/>
      </w:pPr>
    </w:p>
    <w:p w14:paraId="73C5F3AB" w14:textId="77777777" w:rsidR="00A77B3E" w:rsidRPr="00310595" w:rsidRDefault="000A428C">
      <w:pPr>
        <w:spacing w:line="360" w:lineRule="auto"/>
        <w:jc w:val="both"/>
      </w:pPr>
      <w:r w:rsidRPr="00310595">
        <w:rPr>
          <w:rFonts w:ascii="Book Antiqua" w:eastAsia="Book Antiqua" w:hAnsi="Book Antiqua" w:cs="Book Antiqua"/>
          <w:b/>
          <w:bCs/>
          <w:color w:val="000000"/>
          <w:szCs w:val="22"/>
        </w:rPr>
        <w:t xml:space="preserve">CARE Checklist (2016) statement: </w:t>
      </w:r>
      <w:r w:rsidRPr="00310595">
        <w:rPr>
          <w:rFonts w:ascii="Book Antiqua" w:eastAsia="Book Antiqua" w:hAnsi="Book Antiqua" w:cs="Book Antiqua"/>
          <w:color w:val="000000"/>
        </w:rPr>
        <w:t>The authors have read the CARE Checklist (2016), and the manuscript was prepared and revised according to the CARE Checklist (2016).</w:t>
      </w:r>
    </w:p>
    <w:p w14:paraId="0C21EBE6" w14:textId="77777777" w:rsidR="00A77B3E" w:rsidRPr="00310595" w:rsidRDefault="00A77B3E">
      <w:pPr>
        <w:spacing w:line="360" w:lineRule="auto"/>
        <w:jc w:val="both"/>
      </w:pPr>
    </w:p>
    <w:p w14:paraId="0C6384F0" w14:textId="77777777" w:rsidR="00A77B3E" w:rsidRPr="00310595" w:rsidRDefault="000A428C">
      <w:pPr>
        <w:spacing w:line="360" w:lineRule="auto"/>
        <w:jc w:val="both"/>
      </w:pPr>
      <w:r w:rsidRPr="00310595">
        <w:rPr>
          <w:rFonts w:ascii="Book Antiqua" w:eastAsia="Book Antiqua" w:hAnsi="Book Antiqua" w:cs="Book Antiqua"/>
          <w:b/>
          <w:bCs/>
          <w:color w:val="000000"/>
        </w:rPr>
        <w:t xml:space="preserve">Open-Access: </w:t>
      </w:r>
      <w:bookmarkStart w:id="1" w:name="OLE_LINK334"/>
      <w:bookmarkStart w:id="2" w:name="OLE_LINK335"/>
      <w:r w:rsidRPr="0031059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
    <w:bookmarkEnd w:id="2"/>
    <w:p w14:paraId="60EFAF5F" w14:textId="77777777" w:rsidR="00A77B3E" w:rsidRPr="00310595" w:rsidRDefault="00A77B3E">
      <w:pPr>
        <w:spacing w:line="360" w:lineRule="auto"/>
        <w:jc w:val="both"/>
      </w:pPr>
    </w:p>
    <w:p w14:paraId="6627B497"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Manuscript source: </w:t>
      </w:r>
      <w:r w:rsidRPr="00310595">
        <w:rPr>
          <w:rFonts w:ascii="Book Antiqua" w:eastAsia="Book Antiqua" w:hAnsi="Book Antiqua" w:cs="Book Antiqua"/>
          <w:color w:val="000000"/>
        </w:rPr>
        <w:t>Unsolicited Manuscript</w:t>
      </w:r>
    </w:p>
    <w:p w14:paraId="1C47DFF9" w14:textId="63D788BC" w:rsidR="00A77B3E" w:rsidRPr="00310595" w:rsidRDefault="000A428C">
      <w:pPr>
        <w:spacing w:line="360" w:lineRule="auto"/>
        <w:jc w:val="both"/>
      </w:pPr>
      <w:r w:rsidRPr="00310595">
        <w:rPr>
          <w:rFonts w:ascii="Book Antiqua" w:eastAsia="Book Antiqua" w:hAnsi="Book Antiqua" w:cs="Book Antiqua"/>
          <w:b/>
          <w:color w:val="000000"/>
        </w:rPr>
        <w:t xml:space="preserve">Corresponding Author's Membership in Professional Societies: </w:t>
      </w:r>
      <w:r w:rsidRPr="00310595">
        <w:rPr>
          <w:rFonts w:ascii="Book Antiqua" w:eastAsia="Book Antiqua" w:hAnsi="Book Antiqua" w:cs="Book Antiqua"/>
          <w:color w:val="000000"/>
        </w:rPr>
        <w:t>United European Gastroenterology; European Association for the Study of the Liver (EASL), 62635; Lithuanian Society of Gastroenterology.</w:t>
      </w:r>
    </w:p>
    <w:p w14:paraId="0C680224" w14:textId="77777777" w:rsidR="00A77B3E" w:rsidRPr="00310595" w:rsidRDefault="00A77B3E">
      <w:pPr>
        <w:spacing w:line="360" w:lineRule="auto"/>
        <w:jc w:val="both"/>
      </w:pPr>
    </w:p>
    <w:p w14:paraId="0D26D8C7"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Peer-review started: </w:t>
      </w:r>
      <w:r w:rsidRPr="00310595">
        <w:rPr>
          <w:rFonts w:ascii="Book Antiqua" w:eastAsia="Book Antiqua" w:hAnsi="Book Antiqua" w:cs="Book Antiqua"/>
          <w:color w:val="000000"/>
        </w:rPr>
        <w:t>March 29, 2021</w:t>
      </w:r>
    </w:p>
    <w:p w14:paraId="2656F887"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First decision: </w:t>
      </w:r>
      <w:r w:rsidRPr="00310595">
        <w:rPr>
          <w:rFonts w:ascii="Book Antiqua" w:eastAsia="Book Antiqua" w:hAnsi="Book Antiqua" w:cs="Book Antiqua"/>
          <w:color w:val="000000"/>
        </w:rPr>
        <w:t>April 28, 2021</w:t>
      </w:r>
    </w:p>
    <w:p w14:paraId="7189094A" w14:textId="3907A3F3" w:rsidR="00A77B3E" w:rsidRPr="00310595" w:rsidRDefault="000A428C">
      <w:pPr>
        <w:spacing w:line="360" w:lineRule="auto"/>
        <w:jc w:val="both"/>
      </w:pPr>
      <w:r w:rsidRPr="00310595">
        <w:rPr>
          <w:rFonts w:ascii="Book Antiqua" w:eastAsia="Book Antiqua" w:hAnsi="Book Antiqua" w:cs="Book Antiqua"/>
          <w:b/>
          <w:color w:val="000000"/>
        </w:rPr>
        <w:t xml:space="preserve">Article in press: </w:t>
      </w:r>
      <w:r w:rsidR="003D7EBA" w:rsidRPr="003D7EBA">
        <w:rPr>
          <w:rFonts w:ascii="Book Antiqua" w:eastAsia="Book Antiqua" w:hAnsi="Book Antiqua" w:cs="Book Antiqua"/>
          <w:color w:val="000000"/>
        </w:rPr>
        <w:t>May 20, 2021</w:t>
      </w:r>
    </w:p>
    <w:p w14:paraId="31364934" w14:textId="77777777" w:rsidR="00A77B3E" w:rsidRPr="00310595" w:rsidRDefault="00A77B3E">
      <w:pPr>
        <w:spacing w:line="360" w:lineRule="auto"/>
        <w:jc w:val="both"/>
      </w:pPr>
    </w:p>
    <w:p w14:paraId="0AA32A55"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Specialty type: </w:t>
      </w:r>
      <w:r w:rsidRPr="00310595">
        <w:rPr>
          <w:rFonts w:ascii="Book Antiqua" w:eastAsia="Book Antiqua" w:hAnsi="Book Antiqua" w:cs="Book Antiqua"/>
          <w:color w:val="000000"/>
        </w:rPr>
        <w:t>Gastroenterology and Hepatology</w:t>
      </w:r>
    </w:p>
    <w:p w14:paraId="309BBB92" w14:textId="77777777" w:rsidR="00A77B3E" w:rsidRPr="00310595" w:rsidRDefault="000A428C">
      <w:pPr>
        <w:spacing w:line="360" w:lineRule="auto"/>
        <w:jc w:val="both"/>
      </w:pPr>
      <w:r w:rsidRPr="00310595">
        <w:rPr>
          <w:rFonts w:ascii="Book Antiqua" w:eastAsia="Book Antiqua" w:hAnsi="Book Antiqua" w:cs="Book Antiqua"/>
          <w:b/>
          <w:color w:val="000000"/>
        </w:rPr>
        <w:t xml:space="preserve">Country/Territory of origin: </w:t>
      </w:r>
      <w:r w:rsidRPr="00310595">
        <w:rPr>
          <w:rFonts w:ascii="Book Antiqua" w:eastAsia="Book Antiqua" w:hAnsi="Book Antiqua" w:cs="Book Antiqua"/>
          <w:color w:val="000000"/>
        </w:rPr>
        <w:t>Lithuania</w:t>
      </w:r>
    </w:p>
    <w:p w14:paraId="6177AED2" w14:textId="77777777" w:rsidR="00A77B3E" w:rsidRPr="00310595" w:rsidRDefault="000A428C">
      <w:pPr>
        <w:spacing w:line="360" w:lineRule="auto"/>
        <w:jc w:val="both"/>
      </w:pPr>
      <w:r w:rsidRPr="00310595">
        <w:rPr>
          <w:rFonts w:ascii="Book Antiqua" w:eastAsia="Book Antiqua" w:hAnsi="Book Antiqua" w:cs="Book Antiqua"/>
          <w:b/>
          <w:color w:val="000000"/>
        </w:rPr>
        <w:t>Peer-review report’s scientific quality classification</w:t>
      </w:r>
    </w:p>
    <w:p w14:paraId="477AA5E0" w14:textId="77777777" w:rsidR="00A77B3E" w:rsidRPr="00310595" w:rsidRDefault="000A428C">
      <w:pPr>
        <w:spacing w:line="360" w:lineRule="auto"/>
        <w:jc w:val="both"/>
      </w:pPr>
      <w:r w:rsidRPr="00310595">
        <w:rPr>
          <w:rFonts w:ascii="Book Antiqua" w:eastAsia="Book Antiqua" w:hAnsi="Book Antiqua" w:cs="Book Antiqua"/>
          <w:color w:val="000000"/>
        </w:rPr>
        <w:t>Grade A (Excellent): A</w:t>
      </w:r>
    </w:p>
    <w:p w14:paraId="473A5851" w14:textId="77777777" w:rsidR="00A77B3E" w:rsidRPr="00310595" w:rsidRDefault="000A428C">
      <w:pPr>
        <w:spacing w:line="360" w:lineRule="auto"/>
        <w:jc w:val="both"/>
      </w:pPr>
      <w:r w:rsidRPr="00310595">
        <w:rPr>
          <w:rFonts w:ascii="Book Antiqua" w:eastAsia="Book Antiqua" w:hAnsi="Book Antiqua" w:cs="Book Antiqua"/>
          <w:color w:val="000000"/>
        </w:rPr>
        <w:t>Grade B (Very good): 0</w:t>
      </w:r>
    </w:p>
    <w:p w14:paraId="245B0261" w14:textId="77777777" w:rsidR="00A77B3E" w:rsidRPr="00310595" w:rsidRDefault="000A428C">
      <w:pPr>
        <w:spacing w:line="360" w:lineRule="auto"/>
        <w:jc w:val="both"/>
      </w:pPr>
      <w:r w:rsidRPr="00310595">
        <w:rPr>
          <w:rFonts w:ascii="Book Antiqua" w:eastAsia="Book Antiqua" w:hAnsi="Book Antiqua" w:cs="Book Antiqua"/>
          <w:color w:val="000000"/>
        </w:rPr>
        <w:t>Grade C (Good): 0</w:t>
      </w:r>
    </w:p>
    <w:p w14:paraId="52770CBE" w14:textId="77777777" w:rsidR="00A77B3E" w:rsidRPr="00310595" w:rsidRDefault="000A428C">
      <w:pPr>
        <w:spacing w:line="360" w:lineRule="auto"/>
        <w:jc w:val="both"/>
      </w:pPr>
      <w:r w:rsidRPr="00310595">
        <w:rPr>
          <w:rFonts w:ascii="Book Antiqua" w:eastAsia="Book Antiqua" w:hAnsi="Book Antiqua" w:cs="Book Antiqua"/>
          <w:color w:val="000000"/>
        </w:rPr>
        <w:t>Grade D (Fair): 0</w:t>
      </w:r>
    </w:p>
    <w:p w14:paraId="3C30B622" w14:textId="77777777" w:rsidR="00A77B3E" w:rsidRPr="00310595" w:rsidRDefault="000A428C">
      <w:pPr>
        <w:spacing w:line="360" w:lineRule="auto"/>
        <w:jc w:val="both"/>
      </w:pPr>
      <w:r w:rsidRPr="00310595">
        <w:rPr>
          <w:rFonts w:ascii="Book Antiqua" w:eastAsia="Book Antiqua" w:hAnsi="Book Antiqua" w:cs="Book Antiqua"/>
          <w:color w:val="000000"/>
        </w:rPr>
        <w:t>Grade E (Poor): 0</w:t>
      </w:r>
    </w:p>
    <w:p w14:paraId="33C7F96A" w14:textId="77777777" w:rsidR="00A77B3E" w:rsidRPr="00310595" w:rsidRDefault="00A77B3E">
      <w:pPr>
        <w:spacing w:line="360" w:lineRule="auto"/>
        <w:jc w:val="both"/>
      </w:pPr>
    </w:p>
    <w:p w14:paraId="19B820CA" w14:textId="5ADBD240" w:rsidR="003D7EBA" w:rsidRDefault="000A428C">
      <w:pPr>
        <w:spacing w:line="360" w:lineRule="auto"/>
        <w:jc w:val="both"/>
        <w:rPr>
          <w:rFonts w:ascii="Book Antiqua" w:eastAsia="Book Antiqua" w:hAnsi="Book Antiqua" w:cs="Book Antiqua"/>
          <w:b/>
          <w:color w:val="000000"/>
        </w:rPr>
      </w:pPr>
      <w:r w:rsidRPr="00310595">
        <w:rPr>
          <w:rFonts w:ascii="Book Antiqua" w:eastAsia="Book Antiqua" w:hAnsi="Book Antiqua" w:cs="Book Antiqua"/>
          <w:b/>
          <w:color w:val="000000"/>
        </w:rPr>
        <w:t xml:space="preserve">P-Reviewer: </w:t>
      </w:r>
      <w:r w:rsidRPr="00310595">
        <w:rPr>
          <w:rFonts w:ascii="Book Antiqua" w:eastAsia="Book Antiqua" w:hAnsi="Book Antiqua" w:cs="Book Antiqua"/>
          <w:color w:val="000000"/>
        </w:rPr>
        <w:t>de Moura EGH</w:t>
      </w:r>
      <w:r w:rsidRPr="00310595">
        <w:rPr>
          <w:rFonts w:ascii="Book Antiqua" w:eastAsia="Book Antiqua" w:hAnsi="Book Antiqua" w:cs="Book Antiqua"/>
          <w:b/>
          <w:color w:val="000000"/>
        </w:rPr>
        <w:t xml:space="preserve"> S-Editor: </w:t>
      </w:r>
      <w:r w:rsidRPr="00310595">
        <w:rPr>
          <w:rFonts w:ascii="Book Antiqua" w:eastAsia="Book Antiqua" w:hAnsi="Book Antiqua" w:cs="Book Antiqua"/>
          <w:color w:val="000000"/>
        </w:rPr>
        <w:t>Ma YJ</w:t>
      </w:r>
      <w:r w:rsidRPr="00310595">
        <w:rPr>
          <w:rFonts w:ascii="Book Antiqua" w:eastAsia="Book Antiqua" w:hAnsi="Book Antiqua" w:cs="Book Antiqua"/>
          <w:b/>
          <w:color w:val="000000"/>
        </w:rPr>
        <w:t xml:space="preserve"> L-Editor: </w:t>
      </w:r>
      <w:r w:rsidR="003D7EBA" w:rsidRPr="003D7EBA">
        <w:rPr>
          <w:rFonts w:ascii="Book Antiqua" w:hAnsi="Book Antiqua" w:cs="Book Antiqua" w:hint="eastAsia"/>
          <w:color w:val="000000"/>
          <w:lang w:eastAsia="zh-CN"/>
        </w:rPr>
        <w:t>A</w:t>
      </w:r>
      <w:r w:rsidRPr="00310595">
        <w:rPr>
          <w:rFonts w:ascii="Book Antiqua" w:eastAsia="Book Antiqua" w:hAnsi="Book Antiqua" w:cs="Book Antiqua"/>
          <w:b/>
          <w:color w:val="000000"/>
        </w:rPr>
        <w:t xml:space="preserve"> P-Editor: </w:t>
      </w:r>
      <w:r w:rsidR="003D7EBA" w:rsidRPr="003D7EBA">
        <w:rPr>
          <w:rFonts w:ascii="Book Antiqua" w:eastAsia="Book Antiqua" w:hAnsi="Book Antiqua" w:cs="Book Antiqua"/>
          <w:color w:val="000000"/>
        </w:rPr>
        <w:t>Yuan YY</w:t>
      </w:r>
    </w:p>
    <w:p w14:paraId="7A8F54DE" w14:textId="77777777" w:rsidR="003D7EBA" w:rsidRDefault="003D7EBA">
      <w:pPr>
        <w:rPr>
          <w:rFonts w:ascii="Book Antiqua" w:eastAsia="Book Antiqua" w:hAnsi="Book Antiqua" w:cs="Book Antiqua"/>
          <w:b/>
          <w:color w:val="000000"/>
        </w:rPr>
      </w:pPr>
      <w:r>
        <w:rPr>
          <w:rFonts w:ascii="Book Antiqua" w:eastAsia="Book Antiqua" w:hAnsi="Book Antiqua" w:cs="Book Antiqua"/>
          <w:b/>
          <w:color w:val="000000"/>
        </w:rPr>
        <w:br w:type="page"/>
      </w:r>
    </w:p>
    <w:p w14:paraId="47A98C0B" w14:textId="77777777" w:rsidR="00A77B3E" w:rsidRPr="00310595" w:rsidRDefault="00A77B3E">
      <w:pPr>
        <w:spacing w:line="360" w:lineRule="auto"/>
        <w:jc w:val="both"/>
        <w:sectPr w:rsidR="00A77B3E" w:rsidRPr="00310595">
          <w:pgSz w:w="12240" w:h="15840"/>
          <w:pgMar w:top="1440" w:right="1440" w:bottom="1440" w:left="1440" w:header="720" w:footer="720" w:gutter="0"/>
          <w:cols w:space="720"/>
          <w:docGrid w:linePitch="360"/>
        </w:sectPr>
      </w:pPr>
    </w:p>
    <w:p w14:paraId="47CEB196" w14:textId="77777777" w:rsidR="00A77B3E" w:rsidRPr="00310595" w:rsidRDefault="000A428C">
      <w:pPr>
        <w:spacing w:line="360" w:lineRule="auto"/>
        <w:jc w:val="both"/>
        <w:rPr>
          <w:rFonts w:ascii="Book Antiqua" w:hAnsi="Book Antiqua" w:cs="Book Antiqua"/>
          <w:b/>
          <w:color w:val="000000"/>
          <w:lang w:eastAsia="zh-CN"/>
        </w:rPr>
      </w:pPr>
      <w:r w:rsidRPr="00310595">
        <w:rPr>
          <w:rFonts w:ascii="Book Antiqua" w:eastAsia="Book Antiqua" w:hAnsi="Book Antiqua" w:cs="Book Antiqua"/>
          <w:b/>
          <w:color w:val="000000"/>
        </w:rPr>
        <w:t>Figure Legends</w:t>
      </w:r>
    </w:p>
    <w:p w14:paraId="5F7F96EA" w14:textId="77777777" w:rsidR="001C7136" w:rsidRPr="00310595" w:rsidRDefault="001C7136">
      <w:pPr>
        <w:spacing w:line="360" w:lineRule="auto"/>
        <w:jc w:val="both"/>
        <w:rPr>
          <w:lang w:eastAsia="zh-CN"/>
        </w:rPr>
      </w:pPr>
      <w:r w:rsidRPr="00310595">
        <w:rPr>
          <w:rFonts w:ascii="Book Antiqua" w:eastAsia="Book Antiqua" w:hAnsi="Book Antiqua" w:cs="Book Antiqua"/>
          <w:b/>
          <w:noProof/>
          <w:color w:val="000000" w:themeColor="text1"/>
          <w:lang w:eastAsia="zh-CN"/>
        </w:rPr>
        <w:drawing>
          <wp:inline distT="0" distB="0" distL="0" distR="0" wp14:anchorId="5E679632" wp14:editId="46F9E105">
            <wp:extent cx="5943600"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49450"/>
                    </a:xfrm>
                    <a:prstGeom prst="rect">
                      <a:avLst/>
                    </a:prstGeom>
                    <a:noFill/>
                    <a:ln>
                      <a:noFill/>
                    </a:ln>
                  </pic:spPr>
                </pic:pic>
              </a:graphicData>
            </a:graphic>
          </wp:inline>
        </w:drawing>
      </w:r>
    </w:p>
    <w:p w14:paraId="3CCD7D87"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1 </w:t>
      </w:r>
      <w:r w:rsidRPr="00310595">
        <w:rPr>
          <w:rFonts w:ascii="Book Antiqua" w:eastAsia="Book Antiqua" w:hAnsi="Book Antiqua" w:cs="Book Antiqua"/>
          <w:b/>
          <w:bCs/>
          <w:caps/>
          <w:color w:val="000000"/>
        </w:rPr>
        <w:t>m</w:t>
      </w:r>
      <w:r w:rsidRPr="00310595">
        <w:rPr>
          <w:rFonts w:ascii="Book Antiqua" w:eastAsia="Book Antiqua" w:hAnsi="Book Antiqua" w:cs="Book Antiqua"/>
          <w:b/>
          <w:bCs/>
          <w:color w:val="000000"/>
        </w:rPr>
        <w:t>agnetic resonance cholangiopancreatography images at presentation.</w:t>
      </w:r>
      <w:r w:rsidRPr="00310595">
        <w:rPr>
          <w:rFonts w:ascii="Book Antiqua" w:eastAsia="Book Antiqua" w:hAnsi="Book Antiqua" w:cs="Book Antiqua"/>
          <w:color w:val="000000"/>
        </w:rPr>
        <w:t xml:space="preserve"> A: T1 FS late phase contrast-enhanced image showing soft tissue mass with gradual enhancement in the late phase around the wall of the common hepatic duct; B: Three-dimensional magnetic resonance cholangiopancreatography images showing a mass extending to segmental intrahepatic ducts on both lobes with dilatation of peripheral ducts.</w:t>
      </w:r>
    </w:p>
    <w:p w14:paraId="32557AD0"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hAnsi="Book Antiqua"/>
          <w:noProof/>
          <w:color w:val="000000" w:themeColor="text1"/>
          <w:lang w:eastAsia="zh-CN"/>
        </w:rPr>
        <w:drawing>
          <wp:inline distT="0" distB="0" distL="0" distR="0" wp14:anchorId="7B3A4E7C" wp14:editId="06E1EACE">
            <wp:extent cx="5822315" cy="262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2621280"/>
                    </a:xfrm>
                    <a:prstGeom prst="rect">
                      <a:avLst/>
                    </a:prstGeom>
                    <a:noFill/>
                  </pic:spPr>
                </pic:pic>
              </a:graphicData>
            </a:graphic>
          </wp:inline>
        </w:drawing>
      </w:r>
    </w:p>
    <w:p w14:paraId="14553E14" w14:textId="20862462"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2 </w:t>
      </w:r>
      <w:r w:rsidRPr="00310595">
        <w:rPr>
          <w:rFonts w:ascii="Book Antiqua" w:eastAsia="Book Antiqua" w:hAnsi="Book Antiqua" w:cs="Book Antiqua"/>
          <w:b/>
          <w:bCs/>
          <w:caps/>
          <w:color w:val="000000"/>
        </w:rPr>
        <w:t>e</w:t>
      </w:r>
      <w:r w:rsidRPr="00310595">
        <w:rPr>
          <w:rFonts w:ascii="Book Antiqua" w:eastAsia="Book Antiqua" w:hAnsi="Book Antiqua" w:cs="Book Antiqua"/>
          <w:b/>
          <w:bCs/>
          <w:color w:val="000000"/>
        </w:rPr>
        <w:t xml:space="preserve">ndoscopic retrograde cholangiopancreatography and direct cholangioscopy images. </w:t>
      </w:r>
      <w:r w:rsidRPr="00310595">
        <w:rPr>
          <w:rFonts w:ascii="Book Antiqua" w:eastAsia="Book Antiqua" w:hAnsi="Book Antiqua" w:cs="Book Antiqua"/>
          <w:color w:val="000000"/>
        </w:rPr>
        <w:t>A:</w:t>
      </w:r>
      <w:r w:rsidRPr="00310595">
        <w:rPr>
          <w:rFonts w:ascii="Book Antiqua" w:eastAsia="Book Antiqua" w:hAnsi="Book Antiqua" w:cs="Book Antiqua"/>
          <w:b/>
          <w:bCs/>
          <w:color w:val="000000"/>
        </w:rPr>
        <w:t xml:space="preserve"> </w:t>
      </w:r>
      <w:r w:rsidRPr="00310595">
        <w:rPr>
          <w:rFonts w:ascii="Book Antiqua" w:eastAsia="Book Antiqua" w:hAnsi="Book Antiqua" w:cs="Book Antiqua"/>
          <w:caps/>
          <w:color w:val="000000"/>
        </w:rPr>
        <w:t>e</w:t>
      </w:r>
      <w:r w:rsidRPr="00310595">
        <w:rPr>
          <w:rFonts w:ascii="Book Antiqua" w:eastAsia="Book Antiqua" w:hAnsi="Book Antiqua" w:cs="Book Antiqua"/>
          <w:color w:val="000000"/>
        </w:rPr>
        <w:t>ndoscopic retrograde cholangiopancreatography image showing proximal common hepatic duct (CHD) stricture (arrow) involving hepatic confluence with complete obstruction of the right hepatic duct; B: Direct cholangioscopy endoscopic image showing stricture of the proximal CHD.</w:t>
      </w:r>
    </w:p>
    <w:p w14:paraId="253B47CE"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eastAsia="Book Antiqua" w:hAnsi="Book Antiqua" w:cs="Book Antiqua"/>
          <w:b/>
          <w:bCs/>
          <w:i/>
          <w:iCs/>
          <w:noProof/>
          <w:color w:val="000000" w:themeColor="text1"/>
          <w:lang w:eastAsia="zh-CN"/>
        </w:rPr>
        <w:drawing>
          <wp:inline distT="0" distB="0" distL="0" distR="0" wp14:anchorId="23F988C6" wp14:editId="3700E6A7">
            <wp:extent cx="5943600" cy="398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82720"/>
                    </a:xfrm>
                    <a:prstGeom prst="rect">
                      <a:avLst/>
                    </a:prstGeom>
                    <a:noFill/>
                  </pic:spPr>
                </pic:pic>
              </a:graphicData>
            </a:graphic>
          </wp:inline>
        </w:drawing>
      </w:r>
    </w:p>
    <w:p w14:paraId="6E3E68B3"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Figure 3</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b/>
          <w:bCs/>
          <w:caps/>
          <w:color w:val="000000"/>
        </w:rPr>
        <w:t>m</w:t>
      </w:r>
      <w:r w:rsidRPr="00310595">
        <w:rPr>
          <w:rFonts w:ascii="Book Antiqua" w:eastAsia="Book Antiqua" w:hAnsi="Book Antiqua" w:cs="Book Antiqua"/>
          <w:b/>
          <w:bCs/>
          <w:color w:val="000000"/>
        </w:rPr>
        <w:t>agnetic resonance cholangiopancreatography images 3 mo later.</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A: Three-dimensional magnetic resonance cholangiopancreatography (MRCP) images showing a common hepatic duct stricture (arrow) extending to intrahepatic segmental ducts extent to similar extent as on the previous MRCP with peripheral duct dilatation; B: FS contrast-enhanced images showing a cluster of rim enhancing lesions most likely small abscesses due to cholangitis (arrows); C: Enlarged cardiophrenic lymph nodes (arrow).</w:t>
      </w:r>
    </w:p>
    <w:p w14:paraId="6B438413" w14:textId="77777777" w:rsidR="001C7136" w:rsidRPr="00310595" w:rsidRDefault="001C7136">
      <w:pPr>
        <w:spacing w:line="360" w:lineRule="auto"/>
        <w:jc w:val="both"/>
        <w:rPr>
          <w:rFonts w:ascii="Book Antiqua" w:hAnsi="Book Antiqua" w:cs="Book Antiqua"/>
          <w:color w:val="000000"/>
          <w:lang w:eastAsia="zh-CN"/>
        </w:rPr>
      </w:pPr>
      <w:r w:rsidRPr="00310595">
        <w:rPr>
          <w:rFonts w:ascii="Book Antiqua" w:hAnsi="Book Antiqua" w:cs="Book Antiqua"/>
          <w:color w:val="000000"/>
          <w:lang w:eastAsia="zh-CN"/>
        </w:rPr>
        <w:br w:type="page"/>
      </w:r>
      <w:r w:rsidRPr="00310595">
        <w:rPr>
          <w:rFonts w:ascii="Book Antiqua" w:hAnsi="Book Antiqua"/>
          <w:noProof/>
          <w:color w:val="000000" w:themeColor="text1"/>
          <w:lang w:eastAsia="zh-CN"/>
        </w:rPr>
        <w:drawing>
          <wp:inline distT="0" distB="0" distL="0" distR="0" wp14:anchorId="389D5C86" wp14:editId="07F361F1">
            <wp:extent cx="59436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182EC038" w14:textId="77777777" w:rsidR="00A77B3E" w:rsidRPr="00310595" w:rsidRDefault="000A428C">
      <w:pPr>
        <w:spacing w:line="360" w:lineRule="auto"/>
        <w:jc w:val="both"/>
        <w:rPr>
          <w:rFonts w:ascii="Book Antiqua" w:hAnsi="Book Antiqua" w:cs="Book Antiqua"/>
          <w:color w:val="000000"/>
          <w:shd w:val="clear" w:color="auto" w:fill="FFFCF0"/>
          <w:lang w:eastAsia="zh-CN"/>
        </w:rPr>
      </w:pPr>
      <w:r w:rsidRPr="00310595">
        <w:rPr>
          <w:rFonts w:ascii="Book Antiqua" w:eastAsia="Book Antiqua" w:hAnsi="Book Antiqua" w:cs="Book Antiqua"/>
          <w:b/>
          <w:bCs/>
          <w:color w:val="000000"/>
        </w:rPr>
        <w:t xml:space="preserve">Figure 4 Histological images. </w:t>
      </w:r>
      <w:r w:rsidRPr="00310595">
        <w:rPr>
          <w:rFonts w:ascii="Book Antiqua" w:eastAsia="Book Antiqua" w:hAnsi="Book Antiqua" w:cs="Book Antiqua"/>
          <w:color w:val="000000"/>
        </w:rPr>
        <w:t>A, B:</w:t>
      </w:r>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The tumor is formed of disordered myofibroblasts and fibroblasts. Focal abundant polymorphonuclear infiltration can be seen (top and bottom left) (HE x 200); C: Negative ALK-1 immunohistochemical reaction</w:t>
      </w:r>
      <w:r w:rsidRPr="00310595">
        <w:rPr>
          <w:rFonts w:ascii="Book Antiqua" w:eastAsia="Book Antiqua" w:hAnsi="Book Antiqua" w:cs="Book Antiqua"/>
          <w:color w:val="000000"/>
          <w:shd w:val="clear" w:color="auto" w:fill="FFFCF0"/>
        </w:rPr>
        <w:t>.</w:t>
      </w:r>
    </w:p>
    <w:p w14:paraId="5490ECCC" w14:textId="77777777" w:rsidR="001C7136" w:rsidRPr="00310595" w:rsidRDefault="001C7136">
      <w:pPr>
        <w:spacing w:line="360" w:lineRule="auto"/>
        <w:jc w:val="both"/>
        <w:rPr>
          <w:lang w:eastAsia="zh-CN"/>
        </w:rPr>
      </w:pPr>
      <w:r w:rsidRPr="00310595">
        <w:rPr>
          <w:rFonts w:ascii="Book Antiqua" w:hAnsi="Book Antiqua" w:cs="Book Antiqua"/>
          <w:color w:val="000000"/>
          <w:shd w:val="clear" w:color="auto" w:fill="FFFCF0"/>
          <w:lang w:eastAsia="zh-CN"/>
        </w:rPr>
        <w:br w:type="page"/>
      </w:r>
      <w:r w:rsidRPr="00310595">
        <w:rPr>
          <w:rFonts w:ascii="Book Antiqua" w:hAnsi="Book Antiqua"/>
          <w:noProof/>
          <w:color w:val="000000" w:themeColor="text1"/>
          <w:lang w:eastAsia="zh-CN"/>
        </w:rPr>
        <w:drawing>
          <wp:inline distT="0" distB="0" distL="0" distR="0" wp14:anchorId="1F010530" wp14:editId="0530C37B">
            <wp:extent cx="5577317" cy="279400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326" cy="2794505"/>
                    </a:xfrm>
                    <a:prstGeom prst="rect">
                      <a:avLst/>
                    </a:prstGeom>
                    <a:noFill/>
                    <a:ln>
                      <a:noFill/>
                    </a:ln>
                  </pic:spPr>
                </pic:pic>
              </a:graphicData>
            </a:graphic>
          </wp:inline>
        </w:drawing>
      </w:r>
    </w:p>
    <w:p w14:paraId="56D940C0"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5 </w:t>
      </w:r>
      <w:r w:rsidRPr="00310595">
        <w:rPr>
          <w:rFonts w:ascii="Book Antiqua" w:eastAsia="Book Antiqua" w:hAnsi="Book Antiqua" w:cs="Book Antiqua"/>
          <w:b/>
          <w:bCs/>
          <w:caps/>
          <w:color w:val="000000"/>
        </w:rPr>
        <w:t>c</w:t>
      </w:r>
      <w:r w:rsidRPr="00310595">
        <w:rPr>
          <w:rFonts w:ascii="Book Antiqua" w:eastAsia="Book Antiqua" w:hAnsi="Book Antiqua" w:cs="Book Antiqua"/>
          <w:b/>
          <w:bCs/>
          <w:color w:val="000000"/>
        </w:rPr>
        <w:t xml:space="preserve">arbohydrate antigen 19-9 dynamics during the treatment. </w:t>
      </w:r>
      <w:r w:rsidRPr="00310595">
        <w:rPr>
          <w:rFonts w:ascii="Book Antiqua" w:eastAsia="Book Antiqua" w:hAnsi="Book Antiqua" w:cs="Book Antiqua"/>
          <w:color w:val="000000"/>
        </w:rPr>
        <w:t xml:space="preserve">CA 19-9: </w:t>
      </w:r>
      <w:r w:rsidRPr="00310595">
        <w:rPr>
          <w:rFonts w:ascii="Book Antiqua" w:eastAsia="Book Antiqua" w:hAnsi="Book Antiqua" w:cs="Book Antiqua"/>
          <w:caps/>
          <w:color w:val="000000"/>
        </w:rPr>
        <w:t>c</w:t>
      </w:r>
      <w:r w:rsidRPr="00310595">
        <w:rPr>
          <w:rFonts w:ascii="Book Antiqua" w:eastAsia="Book Antiqua" w:hAnsi="Book Antiqua" w:cs="Book Antiqua"/>
          <w:color w:val="000000"/>
        </w:rPr>
        <w:t>arbohydrate antigen 19-9;</w:t>
      </w:r>
      <w:r w:rsidRPr="00310595">
        <w:rPr>
          <w:rFonts w:ascii="Book Antiqua" w:eastAsia="Book Antiqua" w:hAnsi="Book Antiqua" w:cs="Book Antiqua"/>
          <w:b/>
          <w:bCs/>
          <w:color w:val="000000"/>
        </w:rPr>
        <w:t xml:space="preserve"> </w:t>
      </w:r>
      <w:r w:rsidRPr="00310595">
        <w:rPr>
          <w:rFonts w:ascii="Book Antiqua" w:eastAsia="Book Antiqua" w:hAnsi="Book Antiqua" w:cs="Book Antiqua"/>
          <w:color w:val="000000"/>
        </w:rPr>
        <w:t>ERCP: Endoscopic retrograde cholangiopancreatography.</w:t>
      </w:r>
    </w:p>
    <w:p w14:paraId="6795DC24"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hAnsi="Book Antiqua"/>
          <w:noProof/>
          <w:color w:val="000000" w:themeColor="text1"/>
          <w:lang w:eastAsia="zh-CN"/>
        </w:rPr>
        <w:drawing>
          <wp:inline distT="0" distB="0" distL="0" distR="0" wp14:anchorId="3AC7EC46" wp14:editId="22C001D0">
            <wp:extent cx="5943600" cy="2538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38730"/>
                    </a:xfrm>
                    <a:prstGeom prst="rect">
                      <a:avLst/>
                    </a:prstGeom>
                    <a:noFill/>
                    <a:ln>
                      <a:noFill/>
                    </a:ln>
                  </pic:spPr>
                </pic:pic>
              </a:graphicData>
            </a:graphic>
          </wp:inline>
        </w:drawing>
      </w:r>
    </w:p>
    <w:p w14:paraId="7B2B3B79"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6 </w:t>
      </w:r>
      <w:r w:rsidRPr="00310595">
        <w:rPr>
          <w:rFonts w:ascii="Book Antiqua" w:eastAsia="Book Antiqua" w:hAnsi="Book Antiqua" w:cs="Book Antiqua"/>
          <w:b/>
          <w:bCs/>
          <w:caps/>
          <w:color w:val="000000"/>
        </w:rPr>
        <w:t>c</w:t>
      </w:r>
      <w:r w:rsidRPr="00310595">
        <w:rPr>
          <w:rFonts w:ascii="Book Antiqua" w:eastAsia="Book Antiqua" w:hAnsi="Book Antiqua" w:cs="Book Antiqua"/>
          <w:b/>
          <w:bCs/>
          <w:color w:val="000000"/>
        </w:rPr>
        <w:t>omputed tomography images 22 mo after the initial diagnosis.</w:t>
      </w:r>
      <w:r w:rsidRPr="00310595">
        <w:rPr>
          <w:rFonts w:ascii="Book Antiqua" w:eastAsia="Book Antiqua" w:hAnsi="Book Antiqua" w:cs="Book Antiqua"/>
          <w:i/>
          <w:iCs/>
          <w:color w:val="000000"/>
        </w:rPr>
        <w:t xml:space="preserve"> </w:t>
      </w:r>
      <w:r w:rsidRPr="00310595">
        <w:rPr>
          <w:rFonts w:ascii="Book Antiqua" w:eastAsia="Book Antiqua" w:hAnsi="Book Antiqua" w:cs="Book Antiqua"/>
          <w:color w:val="000000"/>
        </w:rPr>
        <w:t xml:space="preserve">A: Reformatted </w:t>
      </w:r>
      <w:r w:rsidRPr="00310595">
        <w:rPr>
          <w:rFonts w:ascii="Book Antiqua" w:eastAsia="Book Antiqua" w:hAnsi="Book Antiqua" w:cs="Book Antiqua"/>
          <w:color w:val="000000"/>
          <w:shd w:val="clear" w:color="auto" w:fill="FFFFFF"/>
        </w:rPr>
        <w:t>two-dimensional computed tomography (CT) images in the portal venous phase showing a contrast-enhancing soft tissue mass (arrow) arising from the gall bladder fundus and extending into colon mesenterium</w:t>
      </w:r>
      <w:r w:rsidRPr="00310595">
        <w:rPr>
          <w:rFonts w:ascii="Book Antiqua" w:eastAsia="Book Antiqua" w:hAnsi="Book Antiqua" w:cs="Book Antiqua"/>
          <w:color w:val="000000"/>
        </w:rPr>
        <w:t xml:space="preserve">; B: Axial CT portal venous phase images showing a large lymph node (arrow) in the right lung hilum. </w:t>
      </w:r>
    </w:p>
    <w:p w14:paraId="44958E76" w14:textId="77777777" w:rsidR="001C7136" w:rsidRPr="00310595" w:rsidRDefault="001C7136">
      <w:pPr>
        <w:spacing w:line="360" w:lineRule="auto"/>
        <w:jc w:val="both"/>
        <w:rPr>
          <w:lang w:eastAsia="zh-CN"/>
        </w:rPr>
      </w:pPr>
      <w:r w:rsidRPr="00310595">
        <w:rPr>
          <w:rFonts w:ascii="Book Antiqua" w:hAnsi="Book Antiqua" w:cs="Book Antiqua"/>
          <w:color w:val="000000"/>
          <w:lang w:eastAsia="zh-CN"/>
        </w:rPr>
        <w:br w:type="page"/>
      </w:r>
      <w:r w:rsidRPr="00310595">
        <w:rPr>
          <w:rFonts w:ascii="Book Antiqua" w:eastAsia="Book Antiqua" w:hAnsi="Book Antiqua" w:cs="Book Antiqua"/>
          <w:iCs/>
          <w:noProof/>
          <w:color w:val="000000" w:themeColor="text1"/>
          <w:lang w:eastAsia="zh-CN"/>
        </w:rPr>
        <w:drawing>
          <wp:inline distT="0" distB="0" distL="0" distR="0" wp14:anchorId="3B124DDF" wp14:editId="48423E86">
            <wp:extent cx="5892800" cy="3155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74"/>
                    <a:stretch/>
                  </pic:blipFill>
                  <pic:spPr bwMode="auto">
                    <a:xfrm>
                      <a:off x="0" y="0"/>
                      <a:ext cx="5897543" cy="3158490"/>
                    </a:xfrm>
                    <a:prstGeom prst="rect">
                      <a:avLst/>
                    </a:prstGeom>
                    <a:noFill/>
                    <a:ln>
                      <a:noFill/>
                    </a:ln>
                    <a:extLst>
                      <a:ext uri="{53640926-AAD7-44D8-BBD7-CCE9431645EC}">
                        <a14:shadowObscured xmlns:a14="http://schemas.microsoft.com/office/drawing/2010/main"/>
                      </a:ext>
                    </a:extLst>
                  </pic:spPr>
                </pic:pic>
              </a:graphicData>
            </a:graphic>
          </wp:inline>
        </w:drawing>
      </w:r>
    </w:p>
    <w:p w14:paraId="3887284C" w14:textId="77777777" w:rsidR="00A77B3E" w:rsidRPr="00310595" w:rsidRDefault="000A428C">
      <w:pPr>
        <w:spacing w:line="360" w:lineRule="auto"/>
        <w:jc w:val="both"/>
        <w:rPr>
          <w:rFonts w:ascii="Book Antiqua" w:hAnsi="Book Antiqua" w:cs="Book Antiqua"/>
          <w:color w:val="000000"/>
          <w:lang w:eastAsia="zh-CN"/>
        </w:rPr>
      </w:pPr>
      <w:r w:rsidRPr="00310595">
        <w:rPr>
          <w:rFonts w:ascii="Book Antiqua" w:eastAsia="Book Antiqua" w:hAnsi="Book Antiqua" w:cs="Book Antiqua"/>
          <w:b/>
          <w:bCs/>
          <w:color w:val="000000"/>
        </w:rPr>
        <w:t xml:space="preserve">Figure 7 Case history timeline. </w:t>
      </w:r>
      <w:r w:rsidRPr="00310595">
        <w:rPr>
          <w:rFonts w:ascii="Book Antiqua" w:eastAsia="Book Antiqua" w:hAnsi="Book Antiqua" w:cs="Book Antiqua"/>
          <w:color w:val="000000"/>
        </w:rPr>
        <w:t xml:space="preserve">MRCP: </w:t>
      </w:r>
      <w:r w:rsidRPr="00310595">
        <w:rPr>
          <w:rFonts w:ascii="Book Antiqua" w:eastAsia="Book Antiqua" w:hAnsi="Book Antiqua" w:cs="Book Antiqua"/>
          <w:caps/>
          <w:color w:val="000000"/>
        </w:rPr>
        <w:t>m</w:t>
      </w:r>
      <w:r w:rsidRPr="00310595">
        <w:rPr>
          <w:rFonts w:ascii="Book Antiqua" w:eastAsia="Book Antiqua" w:hAnsi="Book Antiqua" w:cs="Book Antiqua"/>
          <w:color w:val="000000"/>
        </w:rPr>
        <w:t xml:space="preserve">agnetic resonance cholangiopancreatography; CHD: </w:t>
      </w:r>
      <w:r w:rsidRPr="00310595">
        <w:rPr>
          <w:rFonts w:ascii="Book Antiqua" w:eastAsia="Book Antiqua" w:hAnsi="Book Antiqua" w:cs="Book Antiqua"/>
          <w:caps/>
          <w:color w:val="000000"/>
        </w:rPr>
        <w:t>c</w:t>
      </w:r>
      <w:r w:rsidRPr="00310595">
        <w:rPr>
          <w:rFonts w:ascii="Book Antiqua" w:eastAsia="Book Antiqua" w:hAnsi="Book Antiqua" w:cs="Book Antiqua"/>
          <w:color w:val="000000"/>
        </w:rPr>
        <w:t xml:space="preserve">ommon hepatic duct; IMT: </w:t>
      </w:r>
      <w:r w:rsidRPr="00310595">
        <w:rPr>
          <w:rFonts w:ascii="Book Antiqua" w:eastAsia="Book Antiqua" w:hAnsi="Book Antiqua" w:cs="Book Antiqua"/>
          <w:caps/>
          <w:color w:val="000000"/>
        </w:rPr>
        <w:t>i</w:t>
      </w:r>
      <w:r w:rsidRPr="00310595">
        <w:rPr>
          <w:rFonts w:ascii="Book Antiqua" w:eastAsia="Book Antiqua" w:hAnsi="Book Antiqua" w:cs="Book Antiqua"/>
          <w:color w:val="000000"/>
        </w:rPr>
        <w:t xml:space="preserve">nflammatory myofibroblastic tumor; ERCP: </w:t>
      </w:r>
      <w:r w:rsidRPr="00310595">
        <w:rPr>
          <w:rFonts w:ascii="Book Antiqua" w:eastAsia="Book Antiqua" w:hAnsi="Book Antiqua" w:cs="Book Antiqua"/>
          <w:caps/>
          <w:color w:val="000000"/>
        </w:rPr>
        <w:t>e</w:t>
      </w:r>
      <w:r w:rsidRPr="00310595">
        <w:rPr>
          <w:rFonts w:ascii="Book Antiqua" w:eastAsia="Book Antiqua" w:hAnsi="Book Antiqua" w:cs="Book Antiqua"/>
          <w:color w:val="000000"/>
        </w:rPr>
        <w:t xml:space="preserve">ndoscopic retrograde cholangiopancreatography; IPT: </w:t>
      </w:r>
      <w:r w:rsidRPr="00310595">
        <w:rPr>
          <w:rFonts w:ascii="Book Antiqua" w:eastAsia="Book Antiqua" w:hAnsi="Book Antiqua" w:cs="Book Antiqua"/>
          <w:caps/>
          <w:color w:val="000000"/>
        </w:rPr>
        <w:t>i</w:t>
      </w:r>
      <w:r w:rsidRPr="00310595">
        <w:rPr>
          <w:rFonts w:ascii="Book Antiqua" w:eastAsia="Book Antiqua" w:hAnsi="Book Antiqua" w:cs="Book Antiqua"/>
          <w:color w:val="000000"/>
        </w:rPr>
        <w:t xml:space="preserve">nflammatory pseudotumor; MTX-V: </w:t>
      </w:r>
      <w:r w:rsidRPr="00310595">
        <w:rPr>
          <w:rFonts w:ascii="Book Antiqua" w:eastAsia="Book Antiqua" w:hAnsi="Book Antiqua" w:cs="Book Antiqua"/>
          <w:caps/>
          <w:color w:val="000000"/>
        </w:rPr>
        <w:t>m</w:t>
      </w:r>
      <w:r w:rsidRPr="00310595">
        <w:rPr>
          <w:rFonts w:ascii="Book Antiqua" w:eastAsia="Book Antiqua" w:hAnsi="Book Antiqua" w:cs="Book Antiqua"/>
          <w:color w:val="000000"/>
        </w:rPr>
        <w:t>ethotrexate-vinorelbine; CT:</w:t>
      </w:r>
      <w:r w:rsidRPr="00310595">
        <w:rPr>
          <w:rFonts w:ascii="Book Antiqua" w:eastAsia="Book Antiqua" w:hAnsi="Book Antiqua" w:cs="Book Antiqua"/>
          <w:caps/>
          <w:color w:val="000000"/>
        </w:rPr>
        <w:t xml:space="preserve"> c</w:t>
      </w:r>
      <w:r w:rsidRPr="00310595">
        <w:rPr>
          <w:rFonts w:ascii="Book Antiqua" w:eastAsia="Book Antiqua" w:hAnsi="Book Antiqua" w:cs="Book Antiqua"/>
          <w:color w:val="000000"/>
        </w:rPr>
        <w:t xml:space="preserve">omputed tomography; GB: </w:t>
      </w:r>
      <w:r w:rsidRPr="00310595">
        <w:rPr>
          <w:rFonts w:ascii="Book Antiqua" w:eastAsia="Book Antiqua" w:hAnsi="Book Antiqua" w:cs="Book Antiqua"/>
          <w:caps/>
          <w:color w:val="000000"/>
        </w:rPr>
        <w:t>g</w:t>
      </w:r>
      <w:r w:rsidRPr="00310595">
        <w:rPr>
          <w:rFonts w:ascii="Book Antiqua" w:eastAsia="Book Antiqua" w:hAnsi="Book Antiqua" w:cs="Book Antiqua"/>
          <w:color w:val="000000"/>
        </w:rPr>
        <w:t>allbladder.</w:t>
      </w:r>
    </w:p>
    <w:p w14:paraId="3421C6E0" w14:textId="77777777" w:rsidR="001C7136" w:rsidRPr="00310595" w:rsidRDefault="001C7136" w:rsidP="001C7136">
      <w:pPr>
        <w:adjustRightInd w:val="0"/>
        <w:snapToGrid w:val="0"/>
        <w:spacing w:line="360" w:lineRule="auto"/>
        <w:jc w:val="both"/>
        <w:rPr>
          <w:rFonts w:ascii="Book Antiqua" w:eastAsia="Book Antiqua" w:hAnsi="Book Antiqua" w:cs="Book Antiqua"/>
          <w:b/>
          <w:iCs/>
          <w:color w:val="000000" w:themeColor="text1"/>
        </w:rPr>
      </w:pPr>
      <w:r w:rsidRPr="00310595">
        <w:rPr>
          <w:rFonts w:ascii="Book Antiqua" w:hAnsi="Book Antiqua" w:cs="Book Antiqua"/>
          <w:color w:val="000000"/>
          <w:lang w:eastAsia="zh-CN"/>
        </w:rPr>
        <w:br w:type="page"/>
      </w:r>
      <w:r w:rsidRPr="00310595">
        <w:rPr>
          <w:rFonts w:ascii="Book Antiqua" w:eastAsia="Book Antiqua" w:hAnsi="Book Antiqua" w:cs="Book Antiqua"/>
          <w:b/>
          <w:bCs/>
          <w:iCs/>
          <w:color w:val="000000" w:themeColor="text1"/>
        </w:rPr>
        <w:t>Table 1</w:t>
      </w:r>
      <w:r w:rsidRPr="00310595">
        <w:rPr>
          <w:rFonts w:ascii="Book Antiqua" w:eastAsia="Book Antiqua" w:hAnsi="Book Antiqua" w:cs="Book Antiqua"/>
          <w:iCs/>
          <w:color w:val="000000" w:themeColor="text1"/>
        </w:rPr>
        <w:t xml:space="preserve"> </w:t>
      </w:r>
      <w:r w:rsidRPr="00310595">
        <w:rPr>
          <w:rFonts w:ascii="Book Antiqua" w:eastAsia="Book Antiqua" w:hAnsi="Book Antiqua" w:cs="Book Antiqua"/>
          <w:b/>
          <w:iCs/>
          <w:color w:val="000000" w:themeColor="text1"/>
        </w:rPr>
        <w:t>Main laboratory findings</w:t>
      </w:r>
    </w:p>
    <w:tbl>
      <w:tblPr>
        <w:tblW w:w="8505" w:type="dxa"/>
        <w:tblBorders>
          <w:top w:val="single" w:sz="4" w:space="0" w:color="auto"/>
          <w:bottom w:val="single" w:sz="4" w:space="0" w:color="auto"/>
        </w:tblBorders>
        <w:tblLayout w:type="fixed"/>
        <w:tblLook w:val="0400" w:firstRow="0" w:lastRow="0" w:firstColumn="0" w:lastColumn="0" w:noHBand="0" w:noVBand="1"/>
      </w:tblPr>
      <w:tblGrid>
        <w:gridCol w:w="3397"/>
        <w:gridCol w:w="2273"/>
        <w:gridCol w:w="2835"/>
      </w:tblGrid>
      <w:tr w:rsidR="001C7136" w:rsidRPr="00310595" w14:paraId="7427C2AB" w14:textId="77777777" w:rsidTr="00777E44">
        <w:trPr>
          <w:trHeight w:val="242"/>
        </w:trPr>
        <w:tc>
          <w:tcPr>
            <w:tcW w:w="3397" w:type="dxa"/>
            <w:tcBorders>
              <w:top w:val="single" w:sz="4" w:space="0" w:color="auto"/>
              <w:bottom w:val="single" w:sz="4" w:space="0" w:color="auto"/>
            </w:tcBorders>
          </w:tcPr>
          <w:p w14:paraId="0ED73BFF"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p>
        </w:tc>
        <w:tc>
          <w:tcPr>
            <w:tcW w:w="2273" w:type="dxa"/>
            <w:tcBorders>
              <w:top w:val="single" w:sz="4" w:space="0" w:color="auto"/>
              <w:bottom w:val="single" w:sz="4" w:space="0" w:color="auto"/>
            </w:tcBorders>
          </w:tcPr>
          <w:p w14:paraId="72255716" w14:textId="77777777" w:rsidR="001C7136" w:rsidRPr="00310595" w:rsidRDefault="001C7136" w:rsidP="00777E44">
            <w:pPr>
              <w:adjustRightInd w:val="0"/>
              <w:snapToGrid w:val="0"/>
              <w:spacing w:line="360" w:lineRule="auto"/>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Value</w:t>
            </w:r>
          </w:p>
        </w:tc>
        <w:tc>
          <w:tcPr>
            <w:tcW w:w="2835" w:type="dxa"/>
            <w:tcBorders>
              <w:top w:val="single" w:sz="4" w:space="0" w:color="auto"/>
              <w:bottom w:val="single" w:sz="4" w:space="0" w:color="auto"/>
            </w:tcBorders>
          </w:tcPr>
          <w:p w14:paraId="1D8AE2B4" w14:textId="77777777" w:rsidR="001C7136" w:rsidRPr="00310595" w:rsidRDefault="001C7136" w:rsidP="00777E44">
            <w:pPr>
              <w:adjustRightInd w:val="0"/>
              <w:snapToGrid w:val="0"/>
              <w:spacing w:line="360" w:lineRule="auto"/>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Normal range</w:t>
            </w:r>
          </w:p>
        </w:tc>
      </w:tr>
      <w:tr w:rsidR="001C7136" w:rsidRPr="00310595" w14:paraId="79EEB334" w14:textId="77777777" w:rsidTr="00777E44">
        <w:trPr>
          <w:trHeight w:val="256"/>
        </w:trPr>
        <w:tc>
          <w:tcPr>
            <w:tcW w:w="3397" w:type="dxa"/>
            <w:tcBorders>
              <w:top w:val="single" w:sz="4" w:space="0" w:color="auto"/>
            </w:tcBorders>
          </w:tcPr>
          <w:p w14:paraId="34640B90"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White blood cell count</w:t>
            </w:r>
          </w:p>
        </w:tc>
        <w:tc>
          <w:tcPr>
            <w:tcW w:w="2273" w:type="dxa"/>
            <w:tcBorders>
              <w:top w:val="single" w:sz="4" w:space="0" w:color="auto"/>
            </w:tcBorders>
          </w:tcPr>
          <w:p w14:paraId="7D1C6D73"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10.04</w:t>
            </w:r>
          </w:p>
        </w:tc>
        <w:tc>
          <w:tcPr>
            <w:tcW w:w="2835" w:type="dxa"/>
            <w:tcBorders>
              <w:top w:val="single" w:sz="4" w:space="0" w:color="auto"/>
            </w:tcBorders>
          </w:tcPr>
          <w:p w14:paraId="469FC253" w14:textId="2C82D924" w:rsidR="001C7136" w:rsidRPr="00310595" w:rsidRDefault="001C7136" w:rsidP="007B45E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4.0</w:t>
            </w:r>
            <w:r w:rsidR="007B45E4">
              <w:rPr>
                <w:rFonts w:hint="eastAsia"/>
                <w:lang w:eastAsia="zh-CN"/>
              </w:rPr>
              <w:t xml:space="preserve"> </w:t>
            </w:r>
            <w:r w:rsidRPr="00310595">
              <w:rPr>
                <w:rFonts w:ascii="Book Antiqua" w:eastAsia="Book Antiqua" w:hAnsi="Book Antiqua" w:cs="Book Antiqua"/>
                <w:color w:val="000000" w:themeColor="text1"/>
              </w:rPr>
              <w:t>x</w:t>
            </w:r>
            <w:r w:rsidR="007B45E4">
              <w:rPr>
                <w:rFonts w:hint="eastAsia"/>
                <w:lang w:eastAsia="zh-CN"/>
              </w:rPr>
              <w:t xml:space="preserve">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/L-9.8</w:t>
            </w:r>
            <w:r w:rsidR="007B45E4">
              <w:rPr>
                <w:rFonts w:hint="eastAsia"/>
                <w:lang w:eastAsia="zh-CN"/>
              </w:rPr>
              <w:t xml:space="preserve"> </w:t>
            </w:r>
            <w:r w:rsidRPr="00310595">
              <w:rPr>
                <w:rFonts w:ascii="Book Antiqua" w:eastAsia="Book Antiqua" w:hAnsi="Book Antiqua" w:cs="Book Antiqua"/>
                <w:color w:val="000000" w:themeColor="text1"/>
              </w:rPr>
              <w:t>x</w:t>
            </w:r>
            <w:r w:rsidR="007B45E4">
              <w:rPr>
                <w:rFonts w:hint="eastAsia"/>
                <w:lang w:eastAsia="zh-CN"/>
              </w:rPr>
              <w:t xml:space="preserve">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w:t>
            </w:r>
          </w:p>
        </w:tc>
      </w:tr>
      <w:tr w:rsidR="001C7136" w:rsidRPr="00310595" w14:paraId="1BADE432" w14:textId="77777777" w:rsidTr="00777E44">
        <w:trPr>
          <w:trHeight w:val="240"/>
        </w:trPr>
        <w:tc>
          <w:tcPr>
            <w:tcW w:w="3397" w:type="dxa"/>
          </w:tcPr>
          <w:p w14:paraId="555DD5EA"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Hemoglobin</w:t>
            </w:r>
          </w:p>
        </w:tc>
        <w:tc>
          <w:tcPr>
            <w:tcW w:w="2273" w:type="dxa"/>
          </w:tcPr>
          <w:p w14:paraId="0BE44DF3"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125</w:t>
            </w:r>
          </w:p>
        </w:tc>
        <w:tc>
          <w:tcPr>
            <w:tcW w:w="2835" w:type="dxa"/>
          </w:tcPr>
          <w:p w14:paraId="508F11E2"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128-160 g/L</w:t>
            </w:r>
          </w:p>
        </w:tc>
      </w:tr>
      <w:tr w:rsidR="001C7136" w:rsidRPr="00310595" w14:paraId="1CC3A4A3" w14:textId="77777777" w:rsidTr="00777E44">
        <w:trPr>
          <w:trHeight w:val="242"/>
        </w:trPr>
        <w:tc>
          <w:tcPr>
            <w:tcW w:w="3397" w:type="dxa"/>
          </w:tcPr>
          <w:p w14:paraId="7918048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Platelet count</w:t>
            </w:r>
          </w:p>
        </w:tc>
        <w:tc>
          <w:tcPr>
            <w:tcW w:w="2273" w:type="dxa"/>
          </w:tcPr>
          <w:p w14:paraId="29721831"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328</w:t>
            </w:r>
          </w:p>
        </w:tc>
        <w:tc>
          <w:tcPr>
            <w:tcW w:w="2835" w:type="dxa"/>
          </w:tcPr>
          <w:p w14:paraId="1916DA5B" w14:textId="16CE3463" w:rsidR="001C7136" w:rsidRPr="00310595" w:rsidRDefault="001C7136" w:rsidP="007B45E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130</w:t>
            </w:r>
            <w:r w:rsidR="007B45E4">
              <w:rPr>
                <w:rFonts w:hint="eastAsia"/>
                <w:lang w:eastAsia="zh-CN"/>
              </w:rPr>
              <w:t xml:space="preserve"> </w:t>
            </w:r>
            <w:r w:rsidRPr="00310595">
              <w:rPr>
                <w:rFonts w:ascii="Book Antiqua" w:eastAsia="Book Antiqua" w:hAnsi="Book Antiqua" w:cs="Book Antiqua"/>
                <w:color w:val="000000" w:themeColor="text1"/>
              </w:rPr>
              <w:t>x</w:t>
            </w:r>
            <w:r w:rsidR="007B45E4">
              <w:rPr>
                <w:rFonts w:hint="eastAsia"/>
                <w:lang w:eastAsia="zh-CN"/>
              </w:rPr>
              <w:t xml:space="preserve">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/L-400</w:t>
            </w:r>
            <w:r w:rsidR="007B45E4">
              <w:rPr>
                <w:rFonts w:hint="eastAsia"/>
                <w:lang w:eastAsia="zh-CN"/>
              </w:rPr>
              <w:t xml:space="preserve"> </w:t>
            </w:r>
            <w:r w:rsidRPr="00310595">
              <w:rPr>
                <w:rFonts w:ascii="Book Antiqua" w:eastAsia="Book Antiqua" w:hAnsi="Book Antiqua" w:cs="Book Antiqua"/>
                <w:color w:val="000000" w:themeColor="text1"/>
              </w:rPr>
              <w:t>x</w:t>
            </w:r>
            <w:r w:rsidR="007B45E4">
              <w:rPr>
                <w:rFonts w:hint="eastAsia"/>
                <w:lang w:eastAsia="zh-CN"/>
              </w:rPr>
              <w:t xml:space="preserve"> </w:t>
            </w:r>
            <w:r w:rsidRPr="00310595">
              <w:rPr>
                <w:rFonts w:ascii="Book Antiqua" w:eastAsia="Book Antiqua" w:hAnsi="Book Antiqua" w:cs="Book Antiqua"/>
                <w:color w:val="000000" w:themeColor="text1"/>
              </w:rPr>
              <w:t>10</w:t>
            </w:r>
            <w:r w:rsidRPr="00310595">
              <w:rPr>
                <w:rFonts w:ascii="Book Antiqua" w:eastAsia="Book Antiqua" w:hAnsi="Book Antiqua" w:cs="Book Antiqua"/>
                <w:color w:val="000000" w:themeColor="text1"/>
                <w:vertAlign w:val="superscript"/>
              </w:rPr>
              <w:t>9</w:t>
            </w:r>
            <w:r w:rsidRPr="00310595">
              <w:rPr>
                <w:rFonts w:ascii="Book Antiqua" w:eastAsia="Book Antiqua" w:hAnsi="Book Antiqua" w:cs="Book Antiqua"/>
                <w:color w:val="000000" w:themeColor="text1"/>
              </w:rPr>
              <w:t>/L</w:t>
            </w:r>
          </w:p>
        </w:tc>
      </w:tr>
      <w:tr w:rsidR="001C7136" w:rsidRPr="00310595" w14:paraId="2B2160EC" w14:textId="77777777" w:rsidTr="00777E44">
        <w:trPr>
          <w:trHeight w:val="294"/>
        </w:trPr>
        <w:tc>
          <w:tcPr>
            <w:tcW w:w="3397" w:type="dxa"/>
          </w:tcPr>
          <w:p w14:paraId="188FB0F2"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 reactive protein</w:t>
            </w:r>
          </w:p>
        </w:tc>
        <w:tc>
          <w:tcPr>
            <w:tcW w:w="2273" w:type="dxa"/>
          </w:tcPr>
          <w:p w14:paraId="5B840270"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55,4</w:t>
            </w:r>
          </w:p>
        </w:tc>
        <w:tc>
          <w:tcPr>
            <w:tcW w:w="2835" w:type="dxa"/>
          </w:tcPr>
          <w:p w14:paraId="725E6A50"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Symbol" w:hAnsi="Book Antiqua" w:cs="Symbol"/>
                <w:color w:val="000000" w:themeColor="text1"/>
              </w:rPr>
              <w:t>≤</w:t>
            </w:r>
            <w:r w:rsidRPr="00310595">
              <w:rPr>
                <w:rFonts w:ascii="Book Antiqua" w:eastAsia="Book Antiqua" w:hAnsi="Book Antiqua" w:cs="Book Antiqua"/>
                <w:color w:val="000000" w:themeColor="text1"/>
              </w:rPr>
              <w:t xml:space="preserve">  5  mg/L</w:t>
            </w:r>
          </w:p>
        </w:tc>
      </w:tr>
      <w:tr w:rsidR="001C7136" w:rsidRPr="00310595" w14:paraId="4585792D" w14:textId="77777777" w:rsidTr="00777E44">
        <w:trPr>
          <w:trHeight w:val="242"/>
        </w:trPr>
        <w:tc>
          <w:tcPr>
            <w:tcW w:w="3397" w:type="dxa"/>
          </w:tcPr>
          <w:p w14:paraId="3A8FF9E7"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Aspartate aminotransferase </w:t>
            </w:r>
          </w:p>
        </w:tc>
        <w:tc>
          <w:tcPr>
            <w:tcW w:w="2273" w:type="dxa"/>
          </w:tcPr>
          <w:p w14:paraId="4072E74A" w14:textId="3E33C09E" w:rsidR="001C7136" w:rsidRPr="007B45E4" w:rsidRDefault="001C7136" w:rsidP="00777E44">
            <w:pPr>
              <w:adjustRightInd w:val="0"/>
              <w:snapToGrid w:val="0"/>
              <w:spacing w:line="360" w:lineRule="auto"/>
              <w:jc w:val="both"/>
              <w:rPr>
                <w:rFonts w:ascii="Book Antiqua" w:hAnsi="Book Antiqua" w:cs="Book Antiqua"/>
                <w:b/>
                <w:color w:val="000000" w:themeColor="text1"/>
                <w:lang w:eastAsia="zh-CN"/>
              </w:rPr>
            </w:pPr>
            <w:r w:rsidRPr="00310595">
              <w:rPr>
                <w:rFonts w:ascii="Book Antiqua" w:eastAsia="Book Antiqua" w:hAnsi="Book Antiqua" w:cs="Book Antiqua"/>
                <w:b/>
                <w:color w:val="000000" w:themeColor="text1"/>
              </w:rPr>
              <w:t>76</w:t>
            </w:r>
          </w:p>
        </w:tc>
        <w:tc>
          <w:tcPr>
            <w:tcW w:w="2835" w:type="dxa"/>
          </w:tcPr>
          <w:p w14:paraId="131FC998"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40 U/L</w:t>
            </w:r>
          </w:p>
        </w:tc>
      </w:tr>
      <w:tr w:rsidR="001C7136" w:rsidRPr="00310595" w14:paraId="5748FBEA" w14:textId="77777777" w:rsidTr="00777E44">
        <w:trPr>
          <w:trHeight w:val="242"/>
        </w:trPr>
        <w:tc>
          <w:tcPr>
            <w:tcW w:w="3397" w:type="dxa"/>
          </w:tcPr>
          <w:p w14:paraId="2C868C97"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Alanine aminotransferase</w:t>
            </w:r>
          </w:p>
        </w:tc>
        <w:tc>
          <w:tcPr>
            <w:tcW w:w="2273" w:type="dxa"/>
          </w:tcPr>
          <w:p w14:paraId="40CC3D25"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135</w:t>
            </w:r>
          </w:p>
        </w:tc>
        <w:tc>
          <w:tcPr>
            <w:tcW w:w="2835" w:type="dxa"/>
          </w:tcPr>
          <w:p w14:paraId="7652886F"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40 U/L</w:t>
            </w:r>
          </w:p>
        </w:tc>
      </w:tr>
      <w:tr w:rsidR="001C7136" w:rsidRPr="00310595" w14:paraId="760E2AF5" w14:textId="77777777" w:rsidTr="00777E44">
        <w:trPr>
          <w:trHeight w:val="242"/>
        </w:trPr>
        <w:tc>
          <w:tcPr>
            <w:tcW w:w="3397" w:type="dxa"/>
          </w:tcPr>
          <w:p w14:paraId="25F527EF"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γ- glutamyl transferase</w:t>
            </w:r>
          </w:p>
        </w:tc>
        <w:tc>
          <w:tcPr>
            <w:tcW w:w="2273" w:type="dxa"/>
          </w:tcPr>
          <w:p w14:paraId="4909D331"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344</w:t>
            </w:r>
          </w:p>
        </w:tc>
        <w:tc>
          <w:tcPr>
            <w:tcW w:w="2835" w:type="dxa"/>
          </w:tcPr>
          <w:p w14:paraId="18F7D0B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36 U/L</w:t>
            </w:r>
          </w:p>
        </w:tc>
      </w:tr>
      <w:tr w:rsidR="001C7136" w:rsidRPr="00310595" w14:paraId="554EAAA4" w14:textId="77777777" w:rsidTr="00777E44">
        <w:trPr>
          <w:trHeight w:val="279"/>
        </w:trPr>
        <w:tc>
          <w:tcPr>
            <w:tcW w:w="3397" w:type="dxa"/>
          </w:tcPr>
          <w:p w14:paraId="1892E13B"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Alkaline phosphatase</w:t>
            </w:r>
          </w:p>
        </w:tc>
        <w:tc>
          <w:tcPr>
            <w:tcW w:w="2273" w:type="dxa"/>
          </w:tcPr>
          <w:p w14:paraId="55D76162"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b/>
                <w:color w:val="000000" w:themeColor="text1"/>
              </w:rPr>
              <w:t>376</w:t>
            </w:r>
          </w:p>
        </w:tc>
        <w:tc>
          <w:tcPr>
            <w:tcW w:w="2835" w:type="dxa"/>
          </w:tcPr>
          <w:p w14:paraId="42BFDB59"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40-150 U/L</w:t>
            </w:r>
          </w:p>
        </w:tc>
      </w:tr>
      <w:tr w:rsidR="001C7136" w:rsidRPr="00310595" w14:paraId="77E29283" w14:textId="77777777" w:rsidTr="00777E44">
        <w:trPr>
          <w:trHeight w:val="263"/>
        </w:trPr>
        <w:tc>
          <w:tcPr>
            <w:tcW w:w="3397" w:type="dxa"/>
          </w:tcPr>
          <w:p w14:paraId="45F53017"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Total bilirubin</w:t>
            </w:r>
          </w:p>
        </w:tc>
        <w:tc>
          <w:tcPr>
            <w:tcW w:w="2273" w:type="dxa"/>
          </w:tcPr>
          <w:p w14:paraId="6A42CC60" w14:textId="1BC3B642" w:rsidR="001C7136" w:rsidRPr="007B45E4" w:rsidRDefault="001C7136" w:rsidP="00777E44">
            <w:pPr>
              <w:adjustRightInd w:val="0"/>
              <w:snapToGrid w:val="0"/>
              <w:spacing w:line="360" w:lineRule="auto"/>
              <w:jc w:val="both"/>
              <w:rPr>
                <w:rFonts w:ascii="Book Antiqua" w:hAnsi="Book Antiqua" w:cs="Book Antiqua"/>
                <w:b/>
                <w:color w:val="000000" w:themeColor="text1"/>
                <w:lang w:eastAsia="zh-CN"/>
              </w:rPr>
            </w:pPr>
            <w:r w:rsidRPr="00310595">
              <w:rPr>
                <w:rFonts w:ascii="Book Antiqua" w:eastAsia="Book Antiqua" w:hAnsi="Book Antiqua" w:cs="Book Antiqua"/>
                <w:b/>
                <w:color w:val="000000" w:themeColor="text1"/>
              </w:rPr>
              <w:t>30</w:t>
            </w:r>
          </w:p>
        </w:tc>
        <w:tc>
          <w:tcPr>
            <w:tcW w:w="2835" w:type="dxa"/>
          </w:tcPr>
          <w:p w14:paraId="1FA77FE7"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 xml:space="preserve">&lt; 21 </w:t>
            </w:r>
            <w:r w:rsidRPr="00310595">
              <w:rPr>
                <w:rFonts w:ascii="Book Antiqua" w:eastAsia="Symbol" w:hAnsi="Book Antiqua" w:cs="Symbol"/>
                <w:color w:val="000000" w:themeColor="text1"/>
              </w:rPr>
              <w:t>μ</w:t>
            </w:r>
            <w:r w:rsidRPr="00310595">
              <w:rPr>
                <w:rFonts w:ascii="Book Antiqua" w:eastAsia="Book Antiqua" w:hAnsi="Book Antiqua" w:cs="Book Antiqua"/>
                <w:color w:val="000000" w:themeColor="text1"/>
              </w:rPr>
              <w:t>mol</w:t>
            </w:r>
          </w:p>
        </w:tc>
      </w:tr>
      <w:tr w:rsidR="001C7136" w:rsidRPr="00310595" w14:paraId="3CBC2A7E" w14:textId="77777777" w:rsidTr="00777E44">
        <w:trPr>
          <w:trHeight w:val="242"/>
        </w:trPr>
        <w:tc>
          <w:tcPr>
            <w:tcW w:w="3397" w:type="dxa"/>
          </w:tcPr>
          <w:p w14:paraId="4A1BA460"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Albumin</w:t>
            </w:r>
          </w:p>
        </w:tc>
        <w:tc>
          <w:tcPr>
            <w:tcW w:w="2273" w:type="dxa"/>
          </w:tcPr>
          <w:p w14:paraId="217DC939"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36.2</w:t>
            </w:r>
          </w:p>
        </w:tc>
        <w:tc>
          <w:tcPr>
            <w:tcW w:w="2835" w:type="dxa"/>
          </w:tcPr>
          <w:p w14:paraId="719D5B15"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36-52 g/L</w:t>
            </w:r>
          </w:p>
        </w:tc>
      </w:tr>
      <w:tr w:rsidR="001C7136" w:rsidRPr="00310595" w14:paraId="5CF55ADF" w14:textId="77777777" w:rsidTr="00777E44">
        <w:trPr>
          <w:trHeight w:val="242"/>
        </w:trPr>
        <w:tc>
          <w:tcPr>
            <w:tcW w:w="3397" w:type="dxa"/>
          </w:tcPr>
          <w:p w14:paraId="19B6F2FA"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K</w:t>
            </w:r>
            <w:r w:rsidRPr="00310595">
              <w:rPr>
                <w:rFonts w:ascii="Book Antiqua" w:eastAsia="Book Antiqua" w:hAnsi="Book Antiqua" w:cs="Book Antiqua"/>
                <w:color w:val="000000" w:themeColor="text1"/>
                <w:vertAlign w:val="superscript"/>
              </w:rPr>
              <w:t>+</w:t>
            </w:r>
          </w:p>
        </w:tc>
        <w:tc>
          <w:tcPr>
            <w:tcW w:w="2273" w:type="dxa"/>
          </w:tcPr>
          <w:p w14:paraId="1A94141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4.3</w:t>
            </w:r>
          </w:p>
        </w:tc>
        <w:tc>
          <w:tcPr>
            <w:tcW w:w="2835" w:type="dxa"/>
          </w:tcPr>
          <w:p w14:paraId="3DD2D9AB"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3.8-5.3 mmol/L</w:t>
            </w:r>
          </w:p>
        </w:tc>
      </w:tr>
      <w:tr w:rsidR="001C7136" w:rsidRPr="00310595" w14:paraId="3F048334" w14:textId="77777777" w:rsidTr="00777E44">
        <w:trPr>
          <w:trHeight w:val="242"/>
        </w:trPr>
        <w:tc>
          <w:tcPr>
            <w:tcW w:w="3397" w:type="dxa"/>
          </w:tcPr>
          <w:p w14:paraId="4BAC107A"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Na</w:t>
            </w:r>
            <w:r w:rsidRPr="00310595">
              <w:rPr>
                <w:rFonts w:ascii="Book Antiqua" w:eastAsia="Book Antiqua" w:hAnsi="Book Antiqua" w:cs="Book Antiqua"/>
                <w:color w:val="000000" w:themeColor="text1"/>
                <w:vertAlign w:val="superscript"/>
              </w:rPr>
              <w:t>+</w:t>
            </w:r>
          </w:p>
        </w:tc>
        <w:tc>
          <w:tcPr>
            <w:tcW w:w="2273" w:type="dxa"/>
          </w:tcPr>
          <w:p w14:paraId="2300EEA4"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132</w:t>
            </w:r>
          </w:p>
        </w:tc>
        <w:tc>
          <w:tcPr>
            <w:tcW w:w="2835" w:type="dxa"/>
          </w:tcPr>
          <w:p w14:paraId="75CFC6A4"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134-145 mmol/L</w:t>
            </w:r>
          </w:p>
        </w:tc>
      </w:tr>
      <w:tr w:rsidR="001C7136" w:rsidRPr="00310595" w14:paraId="44C25765" w14:textId="77777777" w:rsidTr="00777E44">
        <w:trPr>
          <w:trHeight w:val="242"/>
        </w:trPr>
        <w:tc>
          <w:tcPr>
            <w:tcW w:w="3397" w:type="dxa"/>
          </w:tcPr>
          <w:p w14:paraId="2B2A4506"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SPA</w:t>
            </w:r>
          </w:p>
        </w:tc>
        <w:tc>
          <w:tcPr>
            <w:tcW w:w="2273" w:type="dxa"/>
          </w:tcPr>
          <w:p w14:paraId="0FA6B69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95</w:t>
            </w:r>
          </w:p>
        </w:tc>
        <w:tc>
          <w:tcPr>
            <w:tcW w:w="2835" w:type="dxa"/>
          </w:tcPr>
          <w:p w14:paraId="09B6CC25"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70</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-130%</w:t>
            </w:r>
          </w:p>
        </w:tc>
      </w:tr>
      <w:tr w:rsidR="001C7136" w:rsidRPr="00310595" w14:paraId="18F34B08" w14:textId="77777777" w:rsidTr="00777E44">
        <w:trPr>
          <w:trHeight w:val="242"/>
        </w:trPr>
        <w:tc>
          <w:tcPr>
            <w:tcW w:w="3397" w:type="dxa"/>
          </w:tcPr>
          <w:p w14:paraId="6E9FA11E"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INR by Owren</w:t>
            </w:r>
          </w:p>
        </w:tc>
        <w:tc>
          <w:tcPr>
            <w:tcW w:w="2273" w:type="dxa"/>
          </w:tcPr>
          <w:p w14:paraId="7CF4FD85"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1.02</w:t>
            </w:r>
          </w:p>
        </w:tc>
        <w:tc>
          <w:tcPr>
            <w:tcW w:w="2835" w:type="dxa"/>
          </w:tcPr>
          <w:p w14:paraId="5DAEE0CF"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0.90-1.19</w:t>
            </w:r>
          </w:p>
        </w:tc>
      </w:tr>
      <w:tr w:rsidR="001C7136" w:rsidRPr="00310595" w14:paraId="580E66E6" w14:textId="77777777" w:rsidTr="00777E44">
        <w:trPr>
          <w:trHeight w:val="242"/>
        </w:trPr>
        <w:tc>
          <w:tcPr>
            <w:tcW w:w="3397" w:type="dxa"/>
          </w:tcPr>
          <w:p w14:paraId="48921F9D"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Creatinine</w:t>
            </w:r>
          </w:p>
        </w:tc>
        <w:tc>
          <w:tcPr>
            <w:tcW w:w="2273" w:type="dxa"/>
          </w:tcPr>
          <w:p w14:paraId="28D39C3C"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51</w:t>
            </w:r>
          </w:p>
        </w:tc>
        <w:tc>
          <w:tcPr>
            <w:tcW w:w="2835" w:type="dxa"/>
          </w:tcPr>
          <w:p w14:paraId="591D673D"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62-11 µmol/L</w:t>
            </w:r>
          </w:p>
        </w:tc>
      </w:tr>
      <w:tr w:rsidR="001C7136" w:rsidRPr="00310595" w14:paraId="36BF795E" w14:textId="77777777" w:rsidTr="00777E44">
        <w:trPr>
          <w:trHeight w:val="242"/>
        </w:trPr>
        <w:tc>
          <w:tcPr>
            <w:tcW w:w="3397" w:type="dxa"/>
          </w:tcPr>
          <w:p w14:paraId="3B8E7A4B"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Urea</w:t>
            </w:r>
          </w:p>
        </w:tc>
        <w:tc>
          <w:tcPr>
            <w:tcW w:w="2273" w:type="dxa"/>
          </w:tcPr>
          <w:p w14:paraId="63F668EF"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3.7</w:t>
            </w:r>
          </w:p>
        </w:tc>
        <w:tc>
          <w:tcPr>
            <w:tcW w:w="2835" w:type="dxa"/>
          </w:tcPr>
          <w:p w14:paraId="7F2482EB"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2.5-7.5 mmol/L</w:t>
            </w:r>
          </w:p>
        </w:tc>
      </w:tr>
      <w:tr w:rsidR="001C7136" w:rsidRPr="00310595" w14:paraId="51D5FB49" w14:textId="77777777" w:rsidTr="00777E44">
        <w:trPr>
          <w:trHeight w:val="242"/>
        </w:trPr>
        <w:tc>
          <w:tcPr>
            <w:tcW w:w="3397" w:type="dxa"/>
          </w:tcPr>
          <w:p w14:paraId="6A9FD8B2"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CA 19-9</w:t>
            </w:r>
          </w:p>
        </w:tc>
        <w:tc>
          <w:tcPr>
            <w:tcW w:w="2273" w:type="dxa"/>
          </w:tcPr>
          <w:p w14:paraId="114924CB"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b/>
                <w:color w:val="000000" w:themeColor="text1"/>
              </w:rPr>
              <w:t>111.98</w:t>
            </w:r>
          </w:p>
        </w:tc>
        <w:tc>
          <w:tcPr>
            <w:tcW w:w="2835" w:type="dxa"/>
          </w:tcPr>
          <w:p w14:paraId="3E154A7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37 kU/L</w:t>
            </w:r>
          </w:p>
        </w:tc>
      </w:tr>
      <w:tr w:rsidR="001C7136" w:rsidRPr="00310595" w14:paraId="5E2D41D8" w14:textId="77777777" w:rsidTr="00777E44">
        <w:trPr>
          <w:trHeight w:val="242"/>
        </w:trPr>
        <w:tc>
          <w:tcPr>
            <w:tcW w:w="3397" w:type="dxa"/>
          </w:tcPr>
          <w:p w14:paraId="191613BC"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CEA</w:t>
            </w:r>
          </w:p>
        </w:tc>
        <w:tc>
          <w:tcPr>
            <w:tcW w:w="2273" w:type="dxa"/>
          </w:tcPr>
          <w:p w14:paraId="7EFFE291" w14:textId="77777777" w:rsidR="001C7136" w:rsidRPr="00310595" w:rsidRDefault="001C7136" w:rsidP="00777E44">
            <w:pPr>
              <w:adjustRightInd w:val="0"/>
              <w:snapToGrid w:val="0"/>
              <w:spacing w:line="360" w:lineRule="auto"/>
              <w:jc w:val="both"/>
              <w:rPr>
                <w:rFonts w:ascii="Book Antiqua" w:eastAsia="Book Antiqua" w:hAnsi="Book Antiqua" w:cs="Book Antiqua"/>
                <w:b/>
                <w:color w:val="000000" w:themeColor="text1"/>
              </w:rPr>
            </w:pPr>
            <w:r w:rsidRPr="00310595">
              <w:rPr>
                <w:rFonts w:ascii="Book Antiqua" w:eastAsia="Book Antiqua" w:hAnsi="Book Antiqua" w:cs="Book Antiqua"/>
                <w:color w:val="000000" w:themeColor="text1"/>
              </w:rPr>
              <w:t>1.0</w:t>
            </w:r>
          </w:p>
        </w:tc>
        <w:tc>
          <w:tcPr>
            <w:tcW w:w="2835" w:type="dxa"/>
          </w:tcPr>
          <w:p w14:paraId="39A3DB9F"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5 mkg/L</w:t>
            </w:r>
          </w:p>
        </w:tc>
      </w:tr>
      <w:tr w:rsidR="001C7136" w:rsidRPr="00310595" w14:paraId="56DFA241" w14:textId="77777777" w:rsidTr="00777E44">
        <w:trPr>
          <w:trHeight w:val="242"/>
        </w:trPr>
        <w:tc>
          <w:tcPr>
            <w:tcW w:w="3397" w:type="dxa"/>
          </w:tcPr>
          <w:p w14:paraId="0943E891"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AFP</w:t>
            </w:r>
          </w:p>
        </w:tc>
        <w:tc>
          <w:tcPr>
            <w:tcW w:w="2273" w:type="dxa"/>
          </w:tcPr>
          <w:p w14:paraId="0D3DC82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1.30</w:t>
            </w:r>
          </w:p>
        </w:tc>
        <w:tc>
          <w:tcPr>
            <w:tcW w:w="2835" w:type="dxa"/>
          </w:tcPr>
          <w:p w14:paraId="1633A8CE"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0.5-5.5 kU/L</w:t>
            </w:r>
          </w:p>
        </w:tc>
      </w:tr>
      <w:tr w:rsidR="001C7136" w:rsidRPr="00310595" w14:paraId="3490A746" w14:textId="77777777" w:rsidTr="00777E44">
        <w:trPr>
          <w:trHeight w:val="242"/>
        </w:trPr>
        <w:tc>
          <w:tcPr>
            <w:tcW w:w="3397" w:type="dxa"/>
          </w:tcPr>
          <w:p w14:paraId="5C607306"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HBsAg</w:t>
            </w:r>
          </w:p>
        </w:tc>
        <w:tc>
          <w:tcPr>
            <w:tcW w:w="2273" w:type="dxa"/>
          </w:tcPr>
          <w:p w14:paraId="7B299E18"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0.11 negative</w:t>
            </w:r>
          </w:p>
        </w:tc>
        <w:tc>
          <w:tcPr>
            <w:tcW w:w="2835" w:type="dxa"/>
          </w:tcPr>
          <w:p w14:paraId="06A2F4A9"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 s/co</w:t>
            </w:r>
          </w:p>
        </w:tc>
      </w:tr>
      <w:tr w:rsidR="001C7136" w:rsidRPr="00310595" w14:paraId="3467260C" w14:textId="77777777" w:rsidTr="00777E44">
        <w:trPr>
          <w:trHeight w:val="242"/>
        </w:trPr>
        <w:tc>
          <w:tcPr>
            <w:tcW w:w="3397" w:type="dxa"/>
          </w:tcPr>
          <w:p w14:paraId="2C6E04E5"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Anti-HCV</w:t>
            </w:r>
          </w:p>
        </w:tc>
        <w:tc>
          <w:tcPr>
            <w:tcW w:w="2273" w:type="dxa"/>
          </w:tcPr>
          <w:p w14:paraId="13BE7E37"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0.11 negative</w:t>
            </w:r>
          </w:p>
        </w:tc>
        <w:tc>
          <w:tcPr>
            <w:tcW w:w="2835" w:type="dxa"/>
          </w:tcPr>
          <w:p w14:paraId="0DFCC03A"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w:t>
            </w:r>
          </w:p>
        </w:tc>
      </w:tr>
      <w:tr w:rsidR="001C7136" w:rsidRPr="00310595" w14:paraId="64512C3E" w14:textId="77777777" w:rsidTr="00777E44">
        <w:trPr>
          <w:trHeight w:val="211"/>
        </w:trPr>
        <w:tc>
          <w:tcPr>
            <w:tcW w:w="3397" w:type="dxa"/>
          </w:tcPr>
          <w:p w14:paraId="742B5DF1"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AMA: M2</w:t>
            </w:r>
          </w:p>
        </w:tc>
        <w:tc>
          <w:tcPr>
            <w:tcW w:w="2273" w:type="dxa"/>
          </w:tcPr>
          <w:p w14:paraId="3EBFE09C"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Negative</w:t>
            </w:r>
          </w:p>
        </w:tc>
        <w:tc>
          <w:tcPr>
            <w:tcW w:w="2835" w:type="dxa"/>
          </w:tcPr>
          <w:p w14:paraId="62189677"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w:t>
            </w:r>
          </w:p>
        </w:tc>
      </w:tr>
      <w:tr w:rsidR="001C7136" w:rsidRPr="00310595" w14:paraId="42131756" w14:textId="77777777" w:rsidTr="00777E44">
        <w:trPr>
          <w:trHeight w:val="211"/>
        </w:trPr>
        <w:tc>
          <w:tcPr>
            <w:tcW w:w="3397" w:type="dxa"/>
          </w:tcPr>
          <w:p w14:paraId="191B3EA3"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ANA</w:t>
            </w:r>
          </w:p>
        </w:tc>
        <w:tc>
          <w:tcPr>
            <w:tcW w:w="2273" w:type="dxa"/>
          </w:tcPr>
          <w:p w14:paraId="453EAD36"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egative (1:40)</w:t>
            </w:r>
          </w:p>
        </w:tc>
        <w:tc>
          <w:tcPr>
            <w:tcW w:w="2835" w:type="dxa"/>
          </w:tcPr>
          <w:p w14:paraId="1087BAB9"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&lt; 1:40</w:t>
            </w:r>
          </w:p>
        </w:tc>
      </w:tr>
      <w:tr w:rsidR="001C7136" w:rsidRPr="00310595" w14:paraId="50692CB6" w14:textId="77777777" w:rsidTr="00777E44">
        <w:trPr>
          <w:trHeight w:val="242"/>
        </w:trPr>
        <w:tc>
          <w:tcPr>
            <w:tcW w:w="3397" w:type="dxa"/>
          </w:tcPr>
          <w:p w14:paraId="717306B2"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Immunoglobulin G4</w:t>
            </w:r>
          </w:p>
        </w:tc>
        <w:tc>
          <w:tcPr>
            <w:tcW w:w="2273" w:type="dxa"/>
          </w:tcPr>
          <w:p w14:paraId="64D4CD4D"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0.653</w:t>
            </w:r>
          </w:p>
        </w:tc>
        <w:tc>
          <w:tcPr>
            <w:tcW w:w="2835" w:type="dxa"/>
          </w:tcPr>
          <w:p w14:paraId="52D4FFE1" w14:textId="77777777" w:rsidR="001C7136" w:rsidRPr="00310595" w:rsidRDefault="001C7136" w:rsidP="00777E44">
            <w:pPr>
              <w:adjustRightInd w:val="0"/>
              <w:snapToGrid w:val="0"/>
              <w:spacing w:line="360" w:lineRule="auto"/>
              <w:jc w:val="both"/>
              <w:rPr>
                <w:rFonts w:ascii="Book Antiqua" w:eastAsia="Book Antiqua" w:hAnsi="Book Antiqua" w:cs="Book Antiqua"/>
                <w:color w:val="000000" w:themeColor="text1"/>
              </w:rPr>
            </w:pPr>
            <w:r w:rsidRPr="00310595">
              <w:rPr>
                <w:rFonts w:ascii="Book Antiqua" w:hAnsi="Book Antiqua"/>
                <w:color w:val="000000" w:themeColor="text1"/>
              </w:rPr>
              <w:t>0.08-1.40 g/L</w:t>
            </w:r>
          </w:p>
        </w:tc>
      </w:tr>
    </w:tbl>
    <w:p w14:paraId="07CAAA90" w14:textId="5108DEAD" w:rsidR="001C7136" w:rsidRPr="00310595" w:rsidRDefault="001C7136" w:rsidP="001C7136">
      <w:pPr>
        <w:adjustRightInd w:val="0"/>
        <w:snapToGrid w:val="0"/>
        <w:spacing w:line="360" w:lineRule="auto"/>
        <w:jc w:val="both"/>
        <w:rPr>
          <w:rFonts w:ascii="Book Antiqua" w:hAnsi="Book Antiqua" w:cs="Book Antiqua"/>
          <w:color w:val="000000"/>
          <w:lang w:eastAsia="zh-CN"/>
        </w:rPr>
      </w:pPr>
      <w:r w:rsidRPr="00310595">
        <w:rPr>
          <w:rFonts w:ascii="Book Antiqua" w:hAnsi="Book Antiqua" w:cs="Book Antiqua"/>
          <w:color w:val="000000"/>
          <w:lang w:eastAsia="zh-CN"/>
        </w:rPr>
        <w:t xml:space="preserve">INR: </w:t>
      </w:r>
      <w:r w:rsidRPr="00310595">
        <w:rPr>
          <w:rFonts w:ascii="Book Antiqua" w:hAnsi="Book Antiqua" w:cs="Book Antiqua"/>
          <w:caps/>
          <w:color w:val="000000"/>
          <w:lang w:eastAsia="zh-CN"/>
        </w:rPr>
        <w:t>i</w:t>
      </w:r>
      <w:r w:rsidRPr="00310595">
        <w:rPr>
          <w:rFonts w:ascii="Book Antiqua" w:hAnsi="Book Antiqua" w:cs="Book Antiqua"/>
          <w:color w:val="000000"/>
          <w:lang w:eastAsia="zh-CN"/>
        </w:rPr>
        <w:t xml:space="preserve">nternational normalized ratio; SPA: Stago prothrombin assay; CA 19-9: carbohydrate antigen 19-9; CEA: </w:t>
      </w:r>
      <w:r w:rsidRPr="00310595">
        <w:rPr>
          <w:rFonts w:ascii="Book Antiqua" w:hAnsi="Book Antiqua" w:cs="Book Antiqua"/>
          <w:caps/>
          <w:color w:val="000000"/>
          <w:lang w:eastAsia="zh-CN"/>
        </w:rPr>
        <w:t>c</w:t>
      </w:r>
      <w:r w:rsidRPr="00310595">
        <w:rPr>
          <w:rFonts w:ascii="Book Antiqua" w:hAnsi="Book Antiqua" w:cs="Book Antiqua"/>
          <w:color w:val="000000"/>
          <w:lang w:eastAsia="zh-CN"/>
        </w:rPr>
        <w:t xml:space="preserve">arcinoembryonic antigen; AFP: </w:t>
      </w:r>
      <w:r w:rsidRPr="00310595">
        <w:rPr>
          <w:rFonts w:ascii="Book Antiqua" w:hAnsi="Book Antiqua" w:cs="Book Antiqua"/>
          <w:caps/>
          <w:color w:val="000000"/>
          <w:lang w:eastAsia="zh-CN"/>
        </w:rPr>
        <w:t>a</w:t>
      </w:r>
      <w:r w:rsidRPr="00310595">
        <w:rPr>
          <w:rFonts w:ascii="Book Antiqua" w:hAnsi="Book Antiqua" w:cs="Book Antiqua"/>
          <w:color w:val="000000"/>
          <w:lang w:eastAsia="zh-CN"/>
        </w:rPr>
        <w:t xml:space="preserve">lpha-fetoprotein; HBsAg: </w:t>
      </w:r>
      <w:r w:rsidRPr="00310595">
        <w:rPr>
          <w:rFonts w:ascii="Book Antiqua" w:hAnsi="Book Antiqua" w:cs="Book Antiqua"/>
          <w:caps/>
          <w:color w:val="000000"/>
          <w:lang w:eastAsia="zh-CN"/>
        </w:rPr>
        <w:t>h</w:t>
      </w:r>
      <w:r w:rsidRPr="00310595">
        <w:rPr>
          <w:rFonts w:ascii="Book Antiqua" w:hAnsi="Book Antiqua" w:cs="Book Antiqua"/>
          <w:color w:val="000000"/>
          <w:lang w:eastAsia="zh-CN"/>
        </w:rPr>
        <w:t xml:space="preserve">epatitis B surface antigen; HCV: </w:t>
      </w:r>
      <w:r w:rsidRPr="00310595">
        <w:rPr>
          <w:rFonts w:ascii="Book Antiqua" w:hAnsi="Book Antiqua" w:cs="Book Antiqua"/>
          <w:caps/>
          <w:color w:val="000000"/>
          <w:lang w:eastAsia="zh-CN"/>
        </w:rPr>
        <w:t>h</w:t>
      </w:r>
      <w:r w:rsidRPr="00310595">
        <w:rPr>
          <w:rFonts w:ascii="Book Antiqua" w:hAnsi="Book Antiqua" w:cs="Book Antiqua"/>
          <w:color w:val="000000"/>
          <w:lang w:eastAsia="zh-CN"/>
        </w:rPr>
        <w:t xml:space="preserve">epatitis C virus; AMA: </w:t>
      </w:r>
      <w:r w:rsidRPr="00310595">
        <w:rPr>
          <w:rFonts w:ascii="Book Antiqua" w:hAnsi="Book Antiqua" w:cs="Book Antiqua"/>
          <w:caps/>
          <w:color w:val="000000"/>
          <w:lang w:eastAsia="zh-CN"/>
        </w:rPr>
        <w:t>a</w:t>
      </w:r>
      <w:r w:rsidRPr="00310595">
        <w:rPr>
          <w:rFonts w:ascii="Book Antiqua" w:hAnsi="Book Antiqua" w:cs="Book Antiqua"/>
          <w:color w:val="000000"/>
          <w:lang w:eastAsia="zh-CN"/>
        </w:rPr>
        <w:t xml:space="preserve">ntimitochondrial; ANA: </w:t>
      </w:r>
      <w:r w:rsidRPr="00310595">
        <w:rPr>
          <w:rFonts w:ascii="Book Antiqua" w:hAnsi="Book Antiqua" w:cs="Book Antiqua"/>
          <w:caps/>
          <w:color w:val="000000"/>
          <w:lang w:eastAsia="zh-CN"/>
        </w:rPr>
        <w:t>a</w:t>
      </w:r>
      <w:r w:rsidRPr="00310595">
        <w:rPr>
          <w:rFonts w:ascii="Book Antiqua" w:hAnsi="Book Antiqua" w:cs="Book Antiqua"/>
          <w:color w:val="000000"/>
          <w:lang w:eastAsia="zh-CN"/>
        </w:rPr>
        <w:t>ntinuclear.</w:t>
      </w:r>
    </w:p>
    <w:p w14:paraId="04FDFD34" w14:textId="77777777" w:rsidR="001C7136" w:rsidRPr="00310595" w:rsidRDefault="001C7136" w:rsidP="001C7136">
      <w:pPr>
        <w:adjustRightInd w:val="0"/>
        <w:snapToGrid w:val="0"/>
        <w:spacing w:line="360" w:lineRule="auto"/>
        <w:jc w:val="both"/>
        <w:rPr>
          <w:rFonts w:ascii="Book Antiqua" w:hAnsi="Book Antiqua" w:cs="Book Antiqua"/>
          <w:b/>
          <w:color w:val="000000" w:themeColor="text1"/>
          <w:lang w:eastAsia="zh-CN"/>
        </w:rPr>
      </w:pPr>
      <w:r w:rsidRPr="00310595">
        <w:rPr>
          <w:rFonts w:ascii="Book Antiqua" w:hAnsi="Book Antiqua"/>
          <w:lang w:eastAsia="zh-CN"/>
        </w:rPr>
        <w:br w:type="page"/>
      </w:r>
      <w:r w:rsidRPr="00310595">
        <w:rPr>
          <w:rFonts w:ascii="Book Antiqua" w:eastAsia="Book Antiqua" w:hAnsi="Book Antiqua" w:cs="Book Antiqua"/>
          <w:b/>
          <w:color w:val="000000" w:themeColor="text1"/>
        </w:rPr>
        <w:t>Table 2 Cases of biliary inflammatory myofibroblastic tumor</w:t>
      </w:r>
      <w:r w:rsidRPr="00310595">
        <w:rPr>
          <w:rFonts w:ascii="Book Antiqua" w:hAnsi="Book Antiqua" w:cs="Book Antiqua"/>
          <w:b/>
          <w:color w:val="000000" w:themeColor="text1"/>
          <w:lang w:eastAsia="zh-CN"/>
        </w:rPr>
        <w:t>s</w:t>
      </w:r>
    </w:p>
    <w:tbl>
      <w:tblPr>
        <w:tblW w:w="10263" w:type="dxa"/>
        <w:tblInd w:w="85" w:type="dxa"/>
        <w:tblBorders>
          <w:top w:val="single" w:sz="4" w:space="0" w:color="auto"/>
          <w:bottom w:val="single" w:sz="4" w:space="0" w:color="auto"/>
        </w:tblBorders>
        <w:tblLayout w:type="fixed"/>
        <w:tblLook w:val="0600" w:firstRow="0" w:lastRow="0" w:firstColumn="0" w:lastColumn="0" w:noHBand="1" w:noVBand="1"/>
      </w:tblPr>
      <w:tblGrid>
        <w:gridCol w:w="2168"/>
        <w:gridCol w:w="1560"/>
        <w:gridCol w:w="1984"/>
        <w:gridCol w:w="2000"/>
        <w:gridCol w:w="992"/>
        <w:gridCol w:w="1559"/>
      </w:tblGrid>
      <w:tr w:rsidR="001C7136" w:rsidRPr="00310595" w14:paraId="2482D5F9" w14:textId="77777777" w:rsidTr="00777E44">
        <w:trPr>
          <w:trHeight w:val="448"/>
        </w:trPr>
        <w:tc>
          <w:tcPr>
            <w:tcW w:w="2168"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1EE771C9" w14:textId="77777777" w:rsidR="001C7136" w:rsidRPr="00310595" w:rsidRDefault="001C7136" w:rsidP="00AC494A">
            <w:pPr>
              <w:widowControl w:val="0"/>
              <w:pBdr>
                <w:top w:val="nil"/>
                <w:left w:val="nil"/>
                <w:bottom w:val="nil"/>
                <w:right w:val="nil"/>
                <w:between w:val="nil"/>
              </w:pBdr>
              <w:adjustRightInd w:val="0"/>
              <w:snapToGrid w:val="0"/>
              <w:spacing w:line="360" w:lineRule="auto"/>
              <w:rPr>
                <w:rFonts w:ascii="Book Antiqua" w:hAnsi="Book Antiqua"/>
                <w:b/>
                <w:color w:val="000000" w:themeColor="text1"/>
                <w:lang w:eastAsia="zh-CN"/>
              </w:rPr>
            </w:pPr>
            <w:r w:rsidRPr="00310595">
              <w:rPr>
                <w:rFonts w:ascii="Book Antiqua" w:hAnsi="Book Antiqua"/>
                <w:b/>
                <w:color w:val="000000" w:themeColor="text1"/>
                <w:lang w:eastAsia="zh-CN"/>
              </w:rPr>
              <w:t>Ref.</w:t>
            </w:r>
          </w:p>
        </w:tc>
        <w:tc>
          <w:tcPr>
            <w:tcW w:w="1560"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3004E0D8" w14:textId="77777777" w:rsidR="001C7136" w:rsidRPr="00310595" w:rsidRDefault="001C7136" w:rsidP="00AC494A">
            <w:pPr>
              <w:widowControl w:val="0"/>
              <w:pBdr>
                <w:top w:val="nil"/>
                <w:left w:val="nil"/>
                <w:bottom w:val="nil"/>
                <w:right w:val="nil"/>
                <w:between w:val="nil"/>
              </w:pBdr>
              <w:adjustRightInd w:val="0"/>
              <w:snapToGrid w:val="0"/>
              <w:spacing w:line="360" w:lineRule="auto"/>
              <w:rPr>
                <w:rFonts w:ascii="Book Antiqua" w:hAnsi="Book Antiqua"/>
                <w:b/>
                <w:color w:val="000000" w:themeColor="text1"/>
              </w:rPr>
            </w:pPr>
            <w:r w:rsidRPr="00310595">
              <w:rPr>
                <w:rFonts w:ascii="Book Antiqua" w:hAnsi="Book Antiqua"/>
                <w:b/>
                <w:color w:val="000000" w:themeColor="text1"/>
              </w:rPr>
              <w:t>Age /gender</w:t>
            </w:r>
          </w:p>
        </w:tc>
        <w:tc>
          <w:tcPr>
            <w:tcW w:w="1984"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46329A7B" w14:textId="77777777" w:rsidR="001C7136" w:rsidRPr="00310595" w:rsidRDefault="001C7136" w:rsidP="00AC494A">
            <w:pPr>
              <w:widowControl w:val="0"/>
              <w:pBdr>
                <w:top w:val="nil"/>
                <w:left w:val="nil"/>
                <w:bottom w:val="nil"/>
                <w:right w:val="nil"/>
                <w:between w:val="nil"/>
              </w:pBdr>
              <w:adjustRightInd w:val="0"/>
              <w:snapToGrid w:val="0"/>
              <w:spacing w:line="360" w:lineRule="auto"/>
              <w:rPr>
                <w:rFonts w:ascii="Book Antiqua" w:hAnsi="Book Antiqua"/>
                <w:b/>
                <w:color w:val="000000" w:themeColor="text1"/>
              </w:rPr>
            </w:pPr>
            <w:r w:rsidRPr="00310595">
              <w:rPr>
                <w:rFonts w:ascii="Book Antiqua" w:hAnsi="Book Antiqua"/>
                <w:b/>
                <w:color w:val="000000" w:themeColor="text1"/>
              </w:rPr>
              <w:t>Location/extension</w:t>
            </w:r>
          </w:p>
        </w:tc>
        <w:tc>
          <w:tcPr>
            <w:tcW w:w="2000"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1E5D3C9F" w14:textId="77777777" w:rsidR="001C7136" w:rsidRPr="00310595" w:rsidRDefault="001C7136" w:rsidP="00AC494A">
            <w:pPr>
              <w:widowControl w:val="0"/>
              <w:pBdr>
                <w:top w:val="nil"/>
                <w:left w:val="nil"/>
                <w:bottom w:val="nil"/>
                <w:right w:val="nil"/>
                <w:between w:val="nil"/>
              </w:pBdr>
              <w:adjustRightInd w:val="0"/>
              <w:snapToGrid w:val="0"/>
              <w:spacing w:line="360" w:lineRule="auto"/>
              <w:rPr>
                <w:rFonts w:ascii="Book Antiqua" w:hAnsi="Book Antiqua"/>
                <w:b/>
                <w:color w:val="000000" w:themeColor="text1"/>
              </w:rPr>
            </w:pPr>
            <w:r w:rsidRPr="00310595">
              <w:rPr>
                <w:rFonts w:ascii="Book Antiqua" w:hAnsi="Book Antiqua"/>
                <w:b/>
                <w:color w:val="000000" w:themeColor="text1"/>
              </w:rPr>
              <w:t>Treatment</w:t>
            </w:r>
          </w:p>
        </w:tc>
        <w:tc>
          <w:tcPr>
            <w:tcW w:w="992"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79EB74BA" w14:textId="77777777" w:rsidR="001C7136" w:rsidRPr="00310595" w:rsidRDefault="001C7136" w:rsidP="00AC494A">
            <w:pPr>
              <w:widowControl w:val="0"/>
              <w:pBdr>
                <w:top w:val="nil"/>
                <w:left w:val="nil"/>
                <w:bottom w:val="nil"/>
                <w:right w:val="nil"/>
                <w:between w:val="nil"/>
              </w:pBdr>
              <w:adjustRightInd w:val="0"/>
              <w:snapToGrid w:val="0"/>
              <w:spacing w:line="360" w:lineRule="auto"/>
              <w:rPr>
                <w:rFonts w:ascii="Book Antiqua" w:hAnsi="Book Antiqua"/>
                <w:b/>
                <w:color w:val="000000" w:themeColor="text1"/>
              </w:rPr>
            </w:pPr>
            <w:r w:rsidRPr="00310595">
              <w:rPr>
                <w:rFonts w:ascii="Book Antiqua" w:hAnsi="Book Antiqua"/>
                <w:b/>
                <w:color w:val="000000" w:themeColor="text1"/>
              </w:rPr>
              <w:t>Follow- up</w:t>
            </w:r>
          </w:p>
        </w:tc>
        <w:tc>
          <w:tcPr>
            <w:tcW w:w="1559" w:type="dxa"/>
            <w:tcBorders>
              <w:top w:val="single" w:sz="4" w:space="0" w:color="auto"/>
              <w:bottom w:val="single" w:sz="4" w:space="0" w:color="auto"/>
            </w:tcBorders>
            <w:shd w:val="clear" w:color="auto" w:fill="FFFFFF"/>
            <w:tcMar>
              <w:top w:w="100" w:type="dxa"/>
              <w:left w:w="100" w:type="dxa"/>
              <w:bottom w:w="100" w:type="dxa"/>
              <w:right w:w="100" w:type="dxa"/>
            </w:tcMar>
            <w:vAlign w:val="center"/>
          </w:tcPr>
          <w:p w14:paraId="58EA0306" w14:textId="77777777" w:rsidR="001C7136" w:rsidRPr="00310595" w:rsidRDefault="001C7136" w:rsidP="00AC494A">
            <w:pPr>
              <w:widowControl w:val="0"/>
              <w:pBdr>
                <w:top w:val="nil"/>
                <w:left w:val="nil"/>
                <w:bottom w:val="nil"/>
                <w:right w:val="nil"/>
                <w:between w:val="nil"/>
              </w:pBdr>
              <w:adjustRightInd w:val="0"/>
              <w:snapToGrid w:val="0"/>
              <w:spacing w:line="360" w:lineRule="auto"/>
              <w:rPr>
                <w:rFonts w:ascii="Book Antiqua" w:hAnsi="Book Antiqua"/>
                <w:b/>
                <w:color w:val="000000" w:themeColor="text1"/>
              </w:rPr>
            </w:pPr>
            <w:r w:rsidRPr="00310595">
              <w:rPr>
                <w:rFonts w:ascii="Book Antiqua" w:hAnsi="Book Antiqua"/>
                <w:b/>
                <w:color w:val="000000" w:themeColor="text1"/>
              </w:rPr>
              <w:t>Outcome</w:t>
            </w:r>
          </w:p>
        </w:tc>
      </w:tr>
      <w:tr w:rsidR="001C7136" w:rsidRPr="00310595" w14:paraId="6DAAE6E4" w14:textId="77777777" w:rsidTr="00777E44">
        <w:trPr>
          <w:trHeight w:val="154"/>
        </w:trPr>
        <w:tc>
          <w:tcPr>
            <w:tcW w:w="2168" w:type="dxa"/>
            <w:tcBorders>
              <w:top w:val="single" w:sz="4" w:space="0" w:color="auto"/>
            </w:tcBorders>
            <w:shd w:val="clear" w:color="auto" w:fill="FFFFFF"/>
            <w:tcMar>
              <w:top w:w="100" w:type="dxa"/>
              <w:left w:w="100" w:type="dxa"/>
              <w:bottom w:w="100" w:type="dxa"/>
              <w:right w:w="100" w:type="dxa"/>
            </w:tcMar>
            <w:vAlign w:val="center"/>
          </w:tcPr>
          <w:p w14:paraId="4A576E4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Haith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[46]</w:t>
            </w:r>
            <w:r w:rsidRPr="00310595">
              <w:rPr>
                <w:rFonts w:ascii="Book Antiqua" w:hAnsi="Book Antiqua"/>
                <w:color w:val="000000" w:themeColor="text1"/>
                <w:vertAlign w:val="superscript"/>
              </w:rPr>
              <w:fldChar w:fldCharType="end"/>
            </w:r>
          </w:p>
        </w:tc>
        <w:tc>
          <w:tcPr>
            <w:tcW w:w="1560" w:type="dxa"/>
            <w:tcBorders>
              <w:top w:val="single" w:sz="4" w:space="0" w:color="auto"/>
            </w:tcBorders>
            <w:shd w:val="clear" w:color="auto" w:fill="FFFFFF"/>
            <w:tcMar>
              <w:top w:w="100" w:type="dxa"/>
              <w:left w:w="100" w:type="dxa"/>
              <w:bottom w:w="100" w:type="dxa"/>
              <w:right w:w="100" w:type="dxa"/>
            </w:tcMar>
            <w:vAlign w:val="center"/>
          </w:tcPr>
          <w:p w14:paraId="172F4655"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6/M</w:t>
            </w:r>
          </w:p>
        </w:tc>
        <w:tc>
          <w:tcPr>
            <w:tcW w:w="1984" w:type="dxa"/>
            <w:tcBorders>
              <w:top w:val="single" w:sz="4" w:space="0" w:color="auto"/>
            </w:tcBorders>
            <w:shd w:val="clear" w:color="auto" w:fill="FFFFFF"/>
            <w:tcMar>
              <w:top w:w="100" w:type="dxa"/>
              <w:left w:w="100" w:type="dxa"/>
              <w:bottom w:w="100" w:type="dxa"/>
              <w:right w:w="100" w:type="dxa"/>
            </w:tcMar>
            <w:vAlign w:val="center"/>
          </w:tcPr>
          <w:p w14:paraId="0BA9F3D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tcBorders>
              <w:top w:val="single" w:sz="4" w:space="0" w:color="auto"/>
            </w:tcBorders>
            <w:shd w:val="clear" w:color="auto" w:fill="FFFFFF"/>
            <w:tcMar>
              <w:top w:w="100" w:type="dxa"/>
              <w:left w:w="100" w:type="dxa"/>
              <w:bottom w:w="100" w:type="dxa"/>
              <w:right w:w="100" w:type="dxa"/>
            </w:tcMar>
            <w:vAlign w:val="center"/>
          </w:tcPr>
          <w:p w14:paraId="11FD159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 and celecoxib</w:t>
            </w:r>
          </w:p>
        </w:tc>
        <w:tc>
          <w:tcPr>
            <w:tcW w:w="992" w:type="dxa"/>
            <w:tcBorders>
              <w:top w:val="single" w:sz="4" w:space="0" w:color="auto"/>
            </w:tcBorders>
            <w:shd w:val="clear" w:color="auto" w:fill="FFFFFF"/>
            <w:tcMar>
              <w:top w:w="100" w:type="dxa"/>
              <w:left w:w="100" w:type="dxa"/>
              <w:bottom w:w="100" w:type="dxa"/>
              <w:right w:w="100" w:type="dxa"/>
            </w:tcMar>
            <w:vAlign w:val="center"/>
          </w:tcPr>
          <w:p w14:paraId="353307F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 mo</w:t>
            </w:r>
          </w:p>
        </w:tc>
        <w:tc>
          <w:tcPr>
            <w:tcW w:w="1559" w:type="dxa"/>
            <w:tcBorders>
              <w:top w:val="single" w:sz="4" w:space="0" w:color="auto"/>
            </w:tcBorders>
            <w:shd w:val="clear" w:color="auto" w:fill="FFFFFF"/>
            <w:tcMar>
              <w:top w:w="100" w:type="dxa"/>
              <w:left w:w="100" w:type="dxa"/>
              <w:bottom w:w="100" w:type="dxa"/>
              <w:right w:w="100" w:type="dxa"/>
            </w:tcMar>
            <w:vAlign w:val="center"/>
          </w:tcPr>
          <w:p w14:paraId="01C49593"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78F12DE8" w14:textId="77777777" w:rsidTr="00777E44">
        <w:trPr>
          <w:trHeight w:val="569"/>
        </w:trPr>
        <w:tc>
          <w:tcPr>
            <w:tcW w:w="2168" w:type="dxa"/>
            <w:shd w:val="clear" w:color="auto" w:fill="FFFFFF"/>
            <w:tcMar>
              <w:top w:w="100" w:type="dxa"/>
              <w:left w:w="100" w:type="dxa"/>
              <w:bottom w:w="100" w:type="dxa"/>
              <w:right w:w="100" w:type="dxa"/>
            </w:tcMar>
            <w:vAlign w:val="center"/>
          </w:tcPr>
          <w:p w14:paraId="5068A56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Stamatakis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[47]</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599E327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13/F</w:t>
            </w:r>
          </w:p>
        </w:tc>
        <w:tc>
          <w:tcPr>
            <w:tcW w:w="1984" w:type="dxa"/>
            <w:shd w:val="clear" w:color="auto" w:fill="FFFFFF"/>
            <w:tcMar>
              <w:top w:w="100" w:type="dxa"/>
              <w:left w:w="100" w:type="dxa"/>
              <w:bottom w:w="100" w:type="dxa"/>
              <w:right w:w="100" w:type="dxa"/>
            </w:tcMar>
            <w:vAlign w:val="center"/>
          </w:tcPr>
          <w:p w14:paraId="2502D51A"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 cystic duct, CHD</w:t>
            </w:r>
          </w:p>
        </w:tc>
        <w:tc>
          <w:tcPr>
            <w:tcW w:w="2000" w:type="dxa"/>
            <w:shd w:val="clear" w:color="auto" w:fill="FFFFFF"/>
            <w:tcMar>
              <w:top w:w="100" w:type="dxa"/>
              <w:left w:w="100" w:type="dxa"/>
              <w:bottom w:w="100" w:type="dxa"/>
              <w:right w:w="100" w:type="dxa"/>
            </w:tcMar>
            <w:vAlign w:val="center"/>
          </w:tcPr>
          <w:p w14:paraId="78B6001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792D59C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21 mo</w:t>
            </w:r>
          </w:p>
        </w:tc>
        <w:tc>
          <w:tcPr>
            <w:tcW w:w="1559" w:type="dxa"/>
            <w:shd w:val="clear" w:color="auto" w:fill="FFFFFF"/>
            <w:tcMar>
              <w:top w:w="100" w:type="dxa"/>
              <w:left w:w="100" w:type="dxa"/>
              <w:bottom w:w="100" w:type="dxa"/>
              <w:right w:w="100" w:type="dxa"/>
            </w:tcMar>
            <w:vAlign w:val="center"/>
          </w:tcPr>
          <w:p w14:paraId="5BDAEE3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1DF085F3" w14:textId="77777777" w:rsidTr="00777E44">
        <w:trPr>
          <w:trHeight w:val="1034"/>
        </w:trPr>
        <w:tc>
          <w:tcPr>
            <w:tcW w:w="2168" w:type="dxa"/>
            <w:shd w:val="clear" w:color="auto" w:fill="FFFFFF"/>
            <w:tcMar>
              <w:top w:w="100" w:type="dxa"/>
              <w:left w:w="100" w:type="dxa"/>
              <w:bottom w:w="100" w:type="dxa"/>
              <w:right w:w="100" w:type="dxa"/>
            </w:tcMar>
            <w:vAlign w:val="center"/>
          </w:tcPr>
          <w:p w14:paraId="577B287F"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Ikeda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[48]</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2ACD7CD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43/M</w:t>
            </w:r>
          </w:p>
        </w:tc>
        <w:tc>
          <w:tcPr>
            <w:tcW w:w="1984" w:type="dxa"/>
            <w:shd w:val="clear" w:color="auto" w:fill="FFFFFF"/>
            <w:tcMar>
              <w:top w:w="100" w:type="dxa"/>
              <w:left w:w="100" w:type="dxa"/>
              <w:bottom w:w="100" w:type="dxa"/>
              <w:right w:w="100" w:type="dxa"/>
            </w:tcMar>
            <w:vAlign w:val="center"/>
          </w:tcPr>
          <w:p w14:paraId="283BCCE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 intrahepatic ducts, CHD, gall bladder, lymph nodes</w:t>
            </w:r>
          </w:p>
        </w:tc>
        <w:tc>
          <w:tcPr>
            <w:tcW w:w="2000" w:type="dxa"/>
            <w:shd w:val="clear" w:color="auto" w:fill="FFFFFF"/>
            <w:tcMar>
              <w:top w:w="100" w:type="dxa"/>
              <w:left w:w="100" w:type="dxa"/>
              <w:bottom w:w="100" w:type="dxa"/>
              <w:right w:w="100" w:type="dxa"/>
            </w:tcMar>
            <w:vAlign w:val="center"/>
          </w:tcPr>
          <w:p w14:paraId="1930909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Surgery</w:t>
            </w:r>
          </w:p>
        </w:tc>
        <w:tc>
          <w:tcPr>
            <w:tcW w:w="992" w:type="dxa"/>
            <w:shd w:val="clear" w:color="auto" w:fill="FFFFFF"/>
            <w:tcMar>
              <w:top w:w="100" w:type="dxa"/>
              <w:left w:w="100" w:type="dxa"/>
              <w:bottom w:w="100" w:type="dxa"/>
              <w:right w:w="100" w:type="dxa"/>
            </w:tcMar>
            <w:vAlign w:val="center"/>
          </w:tcPr>
          <w:p w14:paraId="7728909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7 mo</w:t>
            </w:r>
          </w:p>
        </w:tc>
        <w:tc>
          <w:tcPr>
            <w:tcW w:w="1559" w:type="dxa"/>
            <w:shd w:val="clear" w:color="auto" w:fill="FFFFFF"/>
            <w:tcMar>
              <w:top w:w="100" w:type="dxa"/>
              <w:left w:w="100" w:type="dxa"/>
              <w:bottom w:w="100" w:type="dxa"/>
              <w:right w:w="100" w:type="dxa"/>
            </w:tcMar>
            <w:vAlign w:val="center"/>
          </w:tcPr>
          <w:p w14:paraId="6A3F6AC9"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Lung metastasis</w:t>
            </w:r>
          </w:p>
        </w:tc>
      </w:tr>
      <w:tr w:rsidR="001C7136" w:rsidRPr="00310595" w14:paraId="13A41E13" w14:textId="77777777" w:rsidTr="00777E44">
        <w:trPr>
          <w:trHeight w:val="596"/>
        </w:trPr>
        <w:tc>
          <w:tcPr>
            <w:tcW w:w="2168" w:type="dxa"/>
            <w:shd w:val="clear" w:color="auto" w:fill="FFFFFF"/>
            <w:tcMar>
              <w:top w:w="100" w:type="dxa"/>
              <w:left w:w="100" w:type="dxa"/>
              <w:bottom w:w="100" w:type="dxa"/>
              <w:right w:w="100" w:type="dxa"/>
            </w:tcMar>
            <w:vAlign w:val="center"/>
          </w:tcPr>
          <w:p w14:paraId="2F4F887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Fukushima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[49]</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1932A76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58/F</w:t>
            </w:r>
          </w:p>
        </w:tc>
        <w:tc>
          <w:tcPr>
            <w:tcW w:w="1984" w:type="dxa"/>
            <w:shd w:val="clear" w:color="auto" w:fill="FFFFFF"/>
            <w:tcMar>
              <w:top w:w="100" w:type="dxa"/>
              <w:left w:w="100" w:type="dxa"/>
              <w:bottom w:w="100" w:type="dxa"/>
              <w:right w:w="100" w:type="dxa"/>
            </w:tcMar>
            <w:vAlign w:val="center"/>
          </w:tcPr>
          <w:p w14:paraId="474DDFE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Mid-CBD/pancreas and lymph nodes</w:t>
            </w:r>
          </w:p>
        </w:tc>
        <w:tc>
          <w:tcPr>
            <w:tcW w:w="2000" w:type="dxa"/>
            <w:shd w:val="clear" w:color="auto" w:fill="FFFFFF"/>
            <w:tcMar>
              <w:top w:w="100" w:type="dxa"/>
              <w:left w:w="100" w:type="dxa"/>
              <w:bottom w:w="100" w:type="dxa"/>
              <w:right w:w="100" w:type="dxa"/>
            </w:tcMar>
            <w:vAlign w:val="center"/>
          </w:tcPr>
          <w:p w14:paraId="1193A2E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67DDF0D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486CDE9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345925B3" w14:textId="77777777" w:rsidTr="00777E44">
        <w:trPr>
          <w:trHeight w:val="300"/>
        </w:trPr>
        <w:tc>
          <w:tcPr>
            <w:tcW w:w="2168" w:type="dxa"/>
            <w:shd w:val="clear" w:color="auto" w:fill="FFFFFF"/>
            <w:tcMar>
              <w:top w:w="100" w:type="dxa"/>
              <w:left w:w="100" w:type="dxa"/>
              <w:bottom w:w="100" w:type="dxa"/>
              <w:right w:w="100" w:type="dxa"/>
            </w:tcMar>
            <w:vAlign w:val="center"/>
          </w:tcPr>
          <w:p w14:paraId="1A2282D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Walsh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[50]</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9032876"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50/M</w:t>
            </w:r>
          </w:p>
        </w:tc>
        <w:tc>
          <w:tcPr>
            <w:tcW w:w="1984" w:type="dxa"/>
            <w:shd w:val="clear" w:color="auto" w:fill="FFFFFF"/>
            <w:tcMar>
              <w:top w:w="100" w:type="dxa"/>
              <w:left w:w="100" w:type="dxa"/>
              <w:bottom w:w="100" w:type="dxa"/>
              <w:right w:w="100" w:type="dxa"/>
            </w:tcMar>
            <w:vAlign w:val="center"/>
          </w:tcPr>
          <w:p w14:paraId="4933F7FB"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w:t>
            </w:r>
          </w:p>
        </w:tc>
        <w:tc>
          <w:tcPr>
            <w:tcW w:w="2000" w:type="dxa"/>
            <w:shd w:val="clear" w:color="auto" w:fill="FFFFFF"/>
            <w:tcMar>
              <w:top w:w="100" w:type="dxa"/>
              <w:left w:w="100" w:type="dxa"/>
              <w:bottom w:w="100" w:type="dxa"/>
              <w:right w:w="100" w:type="dxa"/>
            </w:tcMar>
            <w:vAlign w:val="center"/>
          </w:tcPr>
          <w:p w14:paraId="69BD2C1A"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1951CC1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19 yr</w:t>
            </w:r>
          </w:p>
        </w:tc>
        <w:tc>
          <w:tcPr>
            <w:tcW w:w="1559" w:type="dxa"/>
            <w:shd w:val="clear" w:color="auto" w:fill="FFFFFF"/>
            <w:tcMar>
              <w:top w:w="100" w:type="dxa"/>
              <w:left w:w="100" w:type="dxa"/>
              <w:bottom w:w="100" w:type="dxa"/>
              <w:right w:w="100" w:type="dxa"/>
            </w:tcMar>
            <w:vAlign w:val="center"/>
          </w:tcPr>
          <w:p w14:paraId="720E943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Metastasis</w:t>
            </w:r>
          </w:p>
        </w:tc>
      </w:tr>
      <w:tr w:rsidR="001C7136" w:rsidRPr="00310595" w14:paraId="0E119DC0" w14:textId="77777777" w:rsidTr="00777E44">
        <w:trPr>
          <w:trHeight w:val="285"/>
        </w:trPr>
        <w:tc>
          <w:tcPr>
            <w:tcW w:w="2168" w:type="dxa"/>
            <w:shd w:val="clear" w:color="auto" w:fill="FFFFFF"/>
            <w:tcMar>
              <w:top w:w="100" w:type="dxa"/>
              <w:left w:w="100" w:type="dxa"/>
              <w:bottom w:w="100" w:type="dxa"/>
              <w:right w:w="100" w:type="dxa"/>
            </w:tcMar>
            <w:vAlign w:val="center"/>
          </w:tcPr>
          <w:p w14:paraId="5B081985"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Sobesky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[51]</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60C7E6D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51/F</w:t>
            </w:r>
          </w:p>
        </w:tc>
        <w:tc>
          <w:tcPr>
            <w:tcW w:w="1984" w:type="dxa"/>
            <w:shd w:val="clear" w:color="auto" w:fill="FFFFFF"/>
            <w:tcMar>
              <w:top w:w="100" w:type="dxa"/>
              <w:left w:w="100" w:type="dxa"/>
              <w:bottom w:w="100" w:type="dxa"/>
              <w:right w:w="100" w:type="dxa"/>
            </w:tcMar>
            <w:vAlign w:val="center"/>
          </w:tcPr>
          <w:p w14:paraId="6FEEE88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tcBorders>
              <w:bottom w:val="nil"/>
            </w:tcBorders>
            <w:shd w:val="clear" w:color="auto" w:fill="FFFFFF"/>
            <w:tcMar>
              <w:top w:w="100" w:type="dxa"/>
              <w:left w:w="100" w:type="dxa"/>
              <w:bottom w:w="100" w:type="dxa"/>
              <w:right w:w="100" w:type="dxa"/>
            </w:tcMar>
            <w:vAlign w:val="center"/>
          </w:tcPr>
          <w:p w14:paraId="3B5B152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tcBorders>
              <w:bottom w:val="nil"/>
            </w:tcBorders>
            <w:shd w:val="clear" w:color="auto" w:fill="FFFFFF"/>
            <w:tcMar>
              <w:top w:w="100" w:type="dxa"/>
              <w:left w:w="100" w:type="dxa"/>
              <w:bottom w:w="100" w:type="dxa"/>
              <w:right w:w="100" w:type="dxa"/>
            </w:tcMar>
            <w:vAlign w:val="center"/>
          </w:tcPr>
          <w:p w14:paraId="304837B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2 yr</w:t>
            </w:r>
          </w:p>
        </w:tc>
        <w:tc>
          <w:tcPr>
            <w:tcW w:w="1559" w:type="dxa"/>
            <w:tcBorders>
              <w:bottom w:val="nil"/>
            </w:tcBorders>
            <w:shd w:val="clear" w:color="auto" w:fill="FFFFFF"/>
            <w:tcMar>
              <w:top w:w="100" w:type="dxa"/>
              <w:left w:w="100" w:type="dxa"/>
              <w:bottom w:w="100" w:type="dxa"/>
              <w:right w:w="100" w:type="dxa"/>
            </w:tcMar>
            <w:vAlign w:val="center"/>
          </w:tcPr>
          <w:p w14:paraId="5D8D3AB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6D433BF7" w14:textId="77777777" w:rsidTr="00777E44">
        <w:trPr>
          <w:trHeight w:val="285"/>
        </w:trPr>
        <w:tc>
          <w:tcPr>
            <w:tcW w:w="2168" w:type="dxa"/>
            <w:shd w:val="clear" w:color="auto" w:fill="FFFFFF"/>
            <w:tcMar>
              <w:top w:w="100" w:type="dxa"/>
              <w:left w:w="100" w:type="dxa"/>
              <w:bottom w:w="100" w:type="dxa"/>
              <w:right w:w="100" w:type="dxa"/>
            </w:tcMar>
            <w:vAlign w:val="center"/>
          </w:tcPr>
          <w:p w14:paraId="54DD957B"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s="Segoe UI"/>
                <w:color w:val="000000" w:themeColor="text1"/>
                <w:shd w:val="clear" w:color="auto" w:fill="FFFFFF"/>
              </w:rPr>
            </w:pPr>
            <w:r w:rsidRPr="00310595">
              <w:rPr>
                <w:rFonts w:ascii="Book Antiqua" w:hAnsi="Book Antiqua" w:cs="Segoe UI"/>
                <w:color w:val="000000" w:themeColor="text1"/>
                <w:shd w:val="clear" w:color="auto" w:fill="FFFFFF"/>
              </w:rPr>
              <w:t xml:space="preserve">Venkataraman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52</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53BC7B8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17–52/3 M, 1 F</w:t>
            </w:r>
          </w:p>
        </w:tc>
        <w:tc>
          <w:tcPr>
            <w:tcW w:w="1984" w:type="dxa"/>
            <w:shd w:val="clear" w:color="auto" w:fill="FFFFFF"/>
            <w:tcMar>
              <w:top w:w="100" w:type="dxa"/>
              <w:left w:w="100" w:type="dxa"/>
              <w:bottom w:w="100" w:type="dxa"/>
              <w:right w:w="100" w:type="dxa"/>
            </w:tcMar>
            <w:vAlign w:val="center"/>
          </w:tcPr>
          <w:p w14:paraId="00DAEC5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 liver mass</w:t>
            </w:r>
          </w:p>
          <w:p w14:paraId="69A89AD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 liver mass and periportal infiltration</w:t>
            </w:r>
          </w:p>
          <w:p w14:paraId="04492BE3" w14:textId="24224048"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2 periportal infiltration</w:t>
            </w:r>
          </w:p>
        </w:tc>
        <w:tc>
          <w:tcPr>
            <w:tcW w:w="2000" w:type="dxa"/>
            <w:tcBorders>
              <w:top w:val="nil"/>
              <w:bottom w:val="single" w:sz="4" w:space="0" w:color="auto"/>
            </w:tcBorders>
            <w:shd w:val="clear" w:color="auto" w:fill="FFFFFF"/>
            <w:tcMar>
              <w:top w:w="100" w:type="dxa"/>
              <w:left w:w="100" w:type="dxa"/>
              <w:bottom w:w="100" w:type="dxa"/>
              <w:right w:w="100" w:type="dxa"/>
            </w:tcMar>
            <w:vAlign w:val="center"/>
          </w:tcPr>
          <w:p w14:paraId="0625532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992" w:type="dxa"/>
            <w:tcBorders>
              <w:top w:val="nil"/>
              <w:bottom w:val="single" w:sz="4" w:space="0" w:color="auto"/>
            </w:tcBorders>
            <w:shd w:val="clear" w:color="auto" w:fill="FFFFFF"/>
            <w:tcMar>
              <w:top w:w="100" w:type="dxa"/>
              <w:left w:w="100" w:type="dxa"/>
              <w:bottom w:w="100" w:type="dxa"/>
              <w:right w:w="100" w:type="dxa"/>
            </w:tcMar>
            <w:vAlign w:val="center"/>
          </w:tcPr>
          <w:p w14:paraId="60F293D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tcBorders>
              <w:top w:val="nil"/>
              <w:bottom w:val="single" w:sz="4" w:space="0" w:color="auto"/>
            </w:tcBorders>
            <w:shd w:val="clear" w:color="auto" w:fill="FFFFFF"/>
            <w:tcMar>
              <w:top w:w="100" w:type="dxa"/>
              <w:left w:w="100" w:type="dxa"/>
              <w:bottom w:w="100" w:type="dxa"/>
              <w:right w:w="100" w:type="dxa"/>
            </w:tcMar>
            <w:vAlign w:val="center"/>
          </w:tcPr>
          <w:p w14:paraId="551DA4A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r>
      <w:tr w:rsidR="001C7136" w:rsidRPr="00310595" w14:paraId="6A57FB5E" w14:textId="77777777" w:rsidTr="00777E44">
        <w:trPr>
          <w:trHeight w:val="463"/>
        </w:trPr>
        <w:tc>
          <w:tcPr>
            <w:tcW w:w="2168" w:type="dxa"/>
            <w:shd w:val="clear" w:color="auto" w:fill="FFFFFF"/>
            <w:tcMar>
              <w:top w:w="100" w:type="dxa"/>
              <w:left w:w="100" w:type="dxa"/>
              <w:bottom w:w="100" w:type="dxa"/>
              <w:right w:w="100" w:type="dxa"/>
            </w:tcMar>
            <w:vAlign w:val="center"/>
          </w:tcPr>
          <w:p w14:paraId="476058A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Büyükyavuz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53</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563519E3"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8/F</w:t>
            </w:r>
          </w:p>
        </w:tc>
        <w:tc>
          <w:tcPr>
            <w:tcW w:w="1984" w:type="dxa"/>
            <w:shd w:val="clear" w:color="auto" w:fill="FFFFFF"/>
            <w:tcMar>
              <w:top w:w="100" w:type="dxa"/>
              <w:left w:w="100" w:type="dxa"/>
              <w:bottom w:w="100" w:type="dxa"/>
              <w:right w:w="100" w:type="dxa"/>
            </w:tcMar>
            <w:vAlign w:val="center"/>
          </w:tcPr>
          <w:p w14:paraId="4E2F0DE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Hepatic hilar</w:t>
            </w:r>
          </w:p>
        </w:tc>
        <w:tc>
          <w:tcPr>
            <w:tcW w:w="2000" w:type="dxa"/>
            <w:tcBorders>
              <w:top w:val="single" w:sz="4" w:space="0" w:color="auto"/>
            </w:tcBorders>
            <w:shd w:val="clear" w:color="auto" w:fill="FFFFFF"/>
            <w:tcMar>
              <w:top w:w="100" w:type="dxa"/>
              <w:left w:w="100" w:type="dxa"/>
              <w:bottom w:w="100" w:type="dxa"/>
              <w:right w:w="100" w:type="dxa"/>
            </w:tcMar>
            <w:vAlign w:val="center"/>
          </w:tcPr>
          <w:p w14:paraId="7E353B1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Surgery, antibiotics</w:t>
            </w:r>
          </w:p>
        </w:tc>
        <w:tc>
          <w:tcPr>
            <w:tcW w:w="992" w:type="dxa"/>
            <w:tcBorders>
              <w:top w:val="single" w:sz="4" w:space="0" w:color="auto"/>
            </w:tcBorders>
            <w:shd w:val="clear" w:color="auto" w:fill="FFFFFF"/>
            <w:tcMar>
              <w:top w:w="100" w:type="dxa"/>
              <w:left w:w="100" w:type="dxa"/>
              <w:bottom w:w="100" w:type="dxa"/>
              <w:right w:w="100" w:type="dxa"/>
            </w:tcMar>
            <w:vAlign w:val="center"/>
          </w:tcPr>
          <w:p w14:paraId="5B29024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tcBorders>
              <w:top w:val="single" w:sz="4" w:space="0" w:color="auto"/>
            </w:tcBorders>
            <w:shd w:val="clear" w:color="auto" w:fill="FFFFFF"/>
            <w:tcMar>
              <w:top w:w="100" w:type="dxa"/>
              <w:left w:w="100" w:type="dxa"/>
              <w:bottom w:w="100" w:type="dxa"/>
              <w:right w:w="100" w:type="dxa"/>
            </w:tcMar>
            <w:vAlign w:val="center"/>
          </w:tcPr>
          <w:p w14:paraId="4F4A241B"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r>
      <w:tr w:rsidR="001C7136" w:rsidRPr="00310595" w14:paraId="3D273F09" w14:textId="77777777" w:rsidTr="00777E44">
        <w:trPr>
          <w:trHeight w:val="500"/>
        </w:trPr>
        <w:tc>
          <w:tcPr>
            <w:tcW w:w="2168" w:type="dxa"/>
            <w:shd w:val="clear" w:color="auto" w:fill="FFFFFF"/>
            <w:tcMar>
              <w:top w:w="100" w:type="dxa"/>
              <w:left w:w="100" w:type="dxa"/>
              <w:bottom w:w="100" w:type="dxa"/>
              <w:right w:w="100" w:type="dxa"/>
            </w:tcMar>
            <w:vAlign w:val="center"/>
          </w:tcPr>
          <w:p w14:paraId="4C53440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Lopez-Tomassetti Fernandez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[54]</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164A1B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55/F</w:t>
            </w:r>
          </w:p>
        </w:tc>
        <w:tc>
          <w:tcPr>
            <w:tcW w:w="1984" w:type="dxa"/>
            <w:shd w:val="clear" w:color="auto" w:fill="FFFFFF"/>
            <w:tcMar>
              <w:top w:w="100" w:type="dxa"/>
              <w:left w:w="100" w:type="dxa"/>
              <w:bottom w:w="100" w:type="dxa"/>
              <w:right w:w="100" w:type="dxa"/>
            </w:tcMar>
            <w:vAlign w:val="center"/>
          </w:tcPr>
          <w:p w14:paraId="7C9C008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07CC42B6"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4227FEAF"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4 yr</w:t>
            </w:r>
          </w:p>
        </w:tc>
        <w:tc>
          <w:tcPr>
            <w:tcW w:w="1559" w:type="dxa"/>
            <w:shd w:val="clear" w:color="auto" w:fill="FFFFFF"/>
            <w:tcMar>
              <w:top w:w="100" w:type="dxa"/>
              <w:left w:w="100" w:type="dxa"/>
              <w:bottom w:w="100" w:type="dxa"/>
              <w:right w:w="100" w:type="dxa"/>
            </w:tcMar>
            <w:vAlign w:val="center"/>
          </w:tcPr>
          <w:p w14:paraId="13624CC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R</w:t>
            </w:r>
          </w:p>
        </w:tc>
      </w:tr>
      <w:tr w:rsidR="001C7136" w:rsidRPr="00310595" w14:paraId="5F260604" w14:textId="77777777" w:rsidTr="00777E44">
        <w:trPr>
          <w:trHeight w:val="500"/>
        </w:trPr>
        <w:tc>
          <w:tcPr>
            <w:tcW w:w="2168" w:type="dxa"/>
            <w:shd w:val="clear" w:color="auto" w:fill="FFFFFF"/>
            <w:tcMar>
              <w:top w:w="100" w:type="dxa"/>
              <w:left w:w="100" w:type="dxa"/>
              <w:bottom w:w="100" w:type="dxa"/>
              <w:right w:w="100" w:type="dxa"/>
            </w:tcMar>
            <w:vAlign w:val="center"/>
          </w:tcPr>
          <w:p w14:paraId="25AA1B95"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Martín Malagón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[55]</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09F0D86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51/F</w:t>
            </w:r>
          </w:p>
        </w:tc>
        <w:tc>
          <w:tcPr>
            <w:tcW w:w="1984" w:type="dxa"/>
            <w:shd w:val="clear" w:color="auto" w:fill="FFFFFF"/>
            <w:tcMar>
              <w:top w:w="100" w:type="dxa"/>
              <w:left w:w="100" w:type="dxa"/>
              <w:bottom w:w="100" w:type="dxa"/>
              <w:right w:w="100" w:type="dxa"/>
            </w:tcMar>
            <w:vAlign w:val="center"/>
          </w:tcPr>
          <w:p w14:paraId="77AAC6E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6D9C68F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PD</w:t>
            </w:r>
          </w:p>
        </w:tc>
        <w:tc>
          <w:tcPr>
            <w:tcW w:w="992" w:type="dxa"/>
            <w:shd w:val="clear" w:color="auto" w:fill="FFFFFF"/>
            <w:tcMar>
              <w:top w:w="100" w:type="dxa"/>
              <w:left w:w="100" w:type="dxa"/>
              <w:bottom w:w="100" w:type="dxa"/>
              <w:right w:w="100" w:type="dxa"/>
            </w:tcMar>
            <w:vAlign w:val="center"/>
          </w:tcPr>
          <w:p w14:paraId="2473099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6C42F10A"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r>
      <w:tr w:rsidR="001C7136" w:rsidRPr="00310595" w14:paraId="6872CCF5" w14:textId="77777777" w:rsidTr="00777E44">
        <w:trPr>
          <w:trHeight w:val="500"/>
        </w:trPr>
        <w:tc>
          <w:tcPr>
            <w:tcW w:w="2168" w:type="dxa"/>
            <w:shd w:val="clear" w:color="auto" w:fill="FFFFFF"/>
            <w:tcMar>
              <w:top w:w="100" w:type="dxa"/>
              <w:left w:w="100" w:type="dxa"/>
              <w:bottom w:w="100" w:type="dxa"/>
              <w:right w:w="100" w:type="dxa"/>
            </w:tcMar>
            <w:vAlign w:val="center"/>
          </w:tcPr>
          <w:p w14:paraId="50C1AB2F" w14:textId="77777777" w:rsidR="001C7136" w:rsidRPr="00310595" w:rsidRDefault="001C7136" w:rsidP="00777E44">
            <w:pP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Kim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56</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0D0FAD9" w14:textId="77777777" w:rsidR="001C7136" w:rsidRPr="00310595" w:rsidRDefault="001C7136" w:rsidP="00777E44">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63/F</w:t>
            </w:r>
          </w:p>
        </w:tc>
        <w:tc>
          <w:tcPr>
            <w:tcW w:w="1984" w:type="dxa"/>
            <w:shd w:val="clear" w:color="auto" w:fill="FFFFFF"/>
            <w:tcMar>
              <w:top w:w="100" w:type="dxa"/>
              <w:left w:w="100" w:type="dxa"/>
              <w:bottom w:w="100" w:type="dxa"/>
              <w:right w:w="100" w:type="dxa"/>
            </w:tcMar>
            <w:vAlign w:val="center"/>
          </w:tcPr>
          <w:p w14:paraId="5C342954" w14:textId="77777777" w:rsidR="001C7136" w:rsidRPr="00310595" w:rsidRDefault="001C7136" w:rsidP="00777E44">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Hilar bile duct</w:t>
            </w:r>
          </w:p>
        </w:tc>
        <w:tc>
          <w:tcPr>
            <w:tcW w:w="2000" w:type="dxa"/>
            <w:shd w:val="clear" w:color="auto" w:fill="FFFFFF"/>
            <w:tcMar>
              <w:top w:w="100" w:type="dxa"/>
              <w:left w:w="100" w:type="dxa"/>
              <w:bottom w:w="100" w:type="dxa"/>
              <w:right w:w="100" w:type="dxa"/>
            </w:tcMar>
            <w:vAlign w:val="center"/>
          </w:tcPr>
          <w:p w14:paraId="582254D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Hepatectomy, caudate lobectomy</w:t>
            </w:r>
          </w:p>
        </w:tc>
        <w:tc>
          <w:tcPr>
            <w:tcW w:w="992" w:type="dxa"/>
            <w:shd w:val="clear" w:color="auto" w:fill="FFFFFF"/>
            <w:tcMar>
              <w:top w:w="100" w:type="dxa"/>
              <w:left w:w="100" w:type="dxa"/>
              <w:bottom w:w="100" w:type="dxa"/>
              <w:right w:w="100" w:type="dxa"/>
            </w:tcMar>
            <w:vAlign w:val="center"/>
          </w:tcPr>
          <w:p w14:paraId="381D36A3" w14:textId="77777777" w:rsidR="001C7136" w:rsidRPr="00310595" w:rsidRDefault="001C7136" w:rsidP="00777E44">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 mo</w:t>
            </w:r>
          </w:p>
        </w:tc>
        <w:tc>
          <w:tcPr>
            <w:tcW w:w="1559" w:type="dxa"/>
            <w:shd w:val="clear" w:color="auto" w:fill="FFFFFF"/>
            <w:tcMar>
              <w:top w:w="100" w:type="dxa"/>
              <w:left w:w="100" w:type="dxa"/>
              <w:bottom w:w="100" w:type="dxa"/>
              <w:right w:w="100" w:type="dxa"/>
            </w:tcMar>
            <w:vAlign w:val="center"/>
          </w:tcPr>
          <w:p w14:paraId="53C5DB16"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R</w:t>
            </w:r>
          </w:p>
        </w:tc>
      </w:tr>
      <w:tr w:rsidR="001C7136" w:rsidRPr="00310595" w14:paraId="425E3F1E" w14:textId="77777777" w:rsidTr="00777E44">
        <w:trPr>
          <w:trHeight w:val="500"/>
        </w:trPr>
        <w:tc>
          <w:tcPr>
            <w:tcW w:w="2168" w:type="dxa"/>
            <w:shd w:val="clear" w:color="auto" w:fill="FFFFFF"/>
            <w:tcMar>
              <w:top w:w="100" w:type="dxa"/>
              <w:left w:w="100" w:type="dxa"/>
              <w:bottom w:w="100" w:type="dxa"/>
              <w:right w:w="100" w:type="dxa"/>
            </w:tcMar>
            <w:vAlign w:val="center"/>
          </w:tcPr>
          <w:p w14:paraId="172DB769"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Sekaran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57</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4FE1F9E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17/F</w:t>
            </w:r>
          </w:p>
        </w:tc>
        <w:tc>
          <w:tcPr>
            <w:tcW w:w="1984" w:type="dxa"/>
            <w:shd w:val="clear" w:color="auto" w:fill="FFFFFF"/>
            <w:tcMar>
              <w:top w:w="100" w:type="dxa"/>
              <w:left w:w="100" w:type="dxa"/>
              <w:bottom w:w="100" w:type="dxa"/>
              <w:right w:w="100" w:type="dxa"/>
            </w:tcMar>
            <w:vAlign w:val="center"/>
          </w:tcPr>
          <w:p w14:paraId="2B3D0D0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Left hepatic, CHD, proximal CBD</w:t>
            </w:r>
          </w:p>
        </w:tc>
        <w:tc>
          <w:tcPr>
            <w:tcW w:w="2000" w:type="dxa"/>
            <w:shd w:val="clear" w:color="auto" w:fill="FFFFFF"/>
            <w:tcMar>
              <w:top w:w="100" w:type="dxa"/>
              <w:left w:w="100" w:type="dxa"/>
              <w:bottom w:w="100" w:type="dxa"/>
              <w:right w:w="100" w:type="dxa"/>
            </w:tcMar>
            <w:vAlign w:val="center"/>
          </w:tcPr>
          <w:p w14:paraId="602A886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Left hepatectomy</w:t>
            </w:r>
          </w:p>
        </w:tc>
        <w:tc>
          <w:tcPr>
            <w:tcW w:w="992" w:type="dxa"/>
            <w:shd w:val="clear" w:color="auto" w:fill="FFFFFF"/>
            <w:tcMar>
              <w:top w:w="100" w:type="dxa"/>
              <w:left w:w="100" w:type="dxa"/>
              <w:bottom w:w="100" w:type="dxa"/>
              <w:right w:w="100" w:type="dxa"/>
            </w:tcMar>
            <w:vAlign w:val="center"/>
          </w:tcPr>
          <w:p w14:paraId="5ABFF21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lang w:eastAsia="zh-CN"/>
              </w:rPr>
            </w:pPr>
            <w:r w:rsidRPr="00310595">
              <w:rPr>
                <w:rFonts w:ascii="Book Antiqua" w:hAnsi="Book Antiqua"/>
                <w:color w:val="000000" w:themeColor="text1"/>
              </w:rPr>
              <w:t>6 wk</w:t>
            </w:r>
          </w:p>
        </w:tc>
        <w:tc>
          <w:tcPr>
            <w:tcW w:w="1559" w:type="dxa"/>
            <w:shd w:val="clear" w:color="auto" w:fill="FFFFFF"/>
            <w:tcMar>
              <w:top w:w="100" w:type="dxa"/>
              <w:left w:w="100" w:type="dxa"/>
              <w:bottom w:w="100" w:type="dxa"/>
              <w:right w:w="100" w:type="dxa"/>
            </w:tcMar>
            <w:vAlign w:val="center"/>
          </w:tcPr>
          <w:p w14:paraId="10B672C9"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39FAF922" w14:textId="77777777" w:rsidTr="00777E44">
        <w:trPr>
          <w:trHeight w:val="583"/>
        </w:trPr>
        <w:tc>
          <w:tcPr>
            <w:tcW w:w="2168" w:type="dxa"/>
            <w:shd w:val="clear" w:color="auto" w:fill="FFFFFF"/>
            <w:tcMar>
              <w:top w:w="100" w:type="dxa"/>
              <w:left w:w="100" w:type="dxa"/>
              <w:bottom w:w="100" w:type="dxa"/>
              <w:right w:w="100" w:type="dxa"/>
            </w:tcMar>
            <w:vAlign w:val="center"/>
          </w:tcPr>
          <w:p w14:paraId="34A8414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Abu-Wasel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[58]</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5DD49C3"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55/F</w:t>
            </w:r>
          </w:p>
        </w:tc>
        <w:tc>
          <w:tcPr>
            <w:tcW w:w="1984" w:type="dxa"/>
            <w:shd w:val="clear" w:color="auto" w:fill="FFFFFF"/>
            <w:tcMar>
              <w:top w:w="100" w:type="dxa"/>
              <w:left w:w="100" w:type="dxa"/>
              <w:bottom w:w="100" w:type="dxa"/>
              <w:right w:w="100" w:type="dxa"/>
            </w:tcMar>
            <w:vAlign w:val="center"/>
          </w:tcPr>
          <w:p w14:paraId="0563992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58F83D4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4654604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14 mo</w:t>
            </w:r>
          </w:p>
        </w:tc>
        <w:tc>
          <w:tcPr>
            <w:tcW w:w="1559" w:type="dxa"/>
            <w:shd w:val="clear" w:color="auto" w:fill="FFFFFF"/>
            <w:tcMar>
              <w:top w:w="100" w:type="dxa"/>
              <w:left w:w="100" w:type="dxa"/>
              <w:bottom w:w="100" w:type="dxa"/>
              <w:right w:w="100" w:type="dxa"/>
            </w:tcMar>
            <w:vAlign w:val="center"/>
          </w:tcPr>
          <w:p w14:paraId="2DFF660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0492FB38" w14:textId="77777777" w:rsidTr="00777E44">
        <w:trPr>
          <w:trHeight w:val="399"/>
        </w:trPr>
        <w:tc>
          <w:tcPr>
            <w:tcW w:w="2168" w:type="dxa"/>
            <w:shd w:val="clear" w:color="auto" w:fill="FFFFFF"/>
            <w:tcMar>
              <w:top w:w="100" w:type="dxa"/>
              <w:left w:w="100" w:type="dxa"/>
              <w:bottom w:w="100" w:type="dxa"/>
              <w:right w:w="100" w:type="dxa"/>
            </w:tcMar>
            <w:vAlign w:val="center"/>
          </w:tcPr>
          <w:p w14:paraId="6C34633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Vasiliadis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2</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30CF3B5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70/F</w:t>
            </w:r>
          </w:p>
        </w:tc>
        <w:tc>
          <w:tcPr>
            <w:tcW w:w="1984" w:type="dxa"/>
            <w:shd w:val="clear" w:color="auto" w:fill="FFFFFF"/>
            <w:tcMar>
              <w:top w:w="100" w:type="dxa"/>
              <w:left w:w="100" w:type="dxa"/>
              <w:bottom w:w="100" w:type="dxa"/>
              <w:right w:w="100" w:type="dxa"/>
            </w:tcMar>
            <w:vAlign w:val="center"/>
          </w:tcPr>
          <w:p w14:paraId="1923D33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Mid-CBD</w:t>
            </w:r>
          </w:p>
        </w:tc>
        <w:tc>
          <w:tcPr>
            <w:tcW w:w="2000" w:type="dxa"/>
            <w:shd w:val="clear" w:color="auto" w:fill="FFFFFF"/>
            <w:tcMar>
              <w:top w:w="100" w:type="dxa"/>
              <w:left w:w="100" w:type="dxa"/>
              <w:bottom w:w="100" w:type="dxa"/>
              <w:right w:w="100" w:type="dxa"/>
            </w:tcMar>
            <w:vAlign w:val="center"/>
          </w:tcPr>
          <w:p w14:paraId="0E6ACCAF"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323B1809"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8 mo</w:t>
            </w:r>
          </w:p>
        </w:tc>
        <w:tc>
          <w:tcPr>
            <w:tcW w:w="1559" w:type="dxa"/>
            <w:shd w:val="clear" w:color="auto" w:fill="FFFFFF"/>
            <w:tcMar>
              <w:top w:w="100" w:type="dxa"/>
              <w:left w:w="100" w:type="dxa"/>
              <w:bottom w:w="100" w:type="dxa"/>
              <w:right w:w="100" w:type="dxa"/>
            </w:tcMar>
            <w:vAlign w:val="center"/>
          </w:tcPr>
          <w:p w14:paraId="2015EF88"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5EF0D796" w14:textId="77777777" w:rsidTr="00777E44">
        <w:trPr>
          <w:trHeight w:val="523"/>
        </w:trPr>
        <w:tc>
          <w:tcPr>
            <w:tcW w:w="2168" w:type="dxa"/>
            <w:shd w:val="clear" w:color="auto" w:fill="FFFFFF"/>
            <w:tcMar>
              <w:top w:w="100" w:type="dxa"/>
              <w:left w:w="100" w:type="dxa"/>
              <w:bottom w:w="100" w:type="dxa"/>
              <w:right w:w="100" w:type="dxa"/>
            </w:tcMar>
            <w:vAlign w:val="center"/>
          </w:tcPr>
          <w:p w14:paraId="15BC3969"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D’Cunha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[59]</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70F32F1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12/F</w:t>
            </w:r>
          </w:p>
        </w:tc>
        <w:tc>
          <w:tcPr>
            <w:tcW w:w="1984" w:type="dxa"/>
            <w:shd w:val="clear" w:color="auto" w:fill="FFFFFF"/>
            <w:tcMar>
              <w:top w:w="100" w:type="dxa"/>
              <w:left w:w="100" w:type="dxa"/>
              <w:bottom w:w="100" w:type="dxa"/>
              <w:right w:w="100" w:type="dxa"/>
            </w:tcMar>
            <w:vAlign w:val="center"/>
          </w:tcPr>
          <w:p w14:paraId="3C63275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Distal CBD</w:t>
            </w:r>
          </w:p>
        </w:tc>
        <w:tc>
          <w:tcPr>
            <w:tcW w:w="2000" w:type="dxa"/>
            <w:shd w:val="clear" w:color="auto" w:fill="FFFFFF"/>
            <w:tcMar>
              <w:top w:w="100" w:type="dxa"/>
              <w:left w:w="100" w:type="dxa"/>
              <w:bottom w:w="100" w:type="dxa"/>
              <w:right w:w="100" w:type="dxa"/>
            </w:tcMar>
            <w:vAlign w:val="center"/>
          </w:tcPr>
          <w:p w14:paraId="42E8998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Debulking, corticosteroids</w:t>
            </w:r>
          </w:p>
        </w:tc>
        <w:tc>
          <w:tcPr>
            <w:tcW w:w="992" w:type="dxa"/>
            <w:shd w:val="clear" w:color="auto" w:fill="FFFFFF"/>
            <w:tcMar>
              <w:top w:w="100" w:type="dxa"/>
              <w:left w:w="100" w:type="dxa"/>
              <w:bottom w:w="100" w:type="dxa"/>
              <w:right w:w="100" w:type="dxa"/>
            </w:tcMar>
            <w:vAlign w:val="center"/>
          </w:tcPr>
          <w:p w14:paraId="7057C6D5"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7273C8F2" w14:textId="77777777" w:rsidR="001C7136" w:rsidRPr="00310595" w:rsidRDefault="001C7136" w:rsidP="00777E44">
            <w:pPr>
              <w:widowControl w:val="0"/>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012AC94C" w14:textId="77777777" w:rsidTr="00777E44">
        <w:trPr>
          <w:trHeight w:val="477"/>
        </w:trPr>
        <w:tc>
          <w:tcPr>
            <w:tcW w:w="2168" w:type="dxa"/>
            <w:shd w:val="clear" w:color="auto" w:fill="FFFFFF"/>
            <w:tcMar>
              <w:top w:w="100" w:type="dxa"/>
              <w:left w:w="100" w:type="dxa"/>
              <w:bottom w:w="100" w:type="dxa"/>
              <w:right w:w="100" w:type="dxa"/>
            </w:tcMar>
            <w:vAlign w:val="center"/>
          </w:tcPr>
          <w:p w14:paraId="588B701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Verma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[1]</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7857A04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24/F</w:t>
            </w:r>
          </w:p>
        </w:tc>
        <w:tc>
          <w:tcPr>
            <w:tcW w:w="1984" w:type="dxa"/>
            <w:shd w:val="clear" w:color="auto" w:fill="FFFFFF"/>
            <w:tcMar>
              <w:top w:w="100" w:type="dxa"/>
              <w:left w:w="100" w:type="dxa"/>
              <w:bottom w:w="100" w:type="dxa"/>
              <w:right w:w="100" w:type="dxa"/>
            </w:tcMar>
            <w:vAlign w:val="center"/>
          </w:tcPr>
          <w:p w14:paraId="54ABDA85"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Mid-CBD</w:t>
            </w:r>
          </w:p>
        </w:tc>
        <w:tc>
          <w:tcPr>
            <w:tcW w:w="2000" w:type="dxa"/>
            <w:shd w:val="clear" w:color="auto" w:fill="FFFFFF"/>
            <w:tcMar>
              <w:top w:w="100" w:type="dxa"/>
              <w:left w:w="100" w:type="dxa"/>
              <w:bottom w:w="100" w:type="dxa"/>
              <w:right w:w="100" w:type="dxa"/>
            </w:tcMar>
            <w:vAlign w:val="center"/>
          </w:tcPr>
          <w:p w14:paraId="5FEAF25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Extrahepatic BD excision</w:t>
            </w:r>
          </w:p>
        </w:tc>
        <w:tc>
          <w:tcPr>
            <w:tcW w:w="992" w:type="dxa"/>
            <w:shd w:val="clear" w:color="auto" w:fill="FFFFFF"/>
            <w:tcMar>
              <w:top w:w="100" w:type="dxa"/>
              <w:left w:w="100" w:type="dxa"/>
              <w:bottom w:w="100" w:type="dxa"/>
              <w:right w:w="100" w:type="dxa"/>
            </w:tcMar>
            <w:vAlign w:val="center"/>
          </w:tcPr>
          <w:p w14:paraId="5360AFA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12 mo</w:t>
            </w:r>
          </w:p>
        </w:tc>
        <w:tc>
          <w:tcPr>
            <w:tcW w:w="1559" w:type="dxa"/>
            <w:shd w:val="clear" w:color="auto" w:fill="FFFFFF"/>
            <w:tcMar>
              <w:top w:w="100" w:type="dxa"/>
              <w:left w:w="100" w:type="dxa"/>
              <w:bottom w:w="100" w:type="dxa"/>
              <w:right w:w="100" w:type="dxa"/>
            </w:tcMar>
            <w:vAlign w:val="center"/>
          </w:tcPr>
          <w:p w14:paraId="3F3F79A7"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NR</w:t>
            </w:r>
          </w:p>
        </w:tc>
      </w:tr>
      <w:tr w:rsidR="001C7136" w:rsidRPr="00310595" w14:paraId="6F150C77" w14:textId="77777777" w:rsidTr="00777E44">
        <w:trPr>
          <w:trHeight w:val="477"/>
        </w:trPr>
        <w:tc>
          <w:tcPr>
            <w:tcW w:w="2168" w:type="dxa"/>
            <w:shd w:val="clear" w:color="auto" w:fill="FFFFFF"/>
            <w:tcMar>
              <w:top w:w="100" w:type="dxa"/>
              <w:left w:w="100" w:type="dxa"/>
              <w:bottom w:w="100" w:type="dxa"/>
              <w:right w:w="100" w:type="dxa"/>
            </w:tcMar>
            <w:vAlign w:val="center"/>
          </w:tcPr>
          <w:p w14:paraId="617922FA"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 xml:space="preserve">Karimi </w:t>
            </w:r>
            <w:r w:rsidRPr="00310595">
              <w:rPr>
                <w:rFonts w:ascii="Book Antiqua" w:hAnsi="Book Antiqua"/>
                <w:i/>
                <w:color w:val="000000" w:themeColor="text1"/>
              </w:rPr>
              <w:t>et al</w:t>
            </w:r>
            <w:r w:rsidRPr="00310595">
              <w:rPr>
                <w:rFonts w:ascii="Book Antiqua" w:hAnsi="Book Antiqua"/>
                <w:color w:val="000000" w:themeColor="text1"/>
                <w:vertAlign w:val="superscript"/>
              </w:rPr>
              <w:fldChar w:fldCharType="begin" w:fldLock="1"/>
            </w:r>
            <w:r w:rsidRPr="00310595">
              <w:rPr>
                <w:rFonts w:ascii="Book Antiqua" w:hAnsi="Book Antiqua"/>
                <w:color w:val="000000" w:themeColor="text1"/>
                <w:vertAlign w:val="superscript"/>
              </w:rPr>
              <w:instrText>ADDIN CSL_CITATION {"citationItems":[{"id":"ITEM-1","itemData":{"DOI":"10.1007/s12029-018-0074-7","ISSN":"19416636","PMID":"29453762","author":[{"dropping-particle":"","family":"Verma","given":"Ritu","non-dropping-particle":"","parse-names":false,"suffix":""},{"dropping-particle":"","family":"Saha","given":"Arpita","non-dropping-particle":"","parse-names":false,"suffix":""},{"dropping-particle":"","family":"Saha","given":"Kaushik","non-dropping-particle":"","parse-names":false,"suffix":""}],"container-title":"Journal of Gastrointestinal Cancer","id":"ITEM-1","issue":"3","issued":{"date-parts":[["2019","9","15"]]},"page":"613-616","publisher":"Humana Press Inc.","title":"Inflammatory Myofibroblastic Tumor of the Mid Common Bile Duct Masquerading as Cholangiocarcinoma","type":"article-journal","volume":"50"},"uris":["http://www.mendeley.com/documents/?uuid=769de522-787b-33a6-847f-2f4570411dd9"]}],"mendeley":{"formattedCitation":"(1)","plainTextFormattedCitation":"(1)","previouslyFormattedCitation":"(1)"},"properties":{"noteIndex":0},"schema":"https://github.com/citation-style-language/schema/raw/master/csl-citation.json"}</w:instrText>
            </w:r>
            <w:r w:rsidRPr="00310595">
              <w:rPr>
                <w:rFonts w:ascii="Book Antiqua" w:hAnsi="Book Antiqua"/>
                <w:color w:val="000000" w:themeColor="text1"/>
                <w:vertAlign w:val="superscript"/>
              </w:rPr>
              <w:fldChar w:fldCharType="separate"/>
            </w:r>
            <w:r w:rsidRPr="00310595">
              <w:rPr>
                <w:rFonts w:ascii="Book Antiqua" w:hAnsi="Book Antiqua"/>
                <w:noProof/>
                <w:color w:val="000000" w:themeColor="text1"/>
                <w:vertAlign w:val="superscript"/>
              </w:rPr>
              <w:t>[</w:t>
            </w:r>
            <w:r w:rsidRPr="00310595">
              <w:rPr>
                <w:rFonts w:ascii="Book Antiqua" w:hAnsi="Book Antiqua"/>
                <w:noProof/>
                <w:color w:val="000000" w:themeColor="text1"/>
                <w:vertAlign w:val="superscript"/>
                <w:lang w:eastAsia="zh-CN"/>
              </w:rPr>
              <w:t>3</w:t>
            </w:r>
            <w:r w:rsidRPr="00310595">
              <w:rPr>
                <w:rFonts w:ascii="Book Antiqua" w:hAnsi="Book Antiqua" w:hint="eastAsia"/>
                <w:noProof/>
                <w:color w:val="000000" w:themeColor="text1"/>
                <w:vertAlign w:val="superscript"/>
                <w:lang w:eastAsia="zh-CN"/>
              </w:rPr>
              <w:t>6</w:t>
            </w:r>
            <w:r w:rsidRPr="00310595">
              <w:rPr>
                <w:rFonts w:ascii="Book Antiqua" w:hAnsi="Book Antiqua"/>
                <w:noProof/>
                <w:color w:val="000000" w:themeColor="text1"/>
                <w:vertAlign w:val="superscript"/>
              </w:rPr>
              <w:t>]</w:t>
            </w:r>
            <w:r w:rsidRPr="00310595">
              <w:rPr>
                <w:rFonts w:ascii="Book Antiqua" w:hAnsi="Book Antiqua"/>
                <w:color w:val="000000" w:themeColor="text1"/>
                <w:vertAlign w:val="superscript"/>
              </w:rPr>
              <w:fldChar w:fldCharType="end"/>
            </w:r>
          </w:p>
        </w:tc>
        <w:tc>
          <w:tcPr>
            <w:tcW w:w="1560" w:type="dxa"/>
            <w:shd w:val="clear" w:color="auto" w:fill="FFFFFF"/>
            <w:tcMar>
              <w:top w:w="100" w:type="dxa"/>
              <w:left w:w="100" w:type="dxa"/>
              <w:bottom w:w="100" w:type="dxa"/>
              <w:right w:w="100" w:type="dxa"/>
            </w:tcMar>
            <w:vAlign w:val="center"/>
          </w:tcPr>
          <w:p w14:paraId="7F3FBDC4"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12/F</w:t>
            </w:r>
          </w:p>
        </w:tc>
        <w:tc>
          <w:tcPr>
            <w:tcW w:w="1984" w:type="dxa"/>
            <w:shd w:val="clear" w:color="auto" w:fill="FFFFFF"/>
            <w:tcMar>
              <w:top w:w="100" w:type="dxa"/>
              <w:left w:w="100" w:type="dxa"/>
              <w:bottom w:w="100" w:type="dxa"/>
              <w:right w:w="100" w:type="dxa"/>
            </w:tcMar>
            <w:vAlign w:val="center"/>
          </w:tcPr>
          <w:p w14:paraId="4B5FF18D"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Hepatic duct bifurcation</w:t>
            </w:r>
          </w:p>
        </w:tc>
        <w:tc>
          <w:tcPr>
            <w:tcW w:w="2000" w:type="dxa"/>
            <w:shd w:val="clear" w:color="auto" w:fill="FFFFFF"/>
            <w:tcMar>
              <w:top w:w="100" w:type="dxa"/>
              <w:left w:w="100" w:type="dxa"/>
              <w:bottom w:w="100" w:type="dxa"/>
              <w:right w:w="100" w:type="dxa"/>
            </w:tcMar>
            <w:vAlign w:val="center"/>
          </w:tcPr>
          <w:p w14:paraId="3AC2970C"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CBD resection</w:t>
            </w:r>
          </w:p>
        </w:tc>
        <w:tc>
          <w:tcPr>
            <w:tcW w:w="992" w:type="dxa"/>
            <w:shd w:val="clear" w:color="auto" w:fill="FFFFFF"/>
            <w:tcMar>
              <w:top w:w="100" w:type="dxa"/>
              <w:left w:w="100" w:type="dxa"/>
              <w:bottom w:w="100" w:type="dxa"/>
              <w:right w:w="100" w:type="dxa"/>
            </w:tcMar>
            <w:vAlign w:val="center"/>
          </w:tcPr>
          <w:p w14:paraId="5629859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w:t>
            </w:r>
          </w:p>
        </w:tc>
        <w:tc>
          <w:tcPr>
            <w:tcW w:w="1559" w:type="dxa"/>
            <w:shd w:val="clear" w:color="auto" w:fill="FFFFFF"/>
            <w:tcMar>
              <w:top w:w="100" w:type="dxa"/>
              <w:left w:w="100" w:type="dxa"/>
              <w:bottom w:w="100" w:type="dxa"/>
              <w:right w:w="100" w:type="dxa"/>
            </w:tcMar>
            <w:vAlign w:val="center"/>
          </w:tcPr>
          <w:p w14:paraId="11F7EB92"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R</w:t>
            </w:r>
          </w:p>
        </w:tc>
      </w:tr>
      <w:tr w:rsidR="001C7136" w:rsidRPr="00310595" w14:paraId="3F981589" w14:textId="77777777" w:rsidTr="00777E44">
        <w:trPr>
          <w:trHeight w:val="601"/>
        </w:trPr>
        <w:tc>
          <w:tcPr>
            <w:tcW w:w="2168" w:type="dxa"/>
            <w:shd w:val="clear" w:color="auto" w:fill="FFFFFF"/>
            <w:tcMar>
              <w:top w:w="100" w:type="dxa"/>
              <w:left w:w="100" w:type="dxa"/>
              <w:bottom w:w="100" w:type="dxa"/>
              <w:right w:w="100" w:type="dxa"/>
            </w:tcMar>
            <w:vAlign w:val="center"/>
          </w:tcPr>
          <w:p w14:paraId="158C159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Present case</w:t>
            </w:r>
          </w:p>
        </w:tc>
        <w:tc>
          <w:tcPr>
            <w:tcW w:w="1560" w:type="dxa"/>
            <w:shd w:val="clear" w:color="auto" w:fill="FFFFFF"/>
            <w:tcMar>
              <w:top w:w="100" w:type="dxa"/>
              <w:left w:w="100" w:type="dxa"/>
              <w:bottom w:w="100" w:type="dxa"/>
              <w:right w:w="100" w:type="dxa"/>
            </w:tcMar>
            <w:vAlign w:val="center"/>
          </w:tcPr>
          <w:p w14:paraId="3A23F12E"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70/F</w:t>
            </w:r>
          </w:p>
        </w:tc>
        <w:tc>
          <w:tcPr>
            <w:tcW w:w="1984" w:type="dxa"/>
            <w:shd w:val="clear" w:color="auto" w:fill="FFFFFF"/>
            <w:tcMar>
              <w:top w:w="100" w:type="dxa"/>
              <w:left w:w="100" w:type="dxa"/>
              <w:bottom w:w="100" w:type="dxa"/>
              <w:right w:w="100" w:type="dxa"/>
            </w:tcMar>
            <w:vAlign w:val="center"/>
          </w:tcPr>
          <w:p w14:paraId="0FE85093"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Proximal CBD, CHD</w:t>
            </w:r>
          </w:p>
        </w:tc>
        <w:tc>
          <w:tcPr>
            <w:tcW w:w="2000" w:type="dxa"/>
            <w:shd w:val="clear" w:color="auto" w:fill="FFFFFF"/>
            <w:tcMar>
              <w:top w:w="100" w:type="dxa"/>
              <w:left w:w="100" w:type="dxa"/>
              <w:bottom w:w="100" w:type="dxa"/>
              <w:right w:w="100" w:type="dxa"/>
            </w:tcMar>
            <w:vAlign w:val="center"/>
          </w:tcPr>
          <w:p w14:paraId="5E67C93A"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Corticosteroids, chemotherapy</w:t>
            </w:r>
          </w:p>
        </w:tc>
        <w:tc>
          <w:tcPr>
            <w:tcW w:w="992" w:type="dxa"/>
            <w:shd w:val="clear" w:color="auto" w:fill="FFFFFF"/>
            <w:tcMar>
              <w:top w:w="100" w:type="dxa"/>
              <w:left w:w="100" w:type="dxa"/>
              <w:bottom w:w="100" w:type="dxa"/>
              <w:right w:w="100" w:type="dxa"/>
            </w:tcMar>
            <w:vAlign w:val="center"/>
          </w:tcPr>
          <w:p w14:paraId="4E9FAE41"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24 mo</w:t>
            </w:r>
          </w:p>
        </w:tc>
        <w:tc>
          <w:tcPr>
            <w:tcW w:w="1559" w:type="dxa"/>
            <w:shd w:val="clear" w:color="auto" w:fill="FFFFFF"/>
            <w:tcMar>
              <w:top w:w="100" w:type="dxa"/>
              <w:left w:w="100" w:type="dxa"/>
              <w:bottom w:w="100" w:type="dxa"/>
              <w:right w:w="100" w:type="dxa"/>
            </w:tcMar>
            <w:vAlign w:val="center"/>
          </w:tcPr>
          <w:p w14:paraId="5EECDAF0" w14:textId="77777777" w:rsidR="001C7136" w:rsidRPr="00310595" w:rsidRDefault="001C7136" w:rsidP="00777E44">
            <w:pPr>
              <w:widowControl w:val="0"/>
              <w:pBdr>
                <w:top w:val="nil"/>
                <w:left w:val="nil"/>
                <w:bottom w:val="nil"/>
                <w:right w:val="nil"/>
                <w:between w:val="nil"/>
              </w:pBdr>
              <w:adjustRightInd w:val="0"/>
              <w:snapToGrid w:val="0"/>
              <w:spacing w:line="360" w:lineRule="auto"/>
              <w:rPr>
                <w:rFonts w:ascii="Book Antiqua" w:hAnsi="Book Antiqua"/>
                <w:color w:val="000000" w:themeColor="text1"/>
              </w:rPr>
            </w:pPr>
            <w:r w:rsidRPr="00310595">
              <w:rPr>
                <w:rFonts w:ascii="Book Antiqua" w:hAnsi="Book Antiqua"/>
                <w:color w:val="000000" w:themeColor="text1"/>
              </w:rPr>
              <w:t>Disease progression</w:t>
            </w:r>
          </w:p>
        </w:tc>
      </w:tr>
    </w:tbl>
    <w:p w14:paraId="487EF545" w14:textId="77777777" w:rsidR="001C7136" w:rsidRPr="00310595" w:rsidRDefault="001C7136" w:rsidP="001C7136">
      <w:pPr>
        <w:adjustRightInd w:val="0"/>
        <w:snapToGrid w:val="0"/>
        <w:spacing w:line="360" w:lineRule="auto"/>
        <w:jc w:val="both"/>
        <w:rPr>
          <w:rFonts w:ascii="Book Antiqua" w:eastAsia="Book Antiqua" w:hAnsi="Book Antiqua" w:cs="Book Antiqua"/>
          <w:color w:val="000000" w:themeColor="text1"/>
        </w:rPr>
      </w:pPr>
      <w:r w:rsidRPr="00310595">
        <w:rPr>
          <w:rFonts w:ascii="Book Antiqua" w:hAnsi="Book Antiqua"/>
          <w:color w:val="000000" w:themeColor="text1"/>
        </w:rPr>
        <w:t>M</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hAnsi="Book Antiqua"/>
          <w:caps/>
          <w:color w:val="000000" w:themeColor="text1"/>
        </w:rPr>
        <w:t>m</w:t>
      </w:r>
      <w:r w:rsidRPr="00310595">
        <w:rPr>
          <w:rFonts w:ascii="Book Antiqua" w:hAnsi="Book Antiqua"/>
          <w:color w:val="000000" w:themeColor="text1"/>
        </w:rPr>
        <w:t>ale; F</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hAnsi="Book Antiqua"/>
          <w:caps/>
          <w:color w:val="000000" w:themeColor="text1"/>
        </w:rPr>
        <w:t>f</w:t>
      </w:r>
      <w:r w:rsidRPr="00310595">
        <w:rPr>
          <w:rFonts w:ascii="Book Antiqua" w:hAnsi="Book Antiqua"/>
          <w:color w:val="000000" w:themeColor="text1"/>
        </w:rPr>
        <w:t>emale; CBD</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hAnsi="Book Antiqua"/>
          <w:caps/>
          <w:color w:val="000000" w:themeColor="text1"/>
        </w:rPr>
        <w:t>c</w:t>
      </w:r>
      <w:r w:rsidRPr="00310595">
        <w:rPr>
          <w:rFonts w:ascii="Book Antiqua" w:hAnsi="Book Antiqua"/>
          <w:color w:val="000000" w:themeColor="text1"/>
        </w:rPr>
        <w:t xml:space="preserve">ommon bile duct; </w:t>
      </w:r>
      <w:r w:rsidRPr="00310595">
        <w:rPr>
          <w:rFonts w:ascii="Book Antiqua" w:eastAsia="Book Antiqua" w:hAnsi="Book Antiqua" w:cs="Book Antiqua"/>
          <w:color w:val="000000" w:themeColor="text1"/>
        </w:rPr>
        <w:t>PD</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p</w:t>
      </w:r>
      <w:r w:rsidRPr="00310595">
        <w:rPr>
          <w:rFonts w:ascii="Book Antiqua" w:eastAsia="Book Antiqua" w:hAnsi="Book Antiqua" w:cs="Book Antiqua"/>
          <w:color w:val="000000" w:themeColor="text1"/>
        </w:rPr>
        <w:t xml:space="preserve">ancreatoduodenectomy; </w:t>
      </w:r>
      <w:r w:rsidRPr="00310595">
        <w:rPr>
          <w:rFonts w:ascii="Book Antiqua" w:hAnsi="Book Antiqua"/>
          <w:color w:val="000000" w:themeColor="text1"/>
        </w:rPr>
        <w:t>NR</w:t>
      </w:r>
      <w:r w:rsidRPr="00310595">
        <w:rPr>
          <w:rFonts w:ascii="Book Antiqua" w:hAnsi="Book Antiqua"/>
          <w:color w:val="000000" w:themeColor="text1"/>
          <w:lang w:eastAsia="zh-CN"/>
        </w:rPr>
        <w:t>:</w:t>
      </w:r>
      <w:r w:rsidRPr="00310595">
        <w:rPr>
          <w:rFonts w:ascii="Book Antiqua" w:hAnsi="Book Antiqua"/>
          <w:color w:val="000000" w:themeColor="text1"/>
        </w:rPr>
        <w:t xml:space="preserve"> </w:t>
      </w:r>
      <w:r w:rsidRPr="00310595">
        <w:rPr>
          <w:rFonts w:ascii="Book Antiqua" w:eastAsia="Book Antiqua" w:hAnsi="Book Antiqua" w:cs="Book Antiqua"/>
          <w:caps/>
          <w:color w:val="000000" w:themeColor="text1"/>
        </w:rPr>
        <w:t>n</w:t>
      </w:r>
      <w:r w:rsidRPr="00310595">
        <w:rPr>
          <w:rFonts w:ascii="Book Antiqua" w:eastAsia="Book Antiqua" w:hAnsi="Book Antiqua" w:cs="Book Antiqua"/>
          <w:color w:val="000000" w:themeColor="text1"/>
        </w:rPr>
        <w:t>o recurrence; CHD</w:t>
      </w:r>
      <w:r w:rsidRPr="00310595">
        <w:rPr>
          <w:rFonts w:ascii="Book Antiqua" w:hAnsi="Book Antiqua" w:cs="Book Antiqua"/>
          <w:color w:val="000000" w:themeColor="text1"/>
          <w:lang w:eastAsia="zh-CN"/>
        </w:rPr>
        <w:t xml:space="preserve">: </w:t>
      </w:r>
      <w:r w:rsidRPr="00310595">
        <w:rPr>
          <w:rFonts w:ascii="Book Antiqua" w:eastAsia="Book Antiqua" w:hAnsi="Book Antiqua" w:cs="Book Antiqua"/>
          <w:caps/>
          <w:color w:val="000000" w:themeColor="text1"/>
        </w:rPr>
        <w:t>c</w:t>
      </w:r>
      <w:r w:rsidRPr="00310595">
        <w:rPr>
          <w:rFonts w:ascii="Book Antiqua" w:eastAsia="Book Antiqua" w:hAnsi="Book Antiqua" w:cs="Book Antiqua"/>
          <w:color w:val="000000" w:themeColor="text1"/>
        </w:rPr>
        <w:t>ommon hepatic duct; BD</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b</w:t>
      </w:r>
      <w:r w:rsidRPr="00310595">
        <w:rPr>
          <w:rFonts w:ascii="Book Antiqua" w:eastAsia="Book Antiqua" w:hAnsi="Book Antiqua" w:cs="Book Antiqua"/>
          <w:color w:val="000000" w:themeColor="text1"/>
        </w:rPr>
        <w:t>ile duct; US</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u</w:t>
      </w:r>
      <w:r w:rsidRPr="00310595">
        <w:rPr>
          <w:rFonts w:ascii="Book Antiqua" w:eastAsia="Book Antiqua" w:hAnsi="Book Antiqua" w:cs="Book Antiqua"/>
          <w:color w:val="000000" w:themeColor="text1"/>
        </w:rPr>
        <w:t>ltrasound; R</w:t>
      </w:r>
      <w:r w:rsidRPr="00310595">
        <w:rPr>
          <w:rFonts w:ascii="Book Antiqua" w:hAnsi="Book Antiqua" w:cs="Book Antiqua"/>
          <w:color w:val="000000" w:themeColor="text1"/>
          <w:lang w:eastAsia="zh-CN"/>
        </w:rPr>
        <w:t>:</w:t>
      </w:r>
      <w:r w:rsidRPr="00310595">
        <w:rPr>
          <w:rFonts w:ascii="Book Antiqua" w:eastAsia="Book Antiqua" w:hAnsi="Book Antiqua" w:cs="Book Antiqua"/>
          <w:color w:val="000000" w:themeColor="text1"/>
        </w:rPr>
        <w:t xml:space="preserve"> </w:t>
      </w:r>
      <w:r w:rsidRPr="00310595">
        <w:rPr>
          <w:rFonts w:ascii="Book Antiqua" w:eastAsia="Book Antiqua" w:hAnsi="Book Antiqua" w:cs="Book Antiqua"/>
          <w:caps/>
          <w:color w:val="000000" w:themeColor="text1"/>
        </w:rPr>
        <w:t>r</w:t>
      </w:r>
      <w:r w:rsidRPr="00310595">
        <w:rPr>
          <w:rFonts w:ascii="Book Antiqua" w:eastAsia="Book Antiqua" w:hAnsi="Book Antiqua" w:cs="Book Antiqua"/>
          <w:color w:val="000000" w:themeColor="text1"/>
        </w:rPr>
        <w:t>ecurrence.</w:t>
      </w:r>
    </w:p>
    <w:p w14:paraId="4994435D" w14:textId="77777777" w:rsidR="001C7136" w:rsidRPr="00310595" w:rsidRDefault="001C7136" w:rsidP="001C713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olor w:val="000000" w:themeColor="text1"/>
        </w:rPr>
      </w:pPr>
      <w:r w:rsidRPr="00310595">
        <w:rPr>
          <w:rFonts w:ascii="Book Antiqua" w:hAnsi="Book Antiqua"/>
          <w:lang w:eastAsia="zh-CN"/>
        </w:rPr>
        <w:br w:type="page"/>
      </w:r>
      <w:r w:rsidRPr="00310595">
        <w:rPr>
          <w:rFonts w:ascii="Book Antiqua" w:hAnsi="Book Antiqua"/>
          <w:b/>
          <w:color w:val="000000" w:themeColor="text1"/>
        </w:rPr>
        <w:t>Table 3 Possible treatment options for inflammatory myofibroblastic tumors</w:t>
      </w:r>
    </w:p>
    <w:tbl>
      <w:tblPr>
        <w:tblW w:w="6653" w:type="dxa"/>
        <w:tblBorders>
          <w:top w:val="single" w:sz="4" w:space="0" w:color="auto"/>
          <w:bottom w:val="single" w:sz="4" w:space="0" w:color="auto"/>
        </w:tblBorders>
        <w:tblLayout w:type="fixed"/>
        <w:tblLook w:val="0600" w:firstRow="0" w:lastRow="0" w:firstColumn="0" w:lastColumn="0" w:noHBand="1" w:noVBand="1"/>
      </w:tblPr>
      <w:tblGrid>
        <w:gridCol w:w="6653"/>
      </w:tblGrid>
      <w:tr w:rsidR="001C7136" w:rsidRPr="00310595" w14:paraId="2636648E" w14:textId="77777777" w:rsidTr="00777E44">
        <w:trPr>
          <w:trHeight w:val="308"/>
        </w:trPr>
        <w:tc>
          <w:tcPr>
            <w:tcW w:w="6653" w:type="dxa"/>
            <w:tcBorders>
              <w:top w:val="single" w:sz="4" w:space="0" w:color="auto"/>
              <w:bottom w:val="single" w:sz="4" w:space="0" w:color="auto"/>
            </w:tcBorders>
            <w:tcMar>
              <w:top w:w="100" w:type="dxa"/>
              <w:left w:w="100" w:type="dxa"/>
              <w:bottom w:w="100" w:type="dxa"/>
              <w:right w:w="100" w:type="dxa"/>
            </w:tcMar>
          </w:tcPr>
          <w:p w14:paraId="57E924D2" w14:textId="352DDBC5" w:rsidR="001C7136" w:rsidRPr="00777E44" w:rsidRDefault="001C7136" w:rsidP="00777E44">
            <w:pPr>
              <w:adjustRightInd w:val="0"/>
              <w:snapToGrid w:val="0"/>
              <w:spacing w:line="360" w:lineRule="auto"/>
              <w:rPr>
                <w:rFonts w:ascii="Book Antiqua" w:hAnsi="Book Antiqua"/>
                <w:b/>
                <w:color w:val="000000" w:themeColor="text1"/>
                <w:lang w:eastAsia="zh-CN"/>
              </w:rPr>
            </w:pPr>
            <w:r w:rsidRPr="00310595">
              <w:rPr>
                <w:rFonts w:ascii="Book Antiqua" w:hAnsi="Book Antiqua"/>
                <w:b/>
                <w:color w:val="000000" w:themeColor="text1"/>
              </w:rPr>
              <w:t>Possible treatment options for IMTs</w:t>
            </w:r>
          </w:p>
        </w:tc>
      </w:tr>
      <w:tr w:rsidR="001C7136" w:rsidRPr="004C16C9" w14:paraId="0FDBE13E" w14:textId="77777777" w:rsidTr="00777E44">
        <w:trPr>
          <w:trHeight w:val="232"/>
        </w:trPr>
        <w:tc>
          <w:tcPr>
            <w:tcW w:w="6653" w:type="dxa"/>
            <w:tcBorders>
              <w:top w:val="single" w:sz="4" w:space="0" w:color="auto"/>
              <w:bottom w:val="nil"/>
            </w:tcBorders>
            <w:tcMar>
              <w:top w:w="100" w:type="dxa"/>
              <w:left w:w="100" w:type="dxa"/>
              <w:bottom w:w="100" w:type="dxa"/>
              <w:right w:w="100" w:type="dxa"/>
            </w:tcMar>
          </w:tcPr>
          <w:p w14:paraId="2F4BF3FC" w14:textId="5B569A49" w:rsidR="001C7136" w:rsidRPr="004C16C9" w:rsidRDefault="001C7136"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High-dose steroids</w:t>
            </w:r>
          </w:p>
        </w:tc>
      </w:tr>
      <w:tr w:rsidR="00777E44" w:rsidRPr="004C16C9" w14:paraId="57E1C161" w14:textId="77777777" w:rsidTr="00777E44">
        <w:trPr>
          <w:trHeight w:val="151"/>
        </w:trPr>
        <w:tc>
          <w:tcPr>
            <w:tcW w:w="6653" w:type="dxa"/>
            <w:tcBorders>
              <w:top w:val="nil"/>
              <w:bottom w:val="nil"/>
            </w:tcBorders>
            <w:tcMar>
              <w:top w:w="100" w:type="dxa"/>
              <w:left w:w="100" w:type="dxa"/>
              <w:bottom w:w="100" w:type="dxa"/>
              <w:right w:w="100" w:type="dxa"/>
            </w:tcMar>
          </w:tcPr>
          <w:p w14:paraId="665B4E8F" w14:textId="36C26983"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Low dose steroids</w:t>
            </w:r>
          </w:p>
        </w:tc>
      </w:tr>
      <w:tr w:rsidR="00777E44" w:rsidRPr="004C16C9" w14:paraId="2FD40C8B" w14:textId="77777777" w:rsidTr="00777E44">
        <w:trPr>
          <w:trHeight w:val="203"/>
        </w:trPr>
        <w:tc>
          <w:tcPr>
            <w:tcW w:w="6653" w:type="dxa"/>
            <w:tcBorders>
              <w:top w:val="nil"/>
              <w:bottom w:val="nil"/>
            </w:tcBorders>
            <w:tcMar>
              <w:top w:w="100" w:type="dxa"/>
              <w:left w:w="100" w:type="dxa"/>
              <w:bottom w:w="100" w:type="dxa"/>
              <w:right w:w="100" w:type="dxa"/>
            </w:tcMar>
          </w:tcPr>
          <w:p w14:paraId="0AC482A1" w14:textId="675FF94A"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Non-steroidal anti-inflammatory drugs (e.g., celecoxib)</w:t>
            </w:r>
          </w:p>
        </w:tc>
      </w:tr>
      <w:tr w:rsidR="00777E44" w:rsidRPr="004C16C9" w14:paraId="00B202E4" w14:textId="77777777" w:rsidTr="00777E44">
        <w:trPr>
          <w:trHeight w:val="269"/>
        </w:trPr>
        <w:tc>
          <w:tcPr>
            <w:tcW w:w="6653" w:type="dxa"/>
            <w:tcBorders>
              <w:top w:val="nil"/>
              <w:bottom w:val="nil"/>
            </w:tcBorders>
            <w:tcMar>
              <w:top w:w="100" w:type="dxa"/>
              <w:left w:w="100" w:type="dxa"/>
              <w:bottom w:w="100" w:type="dxa"/>
              <w:right w:w="100" w:type="dxa"/>
            </w:tcMar>
          </w:tcPr>
          <w:p w14:paraId="74F1F0DB" w14:textId="1130BAAC"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Vinblastine and methotrexate</w:t>
            </w:r>
          </w:p>
        </w:tc>
      </w:tr>
      <w:tr w:rsidR="00777E44" w:rsidRPr="004C16C9" w14:paraId="62821A57" w14:textId="77777777" w:rsidTr="00777E44">
        <w:trPr>
          <w:trHeight w:val="334"/>
        </w:trPr>
        <w:tc>
          <w:tcPr>
            <w:tcW w:w="6653" w:type="dxa"/>
            <w:tcBorders>
              <w:top w:val="nil"/>
              <w:bottom w:val="nil"/>
            </w:tcBorders>
            <w:tcMar>
              <w:top w:w="100" w:type="dxa"/>
              <w:left w:w="100" w:type="dxa"/>
              <w:bottom w:w="100" w:type="dxa"/>
              <w:right w:w="100" w:type="dxa"/>
            </w:tcMar>
          </w:tcPr>
          <w:p w14:paraId="48258592" w14:textId="3BDC313E"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Anaplastic lymphoma kinase inhibitors</w:t>
            </w:r>
          </w:p>
        </w:tc>
      </w:tr>
      <w:tr w:rsidR="00777E44" w:rsidRPr="004C16C9" w14:paraId="17619EA6" w14:textId="77777777" w:rsidTr="00777E44">
        <w:trPr>
          <w:trHeight w:val="259"/>
        </w:trPr>
        <w:tc>
          <w:tcPr>
            <w:tcW w:w="6653" w:type="dxa"/>
            <w:tcBorders>
              <w:top w:val="nil"/>
              <w:bottom w:val="nil"/>
            </w:tcBorders>
            <w:tcMar>
              <w:top w:w="100" w:type="dxa"/>
              <w:left w:w="100" w:type="dxa"/>
              <w:bottom w:w="100" w:type="dxa"/>
              <w:right w:w="100" w:type="dxa"/>
            </w:tcMar>
          </w:tcPr>
          <w:p w14:paraId="34395AEA" w14:textId="12F50AC1"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Ifosfamide-based chemotherapy</w:t>
            </w:r>
          </w:p>
        </w:tc>
      </w:tr>
      <w:tr w:rsidR="00777E44" w:rsidRPr="004C16C9" w14:paraId="5BC5D5A1" w14:textId="77777777" w:rsidTr="00777E44">
        <w:trPr>
          <w:trHeight w:val="467"/>
        </w:trPr>
        <w:tc>
          <w:tcPr>
            <w:tcW w:w="6653" w:type="dxa"/>
            <w:tcBorders>
              <w:top w:val="nil"/>
              <w:bottom w:val="nil"/>
            </w:tcBorders>
            <w:tcMar>
              <w:top w:w="100" w:type="dxa"/>
              <w:left w:w="100" w:type="dxa"/>
              <w:bottom w:w="100" w:type="dxa"/>
              <w:right w:w="100" w:type="dxa"/>
            </w:tcMar>
          </w:tcPr>
          <w:p w14:paraId="170FFF67" w14:textId="2A0AFF9D"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Vinorelbine and low-dose cyclophosphamide</w:t>
            </w:r>
          </w:p>
        </w:tc>
      </w:tr>
      <w:tr w:rsidR="00777E44" w:rsidRPr="004C16C9" w14:paraId="7BD4DBB6" w14:textId="77777777" w:rsidTr="00777E44">
        <w:trPr>
          <w:trHeight w:val="349"/>
        </w:trPr>
        <w:tc>
          <w:tcPr>
            <w:tcW w:w="6653" w:type="dxa"/>
            <w:tcBorders>
              <w:top w:val="nil"/>
              <w:bottom w:val="nil"/>
            </w:tcBorders>
            <w:tcMar>
              <w:top w:w="100" w:type="dxa"/>
              <w:left w:w="100" w:type="dxa"/>
              <w:bottom w:w="100" w:type="dxa"/>
              <w:right w:w="100" w:type="dxa"/>
            </w:tcMar>
          </w:tcPr>
          <w:p w14:paraId="4FA158B4" w14:textId="02FCF797"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Vincristine and actinomycin-D</w:t>
            </w:r>
          </w:p>
        </w:tc>
      </w:tr>
      <w:tr w:rsidR="00777E44" w:rsidRPr="004C16C9" w14:paraId="367AAD25" w14:textId="77777777" w:rsidTr="00777E44">
        <w:trPr>
          <w:trHeight w:val="273"/>
        </w:trPr>
        <w:tc>
          <w:tcPr>
            <w:tcW w:w="6653" w:type="dxa"/>
            <w:tcBorders>
              <w:top w:val="nil"/>
              <w:bottom w:val="nil"/>
            </w:tcBorders>
            <w:tcMar>
              <w:top w:w="100" w:type="dxa"/>
              <w:left w:w="100" w:type="dxa"/>
              <w:bottom w:w="100" w:type="dxa"/>
              <w:right w:w="100" w:type="dxa"/>
            </w:tcMar>
          </w:tcPr>
          <w:p w14:paraId="2FFDCBA8" w14:textId="3DB30F42"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310595">
              <w:rPr>
                <w:rFonts w:ascii="Book Antiqua" w:eastAsia="Book Antiqua" w:hAnsi="Book Antiqua" w:cs="Book Antiqua"/>
                <w:color w:val="000000" w:themeColor="text1"/>
              </w:rPr>
              <w:t>Cyclosporine, azathioprine</w:t>
            </w:r>
          </w:p>
        </w:tc>
      </w:tr>
      <w:tr w:rsidR="00777E44" w:rsidRPr="004C16C9" w14:paraId="423E2D44" w14:textId="77777777" w:rsidTr="00777E44">
        <w:trPr>
          <w:trHeight w:val="622"/>
        </w:trPr>
        <w:tc>
          <w:tcPr>
            <w:tcW w:w="6653" w:type="dxa"/>
            <w:tcBorders>
              <w:top w:val="nil"/>
              <w:bottom w:val="single" w:sz="4" w:space="0" w:color="auto"/>
            </w:tcBorders>
            <w:tcMar>
              <w:top w:w="100" w:type="dxa"/>
              <w:left w:w="100" w:type="dxa"/>
              <w:bottom w:w="100" w:type="dxa"/>
              <w:right w:w="100" w:type="dxa"/>
            </w:tcMar>
          </w:tcPr>
          <w:p w14:paraId="440300B0" w14:textId="3BA3EAB2" w:rsidR="00777E44" w:rsidRPr="004C16C9" w:rsidRDefault="00777E44" w:rsidP="004C16C9">
            <w:pPr>
              <w:adjustRightInd w:val="0"/>
              <w:snapToGrid w:val="0"/>
              <w:spacing w:line="360" w:lineRule="auto"/>
              <w:jc w:val="both"/>
              <w:rPr>
                <w:rFonts w:ascii="Book Antiqua" w:eastAsia="Book Antiqua" w:hAnsi="Book Antiqua" w:cs="Book Antiqua"/>
                <w:color w:val="000000" w:themeColor="text1"/>
              </w:rPr>
            </w:pPr>
            <w:r w:rsidRPr="004C16C9">
              <w:rPr>
                <w:rFonts w:ascii="Book Antiqua" w:eastAsia="Book Antiqua" w:hAnsi="Book Antiqua" w:cs="Book Antiqua"/>
                <w:color w:val="000000" w:themeColor="text1"/>
              </w:rPr>
              <w:t>Radical surgical treatment (when anatomically and physiologically feasible)</w:t>
            </w:r>
          </w:p>
        </w:tc>
      </w:tr>
    </w:tbl>
    <w:p w14:paraId="015CC113" w14:textId="4BDD264F" w:rsidR="00F64673" w:rsidRDefault="001C7136" w:rsidP="001C7136">
      <w:pPr>
        <w:adjustRightInd w:val="0"/>
        <w:snapToGrid w:val="0"/>
        <w:spacing w:line="360" w:lineRule="auto"/>
        <w:jc w:val="both"/>
        <w:rPr>
          <w:rFonts w:ascii="Book Antiqua" w:hAnsi="Book Antiqua" w:cs="Book Antiqua"/>
          <w:color w:val="000000" w:themeColor="text1"/>
          <w:lang w:eastAsia="zh-CN"/>
        </w:rPr>
      </w:pPr>
      <w:r w:rsidRPr="00310595">
        <w:rPr>
          <w:rFonts w:ascii="Book Antiqua" w:hAnsi="Book Antiqua"/>
          <w:color w:val="000000" w:themeColor="text1"/>
          <w:lang w:eastAsia="zh-CN"/>
        </w:rPr>
        <w:t>IMTs</w:t>
      </w:r>
      <w:r w:rsidRPr="00310595">
        <w:rPr>
          <w:rFonts w:ascii="Book Antiqua" w:hAnsi="Book Antiqua"/>
          <w:b/>
          <w:color w:val="000000" w:themeColor="text1"/>
          <w:lang w:eastAsia="zh-CN"/>
        </w:rPr>
        <w:t xml:space="preserve">: </w:t>
      </w:r>
      <w:r w:rsidRPr="00310595">
        <w:rPr>
          <w:rFonts w:ascii="Book Antiqua" w:eastAsia="Book Antiqua" w:hAnsi="Book Antiqua" w:cs="Book Antiqua"/>
          <w:caps/>
          <w:color w:val="000000" w:themeColor="text1"/>
        </w:rPr>
        <w:t>i</w:t>
      </w:r>
      <w:r w:rsidRPr="00310595">
        <w:rPr>
          <w:rFonts w:ascii="Book Antiqua" w:eastAsia="Book Antiqua" w:hAnsi="Book Antiqua" w:cs="Book Antiqua"/>
          <w:color w:val="000000" w:themeColor="text1"/>
        </w:rPr>
        <w:t>nflammatory myofibroblastic tumor</w:t>
      </w:r>
      <w:r w:rsidRPr="00310595">
        <w:rPr>
          <w:rFonts w:ascii="Book Antiqua" w:hAnsi="Book Antiqua" w:cs="Book Antiqua"/>
          <w:color w:val="000000" w:themeColor="text1"/>
          <w:lang w:eastAsia="zh-CN"/>
        </w:rPr>
        <w:t>s.</w:t>
      </w:r>
    </w:p>
    <w:p w14:paraId="7E138E0C" w14:textId="77777777" w:rsidR="00F64673" w:rsidRDefault="00F64673">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003E522D" w14:textId="77777777" w:rsidR="00F64673" w:rsidRDefault="00F64673" w:rsidP="00F64673">
      <w:pPr>
        <w:jc w:val="center"/>
        <w:rPr>
          <w:rFonts w:ascii="Book Antiqua" w:hAnsi="Book Antiqua"/>
          <w:lang w:eastAsia="zh-CN"/>
        </w:rPr>
      </w:pPr>
      <w:bookmarkStart w:id="3" w:name="OLE_LINK1"/>
      <w:bookmarkStart w:id="4" w:name="OLE_LINK2"/>
    </w:p>
    <w:p w14:paraId="71E34A22" w14:textId="77777777" w:rsidR="00F64673" w:rsidRDefault="00F64673" w:rsidP="00F64673">
      <w:pPr>
        <w:jc w:val="center"/>
        <w:rPr>
          <w:rFonts w:ascii="Book Antiqua" w:hAnsi="Book Antiqua"/>
          <w:lang w:eastAsia="zh-CN"/>
        </w:rPr>
      </w:pPr>
    </w:p>
    <w:p w14:paraId="379FE6A0" w14:textId="77777777" w:rsidR="00F64673" w:rsidRDefault="00F64673" w:rsidP="00F64673">
      <w:pPr>
        <w:jc w:val="center"/>
        <w:rPr>
          <w:rFonts w:ascii="Book Antiqua" w:hAnsi="Book Antiqua"/>
          <w:lang w:eastAsia="zh-CN"/>
        </w:rPr>
      </w:pPr>
    </w:p>
    <w:p w14:paraId="0C5F5BF9" w14:textId="77777777" w:rsidR="00F64673" w:rsidRDefault="00F64673" w:rsidP="00F64673">
      <w:pPr>
        <w:jc w:val="center"/>
        <w:rPr>
          <w:rFonts w:ascii="Book Antiqua" w:hAnsi="Book Antiqua"/>
          <w:lang w:eastAsia="zh-CN"/>
        </w:rPr>
      </w:pPr>
    </w:p>
    <w:p w14:paraId="41581CC0" w14:textId="77777777" w:rsidR="00F64673" w:rsidRDefault="00F64673" w:rsidP="00F64673">
      <w:pPr>
        <w:jc w:val="center"/>
        <w:rPr>
          <w:rFonts w:ascii="Book Antiqua" w:hAnsi="Book Antiqua"/>
          <w:lang w:eastAsia="zh-CN"/>
        </w:rPr>
      </w:pPr>
    </w:p>
    <w:p w14:paraId="6C53BB8D" w14:textId="77777777" w:rsidR="00F64673" w:rsidRDefault="00F64673" w:rsidP="00F64673">
      <w:pPr>
        <w:jc w:val="center"/>
        <w:rPr>
          <w:rFonts w:ascii="Book Antiqua" w:hAnsi="Book Antiqua"/>
          <w:lang w:eastAsia="zh-CN"/>
        </w:rPr>
      </w:pPr>
      <w:r>
        <w:rPr>
          <w:rFonts w:ascii="Book Antiqua" w:hAnsi="Book Antiqua"/>
          <w:noProof/>
          <w:lang w:eastAsia="zh-CN"/>
        </w:rPr>
        <w:drawing>
          <wp:inline distT="0" distB="0" distL="0" distR="0" wp14:anchorId="44E8F0C3" wp14:editId="3769511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4F0D34" w14:textId="77777777" w:rsidR="00F64673" w:rsidRDefault="00F64673" w:rsidP="00F64673">
      <w:pPr>
        <w:jc w:val="center"/>
        <w:rPr>
          <w:rFonts w:ascii="Book Antiqua" w:hAnsi="Book Antiqua"/>
          <w:lang w:eastAsia="zh-CN"/>
        </w:rPr>
      </w:pPr>
    </w:p>
    <w:p w14:paraId="6ABA5CD4" w14:textId="77777777" w:rsidR="00F64673" w:rsidRPr="00763D22" w:rsidRDefault="00F64673" w:rsidP="00F6467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A882229" w14:textId="77777777" w:rsidR="00F64673" w:rsidRPr="00763D22" w:rsidRDefault="00F64673" w:rsidP="00F6467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933D03" w14:textId="77777777" w:rsidR="00F64673" w:rsidRPr="00763D22" w:rsidRDefault="00F64673" w:rsidP="00F6467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9865D1" w14:textId="77777777" w:rsidR="00F64673" w:rsidRPr="00763D22" w:rsidRDefault="00F64673" w:rsidP="00F6467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86F8F1" w14:textId="77777777" w:rsidR="00F64673" w:rsidRPr="00763D22" w:rsidRDefault="00F64673" w:rsidP="00F6467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08EC3F" w14:textId="77777777" w:rsidR="00F64673" w:rsidRPr="00763D22" w:rsidRDefault="00F64673" w:rsidP="00F6467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55C1DA7" w14:textId="77777777" w:rsidR="00F64673" w:rsidRDefault="00F64673" w:rsidP="00F64673">
      <w:pPr>
        <w:jc w:val="center"/>
        <w:rPr>
          <w:rFonts w:ascii="Book Antiqua" w:hAnsi="Book Antiqua"/>
          <w:lang w:eastAsia="zh-CN"/>
        </w:rPr>
      </w:pPr>
    </w:p>
    <w:p w14:paraId="69EA77AB" w14:textId="77777777" w:rsidR="00F64673" w:rsidRDefault="00F64673" w:rsidP="00F64673">
      <w:pPr>
        <w:jc w:val="center"/>
        <w:rPr>
          <w:rFonts w:ascii="Book Antiqua" w:hAnsi="Book Antiqua"/>
          <w:lang w:eastAsia="zh-CN"/>
        </w:rPr>
      </w:pPr>
    </w:p>
    <w:p w14:paraId="62FDB974" w14:textId="77777777" w:rsidR="00F64673" w:rsidRDefault="00F64673" w:rsidP="00F64673">
      <w:pPr>
        <w:jc w:val="center"/>
        <w:rPr>
          <w:rFonts w:ascii="Book Antiqua" w:hAnsi="Book Antiqua"/>
          <w:lang w:eastAsia="zh-CN"/>
        </w:rPr>
      </w:pPr>
    </w:p>
    <w:p w14:paraId="3AC08B48" w14:textId="77777777" w:rsidR="00F64673" w:rsidRDefault="00F64673" w:rsidP="00F64673">
      <w:pPr>
        <w:jc w:val="center"/>
        <w:rPr>
          <w:rFonts w:ascii="Book Antiqua" w:hAnsi="Book Antiqua"/>
          <w:lang w:eastAsia="zh-CN"/>
        </w:rPr>
      </w:pPr>
      <w:r>
        <w:rPr>
          <w:rFonts w:ascii="Book Antiqua" w:hAnsi="Book Antiqua"/>
          <w:noProof/>
          <w:lang w:eastAsia="zh-CN"/>
        </w:rPr>
        <w:drawing>
          <wp:inline distT="0" distB="0" distL="0" distR="0" wp14:anchorId="5E57C60D" wp14:editId="6855C8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AC1177" w14:textId="77777777" w:rsidR="00F64673" w:rsidRDefault="00F64673" w:rsidP="00F64673">
      <w:pPr>
        <w:jc w:val="center"/>
        <w:rPr>
          <w:rFonts w:ascii="Book Antiqua" w:hAnsi="Book Antiqua"/>
          <w:lang w:eastAsia="zh-CN"/>
        </w:rPr>
      </w:pPr>
    </w:p>
    <w:p w14:paraId="6F26C091" w14:textId="77777777" w:rsidR="00F64673" w:rsidRDefault="00F64673" w:rsidP="00F64673">
      <w:pPr>
        <w:jc w:val="center"/>
        <w:rPr>
          <w:rFonts w:ascii="Book Antiqua" w:hAnsi="Book Antiqua"/>
          <w:lang w:eastAsia="zh-CN"/>
        </w:rPr>
      </w:pPr>
    </w:p>
    <w:p w14:paraId="3CB67FAD" w14:textId="77777777" w:rsidR="00F64673" w:rsidRDefault="00F64673" w:rsidP="00F64673">
      <w:pPr>
        <w:jc w:val="center"/>
        <w:rPr>
          <w:rFonts w:ascii="Book Antiqua" w:hAnsi="Book Antiqua"/>
          <w:lang w:eastAsia="zh-CN"/>
        </w:rPr>
      </w:pPr>
    </w:p>
    <w:p w14:paraId="404CD335" w14:textId="77777777" w:rsidR="00F64673" w:rsidRDefault="00F64673" w:rsidP="00F64673">
      <w:pPr>
        <w:jc w:val="center"/>
        <w:rPr>
          <w:rFonts w:ascii="Book Antiqua" w:hAnsi="Book Antiqua"/>
          <w:lang w:eastAsia="zh-CN"/>
        </w:rPr>
      </w:pPr>
    </w:p>
    <w:p w14:paraId="5E4F7D68" w14:textId="77777777" w:rsidR="00F64673" w:rsidRDefault="00F64673" w:rsidP="00F64673">
      <w:pPr>
        <w:jc w:val="center"/>
        <w:rPr>
          <w:rFonts w:ascii="Book Antiqua" w:hAnsi="Book Antiqua"/>
          <w:lang w:eastAsia="zh-CN"/>
        </w:rPr>
      </w:pPr>
    </w:p>
    <w:p w14:paraId="2A8AE0DD" w14:textId="77777777" w:rsidR="00F64673" w:rsidRDefault="00F64673" w:rsidP="00F64673">
      <w:pPr>
        <w:jc w:val="center"/>
        <w:rPr>
          <w:rFonts w:ascii="Book Antiqua" w:hAnsi="Book Antiqua"/>
          <w:lang w:eastAsia="zh-CN"/>
        </w:rPr>
      </w:pPr>
    </w:p>
    <w:p w14:paraId="2CE14F36" w14:textId="77777777" w:rsidR="00F64673" w:rsidRDefault="00F64673" w:rsidP="00F64673">
      <w:pPr>
        <w:jc w:val="center"/>
        <w:rPr>
          <w:rFonts w:ascii="Book Antiqua" w:hAnsi="Book Antiqua"/>
          <w:lang w:eastAsia="zh-CN"/>
        </w:rPr>
      </w:pPr>
    </w:p>
    <w:p w14:paraId="5AA884AF" w14:textId="77777777" w:rsidR="00F64673" w:rsidRDefault="00F64673" w:rsidP="00F64673">
      <w:pPr>
        <w:jc w:val="center"/>
        <w:rPr>
          <w:rFonts w:ascii="Book Antiqua" w:hAnsi="Book Antiqua"/>
          <w:lang w:eastAsia="zh-CN"/>
        </w:rPr>
      </w:pPr>
    </w:p>
    <w:p w14:paraId="0DF72503" w14:textId="77777777" w:rsidR="00F64673" w:rsidRDefault="00F64673" w:rsidP="00F64673">
      <w:pPr>
        <w:jc w:val="center"/>
        <w:rPr>
          <w:rFonts w:ascii="Book Antiqua" w:hAnsi="Book Antiqua"/>
          <w:lang w:eastAsia="zh-CN"/>
        </w:rPr>
      </w:pPr>
    </w:p>
    <w:p w14:paraId="5D53AC18" w14:textId="77777777" w:rsidR="00F64673" w:rsidRPr="00763D22" w:rsidRDefault="00F64673" w:rsidP="00F64673">
      <w:pPr>
        <w:jc w:val="right"/>
        <w:rPr>
          <w:rFonts w:ascii="Book Antiqua" w:hAnsi="Book Antiqua"/>
          <w:color w:val="000000" w:themeColor="text1"/>
          <w:lang w:eastAsia="zh-CN"/>
        </w:rPr>
      </w:pPr>
    </w:p>
    <w:p w14:paraId="6DFE03E9" w14:textId="77777777" w:rsidR="00F64673" w:rsidRPr="00763D22" w:rsidRDefault="00F64673" w:rsidP="00F6467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14:paraId="0E9A2DD6" w14:textId="77777777" w:rsidR="001C7136" w:rsidRPr="00F64673" w:rsidRDefault="001C7136" w:rsidP="001C7136">
      <w:pPr>
        <w:adjustRightInd w:val="0"/>
        <w:snapToGrid w:val="0"/>
        <w:spacing w:line="360" w:lineRule="auto"/>
        <w:jc w:val="both"/>
        <w:rPr>
          <w:rFonts w:ascii="Book Antiqua" w:hAnsi="Book Antiqua" w:cs="Book Antiqua"/>
          <w:b/>
          <w:color w:val="000000" w:themeColor="text1"/>
          <w:lang w:eastAsia="zh-CN"/>
        </w:rPr>
      </w:pPr>
      <w:bookmarkStart w:id="5" w:name="_GoBack"/>
      <w:bookmarkEnd w:id="5"/>
    </w:p>
    <w:sectPr w:rsidR="001C7136" w:rsidRPr="00F646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A0F2D" w14:textId="77777777" w:rsidR="00E71DAA" w:rsidRDefault="00E71DAA" w:rsidP="001C7136">
      <w:r>
        <w:separator/>
      </w:r>
    </w:p>
  </w:endnote>
  <w:endnote w:type="continuationSeparator" w:id="0">
    <w:p w14:paraId="0DD84DC1" w14:textId="77777777" w:rsidR="00E71DAA" w:rsidRDefault="00E71DAA" w:rsidP="001C7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461712"/>
      <w:docPartObj>
        <w:docPartGallery w:val="Page Numbers (Bottom of Page)"/>
        <w:docPartUnique/>
      </w:docPartObj>
    </w:sdtPr>
    <w:sdtEndPr/>
    <w:sdtContent>
      <w:sdt>
        <w:sdtPr>
          <w:id w:val="98381352"/>
          <w:docPartObj>
            <w:docPartGallery w:val="Page Numbers (Top of Page)"/>
            <w:docPartUnique/>
          </w:docPartObj>
        </w:sdtPr>
        <w:sdtEndPr/>
        <w:sdtContent>
          <w:p w14:paraId="23C82867" w14:textId="77777777" w:rsidR="00777E44" w:rsidRDefault="00777E44" w:rsidP="006F5420">
            <w:pPr>
              <w:pStyle w:val="a4"/>
              <w:jc w:val="right"/>
            </w:pPr>
            <w:r w:rsidRPr="006F5420">
              <w:rPr>
                <w:rFonts w:ascii="Book Antiqua" w:hAnsi="Book Antiqua"/>
                <w:sz w:val="24"/>
                <w:szCs w:val="24"/>
                <w:lang w:val="zh-CN" w:eastAsia="zh-CN"/>
              </w:rPr>
              <w:t xml:space="preserve"> </w:t>
            </w:r>
            <w:r w:rsidRPr="006F5420">
              <w:rPr>
                <w:rFonts w:ascii="Book Antiqua" w:hAnsi="Book Antiqua"/>
                <w:b/>
                <w:bCs/>
                <w:sz w:val="24"/>
                <w:szCs w:val="24"/>
              </w:rPr>
              <w:fldChar w:fldCharType="begin"/>
            </w:r>
            <w:r w:rsidRPr="006F5420">
              <w:rPr>
                <w:rFonts w:ascii="Book Antiqua" w:hAnsi="Book Antiqua"/>
                <w:b/>
                <w:bCs/>
                <w:sz w:val="24"/>
                <w:szCs w:val="24"/>
              </w:rPr>
              <w:instrText>PAGE</w:instrText>
            </w:r>
            <w:r w:rsidRPr="006F5420">
              <w:rPr>
                <w:rFonts w:ascii="Book Antiqua" w:hAnsi="Book Antiqua"/>
                <w:b/>
                <w:bCs/>
                <w:sz w:val="24"/>
                <w:szCs w:val="24"/>
              </w:rPr>
              <w:fldChar w:fldCharType="separate"/>
            </w:r>
            <w:r w:rsidR="00E71DAA">
              <w:rPr>
                <w:rFonts w:ascii="Book Antiqua" w:hAnsi="Book Antiqua"/>
                <w:b/>
                <w:bCs/>
                <w:noProof/>
                <w:sz w:val="24"/>
                <w:szCs w:val="24"/>
              </w:rPr>
              <w:t>1</w:t>
            </w:r>
            <w:r w:rsidRPr="006F5420">
              <w:rPr>
                <w:rFonts w:ascii="Book Antiqua" w:hAnsi="Book Antiqua"/>
                <w:b/>
                <w:bCs/>
                <w:sz w:val="24"/>
                <w:szCs w:val="24"/>
              </w:rPr>
              <w:fldChar w:fldCharType="end"/>
            </w:r>
            <w:r w:rsidRPr="006F5420">
              <w:rPr>
                <w:rFonts w:ascii="Book Antiqua" w:hAnsi="Book Antiqua"/>
                <w:sz w:val="24"/>
                <w:szCs w:val="24"/>
                <w:lang w:val="zh-CN" w:eastAsia="zh-CN"/>
              </w:rPr>
              <w:t xml:space="preserve"> / </w:t>
            </w:r>
            <w:r w:rsidRPr="006F5420">
              <w:rPr>
                <w:rFonts w:ascii="Book Antiqua" w:hAnsi="Book Antiqua"/>
                <w:b/>
                <w:bCs/>
                <w:sz w:val="24"/>
                <w:szCs w:val="24"/>
              </w:rPr>
              <w:fldChar w:fldCharType="begin"/>
            </w:r>
            <w:r w:rsidRPr="006F5420">
              <w:rPr>
                <w:rFonts w:ascii="Book Antiqua" w:hAnsi="Book Antiqua"/>
                <w:b/>
                <w:bCs/>
                <w:sz w:val="24"/>
                <w:szCs w:val="24"/>
              </w:rPr>
              <w:instrText>NUMPAGES</w:instrText>
            </w:r>
            <w:r w:rsidRPr="006F5420">
              <w:rPr>
                <w:rFonts w:ascii="Book Antiqua" w:hAnsi="Book Antiqua"/>
                <w:b/>
                <w:bCs/>
                <w:sz w:val="24"/>
                <w:szCs w:val="24"/>
              </w:rPr>
              <w:fldChar w:fldCharType="separate"/>
            </w:r>
            <w:r w:rsidR="00E71DAA">
              <w:rPr>
                <w:rFonts w:ascii="Book Antiqua" w:hAnsi="Book Antiqua"/>
                <w:b/>
                <w:bCs/>
                <w:noProof/>
                <w:sz w:val="24"/>
                <w:szCs w:val="24"/>
              </w:rPr>
              <w:t>1</w:t>
            </w:r>
            <w:r w:rsidRPr="006F5420">
              <w:rPr>
                <w:rFonts w:ascii="Book Antiqua" w:hAnsi="Book Antiqua"/>
                <w:b/>
                <w:bCs/>
                <w:sz w:val="24"/>
                <w:szCs w:val="24"/>
              </w:rPr>
              <w:fldChar w:fldCharType="end"/>
            </w:r>
          </w:p>
        </w:sdtContent>
      </w:sdt>
    </w:sdtContent>
  </w:sdt>
  <w:p w14:paraId="50C2B84E" w14:textId="77777777" w:rsidR="00777E44" w:rsidRDefault="00777E4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E8EEA" w14:textId="77777777" w:rsidR="00E71DAA" w:rsidRDefault="00E71DAA" w:rsidP="001C7136">
      <w:r>
        <w:separator/>
      </w:r>
    </w:p>
  </w:footnote>
  <w:footnote w:type="continuationSeparator" w:id="0">
    <w:p w14:paraId="14A27D6B" w14:textId="77777777" w:rsidR="00E71DAA" w:rsidRDefault="00E71DAA" w:rsidP="001C71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01C"/>
    <w:rsid w:val="00093C00"/>
    <w:rsid w:val="000A428C"/>
    <w:rsid w:val="001C65D9"/>
    <w:rsid w:val="001C7136"/>
    <w:rsid w:val="001E6859"/>
    <w:rsid w:val="00310595"/>
    <w:rsid w:val="003638DD"/>
    <w:rsid w:val="003D7EBA"/>
    <w:rsid w:val="003E10E0"/>
    <w:rsid w:val="004C16C9"/>
    <w:rsid w:val="005D6B02"/>
    <w:rsid w:val="005E75C1"/>
    <w:rsid w:val="00606645"/>
    <w:rsid w:val="00641AE6"/>
    <w:rsid w:val="006F0730"/>
    <w:rsid w:val="006F5420"/>
    <w:rsid w:val="00777E44"/>
    <w:rsid w:val="007B45E4"/>
    <w:rsid w:val="00892C35"/>
    <w:rsid w:val="008A6778"/>
    <w:rsid w:val="008D6124"/>
    <w:rsid w:val="008E3E59"/>
    <w:rsid w:val="0095146E"/>
    <w:rsid w:val="009C6D3A"/>
    <w:rsid w:val="00A7671C"/>
    <w:rsid w:val="00A77B3E"/>
    <w:rsid w:val="00AC494A"/>
    <w:rsid w:val="00B1280B"/>
    <w:rsid w:val="00B745D9"/>
    <w:rsid w:val="00B97AB8"/>
    <w:rsid w:val="00BD21D3"/>
    <w:rsid w:val="00BD2A66"/>
    <w:rsid w:val="00CA2A55"/>
    <w:rsid w:val="00DA338C"/>
    <w:rsid w:val="00E232C5"/>
    <w:rsid w:val="00E5556A"/>
    <w:rsid w:val="00E71DAA"/>
    <w:rsid w:val="00F17E40"/>
    <w:rsid w:val="00F64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A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C71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7136"/>
    <w:rPr>
      <w:sz w:val="18"/>
      <w:szCs w:val="18"/>
    </w:rPr>
  </w:style>
  <w:style w:type="paragraph" w:styleId="a4">
    <w:name w:val="footer"/>
    <w:basedOn w:val="a"/>
    <w:link w:val="Char0"/>
    <w:uiPriority w:val="99"/>
    <w:rsid w:val="001C7136"/>
    <w:pPr>
      <w:tabs>
        <w:tab w:val="center" w:pos="4153"/>
        <w:tab w:val="right" w:pos="8306"/>
      </w:tabs>
      <w:snapToGrid w:val="0"/>
    </w:pPr>
    <w:rPr>
      <w:sz w:val="18"/>
      <w:szCs w:val="18"/>
    </w:rPr>
  </w:style>
  <w:style w:type="character" w:customStyle="1" w:styleId="Char0">
    <w:name w:val="页脚 Char"/>
    <w:basedOn w:val="a0"/>
    <w:link w:val="a4"/>
    <w:uiPriority w:val="99"/>
    <w:rsid w:val="001C7136"/>
    <w:rPr>
      <w:sz w:val="18"/>
      <w:szCs w:val="18"/>
    </w:rPr>
  </w:style>
  <w:style w:type="paragraph" w:styleId="a5">
    <w:name w:val="Balloon Text"/>
    <w:basedOn w:val="a"/>
    <w:link w:val="Char1"/>
    <w:rsid w:val="001C7136"/>
    <w:rPr>
      <w:sz w:val="18"/>
      <w:szCs w:val="18"/>
    </w:rPr>
  </w:style>
  <w:style w:type="character" w:customStyle="1" w:styleId="Char1">
    <w:name w:val="批注框文本 Char"/>
    <w:basedOn w:val="a0"/>
    <w:link w:val="a5"/>
    <w:rsid w:val="001C7136"/>
    <w:rPr>
      <w:sz w:val="18"/>
      <w:szCs w:val="18"/>
    </w:rPr>
  </w:style>
  <w:style w:type="paragraph" w:styleId="a6">
    <w:name w:val="List Paragraph"/>
    <w:basedOn w:val="a"/>
    <w:uiPriority w:val="34"/>
    <w:qFormat/>
    <w:rsid w:val="001C7136"/>
    <w:pPr>
      <w:spacing w:after="160" w:line="259" w:lineRule="auto"/>
      <w:ind w:left="720"/>
      <w:contextualSpacing/>
    </w:pPr>
    <w:rPr>
      <w:rFonts w:ascii="Calibri" w:eastAsia="Calibri" w:hAnsi="Calibri" w:cs="Calibri"/>
      <w:sz w:val="22"/>
      <w:szCs w:val="22"/>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C71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7136"/>
    <w:rPr>
      <w:sz w:val="18"/>
      <w:szCs w:val="18"/>
    </w:rPr>
  </w:style>
  <w:style w:type="paragraph" w:styleId="a4">
    <w:name w:val="footer"/>
    <w:basedOn w:val="a"/>
    <w:link w:val="Char0"/>
    <w:uiPriority w:val="99"/>
    <w:rsid w:val="001C7136"/>
    <w:pPr>
      <w:tabs>
        <w:tab w:val="center" w:pos="4153"/>
        <w:tab w:val="right" w:pos="8306"/>
      </w:tabs>
      <w:snapToGrid w:val="0"/>
    </w:pPr>
    <w:rPr>
      <w:sz w:val="18"/>
      <w:szCs w:val="18"/>
    </w:rPr>
  </w:style>
  <w:style w:type="character" w:customStyle="1" w:styleId="Char0">
    <w:name w:val="页脚 Char"/>
    <w:basedOn w:val="a0"/>
    <w:link w:val="a4"/>
    <w:uiPriority w:val="99"/>
    <w:rsid w:val="001C7136"/>
    <w:rPr>
      <w:sz w:val="18"/>
      <w:szCs w:val="18"/>
    </w:rPr>
  </w:style>
  <w:style w:type="paragraph" w:styleId="a5">
    <w:name w:val="Balloon Text"/>
    <w:basedOn w:val="a"/>
    <w:link w:val="Char1"/>
    <w:rsid w:val="001C7136"/>
    <w:rPr>
      <w:sz w:val="18"/>
      <w:szCs w:val="18"/>
    </w:rPr>
  </w:style>
  <w:style w:type="character" w:customStyle="1" w:styleId="Char1">
    <w:name w:val="批注框文本 Char"/>
    <w:basedOn w:val="a0"/>
    <w:link w:val="a5"/>
    <w:rsid w:val="001C7136"/>
    <w:rPr>
      <w:sz w:val="18"/>
      <w:szCs w:val="18"/>
    </w:rPr>
  </w:style>
  <w:style w:type="paragraph" w:styleId="a6">
    <w:name w:val="List Paragraph"/>
    <w:basedOn w:val="a"/>
    <w:uiPriority w:val="34"/>
    <w:qFormat/>
    <w:rsid w:val="001C7136"/>
    <w:pPr>
      <w:spacing w:after="160" w:line="259" w:lineRule="auto"/>
      <w:ind w:left="720"/>
      <w:contextualSpacing/>
    </w:pPr>
    <w:rPr>
      <w:rFonts w:ascii="Calibri" w:eastAsia="Calibri" w:hAnsi="Calibri" w:cs="Calibri"/>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41</Pages>
  <Words>11101</Words>
  <Characters>63282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11</cp:revision>
  <dcterms:created xsi:type="dcterms:W3CDTF">2021-05-20T00:09:00Z</dcterms:created>
  <dcterms:modified xsi:type="dcterms:W3CDTF">2021-07-15T08:18:00Z</dcterms:modified>
</cp:coreProperties>
</file>