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955D1"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1DE1C2"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67531</w:t>
      </w:r>
    </w:p>
    <w:p w14:paraId="076A971D"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F33D987" w14:textId="77777777" w:rsidR="00445323" w:rsidRDefault="00445323">
      <w:pPr>
        <w:spacing w:line="360" w:lineRule="auto"/>
        <w:jc w:val="both"/>
        <w:rPr>
          <w:rFonts w:ascii="Book Antiqua" w:hAnsi="Book Antiqua"/>
        </w:rPr>
      </w:pPr>
    </w:p>
    <w:p w14:paraId="232CC70B"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Rare complication of acute adrenocortical dysfunction in adrenocortical carcinoma after transcatheter arterial chemoembolization: A case report</w:t>
      </w:r>
    </w:p>
    <w:p w14:paraId="07DCB0EA" w14:textId="77777777" w:rsidR="00445323" w:rsidRDefault="00445323">
      <w:pPr>
        <w:spacing w:line="360" w:lineRule="auto"/>
        <w:jc w:val="both"/>
        <w:rPr>
          <w:rFonts w:ascii="Book Antiqua" w:hAnsi="Book Antiqua"/>
        </w:rPr>
      </w:pPr>
    </w:p>
    <w:p w14:paraId="387BB229"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ZL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Acute adrenocortical dysfunction after TACE</w:t>
      </w:r>
    </w:p>
    <w:p w14:paraId="7C6EAEB9" w14:textId="77777777" w:rsidR="00445323" w:rsidRDefault="00445323">
      <w:pPr>
        <w:spacing w:line="360" w:lineRule="auto"/>
        <w:jc w:val="both"/>
        <w:rPr>
          <w:rFonts w:ascii="Book Antiqua" w:hAnsi="Book Antiqua"/>
        </w:rPr>
      </w:pPr>
    </w:p>
    <w:p w14:paraId="3D31FBA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Zhi-Long Wang, Xin Sun, Feng-Li Zhang, Ting Wang, Ping Li</w:t>
      </w:r>
    </w:p>
    <w:p w14:paraId="418EEBE3" w14:textId="77777777" w:rsidR="00445323" w:rsidRDefault="00445323">
      <w:pPr>
        <w:spacing w:line="360" w:lineRule="auto"/>
        <w:jc w:val="both"/>
        <w:rPr>
          <w:rFonts w:ascii="Book Antiqua" w:hAnsi="Book Antiqua"/>
        </w:rPr>
      </w:pPr>
    </w:p>
    <w:p w14:paraId="22FC373D" w14:textId="28C6A083"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Zhi-Long Wang, </w:t>
      </w:r>
      <w:r>
        <w:rPr>
          <w:rFonts w:ascii="Book Antiqua" w:hAnsi="Book Antiqua" w:cs="Book Antiqua" w:hint="eastAsia"/>
          <w:color w:val="000000"/>
          <w:lang w:eastAsia="zh-CN"/>
        </w:rPr>
        <w:t>G</w:t>
      </w:r>
      <w:r>
        <w:rPr>
          <w:rFonts w:ascii="Book Antiqua" w:eastAsia="Book Antiqua" w:hAnsi="Book Antiqua" w:cs="Book Antiqua"/>
          <w:color w:val="000000"/>
        </w:rPr>
        <w:t xml:space="preserve">raduate </w:t>
      </w:r>
      <w:r>
        <w:rPr>
          <w:rFonts w:ascii="Book Antiqua" w:hAnsi="Book Antiqua" w:cs="Book Antiqua" w:hint="eastAsia"/>
          <w:color w:val="000000"/>
          <w:lang w:eastAsia="zh-CN"/>
        </w:rPr>
        <w:t>S</w:t>
      </w:r>
      <w:r>
        <w:rPr>
          <w:rFonts w:ascii="Book Antiqua" w:eastAsia="Book Antiqua" w:hAnsi="Book Antiqua" w:cs="Book Antiqua"/>
          <w:color w:val="000000"/>
        </w:rPr>
        <w:t>chool, Anhui University of Chinese Medicine, Hefei 230038, Anhui Province, China</w:t>
      </w:r>
    </w:p>
    <w:p w14:paraId="40DFD57C" w14:textId="77777777" w:rsidR="00445323" w:rsidRDefault="00445323">
      <w:pPr>
        <w:spacing w:line="360" w:lineRule="auto"/>
        <w:jc w:val="both"/>
        <w:rPr>
          <w:rFonts w:ascii="Book Antiqua" w:hAnsi="Book Antiqua"/>
        </w:rPr>
      </w:pPr>
    </w:p>
    <w:p w14:paraId="660DC3F8"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Xin Sun, Feng-Li Zhang, Ting Wang, Ping Li,</w:t>
      </w:r>
      <w:r>
        <w:rPr>
          <w:rFonts w:ascii="Book Antiqua" w:eastAsia="Book Antiqua" w:hAnsi="Book Antiqua" w:cs="Book Antiqua"/>
          <w:color w:val="000000"/>
        </w:rPr>
        <w:t xml:space="preserve"> Department</w:t>
      </w:r>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of</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Chinese Integrative Medicine Oncology</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First Affiliated Hospital of Anhui Medical University, Hefei 230022, Anhui Province, China</w:t>
      </w:r>
    </w:p>
    <w:p w14:paraId="3923FDB3" w14:textId="77777777" w:rsidR="00445323" w:rsidRDefault="00445323">
      <w:pPr>
        <w:spacing w:line="360" w:lineRule="auto"/>
        <w:jc w:val="both"/>
        <w:rPr>
          <w:rFonts w:ascii="Book Antiqua" w:hAnsi="Book Antiqua"/>
        </w:rPr>
      </w:pPr>
    </w:p>
    <w:p w14:paraId="34C8987D" w14:textId="1258F884"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P </w:t>
      </w:r>
      <w:r w:rsidR="00B22363">
        <w:rPr>
          <w:rFonts w:ascii="Book Antiqua" w:eastAsia="Book Antiqua" w:hAnsi="Book Antiqua" w:cs="Book Antiqua"/>
          <w:color w:val="000000"/>
        </w:rPr>
        <w:t xml:space="preserve">helped </w:t>
      </w:r>
      <w:r>
        <w:rPr>
          <w:rFonts w:ascii="Book Antiqua" w:eastAsia="Book Antiqua" w:hAnsi="Book Antiqua" w:cs="Book Antiqua"/>
          <w:color w:val="000000"/>
        </w:rPr>
        <w:t>to</w:t>
      </w:r>
      <w:r w:rsidR="00B22363">
        <w:rPr>
          <w:rFonts w:ascii="Book Antiqua" w:eastAsia="Book Antiqua" w:hAnsi="Book Antiqua" w:cs="Book Antiqua"/>
          <w:color w:val="000000"/>
        </w:rPr>
        <w:t xml:space="preserve"> conceptualize the report</w:t>
      </w:r>
      <w:r>
        <w:rPr>
          <w:rFonts w:ascii="Book Antiqua" w:hAnsi="Book Antiqua" w:cs="Book Antiqua" w:hint="eastAsia"/>
          <w:color w:val="000000"/>
          <w:lang w:eastAsia="zh-CN"/>
        </w:rPr>
        <w:t>;</w:t>
      </w:r>
      <w:r>
        <w:rPr>
          <w:rFonts w:ascii="Book Antiqua" w:eastAsia="Book Antiqua" w:hAnsi="Book Antiqua" w:cs="Book Antiqua"/>
          <w:color w:val="000000"/>
        </w:rPr>
        <w:t xml:space="preserve"> Sun X, Zhang FL, and Wang T contribute</w:t>
      </w:r>
      <w:r w:rsidR="00B22363">
        <w:rPr>
          <w:rFonts w:ascii="Book Antiqua" w:eastAsia="Book Antiqua" w:hAnsi="Book Antiqua" w:cs="Book Antiqua"/>
          <w:color w:val="000000"/>
        </w:rPr>
        <w:t>d</w:t>
      </w:r>
      <w:r>
        <w:rPr>
          <w:rFonts w:ascii="Book Antiqua" w:eastAsia="Book Antiqua" w:hAnsi="Book Antiqua" w:cs="Book Antiqua"/>
          <w:color w:val="000000"/>
        </w:rPr>
        <w:t xml:space="preserve"> significantly to case studies, manuscript preparation, and discussion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Wang ZL conducted case analysis, manuscript preparation and discussion, and wrote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read and approved the final version of the manuscript.</w:t>
      </w:r>
    </w:p>
    <w:p w14:paraId="0E8ED2CC" w14:textId="77777777" w:rsidR="00445323" w:rsidRDefault="00445323">
      <w:pPr>
        <w:spacing w:line="360" w:lineRule="auto"/>
        <w:jc w:val="both"/>
        <w:rPr>
          <w:rFonts w:ascii="Book Antiqua" w:hAnsi="Book Antiqua"/>
        </w:rPr>
      </w:pPr>
    </w:p>
    <w:p w14:paraId="1839985B"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Corresponding author: Ping Li, MD, PhD, </w:t>
      </w:r>
      <w:r>
        <w:rPr>
          <w:rFonts w:ascii="Book Antiqua" w:eastAsia="Book Antiqua" w:hAnsi="Book Antiqua" w:cs="Book Antiqua"/>
          <w:b/>
          <w:bCs/>
        </w:rPr>
        <w:t xml:space="preserve">Chief Doctor, Professor, </w:t>
      </w:r>
      <w:r>
        <w:rPr>
          <w:rFonts w:ascii="Book Antiqua" w:eastAsia="Book Antiqua" w:hAnsi="Book Antiqua" w:cs="Book Antiqua"/>
          <w:color w:val="000000"/>
        </w:rPr>
        <w:t>Department</w:t>
      </w:r>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of</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Chinese Integrative Medicine Oncology</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First Affiliated Hospital of Anhui Medical University,</w:t>
      </w:r>
      <w:r>
        <w:rPr>
          <w:rFonts w:ascii="Book Antiqua" w:hAnsi="Book Antiqua" w:cs="Book Antiqua" w:hint="eastAsia"/>
          <w:color w:val="000000"/>
          <w:lang w:eastAsia="zh-CN"/>
        </w:rPr>
        <w:t xml:space="preserve"> No. </w:t>
      </w:r>
      <w:r>
        <w:rPr>
          <w:rFonts w:ascii="Book Antiqua" w:eastAsia="Book Antiqua" w:hAnsi="Book Antiqua" w:cs="Book Antiqua"/>
          <w:color w:val="000000"/>
        </w:rPr>
        <w:t>120 Wanshui Road, Hefei 230022, Anhui Province, China. 1964Liping@sina.com</w:t>
      </w:r>
    </w:p>
    <w:p w14:paraId="74969008" w14:textId="77777777" w:rsidR="00445323" w:rsidRDefault="00445323">
      <w:pPr>
        <w:spacing w:line="360" w:lineRule="auto"/>
        <w:jc w:val="both"/>
        <w:rPr>
          <w:rFonts w:ascii="Book Antiqua" w:hAnsi="Book Antiqua"/>
        </w:rPr>
      </w:pPr>
    </w:p>
    <w:p w14:paraId="4F206CDB"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28, 2021</w:t>
      </w:r>
    </w:p>
    <w:p w14:paraId="29FCE168" w14:textId="77777777" w:rsidR="00445323" w:rsidRDefault="005613FE">
      <w:pPr>
        <w:spacing w:line="360" w:lineRule="auto"/>
        <w:jc w:val="both"/>
        <w:rPr>
          <w:lang w:eastAsia="zh-CN"/>
        </w:rPr>
      </w:pPr>
      <w:r>
        <w:rPr>
          <w:rFonts w:ascii="Book Antiqua" w:eastAsia="Book Antiqua" w:hAnsi="Book Antiqua" w:cs="Book Antiqua"/>
          <w:b/>
          <w:bCs/>
          <w:color w:val="000000"/>
        </w:rPr>
        <w:lastRenderedPageBreak/>
        <w:t xml:space="preserve">Revised: </w:t>
      </w:r>
      <w:r>
        <w:rPr>
          <w:rFonts w:ascii="Book Antiqua" w:hAnsi="Book Antiqua"/>
          <w:color w:val="000000"/>
        </w:rPr>
        <w:t>May 26, 2021</w:t>
      </w:r>
    </w:p>
    <w:p w14:paraId="65601012" w14:textId="16706F80"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EA4BA4">
        <w:rPr>
          <w:rFonts w:ascii="Book Antiqua" w:eastAsia="宋体" w:hAnsi="Book Antiqua"/>
          <w:color w:val="000000" w:themeColor="text1"/>
        </w:rPr>
        <w:t>J</w:t>
      </w:r>
      <w:r w:rsidR="00EA4BA4">
        <w:rPr>
          <w:rFonts w:ascii="Book Antiqua" w:eastAsia="宋体" w:hAnsi="Book Antiqua" w:hint="eastAsia"/>
          <w:color w:val="000000" w:themeColor="text1"/>
        </w:rPr>
        <w:t>u</w:t>
      </w:r>
      <w:r w:rsidR="00EA4BA4">
        <w:rPr>
          <w:rFonts w:ascii="Book Antiqua" w:eastAsia="宋体" w:hAnsi="Book Antiqua"/>
          <w:color w:val="000000" w:themeColor="text1"/>
        </w:rPr>
        <w:t>ly</w:t>
      </w:r>
      <w:r w:rsidR="00EA4BA4" w:rsidRPr="00F06907">
        <w:rPr>
          <w:rFonts w:ascii="Book Antiqua" w:eastAsia="宋体" w:hAnsi="Book Antiqua"/>
          <w:color w:val="000000" w:themeColor="text1"/>
        </w:rPr>
        <w:t xml:space="preserve"> </w:t>
      </w:r>
      <w:r w:rsidR="00EA4BA4">
        <w:rPr>
          <w:rFonts w:ascii="Book Antiqua" w:eastAsia="宋体" w:hAnsi="Book Antiqua"/>
          <w:color w:val="000000" w:themeColor="text1"/>
        </w:rPr>
        <w:t>19</w:t>
      </w:r>
      <w:r w:rsidR="00EA4BA4" w:rsidRPr="00F06907">
        <w:rPr>
          <w:rFonts w:ascii="Book Antiqua" w:eastAsia="宋体" w:hAnsi="Book Antiqua"/>
          <w:color w:val="000000" w:themeColor="text1"/>
        </w:rPr>
        <w:t>, 2021</w:t>
      </w:r>
      <w:bookmarkEnd w:id="0"/>
      <w:bookmarkEnd w:id="1"/>
      <w:bookmarkEnd w:id="2"/>
    </w:p>
    <w:p w14:paraId="7706B511" w14:textId="77777777" w:rsidR="009411C3" w:rsidRPr="009411C3" w:rsidRDefault="005613FE" w:rsidP="009411C3">
      <w:pPr>
        <w:spacing w:line="360" w:lineRule="auto"/>
        <w:jc w:val="both"/>
        <w:rPr>
          <w:rFonts w:ascii="Book Antiqua" w:eastAsia="宋体" w:hAnsi="Book Antiqua"/>
          <w:color w:val="000000" w:themeColor="text1"/>
        </w:rPr>
      </w:pPr>
      <w:r>
        <w:rPr>
          <w:rFonts w:ascii="Book Antiqua" w:eastAsia="Book Antiqua" w:hAnsi="Book Antiqua" w:cs="Book Antiqua"/>
          <w:b/>
          <w:bCs/>
          <w:color w:val="000000"/>
        </w:rPr>
        <w:t xml:space="preserve">Published online: </w:t>
      </w:r>
      <w:r w:rsidR="009411C3" w:rsidRPr="009411C3">
        <w:rPr>
          <w:rFonts w:ascii="Book Antiqua" w:eastAsia="宋体" w:hAnsi="Book Antiqua"/>
          <w:color w:val="000000" w:themeColor="text1"/>
        </w:rPr>
        <w:t>September 16</w:t>
      </w:r>
      <w:r w:rsidR="009411C3" w:rsidRPr="00F06907">
        <w:rPr>
          <w:rFonts w:ascii="Book Antiqua" w:eastAsia="宋体" w:hAnsi="Book Antiqua"/>
          <w:color w:val="000000" w:themeColor="text1"/>
        </w:rPr>
        <w:t>, 2021</w:t>
      </w:r>
    </w:p>
    <w:p w14:paraId="361E605F" w14:textId="575D3C12" w:rsidR="00445323" w:rsidRDefault="00445323">
      <w:pPr>
        <w:spacing w:line="360" w:lineRule="auto"/>
        <w:jc w:val="both"/>
        <w:rPr>
          <w:rFonts w:ascii="Book Antiqua" w:hAnsi="Book Antiqua"/>
        </w:rPr>
        <w:sectPr w:rsidR="00445323">
          <w:footerReference w:type="default" r:id="rId7"/>
          <w:pgSz w:w="12240" w:h="15840"/>
          <w:pgMar w:top="1440" w:right="1440" w:bottom="1440" w:left="1440" w:header="720" w:footer="720" w:gutter="0"/>
          <w:cols w:space="720"/>
          <w:docGrid w:linePitch="360"/>
        </w:sectPr>
      </w:pPr>
    </w:p>
    <w:p w14:paraId="4663F574"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3CC2DEC"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BACKGROUND</w:t>
      </w:r>
    </w:p>
    <w:p w14:paraId="4B0A74D9"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Adrenocortical carcinoma (ACC) is a rare and highly invasive endocrine malignant tumor with a poor prognosis. Although surgical resection is the main treatment for ACC, postoperative recurrence and metastasis have become the important factors of death. Transcatheter arterial chemoembolization (TACE) is an important option for the treatment of advanced ACC with liver metastasis. However, due to the small number of patients treated for ACC, the safety of the operation is not completely clear and needs to be further studied.</w:t>
      </w:r>
    </w:p>
    <w:p w14:paraId="6B3198EC" w14:textId="77777777" w:rsidR="00445323" w:rsidRDefault="00445323">
      <w:pPr>
        <w:spacing w:line="360" w:lineRule="auto"/>
        <w:jc w:val="both"/>
        <w:rPr>
          <w:rFonts w:ascii="Book Antiqua" w:hAnsi="Book Antiqua"/>
        </w:rPr>
      </w:pPr>
    </w:p>
    <w:p w14:paraId="68C48BBF"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CASE SUMMARY</w:t>
      </w:r>
    </w:p>
    <w:p w14:paraId="5731FB86" w14:textId="7A42A7BB"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A 47-year-old patient with ACC after surgery was admitted for reexamination </w:t>
      </w:r>
      <w:r w:rsidR="00B22363">
        <w:rPr>
          <w:rFonts w:ascii="Book Antiqua" w:eastAsia="Book Antiqua" w:hAnsi="Book Antiqua" w:cs="Book Antiqua"/>
          <w:color w:val="000000"/>
        </w:rPr>
        <w:t xml:space="preserve">by </w:t>
      </w:r>
      <w:r>
        <w:rPr>
          <w:rFonts w:ascii="Book Antiqua" w:eastAsia="Book Antiqua" w:hAnsi="Book Antiqua" w:cs="Book Antiqua"/>
          <w:color w:val="000000"/>
        </w:rPr>
        <w:t>abdominal computerized tomography suggesting liver metastasis. Because the patient expressed reluctance to undergo surgery again, we treated her with TACE for the liver lesions. After treatment, symptoms of acute adrenal dysfunction such as decreased blood pressure, anorexia</w:t>
      </w:r>
      <w:r w:rsidR="00B22363">
        <w:rPr>
          <w:rFonts w:ascii="Book Antiqua" w:eastAsia="Book Antiqua" w:hAnsi="Book Antiqua" w:cs="Book Antiqua"/>
          <w:color w:val="000000"/>
        </w:rPr>
        <w:t>,</w:t>
      </w:r>
      <w:r>
        <w:rPr>
          <w:rFonts w:ascii="Book Antiqua" w:eastAsia="Book Antiqua" w:hAnsi="Book Antiqua" w:cs="Book Antiqua"/>
          <w:color w:val="000000"/>
        </w:rPr>
        <w:t xml:space="preserve"> and fatigue appeared, which were relieved after hydrocortisone treatment. To date, the patient's liver lesion is well controlled and no other metastases are observed.</w:t>
      </w:r>
    </w:p>
    <w:p w14:paraId="338B150E" w14:textId="77777777" w:rsidR="00445323" w:rsidRDefault="00445323">
      <w:pPr>
        <w:spacing w:line="360" w:lineRule="auto"/>
        <w:jc w:val="both"/>
        <w:rPr>
          <w:rFonts w:ascii="Book Antiqua" w:hAnsi="Book Antiqua"/>
        </w:rPr>
      </w:pPr>
    </w:p>
    <w:p w14:paraId="79B37799"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CONCLUSION</w:t>
      </w:r>
    </w:p>
    <w:p w14:paraId="75002DA7"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We report a rare case of acute adrenal hypofunction after TACE. Glucocorticoid supplementation can alleviate the symptoms.</w:t>
      </w:r>
    </w:p>
    <w:p w14:paraId="22E4504A" w14:textId="77777777" w:rsidR="00445323" w:rsidRDefault="00445323">
      <w:pPr>
        <w:spacing w:line="360" w:lineRule="auto"/>
        <w:jc w:val="both"/>
        <w:rPr>
          <w:rFonts w:ascii="Book Antiqua" w:hAnsi="Book Antiqua"/>
        </w:rPr>
      </w:pPr>
    </w:p>
    <w:p w14:paraId="2BE8DAA9"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Adrenocortical carcinoma</w:t>
      </w:r>
      <w:r>
        <w:rPr>
          <w:rFonts w:ascii="Book Antiqua" w:hAnsi="Book Antiqua" w:cs="Book Antiqua" w:hint="eastAsia"/>
          <w:color w:val="000000"/>
          <w:lang w:eastAsia="zh-CN"/>
        </w:rPr>
        <w:t>;</w:t>
      </w:r>
      <w:r>
        <w:rPr>
          <w:rFonts w:ascii="Book Antiqua" w:eastAsia="Book Antiqua" w:hAnsi="Book Antiqua" w:cs="Book Antiqua"/>
          <w:color w:val="000000"/>
        </w:rPr>
        <w:t xml:space="preserve"> Adrenocortical hypofunction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Transcatheter arterial chemoembolization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Liver metastasis</w:t>
      </w:r>
      <w:r>
        <w:rPr>
          <w:rFonts w:ascii="Book Antiqua" w:hAnsi="Book Antiqua" w:cs="Book Antiqua" w:hint="eastAsia"/>
          <w:color w:val="000000"/>
          <w:lang w:eastAsia="zh-CN"/>
        </w:rPr>
        <w:t>;</w:t>
      </w:r>
      <w:r>
        <w:rPr>
          <w:rFonts w:ascii="Book Antiqua" w:eastAsia="Book Antiqua" w:hAnsi="Book Antiqua" w:cs="Book Antiqua"/>
          <w:color w:val="000000"/>
        </w:rPr>
        <w:t xml:space="preserve"> Treatments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p>
    <w:p w14:paraId="7D8ECE06" w14:textId="77777777" w:rsidR="007C37ED" w:rsidRDefault="007C37ED" w:rsidP="007C37ED">
      <w:pPr>
        <w:spacing w:line="360" w:lineRule="auto"/>
        <w:jc w:val="both"/>
        <w:rPr>
          <w:lang w:eastAsia="zh-CN"/>
        </w:rPr>
      </w:pPr>
    </w:p>
    <w:p w14:paraId="6A82C7EB" w14:textId="77777777" w:rsidR="007C37ED" w:rsidRPr="00026CB8" w:rsidRDefault="007C37ED" w:rsidP="007C37E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63C796F" w14:textId="77777777" w:rsidR="007C37ED" w:rsidRPr="009C101B" w:rsidRDefault="007C37ED" w:rsidP="007C37ED">
      <w:pPr>
        <w:spacing w:line="360" w:lineRule="auto"/>
        <w:jc w:val="both"/>
        <w:rPr>
          <w:lang w:eastAsia="zh-CN"/>
        </w:rPr>
      </w:pPr>
    </w:p>
    <w:p w14:paraId="47F2332B" w14:textId="3F44ED82" w:rsidR="00B918BE" w:rsidRDefault="007C37ED" w:rsidP="007C37ED">
      <w:pPr>
        <w:adjustRightInd w:val="0"/>
        <w:snapToGrid w:val="0"/>
        <w:spacing w:line="360" w:lineRule="auto"/>
        <w:rPr>
          <w:rFonts w:ascii="Book Antiqua" w:eastAsia="Book Antiqua" w:hAnsi="Book Antiqua" w:cs="Book Antiqua"/>
          <w:lang w:val="pt-BR"/>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5613FE">
        <w:rPr>
          <w:rFonts w:ascii="Book Antiqua" w:eastAsia="Book Antiqua" w:hAnsi="Book Antiqua" w:cs="Book Antiqua"/>
          <w:color w:val="000000"/>
        </w:rPr>
        <w:t xml:space="preserve">Wang ZL, Sun X, Zhang FL, Wang T, Li P. Rare complication of acute adrenocortical dysfunction in adrenocortical carcinoma after transcatheter arterial chemoembolization: A case report. </w:t>
      </w:r>
      <w:r w:rsidR="005613FE">
        <w:rPr>
          <w:rFonts w:ascii="Book Antiqua" w:eastAsia="Book Antiqua" w:hAnsi="Book Antiqua" w:cs="Book Antiqua"/>
          <w:i/>
          <w:iCs/>
          <w:color w:val="000000"/>
        </w:rPr>
        <w:t>World J Clin Cases</w:t>
      </w:r>
      <w:r w:rsidR="005613FE">
        <w:rPr>
          <w:rFonts w:ascii="Book Antiqua" w:eastAsia="Book Antiqua" w:hAnsi="Book Antiqua" w:cs="Book Antiqua"/>
          <w:color w:val="000000"/>
        </w:rPr>
        <w:t xml:space="preserve"> </w:t>
      </w:r>
      <w:bookmarkStart w:id="3" w:name="_Hlk56867303"/>
      <w:r w:rsidR="00F30FE2" w:rsidRPr="00D2753A">
        <w:rPr>
          <w:rFonts w:ascii="Book Antiqua" w:eastAsia="Book Antiqua" w:hAnsi="Book Antiqua" w:cs="Book Antiqua"/>
          <w:lang w:val="pt-BR"/>
        </w:rPr>
        <w:t>2021; 9(</w:t>
      </w:r>
      <w:r w:rsidR="00F30FE2">
        <w:rPr>
          <w:rFonts w:ascii="Book Antiqua" w:eastAsia="Book Antiqua" w:hAnsi="Book Antiqua" w:cs="Book Antiqua"/>
          <w:lang w:val="pt-BR"/>
        </w:rPr>
        <w:t>26</w:t>
      </w:r>
      <w:r w:rsidR="00F30FE2" w:rsidRPr="00D2753A">
        <w:rPr>
          <w:rFonts w:ascii="Book Antiqua" w:eastAsia="Book Antiqua" w:hAnsi="Book Antiqua" w:cs="Book Antiqua"/>
          <w:lang w:val="pt-BR"/>
        </w:rPr>
        <w:t xml:space="preserve">): </w:t>
      </w:r>
      <w:r w:rsidR="00B918BE" w:rsidRPr="00B918BE">
        <w:rPr>
          <w:rFonts w:ascii="Book Antiqua" w:eastAsia="Book Antiqua" w:hAnsi="Book Antiqua" w:cs="Book Antiqua"/>
          <w:lang w:val="pt-BR"/>
        </w:rPr>
        <w:t>7937-7943</w:t>
      </w:r>
    </w:p>
    <w:p w14:paraId="278CB09F" w14:textId="246EECC6" w:rsidR="00B918BE" w:rsidRDefault="00F30FE2" w:rsidP="007C37ED">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 xml:space="preserve">URL: </w:t>
      </w:r>
      <w:hyperlink r:id="rId8" w:history="1">
        <w:r w:rsidR="00B918BE" w:rsidRPr="00041FCA">
          <w:rPr>
            <w:rStyle w:val="ae"/>
            <w:rFonts w:ascii="Book Antiqua" w:eastAsia="Book Antiqua" w:hAnsi="Book Antiqua" w:cs="Book Antiqua"/>
            <w:lang w:val="pt-BR"/>
          </w:rPr>
          <w:t>https://www.wjgnet.com/2307-8960/full/v9/i26/</w:t>
        </w:r>
        <w:r w:rsidR="00B918BE" w:rsidRPr="00B918BE">
          <w:rPr>
            <w:rFonts w:ascii="Book Antiqua" w:eastAsia="Book Antiqua" w:hAnsi="Book Antiqua" w:cs="Book Antiqua"/>
            <w:lang w:val="pt-BR"/>
          </w:rPr>
          <w:t>7937</w:t>
        </w:r>
        <w:r w:rsidR="00B918BE" w:rsidRPr="00041FCA">
          <w:rPr>
            <w:rStyle w:val="ae"/>
            <w:rFonts w:ascii="Book Antiqua" w:eastAsia="Book Antiqua" w:hAnsi="Book Antiqua" w:cs="Book Antiqua"/>
            <w:lang w:val="pt-BR"/>
          </w:rPr>
          <w:t>.htm</w:t>
        </w:r>
      </w:hyperlink>
      <w:r>
        <w:rPr>
          <w:rFonts w:ascii="Book Antiqua" w:eastAsia="Book Antiqua" w:hAnsi="Book Antiqua" w:cs="Book Antiqua"/>
          <w:lang w:val="pt-BR"/>
        </w:rPr>
        <w:t xml:space="preserve"> </w:t>
      </w:r>
    </w:p>
    <w:p w14:paraId="5E1C1C3C" w14:textId="2880E105" w:rsidR="00F30FE2" w:rsidRPr="00D2753A" w:rsidRDefault="00F30FE2" w:rsidP="007C37ED">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26</w:t>
      </w:r>
      <w:r w:rsidRPr="00D2753A">
        <w:rPr>
          <w:rFonts w:ascii="Book Antiqua" w:eastAsia="Book Antiqua" w:hAnsi="Book Antiqua" w:cs="Book Antiqua"/>
          <w:lang w:val="pt-BR"/>
        </w:rPr>
        <w:t>.</w:t>
      </w:r>
      <w:r w:rsidR="00B918BE" w:rsidRPr="00B918BE">
        <w:rPr>
          <w:rFonts w:ascii="Book Antiqua" w:eastAsia="Book Antiqua" w:hAnsi="Book Antiqua" w:cs="Book Antiqua"/>
          <w:lang w:val="pt-BR"/>
        </w:rPr>
        <w:t>7937</w:t>
      </w:r>
    </w:p>
    <w:bookmarkEnd w:id="3"/>
    <w:p w14:paraId="7356A035" w14:textId="777417A4" w:rsidR="00445323" w:rsidRPr="00F30FE2" w:rsidRDefault="00445323">
      <w:pPr>
        <w:spacing w:line="360" w:lineRule="auto"/>
        <w:jc w:val="both"/>
        <w:rPr>
          <w:rFonts w:ascii="Book Antiqua" w:hAnsi="Book Antiqua"/>
          <w:lang w:val="pt-BR"/>
        </w:rPr>
      </w:pPr>
    </w:p>
    <w:p w14:paraId="5D4CF548" w14:textId="661DD391"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It is a very rare</w:t>
      </w:r>
      <w:r w:rsidR="00B22363">
        <w:rPr>
          <w:rFonts w:ascii="Book Antiqua" w:eastAsia="Book Antiqua" w:hAnsi="Book Antiqua" w:cs="Book Antiqua"/>
          <w:color w:val="000000"/>
        </w:rPr>
        <w:t xml:space="preserve"> </w:t>
      </w:r>
      <w:r>
        <w:rPr>
          <w:rFonts w:ascii="Book Antiqua" w:eastAsia="Book Antiqua" w:hAnsi="Book Antiqua" w:cs="Book Antiqua"/>
          <w:color w:val="000000"/>
        </w:rPr>
        <w:t xml:space="preserve">that adrenocortical carcinoma (ACC) patients develop acute adrenal hypofunction after transcatheter arterial chemoembolization (TACE). Following current standards, glucocorticoid supplementation </w:t>
      </w:r>
      <w:r w:rsidR="00B22363">
        <w:rPr>
          <w:rFonts w:ascii="Book Antiqua" w:eastAsia="Book Antiqua" w:hAnsi="Book Antiqua" w:cs="Book Antiqua"/>
          <w:color w:val="000000"/>
        </w:rPr>
        <w:t xml:space="preserve">should be </w:t>
      </w:r>
      <w:r>
        <w:rPr>
          <w:rFonts w:ascii="Book Antiqua" w:eastAsia="Book Antiqua" w:hAnsi="Book Antiqua" w:cs="Book Antiqua"/>
          <w:color w:val="000000"/>
        </w:rPr>
        <w:t xml:space="preserve">used to alleviate the symptoms and </w:t>
      </w:r>
      <w:r w:rsidR="00B22363">
        <w:rPr>
          <w:rFonts w:ascii="Book Antiqua" w:eastAsia="Book Antiqua" w:hAnsi="Book Antiqua" w:cs="Book Antiqua"/>
          <w:color w:val="000000"/>
        </w:rPr>
        <w:t xml:space="preserve">help the patients </w:t>
      </w:r>
      <w:r>
        <w:rPr>
          <w:rFonts w:ascii="Book Antiqua" w:eastAsia="Book Antiqua" w:hAnsi="Book Antiqua" w:cs="Book Antiqua"/>
          <w:color w:val="000000"/>
        </w:rPr>
        <w:t xml:space="preserve">survive the high-risk period. More knowledge and reports on the postoperative complications of TACE can increase the safety of treatment. Here, we report </w:t>
      </w:r>
      <w:r w:rsidR="00B22363">
        <w:rPr>
          <w:rFonts w:ascii="Book Antiqua" w:eastAsia="Book Antiqua" w:hAnsi="Book Antiqua" w:cs="Book Antiqua"/>
          <w:color w:val="000000"/>
        </w:rPr>
        <w:t xml:space="preserve">the </w:t>
      </w:r>
      <w:r>
        <w:rPr>
          <w:rFonts w:ascii="Book Antiqua" w:eastAsia="Book Antiqua" w:hAnsi="Book Antiqua" w:cs="Book Antiqua"/>
          <w:color w:val="000000"/>
        </w:rPr>
        <w:t>case of an ACC patient with acute adrenal hypofunction after TACE.</w:t>
      </w:r>
    </w:p>
    <w:p w14:paraId="6C6AB7E0" w14:textId="77777777" w:rsidR="00445323" w:rsidRDefault="00445323">
      <w:pPr>
        <w:spacing w:line="360" w:lineRule="auto"/>
        <w:jc w:val="both"/>
        <w:rPr>
          <w:rFonts w:ascii="Book Antiqua" w:hAnsi="Book Antiqua"/>
        </w:rPr>
      </w:pPr>
    </w:p>
    <w:p w14:paraId="551CFBB8"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3F198AF" w14:textId="77777777" w:rsidR="00445323" w:rsidRDefault="005613FE">
      <w:pPr>
        <w:spacing w:line="360" w:lineRule="auto"/>
        <w:jc w:val="both"/>
        <w:rPr>
          <w:rFonts w:ascii="Book Antiqua" w:hAnsi="Book Antiqua"/>
          <w:lang w:eastAsia="zh-CN"/>
        </w:rPr>
      </w:pPr>
      <w:r>
        <w:rPr>
          <w:rFonts w:ascii="Book Antiqua" w:eastAsia="Book Antiqua" w:hAnsi="Book Antiqua" w:cs="Book Antiqua"/>
          <w:color w:val="000000"/>
        </w:rPr>
        <w:t xml:space="preserve">Adrenocortical carcinoma (ACC) is a very rare tumor found in 0.7–2.0 cases/million people </w:t>
      </w:r>
      <w:r w:rsidRPr="00A037A0">
        <w:rPr>
          <w:rFonts w:ascii="Book Antiqua" w:eastAsia="Book Antiqua" w:hAnsi="Book Antiqua" w:cs="Book Antiqua"/>
          <w:color w:val="000000"/>
        </w:rPr>
        <w:t>per</w:t>
      </w:r>
      <w:r>
        <w:rPr>
          <w:rFonts w:ascii="Book Antiqua" w:eastAsia="Book Antiqua" w:hAnsi="Book Antiqua" w:cs="Book Antiqua"/>
          <w:color w:val="000000"/>
        </w:rPr>
        <w:t xml:space="preserve"> year, amounting to approximately 0.02% of all malignant tumors</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The best treatment for ACC is still unclear. Although surgical resection of tumors is considered to be the most effective method, tumor recurrence or distant metastasis still occurs in 80% of surgical patients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treatment options for metastatic ACC are very limited. Although research on the molecular pathogenesis of ACC has made great progress, there have been no major advances in treatment. Systemic treatment is still dominated by mitotane monotherapy and platinum-based chemotherapy</w:t>
      </w:r>
      <w:r>
        <w:rPr>
          <w:rFonts w:ascii="Book Antiqua" w:eastAsia="Book Antiqua" w:hAnsi="Book Antiqua" w:cs="Book Antiqua"/>
          <w:color w:val="000000"/>
          <w:vertAlign w:val="superscript"/>
        </w:rPr>
        <w:t>[1,4]</w:t>
      </w:r>
      <w:r>
        <w:rPr>
          <w:rFonts w:ascii="Book Antiqua" w:eastAsia="Book Antiqua" w:hAnsi="Book Antiqua" w:cs="Book Antiqua"/>
          <w:color w:val="000000"/>
        </w:rPr>
        <w:t>. In the search for new treatment methods, local treatment of ACC has emerged. Transcatheter arterial chemoembolization (TACE) is one of the more active treatments for ACC with liver metastasis, but the postoperative efficacy and adverse reactions are still unclear. We report a 47-year-old woman diagnosed with ACC with liver metastases who developed the rare complication of acute adrenal hypofunction after TACE.</w:t>
      </w:r>
    </w:p>
    <w:p w14:paraId="767B5F6B" w14:textId="77777777" w:rsidR="00445323" w:rsidRDefault="00445323">
      <w:pPr>
        <w:spacing w:line="360" w:lineRule="auto"/>
        <w:jc w:val="both"/>
        <w:rPr>
          <w:rFonts w:ascii="Book Antiqua" w:hAnsi="Book Antiqua"/>
        </w:rPr>
      </w:pPr>
    </w:p>
    <w:p w14:paraId="760870A6"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CD675FC"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Chief complaints</w:t>
      </w:r>
    </w:p>
    <w:p w14:paraId="0A790AC2"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Acute adrenocortical dysfunction was observed after TACE.</w:t>
      </w:r>
    </w:p>
    <w:p w14:paraId="609E6F85" w14:textId="77777777" w:rsidR="00445323" w:rsidRDefault="00445323">
      <w:pPr>
        <w:spacing w:line="360" w:lineRule="auto"/>
        <w:jc w:val="both"/>
        <w:rPr>
          <w:rFonts w:ascii="Book Antiqua" w:hAnsi="Book Antiqua"/>
        </w:rPr>
      </w:pPr>
    </w:p>
    <w:p w14:paraId="39292040"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9C71668"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A 47-year-old ACC patient had liver metastases on examination 17 mo after adrenal resection. After that, she was admitted to our department for detailed medical treatment.</w:t>
      </w:r>
    </w:p>
    <w:p w14:paraId="65B387D8" w14:textId="77777777" w:rsidR="00445323" w:rsidRDefault="00445323">
      <w:pPr>
        <w:spacing w:line="360" w:lineRule="auto"/>
        <w:jc w:val="both"/>
        <w:rPr>
          <w:rFonts w:ascii="Book Antiqua" w:hAnsi="Book Antiqua"/>
        </w:rPr>
      </w:pPr>
    </w:p>
    <w:p w14:paraId="336F513F"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08CA751" w14:textId="214A5465"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According to her medical history, the patient underwent high-resolution computed tomography (CT) of the skull, chest, abdomen, and pelvis in May 2019, which indicated a large space occupying </w:t>
      </w:r>
      <w:r w:rsidR="000D258D">
        <w:rPr>
          <w:rFonts w:ascii="Book Antiqua" w:eastAsia="Book Antiqua" w:hAnsi="Book Antiqua" w:cs="Book Antiqua"/>
          <w:color w:val="000000"/>
        </w:rPr>
        <w:t xml:space="preserve">lesion in </w:t>
      </w:r>
      <w:r>
        <w:rPr>
          <w:rFonts w:ascii="Book Antiqua" w:eastAsia="Book Antiqua" w:hAnsi="Book Antiqua" w:cs="Book Antiqua"/>
          <w:color w:val="000000"/>
        </w:rPr>
        <w:t>the right adrenal gland with a vena cava tumor thrombus (Figure 1). No obvious masses were seen in the remaining parts. The patient underwent right adrenal 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vena cava </w:t>
      </w:r>
      <w:r w:rsidR="000D258D">
        <w:rPr>
          <w:rFonts w:ascii="Book Antiqua" w:eastAsia="Book Antiqua" w:hAnsi="Book Antiqua" w:cs="Book Antiqua"/>
          <w:color w:val="000000"/>
        </w:rPr>
        <w:t xml:space="preserve">and </w:t>
      </w:r>
      <w:r>
        <w:rPr>
          <w:rFonts w:ascii="Book Antiqua" w:eastAsia="Book Antiqua" w:hAnsi="Book Antiqua" w:cs="Book Antiqua"/>
          <w:color w:val="000000"/>
        </w:rPr>
        <w:t xml:space="preserve">right atrium tumor thrombus removal. </w:t>
      </w:r>
      <w:r>
        <w:rPr>
          <w:rFonts w:ascii="Book Antiqua" w:eastAsia="Book Antiqua" w:hAnsi="Book Antiqua" w:cs="Book Antiqua"/>
          <w:color w:val="000000"/>
        </w:rPr>
        <w:lastRenderedPageBreak/>
        <w:t>She was diagnosed with ACC given the above and her immunohistochemical parameters and postoperative pathology</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She had taken mitotane since the surgery for ACC. The patient came to our department's outpatient clinic 17 mo later, in September 2020. She presented hypertension with blood pressure fluctuations of 169-139/101-90 mmHg, adrenocorticotropic hormone (ACTH) </w:t>
      </w:r>
      <w:r w:rsidR="000D258D">
        <w:rPr>
          <w:rFonts w:ascii="Book Antiqua" w:eastAsia="Book Antiqua" w:hAnsi="Book Antiqua" w:cs="Book Antiqua"/>
          <w:color w:val="000000"/>
        </w:rPr>
        <w:t xml:space="preserve">of </w:t>
      </w:r>
      <w:r>
        <w:rPr>
          <w:rFonts w:ascii="Book Antiqua" w:eastAsia="Book Antiqua" w:hAnsi="Book Antiqua" w:cs="Book Antiqua"/>
          <w:color w:val="000000"/>
        </w:rPr>
        <w:t xml:space="preserve">36.4 pg/mL, and cortisol </w:t>
      </w:r>
      <w:r w:rsidR="000D258D">
        <w:rPr>
          <w:rFonts w:ascii="Book Antiqua" w:eastAsia="Book Antiqua" w:hAnsi="Book Antiqua" w:cs="Book Antiqua"/>
          <w:color w:val="000000"/>
        </w:rPr>
        <w:t xml:space="preserve">of </w:t>
      </w:r>
      <w:r>
        <w:rPr>
          <w:rFonts w:ascii="Book Antiqua" w:eastAsia="Book Antiqua" w:hAnsi="Book Antiqua" w:cs="Book Antiqua"/>
          <w:color w:val="000000"/>
        </w:rPr>
        <w:t>14.69 μg/dL. High-resolution CT scans of the chest, abdomen, and pelvis showed changes after adrenalectomy, but there was a dense, round, irregularly large mass of approximately 112.7</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w:t>
      </w:r>
      <w:r>
        <w:rPr>
          <w:rFonts w:ascii="Book Antiqua" w:hAnsi="Book Antiqua" w:cs="Book Antiqua"/>
          <w:b/>
          <w:bCs/>
          <w:color w:val="000000"/>
          <w:lang w:eastAsia="zh-CN"/>
        </w:rPr>
        <w:t xml:space="preserve"> </w:t>
      </w:r>
      <w:r>
        <w:rPr>
          <w:rFonts w:ascii="Book Antiqua" w:eastAsia="Book Antiqua" w:hAnsi="Book Antiqua" w:cs="Book Antiqua"/>
          <w:color w:val="000000"/>
        </w:rPr>
        <w:t>79.8 mm in the left lobe of the liver (Figure 2). This indicated that ACC recurrence was accompanied by liver metastasis, one of the most common metastatic sites of ACC</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3EFBA891" w14:textId="77777777" w:rsidR="00445323" w:rsidRDefault="00445323">
      <w:pPr>
        <w:spacing w:line="360" w:lineRule="auto"/>
        <w:jc w:val="both"/>
        <w:rPr>
          <w:rFonts w:ascii="Book Antiqua" w:hAnsi="Book Antiqua"/>
        </w:rPr>
      </w:pPr>
    </w:p>
    <w:p w14:paraId="577E89DB"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C7B85D4" w14:textId="7FE3887E" w:rsidR="00445323" w:rsidRDefault="005613FE">
      <w:pPr>
        <w:spacing w:line="360" w:lineRule="auto"/>
        <w:jc w:val="both"/>
        <w:rPr>
          <w:rFonts w:ascii="Book Antiqua" w:hAnsi="Book Antiqua"/>
        </w:rPr>
      </w:pPr>
      <w:r>
        <w:rPr>
          <w:rFonts w:ascii="Book Antiqua" w:eastAsia="Book Antiqua" w:hAnsi="Book Antiqua" w:cs="Book Antiqua"/>
          <w:color w:val="000000"/>
        </w:rPr>
        <w:t>The patient had previously undergone an adrenalectomy</w:t>
      </w:r>
      <w:r w:rsidR="000D258D">
        <w:rPr>
          <w:rFonts w:ascii="Book Antiqua" w:eastAsia="Book Antiqua" w:hAnsi="Book Antiqua" w:cs="Book Antiqua"/>
          <w:color w:val="000000"/>
        </w:rPr>
        <w:t xml:space="preserve"> and </w:t>
      </w:r>
      <w:r>
        <w:rPr>
          <w:rFonts w:ascii="Book Antiqua" w:eastAsia="Book Antiqua" w:hAnsi="Book Antiqua" w:cs="Book Antiqua"/>
          <w:color w:val="000000"/>
        </w:rPr>
        <w:t xml:space="preserve">received mitotane </w:t>
      </w:r>
      <w:r w:rsidR="000D258D">
        <w:rPr>
          <w:rFonts w:ascii="Book Antiqua" w:eastAsia="Book Antiqua" w:hAnsi="Book Antiqua" w:cs="Book Antiqua"/>
          <w:color w:val="000000"/>
        </w:rPr>
        <w:t>with</w:t>
      </w:r>
      <w:r>
        <w:rPr>
          <w:rFonts w:ascii="Book Antiqua" w:eastAsia="Book Antiqua" w:hAnsi="Book Antiqua" w:cs="Book Antiqua"/>
          <w:color w:val="000000"/>
        </w:rPr>
        <w:t xml:space="preserve"> no other treatment. Her family history was negative for a genetic disease or malignancy.</w:t>
      </w:r>
    </w:p>
    <w:p w14:paraId="19C9E5BE" w14:textId="77777777" w:rsidR="00445323" w:rsidRDefault="00445323">
      <w:pPr>
        <w:spacing w:line="360" w:lineRule="auto"/>
        <w:jc w:val="both"/>
        <w:rPr>
          <w:rFonts w:ascii="Book Antiqua" w:hAnsi="Book Antiqua"/>
        </w:rPr>
      </w:pPr>
    </w:p>
    <w:p w14:paraId="717F67B0"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Physical examination</w:t>
      </w:r>
    </w:p>
    <w:p w14:paraId="3FB9B795"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Physical examination showed no obvious abnormality. The abdomen was flat and soft without tenderness or rebound pain.</w:t>
      </w:r>
    </w:p>
    <w:p w14:paraId="52C4B7A7" w14:textId="77777777" w:rsidR="00445323" w:rsidRDefault="00445323">
      <w:pPr>
        <w:spacing w:line="360" w:lineRule="auto"/>
        <w:jc w:val="both"/>
        <w:rPr>
          <w:rFonts w:ascii="Book Antiqua" w:hAnsi="Book Antiqua"/>
        </w:rPr>
      </w:pPr>
    </w:p>
    <w:p w14:paraId="5FC66A6B"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9ED6229" w14:textId="2640AF46"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Laboratory tests, such as </w:t>
      </w:r>
      <w:r w:rsidR="000D258D">
        <w:rPr>
          <w:rFonts w:ascii="Book Antiqua" w:eastAsia="Book Antiqua" w:hAnsi="Book Antiqua" w:cs="Book Antiqua"/>
          <w:color w:val="000000"/>
        </w:rPr>
        <w:t xml:space="preserve">those </w:t>
      </w:r>
      <w:r>
        <w:rPr>
          <w:rFonts w:ascii="Book Antiqua" w:eastAsia="Book Antiqua" w:hAnsi="Book Antiqua" w:cs="Book Antiqua"/>
          <w:color w:val="000000"/>
        </w:rPr>
        <w:t>for neutrophils, C-reactive protein, and transaminases, ruled out liver damage and infection.</w:t>
      </w:r>
    </w:p>
    <w:p w14:paraId="02DBB031" w14:textId="77777777" w:rsidR="00445323" w:rsidRDefault="00445323">
      <w:pPr>
        <w:spacing w:line="360" w:lineRule="auto"/>
        <w:jc w:val="both"/>
        <w:rPr>
          <w:rFonts w:ascii="Book Antiqua" w:hAnsi="Book Antiqua"/>
        </w:rPr>
      </w:pPr>
    </w:p>
    <w:p w14:paraId="4102ED7D" w14:textId="77777777" w:rsidR="00445323" w:rsidRDefault="005613FE">
      <w:pPr>
        <w:spacing w:line="360" w:lineRule="auto"/>
        <w:jc w:val="both"/>
        <w:rPr>
          <w:rFonts w:ascii="Book Antiqua" w:hAnsi="Book Antiqua"/>
        </w:rPr>
      </w:pPr>
      <w:r>
        <w:rPr>
          <w:rFonts w:ascii="Book Antiqua" w:eastAsia="Book Antiqua" w:hAnsi="Book Antiqua" w:cs="Book Antiqua"/>
          <w:b/>
          <w:i/>
          <w:color w:val="000000"/>
        </w:rPr>
        <w:t>Imaging examinations</w:t>
      </w:r>
    </w:p>
    <w:p w14:paraId="285DBC44" w14:textId="56F84FF8"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After treatment, </w:t>
      </w:r>
      <w:r w:rsidR="000D258D">
        <w:rPr>
          <w:rFonts w:ascii="Book Antiqua" w:eastAsia="Book Antiqua" w:hAnsi="Book Antiqua" w:cs="Book Antiqua"/>
          <w:color w:val="000000"/>
        </w:rPr>
        <w:t xml:space="preserve">a </w:t>
      </w:r>
      <w:r>
        <w:rPr>
          <w:rFonts w:ascii="Book Antiqua" w:eastAsia="Book Antiqua" w:hAnsi="Book Antiqua" w:cs="Book Antiqua"/>
          <w:color w:val="000000"/>
        </w:rPr>
        <w:t xml:space="preserve">CT scan </w:t>
      </w:r>
      <w:r w:rsidR="000D258D">
        <w:rPr>
          <w:rFonts w:ascii="Book Antiqua" w:eastAsia="Book Antiqua" w:hAnsi="Book Antiqua" w:cs="Book Antiqua"/>
          <w:color w:val="000000"/>
        </w:rPr>
        <w:t xml:space="preserve">showed </w:t>
      </w:r>
      <w:r>
        <w:rPr>
          <w:rFonts w:ascii="Book Antiqua" w:eastAsia="Book Antiqua" w:hAnsi="Book Antiqua" w:cs="Book Antiqua"/>
          <w:color w:val="000000"/>
        </w:rPr>
        <w:t>a good uptake rate of lipiodol and honeycomb necrosis of liver tumor cells.</w:t>
      </w:r>
    </w:p>
    <w:p w14:paraId="2F0C3DBE" w14:textId="77777777" w:rsidR="00445323" w:rsidRDefault="00445323">
      <w:pPr>
        <w:spacing w:line="360" w:lineRule="auto"/>
        <w:jc w:val="both"/>
        <w:rPr>
          <w:rFonts w:ascii="Book Antiqua" w:hAnsi="Book Antiqua"/>
        </w:rPr>
      </w:pPr>
    </w:p>
    <w:p w14:paraId="03A96EFB"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6133534"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The final diagnosis was acute adrenal hypofunction after TACE.</w:t>
      </w:r>
    </w:p>
    <w:p w14:paraId="79ECD132" w14:textId="77777777" w:rsidR="00445323" w:rsidRDefault="00445323">
      <w:pPr>
        <w:spacing w:line="360" w:lineRule="auto"/>
        <w:jc w:val="both"/>
        <w:rPr>
          <w:rFonts w:ascii="Book Antiqua" w:hAnsi="Book Antiqua"/>
        </w:rPr>
      </w:pPr>
    </w:p>
    <w:p w14:paraId="0D226C0B"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C97A5A7" w14:textId="2010A935" w:rsidR="00445323" w:rsidRDefault="005613FE">
      <w:pPr>
        <w:spacing w:line="360" w:lineRule="auto"/>
        <w:jc w:val="both"/>
        <w:rPr>
          <w:rFonts w:ascii="Book Antiqua" w:hAnsi="Book Antiqua"/>
        </w:rPr>
      </w:pPr>
      <w:r>
        <w:rPr>
          <w:rFonts w:ascii="Book Antiqua" w:eastAsia="Book Antiqua" w:hAnsi="Book Antiqua" w:cs="Book Antiqua"/>
          <w:color w:val="000000"/>
        </w:rPr>
        <w:t>According to the Clinical Practice guidelines of the European Endocrine Society for the treatment of adult ACC, local treatment may be beneficial for patients with advanced ACC with metastasis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Because the patient expressed reluctance to undergo surgery again, we treated her with TACE for the liver lesions. We chose to puncture the right femoral artery, and </w:t>
      </w:r>
      <w:r w:rsidR="000D258D">
        <w:rPr>
          <w:rFonts w:ascii="Book Antiqua" w:eastAsia="Book Antiqua" w:hAnsi="Book Antiqua" w:cs="Book Antiqua"/>
          <w:color w:val="000000"/>
        </w:rPr>
        <w:t xml:space="preserve">a </w:t>
      </w:r>
      <w:r>
        <w:rPr>
          <w:rFonts w:ascii="Book Antiqua" w:eastAsia="Book Antiqua" w:hAnsi="Book Antiqua" w:cs="Book Antiqua"/>
          <w:color w:val="000000"/>
        </w:rPr>
        <w:t xml:space="preserve">5-F catheter sheath and </w:t>
      </w:r>
      <w:r w:rsidR="000D258D">
        <w:rPr>
          <w:rFonts w:ascii="Book Antiqua" w:eastAsia="Book Antiqua" w:hAnsi="Book Antiqua" w:cs="Book Antiqua"/>
          <w:color w:val="000000"/>
        </w:rPr>
        <w:t xml:space="preserve">a </w:t>
      </w:r>
      <w:r>
        <w:rPr>
          <w:rFonts w:ascii="Book Antiqua" w:eastAsia="Book Antiqua" w:hAnsi="Book Antiqua" w:cs="Book Antiqua"/>
          <w:color w:val="000000"/>
        </w:rPr>
        <w:t>5-F RH catheter were inserted successively. The catheter head was inserted into the celiac artery for digital subtraction angiography imaging. A lightly stained large tumor was seen in the left lobe of the liver, and the left hepatic artery participated in the blood supply of the tumor. A microcatheter was used to superselect the blood supply artery of the left hepatic artery tumor. A mixed emulsion of 60 mg cisplatin + 10 mL iodized oil was injected, and an appropriate amount of 560 μm gelatin sponge particles was used to reinforce the embolism. The second imaging showed that lipiodol deposition was acceptable and that the blood supply artery of the tumor was blocked (Figure 3). After the operation, anti-infection, liver protection, fluid infusion</w:t>
      </w:r>
      <w:r w:rsidR="000D258D">
        <w:rPr>
          <w:rFonts w:ascii="Book Antiqua" w:eastAsia="Book Antiqua" w:hAnsi="Book Antiqua" w:cs="Book Antiqua"/>
          <w:color w:val="000000"/>
        </w:rPr>
        <w:t>,</w:t>
      </w:r>
      <w:r>
        <w:rPr>
          <w:rFonts w:ascii="Book Antiqua" w:eastAsia="Book Antiqua" w:hAnsi="Book Antiqua" w:cs="Book Antiqua"/>
          <w:color w:val="000000"/>
        </w:rPr>
        <w:t xml:space="preserve"> and other symptomatic treatments were administered. On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patient developed symptoms such as fatigue, anorexia, fever, morning blood pressure 77/41 mmHg, heart rate 80 beats/min, hemoglobin 105 g/dL, serum potassium 2.56 mmol/L, serum sodium 123.8 mmol/L, </w:t>
      </w:r>
      <w:r w:rsidR="000D258D">
        <w:rPr>
          <w:rFonts w:ascii="Book Antiqua" w:eastAsia="Book Antiqua" w:hAnsi="Book Antiqua" w:cs="Book Antiqua"/>
          <w:color w:val="000000"/>
        </w:rPr>
        <w:t xml:space="preserve">and </w:t>
      </w:r>
      <w:r>
        <w:rPr>
          <w:rFonts w:ascii="Book Antiqua" w:eastAsia="Book Antiqua" w:hAnsi="Book Antiqua" w:cs="Book Antiqua"/>
          <w:color w:val="000000"/>
        </w:rPr>
        <w:t>C-reactive protein 219.80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μg/L, which we considered indicative of embolism syndrome. Symptomatic treatment, such as fluid rehydration, dopaminergic elevation of blood pressure, </w:t>
      </w:r>
      <w:r w:rsidR="000D258D">
        <w:rPr>
          <w:rFonts w:ascii="Book Antiqua" w:eastAsia="Book Antiqua" w:hAnsi="Book Antiqua" w:cs="Book Antiqua"/>
          <w:color w:val="000000"/>
        </w:rPr>
        <w:t xml:space="preserve">and </w:t>
      </w:r>
      <w:r>
        <w:rPr>
          <w:rFonts w:ascii="Book Antiqua" w:eastAsia="Book Antiqua" w:hAnsi="Book Antiqua" w:cs="Book Antiqua"/>
          <w:color w:val="000000"/>
        </w:rPr>
        <w:t>electrolyte balance correction,</w:t>
      </w:r>
      <w:r w:rsidR="000D258D">
        <w:rPr>
          <w:rFonts w:ascii="Book Antiqua" w:eastAsia="Book Antiqua" w:hAnsi="Book Antiqua" w:cs="Book Antiqua"/>
          <w:i/>
          <w:iCs/>
          <w:color w:val="000000"/>
        </w:rPr>
        <w:t xml:space="preserve"> </w:t>
      </w:r>
      <w:r>
        <w:rPr>
          <w:rFonts w:ascii="Book Antiqua" w:eastAsia="Book Antiqua" w:hAnsi="Book Antiqua" w:cs="Book Antiqua"/>
          <w:color w:val="000000"/>
        </w:rPr>
        <w:t>was performed, but her condition did not improve significantly, and her blood pressure was maintained at approximately 105/90 mmHg. The hormone levels were ACTH 298.54 pg/mL and cortisol &lt; 0.1 μg/dL. We believed</w:t>
      </w:r>
      <w:r w:rsidR="000D258D">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this was caused by hypoadrenal function, so we administered a hydrocortisone 100 mg intravenous drip once daily.</w:t>
      </w:r>
    </w:p>
    <w:p w14:paraId="60BAF8B1" w14:textId="77777777" w:rsidR="00445323" w:rsidRDefault="00445323">
      <w:pPr>
        <w:spacing w:line="360" w:lineRule="auto"/>
        <w:jc w:val="both"/>
        <w:rPr>
          <w:rFonts w:ascii="Book Antiqua" w:hAnsi="Book Antiqua"/>
        </w:rPr>
      </w:pPr>
    </w:p>
    <w:p w14:paraId="7FE39668"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90E1A8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lastRenderedPageBreak/>
        <w:t>After the operation, the patient's condition was stable, and her blood pressure remained at 136-120/95-82 mmHg. Re-examination of CT showed a good percentage of lipiodol uptake, and she was discharged from the hospital (Figure 4).</w:t>
      </w:r>
    </w:p>
    <w:p w14:paraId="0D1B911F" w14:textId="77777777" w:rsidR="00445323" w:rsidRDefault="00445323">
      <w:pPr>
        <w:spacing w:line="360" w:lineRule="auto"/>
        <w:jc w:val="both"/>
        <w:rPr>
          <w:rFonts w:ascii="Book Antiqua" w:hAnsi="Book Antiqua"/>
        </w:rPr>
      </w:pPr>
    </w:p>
    <w:p w14:paraId="759B05F6"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74094F1" w14:textId="3A381AD0" w:rsidR="00445323" w:rsidRDefault="005613F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ACC is a rare form of aggressive malignancy with limited treatment options and a poor prognosis. Currently, the 5-year overall survival rate of metastatic ACC is expected to be less than 15%</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Treatments for ACC are still being explored. The preferred systemic treatment is mitotane alone, the combination </w:t>
      </w:r>
      <w:r>
        <w:rPr>
          <w:rFonts w:ascii="Book Antiqua" w:eastAsia="Book Antiqua" w:hAnsi="Book Antiqua" w:cs="Book Antiqua" w:hint="eastAsia"/>
          <w:color w:val="000000"/>
        </w:rPr>
        <w:t>e</w:t>
      </w:r>
      <w:r>
        <w:rPr>
          <w:rFonts w:ascii="Book Antiqua" w:eastAsia="Book Antiqua" w:hAnsi="Book Antiqua" w:cs="Book Antiqua"/>
          <w:color w:val="000000"/>
        </w:rPr>
        <w:t>toposide, doxorubicin</w:t>
      </w:r>
      <w:r w:rsidR="00DB34AE">
        <w:rPr>
          <w:rFonts w:ascii="Book Antiqua" w:eastAsia="Book Antiqua" w:hAnsi="Book Antiqua" w:cs="Book Antiqua"/>
          <w:color w:val="000000"/>
        </w:rPr>
        <w:t>,</w:t>
      </w:r>
      <w:r>
        <w:rPr>
          <w:rFonts w:ascii="Book Antiqua" w:eastAsia="Book Antiqua" w:hAnsi="Book Antiqua" w:cs="Book Antiqua"/>
          <w:color w:val="000000"/>
        </w:rPr>
        <w:t xml:space="preserve"> and cisplatin plus oral mitotane (EDP-M), or platinum-based chemotherapy, but the efficacy is not good. In recent years, re</w:t>
      </w:r>
      <w:r w:rsidR="00DB34AE">
        <w:rPr>
          <w:rFonts w:ascii="Book Antiqua" w:eastAsia="Book Antiqua" w:hAnsi="Book Antiqua" w:cs="Book Antiqua"/>
          <w:color w:val="000000"/>
        </w:rPr>
        <w:t>-</w:t>
      </w:r>
      <w:r>
        <w:rPr>
          <w:rFonts w:ascii="Book Antiqua" w:eastAsia="Book Antiqua" w:hAnsi="Book Antiqua" w:cs="Book Antiqua"/>
          <w:color w:val="000000"/>
        </w:rPr>
        <w:t>surgical resection and local treatment have been advocated for the treatment of metastatic ACC. Radiofrequency ablation, TACE</w:t>
      </w:r>
      <w:r w:rsidR="00DB34AE">
        <w:rPr>
          <w:rFonts w:ascii="Book Antiqua" w:eastAsia="Book Antiqua" w:hAnsi="Book Antiqua" w:cs="Book Antiqua"/>
          <w:color w:val="000000"/>
        </w:rPr>
        <w:t>,</w:t>
      </w:r>
      <w:r>
        <w:rPr>
          <w:rFonts w:ascii="Book Antiqua" w:eastAsia="Book Antiqua" w:hAnsi="Book Antiqua" w:cs="Book Antiqua"/>
          <w:color w:val="000000"/>
        </w:rPr>
        <w:t xml:space="preserve"> and other methods are often used for local treatment to reduce the burden of local tumors</w:t>
      </w:r>
      <w:r>
        <w:rPr>
          <w:rFonts w:ascii="Book Antiqua" w:eastAsia="Book Antiqua" w:hAnsi="Book Antiqua" w:cs="Book Antiqua"/>
          <w:color w:val="000000"/>
          <w:vertAlign w:val="superscript"/>
        </w:rPr>
        <w:t>[9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Cazejust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treated 29 patients with ACC with liver metastases by TACE. The median time to progression was 9 mo, and the median survival time was 11 mo after the first procedure. This compares favorably to a median progression time of 5.0 mo</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for EDP-M combined with mitotane and 5.5 mo</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for erlotinib/gemcitabine combined. Other comparisons, such as against the maximum progression-free time of 4 mo for irinotecan-based chemotherapy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and the median progression-free time of 5.3 mo for gemcitabine-based chemotherapy</w:t>
      </w:r>
      <w:r>
        <w:rPr>
          <w:rFonts w:ascii="Book Antiqua" w:eastAsia="Book Antiqua" w:hAnsi="Book Antiqua" w:cs="Book Antiqua"/>
          <w:color w:val="000000"/>
          <w:vertAlign w:val="superscript"/>
        </w:rPr>
        <w:t>[13]</w:t>
      </w:r>
      <w:r>
        <w:rPr>
          <w:rFonts w:ascii="Book Antiqua" w:eastAsia="Book Antiqua" w:hAnsi="Book Antiqua" w:cs="Book Antiqua"/>
          <w:color w:val="000000"/>
        </w:rPr>
        <w:t>, are also favorable. In terms of toxicity, the symptoms are controlled nausea, vomiting, fever</w:t>
      </w:r>
      <w:r w:rsidR="00DB34AE">
        <w:rPr>
          <w:rFonts w:ascii="Book Antiqua" w:eastAsia="Book Antiqua" w:hAnsi="Book Antiqua" w:cs="Book Antiqua"/>
          <w:color w:val="000000"/>
        </w:rPr>
        <w:t>,</w:t>
      </w:r>
      <w:r>
        <w:rPr>
          <w:rFonts w:ascii="Book Antiqua" w:eastAsia="Book Antiqua" w:hAnsi="Book Antiqua" w:cs="Book Antiqua"/>
          <w:color w:val="000000"/>
        </w:rPr>
        <w:t xml:space="preserve"> and abdominal pain, which can be relieved after symptomatic treatment. Hepatotoxicity occurs in 69% of patients</w:t>
      </w:r>
      <w:r w:rsidR="00DB34AE">
        <w:rPr>
          <w:rFonts w:ascii="Book Antiqua" w:eastAsia="Book Antiqua" w:hAnsi="Book Antiqua" w:cs="Book Antiqua"/>
          <w:color w:val="000000"/>
        </w:rPr>
        <w:t xml:space="preserve"> (</w:t>
      </w:r>
      <w:r>
        <w:rPr>
          <w:rFonts w:ascii="Book Antiqua" w:eastAsia="Book Antiqua" w:hAnsi="Book Antiqua" w:cs="Book Antiqua"/>
          <w:color w:val="000000"/>
        </w:rPr>
        <w:t>grade 3 or higher in 7%</w:t>
      </w:r>
      <w:r w:rsidR="00DB34AE">
        <w:rPr>
          <w:rFonts w:ascii="Book Antiqua" w:eastAsia="Book Antiqua" w:hAnsi="Book Antiqua" w:cs="Book Antiqua"/>
          <w:color w:val="000000"/>
        </w:rPr>
        <w:t>)</w:t>
      </w:r>
      <w:r>
        <w:rPr>
          <w:rFonts w:ascii="Book Antiqua" w:eastAsia="Book Antiqua" w:hAnsi="Book Antiqua" w:cs="Book Antiqua"/>
          <w:color w:val="000000"/>
        </w:rPr>
        <w:t>. None of these are major life-threatening complications, suggesting that TACE is a relatively safe treatment.</w:t>
      </w:r>
    </w:p>
    <w:p w14:paraId="639ED503" w14:textId="77777777" w:rsidR="00445323" w:rsidRDefault="005613FE">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Considering that the current patient was unwilling to undergo surgery again, we chose TACE to reduce the tumor burden. As previously reported, TACE is highly safe, but there are exceptions. As far as we know, adrenal hypofunction is a very rare phenomenon after TACE, as it has not been reported so far. Adrenal hypofunction often occurs after adrenal gland removal, and related studies have shown that over 23% of </w:t>
      </w:r>
      <w:r>
        <w:rPr>
          <w:rFonts w:ascii="Book Antiqua" w:eastAsia="Book Antiqua" w:hAnsi="Book Antiqua" w:cs="Book Antiqua"/>
          <w:color w:val="000000"/>
        </w:rPr>
        <w:lastRenderedPageBreak/>
        <w:t>patients with adrenal tumor resection have acute adrenal hypofunction</w:t>
      </w:r>
      <w:r>
        <w:rPr>
          <w:rFonts w:ascii="Book Antiqua" w:eastAsia="Book Antiqua" w:hAnsi="Book Antiqua" w:cs="Book Antiqua"/>
          <w:color w:val="000000"/>
          <w:vertAlign w:val="superscript"/>
        </w:rPr>
        <w:t>[7,14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Although adrenal cortical cancer is divided into functional and nonfunctional, both types of ACC may cause acute adrenal hypofunction. Functional ACC inhibits the hypothalamus-pituitary-adrenal axis through higher-than-normal levels of cortisol, which reduce the synthesis and secretion of ACTH. Therefore, removal of the diseased adrenal gland will lead to a drastic reduction in blood cortisol and cause acute adrenal dysfunction. Nonfunctional ACC is different in that normal adrenal tissue is removed at the same time as the adrenal gland, which may leave insufficient time for adrenal hormone supplementation and decreased acute adrenal dysfunction.</w:t>
      </w:r>
      <w:r>
        <w:rPr>
          <w:rFonts w:ascii="Book Antiqua" w:hAnsi="Book Antiqua" w:cs="Book Antiqua" w:hint="eastAsia"/>
          <w:color w:val="000000"/>
          <w:lang w:eastAsia="zh-CN"/>
        </w:rPr>
        <w:t xml:space="preserve"> </w:t>
      </w:r>
    </w:p>
    <w:p w14:paraId="5F5ED0C5" w14:textId="77777777" w:rsidR="00445323" w:rsidRDefault="005613FE">
      <w:pPr>
        <w:spacing w:line="360" w:lineRule="auto"/>
        <w:ind w:firstLineChars="200" w:firstLine="480"/>
        <w:jc w:val="both"/>
        <w:rPr>
          <w:rFonts w:ascii="Book Antiqua" w:hAnsi="Book Antiqua"/>
        </w:rPr>
      </w:pPr>
      <w:r>
        <w:rPr>
          <w:rFonts w:ascii="Book Antiqua" w:eastAsia="Book Antiqua" w:hAnsi="Book Antiqua" w:cs="Book Antiqua"/>
          <w:color w:val="000000"/>
        </w:rPr>
        <w:t>The patient in this case had functional ACC, and the liver metastasis was also characterized by secretion of adrenal hormones, so the patient had a high cortisol level. A large number of tumor cells showed honeycombed necrosis in the liver lesions after TACE, which caused a sharp decrease in the originally high hormone levels and the occurrence of acute adrenal dysfunction. We considered that the large percentage of lipiodol uptake caused by this treatment resulted in a large area of tumor cell necrosis, which was closely related to the good therapeutic effect. This is in line with a previous conclusion</w:t>
      </w:r>
      <w:r>
        <w:rPr>
          <w:rFonts w:ascii="Book Antiqua" w:eastAsia="Book Antiqua" w:hAnsi="Book Antiqua" w:cs="Book Antiqua"/>
          <w:color w:val="000000"/>
          <w:vertAlign w:val="superscript"/>
        </w:rPr>
        <w:t>[11]</w:t>
      </w:r>
      <w:r>
        <w:rPr>
          <w:rFonts w:ascii="Book Antiqua" w:eastAsia="Book Antiqua" w:hAnsi="Book Antiqua" w:cs="Book Antiqua"/>
          <w:color w:val="000000"/>
        </w:rPr>
        <w:t>. For the life-threatening complication of adrenal hypofunction, we can refer to the guidelines to supplement adrenal cortex hormones</w:t>
      </w:r>
      <w:r>
        <w:rPr>
          <w:rFonts w:ascii="Book Antiqua" w:eastAsia="Book Antiqua" w:hAnsi="Book Antiqua" w:cs="Book Antiqua"/>
          <w:color w:val="000000"/>
          <w:vertAlign w:val="superscript"/>
        </w:rPr>
        <w:t>[7]</w:t>
      </w:r>
      <w:r>
        <w:rPr>
          <w:rFonts w:ascii="Book Antiqua" w:eastAsia="Book Antiqua" w:hAnsi="Book Antiqua" w:cs="Book Antiqua"/>
          <w:color w:val="000000"/>
        </w:rPr>
        <w:t>, which can effectively relieve symptoms. We suggest that ACC patients monitor changes in hormone levels after TACE and be alert to the complication.</w:t>
      </w:r>
    </w:p>
    <w:p w14:paraId="537BF8FF" w14:textId="77777777" w:rsidR="00445323" w:rsidRDefault="00445323">
      <w:pPr>
        <w:spacing w:line="360" w:lineRule="auto"/>
        <w:jc w:val="both"/>
        <w:rPr>
          <w:rFonts w:ascii="Book Antiqua" w:hAnsi="Book Antiqua"/>
        </w:rPr>
      </w:pPr>
    </w:p>
    <w:p w14:paraId="560C29E6" w14:textId="77777777" w:rsidR="00445323" w:rsidRDefault="005613F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BB03F89"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We report a case of ACC with a rare complication of acute adrenal hypofunction after TACE. The symptoms of this case were relieved by supplementing with hydrocortisone. It is important to re-examine hormone levels in ACC patients after TACE.</w:t>
      </w:r>
    </w:p>
    <w:p w14:paraId="23824296" w14:textId="77777777" w:rsidR="00445323" w:rsidRDefault="00445323">
      <w:pPr>
        <w:spacing w:line="360" w:lineRule="auto"/>
        <w:jc w:val="both"/>
        <w:rPr>
          <w:rFonts w:ascii="Book Antiqua" w:hAnsi="Book Antiqua"/>
        </w:rPr>
      </w:pPr>
    </w:p>
    <w:p w14:paraId="574149D6"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REFERENCES</w:t>
      </w:r>
    </w:p>
    <w:p w14:paraId="7EBA6C4F" w14:textId="77777777" w:rsidR="00445323" w:rsidRDefault="005613FE">
      <w:pPr>
        <w:spacing w:line="360" w:lineRule="auto"/>
        <w:jc w:val="both"/>
        <w:rPr>
          <w:rFonts w:ascii="Book Antiqua" w:hAnsi="Book Antiqua"/>
        </w:rPr>
      </w:pPr>
      <w:bookmarkStart w:id="4" w:name="OLE_LINK19"/>
      <w:r>
        <w:rPr>
          <w:rFonts w:ascii="Book Antiqua" w:eastAsia="Book Antiqua" w:hAnsi="Book Antiqua" w:cs="Book Antiqua"/>
          <w:color w:val="000000"/>
        </w:rPr>
        <w:t xml:space="preserve">1 </w:t>
      </w:r>
      <w:r>
        <w:rPr>
          <w:rFonts w:ascii="Book Antiqua" w:eastAsia="Book Antiqua" w:hAnsi="Book Antiqua" w:cs="Book Antiqua"/>
          <w:b/>
          <w:bCs/>
          <w:color w:val="000000"/>
        </w:rPr>
        <w:t>Fassnacht M</w:t>
      </w:r>
      <w:r>
        <w:rPr>
          <w:rFonts w:ascii="Book Antiqua" w:eastAsia="Book Antiqua" w:hAnsi="Book Antiqua" w:cs="Book Antiqua"/>
          <w:color w:val="000000"/>
        </w:rPr>
        <w:t xml:space="preserve">, Terzolo M, Allolio B, Baudin E, Haak H, Berruti A, Welin S, Schade-Brittinger C, Lacroix A, Jarzab B, Sorbye H, Torpy DJ, Stepan V, Schteingart DE, Arlt W, </w:t>
      </w:r>
      <w:r>
        <w:rPr>
          <w:rFonts w:ascii="Book Antiqua" w:eastAsia="Book Antiqua" w:hAnsi="Book Antiqua" w:cs="Book Antiqua"/>
          <w:color w:val="000000"/>
        </w:rPr>
        <w:lastRenderedPageBreak/>
        <w:t xml:space="preserve">Kroiss M, Leboulleux S, Sperone P, Sundin A, Hermsen I, Hahner S, Willenberg HS, Tabarin A, Quinkler M, de la Fouchardière C, Schlumberger M, Mantero F, Weismann D, Beuschlein F, Gelderblom H, Wilmink H, Sender M, Edgerly M, Kenn W, Fojo T, Müller HH, Skogseid B; FIRM-ACT Study Group. Combination chemotherapy in advanced adrenocortical carcinoma.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2189-2197 [PMID: 22551107 DOI: 10.1056/NEJMoa1200966]</w:t>
      </w:r>
    </w:p>
    <w:p w14:paraId="50D9FD2C"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Else T</w:t>
      </w:r>
      <w:r>
        <w:rPr>
          <w:rFonts w:ascii="Book Antiqua" w:eastAsia="Book Antiqua" w:hAnsi="Book Antiqua" w:cs="Book Antiqua"/>
          <w:color w:val="000000"/>
        </w:rPr>
        <w:t xml:space="preserve">, Kim AC, Sabolch A, Raymond VM, Kandathil A, Caoili EM, Jolly S, Miller BS, Giordano TJ, Hammer GD. Adrenocortical carcinoma. </w:t>
      </w:r>
      <w:r>
        <w:rPr>
          <w:rFonts w:ascii="Book Antiqua" w:eastAsia="Book Antiqua" w:hAnsi="Book Antiqua" w:cs="Book Antiqua"/>
          <w:i/>
          <w:iCs/>
          <w:color w:val="000000"/>
        </w:rPr>
        <w:t>Endocr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282-326 [PMID: 24423978 DOI: 10.1210/er.2013-1029]</w:t>
      </w:r>
    </w:p>
    <w:p w14:paraId="55D25F2B"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Fay AP</w:t>
      </w:r>
      <w:r>
        <w:rPr>
          <w:rFonts w:ascii="Book Antiqua" w:eastAsia="Book Antiqua" w:hAnsi="Book Antiqua" w:cs="Book Antiqua"/>
          <w:color w:val="000000"/>
        </w:rPr>
        <w:t xml:space="preserve">, Elfiky A, Teló GH, McKay RR, Kaymakcalan M, Nguyen PL, Vaidya A, Ruan DT, Bellmunt J, Choueiri TK. Adrenocortical carcinoma: the management of metastatic disease. </w:t>
      </w:r>
      <w:r>
        <w:rPr>
          <w:rFonts w:ascii="Book Antiqua" w:eastAsia="Book Antiqua" w:hAnsi="Book Antiqua" w:cs="Book Antiqua"/>
          <w:i/>
          <w:iCs/>
          <w:color w:val="000000"/>
        </w:rPr>
        <w:t>Crit Rev Oncol Hematol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92</w:t>
      </w:r>
      <w:r>
        <w:rPr>
          <w:rFonts w:ascii="Book Antiqua" w:eastAsia="Book Antiqua" w:hAnsi="Book Antiqua" w:cs="Book Antiqua"/>
          <w:color w:val="000000"/>
        </w:rPr>
        <w:t>: 123-132 [PMID: 24958272 DOI: 10.1016/j.critrevonc.2014.05.009]</w:t>
      </w:r>
    </w:p>
    <w:p w14:paraId="0299DAD4"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Megerle F</w:t>
      </w:r>
      <w:r>
        <w:rPr>
          <w:rFonts w:ascii="Book Antiqua" w:eastAsia="Book Antiqua" w:hAnsi="Book Antiqua" w:cs="Book Antiqua"/>
          <w:color w:val="000000"/>
        </w:rPr>
        <w:t xml:space="preserve">, Herrmann W, Schloetelburg W, Ronchi CL, Pulzer A, Quinkler M, Beuschlein F, Hahner S, Kroiss M, Fassnacht M; German ACC Study Group. Mitotane Monotherapy in Patients With Advanced Adrenocortical Carcinoma.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2018; </w:t>
      </w:r>
      <w:r>
        <w:rPr>
          <w:rFonts w:ascii="Book Antiqua" w:eastAsia="Book Antiqua" w:hAnsi="Book Antiqua" w:cs="Book Antiqua"/>
          <w:b/>
          <w:bCs/>
          <w:color w:val="000000"/>
        </w:rPr>
        <w:t>103</w:t>
      </w:r>
      <w:r>
        <w:rPr>
          <w:rFonts w:ascii="Book Antiqua" w:eastAsia="Book Antiqua" w:hAnsi="Book Antiqua" w:cs="Book Antiqua"/>
          <w:color w:val="000000"/>
        </w:rPr>
        <w:t>: 1686-1695 [PMID: 29452402 DOI: 10.1210/jc.2017-02591]</w:t>
      </w:r>
    </w:p>
    <w:p w14:paraId="636CA133"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Erickson LA</w:t>
      </w:r>
      <w:r>
        <w:rPr>
          <w:rFonts w:ascii="Book Antiqua" w:eastAsia="Book Antiqua" w:hAnsi="Book Antiqua" w:cs="Book Antiqua"/>
          <w:color w:val="000000"/>
        </w:rPr>
        <w:t xml:space="preserve">, Rivera M, Zhang J. Adrenocortical carcinoma: review and update. </w:t>
      </w:r>
      <w:r>
        <w:rPr>
          <w:rFonts w:ascii="Book Antiqua" w:eastAsia="Book Antiqua" w:hAnsi="Book Antiqua" w:cs="Book Antiqua"/>
          <w:i/>
          <w:iCs/>
          <w:color w:val="000000"/>
        </w:rPr>
        <w:t>Adv Anat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151-159 [PMID: 24713984 DOI: 10.1097/PAP.0000000000000019]</w:t>
      </w:r>
    </w:p>
    <w:p w14:paraId="5971057C"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Datrice NM</w:t>
      </w:r>
      <w:r>
        <w:rPr>
          <w:rFonts w:ascii="Book Antiqua" w:eastAsia="Book Antiqua" w:hAnsi="Book Antiqua" w:cs="Book Antiqua"/>
          <w:color w:val="000000"/>
        </w:rPr>
        <w:t xml:space="preserve">, Langan RC, Ripley RT, Kemp CD, Steinberg SM, Wood BJ, Libutti SK, Fojo T, Schrump DS, Avital I. Operative management for recurrent and metastatic adrenocortical carcinoma.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105</w:t>
      </w:r>
      <w:r>
        <w:rPr>
          <w:rFonts w:ascii="Book Antiqua" w:eastAsia="Book Antiqua" w:hAnsi="Book Antiqua" w:cs="Book Antiqua"/>
          <w:color w:val="000000"/>
        </w:rPr>
        <w:t>: 709-713 [PMID: 22189845 DOI: 10.1002/jso.23015]</w:t>
      </w:r>
    </w:p>
    <w:p w14:paraId="5FEC3C5D" w14:textId="034F633C"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Fassnacht M</w:t>
      </w:r>
      <w:r>
        <w:rPr>
          <w:rFonts w:ascii="Book Antiqua" w:eastAsia="Book Antiqua" w:hAnsi="Book Antiqua" w:cs="Book Antiqua"/>
          <w:color w:val="000000"/>
        </w:rPr>
        <w:t>, Dekkers OM, Else T, Baudin E, Berruti A, de Krijger R, Haak HR, Mihai R, Assie G, Terzolo M. European Society of Endocrinology Clinical Practice Guidelines on the management of adrenocortical carcinoma in adults, in collaboration with the European Network for the Study of Adrenal Tumors</w:t>
      </w:r>
      <w:r w:rsidR="00C1582D">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179</w:t>
      </w:r>
      <w:r>
        <w:rPr>
          <w:rFonts w:ascii="Book Antiqua" w:eastAsia="Book Antiqua" w:hAnsi="Book Antiqua" w:cs="Book Antiqua"/>
          <w:color w:val="000000"/>
        </w:rPr>
        <w:t>: G1-G46 [PMID: 30299884 DOI: 10.1530/EJE-18-0608]</w:t>
      </w:r>
    </w:p>
    <w:p w14:paraId="04D49F38"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Libé R</w:t>
      </w:r>
      <w:r>
        <w:rPr>
          <w:rFonts w:ascii="Book Antiqua" w:eastAsia="Book Antiqua" w:hAnsi="Book Antiqua" w:cs="Book Antiqua"/>
          <w:color w:val="000000"/>
        </w:rPr>
        <w:t xml:space="preserve">, Borget I, Ronchi CL, Zaggia B, Kroiss M, Kerkhofs T, Bertherat J, Volante M, Quinkler M, Chabre O, Bala M, Tabarin A, Beuschlein F, Vezzosi D, Deutschbein T, Borson-Chazot F, Hermsen I, Stell A, Fottner C, Leboulleux S, Hahner S, Mannelli M, Berruti A, Haak H, Terzolo M, Fassnacht M, Baudin E; ENSAT network. Prognostic factors in stage III-IV adrenocortical carcinomas (ACC): an European Network for the Study of Adrenal Tumor (ENSAT) study.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2119-2125 [PMID: 26392430 DOI: 10.1093/annonc/mdv329]</w:t>
      </w:r>
    </w:p>
    <w:p w14:paraId="6BECDC3E"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Wong E</w:t>
      </w:r>
      <w:r>
        <w:rPr>
          <w:rFonts w:ascii="Book Antiqua" w:eastAsia="Book Antiqua" w:hAnsi="Book Antiqua" w:cs="Book Antiqua"/>
          <w:color w:val="000000"/>
        </w:rPr>
        <w:t xml:space="preserve">, Jacques S, Bennett M, Gorolay V, Lee A, Clarke S. Complete response in a patient with stage IV adrenocortical carcinoma treated with adjuvant trans-catheter arterial chemo-embolization (TACE). </w:t>
      </w:r>
      <w:r>
        <w:rPr>
          <w:rFonts w:ascii="Book Antiqua" w:eastAsia="Book Antiqua" w:hAnsi="Book Antiqua" w:cs="Book Antiqua"/>
          <w:i/>
          <w:iCs/>
          <w:color w:val="000000"/>
        </w:rPr>
        <w:t>Asia Pac 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279-281 [PMID: 28880439 DOI: 10.1111/ajco.12759]</w:t>
      </w:r>
    </w:p>
    <w:p w14:paraId="78CA198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Ripley RT</w:t>
      </w:r>
      <w:r>
        <w:rPr>
          <w:rFonts w:ascii="Book Antiqua" w:eastAsia="Book Antiqua" w:hAnsi="Book Antiqua" w:cs="Book Antiqua"/>
          <w:color w:val="000000"/>
        </w:rPr>
        <w:t xml:space="preserve">, Kemp CD, Davis JL, Langan RC, Royal RE, Libutti SK, Steinberg SM, Wood BJ, Kammula US, Fojo T, Avital I. Liver resection and ablation for metastatic adrenocortical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1972-1979 [PMID: 21301973 DOI: 10.1245/s10434-011-1564-z]</w:t>
      </w:r>
    </w:p>
    <w:p w14:paraId="7C4141C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Cazejust J</w:t>
      </w:r>
      <w:r>
        <w:rPr>
          <w:rFonts w:ascii="Book Antiqua" w:eastAsia="Book Antiqua" w:hAnsi="Book Antiqua" w:cs="Book Antiqua"/>
          <w:color w:val="000000"/>
        </w:rPr>
        <w:t xml:space="preserve">, De Baère T, Auperin A, Deschamps F, Hechelhammer L, Abdel-Rehim M, Schlumberger M, Leboulleux S, Baudin E. Transcatheter arterial chemoembolization for liver metastases in patients with adrenocortical carcinoma.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1527-1532 [PMID: 20801688 DOI: 10.1016/j.jvir.2010.05.020]</w:t>
      </w:r>
    </w:p>
    <w:p w14:paraId="6E84657F"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Cawood TJ</w:t>
      </w:r>
      <w:r>
        <w:rPr>
          <w:rFonts w:ascii="Book Antiqua" w:eastAsia="Book Antiqua" w:hAnsi="Book Antiqua" w:cs="Book Antiqua"/>
          <w:color w:val="000000"/>
        </w:rPr>
        <w:t xml:space="preserve">, Hunt PJ, O'Shea D, Cole D, Soule S. Recommended evaluation of adrenal incidentalomas is costly, has high false-positive rates and confers a risk of fatal cancer that is similar to the risk of the adrenal lesion becoming malignant; time for a rethink?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161</w:t>
      </w:r>
      <w:r>
        <w:rPr>
          <w:rFonts w:ascii="Book Antiqua" w:eastAsia="Book Antiqua" w:hAnsi="Book Antiqua" w:cs="Book Antiqua"/>
          <w:color w:val="000000"/>
        </w:rPr>
        <w:t>: 513-527 [PMID: 19439510 DOI: 10.1530/EJE-09-0234]</w:t>
      </w:r>
    </w:p>
    <w:p w14:paraId="6836B7FD"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Sperone P</w:t>
      </w:r>
      <w:r>
        <w:rPr>
          <w:rFonts w:ascii="Book Antiqua" w:eastAsia="Book Antiqua" w:hAnsi="Book Antiqua" w:cs="Book Antiqua"/>
          <w:color w:val="000000"/>
        </w:rPr>
        <w:t xml:space="preserve">, Ferrero A, Daffara F, Priola A, Zaggia B, Volante M, Santini D, Vincenzi B, Badalamenti G, Intrivici C, Del Buono S, De Francia S, Kalomirakis E, Ratti R, Angeli A, Dogliotti L, Papotti M, Terzolo M, Berruti A. Gemcitabine plus metronomic 5-fluorouracil or capecitabine as a second-/third-line chemotherapy in advanced adrenocortical carcinoma: a multicenter phase II study. </w:t>
      </w:r>
      <w:r>
        <w:rPr>
          <w:rFonts w:ascii="Book Antiqua" w:eastAsia="Book Antiqua" w:hAnsi="Book Antiqua" w:cs="Book Antiqua"/>
          <w:i/>
          <w:iCs/>
          <w:color w:val="000000"/>
        </w:rPr>
        <w:t>Endocr Relat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445-453 [PMID: 20410174 DOI: 10.1677/ERC-09-0281]</w:t>
      </w:r>
    </w:p>
    <w:p w14:paraId="163D52AF"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Kou K</w:t>
      </w:r>
      <w:r>
        <w:rPr>
          <w:rFonts w:ascii="Book Antiqua" w:eastAsia="Book Antiqua" w:hAnsi="Book Antiqua" w:cs="Book Antiqua"/>
          <w:color w:val="000000"/>
        </w:rPr>
        <w:t xml:space="preserve">, Zhang H, Zhang C, Xie E, Chen Y, Wang G, Lv G. A case of adrenocortical carcinoma accompanying secondary acute adrenal hypofunction postoperation.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43 [PMID: 29506536 DOI: 10.1186/s12957-018-1326-5]</w:t>
      </w:r>
    </w:p>
    <w:p w14:paraId="4999BB05"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Takata MC</w:t>
      </w:r>
      <w:r>
        <w:rPr>
          <w:rFonts w:ascii="Book Antiqua" w:eastAsia="Book Antiqua" w:hAnsi="Book Antiqua" w:cs="Book Antiqua"/>
          <w:color w:val="000000"/>
        </w:rPr>
        <w:t xml:space="preserve">, Kebebew E, Clark OH, Duh QY. Laparoscopic bilateral adrenalectomy: results for 30 consecutive cases.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202-207 [PMID: 17623238 DOI: 10.1007/s00464-007-9478-3]</w:t>
      </w:r>
    </w:p>
    <w:bookmarkEnd w:id="4"/>
    <w:p w14:paraId="29A8988B" w14:textId="77777777" w:rsidR="00445323" w:rsidRDefault="00445323">
      <w:pPr>
        <w:spacing w:line="360" w:lineRule="auto"/>
        <w:jc w:val="both"/>
        <w:rPr>
          <w:rFonts w:ascii="Book Antiqua" w:hAnsi="Book Antiqua"/>
        </w:rPr>
        <w:sectPr w:rsidR="00445323">
          <w:pgSz w:w="12240" w:h="15840"/>
          <w:pgMar w:top="1440" w:right="1440" w:bottom="1440" w:left="1440" w:header="720" w:footer="720" w:gutter="0"/>
          <w:cols w:space="720"/>
          <w:docGrid w:linePitch="360"/>
        </w:sectPr>
      </w:pPr>
    </w:p>
    <w:p w14:paraId="43F0CB49"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7B3919B" w14:textId="381E4D7F"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sidR="001835A1">
        <w:rPr>
          <w:rFonts w:ascii="Book Antiqua" w:eastAsia="Book Antiqua" w:hAnsi="Book Antiqua" w:cs="Book Antiqua"/>
          <w:color w:val="000000"/>
        </w:rPr>
        <w:t xml:space="preserve">Written informed consent was obtained from the patient for the publication of this </w:t>
      </w:r>
      <w:r>
        <w:rPr>
          <w:rFonts w:ascii="Book Antiqua" w:eastAsia="Book Antiqua" w:hAnsi="Book Antiqua" w:cs="Book Antiqua"/>
          <w:color w:val="000000"/>
        </w:rPr>
        <w:t>case report</w:t>
      </w:r>
      <w:r w:rsidR="001835A1">
        <w:rPr>
          <w:rFonts w:ascii="Book Antiqua" w:eastAsia="Book Antiqua" w:hAnsi="Book Antiqua" w:cs="Book Antiqua"/>
          <w:color w:val="000000"/>
        </w:rPr>
        <w:t xml:space="preserve"> and the </w:t>
      </w:r>
      <w:r>
        <w:rPr>
          <w:rFonts w:ascii="Book Antiqua" w:eastAsia="Book Antiqua" w:hAnsi="Book Antiqua" w:cs="Book Antiqua"/>
          <w:color w:val="000000"/>
        </w:rPr>
        <w:t>relevant images.</w:t>
      </w:r>
    </w:p>
    <w:p w14:paraId="0EE591DF" w14:textId="77777777" w:rsidR="00445323" w:rsidRDefault="00445323">
      <w:pPr>
        <w:spacing w:line="360" w:lineRule="auto"/>
        <w:jc w:val="both"/>
        <w:rPr>
          <w:rFonts w:ascii="Book Antiqua" w:hAnsi="Book Antiqua"/>
        </w:rPr>
      </w:pPr>
    </w:p>
    <w:p w14:paraId="1819D215" w14:textId="6FB3E1BC" w:rsidR="00445323" w:rsidRDefault="005613FE">
      <w:pPr>
        <w:spacing w:line="360" w:lineRule="auto"/>
        <w:jc w:val="both"/>
        <w:rPr>
          <w:rFonts w:ascii="Book Antiqua" w:hAnsi="Book Antiqua"/>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competing interests</w:t>
      </w:r>
      <w:r w:rsidR="001835A1">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319D40B4" w14:textId="77777777" w:rsidR="00445323" w:rsidRDefault="00445323">
      <w:pPr>
        <w:spacing w:line="360" w:lineRule="auto"/>
        <w:jc w:val="both"/>
        <w:rPr>
          <w:rFonts w:ascii="Book Antiqua" w:hAnsi="Book Antiqua"/>
        </w:rPr>
      </w:pPr>
    </w:p>
    <w:p w14:paraId="78C80165"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BEA6EE3" w14:textId="77777777" w:rsidR="00445323" w:rsidRDefault="00445323">
      <w:pPr>
        <w:spacing w:line="360" w:lineRule="auto"/>
        <w:jc w:val="both"/>
        <w:rPr>
          <w:rFonts w:ascii="Book Antiqua" w:hAnsi="Book Antiqua"/>
        </w:rPr>
      </w:pPr>
    </w:p>
    <w:p w14:paraId="5BACC338" w14:textId="77777777"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CA237F" w14:textId="77777777" w:rsidR="00445323" w:rsidRDefault="00445323">
      <w:pPr>
        <w:spacing w:line="360" w:lineRule="auto"/>
        <w:jc w:val="both"/>
        <w:rPr>
          <w:rFonts w:ascii="Book Antiqua" w:hAnsi="Book Antiqua"/>
        </w:rPr>
      </w:pPr>
    </w:p>
    <w:p w14:paraId="1EC0850C"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ABCE2E4" w14:textId="77777777" w:rsidR="00445323" w:rsidRDefault="00445323">
      <w:pPr>
        <w:spacing w:line="360" w:lineRule="auto"/>
        <w:jc w:val="both"/>
        <w:rPr>
          <w:rFonts w:ascii="Book Antiqua" w:hAnsi="Book Antiqua"/>
        </w:rPr>
      </w:pPr>
    </w:p>
    <w:p w14:paraId="1B593440"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28, 2021</w:t>
      </w:r>
    </w:p>
    <w:p w14:paraId="4836328C"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23, 2021</w:t>
      </w:r>
    </w:p>
    <w:p w14:paraId="623E00A5" w14:textId="1DE2BC4C"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CA1770">
        <w:rPr>
          <w:rFonts w:ascii="Book Antiqua" w:eastAsia="宋体" w:hAnsi="Book Antiqua"/>
          <w:color w:val="000000" w:themeColor="text1"/>
        </w:rPr>
        <w:t>J</w:t>
      </w:r>
      <w:r w:rsidR="00CA1770">
        <w:rPr>
          <w:rFonts w:ascii="Book Antiqua" w:eastAsia="宋体" w:hAnsi="Book Antiqua" w:hint="eastAsia"/>
          <w:color w:val="000000" w:themeColor="text1"/>
        </w:rPr>
        <w:t>u</w:t>
      </w:r>
      <w:r w:rsidR="00CA1770">
        <w:rPr>
          <w:rFonts w:ascii="Book Antiqua" w:eastAsia="宋体" w:hAnsi="Book Antiqua"/>
          <w:color w:val="000000" w:themeColor="text1"/>
        </w:rPr>
        <w:t>ly</w:t>
      </w:r>
      <w:r w:rsidR="00CA1770" w:rsidRPr="00F06907">
        <w:rPr>
          <w:rFonts w:ascii="Book Antiqua" w:eastAsia="宋体" w:hAnsi="Book Antiqua"/>
          <w:color w:val="000000" w:themeColor="text1"/>
        </w:rPr>
        <w:t xml:space="preserve"> </w:t>
      </w:r>
      <w:r w:rsidR="00CA1770">
        <w:rPr>
          <w:rFonts w:ascii="Book Antiqua" w:eastAsia="宋体" w:hAnsi="Book Antiqua"/>
          <w:color w:val="000000" w:themeColor="text1"/>
        </w:rPr>
        <w:t>19</w:t>
      </w:r>
      <w:r w:rsidR="00CA1770" w:rsidRPr="00F06907">
        <w:rPr>
          <w:rFonts w:ascii="Book Antiqua" w:eastAsia="宋体" w:hAnsi="Book Antiqua"/>
          <w:color w:val="000000" w:themeColor="text1"/>
        </w:rPr>
        <w:t>, 2021</w:t>
      </w:r>
    </w:p>
    <w:p w14:paraId="7FABA755" w14:textId="77777777" w:rsidR="00445323" w:rsidRDefault="00445323">
      <w:pPr>
        <w:spacing w:line="360" w:lineRule="auto"/>
        <w:jc w:val="both"/>
        <w:rPr>
          <w:rFonts w:ascii="Book Antiqua" w:hAnsi="Book Antiqua"/>
        </w:rPr>
      </w:pPr>
    </w:p>
    <w:p w14:paraId="773F6F92"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5" w:name="_Hlk71726650"/>
      <w:bookmarkStart w:id="6" w:name="OLE_LINK2066"/>
      <w:bookmarkStart w:id="7" w:name="OLE_LINK1952"/>
      <w:bookmarkStart w:id="8" w:name="OLE_LINK1953"/>
      <w:r>
        <w:rPr>
          <w:rFonts w:ascii="Book Antiqua" w:eastAsia="微软雅黑" w:hAnsi="Book Antiqua" w:cs="宋体"/>
        </w:rPr>
        <w:t>Medicine, research and experimenta</w:t>
      </w:r>
      <w:bookmarkEnd w:id="5"/>
      <w:r>
        <w:rPr>
          <w:rFonts w:ascii="Book Antiqua" w:eastAsia="微软雅黑" w:hAnsi="Book Antiqua" w:cs="宋体"/>
        </w:rPr>
        <w:t>l</w:t>
      </w:r>
      <w:bookmarkEnd w:id="6"/>
      <w:bookmarkEnd w:id="7"/>
      <w:bookmarkEnd w:id="8"/>
    </w:p>
    <w:p w14:paraId="57A83271"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A4035F"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1224A0D"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Grade A (Excellent): 0</w:t>
      </w:r>
    </w:p>
    <w:p w14:paraId="0B7F95D7"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Grade B (Very good): B</w:t>
      </w:r>
    </w:p>
    <w:p w14:paraId="38A406AA"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Grade C (Good): 0</w:t>
      </w:r>
    </w:p>
    <w:p w14:paraId="07A06C05"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305CC180" w14:textId="77777777" w:rsidR="00445323" w:rsidRDefault="005613FE">
      <w:pPr>
        <w:spacing w:line="360" w:lineRule="auto"/>
        <w:jc w:val="both"/>
        <w:rPr>
          <w:rFonts w:ascii="Book Antiqua" w:hAnsi="Book Antiqua"/>
        </w:rPr>
      </w:pPr>
      <w:r>
        <w:rPr>
          <w:rFonts w:ascii="Book Antiqua" w:eastAsia="Book Antiqua" w:hAnsi="Book Antiqua" w:cs="Book Antiqua"/>
          <w:color w:val="000000"/>
        </w:rPr>
        <w:t>Grade E (Poor): 0</w:t>
      </w:r>
    </w:p>
    <w:p w14:paraId="7178227D" w14:textId="77777777" w:rsidR="00445323" w:rsidRDefault="00445323">
      <w:pPr>
        <w:spacing w:line="360" w:lineRule="auto"/>
        <w:jc w:val="both"/>
        <w:rPr>
          <w:rFonts w:ascii="Book Antiqua" w:hAnsi="Book Antiqua"/>
        </w:rPr>
      </w:pPr>
    </w:p>
    <w:p w14:paraId="28D01132" w14:textId="4D02DA0E" w:rsidR="00445323" w:rsidRDefault="005613FE">
      <w:pPr>
        <w:spacing w:line="360" w:lineRule="auto"/>
        <w:jc w:val="both"/>
        <w:rPr>
          <w:rFonts w:ascii="Book Antiqua" w:hAnsi="Book Antiqua"/>
        </w:rPr>
        <w:sectPr w:rsidR="0044532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Naswhan AJ</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w:t>
      </w:r>
      <w:r>
        <w:rPr>
          <w:rFonts w:ascii="Book Antiqua" w:eastAsia="Book Antiqua" w:hAnsi="Book Antiqua" w:cs="Book Antiqua"/>
          <w:color w:val="000000"/>
        </w:rPr>
        <w:t>an J</w:t>
      </w:r>
      <w:r>
        <w:rPr>
          <w:rFonts w:ascii="Book Antiqua" w:hAnsi="Book Antiqua" w:cs="Book Antiqua" w:hint="eastAsia"/>
          <w:color w:val="000000"/>
          <w:lang w:eastAsia="zh-CN"/>
        </w:rPr>
        <w:t>R</w:t>
      </w:r>
      <w:r>
        <w:rPr>
          <w:rFonts w:ascii="Book Antiqua" w:eastAsia="Book Antiqua" w:hAnsi="Book Antiqua" w:cs="Book Antiqua"/>
          <w:b/>
          <w:color w:val="000000"/>
        </w:rPr>
        <w:t xml:space="preserve"> L-Editor: </w:t>
      </w:r>
      <w:r w:rsidR="001835A1" w:rsidRPr="00A037A0">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6525E4">
        <w:rPr>
          <w:rFonts w:ascii="Book Antiqua" w:eastAsia="Book Antiqua" w:hAnsi="Book Antiqua" w:cs="Book Antiqua"/>
          <w:bCs/>
          <w:color w:val="000000"/>
        </w:rPr>
        <w:t>Wang LYT</w:t>
      </w:r>
    </w:p>
    <w:p w14:paraId="51306156" w14:textId="77777777" w:rsidR="00445323" w:rsidRDefault="005613FE">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8130698" w14:textId="77777777" w:rsidR="00445323" w:rsidRDefault="005613FE">
      <w:pPr>
        <w:spacing w:line="360" w:lineRule="auto"/>
        <w:jc w:val="both"/>
        <w:rPr>
          <w:rFonts w:ascii="Book Antiqua" w:hAnsi="Book Antiqua"/>
        </w:rPr>
      </w:pPr>
      <w:r>
        <w:rPr>
          <w:rFonts w:ascii="Book Antiqua" w:hAnsi="Book Antiqua"/>
          <w:noProof/>
          <w:lang w:eastAsia="zh-CN"/>
        </w:rPr>
        <w:drawing>
          <wp:inline distT="0" distB="0" distL="0" distR="0" wp14:anchorId="25E2ABDF" wp14:editId="03E84C7A">
            <wp:extent cx="2758440" cy="18903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758487" cy="1890713"/>
                    </a:xfrm>
                    <a:prstGeom prst="rect">
                      <a:avLst/>
                    </a:prstGeom>
                  </pic:spPr>
                </pic:pic>
              </a:graphicData>
            </a:graphic>
          </wp:inline>
        </w:drawing>
      </w:r>
      <w:r>
        <w:rPr>
          <w:rFonts w:ascii="Book Antiqua" w:hAnsi="Book Antiqua"/>
          <w:noProof/>
          <w:lang w:eastAsia="zh-CN"/>
        </w:rPr>
        <w:drawing>
          <wp:inline distT="0" distB="0" distL="0" distR="0" wp14:anchorId="01CA9C39" wp14:editId="54D7D726">
            <wp:extent cx="2928620" cy="1812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931925" cy="1814921"/>
                    </a:xfrm>
                    <a:prstGeom prst="rect">
                      <a:avLst/>
                    </a:prstGeom>
                  </pic:spPr>
                </pic:pic>
              </a:graphicData>
            </a:graphic>
          </wp:inline>
        </w:drawing>
      </w:r>
    </w:p>
    <w:p w14:paraId="1CF0D3B5" w14:textId="04461B42" w:rsidR="00445323" w:rsidRDefault="005613FE">
      <w:pPr>
        <w:spacing w:line="360" w:lineRule="auto"/>
        <w:jc w:val="both"/>
        <w:rPr>
          <w:rFonts w:ascii="Book Antiqua" w:hAnsi="Book Antiqua"/>
        </w:rPr>
      </w:pPr>
      <w:r>
        <w:rPr>
          <w:rFonts w:ascii="Book Antiqua" w:eastAsia="Book Antiqua" w:hAnsi="Book Antiqua" w:cs="Book Antiqua"/>
          <w:b/>
          <w:bCs/>
          <w:color w:val="000000"/>
        </w:rPr>
        <w:t xml:space="preserve">Figure 1 Computed tomography </w:t>
      </w:r>
      <w:r w:rsidR="001835A1">
        <w:rPr>
          <w:rFonts w:ascii="Book Antiqua" w:eastAsia="Book Antiqua" w:hAnsi="Book Antiqua" w:cs="Book Antiqua"/>
          <w:b/>
          <w:bCs/>
          <w:color w:val="000000"/>
        </w:rPr>
        <w:t xml:space="preserve">images </w:t>
      </w:r>
      <w:r>
        <w:rPr>
          <w:rFonts w:ascii="Book Antiqua" w:eastAsia="Book Antiqua" w:hAnsi="Book Antiqua" w:cs="Book Antiqua"/>
          <w:b/>
          <w:bCs/>
          <w:color w:val="000000"/>
        </w:rPr>
        <w:t>showing a huge mass in the right adrenal gland in both transverse and coronal view.</w:t>
      </w:r>
      <w:r>
        <w:rPr>
          <w:rFonts w:ascii="Book Antiqua" w:eastAsia="Book Antiqua" w:hAnsi="Book Antiqua" w:cs="Book Antiqua"/>
          <w:color w:val="000000"/>
        </w:rPr>
        <w:t xml:space="preserve"> A: Transverse view; B: Coronal view.</w:t>
      </w:r>
    </w:p>
    <w:p w14:paraId="5DF67C1A" w14:textId="77777777" w:rsidR="00445323" w:rsidRDefault="005613FE">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7765BF98" wp14:editId="1574258E">
            <wp:extent cx="5257800" cy="365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58256" cy="3657917"/>
                    </a:xfrm>
                    <a:prstGeom prst="rect">
                      <a:avLst/>
                    </a:prstGeom>
                  </pic:spPr>
                </pic:pic>
              </a:graphicData>
            </a:graphic>
          </wp:inline>
        </w:drawing>
      </w:r>
    </w:p>
    <w:p w14:paraId="5403D7DF" w14:textId="1563479C" w:rsidR="00445323" w:rsidRDefault="005613FE">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Computed tomography </w:t>
      </w:r>
      <w:r w:rsidR="001835A1">
        <w:rPr>
          <w:rFonts w:ascii="Book Antiqua" w:eastAsia="Book Antiqua" w:hAnsi="Book Antiqua" w:cs="Book Antiqua"/>
          <w:b/>
          <w:bCs/>
          <w:color w:val="000000"/>
        </w:rPr>
        <w:t xml:space="preserve">image </w:t>
      </w:r>
      <w:r>
        <w:rPr>
          <w:rFonts w:ascii="Book Antiqua" w:eastAsia="Book Antiqua" w:hAnsi="Book Antiqua" w:cs="Book Antiqua"/>
          <w:b/>
          <w:bCs/>
          <w:color w:val="000000"/>
        </w:rPr>
        <w:t>showing</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large,</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round,</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compact</w:t>
      </w:r>
      <w:r w:rsidR="001835A1">
        <w:rPr>
          <w:rFonts w:ascii="Book Antiqua" w:eastAsia="Book Antiqua" w:hAnsi="Book Antiqua" w:cs="Book Antiqua"/>
          <w:b/>
          <w:bCs/>
          <w:color w:val="000000"/>
        </w:rPr>
        <w:t>,</w:t>
      </w:r>
      <w:r>
        <w:rPr>
          <w:rFonts w:ascii="Book Antiqua" w:eastAsia="Book Antiqua" w:hAnsi="Book Antiqua" w:cs="Book Antiqua"/>
          <w:b/>
          <w:bCs/>
          <w:color w:val="000000"/>
        </w:rPr>
        <w:t xml:space="preserve"> and irregular mass on the left lobe of the liver, approximately</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112.7</w:t>
      </w:r>
      <w:r>
        <w:rPr>
          <w:rFonts w:ascii="Book Antiqua" w:hAnsi="Book Antiqua" w:cs="Book Antiqua"/>
          <w:b/>
          <w:bCs/>
          <w:color w:val="000000"/>
          <w:lang w:eastAsia="zh-CN"/>
        </w:rPr>
        <w:t xml:space="preserve"> </w:t>
      </w:r>
      <w:r>
        <w:rPr>
          <w:rFonts w:ascii="Book Antiqua" w:eastAsia="Book Antiqua" w:hAnsi="Book Antiqua" w:cs="Book Antiqua"/>
          <w:b/>
          <w:bCs/>
          <w:color w:val="000000"/>
        </w:rPr>
        <w:t>mm</w:t>
      </w:r>
      <w:r>
        <w:rPr>
          <w:rFonts w:ascii="Book Antiqua" w:hAnsi="Book Antiqua" w:cs="Book Antiqua"/>
          <w:b/>
          <w:bCs/>
          <w:color w:val="000000"/>
          <w:lang w:eastAsia="zh-CN"/>
        </w:rPr>
        <w:t xml:space="preserve"> </w:t>
      </w:r>
      <w:r>
        <w:rPr>
          <w:rFonts w:ascii="Book Antiqua" w:eastAsia="Book Antiqua" w:hAnsi="Book Antiqua" w:cs="Book Antiqua"/>
          <w:b/>
          <w:bCs/>
          <w:color w:val="000000"/>
        </w:rPr>
        <w:t>×</w:t>
      </w:r>
      <w:r>
        <w:rPr>
          <w:rFonts w:ascii="Book Antiqua" w:hAnsi="Book Antiqua" w:cs="Book Antiqua"/>
          <w:b/>
          <w:bCs/>
          <w:color w:val="000000"/>
          <w:lang w:eastAsia="zh-CN"/>
        </w:rPr>
        <w:t xml:space="preserve"> </w:t>
      </w:r>
      <w:r>
        <w:rPr>
          <w:rFonts w:ascii="Book Antiqua" w:eastAsia="Book Antiqua" w:hAnsi="Book Antiqua" w:cs="Book Antiqua"/>
          <w:b/>
          <w:bCs/>
          <w:color w:val="000000"/>
        </w:rPr>
        <w:t>79.8 mm.</w:t>
      </w:r>
    </w:p>
    <w:p w14:paraId="327D6B77" w14:textId="77777777" w:rsidR="00445323" w:rsidRDefault="005613FE">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23D16B77" wp14:editId="34147485">
            <wp:extent cx="2538095" cy="1988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538413" cy="1988896"/>
                    </a:xfrm>
                    <a:prstGeom prst="rect">
                      <a:avLst/>
                    </a:prstGeom>
                  </pic:spPr>
                </pic:pic>
              </a:graphicData>
            </a:graphic>
          </wp:inline>
        </w:drawing>
      </w:r>
      <w:r>
        <w:rPr>
          <w:lang w:eastAsia="zh-CN"/>
        </w:rPr>
        <w:t xml:space="preserve"> </w:t>
      </w:r>
      <w:r>
        <w:rPr>
          <w:noProof/>
          <w:lang w:eastAsia="zh-CN"/>
        </w:rPr>
        <w:drawing>
          <wp:inline distT="0" distB="0" distL="0" distR="0" wp14:anchorId="0FC6E650" wp14:editId="5C7E564A">
            <wp:extent cx="2828925" cy="1989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830322" cy="1991053"/>
                    </a:xfrm>
                    <a:prstGeom prst="rect">
                      <a:avLst/>
                    </a:prstGeom>
                  </pic:spPr>
                </pic:pic>
              </a:graphicData>
            </a:graphic>
          </wp:inline>
        </w:drawing>
      </w:r>
      <w:r>
        <w:rPr>
          <w:lang w:eastAsia="zh-CN"/>
        </w:rPr>
        <w:t xml:space="preserve"> </w:t>
      </w:r>
      <w:r>
        <w:rPr>
          <w:noProof/>
          <w:lang w:eastAsia="zh-CN"/>
        </w:rPr>
        <w:drawing>
          <wp:inline distT="0" distB="0" distL="0" distR="0" wp14:anchorId="75C13CCE" wp14:editId="1146A892">
            <wp:extent cx="2595245" cy="2219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595563" cy="2219325"/>
                    </a:xfrm>
                    <a:prstGeom prst="rect">
                      <a:avLst/>
                    </a:prstGeom>
                  </pic:spPr>
                </pic:pic>
              </a:graphicData>
            </a:graphic>
          </wp:inline>
        </w:drawing>
      </w:r>
    </w:p>
    <w:p w14:paraId="10908BD3" w14:textId="1CBEF4A8" w:rsidR="00445323" w:rsidRDefault="005613FE">
      <w:pPr>
        <w:spacing w:line="360" w:lineRule="auto"/>
        <w:jc w:val="both"/>
        <w:rPr>
          <w:rFonts w:ascii="Book Antiqua" w:hAnsi="Book Antiqua"/>
        </w:rPr>
      </w:pPr>
      <w:r>
        <w:rPr>
          <w:rFonts w:ascii="Book Antiqua" w:eastAsia="Book Antiqua" w:hAnsi="Book Antiqua" w:cs="Book Antiqua"/>
          <w:b/>
          <w:bCs/>
          <w:color w:val="000000"/>
        </w:rPr>
        <w:t>Figure 3 Intraoperative photographs.</w:t>
      </w:r>
      <w:r>
        <w:rPr>
          <w:rFonts w:ascii="Book Antiqua" w:hAnsi="Book Antiqua" w:cs="Book Antiqua" w:hint="eastAsia"/>
          <w:color w:val="000000"/>
          <w:lang w:eastAsia="zh-CN"/>
        </w:rPr>
        <w:t xml:space="preserve"> </w:t>
      </w:r>
      <w:r>
        <w:rPr>
          <w:rFonts w:ascii="Book Antiqua" w:eastAsia="Book Antiqua" w:hAnsi="Book Antiqua" w:cs="Book Antiqua"/>
          <w:color w:val="000000"/>
        </w:rPr>
        <w:t>A: There is a</w:t>
      </w:r>
      <w:r>
        <w:rPr>
          <w:rFonts w:ascii="Book Antiqua" w:hAnsi="Book Antiqua" w:cs="Book Antiqua" w:hint="eastAsia"/>
          <w:color w:val="000000"/>
          <w:lang w:eastAsia="zh-CN"/>
        </w:rPr>
        <w:t xml:space="preserve"> </w:t>
      </w:r>
      <w:r>
        <w:rPr>
          <w:rFonts w:ascii="Book Antiqua" w:eastAsia="Book Antiqua" w:hAnsi="Book Antiqua" w:cs="Book Antiqua"/>
          <w:color w:val="000000"/>
        </w:rPr>
        <w:t>large,</w:t>
      </w:r>
      <w:r>
        <w:rPr>
          <w:rFonts w:ascii="Book Antiqua" w:hAnsi="Book Antiqua" w:cs="Book Antiqua" w:hint="eastAsia"/>
          <w:color w:val="000000"/>
          <w:lang w:eastAsia="zh-CN"/>
        </w:rPr>
        <w:t xml:space="preserve"> </w:t>
      </w:r>
      <w:r>
        <w:rPr>
          <w:rFonts w:ascii="Book Antiqua" w:eastAsia="Book Antiqua" w:hAnsi="Book Antiqua" w:cs="Book Antiqua"/>
          <w:color w:val="000000"/>
        </w:rPr>
        <w:t>lightly</w:t>
      </w:r>
      <w:r>
        <w:rPr>
          <w:rFonts w:ascii="Book Antiqua" w:hAnsi="Book Antiqua" w:cs="Book Antiqua" w:hint="eastAsia"/>
          <w:color w:val="000000"/>
          <w:lang w:eastAsia="zh-CN"/>
        </w:rPr>
        <w:t xml:space="preserve"> </w:t>
      </w:r>
      <w:r>
        <w:rPr>
          <w:rFonts w:ascii="Book Antiqua" w:eastAsia="Book Antiqua" w:hAnsi="Book Antiqua" w:cs="Book Antiqua"/>
          <w:color w:val="000000"/>
        </w:rPr>
        <w:t>stained tumor in the left lobe of the liver. The left hepatic artery is the main blood supply for the tumor; B: The guidewire entering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left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hepatic artery for chemoembolization; C: The left lobe of the liver </w:t>
      </w:r>
      <w:r w:rsidR="001835A1">
        <w:rPr>
          <w:rFonts w:ascii="Book Antiqua" w:eastAsia="Book Antiqua" w:hAnsi="Book Antiqua" w:cs="Book Antiqua"/>
          <w:color w:val="000000"/>
        </w:rPr>
        <w:t xml:space="preserve">has </w:t>
      </w:r>
      <w:r>
        <w:rPr>
          <w:rFonts w:ascii="Book Antiqua" w:eastAsia="Book Antiqua" w:hAnsi="Book Antiqua" w:cs="Book Antiqua"/>
          <w:color w:val="000000"/>
        </w:rPr>
        <w:t>a good deposit of lipiodol after the chemoembolization.</w:t>
      </w:r>
    </w:p>
    <w:p w14:paraId="1450DE18" w14:textId="77777777" w:rsidR="00445323" w:rsidRDefault="005613FE">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5EBD94B9" wp14:editId="29FF5314">
            <wp:extent cx="5486400" cy="37757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486400" cy="3775710"/>
                    </a:xfrm>
                    <a:prstGeom prst="rect">
                      <a:avLst/>
                    </a:prstGeom>
                  </pic:spPr>
                </pic:pic>
              </a:graphicData>
            </a:graphic>
          </wp:inline>
        </w:drawing>
      </w:r>
    </w:p>
    <w:p w14:paraId="7D64FA49" w14:textId="463CECF7" w:rsidR="007369CE" w:rsidRDefault="005613F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Computed tomography</w:t>
      </w:r>
      <w:r w:rsidR="001835A1">
        <w:rPr>
          <w:rFonts w:ascii="Book Antiqua" w:eastAsia="Book Antiqua" w:hAnsi="Book Antiqua" w:cs="Book Antiqua"/>
          <w:b/>
          <w:bCs/>
          <w:color w:val="000000"/>
        </w:rPr>
        <w:t xml:space="preserve"> image</w:t>
      </w:r>
      <w:r>
        <w:rPr>
          <w:rFonts w:ascii="Book Antiqua" w:eastAsia="Book Antiqua" w:hAnsi="Book Antiqua" w:cs="Book Antiqua"/>
          <w:b/>
          <w:bCs/>
          <w:color w:val="000000"/>
        </w:rPr>
        <w:t xml:space="preserve"> showing a good uptake rate of lipiodol and honeycomb necrosis of liver tumor cells.</w:t>
      </w:r>
    </w:p>
    <w:p w14:paraId="2A5BA7A8" w14:textId="77777777" w:rsidR="007369CE" w:rsidRDefault="007369CE">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93BAF66" w14:textId="77777777" w:rsidR="007369CE" w:rsidRDefault="007369CE" w:rsidP="007369CE">
      <w:pPr>
        <w:jc w:val="center"/>
        <w:rPr>
          <w:rFonts w:ascii="Book Antiqua" w:hAnsi="Book Antiqua"/>
          <w:lang w:eastAsia="zh-CN"/>
        </w:rPr>
      </w:pPr>
    </w:p>
    <w:p w14:paraId="21C4ADF4" w14:textId="77777777" w:rsidR="007369CE" w:rsidRDefault="007369CE" w:rsidP="007369CE">
      <w:pPr>
        <w:jc w:val="center"/>
        <w:rPr>
          <w:rFonts w:ascii="Book Antiqua" w:hAnsi="Book Antiqua"/>
          <w:lang w:eastAsia="zh-CN"/>
        </w:rPr>
      </w:pPr>
    </w:p>
    <w:p w14:paraId="11523193" w14:textId="77777777" w:rsidR="007369CE" w:rsidRDefault="007369CE" w:rsidP="007369CE">
      <w:pPr>
        <w:jc w:val="center"/>
        <w:rPr>
          <w:rFonts w:ascii="Book Antiqua" w:hAnsi="Book Antiqua"/>
          <w:lang w:eastAsia="zh-CN"/>
        </w:rPr>
      </w:pPr>
    </w:p>
    <w:p w14:paraId="19449644" w14:textId="77777777" w:rsidR="007369CE" w:rsidRDefault="007369CE" w:rsidP="007369CE">
      <w:pPr>
        <w:jc w:val="center"/>
        <w:rPr>
          <w:rFonts w:ascii="Book Antiqua" w:hAnsi="Book Antiqua"/>
          <w:lang w:eastAsia="zh-CN"/>
        </w:rPr>
      </w:pPr>
    </w:p>
    <w:p w14:paraId="77457B94" w14:textId="77777777" w:rsidR="007369CE" w:rsidRDefault="007369CE" w:rsidP="007369CE">
      <w:pPr>
        <w:jc w:val="center"/>
        <w:rPr>
          <w:rFonts w:ascii="Book Antiqua" w:hAnsi="Book Antiqua"/>
          <w:lang w:eastAsia="zh-CN"/>
        </w:rPr>
      </w:pPr>
    </w:p>
    <w:p w14:paraId="3FA2C48B" w14:textId="77777777" w:rsidR="007369CE" w:rsidRDefault="007369CE" w:rsidP="007369CE">
      <w:pPr>
        <w:jc w:val="center"/>
        <w:rPr>
          <w:rFonts w:ascii="Book Antiqua" w:hAnsi="Book Antiqua"/>
          <w:lang w:eastAsia="zh-CN"/>
        </w:rPr>
      </w:pPr>
      <w:r>
        <w:rPr>
          <w:rFonts w:ascii="Book Antiqua" w:hAnsi="Book Antiqua"/>
          <w:noProof/>
          <w:lang w:eastAsia="zh-CN"/>
        </w:rPr>
        <w:drawing>
          <wp:inline distT="0" distB="0" distL="0" distR="0" wp14:anchorId="27620804" wp14:editId="76DA59DE">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5AD200" w14:textId="77777777" w:rsidR="007369CE" w:rsidRDefault="007369CE" w:rsidP="007369CE">
      <w:pPr>
        <w:jc w:val="center"/>
        <w:rPr>
          <w:rFonts w:ascii="Book Antiqua" w:hAnsi="Book Antiqua"/>
          <w:lang w:eastAsia="zh-CN"/>
        </w:rPr>
      </w:pPr>
    </w:p>
    <w:p w14:paraId="51372B1B" w14:textId="77777777" w:rsidR="007369CE" w:rsidRPr="00763D22" w:rsidRDefault="007369CE" w:rsidP="007369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C7D943B" w14:textId="77777777" w:rsidR="007369CE" w:rsidRPr="00763D22" w:rsidRDefault="007369CE" w:rsidP="007369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AC8B15" w14:textId="77777777" w:rsidR="007369CE" w:rsidRPr="00763D22" w:rsidRDefault="007369CE" w:rsidP="007369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E604A77" w14:textId="77777777" w:rsidR="007369CE" w:rsidRPr="00763D22" w:rsidRDefault="007369CE" w:rsidP="007369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F15AD05" w14:textId="77777777" w:rsidR="007369CE" w:rsidRPr="00763D22" w:rsidRDefault="007369CE" w:rsidP="007369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D9B60F8" w14:textId="77777777" w:rsidR="007369CE" w:rsidRPr="00763D22" w:rsidRDefault="007369CE" w:rsidP="007369C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CE40738" w14:textId="77777777" w:rsidR="007369CE" w:rsidRDefault="007369CE" w:rsidP="007369CE">
      <w:pPr>
        <w:jc w:val="center"/>
        <w:rPr>
          <w:rFonts w:ascii="Book Antiqua" w:hAnsi="Book Antiqua"/>
          <w:lang w:eastAsia="zh-CN"/>
        </w:rPr>
      </w:pPr>
    </w:p>
    <w:p w14:paraId="52F5FCBC" w14:textId="77777777" w:rsidR="007369CE" w:rsidRDefault="007369CE" w:rsidP="007369CE">
      <w:pPr>
        <w:jc w:val="center"/>
        <w:rPr>
          <w:rFonts w:ascii="Book Antiqua" w:hAnsi="Book Antiqua"/>
          <w:lang w:eastAsia="zh-CN"/>
        </w:rPr>
      </w:pPr>
    </w:p>
    <w:p w14:paraId="41ED88D8" w14:textId="77777777" w:rsidR="007369CE" w:rsidRDefault="007369CE" w:rsidP="007369CE">
      <w:pPr>
        <w:jc w:val="center"/>
        <w:rPr>
          <w:rFonts w:ascii="Book Antiqua" w:hAnsi="Book Antiqua"/>
          <w:lang w:eastAsia="zh-CN"/>
        </w:rPr>
      </w:pPr>
    </w:p>
    <w:p w14:paraId="50A7AA6C" w14:textId="77777777" w:rsidR="007369CE" w:rsidRDefault="007369CE" w:rsidP="007369CE">
      <w:pPr>
        <w:jc w:val="center"/>
        <w:rPr>
          <w:rFonts w:ascii="Book Antiqua" w:hAnsi="Book Antiqua"/>
          <w:lang w:eastAsia="zh-CN"/>
        </w:rPr>
      </w:pPr>
      <w:r>
        <w:rPr>
          <w:rFonts w:ascii="Book Antiqua" w:hAnsi="Book Antiqua"/>
          <w:noProof/>
          <w:lang w:eastAsia="zh-CN"/>
        </w:rPr>
        <w:drawing>
          <wp:inline distT="0" distB="0" distL="0" distR="0" wp14:anchorId="31B68060" wp14:editId="4167BDEA">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B41D6E9" w14:textId="77777777" w:rsidR="007369CE" w:rsidRDefault="007369CE" w:rsidP="007369CE">
      <w:pPr>
        <w:jc w:val="center"/>
        <w:rPr>
          <w:rFonts w:ascii="Book Antiqua" w:hAnsi="Book Antiqua"/>
          <w:lang w:eastAsia="zh-CN"/>
        </w:rPr>
      </w:pPr>
    </w:p>
    <w:p w14:paraId="37DE9524" w14:textId="77777777" w:rsidR="007369CE" w:rsidRDefault="007369CE" w:rsidP="007369CE">
      <w:pPr>
        <w:jc w:val="center"/>
        <w:rPr>
          <w:rFonts w:ascii="Book Antiqua" w:hAnsi="Book Antiqua"/>
          <w:lang w:eastAsia="zh-CN"/>
        </w:rPr>
      </w:pPr>
    </w:p>
    <w:p w14:paraId="710C6084" w14:textId="77777777" w:rsidR="007369CE" w:rsidRDefault="007369CE" w:rsidP="007369CE">
      <w:pPr>
        <w:jc w:val="center"/>
        <w:rPr>
          <w:rFonts w:ascii="Book Antiqua" w:hAnsi="Book Antiqua"/>
          <w:lang w:eastAsia="zh-CN"/>
        </w:rPr>
      </w:pPr>
    </w:p>
    <w:p w14:paraId="02DF8B03" w14:textId="77777777" w:rsidR="007369CE" w:rsidRDefault="007369CE" w:rsidP="007369CE">
      <w:pPr>
        <w:jc w:val="center"/>
        <w:rPr>
          <w:rFonts w:ascii="Book Antiqua" w:hAnsi="Book Antiqua"/>
          <w:lang w:eastAsia="zh-CN"/>
        </w:rPr>
      </w:pPr>
    </w:p>
    <w:p w14:paraId="54E4AAA9" w14:textId="77777777" w:rsidR="007369CE" w:rsidRDefault="007369CE" w:rsidP="007369CE">
      <w:pPr>
        <w:jc w:val="center"/>
        <w:rPr>
          <w:rFonts w:ascii="Book Antiqua" w:hAnsi="Book Antiqua"/>
          <w:lang w:eastAsia="zh-CN"/>
        </w:rPr>
      </w:pPr>
    </w:p>
    <w:p w14:paraId="6373F48E" w14:textId="77777777" w:rsidR="007369CE" w:rsidRDefault="007369CE" w:rsidP="007369CE">
      <w:pPr>
        <w:jc w:val="center"/>
        <w:rPr>
          <w:rFonts w:ascii="Book Antiqua" w:hAnsi="Book Antiqua"/>
          <w:lang w:eastAsia="zh-CN"/>
        </w:rPr>
      </w:pPr>
    </w:p>
    <w:p w14:paraId="7279D049" w14:textId="77777777" w:rsidR="007369CE" w:rsidRDefault="007369CE" w:rsidP="007369CE">
      <w:pPr>
        <w:jc w:val="center"/>
        <w:rPr>
          <w:rFonts w:ascii="Book Antiqua" w:hAnsi="Book Antiqua"/>
          <w:lang w:eastAsia="zh-CN"/>
        </w:rPr>
      </w:pPr>
    </w:p>
    <w:p w14:paraId="46388584" w14:textId="77777777" w:rsidR="007369CE" w:rsidRDefault="007369CE" w:rsidP="007369CE">
      <w:pPr>
        <w:jc w:val="center"/>
        <w:rPr>
          <w:rFonts w:ascii="Book Antiqua" w:hAnsi="Book Antiqua"/>
          <w:lang w:eastAsia="zh-CN"/>
        </w:rPr>
      </w:pPr>
    </w:p>
    <w:p w14:paraId="016702AE" w14:textId="77777777" w:rsidR="007369CE" w:rsidRDefault="007369CE" w:rsidP="007369CE">
      <w:pPr>
        <w:jc w:val="center"/>
        <w:rPr>
          <w:rFonts w:ascii="Book Antiqua" w:hAnsi="Book Antiqua"/>
          <w:lang w:eastAsia="zh-CN"/>
        </w:rPr>
      </w:pPr>
    </w:p>
    <w:p w14:paraId="67DE8C00" w14:textId="77777777" w:rsidR="007369CE" w:rsidRPr="00763D22" w:rsidRDefault="007369CE" w:rsidP="007369CE">
      <w:pPr>
        <w:jc w:val="right"/>
        <w:rPr>
          <w:rFonts w:ascii="Book Antiqua" w:hAnsi="Book Antiqua"/>
          <w:color w:val="000000" w:themeColor="text1"/>
          <w:lang w:eastAsia="zh-CN"/>
        </w:rPr>
      </w:pPr>
    </w:p>
    <w:p w14:paraId="5FADBE15" w14:textId="77777777" w:rsidR="007369CE" w:rsidRPr="00763D22" w:rsidRDefault="007369CE" w:rsidP="007369C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04D72E0" w14:textId="77777777" w:rsidR="00445323" w:rsidRDefault="00445323">
      <w:pPr>
        <w:spacing w:line="360" w:lineRule="auto"/>
        <w:jc w:val="both"/>
        <w:rPr>
          <w:rFonts w:ascii="Book Antiqua" w:hAnsi="Book Antiqua"/>
        </w:rPr>
      </w:pPr>
    </w:p>
    <w:sectPr w:rsidR="004453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17AE" w14:textId="77777777" w:rsidR="00FC683B" w:rsidRDefault="00FC683B">
      <w:r>
        <w:separator/>
      </w:r>
    </w:p>
  </w:endnote>
  <w:endnote w:type="continuationSeparator" w:id="0">
    <w:p w14:paraId="2F624FB8" w14:textId="77777777" w:rsidR="00FC683B" w:rsidRDefault="00FC6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166602"/>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117DA07E" w14:textId="77777777" w:rsidR="00445323" w:rsidRDefault="005613FE">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037A0">
              <w:rPr>
                <w:rFonts w:ascii="Book Antiqua" w:hAnsi="Book Antiqua"/>
                <w:b/>
                <w:bCs/>
                <w:noProof/>
                <w:sz w:val="24"/>
                <w:szCs w:val="24"/>
              </w:rPr>
              <w:t>18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037A0">
              <w:rPr>
                <w:rFonts w:ascii="Book Antiqua" w:hAnsi="Book Antiqua"/>
                <w:b/>
                <w:bCs/>
                <w:noProof/>
                <w:sz w:val="24"/>
                <w:szCs w:val="24"/>
              </w:rPr>
              <w:t>18</w:t>
            </w:r>
            <w:r>
              <w:rPr>
                <w:rFonts w:ascii="Book Antiqua" w:hAnsi="Book Antiqua"/>
                <w:b/>
                <w:bCs/>
                <w:sz w:val="24"/>
                <w:szCs w:val="24"/>
              </w:rPr>
              <w:fldChar w:fldCharType="end"/>
            </w:r>
          </w:p>
        </w:sdtContent>
      </w:sdt>
    </w:sdtContent>
  </w:sdt>
  <w:p w14:paraId="1B82B540" w14:textId="77777777" w:rsidR="00445323" w:rsidRDefault="0044532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69C17" w14:textId="77777777" w:rsidR="00FC683B" w:rsidRDefault="00FC683B">
      <w:r>
        <w:separator/>
      </w:r>
    </w:p>
  </w:footnote>
  <w:footnote w:type="continuationSeparator" w:id="0">
    <w:p w14:paraId="3568C73F" w14:textId="77777777" w:rsidR="00FC683B" w:rsidRDefault="00FC68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C2453"/>
    <w:rsid w:val="000D258D"/>
    <w:rsid w:val="000D4920"/>
    <w:rsid w:val="000E4E63"/>
    <w:rsid w:val="00142FC6"/>
    <w:rsid w:val="001835A1"/>
    <w:rsid w:val="001D7233"/>
    <w:rsid w:val="00271016"/>
    <w:rsid w:val="003D54E8"/>
    <w:rsid w:val="00445323"/>
    <w:rsid w:val="004E2CBE"/>
    <w:rsid w:val="005613FE"/>
    <w:rsid w:val="006525E4"/>
    <w:rsid w:val="00684D23"/>
    <w:rsid w:val="00724830"/>
    <w:rsid w:val="007369CE"/>
    <w:rsid w:val="0074570E"/>
    <w:rsid w:val="00792812"/>
    <w:rsid w:val="007C37ED"/>
    <w:rsid w:val="00815975"/>
    <w:rsid w:val="0082064D"/>
    <w:rsid w:val="008248F5"/>
    <w:rsid w:val="00844331"/>
    <w:rsid w:val="00861547"/>
    <w:rsid w:val="0089735D"/>
    <w:rsid w:val="00912014"/>
    <w:rsid w:val="009411C3"/>
    <w:rsid w:val="009A34E6"/>
    <w:rsid w:val="009C4218"/>
    <w:rsid w:val="009F4599"/>
    <w:rsid w:val="00A037A0"/>
    <w:rsid w:val="00A4491D"/>
    <w:rsid w:val="00A757ED"/>
    <w:rsid w:val="00A77B3E"/>
    <w:rsid w:val="00A903AC"/>
    <w:rsid w:val="00B17B87"/>
    <w:rsid w:val="00B22363"/>
    <w:rsid w:val="00B83E3D"/>
    <w:rsid w:val="00B918BE"/>
    <w:rsid w:val="00B962EB"/>
    <w:rsid w:val="00BC592F"/>
    <w:rsid w:val="00C1582D"/>
    <w:rsid w:val="00C645FF"/>
    <w:rsid w:val="00CA1770"/>
    <w:rsid w:val="00CA2A55"/>
    <w:rsid w:val="00CA668B"/>
    <w:rsid w:val="00CC4894"/>
    <w:rsid w:val="00CD296E"/>
    <w:rsid w:val="00D273BB"/>
    <w:rsid w:val="00DB34AE"/>
    <w:rsid w:val="00DE6109"/>
    <w:rsid w:val="00DF0A5A"/>
    <w:rsid w:val="00E31992"/>
    <w:rsid w:val="00EA4BA4"/>
    <w:rsid w:val="00EF1D72"/>
    <w:rsid w:val="00F051DA"/>
    <w:rsid w:val="00F30FE2"/>
    <w:rsid w:val="00F774A0"/>
    <w:rsid w:val="00FC683B"/>
    <w:rsid w:val="24C97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71369"/>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jlqj4b">
    <w:name w:val="jlqj4b"/>
    <w:basedOn w:val="a0"/>
    <w:qFormat/>
  </w:style>
  <w:style w:type="character" w:styleId="ae">
    <w:name w:val="Hyperlink"/>
    <w:basedOn w:val="a0"/>
    <w:unhideWhenUsed/>
    <w:rsid w:val="00B918BE"/>
    <w:rPr>
      <w:color w:val="0000FF" w:themeColor="hyperlink"/>
      <w:u w:val="single"/>
    </w:rPr>
  </w:style>
  <w:style w:type="character" w:styleId="af">
    <w:name w:val="Unresolved Mention"/>
    <w:basedOn w:val="a0"/>
    <w:uiPriority w:val="99"/>
    <w:semiHidden/>
    <w:unhideWhenUsed/>
    <w:rsid w:val="00B91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26/0000.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3068</Words>
  <Characters>17489</Characters>
  <Application>Microsoft Office Word</Application>
  <DocSecurity>0</DocSecurity>
  <Lines>145</Lines>
  <Paragraphs>41</Paragraphs>
  <ScaleCrop>false</ScaleCrop>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15</cp:revision>
  <dcterms:created xsi:type="dcterms:W3CDTF">2021-07-29T11:30:00Z</dcterms:created>
  <dcterms:modified xsi:type="dcterms:W3CDTF">2021-09-07T03:06:00Z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D09CD95D2AD9493CAE05AC872C5EB894</vt:lpwstr>
  </property>
</Properties>
</file>