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941DD"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5709520"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64594</w:t>
      </w:r>
    </w:p>
    <w:p w14:paraId="5B15BE4C"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C3242FF" w14:textId="77777777" w:rsidR="00A77B3E" w:rsidRDefault="00A77B3E" w:rsidP="005A68CD">
      <w:pPr>
        <w:adjustRightInd w:val="0"/>
        <w:snapToGrid w:val="0"/>
        <w:spacing w:line="360" w:lineRule="auto"/>
        <w:jc w:val="both"/>
      </w:pPr>
    </w:p>
    <w:p w14:paraId="5F412539" w14:textId="77777777" w:rsidR="00A77B3E" w:rsidRDefault="00EC239E" w:rsidP="005A68CD">
      <w:pPr>
        <w:adjustRightInd w:val="0"/>
        <w:snapToGrid w:val="0"/>
        <w:spacing w:line="360" w:lineRule="auto"/>
        <w:jc w:val="both"/>
      </w:pPr>
      <w:bookmarkStart w:id="0" w:name="OLE_LINK268"/>
      <w:bookmarkStart w:id="1" w:name="OLE_LINK269"/>
      <w:bookmarkStart w:id="2" w:name="OLE_LINK272"/>
      <w:bookmarkStart w:id="3" w:name="OLE_LINK183"/>
      <w:bookmarkStart w:id="4" w:name="OLE_LINK184"/>
      <w:bookmarkStart w:id="5" w:name="OLE_LINK242"/>
      <w:r w:rsidRPr="00EC239E">
        <w:rPr>
          <w:rFonts w:ascii="Book Antiqua" w:eastAsia="Book Antiqua" w:hAnsi="Book Antiqua" w:cs="Book Antiqua"/>
          <w:b/>
          <w:bCs/>
          <w:color w:val="000000"/>
        </w:rPr>
        <w:t>Gastric neuroendocrine neoplasms: A review</w:t>
      </w:r>
      <w:bookmarkEnd w:id="0"/>
      <w:bookmarkEnd w:id="1"/>
      <w:bookmarkEnd w:id="2"/>
    </w:p>
    <w:bookmarkEnd w:id="3"/>
    <w:bookmarkEnd w:id="4"/>
    <w:bookmarkEnd w:id="5"/>
    <w:p w14:paraId="613DEDD2" w14:textId="77777777" w:rsidR="00A77B3E" w:rsidRDefault="00A77B3E" w:rsidP="005A68CD">
      <w:pPr>
        <w:adjustRightInd w:val="0"/>
        <w:snapToGrid w:val="0"/>
        <w:spacing w:line="360" w:lineRule="auto"/>
        <w:jc w:val="both"/>
      </w:pPr>
    </w:p>
    <w:p w14:paraId="1FD983A2" w14:textId="77777777" w:rsidR="00A77B3E" w:rsidRDefault="00104380" w:rsidP="005A68CD">
      <w:pPr>
        <w:adjustRightInd w:val="0"/>
        <w:snapToGrid w:val="0"/>
        <w:spacing w:line="360" w:lineRule="auto"/>
        <w:jc w:val="both"/>
      </w:pPr>
      <w:r>
        <w:rPr>
          <w:rFonts w:ascii="Book Antiqua" w:eastAsia="Book Antiqua" w:hAnsi="Book Antiqua" w:cs="Book Antiqua"/>
          <w:color w:val="000000"/>
        </w:rPr>
        <w:t xml:space="preserve">Köseoğlu </w:t>
      </w:r>
      <w:r>
        <w:rPr>
          <w:rFonts w:ascii="Book Antiqua" w:hAnsi="Book Antiqua" w:cs="Book Antiqua" w:hint="eastAsia"/>
          <w:color w:val="000000"/>
          <w:lang w:eastAsia="zh-CN"/>
        </w:rPr>
        <w:t xml:space="preserve">H </w:t>
      </w:r>
      <w:r w:rsidRPr="0010438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270"/>
      <w:bookmarkStart w:id="7" w:name="OLE_LINK271"/>
      <w:r w:rsidR="00D8537B" w:rsidRPr="00D8537B">
        <w:rPr>
          <w:rFonts w:ascii="Book Antiqua" w:eastAsia="Book Antiqua" w:hAnsi="Book Antiqua" w:cs="Book Antiqua"/>
          <w:color w:val="000000"/>
        </w:rPr>
        <w:t>Gastric neuroendocrine neoplasms</w:t>
      </w:r>
      <w:bookmarkEnd w:id="6"/>
      <w:bookmarkEnd w:id="7"/>
    </w:p>
    <w:p w14:paraId="769B985E" w14:textId="77777777" w:rsidR="00A77B3E" w:rsidRDefault="00A77B3E" w:rsidP="005A68CD">
      <w:pPr>
        <w:adjustRightInd w:val="0"/>
        <w:snapToGrid w:val="0"/>
        <w:spacing w:line="360" w:lineRule="auto"/>
        <w:jc w:val="both"/>
      </w:pPr>
    </w:p>
    <w:p w14:paraId="4A314908"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Hüseyin Köseoğlu, Tolga Duzenli, Mesut Sezikli</w:t>
      </w:r>
    </w:p>
    <w:p w14:paraId="5FCB8D8C" w14:textId="77777777" w:rsidR="00A77B3E" w:rsidRDefault="00A77B3E" w:rsidP="005A68CD">
      <w:pPr>
        <w:adjustRightInd w:val="0"/>
        <w:snapToGrid w:val="0"/>
        <w:spacing w:line="360" w:lineRule="auto"/>
        <w:jc w:val="both"/>
      </w:pPr>
    </w:p>
    <w:p w14:paraId="1F02254E" w14:textId="77777777"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Hüseyin Köseoğlu, Mesut Sezikli, </w:t>
      </w:r>
      <w:r>
        <w:rPr>
          <w:rFonts w:ascii="Book Antiqua" w:eastAsia="Book Antiqua" w:hAnsi="Book Antiqua" w:cs="Book Antiqua"/>
          <w:color w:val="000000"/>
        </w:rPr>
        <w:t xml:space="preserve">Department of Gastroenterology, Hitit University, Faculty of Medicine, Çorum 19200, </w:t>
      </w:r>
      <w:bookmarkStart w:id="8" w:name="OLE_LINK164"/>
      <w:bookmarkStart w:id="9" w:name="OLE_LINK165"/>
      <w:r>
        <w:rPr>
          <w:rFonts w:ascii="Book Antiqua" w:eastAsia="Book Antiqua" w:hAnsi="Book Antiqua" w:cs="Book Antiqua"/>
          <w:color w:val="000000"/>
        </w:rPr>
        <w:t>Turkey</w:t>
      </w:r>
      <w:bookmarkEnd w:id="8"/>
      <w:bookmarkEnd w:id="9"/>
    </w:p>
    <w:p w14:paraId="305DD4F6" w14:textId="77777777" w:rsidR="00A77B3E" w:rsidRDefault="00A77B3E" w:rsidP="005A68CD">
      <w:pPr>
        <w:adjustRightInd w:val="0"/>
        <w:snapToGrid w:val="0"/>
        <w:spacing w:line="360" w:lineRule="auto"/>
        <w:jc w:val="both"/>
      </w:pPr>
    </w:p>
    <w:p w14:paraId="1ABFC0FA" w14:textId="77777777"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Tolga Duzenli, </w:t>
      </w:r>
      <w:r>
        <w:rPr>
          <w:rFonts w:ascii="Book Antiqua" w:eastAsia="Book Antiqua" w:hAnsi="Book Antiqua" w:cs="Book Antiqua"/>
          <w:color w:val="000000"/>
        </w:rPr>
        <w:t>Department of Gastroenterology, Hitit University Erol Olçok Education and Research Hospital, Çorum 19200, Turkey</w:t>
      </w:r>
    </w:p>
    <w:p w14:paraId="495B07F8" w14:textId="77777777" w:rsidR="00A77B3E" w:rsidRDefault="00A77B3E" w:rsidP="005A68CD">
      <w:pPr>
        <w:adjustRightInd w:val="0"/>
        <w:snapToGrid w:val="0"/>
        <w:spacing w:line="360" w:lineRule="auto"/>
        <w:jc w:val="both"/>
      </w:pPr>
    </w:p>
    <w:p w14:paraId="444D8411" w14:textId="77777777"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Köseoğlu H, Düzenli T and Sezikli M contributed equally to this</w:t>
      </w:r>
      <w:r w:rsidR="00104380">
        <w:rPr>
          <w:rFonts w:ascii="Book Antiqua" w:eastAsia="Book Antiqua" w:hAnsi="Book Antiqua" w:cs="Book Antiqua"/>
          <w:color w:val="000000"/>
          <w:shd w:val="clear" w:color="auto" w:fill="FFFFFF"/>
        </w:rPr>
        <w:t xml:space="preserve"> work; Köseoğlu H and Düzenli T</w:t>
      </w:r>
      <w:r>
        <w:rPr>
          <w:rFonts w:ascii="Book Antiqua" w:eastAsia="Book Antiqua" w:hAnsi="Book Antiqua" w:cs="Book Antiqua"/>
          <w:color w:val="000000"/>
          <w:shd w:val="clear" w:color="auto" w:fill="FFFFFF"/>
        </w:rPr>
        <w:t xml:space="preserve"> designed the research study; Köseoğlu H, Düzenli T and Sezikli M analyzed the recent literature and took part in writing the manuscript; All authors have read and approve the final manuscript.</w:t>
      </w:r>
    </w:p>
    <w:p w14:paraId="6CD06B3F" w14:textId="77777777" w:rsidR="00A77B3E" w:rsidRDefault="00A77B3E" w:rsidP="005A68CD">
      <w:pPr>
        <w:adjustRightInd w:val="0"/>
        <w:snapToGrid w:val="0"/>
        <w:spacing w:line="360" w:lineRule="auto"/>
        <w:jc w:val="both"/>
      </w:pPr>
    </w:p>
    <w:p w14:paraId="12AF3F62" w14:textId="77777777"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Corresponding author: Hüseyin Köseoğlu, MD, Associate Professor, </w:t>
      </w:r>
      <w:r>
        <w:rPr>
          <w:rFonts w:ascii="Book Antiqua" w:eastAsia="Book Antiqua" w:hAnsi="Book Antiqua" w:cs="Book Antiqua"/>
          <w:color w:val="000000"/>
        </w:rPr>
        <w:t>Department of Gastroenterology, Hitit University, Faculty of Medicine, Çorum 19200, Turkey. huseyinko@yahoo.com</w:t>
      </w:r>
    </w:p>
    <w:p w14:paraId="681F50DD" w14:textId="77777777" w:rsidR="00A77B3E" w:rsidRDefault="00A77B3E" w:rsidP="005A68CD">
      <w:pPr>
        <w:adjustRightInd w:val="0"/>
        <w:snapToGrid w:val="0"/>
        <w:spacing w:line="360" w:lineRule="auto"/>
        <w:jc w:val="both"/>
      </w:pPr>
    </w:p>
    <w:p w14:paraId="146E2C51" w14:textId="77777777"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20, 2021</w:t>
      </w:r>
    </w:p>
    <w:p w14:paraId="61A6E6D5" w14:textId="77777777"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19, 2021</w:t>
      </w:r>
    </w:p>
    <w:p w14:paraId="5AF25730" w14:textId="270D5D9B" w:rsidR="00A77B3E" w:rsidRPr="006C7D93" w:rsidRDefault="00A27C93" w:rsidP="005A68CD">
      <w:pPr>
        <w:adjustRightInd w:val="0"/>
        <w:snapToGrid w:val="0"/>
        <w:spacing w:line="360" w:lineRule="auto"/>
        <w:jc w:val="both"/>
      </w:pPr>
      <w:r>
        <w:rPr>
          <w:rFonts w:ascii="Book Antiqua" w:eastAsia="Book Antiqua" w:hAnsi="Book Antiqua" w:cs="Book Antiqua"/>
          <w:b/>
          <w:bCs/>
          <w:color w:val="000000"/>
        </w:rPr>
        <w:t>Accepted:</w:t>
      </w:r>
      <w:r w:rsidRPr="006C7D93">
        <w:rPr>
          <w:rFonts w:ascii="Book Antiqua" w:eastAsia="Book Antiqua" w:hAnsi="Book Antiqua" w:cs="Book Antiqua"/>
          <w:color w:val="000000"/>
        </w:rPr>
        <w:t xml:space="preserve"> </w:t>
      </w:r>
      <w:r w:rsidR="006C7D93" w:rsidRPr="006C7D93">
        <w:rPr>
          <w:rFonts w:ascii="Book Antiqua" w:eastAsia="Book Antiqua" w:hAnsi="Book Antiqua" w:cs="Book Antiqua"/>
          <w:color w:val="000000"/>
        </w:rPr>
        <w:t>A</w:t>
      </w:r>
      <w:r w:rsidR="006C7D93" w:rsidRPr="006C7D93">
        <w:rPr>
          <w:rFonts w:ascii="Book Antiqua" w:hAnsi="Book Antiqua" w:cs="Book Antiqua"/>
          <w:color w:val="000000"/>
          <w:lang w:eastAsia="zh-CN"/>
        </w:rPr>
        <w:t>ug</w:t>
      </w:r>
      <w:r w:rsidR="006C7D93" w:rsidRPr="006C7D93">
        <w:rPr>
          <w:rFonts w:ascii="Book Antiqua" w:eastAsia="Book Antiqua" w:hAnsi="Book Antiqua" w:cs="Book Antiqua"/>
          <w:color w:val="000000"/>
        </w:rPr>
        <w:t>ust 18, 2021</w:t>
      </w:r>
    </w:p>
    <w:p w14:paraId="1E07B62A" w14:textId="229BCB0B"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Published online: </w:t>
      </w:r>
      <w:r w:rsidR="008011C1" w:rsidRPr="00980844">
        <w:rPr>
          <w:rFonts w:ascii="Book Antiqua" w:eastAsia="Book Antiqua" w:hAnsi="Book Antiqua" w:cs="Book Antiqua"/>
          <w:bCs/>
          <w:color w:val="000000"/>
        </w:rPr>
        <w:t xml:space="preserve">September </w:t>
      </w:r>
      <w:r w:rsidR="008011C1">
        <w:rPr>
          <w:rFonts w:ascii="Book Antiqua" w:hAnsi="Book Antiqua" w:cs="Book Antiqua" w:hint="eastAsia"/>
          <w:bCs/>
          <w:color w:val="000000"/>
          <w:lang w:eastAsia="zh-CN"/>
        </w:rPr>
        <w:t>2</w:t>
      </w:r>
      <w:r w:rsidR="008011C1" w:rsidRPr="00980844">
        <w:rPr>
          <w:rFonts w:ascii="Book Antiqua" w:eastAsia="Book Antiqua" w:hAnsi="Book Antiqua" w:cs="Book Antiqua"/>
          <w:bCs/>
          <w:color w:val="000000"/>
        </w:rPr>
        <w:t>6</w:t>
      </w:r>
      <w:r w:rsidR="008011C1" w:rsidRPr="00980844">
        <w:rPr>
          <w:rFonts w:ascii="Book Antiqua" w:hAnsi="Book Antiqua" w:cs="Book Antiqua" w:hint="eastAsia"/>
          <w:bCs/>
          <w:color w:val="000000"/>
          <w:lang w:eastAsia="zh-CN"/>
        </w:rPr>
        <w:t>, 2021</w:t>
      </w:r>
    </w:p>
    <w:p w14:paraId="28E4280D" w14:textId="77777777" w:rsidR="00A77B3E" w:rsidRDefault="00A77B3E" w:rsidP="005A68CD">
      <w:pPr>
        <w:adjustRightInd w:val="0"/>
        <w:snapToGrid w:val="0"/>
        <w:spacing w:line="360" w:lineRule="auto"/>
        <w:jc w:val="both"/>
        <w:sectPr w:rsidR="00A77B3E">
          <w:footerReference w:type="default" r:id="rId7"/>
          <w:pgSz w:w="12240" w:h="15840"/>
          <w:pgMar w:top="1440" w:right="1440" w:bottom="1440" w:left="1440" w:header="720" w:footer="720" w:gutter="0"/>
          <w:cols w:space="720"/>
          <w:docGrid w:linePitch="360"/>
        </w:sectPr>
      </w:pPr>
    </w:p>
    <w:p w14:paraId="53E13671"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lastRenderedPageBreak/>
        <w:t>Abstract</w:t>
      </w:r>
    </w:p>
    <w:p w14:paraId="01F25DFA" w14:textId="58CA4925" w:rsidR="00A77B3E" w:rsidRDefault="00A27C93" w:rsidP="005A68CD">
      <w:pPr>
        <w:adjustRightInd w:val="0"/>
        <w:snapToGrid w:val="0"/>
        <w:spacing w:line="360" w:lineRule="auto"/>
        <w:jc w:val="both"/>
      </w:pPr>
      <w:r>
        <w:rPr>
          <w:rFonts w:ascii="Book Antiqua" w:eastAsia="Book Antiqua" w:hAnsi="Book Antiqua" w:cs="Book Antiqua"/>
          <w:color w:val="000000"/>
          <w:szCs w:val="22"/>
        </w:rPr>
        <w:t>Gastric neuroendocrine neoplasms (g-NENs) or neuroendocrine tumors are generally slow-growing tumors with increasing incidence. They arise from enterochromaffin like cells and are divided into four types according to clinical characteristic features. Type 1 and 2 are gastrin dependent, whereas type 3 and 4 are sporadic. The reason for hypergastrinemia is atrophic gastritis in type 1, and gastrin releasing tumor (gastrinoma) in type 2 g-NEN. The diagnosis of g-NENs needs histopathological investigation taken by upper gastrointestinal endoscopy. g-NENs are positively stained with chomogranin A and synaptophysin. Grading is made with mitotic index and ki-67 proliferation index on histopathological analysis. It is crucial to discriminate between types of g-NENs, because the management, treatment and prognosis differ significantly between subtypes. Treatment options for g-NENs include endoscopic resection, surgical resection with or without antrectomy, medical treatment with somatostatin analogues, netazepide or chemotherapy regimens. Follow-up without excision is another option in appropriate cases. The prognosis of type 1 and 2 g-NENs are good, whereas the prognosis of type 3 and 4 g-NENs are close to the prognosis of gastric adenocancer.</w:t>
      </w:r>
    </w:p>
    <w:p w14:paraId="4A0BF9E4" w14:textId="77777777" w:rsidR="00A77B3E" w:rsidRDefault="00A77B3E" w:rsidP="005A68CD">
      <w:pPr>
        <w:adjustRightInd w:val="0"/>
        <w:snapToGrid w:val="0"/>
        <w:spacing w:line="360" w:lineRule="auto"/>
        <w:jc w:val="both"/>
      </w:pPr>
    </w:p>
    <w:p w14:paraId="487E70E7" w14:textId="77777777"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Gastric neuroendocrine tumors; Gastric neuroendocrine neoplasm; Gastric neuroendocrine carcinoma; Hypergastrinemia; Carcinoid; Somatostatin receptor imaging</w:t>
      </w:r>
    </w:p>
    <w:p w14:paraId="4C723A58" w14:textId="77777777" w:rsidR="00C90D47" w:rsidRDefault="00C90D47" w:rsidP="00C90D47">
      <w:pPr>
        <w:spacing w:line="360" w:lineRule="auto"/>
        <w:jc w:val="both"/>
        <w:rPr>
          <w:lang w:eastAsia="zh-CN"/>
        </w:rPr>
      </w:pPr>
    </w:p>
    <w:p w14:paraId="55351391" w14:textId="77777777" w:rsidR="00C90D47" w:rsidRPr="00026CB8" w:rsidRDefault="00C90D47" w:rsidP="00C90D4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5BE2CEE" w14:textId="77777777" w:rsidR="00A77B3E" w:rsidRDefault="00A77B3E" w:rsidP="005A68CD">
      <w:pPr>
        <w:adjustRightInd w:val="0"/>
        <w:snapToGrid w:val="0"/>
        <w:spacing w:line="360" w:lineRule="auto"/>
        <w:jc w:val="both"/>
      </w:pPr>
    </w:p>
    <w:p w14:paraId="72E00119" w14:textId="0CC0F00B" w:rsidR="008A1CCA" w:rsidRDefault="008A1CCA" w:rsidP="005A68CD">
      <w:pPr>
        <w:adjustRightInd w:val="0"/>
        <w:snapToGrid w:val="0"/>
        <w:spacing w:line="360" w:lineRule="auto"/>
        <w:jc w:val="both"/>
        <w:rPr>
          <w:rFonts w:ascii="Book Antiqua" w:hAnsi="Book Antiqua" w:hint="eastAsia"/>
          <w:lang w:eastAsia="zh-CN"/>
        </w:rPr>
      </w:pPr>
      <w:r w:rsidRPr="008A1CCA">
        <w:rPr>
          <w:rFonts w:ascii="Book Antiqua" w:hAnsi="Book Antiqua" w:cs="Book Antiqua" w:hint="eastAsia"/>
          <w:b/>
          <w:color w:val="000000"/>
          <w:lang w:eastAsia="zh-CN"/>
        </w:rPr>
        <w:t xml:space="preserve">Citation: </w:t>
      </w:r>
      <w:r w:rsidR="00A27C93">
        <w:rPr>
          <w:rFonts w:ascii="Book Antiqua" w:eastAsia="Book Antiqua" w:hAnsi="Book Antiqua" w:cs="Book Antiqua"/>
          <w:color w:val="000000"/>
        </w:rPr>
        <w:t xml:space="preserve">Köseoğlu H, Duzenli T, Sezikli M. </w:t>
      </w:r>
      <w:r w:rsidR="00EC239E" w:rsidRPr="00EC239E">
        <w:rPr>
          <w:rFonts w:ascii="Book Antiqua" w:eastAsia="Book Antiqua" w:hAnsi="Book Antiqua" w:cs="Book Antiqua"/>
          <w:color w:val="000000"/>
        </w:rPr>
        <w:t>Gastric neuroendocrine neoplasms: A review</w:t>
      </w:r>
      <w:r w:rsidR="00A27C93">
        <w:rPr>
          <w:rFonts w:ascii="Book Antiqua" w:eastAsia="Book Antiqua" w:hAnsi="Book Antiqua" w:cs="Book Antiqua"/>
          <w:color w:val="000000"/>
        </w:rPr>
        <w:t xml:space="preserve">. </w:t>
      </w:r>
      <w:r w:rsidR="00A27C93">
        <w:rPr>
          <w:rFonts w:ascii="Book Antiqua" w:eastAsia="Book Antiqua" w:hAnsi="Book Antiqua" w:cs="Book Antiqua"/>
          <w:i/>
          <w:iCs/>
          <w:color w:val="000000"/>
        </w:rPr>
        <w:t>World J Clin Cases</w:t>
      </w:r>
      <w:r w:rsidR="00A27C93">
        <w:rPr>
          <w:rFonts w:ascii="Book Antiqua" w:eastAsia="Book Antiqua" w:hAnsi="Book Antiqua" w:cs="Book Antiqua"/>
          <w:color w:val="000000"/>
        </w:rPr>
        <w:t xml:space="preserve"> </w:t>
      </w:r>
      <w:r w:rsidR="0067130C" w:rsidRPr="00EE6A3B">
        <w:rPr>
          <w:rFonts w:ascii="Book Antiqua" w:hAnsi="Book Antiqua"/>
        </w:rPr>
        <w:t>202</w:t>
      </w:r>
      <w:r w:rsidR="0067130C">
        <w:rPr>
          <w:rFonts w:ascii="Book Antiqua" w:hAnsi="Book Antiqua" w:hint="eastAsia"/>
          <w:lang w:eastAsia="zh-CN"/>
        </w:rPr>
        <w:t>1</w:t>
      </w:r>
      <w:r w:rsidR="0067130C" w:rsidRPr="00EE6A3B">
        <w:rPr>
          <w:rFonts w:ascii="Book Antiqua" w:hAnsi="Book Antiqua"/>
        </w:rPr>
        <w:t xml:space="preserve">; </w:t>
      </w:r>
      <w:r w:rsidR="0067130C">
        <w:rPr>
          <w:rFonts w:ascii="Book Antiqua" w:hAnsi="Book Antiqua" w:hint="eastAsia"/>
          <w:lang w:eastAsia="zh-CN"/>
        </w:rPr>
        <w:t>9</w:t>
      </w:r>
      <w:r w:rsidR="0067130C" w:rsidRPr="00EE6A3B">
        <w:rPr>
          <w:rFonts w:ascii="Book Antiqua" w:hAnsi="Book Antiqua"/>
        </w:rPr>
        <w:t>(</w:t>
      </w:r>
      <w:r w:rsidR="0067130C">
        <w:rPr>
          <w:rFonts w:ascii="Book Antiqua" w:hAnsi="Book Antiqua" w:hint="eastAsia"/>
          <w:lang w:eastAsia="zh-CN"/>
        </w:rPr>
        <w:t>27</w:t>
      </w:r>
      <w:r w:rsidR="0067130C" w:rsidRPr="00EE6A3B">
        <w:rPr>
          <w:rFonts w:ascii="Book Antiqua" w:hAnsi="Book Antiqua"/>
        </w:rPr>
        <w:t xml:space="preserve">): </w:t>
      </w:r>
      <w:r w:rsidR="00C37C75" w:rsidRPr="00C37C75">
        <w:rPr>
          <w:rFonts w:ascii="Book Antiqua" w:hAnsi="Book Antiqua"/>
        </w:rPr>
        <w:t>7973-7985</w:t>
      </w:r>
      <w:r w:rsidR="0067130C" w:rsidRPr="00EE6A3B">
        <w:rPr>
          <w:rFonts w:ascii="Book Antiqua" w:hAnsi="Book Antiqua"/>
        </w:rPr>
        <w:t xml:space="preserve"> </w:t>
      </w:r>
    </w:p>
    <w:p w14:paraId="3E55CBFE" w14:textId="77777777" w:rsidR="008A1CCA" w:rsidRDefault="0067130C" w:rsidP="005A68CD">
      <w:pPr>
        <w:adjustRightInd w:val="0"/>
        <w:snapToGrid w:val="0"/>
        <w:spacing w:line="360" w:lineRule="auto"/>
        <w:jc w:val="both"/>
        <w:rPr>
          <w:rFonts w:ascii="Book Antiqua" w:hAnsi="Book Antiqua" w:hint="eastAsia"/>
          <w:lang w:eastAsia="zh-CN"/>
        </w:rPr>
      </w:pPr>
      <w:r w:rsidRPr="008A1CCA">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27</w:t>
      </w:r>
      <w:r w:rsidRPr="00EE6A3B">
        <w:rPr>
          <w:rFonts w:ascii="Book Antiqua" w:hAnsi="Book Antiqua"/>
        </w:rPr>
        <w:t>/</w:t>
      </w:r>
      <w:r w:rsidR="008A1CCA" w:rsidRPr="00C37C75">
        <w:rPr>
          <w:rFonts w:ascii="Book Antiqua" w:hAnsi="Book Antiqua"/>
        </w:rPr>
        <w:t>7973</w:t>
      </w:r>
      <w:r w:rsidRPr="00EE6A3B">
        <w:rPr>
          <w:rFonts w:ascii="Book Antiqua" w:hAnsi="Book Antiqua"/>
        </w:rPr>
        <w:t xml:space="preserve">.htm  </w:t>
      </w:r>
    </w:p>
    <w:p w14:paraId="5BCE6639" w14:textId="7C7FAF54" w:rsidR="00A77B3E" w:rsidRDefault="0067130C" w:rsidP="005A68CD">
      <w:pPr>
        <w:adjustRightInd w:val="0"/>
        <w:snapToGrid w:val="0"/>
        <w:spacing w:line="360" w:lineRule="auto"/>
        <w:jc w:val="both"/>
      </w:pPr>
      <w:r w:rsidRPr="008A1CCA">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27</w:t>
      </w:r>
      <w:r w:rsidRPr="00EE6A3B">
        <w:rPr>
          <w:rFonts w:ascii="Book Antiqua" w:hAnsi="Book Antiqua"/>
        </w:rPr>
        <w:t>.</w:t>
      </w:r>
      <w:r w:rsidR="008A1CCA" w:rsidRPr="008A1CCA">
        <w:rPr>
          <w:rFonts w:ascii="Book Antiqua" w:hAnsi="Book Antiqua"/>
        </w:rPr>
        <w:t>7973</w:t>
      </w:r>
    </w:p>
    <w:p w14:paraId="183488A7" w14:textId="77777777" w:rsidR="00A77B3E" w:rsidRDefault="00A77B3E" w:rsidP="005A68CD">
      <w:pPr>
        <w:adjustRightInd w:val="0"/>
        <w:snapToGrid w:val="0"/>
        <w:spacing w:line="360" w:lineRule="auto"/>
        <w:jc w:val="both"/>
      </w:pPr>
    </w:p>
    <w:p w14:paraId="326B3062" w14:textId="77777777"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Gastric neuroendocrine neoplasm is an indolent tumor, which is more commonly seen with time. It has 4 subtypes with different clinical characteristics, and diagnostic management and treatment depends on subtypes. This article reviews the history of neuroendocrine tumors, the epidemiology, pathogenesis, clinical aspects and treatment options in patients with gastric neuroendocrine neoplasms.</w:t>
      </w:r>
    </w:p>
    <w:p w14:paraId="552BDE8A" w14:textId="77777777" w:rsidR="00A77B3E" w:rsidRDefault="00A77B3E" w:rsidP="005A68CD">
      <w:pPr>
        <w:adjustRightInd w:val="0"/>
        <w:snapToGrid w:val="0"/>
        <w:spacing w:line="360" w:lineRule="auto"/>
        <w:jc w:val="both"/>
      </w:pPr>
    </w:p>
    <w:p w14:paraId="0F054427" w14:textId="77777777" w:rsidR="00A77B3E" w:rsidRDefault="00A27C93" w:rsidP="005A68CD">
      <w:pPr>
        <w:adjustRightInd w:val="0"/>
        <w:snapToGrid w:val="0"/>
        <w:spacing w:line="360" w:lineRule="auto"/>
        <w:jc w:val="both"/>
      </w:pPr>
      <w:r>
        <w:rPr>
          <w:rFonts w:ascii="Book Antiqua" w:eastAsia="Book Antiqua" w:hAnsi="Book Antiqua" w:cs="Book Antiqua"/>
          <w:b/>
          <w:caps/>
          <w:color w:val="000000"/>
          <w:u w:val="single"/>
        </w:rPr>
        <w:t>INTRODUCTION</w:t>
      </w:r>
    </w:p>
    <w:p w14:paraId="581454D9"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The term “carcinoid” was firstly used in 1907 to define a slowly progressing tumor somewhere between adenoma and carcinoma</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When it was first described, the main features of carcinoids were determined as follows: (1) Usually small and multiple; (2) </w:t>
      </w:r>
      <w:r>
        <w:rPr>
          <w:rFonts w:ascii="Book Antiqua" w:eastAsia="Book Antiqua" w:hAnsi="Book Antiqua" w:cs="Book Antiqua"/>
          <w:caps/>
          <w:color w:val="000000"/>
        </w:rPr>
        <w:t>s</w:t>
      </w:r>
      <w:r>
        <w:rPr>
          <w:rFonts w:ascii="Book Antiqua" w:eastAsia="Book Antiqua" w:hAnsi="Book Antiqua" w:cs="Book Antiqua"/>
          <w:color w:val="000000"/>
        </w:rPr>
        <w:t xml:space="preserve">urrounded by an undifferentiated tissue; (3) </w:t>
      </w:r>
      <w:r>
        <w:rPr>
          <w:rFonts w:ascii="Book Antiqua" w:eastAsia="Book Antiqua" w:hAnsi="Book Antiqua" w:cs="Book Antiqua"/>
          <w:caps/>
          <w:color w:val="000000"/>
        </w:rPr>
        <w:t>p</w:t>
      </w:r>
      <w:r>
        <w:rPr>
          <w:rFonts w:ascii="Book Antiqua" w:eastAsia="Book Antiqua" w:hAnsi="Book Antiqua" w:cs="Book Antiqua"/>
          <w:color w:val="000000"/>
        </w:rPr>
        <w:t xml:space="preserve">otentially invasive but they do not metastasize; and (4) </w:t>
      </w:r>
      <w:r>
        <w:rPr>
          <w:rFonts w:ascii="Book Antiqua" w:eastAsia="Book Antiqua" w:hAnsi="Book Antiqua" w:cs="Book Antiqua"/>
          <w:caps/>
          <w:color w:val="000000"/>
        </w:rPr>
        <w:t>g</w:t>
      </w:r>
      <w:r>
        <w:rPr>
          <w:rFonts w:ascii="Book Antiqua" w:eastAsia="Book Antiqua" w:hAnsi="Book Antiqua" w:cs="Book Antiqua"/>
          <w:color w:val="000000"/>
        </w:rPr>
        <w:t>row slowly and therefore considered as harmless</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After the first description, various definitions and classifications have been used over years, which illustrates the complex biological nature of these tumors. In 1963 Williams and Sandler classified carcinoid tumors as foregut, midgut and hindgut according to embryological development sites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Later, Soga and Tazawa classified carcinoids according to histological features as A, B, C, D and mixed type</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Capella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stated that the term neuroendocrine tumor (NET) would be more appropriate instead of carcinoid and proposed a new classification system. They classified NETs of the stomach as benign, benign or low-grade malignant, low-grade malignant and high-grade malignant.</w:t>
      </w:r>
    </w:p>
    <w:p w14:paraId="1F07EA04" w14:textId="77E9E2CB"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The World Health Organization (WHO) classified neuroendocrine neoplasms (NENs) as Grade 1, 2 and 3 according to Ki-67 proliferation index and mitotic activity in 2010</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In 2017 this classification was changed and NENs were divided into NET and neuroendocrine carcinoma (NEC) according to tumor grade, independently where the tumor arises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A less common type is mixed neuroendocrine</w:t>
      </w:r>
      <w:r w:rsidR="00B77C21">
        <w:rPr>
          <w:rFonts w:ascii="Book Antiqua" w:hAnsi="Book Antiqua" w:cs="Book Antiqua" w:hint="eastAsia"/>
          <w:color w:val="000000"/>
          <w:lang w:eastAsia="zh-CN"/>
        </w:rPr>
        <w:t xml:space="preserve"> </w:t>
      </w:r>
      <w:r>
        <w:rPr>
          <w:rFonts w:ascii="Book Antiqua" w:eastAsia="Book Antiqua" w:hAnsi="Book Antiqua" w:cs="Book Antiqua"/>
          <w:color w:val="000000"/>
        </w:rPr>
        <w:t>non-neuroendocrine neoplasm (MiNEN), which includes both neuroendocrine tumor and non-neuroendocrine tumor components (each neoplasms constitute more than 30% of the entire tumor)</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The proposed classification and staging criteria for NENs of the gastrointestinal tract according to 2017 WHO classification is summarized in Table 1</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0DA9657C" w14:textId="77777777" w:rsidR="00A77B3E" w:rsidRDefault="00A77B3E" w:rsidP="005A68CD">
      <w:pPr>
        <w:adjustRightInd w:val="0"/>
        <w:snapToGrid w:val="0"/>
        <w:spacing w:line="360" w:lineRule="auto"/>
        <w:ind w:firstLine="480"/>
        <w:jc w:val="both"/>
      </w:pPr>
    </w:p>
    <w:p w14:paraId="36A70B35" w14:textId="77777777" w:rsidR="00A77B3E" w:rsidRDefault="00A27C93" w:rsidP="005A68CD">
      <w:pPr>
        <w:adjustRightInd w:val="0"/>
        <w:snapToGrid w:val="0"/>
        <w:spacing w:line="360" w:lineRule="auto"/>
        <w:jc w:val="both"/>
      </w:pPr>
      <w:r>
        <w:rPr>
          <w:rFonts w:ascii="Book Antiqua" w:eastAsia="Book Antiqua" w:hAnsi="Book Antiqua" w:cs="Book Antiqua"/>
          <w:b/>
          <w:bCs/>
          <w:caps/>
          <w:color w:val="000000"/>
          <w:u w:val="single"/>
        </w:rPr>
        <w:t>Epidemiology and types of NENs of the stomach</w:t>
      </w:r>
    </w:p>
    <w:p w14:paraId="4165BCD5"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NENs of the digestive system may arise from the pancreas and the digestive tract. Gastric NENs (g-NENs) are uncommon disorders, and represent 5% to 23% of all digestive NENs in various trials</w:t>
      </w:r>
      <w:r>
        <w:rPr>
          <w:rFonts w:ascii="Book Antiqua" w:eastAsia="Book Antiqua" w:hAnsi="Book Antiqua" w:cs="Book Antiqua"/>
          <w:color w:val="000000"/>
          <w:szCs w:val="20"/>
          <w:vertAlign w:val="superscript"/>
        </w:rPr>
        <w:t>[9-14]</w:t>
      </w:r>
      <w:r>
        <w:rPr>
          <w:rFonts w:ascii="Book Antiqua" w:eastAsia="Book Antiqua" w:hAnsi="Book Antiqua" w:cs="Book Antiqua"/>
          <w:color w:val="000000"/>
        </w:rPr>
        <w:t>. The incidence of g-NENs increases nearly 15-fold with time, probable because of the expanding use of upper gastrointestinal endoscopy</w:t>
      </w:r>
      <w:r>
        <w:rPr>
          <w:rFonts w:ascii="Book Antiqua" w:eastAsia="Book Antiqua" w:hAnsi="Book Antiqua" w:cs="Book Antiqua"/>
          <w:color w:val="000000"/>
          <w:szCs w:val="20"/>
          <w:vertAlign w:val="superscript"/>
        </w:rPr>
        <w:t>[9,15]</w:t>
      </w:r>
      <w:r>
        <w:rPr>
          <w:rFonts w:ascii="Book Antiqua" w:eastAsia="Book Antiqua" w:hAnsi="Book Antiqua" w:cs="Book Antiqua"/>
          <w:color w:val="000000"/>
        </w:rPr>
        <w:t>. A recent study showed that the incidence of g-NENs increased from 0.309 to 6.149 per 1000000 persons in the last 40 years</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Similar incidence results were reported in a study from Japan with an adjusted incidence of 4.82 per 1000000 population</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w:t>
      </w:r>
    </w:p>
    <w:p w14:paraId="770A0347"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 xml:space="preserve">Rindi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defined three different subtypes of g-NENs. They showed that some patients had atrophic gastritis and hypergastrinemia along with non-metastatic lesions, some patients had hypertrophic gastropathy and hypergastrinemia due to multiple endocrine neoplasia (MEN) and Zollinger-Ellison syndrome and finally some NENs were sporadic which showed invasion and metastasis</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This classification is still in use and with further knowledge the three types of g-NENs may be summarized as followed, along with a newly defined fourth type (Table 2).</w:t>
      </w:r>
    </w:p>
    <w:p w14:paraId="562CBB12" w14:textId="77777777" w:rsidR="00A77B3E" w:rsidRDefault="00A77B3E" w:rsidP="005A68CD">
      <w:pPr>
        <w:adjustRightInd w:val="0"/>
        <w:snapToGrid w:val="0"/>
        <w:spacing w:line="360" w:lineRule="auto"/>
        <w:ind w:firstLine="480"/>
        <w:jc w:val="both"/>
      </w:pPr>
    </w:p>
    <w:p w14:paraId="0D117A2F"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Type 1 g-NEN</w:t>
      </w:r>
    </w:p>
    <w:p w14:paraId="72890BFA"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Type 1 is the most common type and represents 70-80% of g-NENs</w:t>
      </w:r>
      <w:r>
        <w:rPr>
          <w:rFonts w:ascii="Book Antiqua" w:eastAsia="Book Antiqua" w:hAnsi="Book Antiqua" w:cs="Book Antiqua"/>
          <w:color w:val="000000"/>
          <w:szCs w:val="20"/>
          <w:vertAlign w:val="superscript"/>
        </w:rPr>
        <w:t>[9,19]</w:t>
      </w:r>
      <w:r>
        <w:rPr>
          <w:rFonts w:ascii="Book Antiqua" w:eastAsia="Book Antiqua" w:hAnsi="Book Antiqua" w:cs="Book Antiqua"/>
          <w:color w:val="000000"/>
        </w:rPr>
        <w:t>. It is commonly seen in patients with 60-70 years of age and a slight female dominancy is present</w:t>
      </w:r>
      <w:r>
        <w:rPr>
          <w:rFonts w:ascii="Book Antiqua" w:eastAsia="Book Antiqua" w:hAnsi="Book Antiqua" w:cs="Book Antiqua"/>
          <w:color w:val="000000"/>
          <w:szCs w:val="20"/>
          <w:vertAlign w:val="superscript"/>
        </w:rPr>
        <w:t>[20,21]</w:t>
      </w:r>
      <w:r>
        <w:rPr>
          <w:rFonts w:ascii="Book Antiqua" w:eastAsia="Book Antiqua" w:hAnsi="Book Antiqua" w:cs="Book Antiqua"/>
          <w:color w:val="000000"/>
        </w:rPr>
        <w:t>. Chronic atrophic gastritis is present along with elevated gastrin levels. The elevated gastrin level due to chronic atrophic gastritis has a trophic effect on enterochromaffin-like (ECL) cells, with ECL cell hypertrophy and hyperplasia as the result</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Annual risk of development of g-NENs among patients with chronic atrophic gastritis is around 0.4%-0.7%</w:t>
      </w:r>
      <w:r>
        <w:rPr>
          <w:rFonts w:ascii="Book Antiqua" w:eastAsia="Book Antiqua" w:hAnsi="Book Antiqua" w:cs="Book Antiqua"/>
          <w:color w:val="000000"/>
          <w:szCs w:val="20"/>
          <w:vertAlign w:val="superscript"/>
        </w:rPr>
        <w:t>[23,24]</w:t>
      </w:r>
      <w:r>
        <w:rPr>
          <w:rFonts w:ascii="Book Antiqua" w:eastAsia="Book Antiqua" w:hAnsi="Book Antiqua" w:cs="Book Antiqua"/>
          <w:color w:val="000000"/>
        </w:rPr>
        <w:t>. Most of the lesions in type 1 g-NENs are multiple and are around 1-2 cm. The lymph node metastasis potential of type 1 g-NENs is low and only few cases of distant metastasis have been reported to date</w:t>
      </w:r>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 The prognosis is good and the expected 5 year survival is over 95%</w:t>
      </w:r>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w:t>
      </w:r>
    </w:p>
    <w:p w14:paraId="0E9D6AC9" w14:textId="77777777" w:rsidR="00A77B3E" w:rsidRDefault="00A77B3E" w:rsidP="005A68CD">
      <w:pPr>
        <w:adjustRightInd w:val="0"/>
        <w:snapToGrid w:val="0"/>
        <w:spacing w:line="360" w:lineRule="auto"/>
        <w:jc w:val="both"/>
      </w:pPr>
    </w:p>
    <w:p w14:paraId="48166953"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Type 2 g-NEN</w:t>
      </w:r>
    </w:p>
    <w:p w14:paraId="1ED379DC"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Type 2 g-NEN constitutes 5% of g-NENs</w:t>
      </w:r>
      <w:r>
        <w:rPr>
          <w:rFonts w:ascii="Book Antiqua" w:eastAsia="Book Antiqua" w:hAnsi="Book Antiqua" w:cs="Book Antiqua"/>
          <w:color w:val="000000"/>
          <w:szCs w:val="20"/>
          <w:vertAlign w:val="superscript"/>
        </w:rPr>
        <w:t>[25,29]</w:t>
      </w:r>
      <w:r>
        <w:rPr>
          <w:rFonts w:ascii="Book Antiqua" w:eastAsia="Book Antiqua" w:hAnsi="Book Antiqua" w:cs="Book Antiqua"/>
          <w:color w:val="000000"/>
        </w:rPr>
        <w:t>. Hypergastrinemia is also present in these patients, but it is due to ectopic gastrin producing neoplasia (gastrinoma), which is also named as Zollinger-Ellison syndrome</w:t>
      </w:r>
      <w:r>
        <w:rPr>
          <w:rFonts w:ascii="Book Antiqua" w:eastAsia="Book Antiqua" w:hAnsi="Book Antiqua" w:cs="Book Antiqua"/>
          <w:color w:val="000000"/>
          <w:szCs w:val="20"/>
          <w:vertAlign w:val="superscript"/>
        </w:rPr>
        <w:t>[25,29,30]</w:t>
      </w:r>
      <w:r>
        <w:rPr>
          <w:rFonts w:ascii="Book Antiqua" w:eastAsia="Book Antiqua" w:hAnsi="Book Antiqua" w:cs="Book Antiqua"/>
          <w:color w:val="000000"/>
        </w:rPr>
        <w:t>. Among patients with MEN 1 and gastrinoma, 20% of patients will develop type 2 g-NEN</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Although type 2 g-NENs may present with metastasis for up to 30%, the prognosis is still good with tumor-related deaths under 10%</w:t>
      </w:r>
      <w:r>
        <w:rPr>
          <w:rFonts w:ascii="Book Antiqua" w:eastAsia="Book Antiqua" w:hAnsi="Book Antiqua" w:cs="Book Antiqua"/>
          <w:color w:val="000000"/>
          <w:szCs w:val="20"/>
          <w:vertAlign w:val="superscript"/>
        </w:rPr>
        <w:t>[9,32]</w:t>
      </w:r>
      <w:r>
        <w:rPr>
          <w:rFonts w:ascii="Book Antiqua" w:eastAsia="Book Antiqua" w:hAnsi="Book Antiqua" w:cs="Book Antiqua"/>
          <w:color w:val="000000"/>
        </w:rPr>
        <w:t>.</w:t>
      </w:r>
    </w:p>
    <w:p w14:paraId="31F6A532" w14:textId="77777777" w:rsidR="00A77B3E" w:rsidRDefault="00A77B3E" w:rsidP="005A68CD">
      <w:pPr>
        <w:adjustRightInd w:val="0"/>
        <w:snapToGrid w:val="0"/>
        <w:spacing w:line="360" w:lineRule="auto"/>
        <w:jc w:val="both"/>
      </w:pPr>
    </w:p>
    <w:p w14:paraId="5E2C3273"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Type 3 g-NEN</w:t>
      </w:r>
    </w:p>
    <w:p w14:paraId="609843F6"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This type of g-NEN is not associated with hypergastrinemia, and is therefore accepted as sporadic</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Type 3 g-NENs represents 15%-25% of g-NENs</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 lesion is commonly single and large with a high metastasis potential and high grade compared to type 1 and 2 g-NENs</w:t>
      </w:r>
      <w:r>
        <w:rPr>
          <w:rFonts w:ascii="Book Antiqua" w:eastAsia="Book Antiqua" w:hAnsi="Book Antiqua" w:cs="Book Antiqua"/>
          <w:color w:val="000000"/>
          <w:szCs w:val="20"/>
          <w:vertAlign w:val="superscript"/>
        </w:rPr>
        <w:t>[21,34,35]</w:t>
      </w:r>
      <w:r>
        <w:rPr>
          <w:rFonts w:ascii="Book Antiqua" w:eastAsia="Book Antiqua" w:hAnsi="Book Antiqua" w:cs="Book Antiqua"/>
          <w:color w:val="000000"/>
        </w:rPr>
        <w:t>.</w:t>
      </w:r>
    </w:p>
    <w:p w14:paraId="4C741A92" w14:textId="77777777" w:rsidR="00A77B3E" w:rsidRDefault="00A77B3E" w:rsidP="005A68CD">
      <w:pPr>
        <w:adjustRightInd w:val="0"/>
        <w:snapToGrid w:val="0"/>
        <w:spacing w:line="360" w:lineRule="auto"/>
        <w:jc w:val="both"/>
      </w:pPr>
    </w:p>
    <w:p w14:paraId="1D2C2397"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Type 4 g-NEN</w:t>
      </w:r>
    </w:p>
    <w:p w14:paraId="415E1572"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Type 4 g-NEN is a more recently defined type, which is the rarest subtype. They are not originated from ECL cells and their growth is independent from gastrin. Mostly the lesion presents as a large polypoid lesion localized anywhere in the stomach. Type 4 g-NENs are aggressive tumors with high invasion and metastasis potential</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p>
    <w:p w14:paraId="51699C17"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 xml:space="preserve">Trinh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investigated patients without atrophic gastritis or gastrinoma according to long term PPI use, and they showed that this group of NENs had some different clinical characteristics than type 3 g-NEN, including better prognosis. They suggested to classify g-NENS arising in moderate hypergastrinemia in patients who were treated continuously for a long period with PPI, without autoimmune chronic atrophic gastritis, gastrinoma, and MEN1 syndrome as a new group of g-NEN</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This suggestion needs further investigations. </w:t>
      </w:r>
    </w:p>
    <w:p w14:paraId="5B960ADA" w14:textId="77777777" w:rsidR="00A77B3E" w:rsidRDefault="00A77B3E" w:rsidP="005A68CD">
      <w:pPr>
        <w:adjustRightInd w:val="0"/>
        <w:snapToGrid w:val="0"/>
        <w:spacing w:line="360" w:lineRule="auto"/>
        <w:ind w:firstLine="480"/>
        <w:jc w:val="both"/>
      </w:pPr>
    </w:p>
    <w:p w14:paraId="262B27A3" w14:textId="77777777" w:rsidR="00A77B3E" w:rsidRDefault="00A27C93" w:rsidP="005A68CD">
      <w:pPr>
        <w:adjustRightInd w:val="0"/>
        <w:snapToGrid w:val="0"/>
        <w:spacing w:line="360" w:lineRule="auto"/>
        <w:jc w:val="both"/>
      </w:pPr>
      <w:r>
        <w:rPr>
          <w:rFonts w:ascii="Book Antiqua" w:eastAsia="Book Antiqua" w:hAnsi="Book Antiqua" w:cs="Book Antiqua"/>
          <w:b/>
          <w:bCs/>
          <w:caps/>
          <w:color w:val="000000"/>
          <w:u w:val="single"/>
        </w:rPr>
        <w:t>Pathogenesis of NENs of the stomach</w:t>
      </w:r>
    </w:p>
    <w:p w14:paraId="609C54E8"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It is known for years that elevated gastrin levels, which results commonly due to gastric acid inhibition, are associated with the hyperplasia, dysplasia and neoplasia development in ECL cells</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Furthermore the gastrin level was found to be correlated with the severity of hyperplasia</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Elevated serum gastrin levels are associated with type 1 and 2 g-NENs, with different mechanisms for hypergastrinemia.</w:t>
      </w:r>
    </w:p>
    <w:p w14:paraId="68722710"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 xml:space="preserve">Many factors and cells are involved in the physiological acid secretion. After food consumption, G cells which are placed in the gastric antrum release gastrin. Elevated gastrin levels stimulates ECL cells to produce histamine, and histamine stimulates parietal cells to produce acid. Normally, increased acid levels inhibits gastrin levels primarily </w:t>
      </w:r>
      <w:r>
        <w:rPr>
          <w:rFonts w:ascii="Book Antiqua" w:eastAsia="Book Antiqua" w:hAnsi="Book Antiqua" w:cs="Book Antiqua"/>
          <w:i/>
          <w:iCs/>
          <w:color w:val="000000"/>
        </w:rPr>
        <w:t>via</w:t>
      </w:r>
      <w:r>
        <w:rPr>
          <w:rFonts w:ascii="Book Antiqua" w:eastAsia="Book Antiqua" w:hAnsi="Book Antiqua" w:cs="Book Antiqua"/>
          <w:color w:val="000000"/>
        </w:rPr>
        <w:t xml:space="preserve"> somatostatin, which is released from D cells placed in the gastric antrum</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7E518865"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Chronic atrophic gastritis is involved in the pathogenesis of type 1 g-NEN. If chronic atrophic gastritis is associated with parietal cell or intrinsic factor antibodies the condition is named as pernicious anemia, and this is commonly present in patients with type 1 g-NEN</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Achlorhydria, which occurs in chronic atrophic gastritis, leads to D cell suppression and hypergastrinemia due to G cell hyperplasia. This hypergastrinemia is actually a physiological response to achlorhydria, but has also trophic effect on ECL cells, resulting in ECL cell hypertrophy and hyperplasia</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This alteration leads finally to the development of NEN</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Long term proton pump inhibitor use enhances the development of g-NEN in animal studies and case reports</w:t>
      </w:r>
      <w:r>
        <w:rPr>
          <w:rFonts w:ascii="Book Antiqua" w:eastAsia="Book Antiqua" w:hAnsi="Book Antiqua" w:cs="Book Antiqua"/>
          <w:color w:val="000000"/>
          <w:szCs w:val="20"/>
          <w:vertAlign w:val="superscript"/>
        </w:rPr>
        <w:t>[41,42]</w:t>
      </w:r>
      <w:r>
        <w:rPr>
          <w:rFonts w:ascii="Book Antiqua" w:eastAsia="Book Antiqua" w:hAnsi="Book Antiqua" w:cs="Book Antiqua"/>
          <w:color w:val="000000"/>
        </w:rPr>
        <w:t>, but various studies showed that chronic proton pump inhibitor use or vagotomy has no effect on g-NEN development</w:t>
      </w:r>
      <w:r>
        <w:rPr>
          <w:rFonts w:ascii="Book Antiqua" w:eastAsia="Book Antiqua" w:hAnsi="Book Antiqua" w:cs="Book Antiqua"/>
          <w:color w:val="000000"/>
          <w:szCs w:val="20"/>
          <w:vertAlign w:val="superscript"/>
        </w:rPr>
        <w:t>[29,43]</w:t>
      </w:r>
      <w:r>
        <w:rPr>
          <w:rFonts w:ascii="Book Antiqua" w:eastAsia="Book Antiqua" w:hAnsi="Book Antiqua" w:cs="Book Antiqua"/>
          <w:color w:val="000000"/>
        </w:rPr>
        <w:t>. This fact proves that hypergastrinemia is essential for type 1 g-NEN development but is not sufficient.</w:t>
      </w:r>
    </w:p>
    <w:p w14:paraId="18EA8700"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Type 2 g-NEN develops similar to type 1 due to hypergastrinemia. Conversely, hypergastrinemia and excess acid production is due to an ectopic gastrin-producing G cell neoplasia (gastrinoma). The neoplasia is located commonly in the duodenum or pancreas. In the case of gastrinoma the normal inhibitory feedback of hyperacidity on gastrin production is inadequate</w:t>
      </w:r>
      <w:r>
        <w:rPr>
          <w:rFonts w:ascii="Book Antiqua" w:eastAsia="Book Antiqua" w:hAnsi="Book Antiqua" w:cs="Book Antiqua"/>
          <w:color w:val="000000"/>
          <w:szCs w:val="20"/>
          <w:vertAlign w:val="superscript"/>
        </w:rPr>
        <w:t>[25,30]</w:t>
      </w:r>
      <w:r>
        <w:rPr>
          <w:rFonts w:ascii="Book Antiqua" w:eastAsia="Book Antiqua" w:hAnsi="Book Antiqua" w:cs="Book Antiqua"/>
          <w:color w:val="000000"/>
        </w:rPr>
        <w:t>. Patients with gastrinomas without NEN may not develop NEN, but they showed nevertheless a 168% increase of ECL cell volume compared to normal population</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Gastrinoma may or may not be a component of MEN-1. Compared to non-MEN 1 related gastrinomas, the potential of the development of g-NENs is increased in patients with MEN-1 induced gastrinomas</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7849CBA9"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In patients with type 3 g-NEN the gastrin and acid production are in normal ranges. The exact pathogenesis of type 3 g-NEN is not well known. Mutations of the p53 gene may have probable role in the pathogenesis of type 3 g-NEN</w:t>
      </w:r>
      <w:r>
        <w:rPr>
          <w:rFonts w:ascii="Book Antiqua" w:eastAsia="Book Antiqua" w:hAnsi="Book Antiqua" w:cs="Book Antiqua"/>
          <w:color w:val="000000"/>
          <w:szCs w:val="20"/>
          <w:vertAlign w:val="superscript"/>
        </w:rPr>
        <w:t>[46,47]</w:t>
      </w:r>
      <w:r>
        <w:rPr>
          <w:rFonts w:ascii="Book Antiqua" w:eastAsia="Book Antiqua" w:hAnsi="Book Antiqua" w:cs="Book Antiqua"/>
          <w:color w:val="000000"/>
        </w:rPr>
        <w:t>.</w:t>
      </w:r>
    </w:p>
    <w:p w14:paraId="4217093B"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The fact that g-NEN develops only in a minority of patients with chronic atrophic gastritis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suggests that other pathogenic factors than hypergastrinemia is involved in the development of g-NENs. Expression of glycoprotein hormone alpha-subunit, production of basic fibroblast growth factor and mutations of Reglalpha gene are examples for accused factors for g-NEN development</w:t>
      </w:r>
      <w:r>
        <w:rPr>
          <w:rFonts w:ascii="Book Antiqua" w:eastAsia="Book Antiqua" w:hAnsi="Book Antiqua" w:cs="Book Antiqua"/>
          <w:color w:val="000000"/>
          <w:szCs w:val="20"/>
          <w:vertAlign w:val="superscript"/>
        </w:rPr>
        <w:t>[48-50]</w:t>
      </w:r>
      <w:r>
        <w:rPr>
          <w:rFonts w:ascii="Book Antiqua" w:eastAsia="Book Antiqua" w:hAnsi="Book Antiqua" w:cs="Book Antiqua"/>
          <w:color w:val="000000"/>
        </w:rPr>
        <w:t>. MEN-1 associated gastrinoma is commonly related to type-2 g-NEN. But even patients with NEN without MEN-1 syndrome may have loss of heterozygosity (LOH) at the MEN-1 gene locus at 11q13. In a study LOH was detected in 50% of patients with type-1 g-NEN, and 75% of patients with type-2 g-NEN without MEN-1 syndrome</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w:t>
      </w:r>
      <w:r>
        <w:rPr>
          <w:rFonts w:ascii="Book Antiqua" w:eastAsia="Book Antiqua" w:hAnsi="Book Antiqua" w:cs="Book Antiqua"/>
          <w:color w:val="000000"/>
        </w:rPr>
        <w:t xml:space="preserve"> </w:t>
      </w:r>
      <w:r>
        <w:rPr>
          <w:rFonts w:ascii="Book Antiqua" w:eastAsia="Book Antiqua" w:hAnsi="Book Antiqua" w:cs="Book Antiqua"/>
          <w:i/>
          <w:iCs/>
          <w:color w:val="000000"/>
        </w:rPr>
        <w:t>pylori</w:t>
      </w:r>
      <w:r>
        <w:rPr>
          <w:rFonts w:ascii="Book Antiqua" w:eastAsia="Book Antiqua" w:hAnsi="Book Antiqua" w:cs="Book Antiqua"/>
          <w:color w:val="000000"/>
        </w:rPr>
        <w:t>) may also have an effect on the development of g-NENs</w:t>
      </w:r>
      <w:r>
        <w:rPr>
          <w:rFonts w:ascii="Book Antiqua" w:eastAsia="Book Antiqua" w:hAnsi="Book Antiqua" w:cs="Book Antiqua"/>
          <w:color w:val="000000"/>
          <w:szCs w:val="20"/>
          <w:vertAlign w:val="superscript"/>
        </w:rPr>
        <w:t>[52,53]</w:t>
      </w:r>
      <w:r>
        <w:rPr>
          <w:rFonts w:ascii="Book Antiqua" w:eastAsia="Book Antiqua" w:hAnsi="Book Antiqua" w:cs="Book Antiqua"/>
          <w:color w:val="000000"/>
        </w:rPr>
        <w:t xml:space="preserve">. </w:t>
      </w:r>
    </w:p>
    <w:p w14:paraId="08C9F993" w14:textId="77777777" w:rsidR="00A77B3E" w:rsidRDefault="00A77B3E" w:rsidP="005A68CD">
      <w:pPr>
        <w:adjustRightInd w:val="0"/>
        <w:snapToGrid w:val="0"/>
        <w:spacing w:line="360" w:lineRule="auto"/>
        <w:ind w:firstLine="480"/>
        <w:jc w:val="both"/>
      </w:pPr>
    </w:p>
    <w:p w14:paraId="47782769" w14:textId="77777777" w:rsidR="00A77B3E" w:rsidRDefault="00A27C93" w:rsidP="005A68CD">
      <w:pPr>
        <w:adjustRightInd w:val="0"/>
        <w:snapToGrid w:val="0"/>
        <w:spacing w:line="360" w:lineRule="auto"/>
        <w:jc w:val="both"/>
      </w:pPr>
      <w:r>
        <w:rPr>
          <w:rFonts w:ascii="Book Antiqua" w:eastAsia="Book Antiqua" w:hAnsi="Book Antiqua" w:cs="Book Antiqua"/>
          <w:b/>
          <w:bCs/>
          <w:caps/>
          <w:color w:val="000000"/>
          <w:u w:val="single"/>
        </w:rPr>
        <w:t>Clinical presentation and diagnosis</w:t>
      </w:r>
    </w:p>
    <w:p w14:paraId="678CCB06"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The clinical presentation of g-NENs are not specific and they are usually diagnosed during upper gastrointestinal endoscopy for upper gastrointestinal tract symptoms such as abdominal pain, nausea, bleeding or anemia</w:t>
      </w:r>
      <w:r>
        <w:rPr>
          <w:rFonts w:ascii="Book Antiqua" w:eastAsia="Book Antiqua" w:hAnsi="Book Antiqua" w:cs="Book Antiqua"/>
          <w:color w:val="000000"/>
          <w:szCs w:val="20"/>
          <w:vertAlign w:val="superscript"/>
        </w:rPr>
        <w:t>[19,28]</w:t>
      </w:r>
      <w:r>
        <w:rPr>
          <w:rFonts w:ascii="Book Antiqua" w:eastAsia="Book Antiqua" w:hAnsi="Book Antiqua" w:cs="Book Antiqua"/>
          <w:color w:val="000000"/>
        </w:rPr>
        <w:t>. Bleeding has been reported more commonly in type 3 g-NENs</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Carcinoid syndrome may be seen in patients with gastrointestinal NENs, but it is rarely detected in patients with g-NENs</w:t>
      </w:r>
      <w:r>
        <w:rPr>
          <w:rFonts w:ascii="Book Antiqua" w:eastAsia="Book Antiqua" w:hAnsi="Book Antiqua" w:cs="Book Antiqua"/>
          <w:color w:val="000000"/>
          <w:szCs w:val="20"/>
          <w:vertAlign w:val="superscript"/>
        </w:rPr>
        <w:t>[55,56]</w:t>
      </w:r>
      <w:r>
        <w:rPr>
          <w:rFonts w:ascii="Book Antiqua" w:eastAsia="Book Antiqua" w:hAnsi="Book Antiqua" w:cs="Book Antiqua"/>
          <w:color w:val="000000"/>
        </w:rPr>
        <w:t>. If carcinoid syndrome develops in g-NENs, it shows a different presentation than carcinoid syndromes that develop from midgut and hindgut, which is termed as atypical carcinoid syndrome. In this type of carcinoid syndrome, the rashes are more diffuse, the surrounding area is prominent and serpiginous and the lesions are very itchy. Diarrhea and cardiac symptoms are usually absent</w:t>
      </w:r>
      <w:r>
        <w:rPr>
          <w:rFonts w:ascii="Book Antiqua" w:eastAsia="Book Antiqua" w:hAnsi="Book Antiqua" w:cs="Book Antiqua"/>
          <w:color w:val="000000"/>
          <w:szCs w:val="20"/>
          <w:vertAlign w:val="superscript"/>
        </w:rPr>
        <w:t>[19,55,57]</w:t>
      </w:r>
      <w:r>
        <w:rPr>
          <w:rFonts w:ascii="Book Antiqua" w:eastAsia="Book Antiqua" w:hAnsi="Book Antiqua" w:cs="Book Antiqua"/>
          <w:color w:val="000000"/>
        </w:rPr>
        <w:t>.</w:t>
      </w:r>
    </w:p>
    <w:p w14:paraId="1F5583E4"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Diagnosis of g-NENs are made by upper gastrointestinal endoscopy. Generally small polyps are detected on endoscopy. Type 1 and 2 Lesions are often located in multiple areas outside the antrum, while type 3 and 4 NENs are usually single and can be detected in all parts of the stomach</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In type 3 g-NENs the gastric mucosa except for polyps is detected normal. It is commonly atrophic in type 1 g-NENs and peptic ulcers may accompany in especially type 2 g-NENs</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2EB18C15"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The definitive diagnosis of g-NEN is made on histopathological examination. Biopsy samples should be obtained from both the gastric mucosa and the polyps in order to examine the condition of the underlying mucosa and to detect microscopic NENs</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Four samples from the corpus and two samples from the antrum should be taken for histopathological examination</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In histopathological examination of g-NENs, the tumor cells are usually uniform with round-oval nuclei, coarse chromatin and fine granular cytoplasm. On immunohistochemical staining the cells are positively stained with Chromogranin A (CgA) and Synaptophysin</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CgA may be absent in type 4 g-NENs</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It is crucial to determine the tumor grade during pathological examination with proliferative indices such as mitotic activity and Ki-67 index. Mitotic activity is determined by examining 10 fields at 40 × magnification and counting the active cells in these areas. Although the amounts of mitotic activity used in determining the tumor grade level are not clearly defined, mitotic activity of 2 is accepted by WHO to distinguish grade 1 from grade 2, and 20 to distinguish grade 2 from grade 3 NEN. But mitotic activity index may be misleading in determining the grade of the tumor, especially in the distinction in grade 1 from grade 2 NENs. Ki-67 is another proliferation index, which was first described by Gerdes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in 1991. Studies have shown that Ki-67 is present in proliferation phases of the cell cycle, but not in the quiescent or resting cells, which makes it possible to use as a proliferation marker effectively in many cancers</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Different cut-off levels of Ki-67 indexes were suggested for differentiating grade 1 from grade 2 NEN, but the cut-off level of 3% was accepted for this differentiation</w:t>
      </w:r>
      <w:r>
        <w:rPr>
          <w:rFonts w:ascii="Book Antiqua" w:eastAsia="Book Antiqua" w:hAnsi="Book Antiqua" w:cs="Book Antiqua"/>
          <w:color w:val="000000"/>
          <w:szCs w:val="20"/>
          <w:vertAlign w:val="superscript"/>
        </w:rPr>
        <w:t>[7,61,62]</w:t>
      </w:r>
      <w:r>
        <w:rPr>
          <w:rFonts w:ascii="Book Antiqua" w:eastAsia="Book Antiqua" w:hAnsi="Book Antiqua" w:cs="Book Antiqua"/>
          <w:color w:val="000000"/>
        </w:rPr>
        <w:t>. Although the 10% level was suggested for grade 3 definition, this limit was changed to 20% in the following studies and WHO recommendation</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It is not clear whether mitotic index or Ki-67 proliferation index is better in determining the tumor grade. But it is recommended that both indexes should be measured and the higher parameter should be selected if there is a discrepancy between them</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Since Ki-67 index is a method that gives the ratio of cells with positive staining, it has the advantage of having the ability to study also in small tissue samples. Whereas the advantage of mitotic index is that it does not need immunohistochemical staining</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w:t>
      </w:r>
    </w:p>
    <w:p w14:paraId="6C57DBB1" w14:textId="77777777" w:rsidR="00A77B3E" w:rsidRDefault="00A77B3E" w:rsidP="005A68CD">
      <w:pPr>
        <w:adjustRightInd w:val="0"/>
        <w:snapToGrid w:val="0"/>
        <w:spacing w:line="360" w:lineRule="auto"/>
        <w:ind w:firstLine="480"/>
        <w:jc w:val="both"/>
      </w:pPr>
    </w:p>
    <w:p w14:paraId="0193FBE2" w14:textId="77777777" w:rsidR="00A77B3E" w:rsidRDefault="00A27C93" w:rsidP="005A68CD">
      <w:pPr>
        <w:adjustRightInd w:val="0"/>
        <w:snapToGrid w:val="0"/>
        <w:spacing w:line="360" w:lineRule="auto"/>
        <w:jc w:val="both"/>
      </w:pPr>
      <w:r>
        <w:rPr>
          <w:rFonts w:ascii="Book Antiqua" w:eastAsia="Book Antiqua" w:hAnsi="Book Antiqua" w:cs="Book Antiqua"/>
          <w:b/>
          <w:bCs/>
          <w:caps/>
          <w:color w:val="000000"/>
          <w:u w:val="single"/>
        </w:rPr>
        <w:t>Initial management of gastric NENs</w:t>
      </w:r>
    </w:p>
    <w:p w14:paraId="2532B3D7"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After g-NEN is diagnosed, it is necessary to determine the tumor type, spread and stage of the disease, and to detect the presence of metastasis. While upper gastrointestinal endoscopy is performed, the whole mucosa should be examined properly, and the number of the lesions and the size of the largest polyp should be recorded</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If gastrinoma is present, the localization of the tumor should also be made.</w:t>
      </w:r>
    </w:p>
    <w:p w14:paraId="252A156D"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The discrimination between g-NEN types is of great importance, because the therapy and follow-up differs among types. Serum gastrin levels are elevated in type 1 and 2 g-NENs, whereas it is normal in patients with type 3 and 4 g-NENs. Before the measurement of gastrin, the use of proton pump inhibitors should be withdrawn. But in patients with type 2 g-NENs the withdrawal of antisecretory therapy is with the risk of rebound acid secretion, which may lead to peptic ulcer and bleeding</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For differential diagnosis of type 1 and 2 g-NENs, biopsy samples outside the lesions should be investigated to detect whether atrophy is present. Atrophic mucosa indicates type-1 g-NENs, whereas normal mucosa is detected in patients with type 2 g-NEN. Another tool for differential diagnosis may be gastric acid measurement. In cases with hypergastrinemia, gastric pH is generally above 4 in type-1 g-NEN, while it is less than 2 in type 2 g-NEN</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If type 2 g-NEN is detected, additional testing for MEN-1 syndrome should be performed. Vitamin B12 Level should be tested along with anti-parietal cell and anti-intrinsic factor antibodies, if indicated. Addison disease and hypothyroidism should also be screened in suspected cases</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Serum CgA level is usually elevated in patients with g-NENs, but its specificity is low</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Serum CgA measurement may be also used in the follow up to predict response to chemotherapy and predict prognosis</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Somatostatin analogues (SSA) and proton pump inhibitors may alter the level of serum CgA, which should be taken into account in interpreting the results</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5A84BF2A"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Several imaging modalities are used to evaluate the spread and stage of the disease. Endoscopic ultrasonography (EUS) plays an important role in the diagnostic workup of g-NENs. EUS helps to detect tumor invasion to the deeper layers of the gastric wall, and also to determine lymph node metastasis with the advantage of ability of histological confirmation by fine needle aspiration</w:t>
      </w:r>
      <w:r>
        <w:rPr>
          <w:rFonts w:ascii="Book Antiqua" w:eastAsia="Book Antiqua" w:hAnsi="Book Antiqua" w:cs="Book Antiqua"/>
          <w:color w:val="000000"/>
          <w:szCs w:val="20"/>
          <w:vertAlign w:val="superscript"/>
        </w:rPr>
        <w:t>[58,67]</w:t>
      </w:r>
      <w:r>
        <w:rPr>
          <w:rFonts w:ascii="Book Antiqua" w:eastAsia="Book Antiqua" w:hAnsi="Book Antiqua" w:cs="Book Antiqua"/>
          <w:color w:val="000000"/>
        </w:rPr>
        <w:t>. Cross sectional imaging modalities like computerized tomography (CT) and magnetic resonance imaging (MRI) may be needed to determine disease staging and metastasis for advanced neoplasms and especially type 3 g-NEN</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Liver metastases rapidly enhance contrast after contrast material injection on CT and a wash-out is observed in the portal venous phase</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Somatostatin receptor imaging (SRI) modalities (somatostatin receptor scintigraphy or 68 Ga-PET-DOTANOC) are rarely useful for type 1 g-NENs which are generally small and indolent, but they can be useful in type 2 and 3 g-NENs as part of the overall staging and perhaps choosing therapy</w:t>
      </w:r>
      <w:r>
        <w:rPr>
          <w:rFonts w:ascii="Book Antiqua" w:eastAsia="Book Antiqua" w:hAnsi="Book Antiqua" w:cs="Book Antiqua"/>
          <w:color w:val="000000"/>
          <w:szCs w:val="20"/>
          <w:vertAlign w:val="superscript"/>
        </w:rPr>
        <w:t>[28,69,70]</w:t>
      </w:r>
      <w:r>
        <w:rPr>
          <w:rFonts w:ascii="Book Antiqua" w:eastAsia="Book Antiqua" w:hAnsi="Book Antiqua" w:cs="Book Antiqua"/>
          <w:color w:val="000000"/>
        </w:rPr>
        <w:t>.</w:t>
      </w:r>
    </w:p>
    <w:p w14:paraId="31A6982C"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If smaller than 1 cm type 1 g-NEN is detected, no further evaluation is required. Although the exact cut-off level of lesion size for EUS is not defined, EUS should be performed if the lesion is greater than 1 cm to assess invasion</w:t>
      </w:r>
      <w:r>
        <w:rPr>
          <w:rFonts w:ascii="Book Antiqua" w:eastAsia="Book Antiqua" w:hAnsi="Book Antiqua" w:cs="Book Antiqua"/>
          <w:color w:val="000000"/>
          <w:szCs w:val="20"/>
          <w:vertAlign w:val="superscript"/>
        </w:rPr>
        <w:t>[9,58]</w:t>
      </w:r>
      <w:r>
        <w:rPr>
          <w:rFonts w:ascii="Book Antiqua" w:eastAsia="Book Antiqua" w:hAnsi="Book Antiqua" w:cs="Book Antiqua"/>
          <w:color w:val="000000"/>
        </w:rPr>
        <w:t>. CT scan and MRI techniques are not indicated in most type 1 g-NENs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SRI techniques do not make extra contribution compared to imaging methods, but they can be performed for treatment response evaluation if SSA therapy is planned</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should be assessed in these patients. Serum CgA and gastrin levels should be tested, and the patients should also be evaluated for autoimmune diseases with anti-parietal cell and anti-intrinsic factor autoantibodies, thyroid functional tests and anti-thyroperoxidase antibodies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w:t>
      </w:r>
    </w:p>
    <w:p w14:paraId="5F288CF9"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Because locally advanced disease and metastasis is seen more commonly in type 2 g-NEN compared to type 1, imaging modalities are more commonly used for patients with especially larger type 2 g-NEN lesions. CT, MRI and SRI modalities are used to determine for disease stage and to find the gastrinoma lesions’ origin</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SRI modalities and EUS may detect gastrinoma lesions more effectively than CT or MRI</w:t>
      </w:r>
      <w:r>
        <w:rPr>
          <w:rFonts w:ascii="Book Antiqua" w:eastAsia="Book Antiqua" w:hAnsi="Book Antiqua" w:cs="Book Antiqua"/>
          <w:color w:val="000000"/>
          <w:szCs w:val="20"/>
          <w:vertAlign w:val="superscript"/>
        </w:rPr>
        <w:t>[72,73]</w:t>
      </w:r>
      <w:r>
        <w:rPr>
          <w:rFonts w:ascii="Book Antiqua" w:eastAsia="Book Antiqua" w:hAnsi="Book Antiqua" w:cs="Book Antiqua"/>
          <w:color w:val="000000"/>
        </w:rPr>
        <w:t>. It is recommended to perform genetic testing for MEN-1 and screen for associated tumors in the pituitary gland and pancreas</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Serum gastrin and CgA levels should also be tested in these patients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w:t>
      </w:r>
    </w:p>
    <w:p w14:paraId="31B5271E"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Type 3 and 4 g-NENs behave similar to gastric adenocarcinoma, and the staging and diagnostic modalities should be performed like adenocarcinoma</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CT, MRI or SRI modalities (especially 68 Ga-PET-DOTANOC) are needed for disease staging, but SRI tests may be false negative in poorly differentiated patients</w:t>
      </w:r>
      <w:r>
        <w:rPr>
          <w:rFonts w:ascii="Book Antiqua" w:eastAsia="Book Antiqua" w:hAnsi="Book Antiqua" w:cs="Book Antiqua"/>
          <w:color w:val="000000"/>
          <w:szCs w:val="20"/>
          <w:vertAlign w:val="superscript"/>
        </w:rPr>
        <w:t>[9,64]</w:t>
      </w:r>
      <w:r>
        <w:rPr>
          <w:rFonts w:ascii="Book Antiqua" w:eastAsia="Book Antiqua" w:hAnsi="Book Antiqua" w:cs="Book Antiqua"/>
          <w:color w:val="000000"/>
        </w:rPr>
        <w:t xml:space="preserve">. </w:t>
      </w:r>
    </w:p>
    <w:p w14:paraId="0DAA6AA4" w14:textId="77777777" w:rsidR="00A77B3E" w:rsidRDefault="00A77B3E" w:rsidP="005A68CD">
      <w:pPr>
        <w:adjustRightInd w:val="0"/>
        <w:snapToGrid w:val="0"/>
        <w:spacing w:line="360" w:lineRule="auto"/>
        <w:ind w:firstLine="480"/>
        <w:jc w:val="both"/>
      </w:pPr>
    </w:p>
    <w:p w14:paraId="5DC9C6A8" w14:textId="77777777" w:rsidR="00A77B3E" w:rsidRDefault="00A27C93" w:rsidP="005A68CD">
      <w:pPr>
        <w:adjustRightInd w:val="0"/>
        <w:snapToGrid w:val="0"/>
        <w:spacing w:line="360" w:lineRule="auto"/>
        <w:jc w:val="both"/>
      </w:pPr>
      <w:r>
        <w:rPr>
          <w:rFonts w:ascii="Book Antiqua" w:eastAsia="Book Antiqua" w:hAnsi="Book Antiqua" w:cs="Book Antiqua"/>
          <w:b/>
          <w:bCs/>
          <w:caps/>
          <w:color w:val="000000"/>
          <w:u w:val="single"/>
        </w:rPr>
        <w:t>Treatment</w:t>
      </w:r>
    </w:p>
    <w:p w14:paraId="20D6F3E6"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The treatment options of g-NENs depends on the tumor type, lesion number and size, disease extent and the differentiation of the tumor. Follow up without excision, endoscopic resection, surgical resection and medical therapies are treatment options for g-NENs.</w:t>
      </w:r>
    </w:p>
    <w:p w14:paraId="7157825D" w14:textId="77777777" w:rsidR="00A77B3E" w:rsidRDefault="00A77B3E" w:rsidP="005A68CD">
      <w:pPr>
        <w:adjustRightInd w:val="0"/>
        <w:snapToGrid w:val="0"/>
        <w:spacing w:line="360" w:lineRule="auto"/>
        <w:jc w:val="both"/>
      </w:pPr>
    </w:p>
    <w:p w14:paraId="45311263"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Type 1</w:t>
      </w:r>
    </w:p>
    <w:p w14:paraId="069B2953"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The metastasis risk of type 1 g-NEN is low, and therefore conservative management strategies are commonly preferred in small lesions</w:t>
      </w:r>
      <w:r>
        <w:rPr>
          <w:rFonts w:ascii="Book Antiqua" w:eastAsia="Book Antiqua" w:hAnsi="Book Antiqua" w:cs="Book Antiqua"/>
          <w:color w:val="000000"/>
          <w:szCs w:val="20"/>
          <w:vertAlign w:val="superscript"/>
        </w:rPr>
        <w:t>[9,74]</w:t>
      </w:r>
      <w:r>
        <w:rPr>
          <w:rFonts w:ascii="Book Antiqua" w:eastAsia="Book Antiqua" w:hAnsi="Book Antiqua" w:cs="Book Antiqua"/>
          <w:color w:val="000000"/>
        </w:rPr>
        <w:t>. Some authors suggested to resect all visible lesions larger than 5 mm</w:t>
      </w:r>
      <w:r>
        <w:rPr>
          <w:rFonts w:ascii="Book Antiqua" w:eastAsia="Book Antiqua" w:hAnsi="Book Antiqua" w:cs="Book Antiqua"/>
          <w:color w:val="000000"/>
          <w:szCs w:val="20"/>
          <w:vertAlign w:val="superscript"/>
        </w:rPr>
        <w:t>[67,75]</w:t>
      </w:r>
      <w:r>
        <w:rPr>
          <w:rFonts w:ascii="Book Antiqua" w:eastAsia="Book Antiqua" w:hAnsi="Book Antiqua" w:cs="Book Antiqua"/>
          <w:color w:val="000000"/>
        </w:rPr>
        <w:t xml:space="preserve">, but this approach is not widely accepted. In a study performed by Sato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25 patients were followed up without resection, and after an average of 7 years, no significant rapid growth, metastasis or invasion of the tumor was detected in any patient, and no disease-related death was reported. ENETS suggested to remove all lesions in their guideline in 2013, but they changed this recommendation in 2016 and recommended to remove lesions greater than 10 mm with close follow-up</w:t>
      </w:r>
      <w:r>
        <w:rPr>
          <w:rFonts w:ascii="Book Antiqua" w:eastAsia="Book Antiqua" w:hAnsi="Book Antiqua" w:cs="Book Antiqua"/>
          <w:color w:val="000000"/>
          <w:szCs w:val="20"/>
          <w:vertAlign w:val="superscript"/>
        </w:rPr>
        <w:t>[9,58]</w:t>
      </w:r>
      <w:r>
        <w:rPr>
          <w:rFonts w:ascii="Book Antiqua" w:eastAsia="Book Antiqua" w:hAnsi="Book Antiqua" w:cs="Book Antiqua"/>
          <w:color w:val="000000"/>
        </w:rPr>
        <w:t>. Similarly, NANETS recommends that surveillance without excision and endoscopic removal may be chosen for lesions smaller than 10 mm</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They recommended endoscopic resection or close follow up with less than 6 Lesions between 1 to 2 cm diameter, and endoscopic or surgical resection in patients with more than 6 Lesions</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Endoscopic mucosal resection (EMR) or endoscopic submucosal dissection (ESD) may be used for endoscopic resection. ESD has the advantage of en bloc resection for complete histological analysis</w:t>
      </w:r>
      <w:r>
        <w:rPr>
          <w:rFonts w:ascii="Book Antiqua" w:eastAsia="Book Antiqua" w:hAnsi="Book Antiqua" w:cs="Book Antiqua"/>
          <w:color w:val="000000"/>
          <w:szCs w:val="20"/>
          <w:vertAlign w:val="superscript"/>
        </w:rPr>
        <w:t>[9,77]</w:t>
      </w:r>
      <w:r>
        <w:rPr>
          <w:rFonts w:ascii="Book Antiqua" w:eastAsia="Book Antiqua" w:hAnsi="Book Antiqua" w:cs="Book Antiqua"/>
          <w:color w:val="000000"/>
        </w:rPr>
        <w:t>. Preferably EUS should be performed for lesions greater than 10 mm to assess tumor invasion, and endoscopic resection should be done when it is possible</w:t>
      </w:r>
      <w:r>
        <w:rPr>
          <w:rFonts w:ascii="Book Antiqua" w:eastAsia="Book Antiqua" w:hAnsi="Book Antiqua" w:cs="Book Antiqua"/>
          <w:color w:val="000000"/>
          <w:szCs w:val="20"/>
          <w:vertAlign w:val="superscript"/>
        </w:rPr>
        <w:t>[58,74]</w:t>
      </w:r>
      <w:r>
        <w:rPr>
          <w:rFonts w:ascii="Book Antiqua" w:eastAsia="Book Antiqua" w:hAnsi="Book Antiqua" w:cs="Book Antiqua"/>
          <w:color w:val="000000"/>
        </w:rPr>
        <w:t>.</w:t>
      </w:r>
    </w:p>
    <w:p w14:paraId="098D01F7" w14:textId="77777777" w:rsidR="00A77B3E" w:rsidRDefault="00A27C93" w:rsidP="005A68CD">
      <w:pPr>
        <w:adjustRightInd w:val="0"/>
        <w:snapToGrid w:val="0"/>
        <w:spacing w:line="360" w:lineRule="auto"/>
        <w:ind w:firstLine="480"/>
        <w:jc w:val="both"/>
      </w:pPr>
      <w:r>
        <w:rPr>
          <w:rFonts w:ascii="Book Antiqua" w:eastAsia="Book Antiqua" w:hAnsi="Book Antiqua" w:cs="Book Antiqua"/>
          <w:color w:val="000000"/>
        </w:rPr>
        <w:t>Surgical treatment is the option for lesions which are predicted to be T2 or lesions with positive margins. Surgical antrectomy may be added to the surgical procedure to suppress gastrin secretion, with questionable efficacy</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Although it is stated that performing antrectomy after surgical or endoscopic removal of the lesion provides tumor regression and reduces recurrence</w:t>
      </w:r>
      <w:r>
        <w:rPr>
          <w:rFonts w:ascii="Book Antiqua" w:eastAsia="Book Antiqua" w:hAnsi="Book Antiqua" w:cs="Book Antiqua"/>
          <w:color w:val="000000"/>
          <w:szCs w:val="20"/>
          <w:vertAlign w:val="superscript"/>
        </w:rPr>
        <w:t>[78,79]</w:t>
      </w:r>
      <w:r>
        <w:rPr>
          <w:rFonts w:ascii="Book Antiqua" w:eastAsia="Book Antiqua" w:hAnsi="Book Antiqua" w:cs="Book Antiqua"/>
          <w:color w:val="000000"/>
        </w:rPr>
        <w:t>, there are also publications reporting that it does not reduce metastasis and recurrence</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It has been shown in a study that performing antrectomy requires less often endoscopies in the follow-up time period, lowers the risk of recurrence and it may reduce the anxiety of patients for malignancy development</w:t>
      </w:r>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Another method to suppress gastrin levels is SSAs. SSAs have the advantage of regression of tumors, but this has not been compared to other treatment strategies, and it is not widely accepted for routine use. SSAs may be useful for multiple small lesions which are not possible for endoscopic resection</w:t>
      </w:r>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The use of SSAs (both lanreotide and octreotide) may be an option for inoperable patients and for metastatic diseases</w:t>
      </w:r>
      <w:r>
        <w:rPr>
          <w:rFonts w:ascii="Book Antiqua" w:eastAsia="Book Antiqua" w:hAnsi="Book Antiqua" w:cs="Book Antiqua"/>
          <w:color w:val="000000"/>
          <w:szCs w:val="20"/>
          <w:vertAlign w:val="superscript"/>
        </w:rPr>
        <w:t>[9,83,84]</w:t>
      </w:r>
      <w:r>
        <w:rPr>
          <w:rFonts w:ascii="Book Antiqua" w:eastAsia="Book Antiqua" w:hAnsi="Book Antiqua" w:cs="Book Antiqua"/>
          <w:color w:val="000000"/>
        </w:rPr>
        <w:t>. Netazepide is a gastrin receptor antagonist, which has favorable effects on type 1 g-NENs</w:t>
      </w:r>
      <w:r>
        <w:rPr>
          <w:rFonts w:ascii="Book Antiqua" w:eastAsia="Book Antiqua" w:hAnsi="Book Antiqua" w:cs="Book Antiqua"/>
          <w:color w:val="000000"/>
          <w:szCs w:val="20"/>
          <w:vertAlign w:val="superscript"/>
        </w:rPr>
        <w:t>[85-88]</w:t>
      </w:r>
      <w:r>
        <w:rPr>
          <w:rFonts w:ascii="Book Antiqua" w:eastAsia="Book Antiqua" w:hAnsi="Book Antiqua" w:cs="Book Antiqua"/>
          <w:color w:val="000000"/>
        </w:rPr>
        <w:t>, but its use needs further studies for clear recommendation. It also should be kept in mind that the tumors will grow after the withdrawal of netazepide</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019105AD" w14:textId="77777777" w:rsidR="00A77B3E" w:rsidRDefault="00A77B3E" w:rsidP="005A68CD">
      <w:pPr>
        <w:adjustRightInd w:val="0"/>
        <w:snapToGrid w:val="0"/>
        <w:spacing w:line="360" w:lineRule="auto"/>
        <w:ind w:firstLine="480"/>
        <w:jc w:val="both"/>
      </w:pPr>
    </w:p>
    <w:p w14:paraId="33936004"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Type 2</w:t>
      </w:r>
    </w:p>
    <w:p w14:paraId="37D74CB3"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The preferred treatment of type 2 g-NEN is local excision</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Endoscopic treatment for noninvasive tumors and surgical resection for invasive or metastatic lesions should be chosen. Another important issue is to search for the gastrinoma lesions and perform surgical resection for it</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Because the cause of hyperacidity is not antral G cells, antrectomy has no favorable effect. Proton pump inhibitors should be used for hyperacidity and to reduce the risk of peptic ulcer. No evidence is present for the treatment of type 2 g-NEN with netazepide.</w:t>
      </w:r>
    </w:p>
    <w:p w14:paraId="59A64CCD" w14:textId="77777777" w:rsidR="00A77B3E" w:rsidRDefault="00A77B3E" w:rsidP="005A68CD">
      <w:pPr>
        <w:adjustRightInd w:val="0"/>
        <w:snapToGrid w:val="0"/>
        <w:spacing w:line="360" w:lineRule="auto"/>
        <w:jc w:val="both"/>
      </w:pPr>
    </w:p>
    <w:p w14:paraId="5BDD277E"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Type 3 and type 4</w:t>
      </w:r>
    </w:p>
    <w:p w14:paraId="4E40F081"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If type 3 g-NEN is detected, the optimal treatment strategy is surgical treatment as the procedure for gastric adenocarcinoma (partial or total gastrectomy with lymph node dissection)</w:t>
      </w:r>
      <w:r>
        <w:rPr>
          <w:rFonts w:ascii="Book Antiqua" w:eastAsia="Book Antiqua" w:hAnsi="Book Antiqua" w:cs="Book Antiqua"/>
          <w:color w:val="000000"/>
          <w:szCs w:val="20"/>
          <w:vertAlign w:val="superscript"/>
        </w:rPr>
        <w:t>[9,74]</w:t>
      </w:r>
      <w:r>
        <w:rPr>
          <w:rFonts w:ascii="Book Antiqua" w:eastAsia="Book Antiqua" w:hAnsi="Book Antiqua" w:cs="Book Antiqua"/>
          <w:color w:val="000000"/>
        </w:rPr>
        <w:t>. Although some authors cited that endoscopic resection would be sufficient in small lesions without invasion, this is not a widely accepted approach</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Similarly, the treatment of localized type 4 g-NEN is gastrectomy and lymph node dissection.</w:t>
      </w:r>
    </w:p>
    <w:p w14:paraId="2C5755A3" w14:textId="77777777" w:rsidR="00A77B3E" w:rsidRDefault="00A77B3E" w:rsidP="005A68CD">
      <w:pPr>
        <w:adjustRightInd w:val="0"/>
        <w:snapToGrid w:val="0"/>
        <w:spacing w:line="360" w:lineRule="auto"/>
        <w:jc w:val="both"/>
      </w:pPr>
    </w:p>
    <w:p w14:paraId="2D7D20B6"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Metastatic disease</w:t>
      </w:r>
    </w:p>
    <w:p w14:paraId="345CBF6F"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Surgery, local methods and systemic treatment are included in the treatment options of liver metastasis due to g-NENs. Treatment options for patients with metastases of g-NENs are not specific for gastric lesions, and the options are based on recommendations for liver metastases of NETs. The appropriate method for liver metastases of grade 1 and 2 g-NENs is surgical removal of the metastatic lesions. Although surgery is not commonly recommended for grade 3 tumors, single and suitable lesions may be surgically removed</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Primary tumor resection is suggested in patients with advanced resectable disease, but the role of primary tumor resection in patients with unresectable metastases is debated</w:t>
      </w:r>
      <w:r>
        <w:rPr>
          <w:rFonts w:ascii="Book Antiqua" w:eastAsia="Book Antiqua" w:hAnsi="Book Antiqua" w:cs="Book Antiqua"/>
          <w:color w:val="000000"/>
          <w:szCs w:val="20"/>
          <w:vertAlign w:val="superscript"/>
        </w:rPr>
        <w:t>[74,91]</w:t>
      </w:r>
      <w:r>
        <w:rPr>
          <w:rFonts w:ascii="Book Antiqua" w:eastAsia="Book Antiqua" w:hAnsi="Book Antiqua" w:cs="Book Antiqua"/>
          <w:color w:val="000000"/>
        </w:rPr>
        <w:t>. Recently published studies showed that resection of primary gastrointestinal neuroendocrine tumors among patients with metastases (with and without liver treatment) has survival advantage, but improved survival could not be achieved in patients with g-NENs</w:t>
      </w:r>
      <w:r>
        <w:rPr>
          <w:rFonts w:ascii="Book Antiqua" w:eastAsia="Book Antiqua" w:hAnsi="Book Antiqua" w:cs="Book Antiqua"/>
          <w:color w:val="000000"/>
          <w:szCs w:val="20"/>
          <w:vertAlign w:val="superscript"/>
        </w:rPr>
        <w:t>[92,93]</w:t>
      </w:r>
      <w:r>
        <w:rPr>
          <w:rFonts w:ascii="Book Antiqua" w:eastAsia="Book Antiqua" w:hAnsi="Book Antiqua" w:cs="Book Antiqua"/>
          <w:color w:val="000000"/>
        </w:rPr>
        <w:t>. Liver transplantation may be done after surgical removal of the primary focus, especially in selected low-grade patients with extensive liver metastasis</w:t>
      </w:r>
      <w:r>
        <w:rPr>
          <w:rFonts w:ascii="Book Antiqua" w:eastAsia="Book Antiqua" w:hAnsi="Book Antiqua" w:cs="Book Antiqua"/>
          <w:color w:val="000000"/>
          <w:szCs w:val="20"/>
          <w:vertAlign w:val="superscript"/>
        </w:rPr>
        <w:t>[94,95]</w:t>
      </w:r>
      <w:r>
        <w:rPr>
          <w:rFonts w:ascii="Book Antiqua" w:eastAsia="Book Antiqua" w:hAnsi="Book Antiqua" w:cs="Book Antiqua"/>
          <w:color w:val="000000"/>
        </w:rPr>
        <w:t>. Transarterial embolization, chemoembolization and radioembolization and radiofrequency ablation may be effectively used as local treatment options of liver metastasis</w:t>
      </w:r>
      <w:r>
        <w:rPr>
          <w:rFonts w:ascii="Book Antiqua" w:eastAsia="Book Antiqua" w:hAnsi="Book Antiqua" w:cs="Book Antiqua"/>
          <w:color w:val="000000"/>
          <w:szCs w:val="20"/>
          <w:vertAlign w:val="superscript"/>
        </w:rPr>
        <w:t>[90,96]</w:t>
      </w:r>
      <w:r>
        <w:rPr>
          <w:rFonts w:ascii="Book Antiqua" w:eastAsia="Book Antiqua" w:hAnsi="Book Antiqua" w:cs="Book Antiqua"/>
          <w:color w:val="000000"/>
        </w:rPr>
        <w:t>. Systemic chemotherapy with etoposide and cisplatin is recommended in grade 3 and metastatic patients</w:t>
      </w:r>
      <w:r>
        <w:rPr>
          <w:rFonts w:ascii="Book Antiqua" w:eastAsia="Book Antiqua" w:hAnsi="Book Antiqua" w:cs="Book Antiqua"/>
          <w:color w:val="000000"/>
          <w:szCs w:val="20"/>
          <w:vertAlign w:val="superscript"/>
        </w:rPr>
        <w:t>[58,97]</w:t>
      </w:r>
      <w:r>
        <w:rPr>
          <w:rFonts w:ascii="Book Antiqua" w:eastAsia="Book Antiqua" w:hAnsi="Book Antiqua" w:cs="Book Antiqua"/>
          <w:color w:val="000000"/>
        </w:rPr>
        <w:t>. Peptide receptor radionuclide therapy targeting somatostatin receptors may also an alternative treatment approach for gastrointestinal NENs, but its use in metastatic g-NEN is not widely studied</w:t>
      </w:r>
      <w:r>
        <w:rPr>
          <w:rFonts w:ascii="Book Antiqua" w:eastAsia="Book Antiqua" w:hAnsi="Book Antiqua" w:cs="Book Antiqua"/>
          <w:color w:val="000000"/>
          <w:szCs w:val="20"/>
          <w:vertAlign w:val="superscript"/>
        </w:rPr>
        <w:t>[98,99]</w:t>
      </w:r>
      <w:r>
        <w:rPr>
          <w:rFonts w:ascii="Book Antiqua" w:eastAsia="Book Antiqua" w:hAnsi="Book Antiqua" w:cs="Book Antiqua"/>
          <w:color w:val="000000"/>
        </w:rPr>
        <w:t>.</w:t>
      </w:r>
    </w:p>
    <w:p w14:paraId="6528CC94" w14:textId="77777777" w:rsidR="00A77B3E" w:rsidRDefault="00A77B3E" w:rsidP="005A68CD">
      <w:pPr>
        <w:adjustRightInd w:val="0"/>
        <w:snapToGrid w:val="0"/>
        <w:spacing w:line="360" w:lineRule="auto"/>
        <w:jc w:val="both"/>
      </w:pPr>
    </w:p>
    <w:p w14:paraId="693D4000" w14:textId="77777777" w:rsidR="00A77B3E" w:rsidRDefault="00A27C93" w:rsidP="005A68CD">
      <w:pPr>
        <w:adjustRightInd w:val="0"/>
        <w:snapToGrid w:val="0"/>
        <w:spacing w:line="360" w:lineRule="auto"/>
        <w:jc w:val="both"/>
      </w:pPr>
      <w:r>
        <w:rPr>
          <w:rFonts w:ascii="Book Antiqua" w:eastAsia="Book Antiqua" w:hAnsi="Book Antiqua" w:cs="Book Antiqua"/>
          <w:b/>
          <w:bCs/>
          <w:i/>
          <w:iCs/>
          <w:color w:val="000000"/>
        </w:rPr>
        <w:t>Carcinoid syndrome</w:t>
      </w:r>
    </w:p>
    <w:p w14:paraId="6DCD31F7"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Carcinoid syndrome is seldom seen in patients with g-NENs. But it is more commonly seen in patients with liver metastasis. If carcinoid syndrome is present, it should be treated with SSAs, along with symptomatic treatment if indicated</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In addition, SSAs should be given for prophylaxis before surgical and local treatment methods</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w:t>
      </w:r>
    </w:p>
    <w:p w14:paraId="7402B522" w14:textId="77777777" w:rsidR="00A77B3E" w:rsidRDefault="00A77B3E" w:rsidP="005A68CD">
      <w:pPr>
        <w:adjustRightInd w:val="0"/>
        <w:snapToGrid w:val="0"/>
        <w:spacing w:line="360" w:lineRule="auto"/>
        <w:jc w:val="both"/>
      </w:pPr>
    </w:p>
    <w:p w14:paraId="26EBC27A" w14:textId="77777777" w:rsidR="00A77B3E" w:rsidRDefault="00A27C93" w:rsidP="005A68CD">
      <w:pPr>
        <w:adjustRightInd w:val="0"/>
        <w:snapToGrid w:val="0"/>
        <w:spacing w:line="360" w:lineRule="auto"/>
        <w:jc w:val="both"/>
      </w:pPr>
      <w:r>
        <w:rPr>
          <w:rFonts w:ascii="Book Antiqua" w:eastAsia="Book Antiqua" w:hAnsi="Book Antiqua" w:cs="Book Antiqua"/>
          <w:b/>
          <w:bCs/>
          <w:caps/>
          <w:color w:val="000000"/>
          <w:u w:val="single"/>
        </w:rPr>
        <w:t>Prognosis</w:t>
      </w:r>
    </w:p>
    <w:p w14:paraId="3D90962A"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The prognosis of g-NENs depends on tumor type, grade and tumor stage. In general, tumor size, histological grade, type 3 NEN, mitotic index and Ki-67 index, tumor depth, lymph node involvement and presence of metastasis are defined as poor prognosis criteria for g-NENs. Type 1 g-NENs have usually excellent prognosis with around 100 % of survival even in untreated patients</w:t>
      </w:r>
      <w:r>
        <w:rPr>
          <w:rFonts w:ascii="Book Antiqua" w:eastAsia="Book Antiqua" w:hAnsi="Book Antiqua" w:cs="Book Antiqua"/>
          <w:color w:val="000000"/>
          <w:szCs w:val="20"/>
          <w:vertAlign w:val="superscript"/>
        </w:rPr>
        <w:t>[27,28,100]</w:t>
      </w:r>
      <w:r>
        <w:rPr>
          <w:rFonts w:ascii="Book Antiqua" w:eastAsia="Book Antiqua" w:hAnsi="Book Antiqua" w:cs="Book Antiqua"/>
          <w:color w:val="000000"/>
        </w:rPr>
        <w:t>. Type 2 g-NENs have almost similar prognosis to type 1 and are generally detected at early stages, which shows good survival rates. But patients with type 2 g-NEN may have MEN-1, and when MEN-1 is present patients may die with metastatic diseases from other organs (especially pancreas and thymus) than the stomach</w:t>
      </w:r>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Type 3 g-NEN shows the worst prognosis with similar survival rates with gastric adenocarcinoma, which displays the crucial role of the differential diagnosis among g-NENs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The tumor-related annual mortality rate of g-NENs was calculated as 1.07%, but this rate gradually increases in grade 2 and 3 and reaches 57% in grade 3 g-NENs</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w:t>
      </w:r>
    </w:p>
    <w:p w14:paraId="6EDDACE9" w14:textId="77777777" w:rsidR="00A77B3E" w:rsidRDefault="00A77B3E" w:rsidP="005A68CD">
      <w:pPr>
        <w:adjustRightInd w:val="0"/>
        <w:snapToGrid w:val="0"/>
        <w:spacing w:line="360" w:lineRule="auto"/>
        <w:jc w:val="both"/>
      </w:pPr>
    </w:p>
    <w:p w14:paraId="493F56D0" w14:textId="77777777" w:rsidR="00A77B3E" w:rsidRDefault="00A27C93" w:rsidP="005A68CD">
      <w:pPr>
        <w:adjustRightInd w:val="0"/>
        <w:snapToGrid w:val="0"/>
        <w:spacing w:line="360" w:lineRule="auto"/>
        <w:jc w:val="both"/>
      </w:pPr>
      <w:r>
        <w:rPr>
          <w:rFonts w:ascii="Book Antiqua" w:eastAsia="Book Antiqua" w:hAnsi="Book Antiqua" w:cs="Book Antiqua"/>
          <w:b/>
          <w:caps/>
          <w:color w:val="000000"/>
          <w:u w:val="single"/>
        </w:rPr>
        <w:t>CONCLUSION</w:t>
      </w:r>
    </w:p>
    <w:p w14:paraId="1DF24042" w14:textId="6364FCB6" w:rsidR="00A77B3E" w:rsidRDefault="00A27C93" w:rsidP="005A68CD">
      <w:pPr>
        <w:adjustRightInd w:val="0"/>
        <w:snapToGrid w:val="0"/>
        <w:spacing w:line="360" w:lineRule="auto"/>
        <w:jc w:val="both"/>
      </w:pPr>
      <w:r>
        <w:rPr>
          <w:rFonts w:ascii="Book Antiqua" w:eastAsia="Book Antiqua" w:hAnsi="Book Antiqua" w:cs="Book Antiqua"/>
          <w:color w:val="000000"/>
        </w:rPr>
        <w:t>g-NENs or neuroendocrine tumors are tumors with increasing incidence. The pathogenesis, clinical characteristics, prognosis and treatment options differs apparently between subgroups of g-NENS. Type 1 and 2 are gastrin dependent, whereas type 3 and 4 are considered as sporadic. The reason for hypergastrinemia is atrophic gastritis and gastrinoma in type 1 and type 2 g-NEN, respectively. New data is emerging recently about new subgroups, which should be evaluated with further studies. It is crucial to differentiate tumors between these subgroups for further management and treatment. Treatment options for g-NENs include endoscopic resection, surgical resection with or without antrectomy, medical treatment with somatostatin analogues, netazepide or chemotherapy regimens. Also follow-up without endoscopic or surgical excision is another option in appropriate cases. The prognosis of type 1 and 2 g-NENs are good, whereas the prognosis of type 3 and 4 g-NENs are worse. Despite it took decades after the definition of carcinoid or NET, new data and evidences still change the management of g-NENs in recent years.</w:t>
      </w:r>
    </w:p>
    <w:p w14:paraId="7197DD85" w14:textId="77777777" w:rsidR="00A77B3E" w:rsidRDefault="00A77B3E" w:rsidP="005A68CD">
      <w:pPr>
        <w:adjustRightInd w:val="0"/>
        <w:snapToGrid w:val="0"/>
        <w:spacing w:line="360" w:lineRule="auto"/>
        <w:jc w:val="both"/>
      </w:pPr>
    </w:p>
    <w:p w14:paraId="6A1A2456"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REFERENCES</w:t>
      </w:r>
    </w:p>
    <w:p w14:paraId="07F0DC2D"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1 </w:t>
      </w:r>
      <w:r w:rsidRPr="0067130C">
        <w:rPr>
          <w:rFonts w:ascii="Book Antiqua" w:eastAsia="Book Antiqua" w:hAnsi="Book Antiqua" w:cs="Book Antiqua"/>
          <w:b/>
          <w:color w:val="000000"/>
        </w:rPr>
        <w:t>Oberndorfer S</w:t>
      </w:r>
      <w:r w:rsidRPr="0067130C">
        <w:rPr>
          <w:rFonts w:ascii="Book Antiqua" w:eastAsia="Book Antiqua" w:hAnsi="Book Antiqua" w:cs="Book Antiqua"/>
          <w:color w:val="000000"/>
        </w:rPr>
        <w:t xml:space="preserve">. Karzinoide tumoren des dunndarms. </w:t>
      </w:r>
      <w:r w:rsidRPr="0067130C">
        <w:rPr>
          <w:rFonts w:ascii="Book Antiqua" w:eastAsia="Book Antiqua" w:hAnsi="Book Antiqua" w:cs="Book Antiqua"/>
          <w:i/>
          <w:color w:val="000000"/>
        </w:rPr>
        <w:t>Frankfurt Z Path</w:t>
      </w:r>
      <w:r w:rsidRPr="0067130C">
        <w:rPr>
          <w:rFonts w:ascii="Book Antiqua" w:eastAsia="Book Antiqua" w:hAnsi="Book Antiqua" w:cs="Book Antiqua"/>
          <w:color w:val="000000"/>
        </w:rPr>
        <w:t xml:space="preserve"> 1907; </w:t>
      </w:r>
      <w:r w:rsidRPr="0067130C">
        <w:rPr>
          <w:rFonts w:ascii="Book Antiqua" w:eastAsia="Book Antiqua" w:hAnsi="Book Antiqua" w:cs="Book Antiqua"/>
          <w:b/>
          <w:color w:val="000000"/>
        </w:rPr>
        <w:t>1</w:t>
      </w:r>
      <w:r w:rsidRPr="0067130C">
        <w:rPr>
          <w:rFonts w:ascii="Book Antiqua" w:eastAsia="Book Antiqua" w:hAnsi="Book Antiqua" w:cs="Book Antiqua"/>
          <w:color w:val="000000"/>
        </w:rPr>
        <w:t>: 426-432</w:t>
      </w:r>
    </w:p>
    <w:p w14:paraId="3E3B5129"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2 </w:t>
      </w:r>
      <w:r w:rsidRPr="0067130C">
        <w:rPr>
          <w:rFonts w:ascii="Book Antiqua" w:eastAsia="Book Antiqua" w:hAnsi="Book Antiqua" w:cs="Book Antiqua"/>
          <w:b/>
          <w:bCs/>
          <w:color w:val="000000"/>
        </w:rPr>
        <w:t>Modlin IM</w:t>
      </w:r>
      <w:r w:rsidRPr="0067130C">
        <w:rPr>
          <w:rFonts w:ascii="Book Antiqua" w:eastAsia="Book Antiqua" w:hAnsi="Book Antiqua" w:cs="Book Antiqua"/>
          <w:color w:val="000000"/>
        </w:rPr>
        <w:t xml:space="preserve">, Shapiro MD, Kidd M. Siegfried Oberndorfer: origins and perspectives of carcinoid tumors. </w:t>
      </w:r>
      <w:r w:rsidRPr="0067130C">
        <w:rPr>
          <w:rFonts w:ascii="Book Antiqua" w:eastAsia="Book Antiqua" w:hAnsi="Book Antiqua" w:cs="Book Antiqua"/>
          <w:i/>
          <w:iCs/>
          <w:color w:val="000000"/>
        </w:rPr>
        <w:t>Hum Pathol</w:t>
      </w:r>
      <w:r w:rsidRPr="0067130C">
        <w:rPr>
          <w:rFonts w:ascii="Book Antiqua" w:eastAsia="Book Antiqua" w:hAnsi="Book Antiqua" w:cs="Book Antiqua"/>
          <w:color w:val="000000"/>
        </w:rPr>
        <w:t xml:space="preserve"> 2004; </w:t>
      </w:r>
      <w:r w:rsidRPr="0067130C">
        <w:rPr>
          <w:rFonts w:ascii="Book Antiqua" w:eastAsia="Book Antiqua" w:hAnsi="Book Antiqua" w:cs="Book Antiqua"/>
          <w:b/>
          <w:bCs/>
          <w:color w:val="000000"/>
        </w:rPr>
        <w:t>35</w:t>
      </w:r>
      <w:r w:rsidRPr="0067130C">
        <w:rPr>
          <w:rFonts w:ascii="Book Antiqua" w:eastAsia="Book Antiqua" w:hAnsi="Book Antiqua" w:cs="Book Antiqua"/>
          <w:color w:val="000000"/>
        </w:rPr>
        <w:t>: 1440-1451 [PMID: 15619202 DOI: 10.1016/j.humpath.2004.09.018]</w:t>
      </w:r>
    </w:p>
    <w:p w14:paraId="04A56F2F"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3 </w:t>
      </w:r>
      <w:r w:rsidRPr="0067130C">
        <w:rPr>
          <w:rFonts w:ascii="Book Antiqua" w:eastAsia="Book Antiqua" w:hAnsi="Book Antiqua" w:cs="Book Antiqua"/>
          <w:b/>
          <w:bCs/>
          <w:color w:val="000000"/>
        </w:rPr>
        <w:t>Williams RA</w:t>
      </w:r>
      <w:r w:rsidRPr="0067130C">
        <w:rPr>
          <w:rFonts w:ascii="Book Antiqua" w:eastAsia="Book Antiqua" w:hAnsi="Book Antiqua" w:cs="Book Antiqua"/>
          <w:color w:val="000000"/>
        </w:rPr>
        <w:t xml:space="preserve">, Whitehead R. Non-carcinoid epithelial tumours of the appendix--a proposed classification. </w:t>
      </w:r>
      <w:r w:rsidRPr="0067130C">
        <w:rPr>
          <w:rFonts w:ascii="Book Antiqua" w:eastAsia="Book Antiqua" w:hAnsi="Book Antiqua" w:cs="Book Antiqua"/>
          <w:i/>
          <w:iCs/>
          <w:color w:val="000000"/>
        </w:rPr>
        <w:t>Pathology</w:t>
      </w:r>
      <w:r w:rsidRPr="0067130C">
        <w:rPr>
          <w:rFonts w:ascii="Book Antiqua" w:eastAsia="Book Antiqua" w:hAnsi="Book Antiqua" w:cs="Book Antiqua"/>
          <w:color w:val="000000"/>
        </w:rPr>
        <w:t xml:space="preserve"> 1986; </w:t>
      </w:r>
      <w:r w:rsidRPr="0067130C">
        <w:rPr>
          <w:rFonts w:ascii="Book Antiqua" w:eastAsia="Book Antiqua" w:hAnsi="Book Antiqua" w:cs="Book Antiqua"/>
          <w:b/>
          <w:bCs/>
          <w:color w:val="000000"/>
        </w:rPr>
        <w:t>18</w:t>
      </w:r>
      <w:r w:rsidRPr="0067130C">
        <w:rPr>
          <w:rFonts w:ascii="Book Antiqua" w:eastAsia="Book Antiqua" w:hAnsi="Book Antiqua" w:cs="Book Antiqua"/>
          <w:color w:val="000000"/>
        </w:rPr>
        <w:t>: 50-53 [PMID: 3725433 DOI: 10.3109/00313028609090827]</w:t>
      </w:r>
    </w:p>
    <w:p w14:paraId="59A71705"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4 </w:t>
      </w:r>
      <w:r w:rsidRPr="0067130C">
        <w:rPr>
          <w:rFonts w:ascii="Book Antiqua" w:eastAsia="Book Antiqua" w:hAnsi="Book Antiqua" w:cs="Book Antiqua"/>
          <w:b/>
          <w:bCs/>
          <w:color w:val="000000"/>
        </w:rPr>
        <w:t>Soga J</w:t>
      </w:r>
      <w:r w:rsidRPr="0067130C">
        <w:rPr>
          <w:rFonts w:ascii="Book Antiqua" w:eastAsia="Book Antiqua" w:hAnsi="Book Antiqua" w:cs="Book Antiqua"/>
          <w:color w:val="000000"/>
        </w:rPr>
        <w:t xml:space="preserve">, Tazawa K. Pathologic analysis of carcinoids. Histologic reevaluation of 62 cases. </w:t>
      </w:r>
      <w:r w:rsidRPr="0067130C">
        <w:rPr>
          <w:rFonts w:ascii="Book Antiqua" w:eastAsia="Book Antiqua" w:hAnsi="Book Antiqua" w:cs="Book Antiqua"/>
          <w:i/>
          <w:iCs/>
          <w:color w:val="000000"/>
        </w:rPr>
        <w:t>Cancer</w:t>
      </w:r>
      <w:r w:rsidRPr="0067130C">
        <w:rPr>
          <w:rFonts w:ascii="Book Antiqua" w:eastAsia="Book Antiqua" w:hAnsi="Book Antiqua" w:cs="Book Antiqua"/>
          <w:color w:val="000000"/>
        </w:rPr>
        <w:t xml:space="preserve"> 1971; </w:t>
      </w:r>
      <w:r w:rsidRPr="0067130C">
        <w:rPr>
          <w:rFonts w:ascii="Book Antiqua" w:eastAsia="Book Antiqua" w:hAnsi="Book Antiqua" w:cs="Book Antiqua"/>
          <w:b/>
          <w:bCs/>
          <w:color w:val="000000"/>
        </w:rPr>
        <w:t>28</w:t>
      </w:r>
      <w:r w:rsidRPr="0067130C">
        <w:rPr>
          <w:rFonts w:ascii="Book Antiqua" w:eastAsia="Book Antiqua" w:hAnsi="Book Antiqua" w:cs="Book Antiqua"/>
          <w:color w:val="000000"/>
        </w:rPr>
        <w:t>: 990-998 [PMID: 4106849 DOI: 10.1002/1097-0142(1971)28:4&lt;990::aid-cncr2820280424&gt;3.0.co;2-k]</w:t>
      </w:r>
    </w:p>
    <w:p w14:paraId="7A2AF673"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5 </w:t>
      </w:r>
      <w:r w:rsidRPr="0067130C">
        <w:rPr>
          <w:rFonts w:ascii="Book Antiqua" w:eastAsia="Book Antiqua" w:hAnsi="Book Antiqua" w:cs="Book Antiqua"/>
          <w:b/>
          <w:bCs/>
          <w:color w:val="000000"/>
        </w:rPr>
        <w:t>Capella C</w:t>
      </w:r>
      <w:r w:rsidRPr="0067130C">
        <w:rPr>
          <w:rFonts w:ascii="Book Antiqua" w:eastAsia="Book Antiqua" w:hAnsi="Book Antiqua" w:cs="Book Antiqua"/>
          <w:color w:val="000000"/>
        </w:rPr>
        <w:t xml:space="preserve">, Heitz PU, Höfler H, Solcia E, Klöppel G. Revised classification of neuroendocrine tumours of the lung, pancreas and gut. </w:t>
      </w:r>
      <w:r w:rsidRPr="0067130C">
        <w:rPr>
          <w:rFonts w:ascii="Book Antiqua" w:eastAsia="Book Antiqua" w:hAnsi="Book Antiqua" w:cs="Book Antiqua"/>
          <w:i/>
          <w:iCs/>
          <w:color w:val="000000"/>
        </w:rPr>
        <w:t>Virchows Arch</w:t>
      </w:r>
      <w:r w:rsidRPr="0067130C">
        <w:rPr>
          <w:rFonts w:ascii="Book Antiqua" w:eastAsia="Book Antiqua" w:hAnsi="Book Antiqua" w:cs="Book Antiqua"/>
          <w:color w:val="000000"/>
        </w:rPr>
        <w:t xml:space="preserve"> 1995; </w:t>
      </w:r>
      <w:r w:rsidRPr="0067130C">
        <w:rPr>
          <w:rFonts w:ascii="Book Antiqua" w:eastAsia="Book Antiqua" w:hAnsi="Book Antiqua" w:cs="Book Antiqua"/>
          <w:b/>
          <w:bCs/>
          <w:color w:val="000000"/>
        </w:rPr>
        <w:t>425</w:t>
      </w:r>
      <w:r w:rsidRPr="0067130C">
        <w:rPr>
          <w:rFonts w:ascii="Book Antiqua" w:eastAsia="Book Antiqua" w:hAnsi="Book Antiqua" w:cs="Book Antiqua"/>
          <w:color w:val="000000"/>
        </w:rPr>
        <w:t>: 547-560 [PMID: 7697211 DOI: 10.1007/BF00199342]</w:t>
      </w:r>
    </w:p>
    <w:p w14:paraId="5D3D9F99"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6 </w:t>
      </w:r>
      <w:r w:rsidRPr="0067130C">
        <w:rPr>
          <w:rFonts w:ascii="Book Antiqua" w:eastAsia="Book Antiqua" w:hAnsi="Book Antiqua" w:cs="Book Antiqua"/>
          <w:b/>
          <w:bCs/>
          <w:color w:val="000000"/>
        </w:rPr>
        <w:t>Rindi G,</w:t>
      </w:r>
      <w:r w:rsidRPr="0067130C">
        <w:rPr>
          <w:rFonts w:ascii="Book Antiqua" w:eastAsia="Book Antiqua" w:hAnsi="Book Antiqua" w:cs="Book Antiqua"/>
          <w:color w:val="000000"/>
        </w:rPr>
        <w:t xml:space="preserve"> Arnold R, Capella C, Klimstra DS, Klöppel G, Komminoth P, Solcia E. Nomenclature and classification of digestive neuroendocrine tumours. In: Bosman FT CF, Hruban R, editor. WHO Classification of Tumours, Pathology and Genetics of Tumours of the Digestive System. Lyon, France: International Agency for Research on Cancer (IARC) Press, 2010: 10-12</w:t>
      </w:r>
    </w:p>
    <w:p w14:paraId="20209A4F"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7 </w:t>
      </w:r>
      <w:r w:rsidRPr="0067130C">
        <w:rPr>
          <w:rFonts w:ascii="Book Antiqua" w:eastAsia="Book Antiqua" w:hAnsi="Book Antiqua" w:cs="Book Antiqua"/>
          <w:b/>
          <w:bCs/>
          <w:color w:val="000000"/>
        </w:rPr>
        <w:t>Rindi G</w:t>
      </w:r>
      <w:r w:rsidRPr="0067130C">
        <w:rPr>
          <w:rFonts w:ascii="Book Antiqua" w:eastAsia="Book Antiqua" w:hAnsi="Book Antiqua" w:cs="Book Antiqua"/>
          <w:color w:val="000000"/>
        </w:rPr>
        <w:t xml:space="preserve">, Klimstra DS, Abedi-Ardekani B, Asa SL, Bosman FT, Brambilla E, Busam KJ, de Krijger RR, Dietel M, El-Naggar AK, Fernandez-Cuesta L, Klöppel G, McCluggage WG, Moch H, Ohgaki H, Rakha EA, Reed NS, Rous BA, Sasano H, Scarpa A, Scoazec JY, Travis WD, Tallini G, Trouillas J, van Krieken JH, Cree IA. A common classification framework for neuroendocrine neoplasms: an International Agency for Research on Cancer (IARC) and World Health Organization (WHO) expert consensus proposal. </w:t>
      </w:r>
      <w:r w:rsidRPr="0067130C">
        <w:rPr>
          <w:rFonts w:ascii="Book Antiqua" w:eastAsia="Book Antiqua" w:hAnsi="Book Antiqua" w:cs="Book Antiqua"/>
          <w:i/>
          <w:iCs/>
          <w:color w:val="000000"/>
        </w:rPr>
        <w:t>Mod Pathol</w:t>
      </w:r>
      <w:r w:rsidRPr="0067130C">
        <w:rPr>
          <w:rFonts w:ascii="Book Antiqua" w:eastAsia="Book Antiqua" w:hAnsi="Book Antiqua" w:cs="Book Antiqua"/>
          <w:color w:val="000000"/>
        </w:rPr>
        <w:t xml:space="preserve"> 2018; </w:t>
      </w:r>
      <w:r w:rsidRPr="0067130C">
        <w:rPr>
          <w:rFonts w:ascii="Book Antiqua" w:eastAsia="Book Antiqua" w:hAnsi="Book Antiqua" w:cs="Book Antiqua"/>
          <w:b/>
          <w:bCs/>
          <w:color w:val="000000"/>
        </w:rPr>
        <w:t>31</w:t>
      </w:r>
      <w:r w:rsidRPr="0067130C">
        <w:rPr>
          <w:rFonts w:ascii="Book Antiqua" w:eastAsia="Book Antiqua" w:hAnsi="Book Antiqua" w:cs="Book Antiqua"/>
          <w:color w:val="000000"/>
        </w:rPr>
        <w:t>: 1770-1786 [PMID: 30140036 DOI: 10.1038/s41379-018-0110-y]</w:t>
      </w:r>
    </w:p>
    <w:p w14:paraId="1DCC877E"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8 </w:t>
      </w:r>
      <w:r w:rsidRPr="0067130C">
        <w:rPr>
          <w:rFonts w:ascii="Book Antiqua" w:eastAsia="Book Antiqua" w:hAnsi="Book Antiqua" w:cs="Book Antiqua"/>
          <w:b/>
          <w:bCs/>
          <w:color w:val="000000"/>
        </w:rPr>
        <w:t>Ishida S</w:t>
      </w:r>
      <w:r w:rsidRPr="0067130C">
        <w:rPr>
          <w:rFonts w:ascii="Book Antiqua" w:eastAsia="Book Antiqua" w:hAnsi="Book Antiqua" w:cs="Book Antiqua"/>
          <w:color w:val="000000"/>
        </w:rPr>
        <w:t xml:space="preserve">, Akita M, Fujikura K, Komatsu M, Sawada R, Matsumoto H, Saegusa J, Itoh T, Kakeji Y, Zen Y. Neuroendocrine carcinoma and mixed neuroendocrine‒non-neuroendocrine neoplasm of the stomach: a clinicopathological and exome sequencing study. </w:t>
      </w:r>
      <w:r w:rsidRPr="0067130C">
        <w:rPr>
          <w:rFonts w:ascii="Book Antiqua" w:eastAsia="Book Antiqua" w:hAnsi="Book Antiqua" w:cs="Book Antiqua"/>
          <w:i/>
          <w:iCs/>
          <w:color w:val="000000"/>
        </w:rPr>
        <w:t>Hum Pathol</w:t>
      </w:r>
      <w:r w:rsidRPr="0067130C">
        <w:rPr>
          <w:rFonts w:ascii="Book Antiqua" w:eastAsia="Book Antiqua" w:hAnsi="Book Antiqua" w:cs="Book Antiqua"/>
          <w:color w:val="000000"/>
        </w:rPr>
        <w:t xml:space="preserve"> 2021; </w:t>
      </w:r>
      <w:r w:rsidRPr="0067130C">
        <w:rPr>
          <w:rFonts w:ascii="Book Antiqua" w:eastAsia="Book Antiqua" w:hAnsi="Book Antiqua" w:cs="Book Antiqua"/>
          <w:b/>
          <w:bCs/>
          <w:color w:val="000000"/>
        </w:rPr>
        <w:t>110</w:t>
      </w:r>
      <w:r w:rsidRPr="0067130C">
        <w:rPr>
          <w:rFonts w:ascii="Book Antiqua" w:eastAsia="Book Antiqua" w:hAnsi="Book Antiqua" w:cs="Book Antiqua"/>
          <w:color w:val="000000"/>
        </w:rPr>
        <w:t>: 1-10 [PMID: 33359239 DOI: 10.1016/j.humpath.2020.12.008]</w:t>
      </w:r>
    </w:p>
    <w:p w14:paraId="4A76A87E"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9 </w:t>
      </w:r>
      <w:r w:rsidRPr="0067130C">
        <w:rPr>
          <w:rFonts w:ascii="Book Antiqua" w:eastAsia="Book Antiqua" w:hAnsi="Book Antiqua" w:cs="Book Antiqua"/>
          <w:b/>
          <w:bCs/>
          <w:color w:val="000000"/>
        </w:rPr>
        <w:t>Delle Fave G</w:t>
      </w:r>
      <w:r w:rsidRPr="0067130C">
        <w:rPr>
          <w:rFonts w:ascii="Book Antiqua" w:eastAsia="Book Antiqua" w:hAnsi="Book Antiqua" w:cs="Book Antiqua"/>
          <w:color w:val="000000"/>
        </w:rPr>
        <w:t xml:space="preserve">, O'Toole D, Sundin A, Taal B, Ferolla P, Ramage JK, Ferone D, Ito T, Weber W, Zheng-Pei Z, De Herder WW, Pascher A, Ruszniewski P; Vienna Consensus Conference participants. ENETS Consensus Guidelines Update for Gastroduodenal Neuroendocrine Neoplasms. </w:t>
      </w:r>
      <w:r w:rsidRPr="0067130C">
        <w:rPr>
          <w:rFonts w:ascii="Book Antiqua" w:eastAsia="Book Antiqua" w:hAnsi="Book Antiqua" w:cs="Book Antiqua"/>
          <w:i/>
          <w:iCs/>
          <w:color w:val="000000"/>
        </w:rPr>
        <w:t>Neuroendocrinology</w:t>
      </w:r>
      <w:r w:rsidRPr="0067130C">
        <w:rPr>
          <w:rFonts w:ascii="Book Antiqua" w:eastAsia="Book Antiqua" w:hAnsi="Book Antiqua" w:cs="Book Antiqua"/>
          <w:color w:val="000000"/>
        </w:rPr>
        <w:t xml:space="preserve"> 2016; </w:t>
      </w:r>
      <w:r w:rsidRPr="0067130C">
        <w:rPr>
          <w:rFonts w:ascii="Book Antiqua" w:eastAsia="Book Antiqua" w:hAnsi="Book Antiqua" w:cs="Book Antiqua"/>
          <w:b/>
          <w:bCs/>
          <w:color w:val="000000"/>
        </w:rPr>
        <w:t>103</w:t>
      </w:r>
      <w:r w:rsidRPr="0067130C">
        <w:rPr>
          <w:rFonts w:ascii="Book Antiqua" w:eastAsia="Book Antiqua" w:hAnsi="Book Antiqua" w:cs="Book Antiqua"/>
          <w:color w:val="000000"/>
        </w:rPr>
        <w:t>: 119-124 [PMID: 26784901 DOI: 10.1159/000443168]</w:t>
      </w:r>
    </w:p>
    <w:p w14:paraId="452ABAB2"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10 </w:t>
      </w:r>
      <w:r w:rsidRPr="0067130C">
        <w:rPr>
          <w:rFonts w:ascii="Book Antiqua" w:eastAsia="Book Antiqua" w:hAnsi="Book Antiqua" w:cs="Book Antiqua"/>
          <w:b/>
          <w:bCs/>
          <w:color w:val="000000"/>
        </w:rPr>
        <w:t>O'Connor JM</w:t>
      </w:r>
      <w:r w:rsidRPr="0067130C">
        <w:rPr>
          <w:rFonts w:ascii="Book Antiqua" w:eastAsia="Book Antiqua" w:hAnsi="Book Antiqua" w:cs="Book Antiqua"/>
          <w:color w:val="000000"/>
        </w:rPr>
        <w:t xml:space="preserve">, Marmissolle F, Bestani C, Pesce V, Belli S, Dominichini E, Mendez G, Price P, Giacomi N, Pairola A, Loria FS, Huertas E, Martin C, Patane K, Poleri C, Rosenberg M, Cabanne A, Kujaruk M, Caino A, Zamora V, Mariani J, Dioca M, Parma P, Podesta G, Andriani O, Gondolesi G, Roca E. Observational study of patients with gastroenteropancreatic and bronchial neuroendocrine tumors in Argentina: Results from the large database of a multidisciplinary group clinical multicenter study. </w:t>
      </w:r>
      <w:r w:rsidRPr="0067130C">
        <w:rPr>
          <w:rFonts w:ascii="Book Antiqua" w:eastAsia="Book Antiqua" w:hAnsi="Book Antiqua" w:cs="Book Antiqua"/>
          <w:i/>
          <w:iCs/>
          <w:color w:val="000000"/>
        </w:rPr>
        <w:t>Mol Clin Oncol</w:t>
      </w:r>
      <w:r w:rsidRPr="0067130C">
        <w:rPr>
          <w:rFonts w:ascii="Book Antiqua" w:eastAsia="Book Antiqua" w:hAnsi="Book Antiqua" w:cs="Book Antiqua"/>
          <w:color w:val="000000"/>
        </w:rPr>
        <w:t xml:space="preserve"> 2014; </w:t>
      </w:r>
      <w:r w:rsidRPr="0067130C">
        <w:rPr>
          <w:rFonts w:ascii="Book Antiqua" w:eastAsia="Book Antiqua" w:hAnsi="Book Antiqua" w:cs="Book Antiqua"/>
          <w:b/>
          <w:bCs/>
          <w:color w:val="000000"/>
        </w:rPr>
        <w:t>2</w:t>
      </w:r>
      <w:r w:rsidRPr="0067130C">
        <w:rPr>
          <w:rFonts w:ascii="Book Antiqua" w:eastAsia="Book Antiqua" w:hAnsi="Book Antiqua" w:cs="Book Antiqua"/>
          <w:color w:val="000000"/>
        </w:rPr>
        <w:t>: 673-684 [PMID: 25054030 DOI: 10.3892/mco.2014.332]</w:t>
      </w:r>
    </w:p>
    <w:p w14:paraId="13491F1A"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11 </w:t>
      </w:r>
      <w:r w:rsidRPr="0067130C">
        <w:rPr>
          <w:rFonts w:ascii="Book Antiqua" w:eastAsia="Book Antiqua" w:hAnsi="Book Antiqua" w:cs="Book Antiqua"/>
          <w:b/>
          <w:bCs/>
          <w:color w:val="000000"/>
        </w:rPr>
        <w:t>Niederle MB</w:t>
      </w:r>
      <w:r w:rsidRPr="0067130C">
        <w:rPr>
          <w:rFonts w:ascii="Book Antiqua" w:eastAsia="Book Antiqua" w:hAnsi="Book Antiqua" w:cs="Book Antiqua"/>
          <w:color w:val="000000"/>
        </w:rPr>
        <w:t xml:space="preserve">, Hackl M, Kaserer K, Niederle B. Gastroenteropancreatic neuroendocrine tumours: the current incidence and staging based on the WHO and European Neuroendocrine Tumour Society classification: an analysis based on prospectively collected parameters. </w:t>
      </w:r>
      <w:r w:rsidRPr="0067130C">
        <w:rPr>
          <w:rFonts w:ascii="Book Antiqua" w:eastAsia="Book Antiqua" w:hAnsi="Book Antiqua" w:cs="Book Antiqua"/>
          <w:i/>
          <w:iCs/>
          <w:color w:val="000000"/>
        </w:rPr>
        <w:t>Endocr Relat Cancer</w:t>
      </w:r>
      <w:r w:rsidRPr="0067130C">
        <w:rPr>
          <w:rFonts w:ascii="Book Antiqua" w:eastAsia="Book Antiqua" w:hAnsi="Book Antiqua" w:cs="Book Antiqua"/>
          <w:color w:val="000000"/>
        </w:rPr>
        <w:t xml:space="preserve"> 2010; </w:t>
      </w:r>
      <w:r w:rsidRPr="0067130C">
        <w:rPr>
          <w:rFonts w:ascii="Book Antiqua" w:eastAsia="Book Antiqua" w:hAnsi="Book Antiqua" w:cs="Book Antiqua"/>
          <w:b/>
          <w:bCs/>
          <w:color w:val="000000"/>
        </w:rPr>
        <w:t>17</w:t>
      </w:r>
      <w:r w:rsidRPr="0067130C">
        <w:rPr>
          <w:rFonts w:ascii="Book Antiqua" w:eastAsia="Book Antiqua" w:hAnsi="Book Antiqua" w:cs="Book Antiqua"/>
          <w:color w:val="000000"/>
        </w:rPr>
        <w:t>: 909-918 [PMID: 20702725 DOI: 10.1677/ERC-10-0152]</w:t>
      </w:r>
    </w:p>
    <w:p w14:paraId="773AD327"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12 </w:t>
      </w:r>
      <w:r w:rsidRPr="0067130C">
        <w:rPr>
          <w:rFonts w:ascii="Book Antiqua" w:eastAsia="Book Antiqua" w:hAnsi="Book Antiqua" w:cs="Book Antiqua"/>
          <w:b/>
          <w:bCs/>
          <w:color w:val="000000"/>
        </w:rPr>
        <w:t>Yao JC</w:t>
      </w:r>
      <w:r w:rsidRPr="0067130C">
        <w:rPr>
          <w:rFonts w:ascii="Book Antiqua" w:eastAsia="Book Antiqua" w:hAnsi="Book Antiqua" w:cs="Book Antiqua"/>
          <w:color w:val="000000"/>
        </w:rPr>
        <w:t xml:space="preserve">, Hassan M, Phan A, Dagohoy C, Leary C, Mares JE, Abdalla EK, Fleming JB, Vauthey JN, Rashid A, Evans DB. One hundred years after "carcinoid": epidemiology of and prognostic factors for neuroendocrine tumors in 35,825 cases in the United States. </w:t>
      </w:r>
      <w:r w:rsidRPr="0067130C">
        <w:rPr>
          <w:rFonts w:ascii="Book Antiqua" w:eastAsia="Book Antiqua" w:hAnsi="Book Antiqua" w:cs="Book Antiqua"/>
          <w:i/>
          <w:iCs/>
          <w:color w:val="000000"/>
        </w:rPr>
        <w:t>J Clin Oncol</w:t>
      </w:r>
      <w:r w:rsidRPr="0067130C">
        <w:rPr>
          <w:rFonts w:ascii="Book Antiqua" w:eastAsia="Book Antiqua" w:hAnsi="Book Antiqua" w:cs="Book Antiqua"/>
          <w:color w:val="000000"/>
        </w:rPr>
        <w:t xml:space="preserve"> 2008; </w:t>
      </w:r>
      <w:r w:rsidRPr="0067130C">
        <w:rPr>
          <w:rFonts w:ascii="Book Antiqua" w:eastAsia="Book Antiqua" w:hAnsi="Book Antiqua" w:cs="Book Antiqua"/>
          <w:b/>
          <w:bCs/>
          <w:color w:val="000000"/>
        </w:rPr>
        <w:t>26</w:t>
      </w:r>
      <w:r w:rsidRPr="0067130C">
        <w:rPr>
          <w:rFonts w:ascii="Book Antiqua" w:eastAsia="Book Antiqua" w:hAnsi="Book Antiqua" w:cs="Book Antiqua"/>
          <w:color w:val="000000"/>
        </w:rPr>
        <w:t>: 3063-3072 [PMID: 18565894 DOI: 10.1200/JCO.2007.15.4377]</w:t>
      </w:r>
    </w:p>
    <w:p w14:paraId="26C36D8A"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13 </w:t>
      </w:r>
      <w:r w:rsidRPr="0067130C">
        <w:rPr>
          <w:rFonts w:ascii="Book Antiqua" w:eastAsia="Book Antiqua" w:hAnsi="Book Antiqua" w:cs="Book Antiqua"/>
          <w:b/>
          <w:bCs/>
          <w:color w:val="000000"/>
        </w:rPr>
        <w:t>Hallet J</w:t>
      </w:r>
      <w:r w:rsidRPr="0067130C">
        <w:rPr>
          <w:rFonts w:ascii="Book Antiqua" w:eastAsia="Book Antiqua" w:hAnsi="Book Antiqua" w:cs="Book Antiqua"/>
          <w:color w:val="000000"/>
        </w:rPr>
        <w:t xml:space="preserve">, Law CH, Cukier M, Saskin R, Liu N, Singh S. Exploring the rising incidence of neuroendocrine tumors: a population-based analysis of epidemiology, metastatic presentation, and outcomes. </w:t>
      </w:r>
      <w:r w:rsidRPr="0067130C">
        <w:rPr>
          <w:rFonts w:ascii="Book Antiqua" w:eastAsia="Book Antiqua" w:hAnsi="Book Antiqua" w:cs="Book Antiqua"/>
          <w:i/>
          <w:iCs/>
          <w:color w:val="000000"/>
        </w:rPr>
        <w:t>Cancer</w:t>
      </w:r>
      <w:r w:rsidRPr="0067130C">
        <w:rPr>
          <w:rFonts w:ascii="Book Antiqua" w:eastAsia="Book Antiqua" w:hAnsi="Book Antiqua" w:cs="Book Antiqua"/>
          <w:color w:val="000000"/>
        </w:rPr>
        <w:t xml:space="preserve"> 2015; </w:t>
      </w:r>
      <w:r w:rsidRPr="0067130C">
        <w:rPr>
          <w:rFonts w:ascii="Book Antiqua" w:eastAsia="Book Antiqua" w:hAnsi="Book Antiqua" w:cs="Book Antiqua"/>
          <w:b/>
          <w:bCs/>
          <w:color w:val="000000"/>
        </w:rPr>
        <w:t>121</w:t>
      </w:r>
      <w:r w:rsidRPr="0067130C">
        <w:rPr>
          <w:rFonts w:ascii="Book Antiqua" w:eastAsia="Book Antiqua" w:hAnsi="Book Antiqua" w:cs="Book Antiqua"/>
          <w:color w:val="000000"/>
        </w:rPr>
        <w:t>: 589-597 [PMID: 25312765 DOI: 10.1002/cncr.29099]</w:t>
      </w:r>
    </w:p>
    <w:p w14:paraId="324E100A"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14 </w:t>
      </w:r>
      <w:r w:rsidRPr="0067130C">
        <w:rPr>
          <w:rFonts w:ascii="Book Antiqua" w:eastAsia="Book Antiqua" w:hAnsi="Book Antiqua" w:cs="Book Antiqua"/>
          <w:b/>
          <w:bCs/>
          <w:color w:val="000000"/>
        </w:rPr>
        <w:t>Tsai HJ</w:t>
      </w:r>
      <w:r w:rsidRPr="0067130C">
        <w:rPr>
          <w:rFonts w:ascii="Book Antiqua" w:eastAsia="Book Antiqua" w:hAnsi="Book Antiqua" w:cs="Book Antiqua"/>
          <w:color w:val="000000"/>
        </w:rPr>
        <w:t xml:space="preserve">, Wu CC, Tsai CR, Lin SF, Chen LT, Chang JS. The epidemiology of neuroendocrine tumors in Taiwan: a nation-wide cancer registry-based study. </w:t>
      </w:r>
      <w:r w:rsidRPr="0067130C">
        <w:rPr>
          <w:rFonts w:ascii="Book Antiqua" w:eastAsia="Book Antiqua" w:hAnsi="Book Antiqua" w:cs="Book Antiqua"/>
          <w:i/>
          <w:iCs/>
          <w:color w:val="000000"/>
        </w:rPr>
        <w:t>PLoS One</w:t>
      </w:r>
      <w:r w:rsidRPr="0067130C">
        <w:rPr>
          <w:rFonts w:ascii="Book Antiqua" w:eastAsia="Book Antiqua" w:hAnsi="Book Antiqua" w:cs="Book Antiqua"/>
          <w:color w:val="000000"/>
        </w:rPr>
        <w:t xml:space="preserve"> 2013; </w:t>
      </w:r>
      <w:r w:rsidRPr="0067130C">
        <w:rPr>
          <w:rFonts w:ascii="Book Antiqua" w:eastAsia="Book Antiqua" w:hAnsi="Book Antiqua" w:cs="Book Antiqua"/>
          <w:b/>
          <w:bCs/>
          <w:color w:val="000000"/>
        </w:rPr>
        <w:t>8</w:t>
      </w:r>
      <w:r w:rsidRPr="0067130C">
        <w:rPr>
          <w:rFonts w:ascii="Book Antiqua" w:eastAsia="Book Antiqua" w:hAnsi="Book Antiqua" w:cs="Book Antiqua"/>
          <w:color w:val="000000"/>
        </w:rPr>
        <w:t>: e62487 [PMID: 23614051 DOI: 10.1371/journal.pone.0062487]</w:t>
      </w:r>
    </w:p>
    <w:p w14:paraId="77CA1F5A"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15 </w:t>
      </w:r>
      <w:r w:rsidRPr="0067130C">
        <w:rPr>
          <w:rFonts w:ascii="Book Antiqua" w:eastAsia="Book Antiqua" w:hAnsi="Book Antiqua" w:cs="Book Antiqua"/>
          <w:b/>
          <w:bCs/>
          <w:color w:val="000000"/>
        </w:rPr>
        <w:t>Yang Z</w:t>
      </w:r>
      <w:r w:rsidRPr="0067130C">
        <w:rPr>
          <w:rFonts w:ascii="Book Antiqua" w:eastAsia="Book Antiqua" w:hAnsi="Book Antiqua" w:cs="Book Antiqua"/>
          <w:color w:val="000000"/>
        </w:rPr>
        <w:t xml:space="preserve">, Wang W, Lu J, Pan G, Pan Z, Chen Q, Liu W, Zhao Y. Gastric Neuroendocrine Tumors (G-Nets): Incidence, Prognosis and Recent Trend Toward Improved Survival. </w:t>
      </w:r>
      <w:r w:rsidRPr="0067130C">
        <w:rPr>
          <w:rFonts w:ascii="Book Antiqua" w:eastAsia="Book Antiqua" w:hAnsi="Book Antiqua" w:cs="Book Antiqua"/>
          <w:i/>
          <w:iCs/>
          <w:color w:val="000000"/>
        </w:rPr>
        <w:t>Cell Physiol Biochem</w:t>
      </w:r>
      <w:r w:rsidRPr="0067130C">
        <w:rPr>
          <w:rFonts w:ascii="Book Antiqua" w:eastAsia="Book Antiqua" w:hAnsi="Book Antiqua" w:cs="Book Antiqua"/>
          <w:color w:val="000000"/>
        </w:rPr>
        <w:t xml:space="preserve"> 2018; </w:t>
      </w:r>
      <w:r w:rsidRPr="0067130C">
        <w:rPr>
          <w:rFonts w:ascii="Book Antiqua" w:eastAsia="Book Antiqua" w:hAnsi="Book Antiqua" w:cs="Book Antiqua"/>
          <w:b/>
          <w:bCs/>
          <w:color w:val="000000"/>
        </w:rPr>
        <w:t>45</w:t>
      </w:r>
      <w:r w:rsidRPr="0067130C">
        <w:rPr>
          <w:rFonts w:ascii="Book Antiqua" w:eastAsia="Book Antiqua" w:hAnsi="Book Antiqua" w:cs="Book Antiqua"/>
          <w:color w:val="000000"/>
        </w:rPr>
        <w:t>: 389-396 [PMID: 29402806 DOI: 10.1159/000486915]</w:t>
      </w:r>
    </w:p>
    <w:p w14:paraId="2021CA17"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16 </w:t>
      </w:r>
      <w:r w:rsidRPr="0067130C">
        <w:rPr>
          <w:rFonts w:ascii="Book Antiqua" w:eastAsia="Book Antiqua" w:hAnsi="Book Antiqua" w:cs="Book Antiqua"/>
          <w:b/>
          <w:bCs/>
          <w:color w:val="000000"/>
        </w:rPr>
        <w:t>Hu P</w:t>
      </w:r>
      <w:r w:rsidRPr="0067130C">
        <w:rPr>
          <w:rFonts w:ascii="Book Antiqua" w:eastAsia="Book Antiqua" w:hAnsi="Book Antiqua" w:cs="Book Antiqua"/>
          <w:color w:val="000000"/>
        </w:rPr>
        <w:t xml:space="preserve">, Bai J, Liu M, Xue J, Chen T, Li R, Kuai X, Zhao H, Li X, Tian Y, Sun W, Xiong Y, Tang Q. Trends of incidence and prognosis of gastric neuroendocrine neoplasms: a study based on SEER and our multicenter research. </w:t>
      </w:r>
      <w:r w:rsidRPr="0067130C">
        <w:rPr>
          <w:rFonts w:ascii="Book Antiqua" w:eastAsia="Book Antiqua" w:hAnsi="Book Antiqua" w:cs="Book Antiqua"/>
          <w:i/>
          <w:iCs/>
          <w:color w:val="000000"/>
        </w:rPr>
        <w:t>Gastric Cancer</w:t>
      </w:r>
      <w:r w:rsidRPr="0067130C">
        <w:rPr>
          <w:rFonts w:ascii="Book Antiqua" w:eastAsia="Book Antiqua" w:hAnsi="Book Antiqua" w:cs="Book Antiqua"/>
          <w:color w:val="000000"/>
        </w:rPr>
        <w:t xml:space="preserve"> 2020; </w:t>
      </w:r>
      <w:r w:rsidRPr="0067130C">
        <w:rPr>
          <w:rFonts w:ascii="Book Antiqua" w:eastAsia="Book Antiqua" w:hAnsi="Book Antiqua" w:cs="Book Antiqua"/>
          <w:b/>
          <w:bCs/>
          <w:color w:val="000000"/>
        </w:rPr>
        <w:t>23</w:t>
      </w:r>
      <w:r w:rsidRPr="0067130C">
        <w:rPr>
          <w:rFonts w:ascii="Book Antiqua" w:eastAsia="Book Antiqua" w:hAnsi="Book Antiqua" w:cs="Book Antiqua"/>
          <w:color w:val="000000"/>
        </w:rPr>
        <w:t>: 591-599 [PMID: 32026156 DOI: 10.1007/s10120-020-01046-8]</w:t>
      </w:r>
    </w:p>
    <w:p w14:paraId="4B529AB6"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17 </w:t>
      </w:r>
      <w:r w:rsidRPr="0067130C">
        <w:rPr>
          <w:rFonts w:ascii="Book Antiqua" w:eastAsia="Book Antiqua" w:hAnsi="Book Antiqua" w:cs="Book Antiqua"/>
          <w:b/>
          <w:bCs/>
          <w:color w:val="000000"/>
        </w:rPr>
        <w:t>Masui T</w:t>
      </w:r>
      <w:r w:rsidRPr="0067130C">
        <w:rPr>
          <w:rFonts w:ascii="Book Antiqua" w:eastAsia="Book Antiqua" w:hAnsi="Book Antiqua" w:cs="Book Antiqua"/>
          <w:color w:val="000000"/>
        </w:rPr>
        <w:t xml:space="preserve">, Ito T, Komoto I, Uemoto S; JNETS Project Study Group. Recent epidemiology of patients with gastro-entero-pancreatic neuroendocrine neoplasms (GEP-NEN) in Japan: a population-based study. </w:t>
      </w:r>
      <w:r w:rsidRPr="0067130C">
        <w:rPr>
          <w:rFonts w:ascii="Book Antiqua" w:eastAsia="Book Antiqua" w:hAnsi="Book Antiqua" w:cs="Book Antiqua"/>
          <w:i/>
          <w:iCs/>
          <w:color w:val="000000"/>
        </w:rPr>
        <w:t>BMC Cancer</w:t>
      </w:r>
      <w:r w:rsidRPr="0067130C">
        <w:rPr>
          <w:rFonts w:ascii="Book Antiqua" w:eastAsia="Book Antiqua" w:hAnsi="Book Antiqua" w:cs="Book Antiqua"/>
          <w:color w:val="000000"/>
        </w:rPr>
        <w:t xml:space="preserve"> 2020; </w:t>
      </w:r>
      <w:r w:rsidRPr="0067130C">
        <w:rPr>
          <w:rFonts w:ascii="Book Antiqua" w:eastAsia="Book Antiqua" w:hAnsi="Book Antiqua" w:cs="Book Antiqua"/>
          <w:b/>
          <w:bCs/>
          <w:color w:val="000000"/>
        </w:rPr>
        <w:t>20</w:t>
      </w:r>
      <w:r w:rsidRPr="0067130C">
        <w:rPr>
          <w:rFonts w:ascii="Book Antiqua" w:eastAsia="Book Antiqua" w:hAnsi="Book Antiqua" w:cs="Book Antiqua"/>
          <w:color w:val="000000"/>
        </w:rPr>
        <w:t>: 1104 [PMID: 33189127 DOI: 10.1186/s12885-020-07581-y]</w:t>
      </w:r>
    </w:p>
    <w:p w14:paraId="3B062776"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18 </w:t>
      </w:r>
      <w:r w:rsidRPr="0067130C">
        <w:rPr>
          <w:rFonts w:ascii="Book Antiqua" w:eastAsia="Book Antiqua" w:hAnsi="Book Antiqua" w:cs="Book Antiqua"/>
          <w:b/>
          <w:bCs/>
          <w:color w:val="000000"/>
        </w:rPr>
        <w:t>Rindi G</w:t>
      </w:r>
      <w:r w:rsidRPr="0067130C">
        <w:rPr>
          <w:rFonts w:ascii="Book Antiqua" w:eastAsia="Book Antiqua" w:hAnsi="Book Antiqua" w:cs="Book Antiqua"/>
          <w:color w:val="000000"/>
        </w:rPr>
        <w:t xml:space="preserve">, Luinetti O, Cornaggia M, Capella C, Solcia E. Three subtypes of gastric argyrophil carcinoid and the gastric neuroendocrine carcinoma: a clinicopathologic study. </w:t>
      </w:r>
      <w:r w:rsidRPr="0067130C">
        <w:rPr>
          <w:rFonts w:ascii="Book Antiqua" w:eastAsia="Book Antiqua" w:hAnsi="Book Antiqua" w:cs="Book Antiqua"/>
          <w:i/>
          <w:iCs/>
          <w:color w:val="000000"/>
        </w:rPr>
        <w:t>Gastroenterology</w:t>
      </w:r>
      <w:r w:rsidRPr="0067130C">
        <w:rPr>
          <w:rFonts w:ascii="Book Antiqua" w:eastAsia="Book Antiqua" w:hAnsi="Book Antiqua" w:cs="Book Antiqua"/>
          <w:color w:val="000000"/>
        </w:rPr>
        <w:t xml:space="preserve"> 1993; </w:t>
      </w:r>
      <w:r w:rsidRPr="0067130C">
        <w:rPr>
          <w:rFonts w:ascii="Book Antiqua" w:eastAsia="Book Antiqua" w:hAnsi="Book Antiqua" w:cs="Book Antiqua"/>
          <w:b/>
          <w:bCs/>
          <w:color w:val="000000"/>
        </w:rPr>
        <w:t>104</w:t>
      </w:r>
      <w:r w:rsidRPr="0067130C">
        <w:rPr>
          <w:rFonts w:ascii="Book Antiqua" w:eastAsia="Book Antiqua" w:hAnsi="Book Antiqua" w:cs="Book Antiqua"/>
          <w:color w:val="000000"/>
        </w:rPr>
        <w:t>: 994-1006 [PMID: 7681798 DOI: 10.1016/0016-5085(93)90266-f]</w:t>
      </w:r>
    </w:p>
    <w:p w14:paraId="7624B08E"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19 </w:t>
      </w:r>
      <w:r w:rsidRPr="0067130C">
        <w:rPr>
          <w:rFonts w:ascii="Book Antiqua" w:eastAsia="Book Antiqua" w:hAnsi="Book Antiqua" w:cs="Book Antiqua"/>
          <w:b/>
          <w:bCs/>
          <w:color w:val="000000"/>
        </w:rPr>
        <w:t>Borch K</w:t>
      </w:r>
      <w:r w:rsidRPr="0067130C">
        <w:rPr>
          <w:rFonts w:ascii="Book Antiqua" w:eastAsia="Book Antiqua" w:hAnsi="Book Antiqua" w:cs="Book Antiqua"/>
          <w:color w:val="000000"/>
        </w:rPr>
        <w:t xml:space="preserve">, Ahrén B, Ahlman H, Falkmer S, Granérus G, Grimelius L. Gastric carcinoids: biologic behavior and prognosis after differentiated treatment in relation to type. </w:t>
      </w:r>
      <w:r w:rsidRPr="0067130C">
        <w:rPr>
          <w:rFonts w:ascii="Book Antiqua" w:eastAsia="Book Antiqua" w:hAnsi="Book Antiqua" w:cs="Book Antiqua"/>
          <w:i/>
          <w:iCs/>
          <w:color w:val="000000"/>
        </w:rPr>
        <w:t>Ann Surg</w:t>
      </w:r>
      <w:r w:rsidRPr="0067130C">
        <w:rPr>
          <w:rFonts w:ascii="Book Antiqua" w:eastAsia="Book Antiqua" w:hAnsi="Book Antiqua" w:cs="Book Antiqua"/>
          <w:color w:val="000000"/>
        </w:rPr>
        <w:t xml:space="preserve"> 2005; </w:t>
      </w:r>
      <w:r w:rsidRPr="0067130C">
        <w:rPr>
          <w:rFonts w:ascii="Book Antiqua" w:eastAsia="Book Antiqua" w:hAnsi="Book Antiqua" w:cs="Book Antiqua"/>
          <w:b/>
          <w:bCs/>
          <w:color w:val="000000"/>
        </w:rPr>
        <w:t>242</w:t>
      </w:r>
      <w:r w:rsidRPr="0067130C">
        <w:rPr>
          <w:rFonts w:ascii="Book Antiqua" w:eastAsia="Book Antiqua" w:hAnsi="Book Antiqua" w:cs="Book Antiqua"/>
          <w:color w:val="000000"/>
        </w:rPr>
        <w:t>: 64-73 [PMID: 15973103 DOI: 10.1097/01.sla.0000167862.52309.7d]</w:t>
      </w:r>
    </w:p>
    <w:p w14:paraId="78963DDB"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20 </w:t>
      </w:r>
      <w:r w:rsidRPr="0067130C">
        <w:rPr>
          <w:rFonts w:ascii="Book Antiqua" w:eastAsia="Book Antiqua" w:hAnsi="Book Antiqua" w:cs="Book Antiqua"/>
          <w:b/>
          <w:bCs/>
          <w:color w:val="000000"/>
        </w:rPr>
        <w:t>Dakin GF</w:t>
      </w:r>
      <w:r w:rsidRPr="0067130C">
        <w:rPr>
          <w:rFonts w:ascii="Book Antiqua" w:eastAsia="Book Antiqua" w:hAnsi="Book Antiqua" w:cs="Book Antiqua"/>
          <w:color w:val="000000"/>
        </w:rPr>
        <w:t xml:space="preserve">, Warner RR, Pomp A, Salky B, Inabnet WB. Presentation, treatment, and outcome of type 1 gastric carcinoid tumors. </w:t>
      </w:r>
      <w:r w:rsidRPr="0067130C">
        <w:rPr>
          <w:rFonts w:ascii="Book Antiqua" w:eastAsia="Book Antiqua" w:hAnsi="Book Antiqua" w:cs="Book Antiqua"/>
          <w:i/>
          <w:iCs/>
          <w:color w:val="000000"/>
        </w:rPr>
        <w:t>J Surg Oncol</w:t>
      </w:r>
      <w:r w:rsidRPr="0067130C">
        <w:rPr>
          <w:rFonts w:ascii="Book Antiqua" w:eastAsia="Book Antiqua" w:hAnsi="Book Antiqua" w:cs="Book Antiqua"/>
          <w:color w:val="000000"/>
        </w:rPr>
        <w:t xml:space="preserve"> 2006; </w:t>
      </w:r>
      <w:r w:rsidRPr="0067130C">
        <w:rPr>
          <w:rFonts w:ascii="Book Antiqua" w:eastAsia="Book Antiqua" w:hAnsi="Book Antiqua" w:cs="Book Antiqua"/>
          <w:b/>
          <w:bCs/>
          <w:color w:val="000000"/>
        </w:rPr>
        <w:t>93</w:t>
      </w:r>
      <w:r w:rsidRPr="0067130C">
        <w:rPr>
          <w:rFonts w:ascii="Book Antiqua" w:eastAsia="Book Antiqua" w:hAnsi="Book Antiqua" w:cs="Book Antiqua"/>
          <w:color w:val="000000"/>
        </w:rPr>
        <w:t>: 368-372 [PMID: 16550587 DOI: 10.1002/jso.20468]</w:t>
      </w:r>
    </w:p>
    <w:p w14:paraId="36CFE795"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21 </w:t>
      </w:r>
      <w:r w:rsidRPr="0067130C">
        <w:rPr>
          <w:rFonts w:ascii="Book Antiqua" w:eastAsia="Book Antiqua" w:hAnsi="Book Antiqua" w:cs="Book Antiqua"/>
          <w:b/>
          <w:bCs/>
          <w:color w:val="000000"/>
        </w:rPr>
        <w:t>Rindi G</w:t>
      </w:r>
      <w:r w:rsidRPr="0067130C">
        <w:rPr>
          <w:rFonts w:ascii="Book Antiqua" w:eastAsia="Book Antiqua" w:hAnsi="Book Antiqua" w:cs="Book Antiqua"/>
          <w:color w:val="000000"/>
        </w:rPr>
        <w:t xml:space="preserve">, Bordi C, Rappel S, La Rosa S, Stolte M, Solcia E. Gastric carcinoids and neuroendocrine carcinomas: pathogenesis, pathology, and behavior. </w:t>
      </w:r>
      <w:r w:rsidRPr="0067130C">
        <w:rPr>
          <w:rFonts w:ascii="Book Antiqua" w:eastAsia="Book Antiqua" w:hAnsi="Book Antiqua" w:cs="Book Antiqua"/>
          <w:i/>
          <w:iCs/>
          <w:color w:val="000000"/>
        </w:rPr>
        <w:t>World J Surg</w:t>
      </w:r>
      <w:r w:rsidRPr="0067130C">
        <w:rPr>
          <w:rFonts w:ascii="Book Antiqua" w:eastAsia="Book Antiqua" w:hAnsi="Book Antiqua" w:cs="Book Antiqua"/>
          <w:color w:val="000000"/>
        </w:rPr>
        <w:t xml:space="preserve"> 1996; </w:t>
      </w:r>
      <w:r w:rsidRPr="0067130C">
        <w:rPr>
          <w:rFonts w:ascii="Book Antiqua" w:eastAsia="Book Antiqua" w:hAnsi="Book Antiqua" w:cs="Book Antiqua"/>
          <w:b/>
          <w:bCs/>
          <w:color w:val="000000"/>
        </w:rPr>
        <w:t>20</w:t>
      </w:r>
      <w:r w:rsidRPr="0067130C">
        <w:rPr>
          <w:rFonts w:ascii="Book Antiqua" w:eastAsia="Book Antiqua" w:hAnsi="Book Antiqua" w:cs="Book Antiqua"/>
          <w:color w:val="000000"/>
        </w:rPr>
        <w:t>: 168-172 [PMID: 8661813 DOI: 10.1007/s002689900026]</w:t>
      </w:r>
    </w:p>
    <w:p w14:paraId="60F3FDB1"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22 </w:t>
      </w:r>
      <w:r w:rsidRPr="0067130C">
        <w:rPr>
          <w:rFonts w:ascii="Book Antiqua" w:eastAsia="Book Antiqua" w:hAnsi="Book Antiqua" w:cs="Book Antiqua"/>
          <w:b/>
          <w:bCs/>
          <w:color w:val="000000"/>
        </w:rPr>
        <w:t>Corey B</w:t>
      </w:r>
      <w:r w:rsidRPr="0067130C">
        <w:rPr>
          <w:rFonts w:ascii="Book Antiqua" w:eastAsia="Book Antiqua" w:hAnsi="Book Antiqua" w:cs="Book Antiqua"/>
          <w:color w:val="000000"/>
        </w:rPr>
        <w:t xml:space="preserve">, Chen H. Neuroendocrine Tumors of the Stomach. </w:t>
      </w:r>
      <w:r w:rsidRPr="0067130C">
        <w:rPr>
          <w:rFonts w:ascii="Book Antiqua" w:eastAsia="Book Antiqua" w:hAnsi="Book Antiqua" w:cs="Book Antiqua"/>
          <w:i/>
          <w:iCs/>
          <w:color w:val="000000"/>
        </w:rPr>
        <w:t>Surg Clin North Am</w:t>
      </w:r>
      <w:r w:rsidRPr="0067130C">
        <w:rPr>
          <w:rFonts w:ascii="Book Antiqua" w:eastAsia="Book Antiqua" w:hAnsi="Book Antiqua" w:cs="Book Antiqua"/>
          <w:color w:val="000000"/>
        </w:rPr>
        <w:t xml:space="preserve"> 2017; </w:t>
      </w:r>
      <w:r w:rsidRPr="0067130C">
        <w:rPr>
          <w:rFonts w:ascii="Book Antiqua" w:eastAsia="Book Antiqua" w:hAnsi="Book Antiqua" w:cs="Book Antiqua"/>
          <w:b/>
          <w:bCs/>
          <w:color w:val="000000"/>
        </w:rPr>
        <w:t>97</w:t>
      </w:r>
      <w:r w:rsidRPr="0067130C">
        <w:rPr>
          <w:rFonts w:ascii="Book Antiqua" w:eastAsia="Book Antiqua" w:hAnsi="Book Antiqua" w:cs="Book Antiqua"/>
          <w:color w:val="000000"/>
        </w:rPr>
        <w:t>: 333-343 [PMID: 28325190 DOI: 10.1016/j.suc.2016.11.008]</w:t>
      </w:r>
    </w:p>
    <w:p w14:paraId="0B5862D8"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23 </w:t>
      </w:r>
      <w:r w:rsidRPr="0067130C">
        <w:rPr>
          <w:rFonts w:ascii="Book Antiqua" w:eastAsia="Book Antiqua" w:hAnsi="Book Antiqua" w:cs="Book Antiqua"/>
          <w:b/>
          <w:bCs/>
          <w:color w:val="000000"/>
        </w:rPr>
        <w:t>Annibale B</w:t>
      </w:r>
      <w:r w:rsidRPr="0067130C">
        <w:rPr>
          <w:rFonts w:ascii="Book Antiqua" w:eastAsia="Book Antiqua" w:hAnsi="Book Antiqua" w:cs="Book Antiqua"/>
          <w:color w:val="000000"/>
        </w:rPr>
        <w:t xml:space="preserve">, Azzoni C, Corleto VD, di Giulio E, Caruana P, D'Ambra G, Bordi C, Delle Fave G. Atrophic body gastritis patients with enterochromaffin-like cell dysplasia are at increased risk for the development of type I gastric carcinoid. </w:t>
      </w:r>
      <w:r w:rsidRPr="0067130C">
        <w:rPr>
          <w:rFonts w:ascii="Book Antiqua" w:eastAsia="Book Antiqua" w:hAnsi="Book Antiqua" w:cs="Book Antiqua"/>
          <w:i/>
          <w:iCs/>
          <w:color w:val="000000"/>
        </w:rPr>
        <w:t>Eur J Gastroenterol Hepatol</w:t>
      </w:r>
      <w:r w:rsidRPr="0067130C">
        <w:rPr>
          <w:rFonts w:ascii="Book Antiqua" w:eastAsia="Book Antiqua" w:hAnsi="Book Antiqua" w:cs="Book Antiqua"/>
          <w:color w:val="000000"/>
        </w:rPr>
        <w:t xml:space="preserve"> 2001; </w:t>
      </w:r>
      <w:r w:rsidRPr="0067130C">
        <w:rPr>
          <w:rFonts w:ascii="Book Antiqua" w:eastAsia="Book Antiqua" w:hAnsi="Book Antiqua" w:cs="Book Antiqua"/>
          <w:b/>
          <w:bCs/>
          <w:color w:val="000000"/>
        </w:rPr>
        <w:t>13</w:t>
      </w:r>
      <w:r w:rsidRPr="0067130C">
        <w:rPr>
          <w:rFonts w:ascii="Book Antiqua" w:eastAsia="Book Antiqua" w:hAnsi="Book Antiqua" w:cs="Book Antiqua"/>
          <w:color w:val="000000"/>
        </w:rPr>
        <w:t>: 1449-1456 [PMID: 11742193 DOI: 10.1097/00042737-200112000-00008]</w:t>
      </w:r>
    </w:p>
    <w:p w14:paraId="58D4AF64"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24 </w:t>
      </w:r>
      <w:r w:rsidRPr="0067130C">
        <w:rPr>
          <w:rFonts w:ascii="Book Antiqua" w:eastAsia="Book Antiqua" w:hAnsi="Book Antiqua" w:cs="Book Antiqua"/>
          <w:b/>
          <w:bCs/>
          <w:color w:val="000000"/>
        </w:rPr>
        <w:t>Vannella L</w:t>
      </w:r>
      <w:r w:rsidRPr="0067130C">
        <w:rPr>
          <w:rFonts w:ascii="Book Antiqua" w:eastAsia="Book Antiqua" w:hAnsi="Book Antiqua" w:cs="Book Antiqua"/>
          <w:color w:val="000000"/>
        </w:rPr>
        <w:t xml:space="preserve">, Sbrozzi-Vanni A, Lahner E, Bordi C, Pilozzi E, Corleto VD, Osborn JF, Delle Fave G, Annibale B. Development of type I gastric carcinoid in patients with chronic atrophic gastritis. </w:t>
      </w:r>
      <w:r w:rsidRPr="0067130C">
        <w:rPr>
          <w:rFonts w:ascii="Book Antiqua" w:eastAsia="Book Antiqua" w:hAnsi="Book Antiqua" w:cs="Book Antiqua"/>
          <w:i/>
          <w:iCs/>
          <w:color w:val="000000"/>
        </w:rPr>
        <w:t>Aliment Pharmacol Ther</w:t>
      </w:r>
      <w:r w:rsidRPr="0067130C">
        <w:rPr>
          <w:rFonts w:ascii="Book Antiqua" w:eastAsia="Book Antiqua" w:hAnsi="Book Antiqua" w:cs="Book Antiqua"/>
          <w:color w:val="000000"/>
        </w:rPr>
        <w:t xml:space="preserve"> 2011; </w:t>
      </w:r>
      <w:r w:rsidRPr="0067130C">
        <w:rPr>
          <w:rFonts w:ascii="Book Antiqua" w:eastAsia="Book Antiqua" w:hAnsi="Book Antiqua" w:cs="Book Antiqua"/>
          <w:b/>
          <w:bCs/>
          <w:color w:val="000000"/>
        </w:rPr>
        <w:t>33</w:t>
      </w:r>
      <w:r w:rsidRPr="0067130C">
        <w:rPr>
          <w:rFonts w:ascii="Book Antiqua" w:eastAsia="Book Antiqua" w:hAnsi="Book Antiqua" w:cs="Book Antiqua"/>
          <w:color w:val="000000"/>
        </w:rPr>
        <w:t>: 1361-1369 [PMID: 21492197 DOI: 10.1111/j.1365-2036.2011.04659.x]</w:t>
      </w:r>
    </w:p>
    <w:p w14:paraId="72596EA2"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25 </w:t>
      </w:r>
      <w:r w:rsidRPr="0067130C">
        <w:rPr>
          <w:rFonts w:ascii="Book Antiqua" w:eastAsia="Book Antiqua" w:hAnsi="Book Antiqua" w:cs="Book Antiqua"/>
          <w:b/>
          <w:bCs/>
          <w:color w:val="000000"/>
        </w:rPr>
        <w:t>Gluckman CR</w:t>
      </w:r>
      <w:r w:rsidRPr="0067130C">
        <w:rPr>
          <w:rFonts w:ascii="Book Antiqua" w:eastAsia="Book Antiqua" w:hAnsi="Book Antiqua" w:cs="Book Antiqua"/>
          <w:color w:val="000000"/>
        </w:rPr>
        <w:t xml:space="preserve">, Metz DC. Gastric Neuroendocrine Tumors (Carcinoids). </w:t>
      </w:r>
      <w:r w:rsidRPr="0067130C">
        <w:rPr>
          <w:rFonts w:ascii="Book Antiqua" w:eastAsia="Book Antiqua" w:hAnsi="Book Antiqua" w:cs="Book Antiqua"/>
          <w:i/>
          <w:iCs/>
          <w:color w:val="000000"/>
        </w:rPr>
        <w:t>Curr Gastroenterol Rep</w:t>
      </w:r>
      <w:r w:rsidRPr="0067130C">
        <w:rPr>
          <w:rFonts w:ascii="Book Antiqua" w:eastAsia="Book Antiqua" w:hAnsi="Book Antiqua" w:cs="Book Antiqua"/>
          <w:color w:val="000000"/>
        </w:rPr>
        <w:t xml:space="preserve"> 2019; </w:t>
      </w:r>
      <w:r w:rsidRPr="0067130C">
        <w:rPr>
          <w:rFonts w:ascii="Book Antiqua" w:eastAsia="Book Antiqua" w:hAnsi="Book Antiqua" w:cs="Book Antiqua"/>
          <w:b/>
          <w:bCs/>
          <w:color w:val="000000"/>
        </w:rPr>
        <w:t>21</w:t>
      </w:r>
      <w:r w:rsidRPr="0067130C">
        <w:rPr>
          <w:rFonts w:ascii="Book Antiqua" w:eastAsia="Book Antiqua" w:hAnsi="Book Antiqua" w:cs="Book Antiqua"/>
          <w:color w:val="000000"/>
        </w:rPr>
        <w:t>: 13 [PMID: 30868284 DOI: 10.1007/s11894-019-0684-7]</w:t>
      </w:r>
    </w:p>
    <w:p w14:paraId="6BF63EDA"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26 </w:t>
      </w:r>
      <w:r w:rsidRPr="0067130C">
        <w:rPr>
          <w:rFonts w:ascii="Book Antiqua" w:eastAsia="Book Antiqua" w:hAnsi="Book Antiqua" w:cs="Book Antiqua"/>
          <w:b/>
          <w:bCs/>
          <w:color w:val="000000"/>
        </w:rPr>
        <w:t>Tsolakis AV</w:t>
      </w:r>
      <w:r w:rsidRPr="0067130C">
        <w:rPr>
          <w:rFonts w:ascii="Book Antiqua" w:eastAsia="Book Antiqua" w:hAnsi="Book Antiqua" w:cs="Book Antiqua"/>
          <w:color w:val="000000"/>
        </w:rPr>
        <w:t xml:space="preserve">, Ragkousi A, Vujasinovic M, Kaltsas G, Daskalakis K. Gastric neuroendocrine neoplasms type 1: A systematic review and meta-analysis. </w:t>
      </w:r>
      <w:r w:rsidRPr="0067130C">
        <w:rPr>
          <w:rFonts w:ascii="Book Antiqua" w:eastAsia="Book Antiqua" w:hAnsi="Book Antiqua" w:cs="Book Antiqua"/>
          <w:i/>
          <w:iCs/>
          <w:color w:val="000000"/>
        </w:rPr>
        <w:t>World J Gastroenterol</w:t>
      </w:r>
      <w:r w:rsidRPr="0067130C">
        <w:rPr>
          <w:rFonts w:ascii="Book Antiqua" w:eastAsia="Book Antiqua" w:hAnsi="Book Antiqua" w:cs="Book Antiqua"/>
          <w:color w:val="000000"/>
        </w:rPr>
        <w:t xml:space="preserve"> 2019; </w:t>
      </w:r>
      <w:r w:rsidRPr="0067130C">
        <w:rPr>
          <w:rFonts w:ascii="Book Antiqua" w:eastAsia="Book Antiqua" w:hAnsi="Book Antiqua" w:cs="Book Antiqua"/>
          <w:b/>
          <w:bCs/>
          <w:color w:val="000000"/>
        </w:rPr>
        <w:t>25</w:t>
      </w:r>
      <w:r w:rsidRPr="0067130C">
        <w:rPr>
          <w:rFonts w:ascii="Book Antiqua" w:eastAsia="Book Antiqua" w:hAnsi="Book Antiqua" w:cs="Book Antiqua"/>
          <w:color w:val="000000"/>
        </w:rPr>
        <w:t>: 5376-5387 [PMID: 31558880 DOI: 10.3748/wjg.v25.i35.5376]</w:t>
      </w:r>
    </w:p>
    <w:p w14:paraId="60D610BA"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27 </w:t>
      </w:r>
      <w:r w:rsidRPr="0067130C">
        <w:rPr>
          <w:rFonts w:ascii="Book Antiqua" w:eastAsia="Book Antiqua" w:hAnsi="Book Antiqua" w:cs="Book Antiqua"/>
          <w:b/>
          <w:bCs/>
          <w:color w:val="000000"/>
        </w:rPr>
        <w:t>Kim BS</w:t>
      </w:r>
      <w:r w:rsidRPr="0067130C">
        <w:rPr>
          <w:rFonts w:ascii="Book Antiqua" w:eastAsia="Book Antiqua" w:hAnsi="Book Antiqua" w:cs="Book Antiqua"/>
          <w:color w:val="000000"/>
        </w:rPr>
        <w:t xml:space="preserve">, Park YS, Yook JH, Oh ST, Kim BS. Differing Clinical Courses and Prognoses in Patients With Gastric Neuroendocrine Tumors Based on the 2010-WHO Classification Scheme. </w:t>
      </w:r>
      <w:r w:rsidRPr="0067130C">
        <w:rPr>
          <w:rFonts w:ascii="Book Antiqua" w:eastAsia="Book Antiqua" w:hAnsi="Book Antiqua" w:cs="Book Antiqua"/>
          <w:i/>
          <w:iCs/>
          <w:color w:val="000000"/>
        </w:rPr>
        <w:t>Medicine (Baltimore)</w:t>
      </w:r>
      <w:r w:rsidRPr="0067130C">
        <w:rPr>
          <w:rFonts w:ascii="Book Antiqua" w:eastAsia="Book Antiqua" w:hAnsi="Book Antiqua" w:cs="Book Antiqua"/>
          <w:color w:val="000000"/>
        </w:rPr>
        <w:t xml:space="preserve"> 2015; </w:t>
      </w:r>
      <w:r w:rsidRPr="0067130C">
        <w:rPr>
          <w:rFonts w:ascii="Book Antiqua" w:eastAsia="Book Antiqua" w:hAnsi="Book Antiqua" w:cs="Book Antiqua"/>
          <w:b/>
          <w:bCs/>
          <w:color w:val="000000"/>
        </w:rPr>
        <w:t>94</w:t>
      </w:r>
      <w:r w:rsidRPr="0067130C">
        <w:rPr>
          <w:rFonts w:ascii="Book Antiqua" w:eastAsia="Book Antiqua" w:hAnsi="Book Antiqua" w:cs="Book Antiqua"/>
          <w:color w:val="000000"/>
        </w:rPr>
        <w:t>: e1748 [PMID: 26554772 DOI: 10.1097/MD.0000000000001748]</w:t>
      </w:r>
    </w:p>
    <w:p w14:paraId="0F4CA031"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28 </w:t>
      </w:r>
      <w:r w:rsidRPr="0067130C">
        <w:rPr>
          <w:rFonts w:ascii="Book Antiqua" w:eastAsia="Book Antiqua" w:hAnsi="Book Antiqua" w:cs="Book Antiqua"/>
          <w:b/>
          <w:bCs/>
          <w:color w:val="000000"/>
        </w:rPr>
        <w:t>Thomas D</w:t>
      </w:r>
      <w:r w:rsidRPr="0067130C">
        <w:rPr>
          <w:rFonts w:ascii="Book Antiqua" w:eastAsia="Book Antiqua" w:hAnsi="Book Antiqua" w:cs="Book Antiqua"/>
          <w:color w:val="000000"/>
        </w:rPr>
        <w:t xml:space="preserve">, Tsolakis AV, Grozinsky-Glasberg S, Fraenkel M, Alexandraki K, Sougioultzis S, Gross DJ, Kaltsas G. Long-term follow-up of a large series of patients with type 1 gastric carcinoid tumors: data from a multicenter study. </w:t>
      </w:r>
      <w:r w:rsidRPr="0067130C">
        <w:rPr>
          <w:rFonts w:ascii="Book Antiqua" w:eastAsia="Book Antiqua" w:hAnsi="Book Antiqua" w:cs="Book Antiqua"/>
          <w:i/>
          <w:iCs/>
          <w:color w:val="000000"/>
        </w:rPr>
        <w:t>Eur J Endocrinol</w:t>
      </w:r>
      <w:r w:rsidRPr="0067130C">
        <w:rPr>
          <w:rFonts w:ascii="Book Antiqua" w:eastAsia="Book Antiqua" w:hAnsi="Book Antiqua" w:cs="Book Antiqua"/>
          <w:color w:val="000000"/>
        </w:rPr>
        <w:t xml:space="preserve"> 2013; </w:t>
      </w:r>
      <w:r w:rsidRPr="0067130C">
        <w:rPr>
          <w:rFonts w:ascii="Book Antiqua" w:eastAsia="Book Antiqua" w:hAnsi="Book Antiqua" w:cs="Book Antiqua"/>
          <w:b/>
          <w:bCs/>
          <w:color w:val="000000"/>
        </w:rPr>
        <w:t>168</w:t>
      </w:r>
      <w:r w:rsidRPr="0067130C">
        <w:rPr>
          <w:rFonts w:ascii="Book Antiqua" w:eastAsia="Book Antiqua" w:hAnsi="Book Antiqua" w:cs="Book Antiqua"/>
          <w:color w:val="000000"/>
        </w:rPr>
        <w:t>: 185-193 [PMID: 23132699 DOI: 10.1530/EJE-12-0836]</w:t>
      </w:r>
    </w:p>
    <w:p w14:paraId="09AA2B81"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29 </w:t>
      </w:r>
      <w:r w:rsidRPr="0067130C">
        <w:rPr>
          <w:rFonts w:ascii="Book Antiqua" w:eastAsia="Book Antiqua" w:hAnsi="Book Antiqua" w:cs="Book Antiqua"/>
          <w:b/>
          <w:bCs/>
          <w:color w:val="000000"/>
        </w:rPr>
        <w:t>Burkitt MD</w:t>
      </w:r>
      <w:r w:rsidRPr="0067130C">
        <w:rPr>
          <w:rFonts w:ascii="Book Antiqua" w:eastAsia="Book Antiqua" w:hAnsi="Book Antiqua" w:cs="Book Antiqua"/>
          <w:color w:val="000000"/>
        </w:rPr>
        <w:t xml:space="preserve">, Pritchard DM. Review article: Pathogenesis and management of gastric carcinoid tumours. </w:t>
      </w:r>
      <w:r w:rsidRPr="0067130C">
        <w:rPr>
          <w:rFonts w:ascii="Book Antiqua" w:eastAsia="Book Antiqua" w:hAnsi="Book Antiqua" w:cs="Book Antiqua"/>
          <w:i/>
          <w:iCs/>
          <w:color w:val="000000"/>
        </w:rPr>
        <w:t>Aliment Pharmacol Ther</w:t>
      </w:r>
      <w:r w:rsidRPr="0067130C">
        <w:rPr>
          <w:rFonts w:ascii="Book Antiqua" w:eastAsia="Book Antiqua" w:hAnsi="Book Antiqua" w:cs="Book Antiqua"/>
          <w:color w:val="000000"/>
        </w:rPr>
        <w:t xml:space="preserve"> 2006; </w:t>
      </w:r>
      <w:r w:rsidRPr="0067130C">
        <w:rPr>
          <w:rFonts w:ascii="Book Antiqua" w:eastAsia="Book Antiqua" w:hAnsi="Book Antiqua" w:cs="Book Antiqua"/>
          <w:b/>
          <w:bCs/>
          <w:color w:val="000000"/>
        </w:rPr>
        <w:t>24</w:t>
      </w:r>
      <w:r w:rsidRPr="0067130C">
        <w:rPr>
          <w:rFonts w:ascii="Book Antiqua" w:eastAsia="Book Antiqua" w:hAnsi="Book Antiqua" w:cs="Book Antiqua"/>
          <w:color w:val="000000"/>
        </w:rPr>
        <w:t>: 1305-1320 [PMID: 17059512 DOI: 10.1111/j.1365-2036.2006.03130.x]</w:t>
      </w:r>
    </w:p>
    <w:p w14:paraId="6053B413"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30 </w:t>
      </w:r>
      <w:r w:rsidRPr="0067130C">
        <w:rPr>
          <w:rFonts w:ascii="Book Antiqua" w:eastAsia="Book Antiqua" w:hAnsi="Book Antiqua" w:cs="Book Antiqua"/>
          <w:b/>
          <w:bCs/>
          <w:color w:val="000000"/>
        </w:rPr>
        <w:t>Schubert ML</w:t>
      </w:r>
      <w:r w:rsidRPr="0067130C">
        <w:rPr>
          <w:rFonts w:ascii="Book Antiqua" w:eastAsia="Book Antiqua" w:hAnsi="Book Antiqua" w:cs="Book Antiqua"/>
          <w:color w:val="000000"/>
        </w:rPr>
        <w:t xml:space="preserve">, Peura DA. Control of gastric acid secretion in health and disease. </w:t>
      </w:r>
      <w:r w:rsidRPr="0067130C">
        <w:rPr>
          <w:rFonts w:ascii="Book Antiqua" w:eastAsia="Book Antiqua" w:hAnsi="Book Antiqua" w:cs="Book Antiqua"/>
          <w:i/>
          <w:iCs/>
          <w:color w:val="000000"/>
        </w:rPr>
        <w:t>Gastroenterology</w:t>
      </w:r>
      <w:r w:rsidRPr="0067130C">
        <w:rPr>
          <w:rFonts w:ascii="Book Antiqua" w:eastAsia="Book Antiqua" w:hAnsi="Book Antiqua" w:cs="Book Antiqua"/>
          <w:color w:val="000000"/>
        </w:rPr>
        <w:t xml:space="preserve"> 2008; </w:t>
      </w:r>
      <w:r w:rsidRPr="0067130C">
        <w:rPr>
          <w:rFonts w:ascii="Book Antiqua" w:eastAsia="Book Antiqua" w:hAnsi="Book Antiqua" w:cs="Book Antiqua"/>
          <w:b/>
          <w:bCs/>
          <w:color w:val="000000"/>
        </w:rPr>
        <w:t>134</w:t>
      </w:r>
      <w:r w:rsidRPr="0067130C">
        <w:rPr>
          <w:rFonts w:ascii="Book Antiqua" w:eastAsia="Book Antiqua" w:hAnsi="Book Antiqua" w:cs="Book Antiqua"/>
          <w:color w:val="000000"/>
        </w:rPr>
        <w:t>: 1842-1860 [PMID: 18474247 DOI: 10.1053/j.gastro.2008.05.021]</w:t>
      </w:r>
    </w:p>
    <w:p w14:paraId="0630304C"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31 </w:t>
      </w:r>
      <w:r w:rsidRPr="0067130C">
        <w:rPr>
          <w:rFonts w:ascii="Book Antiqua" w:eastAsia="Book Antiqua" w:hAnsi="Book Antiqua" w:cs="Book Antiqua"/>
          <w:b/>
          <w:bCs/>
          <w:color w:val="000000"/>
        </w:rPr>
        <w:t>Gibril F</w:t>
      </w:r>
      <w:r w:rsidRPr="0067130C">
        <w:rPr>
          <w:rFonts w:ascii="Book Antiqua" w:eastAsia="Book Antiqua" w:hAnsi="Book Antiqua" w:cs="Book Antiqua"/>
          <w:color w:val="000000"/>
        </w:rPr>
        <w:t xml:space="preserve">, Schumann M, Pace A, Jensen RT. Multiple endocrine neoplasia type 1 and Zollinger-Ellison syndrome: a prospective study of 107 cases and comparison with 1009 cases from the literature. </w:t>
      </w:r>
      <w:r w:rsidRPr="0067130C">
        <w:rPr>
          <w:rFonts w:ascii="Book Antiqua" w:eastAsia="Book Antiqua" w:hAnsi="Book Antiqua" w:cs="Book Antiqua"/>
          <w:i/>
          <w:iCs/>
          <w:color w:val="000000"/>
        </w:rPr>
        <w:t>Medicine (Baltimore)</w:t>
      </w:r>
      <w:r w:rsidRPr="0067130C">
        <w:rPr>
          <w:rFonts w:ascii="Book Antiqua" w:eastAsia="Book Antiqua" w:hAnsi="Book Antiqua" w:cs="Book Antiqua"/>
          <w:color w:val="000000"/>
        </w:rPr>
        <w:t xml:space="preserve"> 2004; </w:t>
      </w:r>
      <w:r w:rsidRPr="0067130C">
        <w:rPr>
          <w:rFonts w:ascii="Book Antiqua" w:eastAsia="Book Antiqua" w:hAnsi="Book Antiqua" w:cs="Book Antiqua"/>
          <w:b/>
          <w:bCs/>
          <w:color w:val="000000"/>
        </w:rPr>
        <w:t>83</w:t>
      </w:r>
      <w:r w:rsidRPr="0067130C">
        <w:rPr>
          <w:rFonts w:ascii="Book Antiqua" w:eastAsia="Book Antiqua" w:hAnsi="Book Antiqua" w:cs="Book Antiqua"/>
          <w:color w:val="000000"/>
        </w:rPr>
        <w:t>: 43-83 [PMID: 14747767 DOI: 10.1097/01.md.0000112297.72510.32]</w:t>
      </w:r>
    </w:p>
    <w:p w14:paraId="01B97C99"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32 </w:t>
      </w:r>
      <w:r w:rsidRPr="0067130C">
        <w:rPr>
          <w:rFonts w:ascii="Book Antiqua" w:eastAsia="Book Antiqua" w:hAnsi="Book Antiqua" w:cs="Book Antiqua"/>
          <w:b/>
          <w:bCs/>
          <w:color w:val="000000"/>
        </w:rPr>
        <w:t>Gilligan CJ</w:t>
      </w:r>
      <w:r w:rsidRPr="0067130C">
        <w:rPr>
          <w:rFonts w:ascii="Book Antiqua" w:eastAsia="Book Antiqua" w:hAnsi="Book Antiqua" w:cs="Book Antiqua"/>
          <w:color w:val="000000"/>
        </w:rPr>
        <w:t xml:space="preserve">, Lawton GP, Tang LH, West AB, Modlin IM. Gastric carcinoid tumors: the biology and therapy of an enigmatic and controversial lesion. </w:t>
      </w:r>
      <w:r w:rsidRPr="0067130C">
        <w:rPr>
          <w:rFonts w:ascii="Book Antiqua" w:eastAsia="Book Antiqua" w:hAnsi="Book Antiqua" w:cs="Book Antiqua"/>
          <w:i/>
          <w:iCs/>
          <w:color w:val="000000"/>
        </w:rPr>
        <w:t>Am J Gastroenterol</w:t>
      </w:r>
      <w:r w:rsidRPr="0067130C">
        <w:rPr>
          <w:rFonts w:ascii="Book Antiqua" w:eastAsia="Book Antiqua" w:hAnsi="Book Antiqua" w:cs="Book Antiqua"/>
          <w:color w:val="000000"/>
        </w:rPr>
        <w:t xml:space="preserve"> 1995; </w:t>
      </w:r>
      <w:r w:rsidRPr="0067130C">
        <w:rPr>
          <w:rFonts w:ascii="Book Antiqua" w:eastAsia="Book Antiqua" w:hAnsi="Book Antiqua" w:cs="Book Antiqua"/>
          <w:b/>
          <w:bCs/>
          <w:color w:val="000000"/>
        </w:rPr>
        <w:t>90</w:t>
      </w:r>
      <w:r w:rsidRPr="0067130C">
        <w:rPr>
          <w:rFonts w:ascii="Book Antiqua" w:eastAsia="Book Antiqua" w:hAnsi="Book Antiqua" w:cs="Book Antiqua"/>
          <w:color w:val="000000"/>
        </w:rPr>
        <w:t>: 338-352 [PMID: 7872269]</w:t>
      </w:r>
    </w:p>
    <w:p w14:paraId="43EDBAC5"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33 </w:t>
      </w:r>
      <w:r w:rsidRPr="0067130C">
        <w:rPr>
          <w:rFonts w:ascii="Book Antiqua" w:eastAsia="Book Antiqua" w:hAnsi="Book Antiqua" w:cs="Book Antiqua"/>
          <w:b/>
          <w:bCs/>
          <w:color w:val="000000"/>
        </w:rPr>
        <w:t>Bordi C</w:t>
      </w:r>
      <w:r w:rsidRPr="0067130C">
        <w:rPr>
          <w:rFonts w:ascii="Book Antiqua" w:eastAsia="Book Antiqua" w:hAnsi="Book Antiqua" w:cs="Book Antiqua"/>
          <w:color w:val="000000"/>
        </w:rPr>
        <w:t xml:space="preserve">. Endocrine tumours of the stomach. </w:t>
      </w:r>
      <w:r w:rsidRPr="0067130C">
        <w:rPr>
          <w:rFonts w:ascii="Book Antiqua" w:eastAsia="Book Antiqua" w:hAnsi="Book Antiqua" w:cs="Book Antiqua"/>
          <w:i/>
          <w:iCs/>
          <w:color w:val="000000"/>
        </w:rPr>
        <w:t>Pathol Res Pract</w:t>
      </w:r>
      <w:r w:rsidRPr="0067130C">
        <w:rPr>
          <w:rFonts w:ascii="Book Antiqua" w:eastAsia="Book Antiqua" w:hAnsi="Book Antiqua" w:cs="Book Antiqua"/>
          <w:color w:val="000000"/>
        </w:rPr>
        <w:t xml:space="preserve"> 1995; </w:t>
      </w:r>
      <w:r w:rsidRPr="0067130C">
        <w:rPr>
          <w:rFonts w:ascii="Book Antiqua" w:eastAsia="Book Antiqua" w:hAnsi="Book Antiqua" w:cs="Book Antiqua"/>
          <w:b/>
          <w:bCs/>
          <w:color w:val="000000"/>
        </w:rPr>
        <w:t>191</w:t>
      </w:r>
      <w:r w:rsidRPr="0067130C">
        <w:rPr>
          <w:rFonts w:ascii="Book Antiqua" w:eastAsia="Book Antiqua" w:hAnsi="Book Antiqua" w:cs="Book Antiqua"/>
          <w:color w:val="000000"/>
        </w:rPr>
        <w:t>: 373-380 [PMID: 7479354 DOI: 10.1016/S0344-0338(11)80891-5]</w:t>
      </w:r>
    </w:p>
    <w:p w14:paraId="1222F276"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34 </w:t>
      </w:r>
      <w:r w:rsidRPr="0067130C">
        <w:rPr>
          <w:rFonts w:ascii="Book Antiqua" w:eastAsia="Book Antiqua" w:hAnsi="Book Antiqua" w:cs="Book Antiqua"/>
          <w:b/>
          <w:bCs/>
          <w:color w:val="000000"/>
        </w:rPr>
        <w:t>Rappel S</w:t>
      </w:r>
      <w:r w:rsidRPr="0067130C">
        <w:rPr>
          <w:rFonts w:ascii="Book Antiqua" w:eastAsia="Book Antiqua" w:hAnsi="Book Antiqua" w:cs="Book Antiqua"/>
          <w:color w:val="000000"/>
        </w:rPr>
        <w:t xml:space="preserve">, Altendorf-Hofmann A, Stolte M. Prognosis of gastric carcinoid tumours. </w:t>
      </w:r>
      <w:r w:rsidRPr="0067130C">
        <w:rPr>
          <w:rFonts w:ascii="Book Antiqua" w:eastAsia="Book Antiqua" w:hAnsi="Book Antiqua" w:cs="Book Antiqua"/>
          <w:i/>
          <w:iCs/>
          <w:color w:val="000000"/>
        </w:rPr>
        <w:t>Digestion</w:t>
      </w:r>
      <w:r w:rsidRPr="0067130C">
        <w:rPr>
          <w:rFonts w:ascii="Book Antiqua" w:eastAsia="Book Antiqua" w:hAnsi="Book Antiqua" w:cs="Book Antiqua"/>
          <w:color w:val="000000"/>
        </w:rPr>
        <w:t xml:space="preserve"> 1995; </w:t>
      </w:r>
      <w:r w:rsidRPr="0067130C">
        <w:rPr>
          <w:rFonts w:ascii="Book Antiqua" w:eastAsia="Book Antiqua" w:hAnsi="Book Antiqua" w:cs="Book Antiqua"/>
          <w:b/>
          <w:bCs/>
          <w:color w:val="000000"/>
        </w:rPr>
        <w:t>56</w:t>
      </w:r>
      <w:r w:rsidRPr="0067130C">
        <w:rPr>
          <w:rFonts w:ascii="Book Antiqua" w:eastAsia="Book Antiqua" w:hAnsi="Book Antiqua" w:cs="Book Antiqua"/>
          <w:color w:val="000000"/>
        </w:rPr>
        <w:t>: 455-462 [PMID: 8536814 DOI: 10.1159/000201276]</w:t>
      </w:r>
    </w:p>
    <w:p w14:paraId="61BC49A5"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35 </w:t>
      </w:r>
      <w:r w:rsidRPr="0067130C">
        <w:rPr>
          <w:rFonts w:ascii="Book Antiqua" w:eastAsia="Book Antiqua" w:hAnsi="Book Antiqua" w:cs="Book Antiqua"/>
          <w:b/>
          <w:bCs/>
          <w:color w:val="000000"/>
        </w:rPr>
        <w:t>Panzuto F</w:t>
      </w:r>
      <w:r w:rsidRPr="0067130C">
        <w:rPr>
          <w:rFonts w:ascii="Book Antiqua" w:eastAsia="Book Antiqua" w:hAnsi="Book Antiqua" w:cs="Book Antiqua"/>
          <w:color w:val="000000"/>
        </w:rPr>
        <w:t xml:space="preserve">, Campana D, Massironi S, Faggiano A, Rinzivillo M, Lamberti G, Sciola V, Lahner E, Manuzzi L, Colao A, Annibale B. Tumour type and size are prognostic factors in gastric neuroendocrine neoplasia: A multicentre retrospective study. </w:t>
      </w:r>
      <w:r w:rsidRPr="0067130C">
        <w:rPr>
          <w:rFonts w:ascii="Book Antiqua" w:eastAsia="Book Antiqua" w:hAnsi="Book Antiqua" w:cs="Book Antiqua"/>
          <w:i/>
          <w:iCs/>
          <w:color w:val="000000"/>
        </w:rPr>
        <w:t>Dig Liver Dis</w:t>
      </w:r>
      <w:r w:rsidRPr="0067130C">
        <w:rPr>
          <w:rFonts w:ascii="Book Antiqua" w:eastAsia="Book Antiqua" w:hAnsi="Book Antiqua" w:cs="Book Antiqua"/>
          <w:color w:val="000000"/>
        </w:rPr>
        <w:t xml:space="preserve"> 2019; </w:t>
      </w:r>
      <w:r w:rsidRPr="0067130C">
        <w:rPr>
          <w:rFonts w:ascii="Book Antiqua" w:eastAsia="Book Antiqua" w:hAnsi="Book Antiqua" w:cs="Book Antiqua"/>
          <w:b/>
          <w:bCs/>
          <w:color w:val="000000"/>
        </w:rPr>
        <w:t>51</w:t>
      </w:r>
      <w:r w:rsidRPr="0067130C">
        <w:rPr>
          <w:rFonts w:ascii="Book Antiqua" w:eastAsia="Book Antiqua" w:hAnsi="Book Antiqua" w:cs="Book Antiqua"/>
          <w:color w:val="000000"/>
        </w:rPr>
        <w:t>: 1456-1460 [PMID: 31175013 DOI: 10.1016/j.dld.2019.04.016]</w:t>
      </w:r>
    </w:p>
    <w:p w14:paraId="0F62224D"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36 </w:t>
      </w:r>
      <w:r w:rsidRPr="0067130C">
        <w:rPr>
          <w:rFonts w:ascii="Book Antiqua" w:eastAsia="Book Antiqua" w:hAnsi="Book Antiqua" w:cs="Book Antiqua"/>
          <w:b/>
          <w:bCs/>
          <w:color w:val="000000"/>
        </w:rPr>
        <w:t>Ahmed M</w:t>
      </w:r>
      <w:r w:rsidRPr="0067130C">
        <w:rPr>
          <w:rFonts w:ascii="Book Antiqua" w:eastAsia="Book Antiqua" w:hAnsi="Book Antiqua" w:cs="Book Antiqua"/>
          <w:color w:val="000000"/>
        </w:rPr>
        <w:t xml:space="preserve">. Gastrointestinal neuroendocrine tumors in 2020. </w:t>
      </w:r>
      <w:r w:rsidRPr="0067130C">
        <w:rPr>
          <w:rFonts w:ascii="Book Antiqua" w:eastAsia="Book Antiqua" w:hAnsi="Book Antiqua" w:cs="Book Antiqua"/>
          <w:i/>
          <w:iCs/>
          <w:color w:val="000000"/>
        </w:rPr>
        <w:t>World J Gastrointest Oncol</w:t>
      </w:r>
      <w:r w:rsidRPr="0067130C">
        <w:rPr>
          <w:rFonts w:ascii="Book Antiqua" w:eastAsia="Book Antiqua" w:hAnsi="Book Antiqua" w:cs="Book Antiqua"/>
          <w:color w:val="000000"/>
        </w:rPr>
        <w:t xml:space="preserve"> 2020; </w:t>
      </w:r>
      <w:r w:rsidRPr="0067130C">
        <w:rPr>
          <w:rFonts w:ascii="Book Antiqua" w:eastAsia="Book Antiqua" w:hAnsi="Book Antiqua" w:cs="Book Antiqua"/>
          <w:b/>
          <w:bCs/>
          <w:color w:val="000000"/>
        </w:rPr>
        <w:t>12</w:t>
      </w:r>
      <w:r w:rsidRPr="0067130C">
        <w:rPr>
          <w:rFonts w:ascii="Book Antiqua" w:eastAsia="Book Antiqua" w:hAnsi="Book Antiqua" w:cs="Book Antiqua"/>
          <w:color w:val="000000"/>
        </w:rPr>
        <w:t>: 791-807 [PMID: 32879660 DOI: 10.4251/wjgo.v12.i8.791]</w:t>
      </w:r>
    </w:p>
    <w:p w14:paraId="42CA91E7"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37 </w:t>
      </w:r>
      <w:r w:rsidRPr="0067130C">
        <w:rPr>
          <w:rFonts w:ascii="Book Antiqua" w:eastAsia="Book Antiqua" w:hAnsi="Book Antiqua" w:cs="Book Antiqua"/>
          <w:b/>
          <w:bCs/>
          <w:color w:val="000000"/>
        </w:rPr>
        <w:t>Trinh VQ</w:t>
      </w:r>
      <w:r w:rsidRPr="0067130C">
        <w:rPr>
          <w:rFonts w:ascii="Book Antiqua" w:eastAsia="Book Antiqua" w:hAnsi="Book Antiqua" w:cs="Book Antiqua"/>
          <w:color w:val="000000"/>
        </w:rPr>
        <w:t xml:space="preserve">, Shi C, Ma C. Gastric neuroendocrine tumours from long-term proton pump inhibitor users are indolent tumours with good prognosis. </w:t>
      </w:r>
      <w:r w:rsidRPr="0067130C">
        <w:rPr>
          <w:rFonts w:ascii="Book Antiqua" w:eastAsia="Book Antiqua" w:hAnsi="Book Antiqua" w:cs="Book Antiqua"/>
          <w:i/>
          <w:iCs/>
          <w:color w:val="000000"/>
        </w:rPr>
        <w:t>Histopathology</w:t>
      </w:r>
      <w:r w:rsidRPr="0067130C">
        <w:rPr>
          <w:rFonts w:ascii="Book Antiqua" w:eastAsia="Book Antiqua" w:hAnsi="Book Antiqua" w:cs="Book Antiqua"/>
          <w:color w:val="000000"/>
        </w:rPr>
        <w:t xml:space="preserve"> 2020; </w:t>
      </w:r>
      <w:r w:rsidRPr="0067130C">
        <w:rPr>
          <w:rFonts w:ascii="Book Antiqua" w:eastAsia="Book Antiqua" w:hAnsi="Book Antiqua" w:cs="Book Antiqua"/>
          <w:b/>
          <w:bCs/>
          <w:color w:val="000000"/>
        </w:rPr>
        <w:t>77</w:t>
      </w:r>
      <w:r w:rsidRPr="0067130C">
        <w:rPr>
          <w:rFonts w:ascii="Book Antiqua" w:eastAsia="Book Antiqua" w:hAnsi="Book Antiqua" w:cs="Book Antiqua"/>
          <w:color w:val="000000"/>
        </w:rPr>
        <w:t>: 865-876 [PMID: 32702178 DOI: 10.1111/his.14220]</w:t>
      </w:r>
    </w:p>
    <w:p w14:paraId="704C3204"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38 </w:t>
      </w:r>
      <w:r w:rsidRPr="0067130C">
        <w:rPr>
          <w:rFonts w:ascii="Book Antiqua" w:eastAsia="Book Antiqua" w:hAnsi="Book Antiqua" w:cs="Book Antiqua"/>
          <w:b/>
          <w:bCs/>
          <w:color w:val="000000"/>
        </w:rPr>
        <w:t>Solcia E</w:t>
      </w:r>
      <w:r w:rsidRPr="0067130C">
        <w:rPr>
          <w:rFonts w:ascii="Book Antiqua" w:eastAsia="Book Antiqua" w:hAnsi="Book Antiqua" w:cs="Book Antiqua"/>
          <w:color w:val="000000"/>
        </w:rPr>
        <w:t xml:space="preserve">, Bordi C, Creutzfeldt W, Dayal Y, Dayan AD, Falkmer S, Grimelius L, Havu N. Histopathological classification of nonantral gastric endocrine growths in man. </w:t>
      </w:r>
      <w:r w:rsidRPr="0067130C">
        <w:rPr>
          <w:rFonts w:ascii="Book Antiqua" w:eastAsia="Book Antiqua" w:hAnsi="Book Antiqua" w:cs="Book Antiqua"/>
          <w:i/>
          <w:iCs/>
          <w:color w:val="000000"/>
        </w:rPr>
        <w:t>Digestion</w:t>
      </w:r>
      <w:r w:rsidRPr="0067130C">
        <w:rPr>
          <w:rFonts w:ascii="Book Antiqua" w:eastAsia="Book Antiqua" w:hAnsi="Book Antiqua" w:cs="Book Antiqua"/>
          <w:color w:val="000000"/>
        </w:rPr>
        <w:t xml:space="preserve"> 1988; </w:t>
      </w:r>
      <w:r w:rsidRPr="0067130C">
        <w:rPr>
          <w:rFonts w:ascii="Book Antiqua" w:eastAsia="Book Antiqua" w:hAnsi="Book Antiqua" w:cs="Book Antiqua"/>
          <w:b/>
          <w:bCs/>
          <w:color w:val="000000"/>
        </w:rPr>
        <w:t>41</w:t>
      </w:r>
      <w:r w:rsidRPr="0067130C">
        <w:rPr>
          <w:rFonts w:ascii="Book Antiqua" w:eastAsia="Book Antiqua" w:hAnsi="Book Antiqua" w:cs="Book Antiqua"/>
          <w:color w:val="000000"/>
        </w:rPr>
        <w:t>: 185-200 [PMID: 3072229 DOI: 10.1159/000199786]</w:t>
      </w:r>
    </w:p>
    <w:p w14:paraId="3627C142"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39 </w:t>
      </w:r>
      <w:r w:rsidRPr="0067130C">
        <w:rPr>
          <w:rFonts w:ascii="Book Antiqua" w:eastAsia="Book Antiqua" w:hAnsi="Book Antiqua" w:cs="Book Antiqua"/>
          <w:b/>
          <w:bCs/>
          <w:color w:val="000000"/>
        </w:rPr>
        <w:t>Bordi C</w:t>
      </w:r>
      <w:r w:rsidRPr="0067130C">
        <w:rPr>
          <w:rFonts w:ascii="Book Antiqua" w:eastAsia="Book Antiqua" w:hAnsi="Book Antiqua" w:cs="Book Antiqua"/>
          <w:color w:val="000000"/>
        </w:rPr>
        <w:t xml:space="preserve">, Annibale B, Azzoni C, Marignani M, Ferraro G, Antonelli G, D'Adda T, D'Ambra G, Delle Fave G. Endocrine cell growths in atrophic body gastritis. Critical evaluation of a histological classification. </w:t>
      </w:r>
      <w:r w:rsidRPr="0067130C">
        <w:rPr>
          <w:rFonts w:ascii="Book Antiqua" w:eastAsia="Book Antiqua" w:hAnsi="Book Antiqua" w:cs="Book Antiqua"/>
          <w:i/>
          <w:iCs/>
          <w:color w:val="000000"/>
        </w:rPr>
        <w:t>J Pathol</w:t>
      </w:r>
      <w:r w:rsidRPr="0067130C">
        <w:rPr>
          <w:rFonts w:ascii="Book Antiqua" w:eastAsia="Book Antiqua" w:hAnsi="Book Antiqua" w:cs="Book Antiqua"/>
          <w:color w:val="000000"/>
        </w:rPr>
        <w:t xml:space="preserve"> 1997; </w:t>
      </w:r>
      <w:r w:rsidRPr="0067130C">
        <w:rPr>
          <w:rFonts w:ascii="Book Antiqua" w:eastAsia="Book Antiqua" w:hAnsi="Book Antiqua" w:cs="Book Antiqua"/>
          <w:b/>
          <w:bCs/>
          <w:color w:val="000000"/>
        </w:rPr>
        <w:t>182</w:t>
      </w:r>
      <w:r w:rsidRPr="0067130C">
        <w:rPr>
          <w:rFonts w:ascii="Book Antiqua" w:eastAsia="Book Antiqua" w:hAnsi="Book Antiqua" w:cs="Book Antiqua"/>
          <w:color w:val="000000"/>
        </w:rPr>
        <w:t>: 339-346 [PMID: 9349238 DOI: 10.1002/(SICI)1096-9896(199707)182:3&lt;339::AID-PATH854&gt;3.0.CO;2-V]</w:t>
      </w:r>
    </w:p>
    <w:p w14:paraId="2E2DD9EB"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40 </w:t>
      </w:r>
      <w:r w:rsidRPr="0067130C">
        <w:rPr>
          <w:rFonts w:ascii="Book Antiqua" w:eastAsia="Book Antiqua" w:hAnsi="Book Antiqua" w:cs="Book Antiqua"/>
          <w:b/>
          <w:bCs/>
          <w:color w:val="000000"/>
        </w:rPr>
        <w:t>Qvigstad G</w:t>
      </w:r>
      <w:r w:rsidRPr="0067130C">
        <w:rPr>
          <w:rFonts w:ascii="Book Antiqua" w:eastAsia="Book Antiqua" w:hAnsi="Book Antiqua" w:cs="Book Antiqua"/>
          <w:color w:val="000000"/>
        </w:rPr>
        <w:t xml:space="preserve">, Falkmer S, Westre B, Waldum HL. Clinical and histopathological tumour progression in ECL cell carcinoids ("ECLomas"). </w:t>
      </w:r>
      <w:r w:rsidRPr="0067130C">
        <w:rPr>
          <w:rFonts w:ascii="Book Antiqua" w:eastAsia="Book Antiqua" w:hAnsi="Book Antiqua" w:cs="Book Antiqua"/>
          <w:i/>
          <w:iCs/>
          <w:color w:val="000000"/>
        </w:rPr>
        <w:t>APMIS</w:t>
      </w:r>
      <w:r w:rsidRPr="0067130C">
        <w:rPr>
          <w:rFonts w:ascii="Book Antiqua" w:eastAsia="Book Antiqua" w:hAnsi="Book Antiqua" w:cs="Book Antiqua"/>
          <w:color w:val="000000"/>
        </w:rPr>
        <w:t xml:space="preserve"> 1999; </w:t>
      </w:r>
      <w:r w:rsidRPr="0067130C">
        <w:rPr>
          <w:rFonts w:ascii="Book Antiqua" w:eastAsia="Book Antiqua" w:hAnsi="Book Antiqua" w:cs="Book Antiqua"/>
          <w:b/>
          <w:bCs/>
          <w:color w:val="000000"/>
        </w:rPr>
        <w:t>107</w:t>
      </w:r>
      <w:r w:rsidRPr="0067130C">
        <w:rPr>
          <w:rFonts w:ascii="Book Antiqua" w:eastAsia="Book Antiqua" w:hAnsi="Book Antiqua" w:cs="Book Antiqua"/>
          <w:color w:val="000000"/>
        </w:rPr>
        <w:t>: 1085-1092 [PMID: 10660138 DOI: 10.1111/j.1699-0463.1999.tb01513.x]</w:t>
      </w:r>
    </w:p>
    <w:p w14:paraId="300DD727"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41 </w:t>
      </w:r>
      <w:r w:rsidRPr="0067130C">
        <w:rPr>
          <w:rFonts w:ascii="Book Antiqua" w:eastAsia="Book Antiqua" w:hAnsi="Book Antiqua" w:cs="Book Antiqua"/>
          <w:b/>
          <w:bCs/>
          <w:color w:val="000000"/>
        </w:rPr>
        <w:t>Tsukamoto H</w:t>
      </w:r>
      <w:r w:rsidRPr="0067130C">
        <w:rPr>
          <w:rFonts w:ascii="Book Antiqua" w:eastAsia="Book Antiqua" w:hAnsi="Book Antiqua" w:cs="Book Antiqua"/>
          <w:color w:val="000000"/>
        </w:rPr>
        <w:t xml:space="preserve">, Mizoshita T, Sasaki M, Mizushima T, Tanida S, Ozeki K, Hirata Y, Shimura T, Kataoka H, Kamiya T, Nojiri S, Tsukamoto T, Tatematsu M, Joh T. Long-term high-dose proton pump inhibitor administration to Helicobacter pylori-infected Mongolian gerbils enhances neuroendocrine tumor development in the glandular stomach. </w:t>
      </w:r>
      <w:r w:rsidRPr="0067130C">
        <w:rPr>
          <w:rFonts w:ascii="Book Antiqua" w:eastAsia="Book Antiqua" w:hAnsi="Book Antiqua" w:cs="Book Antiqua"/>
          <w:i/>
          <w:iCs/>
          <w:color w:val="000000"/>
        </w:rPr>
        <w:t>Asian Pac J Cancer Prev</w:t>
      </w:r>
      <w:r w:rsidRPr="0067130C">
        <w:rPr>
          <w:rFonts w:ascii="Book Antiqua" w:eastAsia="Book Antiqua" w:hAnsi="Book Antiqua" w:cs="Book Antiqua"/>
          <w:color w:val="000000"/>
        </w:rPr>
        <w:t xml:space="preserve"> 2011; </w:t>
      </w:r>
      <w:r w:rsidRPr="0067130C">
        <w:rPr>
          <w:rFonts w:ascii="Book Antiqua" w:eastAsia="Book Antiqua" w:hAnsi="Book Antiqua" w:cs="Book Antiqua"/>
          <w:b/>
          <w:bCs/>
          <w:color w:val="000000"/>
        </w:rPr>
        <w:t>12</w:t>
      </w:r>
      <w:r w:rsidRPr="0067130C">
        <w:rPr>
          <w:rFonts w:ascii="Book Antiqua" w:eastAsia="Book Antiqua" w:hAnsi="Book Antiqua" w:cs="Book Antiqua"/>
          <w:color w:val="000000"/>
        </w:rPr>
        <w:t>: 1049-1054 [PMID: 21790250 DOI: 10.1097/01.cad.0000390767.85658.83]</w:t>
      </w:r>
    </w:p>
    <w:p w14:paraId="1E03B149"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42 </w:t>
      </w:r>
      <w:r w:rsidRPr="0067130C">
        <w:rPr>
          <w:rFonts w:ascii="Book Antiqua" w:eastAsia="Book Antiqua" w:hAnsi="Book Antiqua" w:cs="Book Antiqua"/>
          <w:b/>
          <w:bCs/>
          <w:color w:val="000000"/>
        </w:rPr>
        <w:t>Nandy N</w:t>
      </w:r>
      <w:r w:rsidRPr="0067130C">
        <w:rPr>
          <w:rFonts w:ascii="Book Antiqua" w:eastAsia="Book Antiqua" w:hAnsi="Book Antiqua" w:cs="Book Antiqua"/>
          <w:color w:val="000000"/>
        </w:rPr>
        <w:t xml:space="preserve">, Hanson JA, Strickland RG, McCarthy DM. Solitary Gastric Carcinoid Tumor Associated with Long-Term Use of Omeprazole: A Case Report and Review of the Literature. </w:t>
      </w:r>
      <w:r w:rsidRPr="0067130C">
        <w:rPr>
          <w:rFonts w:ascii="Book Antiqua" w:eastAsia="Book Antiqua" w:hAnsi="Book Antiqua" w:cs="Book Antiqua"/>
          <w:i/>
          <w:iCs/>
          <w:color w:val="000000"/>
        </w:rPr>
        <w:t>Dig Dis Sci</w:t>
      </w:r>
      <w:r w:rsidRPr="0067130C">
        <w:rPr>
          <w:rFonts w:ascii="Book Antiqua" w:eastAsia="Book Antiqua" w:hAnsi="Book Antiqua" w:cs="Book Antiqua"/>
          <w:color w:val="000000"/>
        </w:rPr>
        <w:t xml:space="preserve"> 2016; </w:t>
      </w:r>
      <w:r w:rsidRPr="0067130C">
        <w:rPr>
          <w:rFonts w:ascii="Book Antiqua" w:eastAsia="Book Antiqua" w:hAnsi="Book Antiqua" w:cs="Book Antiqua"/>
          <w:b/>
          <w:bCs/>
          <w:color w:val="000000"/>
        </w:rPr>
        <w:t>61</w:t>
      </w:r>
      <w:r w:rsidRPr="0067130C">
        <w:rPr>
          <w:rFonts w:ascii="Book Antiqua" w:eastAsia="Book Antiqua" w:hAnsi="Book Antiqua" w:cs="Book Antiqua"/>
          <w:color w:val="000000"/>
        </w:rPr>
        <w:t>: 708-712 [PMID: 26715503 DOI: 10.1007/s10620-015-4014-0]</w:t>
      </w:r>
    </w:p>
    <w:p w14:paraId="0EB50741"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43 </w:t>
      </w:r>
      <w:r w:rsidRPr="0067130C">
        <w:rPr>
          <w:rFonts w:ascii="Book Antiqua" w:eastAsia="Book Antiqua" w:hAnsi="Book Antiqua" w:cs="Book Antiqua"/>
          <w:b/>
          <w:bCs/>
          <w:color w:val="000000"/>
        </w:rPr>
        <w:t>Soto-Solís R</w:t>
      </w:r>
      <w:r w:rsidRPr="0067130C">
        <w:rPr>
          <w:rFonts w:ascii="Book Antiqua" w:eastAsia="Book Antiqua" w:hAnsi="Book Antiqua" w:cs="Book Antiqua"/>
          <w:color w:val="000000"/>
        </w:rPr>
        <w:t xml:space="preserve">, Romano-Munive AF, Santana de Anda K, Barreto-Zuñiga R. Factors related to gastric neuroendocrine tumors. </w:t>
      </w:r>
      <w:r w:rsidRPr="0067130C">
        <w:rPr>
          <w:rFonts w:ascii="Book Antiqua" w:eastAsia="Book Antiqua" w:hAnsi="Book Antiqua" w:cs="Book Antiqua"/>
          <w:i/>
          <w:iCs/>
          <w:color w:val="000000"/>
        </w:rPr>
        <w:t>Rev Gastroenterol Mex (Engl Ed)</w:t>
      </w:r>
      <w:r w:rsidRPr="0067130C">
        <w:rPr>
          <w:rFonts w:ascii="Book Antiqua" w:eastAsia="Book Antiqua" w:hAnsi="Book Antiqua" w:cs="Book Antiqua"/>
          <w:color w:val="000000"/>
        </w:rPr>
        <w:t xml:space="preserve"> 2019; </w:t>
      </w:r>
      <w:r w:rsidRPr="0067130C">
        <w:rPr>
          <w:rFonts w:ascii="Book Antiqua" w:eastAsia="Book Antiqua" w:hAnsi="Book Antiqua" w:cs="Book Antiqua"/>
          <w:b/>
          <w:bCs/>
          <w:color w:val="000000"/>
        </w:rPr>
        <w:t>84</w:t>
      </w:r>
      <w:r w:rsidRPr="0067130C">
        <w:rPr>
          <w:rFonts w:ascii="Book Antiqua" w:eastAsia="Book Antiqua" w:hAnsi="Book Antiqua" w:cs="Book Antiqua"/>
          <w:color w:val="000000"/>
        </w:rPr>
        <w:t>: 52-56 [PMID: 29705524 DOI: 10.1016/j.rgmx.2018.03.002]</w:t>
      </w:r>
    </w:p>
    <w:p w14:paraId="51E3F1E6"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44 </w:t>
      </w:r>
      <w:r w:rsidRPr="0067130C">
        <w:rPr>
          <w:rFonts w:ascii="Book Antiqua" w:eastAsia="Book Antiqua" w:hAnsi="Book Antiqua" w:cs="Book Antiqua"/>
          <w:b/>
          <w:bCs/>
          <w:color w:val="000000"/>
        </w:rPr>
        <w:t>D'Adda T</w:t>
      </w:r>
      <w:r w:rsidRPr="0067130C">
        <w:rPr>
          <w:rFonts w:ascii="Book Antiqua" w:eastAsia="Book Antiqua" w:hAnsi="Book Antiqua" w:cs="Book Antiqua"/>
          <w:color w:val="000000"/>
        </w:rPr>
        <w:t xml:space="preserve">, Corleto V, Pilato FP, Baggi MT, Robutti F, Delle Fave G, Bordi C. Quantitative ultrastructure of endocrine cells of oxyntic mucosa in Zollinger-Ellison syndrome. Correspondence with light microscopic findings. </w:t>
      </w:r>
      <w:r w:rsidRPr="0067130C">
        <w:rPr>
          <w:rFonts w:ascii="Book Antiqua" w:eastAsia="Book Antiqua" w:hAnsi="Book Antiqua" w:cs="Book Antiqua"/>
          <w:i/>
          <w:iCs/>
          <w:color w:val="000000"/>
        </w:rPr>
        <w:t>Gastroenterology</w:t>
      </w:r>
      <w:r w:rsidRPr="0067130C">
        <w:rPr>
          <w:rFonts w:ascii="Book Antiqua" w:eastAsia="Book Antiqua" w:hAnsi="Book Antiqua" w:cs="Book Antiqua"/>
          <w:color w:val="000000"/>
        </w:rPr>
        <w:t xml:space="preserve"> 1990; </w:t>
      </w:r>
      <w:r w:rsidRPr="0067130C">
        <w:rPr>
          <w:rFonts w:ascii="Book Antiqua" w:eastAsia="Book Antiqua" w:hAnsi="Book Antiqua" w:cs="Book Antiqua"/>
          <w:b/>
          <w:bCs/>
          <w:color w:val="000000"/>
        </w:rPr>
        <w:t>99</w:t>
      </w:r>
      <w:r w:rsidRPr="0067130C">
        <w:rPr>
          <w:rFonts w:ascii="Book Antiqua" w:eastAsia="Book Antiqua" w:hAnsi="Book Antiqua" w:cs="Book Antiqua"/>
          <w:color w:val="000000"/>
        </w:rPr>
        <w:t>: 17-26 [PMID: 2344924 DOI: 10.1016/0016-5085(90)91224-t]</w:t>
      </w:r>
    </w:p>
    <w:p w14:paraId="30C3E19E"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45 </w:t>
      </w:r>
      <w:r w:rsidRPr="0067130C">
        <w:rPr>
          <w:rFonts w:ascii="Book Antiqua" w:eastAsia="Book Antiqua" w:hAnsi="Book Antiqua" w:cs="Book Antiqua"/>
          <w:b/>
          <w:bCs/>
          <w:color w:val="000000"/>
        </w:rPr>
        <w:t>Peghini PL</w:t>
      </w:r>
      <w:r w:rsidRPr="0067130C">
        <w:rPr>
          <w:rFonts w:ascii="Book Antiqua" w:eastAsia="Book Antiqua" w:hAnsi="Book Antiqua" w:cs="Book Antiqua"/>
          <w:color w:val="000000"/>
        </w:rPr>
        <w:t xml:space="preserve">, Annibale B, Azzoni C, Milione M, Corleto VD, Gibril F, Venzon DJ, Delle Fave G, Bordi C, Jensen RT. Effect of chronic hypergastrinemia on human enterochromaffin-like cells: insights from patients with sporadic gastrinomas. </w:t>
      </w:r>
      <w:r w:rsidRPr="0067130C">
        <w:rPr>
          <w:rFonts w:ascii="Book Antiqua" w:eastAsia="Book Antiqua" w:hAnsi="Book Antiqua" w:cs="Book Antiqua"/>
          <w:i/>
          <w:iCs/>
          <w:color w:val="000000"/>
        </w:rPr>
        <w:t>Gastroenterology</w:t>
      </w:r>
      <w:r w:rsidRPr="0067130C">
        <w:rPr>
          <w:rFonts w:ascii="Book Antiqua" w:eastAsia="Book Antiqua" w:hAnsi="Book Antiqua" w:cs="Book Antiqua"/>
          <w:color w:val="000000"/>
        </w:rPr>
        <w:t xml:space="preserve"> 2002; </w:t>
      </w:r>
      <w:r w:rsidRPr="0067130C">
        <w:rPr>
          <w:rFonts w:ascii="Book Antiqua" w:eastAsia="Book Antiqua" w:hAnsi="Book Antiqua" w:cs="Book Antiqua"/>
          <w:b/>
          <w:bCs/>
          <w:color w:val="000000"/>
        </w:rPr>
        <w:t>123</w:t>
      </w:r>
      <w:r w:rsidRPr="0067130C">
        <w:rPr>
          <w:rFonts w:ascii="Book Antiqua" w:eastAsia="Book Antiqua" w:hAnsi="Book Antiqua" w:cs="Book Antiqua"/>
          <w:color w:val="000000"/>
        </w:rPr>
        <w:t>: 68-85 [PMID: 12105835 DOI: 10.1053/gast.2002.34231]</w:t>
      </w:r>
    </w:p>
    <w:p w14:paraId="65B334CD"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46 </w:t>
      </w:r>
      <w:r w:rsidRPr="0067130C">
        <w:rPr>
          <w:rFonts w:ascii="Book Antiqua" w:eastAsia="Book Antiqua" w:hAnsi="Book Antiqua" w:cs="Book Antiqua"/>
          <w:b/>
          <w:bCs/>
          <w:color w:val="000000"/>
        </w:rPr>
        <w:t>Peny MO</w:t>
      </w:r>
      <w:r w:rsidRPr="0067130C">
        <w:rPr>
          <w:rFonts w:ascii="Book Antiqua" w:eastAsia="Book Antiqua" w:hAnsi="Book Antiqua" w:cs="Book Antiqua"/>
          <w:color w:val="000000"/>
        </w:rPr>
        <w:t xml:space="preserve">, Donckier V, Gelin M, Haot J, Noel JC. Sporadic carcinoid of the stomach: a highly proliferative disease with a probable role for p53 protein dysregulation. </w:t>
      </w:r>
      <w:r w:rsidRPr="0067130C">
        <w:rPr>
          <w:rFonts w:ascii="Book Antiqua" w:eastAsia="Book Antiqua" w:hAnsi="Book Antiqua" w:cs="Book Antiqua"/>
          <w:i/>
          <w:iCs/>
          <w:color w:val="000000"/>
        </w:rPr>
        <w:t>Eur J Gastroenterol Hepatol</w:t>
      </w:r>
      <w:r w:rsidRPr="0067130C">
        <w:rPr>
          <w:rFonts w:ascii="Book Antiqua" w:eastAsia="Book Antiqua" w:hAnsi="Book Antiqua" w:cs="Book Antiqua"/>
          <w:color w:val="000000"/>
        </w:rPr>
        <w:t xml:space="preserve"> 1999; </w:t>
      </w:r>
      <w:r w:rsidRPr="0067130C">
        <w:rPr>
          <w:rFonts w:ascii="Book Antiqua" w:eastAsia="Book Antiqua" w:hAnsi="Book Antiqua" w:cs="Book Antiqua"/>
          <w:b/>
          <w:bCs/>
          <w:color w:val="000000"/>
        </w:rPr>
        <w:t>11</w:t>
      </w:r>
      <w:r w:rsidRPr="0067130C">
        <w:rPr>
          <w:rFonts w:ascii="Book Antiqua" w:eastAsia="Book Antiqua" w:hAnsi="Book Antiqua" w:cs="Book Antiqua"/>
          <w:color w:val="000000"/>
        </w:rPr>
        <w:t>: 677-679 [PMID: 10418942 DOI: 10.1097/00042737-199906000-00016]</w:t>
      </w:r>
    </w:p>
    <w:p w14:paraId="26FD847A"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47 </w:t>
      </w:r>
      <w:r w:rsidRPr="0067130C">
        <w:rPr>
          <w:rFonts w:ascii="Book Antiqua" w:eastAsia="Book Antiqua" w:hAnsi="Book Antiqua" w:cs="Book Antiqua"/>
          <w:b/>
          <w:bCs/>
          <w:color w:val="000000"/>
        </w:rPr>
        <w:t>Nishikura K</w:t>
      </w:r>
      <w:r w:rsidRPr="0067130C">
        <w:rPr>
          <w:rFonts w:ascii="Book Antiqua" w:eastAsia="Book Antiqua" w:hAnsi="Book Antiqua" w:cs="Book Antiqua"/>
          <w:color w:val="000000"/>
        </w:rPr>
        <w:t xml:space="preserve">, Watanabe H, Iwafuchi M, Fujiwara T, Kojima K, Ajioka Y. Carcinogenesis of gastric endocrine cell carcinoma: analysis of histopathology and p53 gene alteration. </w:t>
      </w:r>
      <w:r w:rsidRPr="0067130C">
        <w:rPr>
          <w:rFonts w:ascii="Book Antiqua" w:eastAsia="Book Antiqua" w:hAnsi="Book Antiqua" w:cs="Book Antiqua"/>
          <w:i/>
          <w:iCs/>
          <w:color w:val="000000"/>
        </w:rPr>
        <w:t>Gastric Cancer</w:t>
      </w:r>
      <w:r w:rsidRPr="0067130C">
        <w:rPr>
          <w:rFonts w:ascii="Book Antiqua" w:eastAsia="Book Antiqua" w:hAnsi="Book Antiqua" w:cs="Book Antiqua"/>
          <w:color w:val="000000"/>
        </w:rPr>
        <w:t xml:space="preserve"> 2003; </w:t>
      </w:r>
      <w:r w:rsidRPr="0067130C">
        <w:rPr>
          <w:rFonts w:ascii="Book Antiqua" w:eastAsia="Book Antiqua" w:hAnsi="Book Antiqua" w:cs="Book Antiqua"/>
          <w:b/>
          <w:bCs/>
          <w:color w:val="000000"/>
        </w:rPr>
        <w:t>6</w:t>
      </w:r>
      <w:r w:rsidRPr="0067130C">
        <w:rPr>
          <w:rFonts w:ascii="Book Antiqua" w:eastAsia="Book Antiqua" w:hAnsi="Book Antiqua" w:cs="Book Antiqua"/>
          <w:color w:val="000000"/>
        </w:rPr>
        <w:t>: 203-209 [PMID: 14716513 DOI: 10.1007/s10120-003-0249-0]</w:t>
      </w:r>
    </w:p>
    <w:p w14:paraId="66CFF44A"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48 </w:t>
      </w:r>
      <w:r w:rsidRPr="0067130C">
        <w:rPr>
          <w:rFonts w:ascii="Book Antiqua" w:eastAsia="Book Antiqua" w:hAnsi="Book Antiqua" w:cs="Book Antiqua"/>
          <w:b/>
          <w:bCs/>
          <w:color w:val="000000"/>
        </w:rPr>
        <w:t>Bordi C</w:t>
      </w:r>
      <w:r w:rsidRPr="0067130C">
        <w:rPr>
          <w:rFonts w:ascii="Book Antiqua" w:eastAsia="Book Antiqua" w:hAnsi="Book Antiqua" w:cs="Book Antiqua"/>
          <w:color w:val="000000"/>
        </w:rPr>
        <w:t xml:space="preserve">, Pilato FP, Bertelé A, D'Adda T, Missale G. Expression of glycoprotein hormone alpha-subunit by endocrine cells of the oxyntic mucosa is associated with hypergastrinemia. </w:t>
      </w:r>
      <w:r w:rsidRPr="0067130C">
        <w:rPr>
          <w:rFonts w:ascii="Book Antiqua" w:eastAsia="Book Antiqua" w:hAnsi="Book Antiqua" w:cs="Book Antiqua"/>
          <w:i/>
          <w:iCs/>
          <w:color w:val="000000"/>
        </w:rPr>
        <w:t>Hum Pathol</w:t>
      </w:r>
      <w:r w:rsidRPr="0067130C">
        <w:rPr>
          <w:rFonts w:ascii="Book Antiqua" w:eastAsia="Book Antiqua" w:hAnsi="Book Antiqua" w:cs="Book Antiqua"/>
          <w:color w:val="000000"/>
        </w:rPr>
        <w:t xml:space="preserve"> 1988; </w:t>
      </w:r>
      <w:r w:rsidRPr="0067130C">
        <w:rPr>
          <w:rFonts w:ascii="Book Antiqua" w:eastAsia="Book Antiqua" w:hAnsi="Book Antiqua" w:cs="Book Antiqua"/>
          <w:b/>
          <w:bCs/>
          <w:color w:val="000000"/>
        </w:rPr>
        <w:t>19</w:t>
      </w:r>
      <w:r w:rsidRPr="0067130C">
        <w:rPr>
          <w:rFonts w:ascii="Book Antiqua" w:eastAsia="Book Antiqua" w:hAnsi="Book Antiqua" w:cs="Book Antiqua"/>
          <w:color w:val="000000"/>
        </w:rPr>
        <w:t>: 580-585 [PMID: 2453443 DOI: 10.1016/s0046-8177(88)80208-9]</w:t>
      </w:r>
    </w:p>
    <w:p w14:paraId="52DBAF05"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49 </w:t>
      </w:r>
      <w:r w:rsidRPr="0067130C">
        <w:rPr>
          <w:rFonts w:ascii="Book Antiqua" w:eastAsia="Book Antiqua" w:hAnsi="Book Antiqua" w:cs="Book Antiqua"/>
          <w:b/>
          <w:bCs/>
          <w:color w:val="000000"/>
        </w:rPr>
        <w:t>Bordi C</w:t>
      </w:r>
      <w:r w:rsidRPr="0067130C">
        <w:rPr>
          <w:rFonts w:ascii="Book Antiqua" w:eastAsia="Book Antiqua" w:hAnsi="Book Antiqua" w:cs="Book Antiqua"/>
          <w:color w:val="000000"/>
        </w:rPr>
        <w:t xml:space="preserve">, Falchetti A, Buffa R, Azzoni C, D'Adda T, Caruana P, Rindi G, Brandi ML. Production of basic fibroblast growth factor by gastric carcinoid tumors and their putative cells of origin. </w:t>
      </w:r>
      <w:r w:rsidRPr="0067130C">
        <w:rPr>
          <w:rFonts w:ascii="Book Antiqua" w:eastAsia="Book Antiqua" w:hAnsi="Book Antiqua" w:cs="Book Antiqua"/>
          <w:i/>
          <w:iCs/>
          <w:color w:val="000000"/>
        </w:rPr>
        <w:t>Hum Pathol</w:t>
      </w:r>
      <w:r w:rsidRPr="0067130C">
        <w:rPr>
          <w:rFonts w:ascii="Book Antiqua" w:eastAsia="Book Antiqua" w:hAnsi="Book Antiqua" w:cs="Book Antiqua"/>
          <w:color w:val="000000"/>
        </w:rPr>
        <w:t xml:space="preserve"> 1994; </w:t>
      </w:r>
      <w:r w:rsidRPr="0067130C">
        <w:rPr>
          <w:rFonts w:ascii="Book Antiqua" w:eastAsia="Book Antiqua" w:hAnsi="Book Antiqua" w:cs="Book Antiqua"/>
          <w:b/>
          <w:bCs/>
          <w:color w:val="000000"/>
        </w:rPr>
        <w:t>25</w:t>
      </w:r>
      <w:r w:rsidRPr="0067130C">
        <w:rPr>
          <w:rFonts w:ascii="Book Antiqua" w:eastAsia="Book Antiqua" w:hAnsi="Book Antiqua" w:cs="Book Antiqua"/>
          <w:color w:val="000000"/>
        </w:rPr>
        <w:t>: 175-180 [PMID: 8119718 DOI: 10.1016/0046-8177(94)90275-5]</w:t>
      </w:r>
    </w:p>
    <w:p w14:paraId="50D6417C"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50 </w:t>
      </w:r>
      <w:r w:rsidRPr="0067130C">
        <w:rPr>
          <w:rFonts w:ascii="Book Antiqua" w:eastAsia="Book Antiqua" w:hAnsi="Book Antiqua" w:cs="Book Antiqua"/>
          <w:b/>
          <w:bCs/>
          <w:color w:val="000000"/>
        </w:rPr>
        <w:t>Higham AD</w:t>
      </w:r>
      <w:r w:rsidRPr="0067130C">
        <w:rPr>
          <w:rFonts w:ascii="Book Antiqua" w:eastAsia="Book Antiqua" w:hAnsi="Book Antiqua" w:cs="Book Antiqua"/>
          <w:color w:val="000000"/>
        </w:rPr>
        <w:t xml:space="preserve">, Bishop LA, Dimaline R, Blackmore CG, Dobbins AC, Varro A, Thompson DG, Dockray GJ. Mutations of RegIalpha are associated with enterochromaffin-like cell tumor development in patients with hypergastrinemia. </w:t>
      </w:r>
      <w:r w:rsidRPr="0067130C">
        <w:rPr>
          <w:rFonts w:ascii="Book Antiqua" w:eastAsia="Book Antiqua" w:hAnsi="Book Antiqua" w:cs="Book Antiqua"/>
          <w:i/>
          <w:iCs/>
          <w:color w:val="000000"/>
        </w:rPr>
        <w:t>Gastroenterology</w:t>
      </w:r>
      <w:r w:rsidRPr="0067130C">
        <w:rPr>
          <w:rFonts w:ascii="Book Antiqua" w:eastAsia="Book Antiqua" w:hAnsi="Book Antiqua" w:cs="Book Antiqua"/>
          <w:color w:val="000000"/>
        </w:rPr>
        <w:t xml:space="preserve"> 1999; </w:t>
      </w:r>
      <w:r w:rsidRPr="0067130C">
        <w:rPr>
          <w:rFonts w:ascii="Book Antiqua" w:eastAsia="Book Antiqua" w:hAnsi="Book Antiqua" w:cs="Book Antiqua"/>
          <w:b/>
          <w:bCs/>
          <w:color w:val="000000"/>
        </w:rPr>
        <w:t>116</w:t>
      </w:r>
      <w:r w:rsidRPr="0067130C">
        <w:rPr>
          <w:rFonts w:ascii="Book Antiqua" w:eastAsia="Book Antiqua" w:hAnsi="Book Antiqua" w:cs="Book Antiqua"/>
          <w:color w:val="000000"/>
        </w:rPr>
        <w:t>: 1310-1318 [PMID: 10348814 DOI: 10.1016/s0016-5085(99)70495-6]</w:t>
      </w:r>
    </w:p>
    <w:p w14:paraId="469B16C0"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51 </w:t>
      </w:r>
      <w:r w:rsidRPr="0067130C">
        <w:rPr>
          <w:rFonts w:ascii="Book Antiqua" w:eastAsia="Book Antiqua" w:hAnsi="Book Antiqua" w:cs="Book Antiqua"/>
          <w:b/>
          <w:bCs/>
          <w:color w:val="000000"/>
        </w:rPr>
        <w:t>D'Adda T</w:t>
      </w:r>
      <w:r w:rsidRPr="0067130C">
        <w:rPr>
          <w:rFonts w:ascii="Book Antiqua" w:eastAsia="Book Antiqua" w:hAnsi="Book Antiqua" w:cs="Book Antiqua"/>
          <w:color w:val="000000"/>
        </w:rPr>
        <w:t xml:space="preserve">, Keller G, Bordi C, Höfler H. Loss of heterozygosity in 11q13-14 regions in gastric neuroendocrine tumors not associated with multiple endocrine neoplasia type 1 syndrome. </w:t>
      </w:r>
      <w:r w:rsidRPr="0067130C">
        <w:rPr>
          <w:rFonts w:ascii="Book Antiqua" w:eastAsia="Book Antiqua" w:hAnsi="Book Antiqua" w:cs="Book Antiqua"/>
          <w:i/>
          <w:iCs/>
          <w:color w:val="000000"/>
        </w:rPr>
        <w:t>Lab Invest</w:t>
      </w:r>
      <w:r w:rsidRPr="0067130C">
        <w:rPr>
          <w:rFonts w:ascii="Book Antiqua" w:eastAsia="Book Antiqua" w:hAnsi="Book Antiqua" w:cs="Book Antiqua"/>
          <w:color w:val="000000"/>
        </w:rPr>
        <w:t xml:space="preserve"> 1999; </w:t>
      </w:r>
      <w:r w:rsidRPr="0067130C">
        <w:rPr>
          <w:rFonts w:ascii="Book Antiqua" w:eastAsia="Book Antiqua" w:hAnsi="Book Antiqua" w:cs="Book Antiqua"/>
          <w:b/>
          <w:bCs/>
          <w:color w:val="000000"/>
        </w:rPr>
        <w:t>79</w:t>
      </w:r>
      <w:r w:rsidRPr="0067130C">
        <w:rPr>
          <w:rFonts w:ascii="Book Antiqua" w:eastAsia="Book Antiqua" w:hAnsi="Book Antiqua" w:cs="Book Antiqua"/>
          <w:color w:val="000000"/>
        </w:rPr>
        <w:t>: 671-677 [PMID: 10378509 DOI: 10.1121/1.424682]</w:t>
      </w:r>
    </w:p>
    <w:p w14:paraId="46C4A262"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52 </w:t>
      </w:r>
      <w:r w:rsidRPr="0067130C">
        <w:rPr>
          <w:rFonts w:ascii="Book Antiqua" w:eastAsia="Book Antiqua" w:hAnsi="Book Antiqua" w:cs="Book Antiqua"/>
          <w:b/>
          <w:bCs/>
          <w:color w:val="000000"/>
        </w:rPr>
        <w:t>Endall R</w:t>
      </w:r>
      <w:r w:rsidRPr="0067130C">
        <w:rPr>
          <w:rFonts w:ascii="Book Antiqua" w:eastAsia="Book Antiqua" w:hAnsi="Book Antiqua" w:cs="Book Antiqua"/>
          <w:color w:val="000000"/>
        </w:rPr>
        <w:t xml:space="preserve">, Thompson M, Parameswaran V, Burgess J. The Relationship of Gastrinoma in MEN 1 to Helicobacter pylori infection. </w:t>
      </w:r>
      <w:r w:rsidRPr="0067130C">
        <w:rPr>
          <w:rFonts w:ascii="Book Antiqua" w:eastAsia="Book Antiqua" w:hAnsi="Book Antiqua" w:cs="Book Antiqua"/>
          <w:i/>
          <w:iCs/>
          <w:color w:val="000000"/>
        </w:rPr>
        <w:t>J Clin Endocrinol Metab</w:t>
      </w:r>
      <w:r w:rsidRPr="0067130C">
        <w:rPr>
          <w:rFonts w:ascii="Book Antiqua" w:eastAsia="Book Antiqua" w:hAnsi="Book Antiqua" w:cs="Book Antiqua"/>
          <w:color w:val="000000"/>
        </w:rPr>
        <w:t xml:space="preserve"> 2020; </w:t>
      </w:r>
      <w:r w:rsidRPr="0067130C">
        <w:rPr>
          <w:rFonts w:ascii="Book Antiqua" w:eastAsia="Book Antiqua" w:hAnsi="Book Antiqua" w:cs="Book Antiqua"/>
          <w:b/>
          <w:bCs/>
          <w:color w:val="000000"/>
        </w:rPr>
        <w:t>105</w:t>
      </w:r>
      <w:r w:rsidRPr="0067130C">
        <w:rPr>
          <w:rFonts w:ascii="Book Antiqua" w:eastAsia="Book Antiqua" w:hAnsi="Book Antiqua" w:cs="Book Antiqua"/>
          <w:color w:val="000000"/>
        </w:rPr>
        <w:t xml:space="preserve"> [PMID: 31919513 DOI: 10.1210/clinem/dgaa004]</w:t>
      </w:r>
    </w:p>
    <w:p w14:paraId="00967341"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53 </w:t>
      </w:r>
      <w:r w:rsidRPr="0067130C">
        <w:rPr>
          <w:rFonts w:ascii="Book Antiqua" w:eastAsia="Book Antiqua" w:hAnsi="Book Antiqua" w:cs="Book Antiqua"/>
          <w:b/>
          <w:bCs/>
          <w:color w:val="000000"/>
        </w:rPr>
        <w:t>Kagawa J</w:t>
      </w:r>
      <w:r w:rsidRPr="0067130C">
        <w:rPr>
          <w:rFonts w:ascii="Book Antiqua" w:eastAsia="Book Antiqua" w:hAnsi="Book Antiqua" w:cs="Book Antiqua"/>
          <w:color w:val="000000"/>
        </w:rPr>
        <w:t xml:space="preserve">, Honda S, Kodama M, Sato R, Murakami K, Fujioka T. Enterocromaffin-like cell tumor induced by Helicobacter pylori infection in Mongolian gerbils. </w:t>
      </w:r>
      <w:r w:rsidRPr="0067130C">
        <w:rPr>
          <w:rFonts w:ascii="Book Antiqua" w:eastAsia="Book Antiqua" w:hAnsi="Book Antiqua" w:cs="Book Antiqua"/>
          <w:i/>
          <w:iCs/>
          <w:color w:val="000000"/>
        </w:rPr>
        <w:t>Helicobacter</w:t>
      </w:r>
      <w:r w:rsidRPr="0067130C">
        <w:rPr>
          <w:rFonts w:ascii="Book Antiqua" w:eastAsia="Book Antiqua" w:hAnsi="Book Antiqua" w:cs="Book Antiqua"/>
          <w:color w:val="000000"/>
        </w:rPr>
        <w:t xml:space="preserve"> 2002; </w:t>
      </w:r>
      <w:r w:rsidRPr="0067130C">
        <w:rPr>
          <w:rFonts w:ascii="Book Antiqua" w:eastAsia="Book Antiqua" w:hAnsi="Book Antiqua" w:cs="Book Antiqua"/>
          <w:b/>
          <w:bCs/>
          <w:color w:val="000000"/>
        </w:rPr>
        <w:t>7</w:t>
      </w:r>
      <w:r w:rsidRPr="0067130C">
        <w:rPr>
          <w:rFonts w:ascii="Book Antiqua" w:eastAsia="Book Antiqua" w:hAnsi="Book Antiqua" w:cs="Book Antiqua"/>
          <w:color w:val="000000"/>
        </w:rPr>
        <w:t>: 390-397 [PMID: 12485127 DOI: 10.1046/j.1523-5378.2002.00115.x]</w:t>
      </w:r>
    </w:p>
    <w:p w14:paraId="26D03C70"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54 </w:t>
      </w:r>
      <w:r w:rsidRPr="0067130C">
        <w:rPr>
          <w:rFonts w:ascii="Book Antiqua" w:eastAsia="Book Antiqua" w:hAnsi="Book Antiqua" w:cs="Book Antiqua"/>
          <w:b/>
          <w:bCs/>
          <w:color w:val="000000"/>
        </w:rPr>
        <w:t>Dallal HJ</w:t>
      </w:r>
      <w:r w:rsidRPr="0067130C">
        <w:rPr>
          <w:rFonts w:ascii="Book Antiqua" w:eastAsia="Book Antiqua" w:hAnsi="Book Antiqua" w:cs="Book Antiqua"/>
          <w:color w:val="000000"/>
        </w:rPr>
        <w:t xml:space="preserve">, Ravindran R, King PM, Phull PS. Gastric carcinoid tumour as a cause of severe upper gastrointestinal haemorrhage. </w:t>
      </w:r>
      <w:r w:rsidRPr="0067130C">
        <w:rPr>
          <w:rFonts w:ascii="Book Antiqua" w:eastAsia="Book Antiqua" w:hAnsi="Book Antiqua" w:cs="Book Antiqua"/>
          <w:i/>
          <w:iCs/>
          <w:color w:val="000000"/>
        </w:rPr>
        <w:t>Endoscopy</w:t>
      </w:r>
      <w:r w:rsidRPr="0067130C">
        <w:rPr>
          <w:rFonts w:ascii="Book Antiqua" w:eastAsia="Book Antiqua" w:hAnsi="Book Antiqua" w:cs="Book Antiqua"/>
          <w:color w:val="000000"/>
        </w:rPr>
        <w:t xml:space="preserve"> 2003; </w:t>
      </w:r>
      <w:r w:rsidRPr="0067130C">
        <w:rPr>
          <w:rFonts w:ascii="Book Antiqua" w:eastAsia="Book Antiqua" w:hAnsi="Book Antiqua" w:cs="Book Antiqua"/>
          <w:b/>
          <w:bCs/>
          <w:color w:val="000000"/>
        </w:rPr>
        <w:t>35</w:t>
      </w:r>
      <w:r w:rsidRPr="0067130C">
        <w:rPr>
          <w:rFonts w:ascii="Book Antiqua" w:eastAsia="Book Antiqua" w:hAnsi="Book Antiqua" w:cs="Book Antiqua"/>
          <w:color w:val="000000"/>
        </w:rPr>
        <w:t>: 716 [PMID: 12929078 DOI: 10.1055/s-2003-41506]</w:t>
      </w:r>
    </w:p>
    <w:p w14:paraId="1DAB5488"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55 </w:t>
      </w:r>
      <w:r w:rsidRPr="0067130C">
        <w:rPr>
          <w:rFonts w:ascii="Book Antiqua" w:eastAsia="Book Antiqua" w:hAnsi="Book Antiqua" w:cs="Book Antiqua"/>
          <w:b/>
          <w:bCs/>
          <w:color w:val="000000"/>
        </w:rPr>
        <w:t>Gough DB</w:t>
      </w:r>
      <w:r w:rsidRPr="0067130C">
        <w:rPr>
          <w:rFonts w:ascii="Book Antiqua" w:eastAsia="Book Antiqua" w:hAnsi="Book Antiqua" w:cs="Book Antiqua"/>
          <w:color w:val="000000"/>
        </w:rPr>
        <w:t xml:space="preserve">, Thompson GB, Crotty TB, Donohue JH, Kvols LK, Carney JA, Grant CS, Nagorney DM. Diverse clinical and pathologic features of gastric carcinoid and the relevance of hypergastrinemia. </w:t>
      </w:r>
      <w:r w:rsidRPr="0067130C">
        <w:rPr>
          <w:rFonts w:ascii="Book Antiqua" w:eastAsia="Book Antiqua" w:hAnsi="Book Antiqua" w:cs="Book Antiqua"/>
          <w:i/>
          <w:iCs/>
          <w:color w:val="000000"/>
        </w:rPr>
        <w:t>World J Surg</w:t>
      </w:r>
      <w:r w:rsidRPr="0067130C">
        <w:rPr>
          <w:rFonts w:ascii="Book Antiqua" w:eastAsia="Book Antiqua" w:hAnsi="Book Antiqua" w:cs="Book Antiqua"/>
          <w:color w:val="000000"/>
        </w:rPr>
        <w:t xml:space="preserve"> 1994; </w:t>
      </w:r>
      <w:r w:rsidRPr="0067130C">
        <w:rPr>
          <w:rFonts w:ascii="Book Antiqua" w:eastAsia="Book Antiqua" w:hAnsi="Book Antiqua" w:cs="Book Antiqua"/>
          <w:b/>
          <w:bCs/>
          <w:color w:val="000000"/>
        </w:rPr>
        <w:t>18</w:t>
      </w:r>
      <w:r w:rsidRPr="0067130C">
        <w:rPr>
          <w:rFonts w:ascii="Book Antiqua" w:eastAsia="Book Antiqua" w:hAnsi="Book Antiqua" w:cs="Book Antiqua"/>
          <w:color w:val="000000"/>
        </w:rPr>
        <w:t>: 473-9; discussion 479-80 [PMID: 7725731 DOI: 10.1007/BF00353739]</w:t>
      </w:r>
    </w:p>
    <w:p w14:paraId="50D69B17"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56 </w:t>
      </w:r>
      <w:r w:rsidRPr="0067130C">
        <w:rPr>
          <w:rFonts w:ascii="Book Antiqua" w:eastAsia="Book Antiqua" w:hAnsi="Book Antiqua" w:cs="Book Antiqua"/>
          <w:b/>
          <w:bCs/>
          <w:color w:val="000000"/>
        </w:rPr>
        <w:t>Zhang L</w:t>
      </w:r>
      <w:r w:rsidRPr="0067130C">
        <w:rPr>
          <w:rFonts w:ascii="Book Antiqua" w:eastAsia="Book Antiqua" w:hAnsi="Book Antiqua" w:cs="Book Antiqua"/>
          <w:color w:val="000000"/>
        </w:rPr>
        <w:t xml:space="preserve">, Ozao J, Warner R, Divino C. Review of the pathogenesis, diagnosis, and management of type I gastric carcinoid tumor. </w:t>
      </w:r>
      <w:r w:rsidRPr="0067130C">
        <w:rPr>
          <w:rFonts w:ascii="Book Antiqua" w:eastAsia="Book Antiqua" w:hAnsi="Book Antiqua" w:cs="Book Antiqua"/>
          <w:i/>
          <w:iCs/>
          <w:color w:val="000000"/>
        </w:rPr>
        <w:t>World J Surg</w:t>
      </w:r>
      <w:r w:rsidRPr="0067130C">
        <w:rPr>
          <w:rFonts w:ascii="Book Antiqua" w:eastAsia="Book Antiqua" w:hAnsi="Book Antiqua" w:cs="Book Antiqua"/>
          <w:color w:val="000000"/>
        </w:rPr>
        <w:t xml:space="preserve"> 2011; </w:t>
      </w:r>
      <w:r w:rsidRPr="0067130C">
        <w:rPr>
          <w:rFonts w:ascii="Book Antiqua" w:eastAsia="Book Antiqua" w:hAnsi="Book Antiqua" w:cs="Book Antiqua"/>
          <w:b/>
          <w:bCs/>
          <w:color w:val="000000"/>
        </w:rPr>
        <w:t>35</w:t>
      </w:r>
      <w:r w:rsidRPr="0067130C">
        <w:rPr>
          <w:rFonts w:ascii="Book Antiqua" w:eastAsia="Book Antiqua" w:hAnsi="Book Antiqua" w:cs="Book Antiqua"/>
          <w:color w:val="000000"/>
        </w:rPr>
        <w:t>: 1879-1886 [PMID: 21559999 DOI: 10.1007/s00268-011-1137-0]</w:t>
      </w:r>
    </w:p>
    <w:p w14:paraId="5408B3F5"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57 </w:t>
      </w:r>
      <w:r w:rsidRPr="0067130C">
        <w:rPr>
          <w:rFonts w:ascii="Book Antiqua" w:eastAsia="Book Antiqua" w:hAnsi="Book Antiqua" w:cs="Book Antiqua"/>
          <w:b/>
          <w:bCs/>
          <w:color w:val="000000"/>
        </w:rPr>
        <w:t>Öberg K</w:t>
      </w:r>
      <w:r w:rsidRPr="0067130C">
        <w:rPr>
          <w:rFonts w:ascii="Book Antiqua" w:eastAsia="Book Antiqua" w:hAnsi="Book Antiqua" w:cs="Book Antiqua"/>
          <w:color w:val="000000"/>
        </w:rPr>
        <w:t xml:space="preserve">, Knigge U, Kwekkeboom D, Perren A; ESMO Guidelines Working Group. Neuroendocrine gastro-entero-pancreatic tumors: ESMO Clinical Practice Guidelines for diagnosis, treatment and follow-up. </w:t>
      </w:r>
      <w:r w:rsidRPr="0067130C">
        <w:rPr>
          <w:rFonts w:ascii="Book Antiqua" w:eastAsia="Book Antiqua" w:hAnsi="Book Antiqua" w:cs="Book Antiqua"/>
          <w:i/>
          <w:iCs/>
          <w:color w:val="000000"/>
        </w:rPr>
        <w:t>Ann Oncol</w:t>
      </w:r>
      <w:r w:rsidRPr="0067130C">
        <w:rPr>
          <w:rFonts w:ascii="Book Antiqua" w:eastAsia="Book Antiqua" w:hAnsi="Book Antiqua" w:cs="Book Antiqua"/>
          <w:color w:val="000000"/>
        </w:rPr>
        <w:t xml:space="preserve"> 2012; </w:t>
      </w:r>
      <w:r w:rsidRPr="0067130C">
        <w:rPr>
          <w:rFonts w:ascii="Book Antiqua" w:eastAsia="Book Antiqua" w:hAnsi="Book Antiqua" w:cs="Book Antiqua"/>
          <w:b/>
          <w:bCs/>
          <w:color w:val="000000"/>
        </w:rPr>
        <w:t>23 Suppl 7</w:t>
      </w:r>
      <w:r w:rsidRPr="0067130C">
        <w:rPr>
          <w:rFonts w:ascii="Book Antiqua" w:eastAsia="Book Antiqua" w:hAnsi="Book Antiqua" w:cs="Book Antiqua"/>
          <w:color w:val="000000"/>
        </w:rPr>
        <w:t>: vii124-vii130 [PMID: 22997445 DOI: 10.1093/annonc/mds295]</w:t>
      </w:r>
    </w:p>
    <w:p w14:paraId="6CECA40E"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58 </w:t>
      </w:r>
      <w:r w:rsidRPr="0067130C">
        <w:rPr>
          <w:rFonts w:ascii="Book Antiqua" w:eastAsia="Book Antiqua" w:hAnsi="Book Antiqua" w:cs="Book Antiqua"/>
          <w:b/>
          <w:bCs/>
          <w:color w:val="000000"/>
        </w:rPr>
        <w:t>Delle Fave G</w:t>
      </w:r>
      <w:r w:rsidRPr="0067130C">
        <w:rPr>
          <w:rFonts w:ascii="Book Antiqua" w:eastAsia="Book Antiqua" w:hAnsi="Book Antiqua" w:cs="Book Antiqua"/>
          <w:color w:val="000000"/>
        </w:rPr>
        <w:t xml:space="preserve">, Kwekkeboom DJ, Van Cutsem E, Rindi G, Kos-Kudla B, Knigge U, Sasano H, Tomassetti P, Salazar R, Ruszniewski P; Barcelona Consensus Conference participants. ENETS Consensus Guidelines for the management of patients with gastroduodenal neoplasms. </w:t>
      </w:r>
      <w:r w:rsidRPr="0067130C">
        <w:rPr>
          <w:rFonts w:ascii="Book Antiqua" w:eastAsia="Book Antiqua" w:hAnsi="Book Antiqua" w:cs="Book Antiqua"/>
          <w:i/>
          <w:iCs/>
          <w:color w:val="000000"/>
        </w:rPr>
        <w:t>Neuroendocrinology</w:t>
      </w:r>
      <w:r w:rsidRPr="0067130C">
        <w:rPr>
          <w:rFonts w:ascii="Book Antiqua" w:eastAsia="Book Antiqua" w:hAnsi="Book Antiqua" w:cs="Book Antiqua"/>
          <w:color w:val="000000"/>
        </w:rPr>
        <w:t xml:space="preserve"> 2012; </w:t>
      </w:r>
      <w:r w:rsidRPr="0067130C">
        <w:rPr>
          <w:rFonts w:ascii="Book Antiqua" w:eastAsia="Book Antiqua" w:hAnsi="Book Antiqua" w:cs="Book Antiqua"/>
          <w:b/>
          <w:bCs/>
          <w:color w:val="000000"/>
        </w:rPr>
        <w:t>95</w:t>
      </w:r>
      <w:r w:rsidRPr="0067130C">
        <w:rPr>
          <w:rFonts w:ascii="Book Antiqua" w:eastAsia="Book Antiqua" w:hAnsi="Book Antiqua" w:cs="Book Antiqua"/>
          <w:color w:val="000000"/>
        </w:rPr>
        <w:t>: 74-87 [PMID: 22262004 DOI: 10.1159/000335595]</w:t>
      </w:r>
    </w:p>
    <w:p w14:paraId="4D5E960F"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59 </w:t>
      </w:r>
      <w:r w:rsidRPr="0067130C">
        <w:rPr>
          <w:rFonts w:ascii="Book Antiqua" w:eastAsia="Book Antiqua" w:hAnsi="Book Antiqua" w:cs="Book Antiqua"/>
          <w:b/>
          <w:bCs/>
          <w:color w:val="000000"/>
        </w:rPr>
        <w:t>Gerdes J</w:t>
      </w:r>
      <w:r w:rsidRPr="0067130C">
        <w:rPr>
          <w:rFonts w:ascii="Book Antiqua" w:eastAsia="Book Antiqua" w:hAnsi="Book Antiqua" w:cs="Book Antiqua"/>
          <w:color w:val="000000"/>
        </w:rPr>
        <w:t xml:space="preserve">, Li L, Schlueter C, Duchrow M, Wohlenberg C, Gerlach C, Stahmer I, Kloth S, Brandt E, Flad HD. Immunobiochemical and molecular biologic characterization of the cell proliferation-associated nuclear antigen that is defined by monoclonal antibody Ki-67. </w:t>
      </w:r>
      <w:r w:rsidRPr="0067130C">
        <w:rPr>
          <w:rFonts w:ascii="Book Antiqua" w:eastAsia="Book Antiqua" w:hAnsi="Book Antiqua" w:cs="Book Antiqua"/>
          <w:i/>
          <w:iCs/>
          <w:color w:val="000000"/>
        </w:rPr>
        <w:t>Am J Pathol</w:t>
      </w:r>
      <w:r w:rsidRPr="0067130C">
        <w:rPr>
          <w:rFonts w:ascii="Book Antiqua" w:eastAsia="Book Antiqua" w:hAnsi="Book Antiqua" w:cs="Book Antiqua"/>
          <w:color w:val="000000"/>
        </w:rPr>
        <w:t xml:space="preserve"> 1991; </w:t>
      </w:r>
      <w:r w:rsidRPr="0067130C">
        <w:rPr>
          <w:rFonts w:ascii="Book Antiqua" w:eastAsia="Book Antiqua" w:hAnsi="Book Antiqua" w:cs="Book Antiqua"/>
          <w:b/>
          <w:bCs/>
          <w:color w:val="000000"/>
        </w:rPr>
        <w:t>138</w:t>
      </w:r>
      <w:r w:rsidRPr="0067130C">
        <w:rPr>
          <w:rFonts w:ascii="Book Antiqua" w:eastAsia="Book Antiqua" w:hAnsi="Book Antiqua" w:cs="Book Antiqua"/>
          <w:color w:val="000000"/>
        </w:rPr>
        <w:t>: 867-873 [PMID: 2012175]</w:t>
      </w:r>
    </w:p>
    <w:p w14:paraId="40AFA9B9"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60 </w:t>
      </w:r>
      <w:r w:rsidRPr="0067130C">
        <w:rPr>
          <w:rFonts w:ascii="Book Antiqua" w:eastAsia="Book Antiqua" w:hAnsi="Book Antiqua" w:cs="Book Antiqua"/>
          <w:b/>
          <w:bCs/>
          <w:color w:val="000000"/>
        </w:rPr>
        <w:t>Menon SS</w:t>
      </w:r>
      <w:r w:rsidRPr="0067130C">
        <w:rPr>
          <w:rFonts w:ascii="Book Antiqua" w:eastAsia="Book Antiqua" w:hAnsi="Book Antiqua" w:cs="Book Antiqua"/>
          <w:color w:val="000000"/>
        </w:rPr>
        <w:t xml:space="preserve">, Guruvayoorappan C, Sakthivel KM, Rasmi RR. Ki-67 protein as a tumour proliferation marker. </w:t>
      </w:r>
      <w:r w:rsidRPr="0067130C">
        <w:rPr>
          <w:rFonts w:ascii="Book Antiqua" w:eastAsia="Book Antiqua" w:hAnsi="Book Antiqua" w:cs="Book Antiqua"/>
          <w:i/>
          <w:iCs/>
          <w:color w:val="000000"/>
        </w:rPr>
        <w:t>Clin Chim Acta</w:t>
      </w:r>
      <w:r w:rsidRPr="0067130C">
        <w:rPr>
          <w:rFonts w:ascii="Book Antiqua" w:eastAsia="Book Antiqua" w:hAnsi="Book Antiqua" w:cs="Book Antiqua"/>
          <w:color w:val="000000"/>
        </w:rPr>
        <w:t xml:space="preserve"> 2019; </w:t>
      </w:r>
      <w:r w:rsidRPr="0067130C">
        <w:rPr>
          <w:rFonts w:ascii="Book Antiqua" w:eastAsia="Book Antiqua" w:hAnsi="Book Antiqua" w:cs="Book Antiqua"/>
          <w:b/>
          <w:bCs/>
          <w:color w:val="000000"/>
        </w:rPr>
        <w:t>491</w:t>
      </w:r>
      <w:r w:rsidRPr="0067130C">
        <w:rPr>
          <w:rFonts w:ascii="Book Antiqua" w:eastAsia="Book Antiqua" w:hAnsi="Book Antiqua" w:cs="Book Antiqua"/>
          <w:color w:val="000000"/>
        </w:rPr>
        <w:t>: 39-45 [PMID: 30653951 DOI: 10.1016/j.cca.2019.01.011]</w:t>
      </w:r>
    </w:p>
    <w:p w14:paraId="2E0EE3BE"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61 </w:t>
      </w:r>
      <w:r w:rsidRPr="0067130C">
        <w:rPr>
          <w:rFonts w:ascii="Book Antiqua" w:eastAsia="Book Antiqua" w:hAnsi="Book Antiqua" w:cs="Book Antiqua"/>
          <w:b/>
          <w:bCs/>
          <w:color w:val="000000"/>
        </w:rPr>
        <w:t>Panzuto F</w:t>
      </w:r>
      <w:r w:rsidRPr="0067130C">
        <w:rPr>
          <w:rFonts w:ascii="Book Antiqua" w:eastAsia="Book Antiqua" w:hAnsi="Book Antiqua" w:cs="Book Antiqua"/>
          <w:color w:val="000000"/>
        </w:rPr>
        <w:t xml:space="preserve">, Boninsegna L, Fazio N, Campana D, Pia Brizzi M, Capurso G, Scarpa A, De Braud F, Dogliotti L, Tomassetti P, Delle Fave G, Falconi M. Metastatic and locally advanced pancreatic endocrine carcinomas: analysis of factors associated with disease progression. </w:t>
      </w:r>
      <w:r w:rsidRPr="0067130C">
        <w:rPr>
          <w:rFonts w:ascii="Book Antiqua" w:eastAsia="Book Antiqua" w:hAnsi="Book Antiqua" w:cs="Book Antiqua"/>
          <w:i/>
          <w:iCs/>
          <w:color w:val="000000"/>
        </w:rPr>
        <w:t>J Clin Oncol</w:t>
      </w:r>
      <w:r w:rsidRPr="0067130C">
        <w:rPr>
          <w:rFonts w:ascii="Book Antiqua" w:eastAsia="Book Antiqua" w:hAnsi="Book Antiqua" w:cs="Book Antiqua"/>
          <w:color w:val="000000"/>
        </w:rPr>
        <w:t xml:space="preserve"> 2011; </w:t>
      </w:r>
      <w:r w:rsidRPr="0067130C">
        <w:rPr>
          <w:rFonts w:ascii="Book Antiqua" w:eastAsia="Book Antiqua" w:hAnsi="Book Antiqua" w:cs="Book Antiqua"/>
          <w:b/>
          <w:bCs/>
          <w:color w:val="000000"/>
        </w:rPr>
        <w:t>29</w:t>
      </w:r>
      <w:r w:rsidRPr="0067130C">
        <w:rPr>
          <w:rFonts w:ascii="Book Antiqua" w:eastAsia="Book Antiqua" w:hAnsi="Book Antiqua" w:cs="Book Antiqua"/>
          <w:color w:val="000000"/>
        </w:rPr>
        <w:t>: 2372-2377 [PMID: 21555696 DOI: 10.1200/JCO.2010.33.0688]</w:t>
      </w:r>
    </w:p>
    <w:p w14:paraId="0C43B915"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62 </w:t>
      </w:r>
      <w:r w:rsidRPr="0067130C">
        <w:rPr>
          <w:rFonts w:ascii="Book Antiqua" w:eastAsia="Book Antiqua" w:hAnsi="Book Antiqua" w:cs="Book Antiqua"/>
          <w:b/>
          <w:bCs/>
          <w:color w:val="000000"/>
        </w:rPr>
        <w:t>La Rosa S</w:t>
      </w:r>
      <w:r w:rsidRPr="0067130C">
        <w:rPr>
          <w:rFonts w:ascii="Book Antiqua" w:eastAsia="Book Antiqua" w:hAnsi="Book Antiqua" w:cs="Book Antiqua"/>
          <w:color w:val="000000"/>
        </w:rPr>
        <w:t xml:space="preserve">, Klersy C, Uccella S, Dainese L, Albarello L, Sonzogni A, Doglioni C, Capella C, Solcia E. Improved histologic and clinicopathologic criteria for prognostic evaluation of pancreatic endocrine tumors. </w:t>
      </w:r>
      <w:r w:rsidRPr="0067130C">
        <w:rPr>
          <w:rFonts w:ascii="Book Antiqua" w:eastAsia="Book Antiqua" w:hAnsi="Book Antiqua" w:cs="Book Antiqua"/>
          <w:i/>
          <w:iCs/>
          <w:color w:val="000000"/>
        </w:rPr>
        <w:t>Hum Pathol</w:t>
      </w:r>
      <w:r w:rsidRPr="0067130C">
        <w:rPr>
          <w:rFonts w:ascii="Book Antiqua" w:eastAsia="Book Antiqua" w:hAnsi="Book Antiqua" w:cs="Book Antiqua"/>
          <w:color w:val="000000"/>
        </w:rPr>
        <w:t xml:space="preserve"> 2009; </w:t>
      </w:r>
      <w:r w:rsidRPr="0067130C">
        <w:rPr>
          <w:rFonts w:ascii="Book Antiqua" w:eastAsia="Book Antiqua" w:hAnsi="Book Antiqua" w:cs="Book Antiqua"/>
          <w:b/>
          <w:bCs/>
          <w:color w:val="000000"/>
        </w:rPr>
        <w:t>40</w:t>
      </w:r>
      <w:r w:rsidRPr="0067130C">
        <w:rPr>
          <w:rFonts w:ascii="Book Antiqua" w:eastAsia="Book Antiqua" w:hAnsi="Book Antiqua" w:cs="Book Antiqua"/>
          <w:color w:val="000000"/>
        </w:rPr>
        <w:t>: 30-40 [PMID: 18715612 DOI: 10.1016/j.humpath.2008.06.005]</w:t>
      </w:r>
    </w:p>
    <w:p w14:paraId="1D2011EE"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63 </w:t>
      </w:r>
      <w:r w:rsidRPr="0067130C">
        <w:rPr>
          <w:rFonts w:ascii="Book Antiqua" w:eastAsia="Book Antiqua" w:hAnsi="Book Antiqua" w:cs="Book Antiqua"/>
          <w:b/>
          <w:bCs/>
          <w:color w:val="000000"/>
        </w:rPr>
        <w:t>Capelli P</w:t>
      </w:r>
      <w:r w:rsidRPr="0067130C">
        <w:rPr>
          <w:rFonts w:ascii="Book Antiqua" w:eastAsia="Book Antiqua" w:hAnsi="Book Antiqua" w:cs="Book Antiqua"/>
          <w:color w:val="000000"/>
        </w:rPr>
        <w:t xml:space="preserve">, Fassan M, Scarpa A. Pathology - grading and staging of GEP-NETs. </w:t>
      </w:r>
      <w:r w:rsidRPr="0067130C">
        <w:rPr>
          <w:rFonts w:ascii="Book Antiqua" w:eastAsia="Book Antiqua" w:hAnsi="Book Antiqua" w:cs="Book Antiqua"/>
          <w:i/>
          <w:iCs/>
          <w:color w:val="000000"/>
        </w:rPr>
        <w:t>Best Pract Res Clin Gastroenterol</w:t>
      </w:r>
      <w:r w:rsidRPr="0067130C">
        <w:rPr>
          <w:rFonts w:ascii="Book Antiqua" w:eastAsia="Book Antiqua" w:hAnsi="Book Antiqua" w:cs="Book Antiqua"/>
          <w:color w:val="000000"/>
        </w:rPr>
        <w:t xml:space="preserve"> 2012; </w:t>
      </w:r>
      <w:r w:rsidRPr="0067130C">
        <w:rPr>
          <w:rFonts w:ascii="Book Antiqua" w:eastAsia="Book Antiqua" w:hAnsi="Book Antiqua" w:cs="Book Antiqua"/>
          <w:b/>
          <w:bCs/>
          <w:color w:val="000000"/>
        </w:rPr>
        <w:t>26</w:t>
      </w:r>
      <w:r w:rsidRPr="0067130C">
        <w:rPr>
          <w:rFonts w:ascii="Book Antiqua" w:eastAsia="Book Antiqua" w:hAnsi="Book Antiqua" w:cs="Book Antiqua"/>
          <w:color w:val="000000"/>
        </w:rPr>
        <w:t>: 705-717 [PMID: 23582914 DOI: 10.1016/j.bpg.2013.01.003]</w:t>
      </w:r>
    </w:p>
    <w:p w14:paraId="725C8CE2"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64 </w:t>
      </w:r>
      <w:r w:rsidRPr="0067130C">
        <w:rPr>
          <w:rFonts w:ascii="Book Antiqua" w:eastAsia="Book Antiqua" w:hAnsi="Book Antiqua" w:cs="Book Antiqua"/>
          <w:b/>
          <w:bCs/>
          <w:color w:val="000000"/>
        </w:rPr>
        <w:t>Basuroy R</w:t>
      </w:r>
      <w:r w:rsidRPr="0067130C">
        <w:rPr>
          <w:rFonts w:ascii="Book Antiqua" w:eastAsia="Book Antiqua" w:hAnsi="Book Antiqua" w:cs="Book Antiqua"/>
          <w:color w:val="000000"/>
        </w:rPr>
        <w:t xml:space="preserve">, Srirajaskanthan R, Prachalias A, Quaglia A, Ramage JK. Review article: the investigation and management of gastric neuroendocrine tumours. </w:t>
      </w:r>
      <w:r w:rsidRPr="0067130C">
        <w:rPr>
          <w:rFonts w:ascii="Book Antiqua" w:eastAsia="Book Antiqua" w:hAnsi="Book Antiqua" w:cs="Book Antiqua"/>
          <w:i/>
          <w:iCs/>
          <w:color w:val="000000"/>
        </w:rPr>
        <w:t>Aliment Pharmacol Ther</w:t>
      </w:r>
      <w:r w:rsidRPr="0067130C">
        <w:rPr>
          <w:rFonts w:ascii="Book Antiqua" w:eastAsia="Book Antiqua" w:hAnsi="Book Antiqua" w:cs="Book Antiqua"/>
          <w:color w:val="000000"/>
        </w:rPr>
        <w:t xml:space="preserve"> 2014; </w:t>
      </w:r>
      <w:r w:rsidRPr="0067130C">
        <w:rPr>
          <w:rFonts w:ascii="Book Antiqua" w:eastAsia="Book Antiqua" w:hAnsi="Book Antiqua" w:cs="Book Antiqua"/>
          <w:b/>
          <w:bCs/>
          <w:color w:val="000000"/>
        </w:rPr>
        <w:t>39</w:t>
      </w:r>
      <w:r w:rsidRPr="0067130C">
        <w:rPr>
          <w:rFonts w:ascii="Book Antiqua" w:eastAsia="Book Antiqua" w:hAnsi="Book Antiqua" w:cs="Book Antiqua"/>
          <w:color w:val="000000"/>
        </w:rPr>
        <w:t>: 1071-1084 [PMID: 24628514 DOI: 10.1111/apt.12698]</w:t>
      </w:r>
    </w:p>
    <w:p w14:paraId="6395A77F"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65 </w:t>
      </w:r>
      <w:r w:rsidRPr="0067130C">
        <w:rPr>
          <w:rFonts w:ascii="Book Antiqua" w:eastAsia="Book Antiqua" w:hAnsi="Book Antiqua" w:cs="Book Antiqua"/>
          <w:b/>
          <w:bCs/>
          <w:color w:val="000000"/>
        </w:rPr>
        <w:t>Metz DC</w:t>
      </w:r>
      <w:r w:rsidRPr="0067130C">
        <w:rPr>
          <w:rFonts w:ascii="Book Antiqua" w:eastAsia="Book Antiqua" w:hAnsi="Book Antiqua" w:cs="Book Antiqua"/>
          <w:color w:val="000000"/>
        </w:rPr>
        <w:t xml:space="preserve">. Diagnosis of the Zollinger–Ellison syndrome. </w:t>
      </w:r>
      <w:r w:rsidRPr="0067130C">
        <w:rPr>
          <w:rFonts w:ascii="Book Antiqua" w:eastAsia="Book Antiqua" w:hAnsi="Book Antiqua" w:cs="Book Antiqua"/>
          <w:i/>
          <w:iCs/>
          <w:color w:val="000000"/>
        </w:rPr>
        <w:t>Clin Gastroenterol Hepatol</w:t>
      </w:r>
      <w:r w:rsidRPr="0067130C">
        <w:rPr>
          <w:rFonts w:ascii="Book Antiqua" w:eastAsia="Book Antiqua" w:hAnsi="Book Antiqua" w:cs="Book Antiqua"/>
          <w:color w:val="000000"/>
        </w:rPr>
        <w:t xml:space="preserve"> 2012; </w:t>
      </w:r>
      <w:r w:rsidRPr="0067130C">
        <w:rPr>
          <w:rFonts w:ascii="Book Antiqua" w:eastAsia="Book Antiqua" w:hAnsi="Book Antiqua" w:cs="Book Antiqua"/>
          <w:b/>
          <w:bCs/>
          <w:color w:val="000000"/>
        </w:rPr>
        <w:t>10</w:t>
      </w:r>
      <w:r w:rsidRPr="0067130C">
        <w:rPr>
          <w:rFonts w:ascii="Book Antiqua" w:eastAsia="Book Antiqua" w:hAnsi="Book Antiqua" w:cs="Book Antiqua"/>
          <w:color w:val="000000"/>
        </w:rPr>
        <w:t>: 126-130 [PMID: 21806955 DOI: 10.1016/j.cgh.2011.07.012]</w:t>
      </w:r>
    </w:p>
    <w:p w14:paraId="7F479477"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66 </w:t>
      </w:r>
      <w:r w:rsidRPr="0067130C">
        <w:rPr>
          <w:rFonts w:ascii="Book Antiqua" w:eastAsia="Book Antiqua" w:hAnsi="Book Antiqua" w:cs="Book Antiqua"/>
          <w:b/>
          <w:bCs/>
          <w:color w:val="000000"/>
        </w:rPr>
        <w:t>Peracchi M</w:t>
      </w:r>
      <w:r w:rsidRPr="0067130C">
        <w:rPr>
          <w:rFonts w:ascii="Book Antiqua" w:eastAsia="Book Antiqua" w:hAnsi="Book Antiqua" w:cs="Book Antiqua"/>
          <w:color w:val="000000"/>
        </w:rPr>
        <w:t xml:space="preserve">, Gebbia C, Basilisco G, Quatrini M, Tarantino C, Vescarelli C, Massironi S, Conte D. Plasma chromogranin A in patients with autoimmune chronic atrophic gastritis, enterochromaffin-like cell lesions and gastric carcinoids. </w:t>
      </w:r>
      <w:r w:rsidRPr="0067130C">
        <w:rPr>
          <w:rFonts w:ascii="Book Antiqua" w:eastAsia="Book Antiqua" w:hAnsi="Book Antiqua" w:cs="Book Antiqua"/>
          <w:i/>
          <w:iCs/>
          <w:color w:val="000000"/>
        </w:rPr>
        <w:t>Eur J Endocrinol</w:t>
      </w:r>
      <w:r w:rsidRPr="0067130C">
        <w:rPr>
          <w:rFonts w:ascii="Book Antiqua" w:eastAsia="Book Antiqua" w:hAnsi="Book Antiqua" w:cs="Book Antiqua"/>
          <w:color w:val="000000"/>
        </w:rPr>
        <w:t xml:space="preserve"> 2005; </w:t>
      </w:r>
      <w:r w:rsidRPr="0067130C">
        <w:rPr>
          <w:rFonts w:ascii="Book Antiqua" w:eastAsia="Book Antiqua" w:hAnsi="Book Antiqua" w:cs="Book Antiqua"/>
          <w:b/>
          <w:bCs/>
          <w:color w:val="000000"/>
        </w:rPr>
        <w:t>152</w:t>
      </w:r>
      <w:r w:rsidRPr="0067130C">
        <w:rPr>
          <w:rFonts w:ascii="Book Antiqua" w:eastAsia="Book Antiqua" w:hAnsi="Book Antiqua" w:cs="Book Antiqua"/>
          <w:color w:val="000000"/>
        </w:rPr>
        <w:t>: 443-448 [PMID: 15757862 DOI: 10.1530/eje.1.01862]</w:t>
      </w:r>
    </w:p>
    <w:p w14:paraId="7817978E"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67 </w:t>
      </w:r>
      <w:r w:rsidRPr="0067130C">
        <w:rPr>
          <w:rFonts w:ascii="Book Antiqua" w:eastAsia="Book Antiqua" w:hAnsi="Book Antiqua" w:cs="Book Antiqua"/>
          <w:b/>
          <w:bCs/>
          <w:color w:val="000000"/>
        </w:rPr>
        <w:t>Merola E</w:t>
      </w:r>
      <w:r w:rsidRPr="0067130C">
        <w:rPr>
          <w:rFonts w:ascii="Book Antiqua" w:eastAsia="Book Antiqua" w:hAnsi="Book Antiqua" w:cs="Book Antiqua"/>
          <w:color w:val="000000"/>
        </w:rPr>
        <w:t xml:space="preserve">, Sbrozzi-Vanni A, Panzuto F, D'Ambra G, Di Giulio E, Pilozzi E, Capurso G, Lahner E, Bordi C, Annibale B, Delle Fave G. Type I gastric carcinoids: a prospective study on endoscopic management and recurrence rate. </w:t>
      </w:r>
      <w:r w:rsidRPr="0067130C">
        <w:rPr>
          <w:rFonts w:ascii="Book Antiqua" w:eastAsia="Book Antiqua" w:hAnsi="Book Antiqua" w:cs="Book Antiqua"/>
          <w:i/>
          <w:iCs/>
          <w:color w:val="000000"/>
        </w:rPr>
        <w:t>Neuroendocrinology</w:t>
      </w:r>
      <w:r w:rsidRPr="0067130C">
        <w:rPr>
          <w:rFonts w:ascii="Book Antiqua" w:eastAsia="Book Antiqua" w:hAnsi="Book Antiqua" w:cs="Book Antiqua"/>
          <w:color w:val="000000"/>
        </w:rPr>
        <w:t xml:space="preserve"> 2012; </w:t>
      </w:r>
      <w:r w:rsidRPr="0067130C">
        <w:rPr>
          <w:rFonts w:ascii="Book Antiqua" w:eastAsia="Book Antiqua" w:hAnsi="Book Antiqua" w:cs="Book Antiqua"/>
          <w:b/>
          <w:bCs/>
          <w:color w:val="000000"/>
        </w:rPr>
        <w:t>95</w:t>
      </w:r>
      <w:r w:rsidRPr="0067130C">
        <w:rPr>
          <w:rFonts w:ascii="Book Antiqua" w:eastAsia="Book Antiqua" w:hAnsi="Book Antiqua" w:cs="Book Antiqua"/>
          <w:color w:val="000000"/>
        </w:rPr>
        <w:t>: 207-213 [PMID: 21811050 DOI: 10.1159/000329043]</w:t>
      </w:r>
    </w:p>
    <w:p w14:paraId="3C1E2C61"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68 </w:t>
      </w:r>
      <w:r w:rsidRPr="0067130C">
        <w:rPr>
          <w:rFonts w:ascii="Book Antiqua" w:eastAsia="Book Antiqua" w:hAnsi="Book Antiqua" w:cs="Book Antiqua"/>
          <w:b/>
          <w:bCs/>
          <w:color w:val="000000"/>
        </w:rPr>
        <w:t>Ganeshan D</w:t>
      </w:r>
      <w:r w:rsidRPr="0067130C">
        <w:rPr>
          <w:rFonts w:ascii="Book Antiqua" w:eastAsia="Book Antiqua" w:hAnsi="Book Antiqua" w:cs="Book Antiqua"/>
          <w:color w:val="000000"/>
        </w:rPr>
        <w:t xml:space="preserve">, Bhosale P, Yang T, Kundra V. Imaging features of carcinoid tumors of the gastrointestinal tract. </w:t>
      </w:r>
      <w:r w:rsidRPr="0067130C">
        <w:rPr>
          <w:rFonts w:ascii="Book Antiqua" w:eastAsia="Book Antiqua" w:hAnsi="Book Antiqua" w:cs="Book Antiqua"/>
          <w:i/>
          <w:iCs/>
          <w:color w:val="000000"/>
        </w:rPr>
        <w:t>AJR Am J Roentgenol</w:t>
      </w:r>
      <w:r w:rsidRPr="0067130C">
        <w:rPr>
          <w:rFonts w:ascii="Book Antiqua" w:eastAsia="Book Antiqua" w:hAnsi="Book Antiqua" w:cs="Book Antiqua"/>
          <w:color w:val="000000"/>
        </w:rPr>
        <w:t xml:space="preserve"> 2013; </w:t>
      </w:r>
      <w:r w:rsidRPr="0067130C">
        <w:rPr>
          <w:rFonts w:ascii="Book Antiqua" w:eastAsia="Book Antiqua" w:hAnsi="Book Antiqua" w:cs="Book Antiqua"/>
          <w:b/>
          <w:bCs/>
          <w:color w:val="000000"/>
        </w:rPr>
        <w:t>201</w:t>
      </w:r>
      <w:r w:rsidRPr="0067130C">
        <w:rPr>
          <w:rFonts w:ascii="Book Antiqua" w:eastAsia="Book Antiqua" w:hAnsi="Book Antiqua" w:cs="Book Antiqua"/>
          <w:color w:val="000000"/>
        </w:rPr>
        <w:t>: 773-786 [PMID: 24059366 DOI: 10.2214/AJR.12.9758]</w:t>
      </w:r>
    </w:p>
    <w:p w14:paraId="6C996093"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69 </w:t>
      </w:r>
      <w:r w:rsidRPr="0067130C">
        <w:rPr>
          <w:rFonts w:ascii="Book Antiqua" w:eastAsia="Book Antiqua" w:hAnsi="Book Antiqua" w:cs="Book Antiqua"/>
          <w:b/>
          <w:bCs/>
          <w:color w:val="000000"/>
        </w:rPr>
        <w:t>Alexander HR</w:t>
      </w:r>
      <w:r w:rsidRPr="0067130C">
        <w:rPr>
          <w:rFonts w:ascii="Book Antiqua" w:eastAsia="Book Antiqua" w:hAnsi="Book Antiqua" w:cs="Book Antiqua"/>
          <w:color w:val="000000"/>
        </w:rPr>
        <w:t xml:space="preserve">, Fraker DL, Norton JA, Bartlett DL, Tio L, Benjamin SB, Doppman JL, Goebel SU, Serrano J, Gibril F, Jensen RT. Prospective study of somatostatin receptor scintigraphy and its effect on operative outcome in patients with Zollinger-Ellison syndrome. </w:t>
      </w:r>
      <w:r w:rsidRPr="0067130C">
        <w:rPr>
          <w:rFonts w:ascii="Book Antiqua" w:eastAsia="Book Antiqua" w:hAnsi="Book Antiqua" w:cs="Book Antiqua"/>
          <w:i/>
          <w:iCs/>
          <w:color w:val="000000"/>
        </w:rPr>
        <w:t>Ann Surg</w:t>
      </w:r>
      <w:r w:rsidRPr="0067130C">
        <w:rPr>
          <w:rFonts w:ascii="Book Antiqua" w:eastAsia="Book Antiqua" w:hAnsi="Book Antiqua" w:cs="Book Antiqua"/>
          <w:color w:val="000000"/>
        </w:rPr>
        <w:t xml:space="preserve"> 1998; </w:t>
      </w:r>
      <w:r w:rsidRPr="0067130C">
        <w:rPr>
          <w:rFonts w:ascii="Book Antiqua" w:eastAsia="Book Antiqua" w:hAnsi="Book Antiqua" w:cs="Book Antiqua"/>
          <w:b/>
          <w:bCs/>
          <w:color w:val="000000"/>
        </w:rPr>
        <w:t>228</w:t>
      </w:r>
      <w:r w:rsidRPr="0067130C">
        <w:rPr>
          <w:rFonts w:ascii="Book Antiqua" w:eastAsia="Book Antiqua" w:hAnsi="Book Antiqua" w:cs="Book Antiqua"/>
          <w:color w:val="000000"/>
        </w:rPr>
        <w:t>: 228-238 [PMID: 9712569 DOI: 10.1097/00000658-199808000-00013]</w:t>
      </w:r>
    </w:p>
    <w:p w14:paraId="531AD15A"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70 </w:t>
      </w:r>
      <w:r w:rsidRPr="0067130C">
        <w:rPr>
          <w:rFonts w:ascii="Book Antiqua" w:eastAsia="Book Antiqua" w:hAnsi="Book Antiqua" w:cs="Book Antiqua"/>
          <w:b/>
          <w:bCs/>
          <w:color w:val="000000"/>
        </w:rPr>
        <w:t>Cavallaro A</w:t>
      </w:r>
      <w:r w:rsidRPr="0067130C">
        <w:rPr>
          <w:rFonts w:ascii="Book Antiqua" w:eastAsia="Book Antiqua" w:hAnsi="Book Antiqua" w:cs="Book Antiqua"/>
          <w:color w:val="000000"/>
        </w:rPr>
        <w:t xml:space="preserve">, Zanghì A, Cavallaro M, Lo Menzo E, Di Carlo I, Di Vita M, Cardì F, Piccolo G, Di Mattia P, Cappellani A. The role of 68-Ga-DOTATOC CT-PET in surgical tactic for gastric neuroendocrine tumors treatment: our experience: a case report. </w:t>
      </w:r>
      <w:r w:rsidRPr="0067130C">
        <w:rPr>
          <w:rFonts w:ascii="Book Antiqua" w:eastAsia="Book Antiqua" w:hAnsi="Book Antiqua" w:cs="Book Antiqua"/>
          <w:i/>
          <w:iCs/>
          <w:color w:val="000000"/>
        </w:rPr>
        <w:t>Int J Surg</w:t>
      </w:r>
      <w:r w:rsidRPr="0067130C">
        <w:rPr>
          <w:rFonts w:ascii="Book Antiqua" w:eastAsia="Book Antiqua" w:hAnsi="Book Antiqua" w:cs="Book Antiqua"/>
          <w:color w:val="000000"/>
        </w:rPr>
        <w:t xml:space="preserve"> 2014; </w:t>
      </w:r>
      <w:r w:rsidRPr="0067130C">
        <w:rPr>
          <w:rFonts w:ascii="Book Antiqua" w:eastAsia="Book Antiqua" w:hAnsi="Book Antiqua" w:cs="Book Antiqua"/>
          <w:b/>
          <w:bCs/>
          <w:color w:val="000000"/>
        </w:rPr>
        <w:t>12 Suppl 1</w:t>
      </w:r>
      <w:r w:rsidRPr="0067130C">
        <w:rPr>
          <w:rFonts w:ascii="Book Antiqua" w:eastAsia="Book Antiqua" w:hAnsi="Book Antiqua" w:cs="Book Antiqua"/>
          <w:color w:val="000000"/>
        </w:rPr>
        <w:t>: S225-S231 [PMID: 24862665 DOI: 10.1016/j.ijsu.2014.05.017]</w:t>
      </w:r>
    </w:p>
    <w:p w14:paraId="46DE3D8A"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71 </w:t>
      </w:r>
      <w:r w:rsidRPr="0067130C">
        <w:rPr>
          <w:rFonts w:ascii="Book Antiqua" w:eastAsia="Book Antiqua" w:hAnsi="Book Antiqua" w:cs="Book Antiqua"/>
          <w:b/>
          <w:bCs/>
          <w:color w:val="000000"/>
        </w:rPr>
        <w:t>Grozinsky-Glasberg S</w:t>
      </w:r>
      <w:r w:rsidRPr="0067130C">
        <w:rPr>
          <w:rFonts w:ascii="Book Antiqua" w:eastAsia="Book Antiqua" w:hAnsi="Book Antiqua" w:cs="Book Antiqua"/>
          <w:color w:val="000000"/>
        </w:rPr>
        <w:t xml:space="preserve">, Thomas D, Strosberg JR, Pape UF, Felder S, Tsolakis AV, Alexandraki KI, Fraenkel M, Saiegh L, Reissman P, Kaltsas G, Gross DJ. Metastatic type 1 gastric carcinoid: a real threat or just a myth? </w:t>
      </w:r>
      <w:r w:rsidRPr="0067130C">
        <w:rPr>
          <w:rFonts w:ascii="Book Antiqua" w:eastAsia="Book Antiqua" w:hAnsi="Book Antiqua" w:cs="Book Antiqua"/>
          <w:i/>
          <w:iCs/>
          <w:color w:val="000000"/>
        </w:rPr>
        <w:t>World J Gastroenterol</w:t>
      </w:r>
      <w:r w:rsidRPr="0067130C">
        <w:rPr>
          <w:rFonts w:ascii="Book Antiqua" w:eastAsia="Book Antiqua" w:hAnsi="Book Antiqua" w:cs="Book Antiqua"/>
          <w:color w:val="000000"/>
        </w:rPr>
        <w:t xml:space="preserve"> 2013; </w:t>
      </w:r>
      <w:r w:rsidRPr="0067130C">
        <w:rPr>
          <w:rFonts w:ascii="Book Antiqua" w:eastAsia="Book Antiqua" w:hAnsi="Book Antiqua" w:cs="Book Antiqua"/>
          <w:b/>
          <w:bCs/>
          <w:color w:val="000000"/>
        </w:rPr>
        <w:t>19</w:t>
      </w:r>
      <w:r w:rsidRPr="0067130C">
        <w:rPr>
          <w:rFonts w:ascii="Book Antiqua" w:eastAsia="Book Antiqua" w:hAnsi="Book Antiqua" w:cs="Book Antiqua"/>
          <w:color w:val="000000"/>
        </w:rPr>
        <w:t>: 8687-8695 [PMID: 24379587 DOI: 10.3748/wjg.v19.i46.8687]</w:t>
      </w:r>
    </w:p>
    <w:p w14:paraId="56EBBAC9"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72 </w:t>
      </w:r>
      <w:r w:rsidRPr="0067130C">
        <w:rPr>
          <w:rFonts w:ascii="Book Antiqua" w:eastAsia="Book Antiqua" w:hAnsi="Book Antiqua" w:cs="Book Antiqua"/>
          <w:b/>
          <w:bCs/>
          <w:color w:val="000000"/>
        </w:rPr>
        <w:t>Nikou GC</w:t>
      </w:r>
      <w:r w:rsidRPr="0067130C">
        <w:rPr>
          <w:rFonts w:ascii="Book Antiqua" w:eastAsia="Book Antiqua" w:hAnsi="Book Antiqua" w:cs="Book Antiqua"/>
          <w:color w:val="000000"/>
        </w:rPr>
        <w:t xml:space="preserve">, Toubanakis C, Nikolaou P, Giannatou E, Marinou K, Safioleas M, Karamanolis D. Gastrinomas associated with MEN-1 syndrome: new insights for the diagnosis and management in a series of 11 patients. </w:t>
      </w:r>
      <w:r w:rsidRPr="0067130C">
        <w:rPr>
          <w:rFonts w:ascii="Book Antiqua" w:eastAsia="Book Antiqua" w:hAnsi="Book Antiqua" w:cs="Book Antiqua"/>
          <w:i/>
          <w:iCs/>
          <w:color w:val="000000"/>
        </w:rPr>
        <w:t>Hepatogastroenterology</w:t>
      </w:r>
      <w:r w:rsidRPr="0067130C">
        <w:rPr>
          <w:rFonts w:ascii="Book Antiqua" w:eastAsia="Book Antiqua" w:hAnsi="Book Antiqua" w:cs="Book Antiqua"/>
          <w:color w:val="000000"/>
        </w:rPr>
        <w:t xml:space="preserve"> 2005; </w:t>
      </w:r>
      <w:r w:rsidRPr="0067130C">
        <w:rPr>
          <w:rFonts w:ascii="Book Antiqua" w:eastAsia="Book Antiqua" w:hAnsi="Book Antiqua" w:cs="Book Antiqua"/>
          <w:b/>
          <w:bCs/>
          <w:color w:val="000000"/>
        </w:rPr>
        <w:t>52</w:t>
      </w:r>
      <w:r w:rsidRPr="0067130C">
        <w:rPr>
          <w:rFonts w:ascii="Book Antiqua" w:eastAsia="Book Antiqua" w:hAnsi="Book Antiqua" w:cs="Book Antiqua"/>
          <w:color w:val="000000"/>
        </w:rPr>
        <w:t>: 1668-1676 [PMID: 16334754 DOI: 10.1002/bjs.5917]</w:t>
      </w:r>
    </w:p>
    <w:p w14:paraId="2C69A130"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73 </w:t>
      </w:r>
      <w:r w:rsidRPr="0067130C">
        <w:rPr>
          <w:rFonts w:ascii="Book Antiqua" w:eastAsia="Book Antiqua" w:hAnsi="Book Antiqua" w:cs="Book Antiqua"/>
          <w:b/>
          <w:bCs/>
          <w:color w:val="000000"/>
        </w:rPr>
        <w:t>Naswa N</w:t>
      </w:r>
      <w:r w:rsidRPr="0067130C">
        <w:rPr>
          <w:rFonts w:ascii="Book Antiqua" w:eastAsia="Book Antiqua" w:hAnsi="Book Antiqua" w:cs="Book Antiqua"/>
          <w:color w:val="000000"/>
        </w:rPr>
        <w:t xml:space="preserve">, Sharma P, Soundararajan R, Karunanithi S, Nazar AH, Kumar R, Malhotra A, Bal C. Diagnostic performance of somatostatin receptor PET/CT using 68Ga-DOTANOC in gastrinoma patients with negative or equivocal CT findings. </w:t>
      </w:r>
      <w:r w:rsidRPr="0067130C">
        <w:rPr>
          <w:rFonts w:ascii="Book Antiqua" w:eastAsia="Book Antiqua" w:hAnsi="Book Antiqua" w:cs="Book Antiqua"/>
          <w:i/>
          <w:iCs/>
          <w:color w:val="000000"/>
        </w:rPr>
        <w:t>Abdom Imaging</w:t>
      </w:r>
      <w:r w:rsidRPr="0067130C">
        <w:rPr>
          <w:rFonts w:ascii="Book Antiqua" w:eastAsia="Book Antiqua" w:hAnsi="Book Antiqua" w:cs="Book Antiqua"/>
          <w:color w:val="000000"/>
        </w:rPr>
        <w:t xml:space="preserve"> 2013; </w:t>
      </w:r>
      <w:r w:rsidRPr="0067130C">
        <w:rPr>
          <w:rFonts w:ascii="Book Antiqua" w:eastAsia="Book Antiqua" w:hAnsi="Book Antiqua" w:cs="Book Antiqua"/>
          <w:b/>
          <w:bCs/>
          <w:color w:val="000000"/>
        </w:rPr>
        <w:t>38</w:t>
      </w:r>
      <w:r w:rsidRPr="0067130C">
        <w:rPr>
          <w:rFonts w:ascii="Book Antiqua" w:eastAsia="Book Antiqua" w:hAnsi="Book Antiqua" w:cs="Book Antiqua"/>
          <w:color w:val="000000"/>
        </w:rPr>
        <w:t>: 552-560 [PMID: 22743840 DOI: 10.1007/s00261-012-9925-z]</w:t>
      </w:r>
    </w:p>
    <w:p w14:paraId="6B59850D"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74 </w:t>
      </w:r>
      <w:r w:rsidRPr="0067130C">
        <w:rPr>
          <w:rFonts w:ascii="Book Antiqua" w:eastAsia="Book Antiqua" w:hAnsi="Book Antiqua" w:cs="Book Antiqua"/>
          <w:b/>
          <w:bCs/>
          <w:color w:val="000000"/>
        </w:rPr>
        <w:t>Kunz PL</w:t>
      </w:r>
      <w:r w:rsidRPr="0067130C">
        <w:rPr>
          <w:rFonts w:ascii="Book Antiqua" w:eastAsia="Book Antiqua" w:hAnsi="Book Antiqua" w:cs="Book Antiqua"/>
          <w:color w:val="000000"/>
        </w:rPr>
        <w:t xml:space="preserve">, Reidy-Lagunes D, Anthony LB, Bertino EM, Brendtro K, Chan JA, Chen H, Jensen RT, Kim MK, Klimstra DS, Kulke MH, Liu EH, Metz DC, Phan AT, Sippel RS, Strosberg JR, Yao JC; North American Neuroendocrine Tumor Society. Consensus guidelines for the management and treatment of neuroendocrine tumors. </w:t>
      </w:r>
      <w:r w:rsidRPr="0067130C">
        <w:rPr>
          <w:rFonts w:ascii="Book Antiqua" w:eastAsia="Book Antiqua" w:hAnsi="Book Antiqua" w:cs="Book Antiqua"/>
          <w:i/>
          <w:iCs/>
          <w:color w:val="000000"/>
        </w:rPr>
        <w:t>Pancreas</w:t>
      </w:r>
      <w:r w:rsidRPr="0067130C">
        <w:rPr>
          <w:rFonts w:ascii="Book Antiqua" w:eastAsia="Book Antiqua" w:hAnsi="Book Antiqua" w:cs="Book Antiqua"/>
          <w:color w:val="000000"/>
        </w:rPr>
        <w:t xml:space="preserve"> 2013; </w:t>
      </w:r>
      <w:r w:rsidRPr="0067130C">
        <w:rPr>
          <w:rFonts w:ascii="Book Antiqua" w:eastAsia="Book Antiqua" w:hAnsi="Book Antiqua" w:cs="Book Antiqua"/>
          <w:b/>
          <w:bCs/>
          <w:color w:val="000000"/>
        </w:rPr>
        <w:t>42</w:t>
      </w:r>
      <w:r w:rsidRPr="0067130C">
        <w:rPr>
          <w:rFonts w:ascii="Book Antiqua" w:eastAsia="Book Antiqua" w:hAnsi="Book Antiqua" w:cs="Book Antiqua"/>
          <w:color w:val="000000"/>
        </w:rPr>
        <w:t>: 557-577 [PMID: 23591432 DOI: 10.1097/MPA.0b013e31828e34a4]</w:t>
      </w:r>
    </w:p>
    <w:p w14:paraId="64524306"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75 </w:t>
      </w:r>
      <w:r w:rsidRPr="0067130C">
        <w:rPr>
          <w:rFonts w:ascii="Book Antiqua" w:eastAsia="Book Antiqua" w:hAnsi="Book Antiqua" w:cs="Book Antiqua"/>
          <w:b/>
          <w:bCs/>
          <w:color w:val="000000"/>
        </w:rPr>
        <w:t>Uygun A</w:t>
      </w:r>
      <w:r w:rsidRPr="0067130C">
        <w:rPr>
          <w:rFonts w:ascii="Book Antiqua" w:eastAsia="Book Antiqua" w:hAnsi="Book Antiqua" w:cs="Book Antiqua"/>
          <w:color w:val="000000"/>
        </w:rPr>
        <w:t xml:space="preserve">, Kadayifci A, Polat Z, Yilmaz K, Gunal A, Demir H, Bagci S. Long-term results of endoscopic resection for type I gastric neuroendocrine tumors. </w:t>
      </w:r>
      <w:r w:rsidRPr="0067130C">
        <w:rPr>
          <w:rFonts w:ascii="Book Antiqua" w:eastAsia="Book Antiqua" w:hAnsi="Book Antiqua" w:cs="Book Antiqua"/>
          <w:i/>
          <w:iCs/>
          <w:color w:val="000000"/>
        </w:rPr>
        <w:t>J Surg Oncol</w:t>
      </w:r>
      <w:r w:rsidRPr="0067130C">
        <w:rPr>
          <w:rFonts w:ascii="Book Antiqua" w:eastAsia="Book Antiqua" w:hAnsi="Book Antiqua" w:cs="Book Antiqua"/>
          <w:color w:val="000000"/>
        </w:rPr>
        <w:t xml:space="preserve"> 2014; </w:t>
      </w:r>
      <w:r w:rsidRPr="0067130C">
        <w:rPr>
          <w:rFonts w:ascii="Book Antiqua" w:eastAsia="Book Antiqua" w:hAnsi="Book Antiqua" w:cs="Book Antiqua"/>
          <w:b/>
          <w:bCs/>
          <w:color w:val="000000"/>
        </w:rPr>
        <w:t>109</w:t>
      </w:r>
      <w:r w:rsidRPr="0067130C">
        <w:rPr>
          <w:rFonts w:ascii="Book Antiqua" w:eastAsia="Book Antiqua" w:hAnsi="Book Antiqua" w:cs="Book Antiqua"/>
          <w:color w:val="000000"/>
        </w:rPr>
        <w:t>: 71-74 [PMID: 24165913 DOI: 10.1002/jso.23477]</w:t>
      </w:r>
    </w:p>
    <w:p w14:paraId="42E22E65"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76 </w:t>
      </w:r>
      <w:r w:rsidRPr="0067130C">
        <w:rPr>
          <w:rFonts w:ascii="Book Antiqua" w:eastAsia="Book Antiqua" w:hAnsi="Book Antiqua" w:cs="Book Antiqua"/>
          <w:b/>
          <w:bCs/>
          <w:color w:val="000000"/>
        </w:rPr>
        <w:t>Sato Y</w:t>
      </w:r>
      <w:r w:rsidRPr="0067130C">
        <w:rPr>
          <w:rFonts w:ascii="Book Antiqua" w:eastAsia="Book Antiqua" w:hAnsi="Book Antiqua" w:cs="Book Antiqua"/>
          <w:color w:val="000000"/>
        </w:rPr>
        <w:t xml:space="preserve">, Imamura H, Kaizaki Y, Koizumi W, Ishido K, Kurahara K, Suzuki H, Fujisaki J, Hirakawa K, Hosokawa O, Ito M, Kaminishi M, Furuta T, Chiba T, Haruma K. Management and clinical outcomes of type I gastric carcinoid patients: retrospective, multicenter study in Japan. </w:t>
      </w:r>
      <w:r w:rsidRPr="0067130C">
        <w:rPr>
          <w:rFonts w:ascii="Book Antiqua" w:eastAsia="Book Antiqua" w:hAnsi="Book Antiqua" w:cs="Book Antiqua"/>
          <w:i/>
          <w:iCs/>
          <w:color w:val="000000"/>
        </w:rPr>
        <w:t>Dig Endosc</w:t>
      </w:r>
      <w:r w:rsidRPr="0067130C">
        <w:rPr>
          <w:rFonts w:ascii="Book Antiqua" w:eastAsia="Book Antiqua" w:hAnsi="Book Antiqua" w:cs="Book Antiqua"/>
          <w:color w:val="000000"/>
        </w:rPr>
        <w:t xml:space="preserve"> 2014; </w:t>
      </w:r>
      <w:r w:rsidRPr="0067130C">
        <w:rPr>
          <w:rFonts w:ascii="Book Antiqua" w:eastAsia="Book Antiqua" w:hAnsi="Book Antiqua" w:cs="Book Antiqua"/>
          <w:b/>
          <w:bCs/>
          <w:color w:val="000000"/>
        </w:rPr>
        <w:t>26</w:t>
      </w:r>
      <w:r w:rsidRPr="0067130C">
        <w:rPr>
          <w:rFonts w:ascii="Book Antiqua" w:eastAsia="Book Antiqua" w:hAnsi="Book Antiqua" w:cs="Book Antiqua"/>
          <w:color w:val="000000"/>
        </w:rPr>
        <w:t>: 377-384 [PMID: 24188531 DOI: 10.1111/den.12197]</w:t>
      </w:r>
    </w:p>
    <w:p w14:paraId="7A1AC423"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77 </w:t>
      </w:r>
      <w:r w:rsidRPr="0067130C">
        <w:rPr>
          <w:rFonts w:ascii="Book Antiqua" w:eastAsia="Book Antiqua" w:hAnsi="Book Antiqua" w:cs="Book Antiqua"/>
          <w:b/>
          <w:bCs/>
          <w:color w:val="000000"/>
        </w:rPr>
        <w:t>Kim HH</w:t>
      </w:r>
      <w:r w:rsidRPr="0067130C">
        <w:rPr>
          <w:rFonts w:ascii="Book Antiqua" w:eastAsia="Book Antiqua" w:hAnsi="Book Antiqua" w:cs="Book Antiqua"/>
          <w:color w:val="000000"/>
        </w:rPr>
        <w:t xml:space="preserve">, Kim GH, Kim JH, Choi MG, Song GA, Kim SE. The efficacy of endoscopic submucosal dissection of type I gastric carcinoid tumors compared with conventional endoscopic mucosal resection. </w:t>
      </w:r>
      <w:r w:rsidRPr="0067130C">
        <w:rPr>
          <w:rFonts w:ascii="Book Antiqua" w:eastAsia="Book Antiqua" w:hAnsi="Book Antiqua" w:cs="Book Antiqua"/>
          <w:i/>
          <w:iCs/>
          <w:color w:val="000000"/>
        </w:rPr>
        <w:t>Gastroenterol Res Pract</w:t>
      </w:r>
      <w:r w:rsidRPr="0067130C">
        <w:rPr>
          <w:rFonts w:ascii="Book Antiqua" w:eastAsia="Book Antiqua" w:hAnsi="Book Antiqua" w:cs="Book Antiqua"/>
          <w:color w:val="000000"/>
        </w:rPr>
        <w:t xml:space="preserve"> 2014; </w:t>
      </w:r>
      <w:r w:rsidRPr="0067130C">
        <w:rPr>
          <w:rFonts w:ascii="Book Antiqua" w:eastAsia="Book Antiqua" w:hAnsi="Book Antiqua" w:cs="Book Antiqua"/>
          <w:b/>
          <w:bCs/>
          <w:color w:val="000000"/>
        </w:rPr>
        <w:t>2014</w:t>
      </w:r>
      <w:r w:rsidRPr="0067130C">
        <w:rPr>
          <w:rFonts w:ascii="Book Antiqua" w:eastAsia="Book Antiqua" w:hAnsi="Book Antiqua" w:cs="Book Antiqua"/>
          <w:color w:val="000000"/>
        </w:rPr>
        <w:t>: 253860 [PMID: 24693280 DOI: 10.1155/2014/253860]</w:t>
      </w:r>
    </w:p>
    <w:p w14:paraId="6FE35EAF"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78 </w:t>
      </w:r>
      <w:r w:rsidRPr="0067130C">
        <w:rPr>
          <w:rFonts w:ascii="Book Antiqua" w:eastAsia="Book Antiqua" w:hAnsi="Book Antiqua" w:cs="Book Antiqua"/>
          <w:b/>
          <w:bCs/>
          <w:color w:val="000000"/>
        </w:rPr>
        <w:t>Hirschowitz BI</w:t>
      </w:r>
      <w:r w:rsidRPr="0067130C">
        <w:rPr>
          <w:rFonts w:ascii="Book Antiqua" w:eastAsia="Book Antiqua" w:hAnsi="Book Antiqua" w:cs="Book Antiqua"/>
          <w:color w:val="000000"/>
        </w:rPr>
        <w:t xml:space="preserve">, Griffith J, Pellegrin D, Cummings OW. Rapid regression of enterochromaffinlike cell gastric carcinoids in pernicious anemia after antrectomy. </w:t>
      </w:r>
      <w:r w:rsidRPr="0067130C">
        <w:rPr>
          <w:rFonts w:ascii="Book Antiqua" w:eastAsia="Book Antiqua" w:hAnsi="Book Antiqua" w:cs="Book Antiqua"/>
          <w:i/>
          <w:iCs/>
          <w:color w:val="000000"/>
        </w:rPr>
        <w:t>Gastroenterology</w:t>
      </w:r>
      <w:r w:rsidRPr="0067130C">
        <w:rPr>
          <w:rFonts w:ascii="Book Antiqua" w:eastAsia="Book Antiqua" w:hAnsi="Book Antiqua" w:cs="Book Antiqua"/>
          <w:color w:val="000000"/>
        </w:rPr>
        <w:t xml:space="preserve"> 1992; </w:t>
      </w:r>
      <w:r w:rsidRPr="0067130C">
        <w:rPr>
          <w:rFonts w:ascii="Book Antiqua" w:eastAsia="Book Antiqua" w:hAnsi="Book Antiqua" w:cs="Book Antiqua"/>
          <w:b/>
          <w:bCs/>
          <w:color w:val="000000"/>
        </w:rPr>
        <w:t>102</w:t>
      </w:r>
      <w:r w:rsidRPr="0067130C">
        <w:rPr>
          <w:rFonts w:ascii="Book Antiqua" w:eastAsia="Book Antiqua" w:hAnsi="Book Antiqua" w:cs="Book Antiqua"/>
          <w:color w:val="000000"/>
        </w:rPr>
        <w:t>: 1409-1418 [PMID: 1551550]</w:t>
      </w:r>
    </w:p>
    <w:p w14:paraId="00B4560A"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79 </w:t>
      </w:r>
      <w:r w:rsidRPr="0067130C">
        <w:rPr>
          <w:rFonts w:ascii="Book Antiqua" w:eastAsia="Book Antiqua" w:hAnsi="Book Antiqua" w:cs="Book Antiqua"/>
          <w:b/>
          <w:bCs/>
          <w:color w:val="000000"/>
        </w:rPr>
        <w:t>Ozao-Choy J</w:t>
      </w:r>
      <w:r w:rsidRPr="0067130C">
        <w:rPr>
          <w:rFonts w:ascii="Book Antiqua" w:eastAsia="Book Antiqua" w:hAnsi="Book Antiqua" w:cs="Book Antiqua"/>
          <w:color w:val="000000"/>
        </w:rPr>
        <w:t xml:space="preserve">, Buch K, Strauchen JA, Warner RR, Divino CM. Laparoscopic antrectomy for the treatment of type I gastric carcinoid tumors. </w:t>
      </w:r>
      <w:r w:rsidRPr="0067130C">
        <w:rPr>
          <w:rFonts w:ascii="Book Antiqua" w:eastAsia="Book Antiqua" w:hAnsi="Book Antiqua" w:cs="Book Antiqua"/>
          <w:i/>
          <w:iCs/>
          <w:color w:val="000000"/>
        </w:rPr>
        <w:t>J Surg Res</w:t>
      </w:r>
      <w:r w:rsidRPr="0067130C">
        <w:rPr>
          <w:rFonts w:ascii="Book Antiqua" w:eastAsia="Book Antiqua" w:hAnsi="Book Antiqua" w:cs="Book Antiqua"/>
          <w:color w:val="000000"/>
        </w:rPr>
        <w:t xml:space="preserve"> 2010; </w:t>
      </w:r>
      <w:r w:rsidRPr="0067130C">
        <w:rPr>
          <w:rFonts w:ascii="Book Antiqua" w:eastAsia="Book Antiqua" w:hAnsi="Book Antiqua" w:cs="Book Antiqua"/>
          <w:b/>
          <w:bCs/>
          <w:color w:val="000000"/>
        </w:rPr>
        <w:t>162</w:t>
      </w:r>
      <w:r w:rsidRPr="0067130C">
        <w:rPr>
          <w:rFonts w:ascii="Book Antiqua" w:eastAsia="Book Antiqua" w:hAnsi="Book Antiqua" w:cs="Book Antiqua"/>
          <w:color w:val="000000"/>
        </w:rPr>
        <w:t>: 22-25 [PMID: 20421108 DOI: 10.1016/j.jss.2010.01.005]</w:t>
      </w:r>
    </w:p>
    <w:p w14:paraId="215577DB"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80 </w:t>
      </w:r>
      <w:r w:rsidRPr="0067130C">
        <w:rPr>
          <w:rFonts w:ascii="Book Antiqua" w:eastAsia="Book Antiqua" w:hAnsi="Book Antiqua" w:cs="Book Antiqua"/>
          <w:b/>
          <w:bCs/>
          <w:color w:val="000000"/>
        </w:rPr>
        <w:t>Gladdy RA</w:t>
      </w:r>
      <w:r w:rsidRPr="0067130C">
        <w:rPr>
          <w:rFonts w:ascii="Book Antiqua" w:eastAsia="Book Antiqua" w:hAnsi="Book Antiqua" w:cs="Book Antiqua"/>
          <w:color w:val="000000"/>
        </w:rPr>
        <w:t xml:space="preserve">, Strong VE, Coit D, Allen PJ, Gerdes H, Shia J, Klimstra DS, Brennan MF, Tang LH. Defining surgical indications for type I gastric carcinoid tumor. </w:t>
      </w:r>
      <w:r w:rsidRPr="0067130C">
        <w:rPr>
          <w:rFonts w:ascii="Book Antiqua" w:eastAsia="Book Antiqua" w:hAnsi="Book Antiqua" w:cs="Book Antiqua"/>
          <w:i/>
          <w:iCs/>
          <w:color w:val="000000"/>
        </w:rPr>
        <w:t>Ann Surg Oncol</w:t>
      </w:r>
      <w:r w:rsidRPr="0067130C">
        <w:rPr>
          <w:rFonts w:ascii="Book Antiqua" w:eastAsia="Book Antiqua" w:hAnsi="Book Antiqua" w:cs="Book Antiqua"/>
          <w:color w:val="000000"/>
        </w:rPr>
        <w:t xml:space="preserve"> 2009; </w:t>
      </w:r>
      <w:r w:rsidRPr="0067130C">
        <w:rPr>
          <w:rFonts w:ascii="Book Antiqua" w:eastAsia="Book Antiqua" w:hAnsi="Book Antiqua" w:cs="Book Antiqua"/>
          <w:b/>
          <w:bCs/>
          <w:color w:val="000000"/>
        </w:rPr>
        <w:t>16</w:t>
      </w:r>
      <w:r w:rsidRPr="0067130C">
        <w:rPr>
          <w:rFonts w:ascii="Book Antiqua" w:eastAsia="Book Antiqua" w:hAnsi="Book Antiqua" w:cs="Book Antiqua"/>
          <w:color w:val="000000"/>
        </w:rPr>
        <w:t>: 3154-3160 [PMID: 19727959 DOI: 10.1245/s10434-009-0687-y]</w:t>
      </w:r>
    </w:p>
    <w:p w14:paraId="66E3C534"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81 </w:t>
      </w:r>
      <w:r w:rsidRPr="0067130C">
        <w:rPr>
          <w:rFonts w:ascii="Book Antiqua" w:eastAsia="Book Antiqua" w:hAnsi="Book Antiqua" w:cs="Book Antiqua"/>
          <w:b/>
          <w:bCs/>
          <w:color w:val="000000"/>
        </w:rPr>
        <w:t>Jenny HE</w:t>
      </w:r>
      <w:r w:rsidRPr="0067130C">
        <w:rPr>
          <w:rFonts w:ascii="Book Antiqua" w:eastAsia="Book Antiqua" w:hAnsi="Book Antiqua" w:cs="Book Antiqua"/>
          <w:color w:val="000000"/>
        </w:rPr>
        <w:t xml:space="preserve">, Ogando PA, Fujitani K, Warner RR, Divino CM. Laparoscopic antrectomy: a safe and definitive treatment in managing type 1 gastric carcinoids. </w:t>
      </w:r>
      <w:r w:rsidRPr="0067130C">
        <w:rPr>
          <w:rFonts w:ascii="Book Antiqua" w:eastAsia="Book Antiqua" w:hAnsi="Book Antiqua" w:cs="Book Antiqua"/>
          <w:i/>
          <w:iCs/>
          <w:color w:val="000000"/>
        </w:rPr>
        <w:t>Am J Surg</w:t>
      </w:r>
      <w:r w:rsidRPr="0067130C">
        <w:rPr>
          <w:rFonts w:ascii="Book Antiqua" w:eastAsia="Book Antiqua" w:hAnsi="Book Antiqua" w:cs="Book Antiqua"/>
          <w:color w:val="000000"/>
        </w:rPr>
        <w:t xml:space="preserve"> 2016; </w:t>
      </w:r>
      <w:r w:rsidRPr="0067130C">
        <w:rPr>
          <w:rFonts w:ascii="Book Antiqua" w:eastAsia="Book Antiqua" w:hAnsi="Book Antiqua" w:cs="Book Antiqua"/>
          <w:b/>
          <w:bCs/>
          <w:color w:val="000000"/>
        </w:rPr>
        <w:t>211</w:t>
      </w:r>
      <w:r w:rsidRPr="0067130C">
        <w:rPr>
          <w:rFonts w:ascii="Book Antiqua" w:eastAsia="Book Antiqua" w:hAnsi="Book Antiqua" w:cs="Book Antiqua"/>
          <w:color w:val="000000"/>
        </w:rPr>
        <w:t>: 778-782 [PMID: 26992358 DOI: 10.1016/j.amjsurg.2015.08.040]</w:t>
      </w:r>
    </w:p>
    <w:p w14:paraId="4B114D85"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82 </w:t>
      </w:r>
      <w:r w:rsidRPr="0067130C">
        <w:rPr>
          <w:rFonts w:ascii="Book Antiqua" w:eastAsia="Book Antiqua" w:hAnsi="Book Antiqua" w:cs="Book Antiqua"/>
          <w:b/>
          <w:bCs/>
          <w:color w:val="000000"/>
        </w:rPr>
        <w:t>Jianu CS</w:t>
      </w:r>
      <w:r w:rsidRPr="0067130C">
        <w:rPr>
          <w:rFonts w:ascii="Book Antiqua" w:eastAsia="Book Antiqua" w:hAnsi="Book Antiqua" w:cs="Book Antiqua"/>
          <w:color w:val="000000"/>
        </w:rPr>
        <w:t xml:space="preserve">, Fossmark R, Syversen U, Hauso Ø, Fykse V, Waldum HL. Five-year follow-up of patients treated for 1 year with octreotide long-acting release for enterochromaffin-like cell carcinoids. </w:t>
      </w:r>
      <w:r w:rsidRPr="0067130C">
        <w:rPr>
          <w:rFonts w:ascii="Book Antiqua" w:eastAsia="Book Antiqua" w:hAnsi="Book Antiqua" w:cs="Book Antiqua"/>
          <w:i/>
          <w:iCs/>
          <w:color w:val="000000"/>
        </w:rPr>
        <w:t>Scand J Gastroenterol</w:t>
      </w:r>
      <w:r w:rsidRPr="0067130C">
        <w:rPr>
          <w:rFonts w:ascii="Book Antiqua" w:eastAsia="Book Antiqua" w:hAnsi="Book Antiqua" w:cs="Book Antiqua"/>
          <w:color w:val="000000"/>
        </w:rPr>
        <w:t xml:space="preserve"> 2011; </w:t>
      </w:r>
      <w:r w:rsidRPr="0067130C">
        <w:rPr>
          <w:rFonts w:ascii="Book Antiqua" w:eastAsia="Book Antiqua" w:hAnsi="Book Antiqua" w:cs="Book Antiqua"/>
          <w:b/>
          <w:bCs/>
          <w:color w:val="000000"/>
        </w:rPr>
        <w:t>46</w:t>
      </w:r>
      <w:r w:rsidRPr="0067130C">
        <w:rPr>
          <w:rFonts w:ascii="Book Antiqua" w:eastAsia="Book Antiqua" w:hAnsi="Book Antiqua" w:cs="Book Antiqua"/>
          <w:color w:val="000000"/>
        </w:rPr>
        <w:t>: 456-463 [PMID: 21133821 DOI: 10.3109/00365521.2010.539255]</w:t>
      </w:r>
    </w:p>
    <w:p w14:paraId="71D7BF94"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83 </w:t>
      </w:r>
      <w:r w:rsidRPr="0067130C">
        <w:rPr>
          <w:rFonts w:ascii="Book Antiqua" w:eastAsia="Book Antiqua" w:hAnsi="Book Antiqua" w:cs="Book Antiqua"/>
          <w:b/>
          <w:bCs/>
          <w:color w:val="000000"/>
        </w:rPr>
        <w:t>Sato Y</w:t>
      </w:r>
      <w:r w:rsidRPr="0067130C">
        <w:rPr>
          <w:rFonts w:ascii="Book Antiqua" w:eastAsia="Book Antiqua" w:hAnsi="Book Antiqua" w:cs="Book Antiqua"/>
          <w:color w:val="000000"/>
        </w:rPr>
        <w:t xml:space="preserve">. Clinical features and management of type I gastric carcinoids. </w:t>
      </w:r>
      <w:r w:rsidRPr="0067130C">
        <w:rPr>
          <w:rFonts w:ascii="Book Antiqua" w:eastAsia="Book Antiqua" w:hAnsi="Book Antiqua" w:cs="Book Antiqua"/>
          <w:i/>
          <w:iCs/>
          <w:color w:val="000000"/>
        </w:rPr>
        <w:t>Clin J Gastroenterol</w:t>
      </w:r>
      <w:r w:rsidRPr="0067130C">
        <w:rPr>
          <w:rFonts w:ascii="Book Antiqua" w:eastAsia="Book Antiqua" w:hAnsi="Book Antiqua" w:cs="Book Antiqua"/>
          <w:color w:val="000000"/>
        </w:rPr>
        <w:t xml:space="preserve"> 2014; </w:t>
      </w:r>
      <w:r w:rsidRPr="0067130C">
        <w:rPr>
          <w:rFonts w:ascii="Book Antiqua" w:eastAsia="Book Antiqua" w:hAnsi="Book Antiqua" w:cs="Book Antiqua"/>
          <w:b/>
          <w:bCs/>
          <w:color w:val="000000"/>
        </w:rPr>
        <w:t>7</w:t>
      </w:r>
      <w:r w:rsidRPr="0067130C">
        <w:rPr>
          <w:rFonts w:ascii="Book Antiqua" w:eastAsia="Book Antiqua" w:hAnsi="Book Antiqua" w:cs="Book Antiqua"/>
          <w:color w:val="000000"/>
        </w:rPr>
        <w:t>: 381-386 [PMID: 26184015 DOI: 10.1007/s12328-014-0528-9]</w:t>
      </w:r>
    </w:p>
    <w:p w14:paraId="7CDD8FEA"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84 </w:t>
      </w:r>
      <w:r w:rsidRPr="0067130C">
        <w:rPr>
          <w:rFonts w:ascii="Book Antiqua" w:eastAsia="Book Antiqua" w:hAnsi="Book Antiqua" w:cs="Book Antiqua"/>
          <w:b/>
          <w:bCs/>
          <w:color w:val="000000"/>
        </w:rPr>
        <w:t>Ryan P</w:t>
      </w:r>
      <w:r w:rsidRPr="0067130C">
        <w:rPr>
          <w:rFonts w:ascii="Book Antiqua" w:eastAsia="Book Antiqua" w:hAnsi="Book Antiqua" w:cs="Book Antiqua"/>
          <w:color w:val="000000"/>
        </w:rPr>
        <w:t xml:space="preserve">, McBride A, Ray D, Pulgar S, Ramirez RA, Elquza E, Favaro JP, Dranitsaris G. Lanreotide </w:t>
      </w:r>
      <w:r w:rsidRPr="0067130C">
        <w:rPr>
          <w:rFonts w:ascii="Book Antiqua" w:eastAsia="Book Antiqua" w:hAnsi="Book Antiqua" w:cs="Book Antiqua"/>
          <w:i/>
          <w:iCs/>
          <w:color w:val="000000"/>
        </w:rPr>
        <w:t>vs</w:t>
      </w:r>
      <w:r w:rsidRPr="0067130C">
        <w:rPr>
          <w:rFonts w:ascii="Book Antiqua" w:eastAsia="Book Antiqua" w:hAnsi="Book Antiqua" w:cs="Book Antiqua"/>
          <w:color w:val="000000"/>
        </w:rPr>
        <w:t xml:space="preserve"> octreotide LAR for patients with advanced gastroenteropancreatic neuroendocrine tumors: An observational time and motion analysis. </w:t>
      </w:r>
      <w:r w:rsidRPr="0067130C">
        <w:rPr>
          <w:rFonts w:ascii="Book Antiqua" w:eastAsia="Book Antiqua" w:hAnsi="Book Antiqua" w:cs="Book Antiqua"/>
          <w:i/>
          <w:iCs/>
          <w:color w:val="000000"/>
        </w:rPr>
        <w:t>J Oncol Pharm Pract</w:t>
      </w:r>
      <w:r w:rsidRPr="0067130C">
        <w:rPr>
          <w:rFonts w:ascii="Book Antiqua" w:eastAsia="Book Antiqua" w:hAnsi="Book Antiqua" w:cs="Book Antiqua"/>
          <w:color w:val="000000"/>
        </w:rPr>
        <w:t xml:space="preserve"> 2019; </w:t>
      </w:r>
      <w:r w:rsidRPr="0067130C">
        <w:rPr>
          <w:rFonts w:ascii="Book Antiqua" w:eastAsia="Book Antiqua" w:hAnsi="Book Antiqua" w:cs="Book Antiqua"/>
          <w:b/>
          <w:bCs/>
          <w:color w:val="000000"/>
        </w:rPr>
        <w:t>25</w:t>
      </w:r>
      <w:r w:rsidRPr="0067130C">
        <w:rPr>
          <w:rFonts w:ascii="Book Antiqua" w:eastAsia="Book Antiqua" w:hAnsi="Book Antiqua" w:cs="Book Antiqua"/>
          <w:color w:val="000000"/>
        </w:rPr>
        <w:t>: 1425-1433 [PMID: 30924737 DOI: 10.1177/1078155219839458]</w:t>
      </w:r>
    </w:p>
    <w:p w14:paraId="5AE70DA6"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85 </w:t>
      </w:r>
      <w:r w:rsidRPr="0067130C">
        <w:rPr>
          <w:rFonts w:ascii="Book Antiqua" w:eastAsia="Book Antiqua" w:hAnsi="Book Antiqua" w:cs="Book Antiqua"/>
          <w:b/>
          <w:bCs/>
          <w:color w:val="000000"/>
        </w:rPr>
        <w:t>Moore AR</w:t>
      </w:r>
      <w:r w:rsidRPr="0067130C">
        <w:rPr>
          <w:rFonts w:ascii="Book Antiqua" w:eastAsia="Book Antiqua" w:hAnsi="Book Antiqua" w:cs="Book Antiqua"/>
          <w:color w:val="000000"/>
        </w:rPr>
        <w:t xml:space="preserve">, Boyce M, Steele IA, Campbell F, Varro A, Pritchard DM. Netazepide, a gastrin receptor antagonist, normalises tumour biomarkers and causes regression of type 1 gastric neuroendocrine tumours in a nonrandomised trial of patients with chronic atrophic gastritis. </w:t>
      </w:r>
      <w:r w:rsidRPr="0067130C">
        <w:rPr>
          <w:rFonts w:ascii="Book Antiqua" w:eastAsia="Book Antiqua" w:hAnsi="Book Antiqua" w:cs="Book Antiqua"/>
          <w:i/>
          <w:iCs/>
          <w:color w:val="000000"/>
        </w:rPr>
        <w:t>PLoS One</w:t>
      </w:r>
      <w:r w:rsidRPr="0067130C">
        <w:rPr>
          <w:rFonts w:ascii="Book Antiqua" w:eastAsia="Book Antiqua" w:hAnsi="Book Antiqua" w:cs="Book Antiqua"/>
          <w:color w:val="000000"/>
        </w:rPr>
        <w:t xml:space="preserve"> 2013; </w:t>
      </w:r>
      <w:r w:rsidRPr="0067130C">
        <w:rPr>
          <w:rFonts w:ascii="Book Antiqua" w:eastAsia="Book Antiqua" w:hAnsi="Book Antiqua" w:cs="Book Antiqua"/>
          <w:b/>
          <w:bCs/>
          <w:color w:val="000000"/>
        </w:rPr>
        <w:t>8</w:t>
      </w:r>
      <w:r w:rsidRPr="0067130C">
        <w:rPr>
          <w:rFonts w:ascii="Book Antiqua" w:eastAsia="Book Antiqua" w:hAnsi="Book Antiqua" w:cs="Book Antiqua"/>
          <w:color w:val="000000"/>
        </w:rPr>
        <w:t>: e76462 [PMID: 24098507 DOI: 10.1371/journal.pone.0076462]</w:t>
      </w:r>
    </w:p>
    <w:p w14:paraId="6D038D11"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86 </w:t>
      </w:r>
      <w:r w:rsidRPr="0067130C">
        <w:rPr>
          <w:rFonts w:ascii="Book Antiqua" w:eastAsia="Book Antiqua" w:hAnsi="Book Antiqua" w:cs="Book Antiqua"/>
          <w:b/>
          <w:bCs/>
          <w:color w:val="000000"/>
        </w:rPr>
        <w:t>Fossmark R</w:t>
      </w:r>
      <w:r w:rsidRPr="0067130C">
        <w:rPr>
          <w:rFonts w:ascii="Book Antiqua" w:eastAsia="Book Antiqua" w:hAnsi="Book Antiqua" w:cs="Book Antiqua"/>
          <w:color w:val="000000"/>
        </w:rPr>
        <w:t xml:space="preserve">, Sørdal Ø, Jianu CS, Qvigstad G, Nordrum IS, Boyce M, Waldum HL. Treatment of gastric carcinoids type 1 with the gastrin receptor antagonist netazepide (YF476) results in regression of tumours and normalisation of serum chromogranin A. </w:t>
      </w:r>
      <w:r w:rsidRPr="0067130C">
        <w:rPr>
          <w:rFonts w:ascii="Book Antiqua" w:eastAsia="Book Antiqua" w:hAnsi="Book Antiqua" w:cs="Book Antiqua"/>
          <w:i/>
          <w:iCs/>
          <w:color w:val="000000"/>
        </w:rPr>
        <w:t>Aliment Pharmacol Ther</w:t>
      </w:r>
      <w:r w:rsidRPr="0067130C">
        <w:rPr>
          <w:rFonts w:ascii="Book Antiqua" w:eastAsia="Book Antiqua" w:hAnsi="Book Antiqua" w:cs="Book Antiqua"/>
          <w:color w:val="000000"/>
        </w:rPr>
        <w:t xml:space="preserve"> 2012; </w:t>
      </w:r>
      <w:r w:rsidRPr="0067130C">
        <w:rPr>
          <w:rFonts w:ascii="Book Antiqua" w:eastAsia="Book Antiqua" w:hAnsi="Book Antiqua" w:cs="Book Antiqua"/>
          <w:b/>
          <w:bCs/>
          <w:color w:val="000000"/>
        </w:rPr>
        <w:t>36</w:t>
      </w:r>
      <w:r w:rsidRPr="0067130C">
        <w:rPr>
          <w:rFonts w:ascii="Book Antiqua" w:eastAsia="Book Antiqua" w:hAnsi="Book Antiqua" w:cs="Book Antiqua"/>
          <w:color w:val="000000"/>
        </w:rPr>
        <w:t>: 1067-1075 [PMID: 23072686 DOI: 10.1111/apt.12090]</w:t>
      </w:r>
    </w:p>
    <w:p w14:paraId="3C47B75E"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87 </w:t>
      </w:r>
      <w:r w:rsidRPr="0067130C">
        <w:rPr>
          <w:rFonts w:ascii="Book Antiqua" w:eastAsia="Book Antiqua" w:hAnsi="Book Antiqua" w:cs="Book Antiqua"/>
          <w:b/>
          <w:bCs/>
          <w:color w:val="000000"/>
        </w:rPr>
        <w:t>Boyce M</w:t>
      </w:r>
      <w:r w:rsidRPr="0067130C">
        <w:rPr>
          <w:rFonts w:ascii="Book Antiqua" w:eastAsia="Book Antiqua" w:hAnsi="Book Antiqua" w:cs="Book Antiqua"/>
          <w:color w:val="000000"/>
        </w:rPr>
        <w:t xml:space="preserve">, Moore AR, Sagatun L, Parsons BN, Varro A, Campbell F, Fossmark R, Waldum HL, Pritchard DM. Netazepide, a gastrin/cholecystokinin-2 receptor antagonist, can eradicate gastric neuroendocrine tumours in patients with autoimmune chronic atrophic gastritis. </w:t>
      </w:r>
      <w:r w:rsidRPr="0067130C">
        <w:rPr>
          <w:rFonts w:ascii="Book Antiqua" w:eastAsia="Book Antiqua" w:hAnsi="Book Antiqua" w:cs="Book Antiqua"/>
          <w:i/>
          <w:iCs/>
          <w:color w:val="000000"/>
        </w:rPr>
        <w:t>Br J Clin Pharmacol</w:t>
      </w:r>
      <w:r w:rsidRPr="0067130C">
        <w:rPr>
          <w:rFonts w:ascii="Book Antiqua" w:eastAsia="Book Antiqua" w:hAnsi="Book Antiqua" w:cs="Book Antiqua"/>
          <w:color w:val="000000"/>
        </w:rPr>
        <w:t xml:space="preserve"> 2017; </w:t>
      </w:r>
      <w:r w:rsidRPr="0067130C">
        <w:rPr>
          <w:rFonts w:ascii="Book Antiqua" w:eastAsia="Book Antiqua" w:hAnsi="Book Antiqua" w:cs="Book Antiqua"/>
          <w:b/>
          <w:bCs/>
          <w:color w:val="000000"/>
        </w:rPr>
        <w:t>83</w:t>
      </w:r>
      <w:r w:rsidRPr="0067130C">
        <w:rPr>
          <w:rFonts w:ascii="Book Antiqua" w:eastAsia="Book Antiqua" w:hAnsi="Book Antiqua" w:cs="Book Antiqua"/>
          <w:color w:val="000000"/>
        </w:rPr>
        <w:t>: 466-475 [PMID: 27704617 DOI: 10.1111/bcp.13146]</w:t>
      </w:r>
    </w:p>
    <w:p w14:paraId="26526419"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88 </w:t>
      </w:r>
      <w:r w:rsidRPr="0067130C">
        <w:rPr>
          <w:rFonts w:ascii="Book Antiqua" w:eastAsia="Book Antiqua" w:hAnsi="Book Antiqua" w:cs="Book Antiqua"/>
          <w:b/>
          <w:bCs/>
          <w:color w:val="000000"/>
        </w:rPr>
        <w:t>Lloyd KA</w:t>
      </w:r>
      <w:r w:rsidRPr="0067130C">
        <w:rPr>
          <w:rFonts w:ascii="Book Antiqua" w:eastAsia="Book Antiqua" w:hAnsi="Book Antiqua" w:cs="Book Antiqua"/>
          <w:color w:val="000000"/>
        </w:rPr>
        <w:t xml:space="preserve">, Parsons BN, Burkitt MD, Moore AR, Papoutsopoulou S, Boyce M, Duckworth CA, Exarchou K, Howes N, Rainbow L, Fang Y, Oxvig C, Dodd S, Varro A, Hall N, Pritchard DM. Netazepide Inhibits Expression of Pappalysin 2 in Type 1 Gastric Neuroendocrine Tumors. </w:t>
      </w:r>
      <w:r w:rsidRPr="0067130C">
        <w:rPr>
          <w:rFonts w:ascii="Book Antiqua" w:eastAsia="Book Antiqua" w:hAnsi="Book Antiqua" w:cs="Book Antiqua"/>
          <w:i/>
          <w:iCs/>
          <w:color w:val="000000"/>
        </w:rPr>
        <w:t>Cell Mol Gastroenterol Hepatol</w:t>
      </w:r>
      <w:r w:rsidRPr="0067130C">
        <w:rPr>
          <w:rFonts w:ascii="Book Antiqua" w:eastAsia="Book Antiqua" w:hAnsi="Book Antiqua" w:cs="Book Antiqua"/>
          <w:color w:val="000000"/>
        </w:rPr>
        <w:t xml:space="preserve"> 2020; </w:t>
      </w:r>
      <w:r w:rsidRPr="0067130C">
        <w:rPr>
          <w:rFonts w:ascii="Book Antiqua" w:eastAsia="Book Antiqua" w:hAnsi="Book Antiqua" w:cs="Book Antiqua"/>
          <w:b/>
          <w:bCs/>
          <w:color w:val="000000"/>
        </w:rPr>
        <w:t>10</w:t>
      </w:r>
      <w:r w:rsidRPr="0067130C">
        <w:rPr>
          <w:rFonts w:ascii="Book Antiqua" w:eastAsia="Book Antiqua" w:hAnsi="Book Antiqua" w:cs="Book Antiqua"/>
          <w:color w:val="000000"/>
        </w:rPr>
        <w:t>: 113-132 [PMID: 32004755 DOI: 10.1016/j.jcmgh.2020.01.010]</w:t>
      </w:r>
    </w:p>
    <w:p w14:paraId="41D6C97B"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89 </w:t>
      </w:r>
      <w:r w:rsidRPr="0067130C">
        <w:rPr>
          <w:rFonts w:ascii="Book Antiqua" w:eastAsia="Book Antiqua" w:hAnsi="Book Antiqua" w:cs="Book Antiqua"/>
          <w:b/>
          <w:bCs/>
          <w:color w:val="000000"/>
        </w:rPr>
        <w:t>Kwon YH</w:t>
      </w:r>
      <w:r w:rsidRPr="0067130C">
        <w:rPr>
          <w:rFonts w:ascii="Book Antiqua" w:eastAsia="Book Antiqua" w:hAnsi="Book Antiqua" w:cs="Book Antiqua"/>
          <w:color w:val="000000"/>
        </w:rPr>
        <w:t xml:space="preserve">, Jeon SW, Kim GH, Kim JI, Chung IK, Jee SR, Kim HU, Seo GS, Baik GH, Choi KD, Moon JS. Long-term follow up of endoscopic resection for type 3 gastric NET. </w:t>
      </w:r>
      <w:r w:rsidRPr="0067130C">
        <w:rPr>
          <w:rFonts w:ascii="Book Antiqua" w:eastAsia="Book Antiqua" w:hAnsi="Book Antiqua" w:cs="Book Antiqua"/>
          <w:i/>
          <w:iCs/>
          <w:color w:val="000000"/>
        </w:rPr>
        <w:t>World J Gastroenterol</w:t>
      </w:r>
      <w:r w:rsidRPr="0067130C">
        <w:rPr>
          <w:rFonts w:ascii="Book Antiqua" w:eastAsia="Book Antiqua" w:hAnsi="Book Antiqua" w:cs="Book Antiqua"/>
          <w:color w:val="000000"/>
        </w:rPr>
        <w:t xml:space="preserve"> 2013; </w:t>
      </w:r>
      <w:r w:rsidRPr="0067130C">
        <w:rPr>
          <w:rFonts w:ascii="Book Antiqua" w:eastAsia="Book Antiqua" w:hAnsi="Book Antiqua" w:cs="Book Antiqua"/>
          <w:b/>
          <w:bCs/>
          <w:color w:val="000000"/>
        </w:rPr>
        <w:t>19</w:t>
      </w:r>
      <w:r w:rsidRPr="0067130C">
        <w:rPr>
          <w:rFonts w:ascii="Book Antiqua" w:eastAsia="Book Antiqua" w:hAnsi="Book Antiqua" w:cs="Book Antiqua"/>
          <w:color w:val="000000"/>
        </w:rPr>
        <w:t>: 8703-8708 [PMID: 24379589 DOI: 10.3748/wjg.v19.i46.8703]</w:t>
      </w:r>
    </w:p>
    <w:p w14:paraId="67FC4893"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90 </w:t>
      </w:r>
      <w:r w:rsidRPr="0067130C">
        <w:rPr>
          <w:rFonts w:ascii="Book Antiqua" w:eastAsia="Book Antiqua" w:hAnsi="Book Antiqua" w:cs="Book Antiqua"/>
          <w:b/>
          <w:bCs/>
          <w:color w:val="000000"/>
        </w:rPr>
        <w:t>Pavel M</w:t>
      </w:r>
      <w:r w:rsidRPr="0067130C">
        <w:rPr>
          <w:rFonts w:ascii="Book Antiqua" w:eastAsia="Book Antiqua" w:hAnsi="Book Antiqua" w:cs="Book Antiqua"/>
          <w:color w:val="000000"/>
        </w:rPr>
        <w:t xml:space="preserve">, Baudin E, Couvelard A, Krenning E, Öberg K, Steinmüller T, Anlauf M, Wiedenmann B, Salazar R; Barcelona Consensus Conference participants. ENETS Consensus Guidelines for the management of patients with liver and other distant metastases from neuroendocrine neoplasms of foregut, midgut, hindgut, and unknown primary. </w:t>
      </w:r>
      <w:r w:rsidRPr="0067130C">
        <w:rPr>
          <w:rFonts w:ascii="Book Antiqua" w:eastAsia="Book Antiqua" w:hAnsi="Book Antiqua" w:cs="Book Antiqua"/>
          <w:i/>
          <w:iCs/>
          <w:color w:val="000000"/>
        </w:rPr>
        <w:t>Neuroendocrinology</w:t>
      </w:r>
      <w:r w:rsidRPr="0067130C">
        <w:rPr>
          <w:rFonts w:ascii="Book Antiqua" w:eastAsia="Book Antiqua" w:hAnsi="Book Antiqua" w:cs="Book Antiqua"/>
          <w:color w:val="000000"/>
        </w:rPr>
        <w:t xml:space="preserve"> 2012; </w:t>
      </w:r>
      <w:r w:rsidRPr="0067130C">
        <w:rPr>
          <w:rFonts w:ascii="Book Antiqua" w:eastAsia="Book Antiqua" w:hAnsi="Book Antiqua" w:cs="Book Antiqua"/>
          <w:b/>
          <w:bCs/>
          <w:color w:val="000000"/>
        </w:rPr>
        <w:t>95</w:t>
      </w:r>
      <w:r w:rsidRPr="0067130C">
        <w:rPr>
          <w:rFonts w:ascii="Book Antiqua" w:eastAsia="Book Antiqua" w:hAnsi="Book Antiqua" w:cs="Book Antiqua"/>
          <w:color w:val="000000"/>
        </w:rPr>
        <w:t>: 157-176 [PMID: 22262022 DOI: 10.1159/000335597]</w:t>
      </w:r>
    </w:p>
    <w:p w14:paraId="547927E3"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91 </w:t>
      </w:r>
      <w:r w:rsidRPr="0067130C">
        <w:rPr>
          <w:rFonts w:ascii="Book Antiqua" w:eastAsia="Book Antiqua" w:hAnsi="Book Antiqua" w:cs="Book Antiqua"/>
          <w:b/>
          <w:bCs/>
          <w:color w:val="000000"/>
        </w:rPr>
        <w:t>Tierney JF</w:t>
      </w:r>
      <w:r w:rsidRPr="0067130C">
        <w:rPr>
          <w:rFonts w:ascii="Book Antiqua" w:eastAsia="Book Antiqua" w:hAnsi="Book Antiqua" w:cs="Book Antiqua"/>
          <w:color w:val="000000"/>
        </w:rPr>
        <w:t xml:space="preserve">, Chivukula SV, Wang X, Pappas SG, Schadde E, Hertl M, Poirier J, Keutgen XM. Resection of primary tumor may prolong survival in metastatic gastroenteropancreatic neuroendocrine tumors. </w:t>
      </w:r>
      <w:r w:rsidRPr="0067130C">
        <w:rPr>
          <w:rFonts w:ascii="Book Antiqua" w:eastAsia="Book Antiqua" w:hAnsi="Book Antiqua" w:cs="Book Antiqua"/>
          <w:i/>
          <w:iCs/>
          <w:color w:val="000000"/>
        </w:rPr>
        <w:t>Surgery</w:t>
      </w:r>
      <w:r w:rsidRPr="0067130C">
        <w:rPr>
          <w:rFonts w:ascii="Book Antiqua" w:eastAsia="Book Antiqua" w:hAnsi="Book Antiqua" w:cs="Book Antiqua"/>
          <w:color w:val="000000"/>
        </w:rPr>
        <w:t xml:space="preserve"> 2019; </w:t>
      </w:r>
      <w:r w:rsidRPr="0067130C">
        <w:rPr>
          <w:rFonts w:ascii="Book Antiqua" w:eastAsia="Book Antiqua" w:hAnsi="Book Antiqua" w:cs="Book Antiqua"/>
          <w:b/>
          <w:bCs/>
          <w:color w:val="000000"/>
        </w:rPr>
        <w:t>165</w:t>
      </w:r>
      <w:r w:rsidRPr="0067130C">
        <w:rPr>
          <w:rFonts w:ascii="Book Antiqua" w:eastAsia="Book Antiqua" w:hAnsi="Book Antiqua" w:cs="Book Antiqua"/>
          <w:color w:val="000000"/>
        </w:rPr>
        <w:t>: 644-651 [PMID: 30366604 DOI: 10.1016/j.surg.2018.09.006]</w:t>
      </w:r>
    </w:p>
    <w:p w14:paraId="46FC0C4D"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92 </w:t>
      </w:r>
      <w:r w:rsidRPr="0067130C">
        <w:rPr>
          <w:rFonts w:ascii="Book Antiqua" w:eastAsia="Book Antiqua" w:hAnsi="Book Antiqua" w:cs="Book Antiqua"/>
          <w:b/>
          <w:bCs/>
          <w:color w:val="000000"/>
        </w:rPr>
        <w:t>Tsilimigras DI</w:t>
      </w:r>
      <w:r w:rsidRPr="0067130C">
        <w:rPr>
          <w:rFonts w:ascii="Book Antiqua" w:eastAsia="Book Antiqua" w:hAnsi="Book Antiqua" w:cs="Book Antiqua"/>
          <w:color w:val="000000"/>
        </w:rPr>
        <w:t xml:space="preserve">, Hyer JM, Paredes AZ, Ejaz A, Cloyd JM, Beane JD, Dillhoff M, Tsung A, Pawlik TM. Resection of Primary Gastrointestinal Neuroendocrine Tumor Among Patients with Non-Resected Metastases Is Associated with Improved Survival: A SEER-Medicare Analysis. </w:t>
      </w:r>
      <w:r w:rsidRPr="0067130C">
        <w:rPr>
          <w:rFonts w:ascii="Book Antiqua" w:eastAsia="Book Antiqua" w:hAnsi="Book Antiqua" w:cs="Book Antiqua"/>
          <w:i/>
          <w:iCs/>
          <w:color w:val="000000"/>
        </w:rPr>
        <w:t>J Gastrointest Surg</w:t>
      </w:r>
      <w:r w:rsidRPr="0067130C">
        <w:rPr>
          <w:rFonts w:ascii="Book Antiqua" w:eastAsia="Book Antiqua" w:hAnsi="Book Antiqua" w:cs="Book Antiqua"/>
          <w:color w:val="000000"/>
        </w:rPr>
        <w:t xml:space="preserve"> 2021 [PMID: 33403563 DOI: 10.1007/s11605-020-04898-8]</w:t>
      </w:r>
    </w:p>
    <w:p w14:paraId="4E70C1D6"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93 </w:t>
      </w:r>
      <w:r w:rsidRPr="0067130C">
        <w:rPr>
          <w:rFonts w:ascii="Book Antiqua" w:eastAsia="Book Antiqua" w:hAnsi="Book Antiqua" w:cs="Book Antiqua"/>
          <w:b/>
          <w:bCs/>
          <w:color w:val="000000"/>
        </w:rPr>
        <w:t>Lewis A</w:t>
      </w:r>
      <w:r w:rsidRPr="0067130C">
        <w:rPr>
          <w:rFonts w:ascii="Book Antiqua" w:eastAsia="Book Antiqua" w:hAnsi="Book Antiqua" w:cs="Book Antiqua"/>
          <w:color w:val="000000"/>
        </w:rPr>
        <w:t xml:space="preserve">, Raoof M, Ituarte PHG, Williams J, Melstrom L, Li D, Lee B, Singh G. Resection of the Primary Gastrointestinal Neuroendocrine Tumor Improves Survival With or Without Liver Treatment. </w:t>
      </w:r>
      <w:r w:rsidRPr="0067130C">
        <w:rPr>
          <w:rFonts w:ascii="Book Antiqua" w:eastAsia="Book Antiqua" w:hAnsi="Book Antiqua" w:cs="Book Antiqua"/>
          <w:i/>
          <w:iCs/>
          <w:color w:val="000000"/>
        </w:rPr>
        <w:t>Ann Surg</w:t>
      </w:r>
      <w:r w:rsidRPr="0067130C">
        <w:rPr>
          <w:rFonts w:ascii="Book Antiqua" w:eastAsia="Book Antiqua" w:hAnsi="Book Antiqua" w:cs="Book Antiqua"/>
          <w:color w:val="000000"/>
        </w:rPr>
        <w:t xml:space="preserve"> 2019; </w:t>
      </w:r>
      <w:r w:rsidRPr="0067130C">
        <w:rPr>
          <w:rFonts w:ascii="Book Antiqua" w:eastAsia="Book Antiqua" w:hAnsi="Book Antiqua" w:cs="Book Antiqua"/>
          <w:b/>
          <w:bCs/>
          <w:color w:val="000000"/>
        </w:rPr>
        <w:t>270</w:t>
      </w:r>
      <w:r w:rsidRPr="0067130C">
        <w:rPr>
          <w:rFonts w:ascii="Book Antiqua" w:eastAsia="Book Antiqua" w:hAnsi="Book Antiqua" w:cs="Book Antiqua"/>
          <w:color w:val="000000"/>
        </w:rPr>
        <w:t>: 1131-1137 [PMID: 29746336 DOI: 10.1097/SLA.0000000000002809]</w:t>
      </w:r>
    </w:p>
    <w:p w14:paraId="56C8FCBE"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94 </w:t>
      </w:r>
      <w:r w:rsidRPr="0067130C">
        <w:rPr>
          <w:rFonts w:ascii="Book Antiqua" w:eastAsia="Book Antiqua" w:hAnsi="Book Antiqua" w:cs="Book Antiqua"/>
          <w:b/>
          <w:bCs/>
          <w:color w:val="000000"/>
        </w:rPr>
        <w:t>Ahlman H</w:t>
      </w:r>
      <w:r w:rsidRPr="0067130C">
        <w:rPr>
          <w:rFonts w:ascii="Book Antiqua" w:eastAsia="Book Antiqua" w:hAnsi="Book Antiqua" w:cs="Book Antiqua"/>
          <w:color w:val="000000"/>
        </w:rPr>
        <w:t xml:space="preserve">, Friman S, Cahlin C, Nilsson O, Jansson S, Wängberg B, Olausson M. Liver transplantation for treatment of metastatic neuroendocrine tumors. </w:t>
      </w:r>
      <w:r w:rsidRPr="0067130C">
        <w:rPr>
          <w:rFonts w:ascii="Book Antiqua" w:eastAsia="Book Antiqua" w:hAnsi="Book Antiqua" w:cs="Book Antiqua"/>
          <w:i/>
          <w:iCs/>
          <w:color w:val="000000"/>
        </w:rPr>
        <w:t>Ann N Y Acad Sci</w:t>
      </w:r>
      <w:r w:rsidRPr="0067130C">
        <w:rPr>
          <w:rFonts w:ascii="Book Antiqua" w:eastAsia="Book Antiqua" w:hAnsi="Book Antiqua" w:cs="Book Antiqua"/>
          <w:color w:val="000000"/>
        </w:rPr>
        <w:t xml:space="preserve"> 2004; </w:t>
      </w:r>
      <w:r w:rsidRPr="0067130C">
        <w:rPr>
          <w:rFonts w:ascii="Book Antiqua" w:eastAsia="Book Antiqua" w:hAnsi="Book Antiqua" w:cs="Book Antiqua"/>
          <w:b/>
          <w:bCs/>
          <w:color w:val="000000"/>
        </w:rPr>
        <w:t>1014</w:t>
      </w:r>
      <w:r w:rsidRPr="0067130C">
        <w:rPr>
          <w:rFonts w:ascii="Book Antiqua" w:eastAsia="Book Antiqua" w:hAnsi="Book Antiqua" w:cs="Book Antiqua"/>
          <w:color w:val="000000"/>
        </w:rPr>
        <w:t>: 265-269 [PMID: 15153443 DOI: 10.1196/annals.1294.029]</w:t>
      </w:r>
    </w:p>
    <w:p w14:paraId="7794E23B"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95 </w:t>
      </w:r>
      <w:r w:rsidRPr="0067130C">
        <w:rPr>
          <w:rFonts w:ascii="Book Antiqua" w:eastAsia="Book Antiqua" w:hAnsi="Book Antiqua" w:cs="Book Antiqua"/>
          <w:b/>
          <w:bCs/>
          <w:color w:val="000000"/>
        </w:rPr>
        <w:t>Fan ST</w:t>
      </w:r>
      <w:r w:rsidRPr="0067130C">
        <w:rPr>
          <w:rFonts w:ascii="Book Antiqua" w:eastAsia="Book Antiqua" w:hAnsi="Book Antiqua" w:cs="Book Antiqua"/>
          <w:color w:val="000000"/>
        </w:rPr>
        <w:t xml:space="preserve">, Le Treut YP, Mazzaferro V, Burroughs AK, Olausson M, Breitenstein S, Frilling A. Liver transplantation for neuroendocrine tumour liver metastases. </w:t>
      </w:r>
      <w:r w:rsidRPr="0067130C">
        <w:rPr>
          <w:rFonts w:ascii="Book Antiqua" w:eastAsia="Book Antiqua" w:hAnsi="Book Antiqua" w:cs="Book Antiqua"/>
          <w:i/>
          <w:iCs/>
          <w:color w:val="000000"/>
        </w:rPr>
        <w:t>HPB (Oxford)</w:t>
      </w:r>
      <w:r w:rsidRPr="0067130C">
        <w:rPr>
          <w:rFonts w:ascii="Book Antiqua" w:eastAsia="Book Antiqua" w:hAnsi="Book Antiqua" w:cs="Book Antiqua"/>
          <w:color w:val="000000"/>
        </w:rPr>
        <w:t xml:space="preserve"> 2015; </w:t>
      </w:r>
      <w:r w:rsidRPr="0067130C">
        <w:rPr>
          <w:rFonts w:ascii="Book Antiqua" w:eastAsia="Book Antiqua" w:hAnsi="Book Antiqua" w:cs="Book Antiqua"/>
          <w:b/>
          <w:bCs/>
          <w:color w:val="000000"/>
        </w:rPr>
        <w:t>17</w:t>
      </w:r>
      <w:r w:rsidRPr="0067130C">
        <w:rPr>
          <w:rFonts w:ascii="Book Antiqua" w:eastAsia="Book Antiqua" w:hAnsi="Book Antiqua" w:cs="Book Antiqua"/>
          <w:color w:val="000000"/>
        </w:rPr>
        <w:t>: 23-28 [PMID: 24992381 DOI: 10.1111/hpb.12308]</w:t>
      </w:r>
    </w:p>
    <w:p w14:paraId="25B7F024"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96 </w:t>
      </w:r>
      <w:r w:rsidRPr="0067130C">
        <w:rPr>
          <w:rFonts w:ascii="Book Antiqua" w:eastAsia="Book Antiqua" w:hAnsi="Book Antiqua" w:cs="Book Antiqua"/>
          <w:b/>
          <w:bCs/>
          <w:color w:val="000000"/>
        </w:rPr>
        <w:t>Egger ME</w:t>
      </w:r>
      <w:r w:rsidRPr="0067130C">
        <w:rPr>
          <w:rFonts w:ascii="Book Antiqua" w:eastAsia="Book Antiqua" w:hAnsi="Book Antiqua" w:cs="Book Antiqua"/>
          <w:color w:val="000000"/>
        </w:rPr>
        <w:t xml:space="preserve">, Armstrong E, Martin RC 2nd, Scoggins CR, Philips P, Shah M, Konda B, Dillhoff M, Pawlik TM, Cloyd JM. Transarterial Chemoembolization </w:t>
      </w:r>
      <w:r w:rsidRPr="0067130C">
        <w:rPr>
          <w:rFonts w:ascii="Book Antiqua" w:eastAsia="Book Antiqua" w:hAnsi="Book Antiqua" w:cs="Book Antiqua"/>
          <w:i/>
          <w:iCs/>
          <w:color w:val="000000"/>
        </w:rPr>
        <w:t>vs</w:t>
      </w:r>
      <w:r w:rsidRPr="0067130C">
        <w:rPr>
          <w:rFonts w:ascii="Book Antiqua" w:eastAsia="Book Antiqua" w:hAnsi="Book Antiqua" w:cs="Book Antiqua"/>
          <w:color w:val="000000"/>
        </w:rPr>
        <w:t xml:space="preserve"> Radioembolization for Neuroendocrine Liver Metastases: A Multi-Institutional Analysis. </w:t>
      </w:r>
      <w:r w:rsidRPr="0067130C">
        <w:rPr>
          <w:rFonts w:ascii="Book Antiqua" w:eastAsia="Book Antiqua" w:hAnsi="Book Antiqua" w:cs="Book Antiqua"/>
          <w:i/>
          <w:iCs/>
          <w:color w:val="000000"/>
        </w:rPr>
        <w:t>J Am Coll Surg</w:t>
      </w:r>
      <w:r w:rsidRPr="0067130C">
        <w:rPr>
          <w:rFonts w:ascii="Book Antiqua" w:eastAsia="Book Antiqua" w:hAnsi="Book Antiqua" w:cs="Book Antiqua"/>
          <w:color w:val="000000"/>
        </w:rPr>
        <w:t xml:space="preserve"> 2020; </w:t>
      </w:r>
      <w:r w:rsidRPr="0067130C">
        <w:rPr>
          <w:rFonts w:ascii="Book Antiqua" w:eastAsia="Book Antiqua" w:hAnsi="Book Antiqua" w:cs="Book Antiqua"/>
          <w:b/>
          <w:bCs/>
          <w:color w:val="000000"/>
        </w:rPr>
        <w:t>230</w:t>
      </w:r>
      <w:r w:rsidRPr="0067130C">
        <w:rPr>
          <w:rFonts w:ascii="Book Antiqua" w:eastAsia="Book Antiqua" w:hAnsi="Book Antiqua" w:cs="Book Antiqua"/>
          <w:color w:val="000000"/>
        </w:rPr>
        <w:t>: 363-370 [PMID: 32032719 DOI: 10.1016/j.jamcollsurg.2019.12.026]</w:t>
      </w:r>
    </w:p>
    <w:p w14:paraId="1C844E8D"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97 </w:t>
      </w:r>
      <w:r w:rsidRPr="0067130C">
        <w:rPr>
          <w:rFonts w:ascii="Book Antiqua" w:eastAsia="Book Antiqua" w:hAnsi="Book Antiqua" w:cs="Book Antiqua"/>
          <w:b/>
          <w:bCs/>
          <w:color w:val="000000"/>
        </w:rPr>
        <w:t>Okita NT</w:t>
      </w:r>
      <w:r w:rsidRPr="0067130C">
        <w:rPr>
          <w:rFonts w:ascii="Book Antiqua" w:eastAsia="Book Antiqua" w:hAnsi="Book Antiqua" w:cs="Book Antiqua"/>
          <w:color w:val="000000"/>
        </w:rPr>
        <w:t xml:space="preserve">, Kato K, Takahari D, Hirashima Y, Nakajima TE, Matsubara J, Hamaguchi T, Yamada Y, Shimada Y, Taniguchi H, Shirao K. Neuroendocrine tumors of the stomach: chemotherapy with cisplatin plus irinotecan is effective for gastric poorly-differentiated neuroendocrine carcinoma. </w:t>
      </w:r>
      <w:r w:rsidRPr="0067130C">
        <w:rPr>
          <w:rFonts w:ascii="Book Antiqua" w:eastAsia="Book Antiqua" w:hAnsi="Book Antiqua" w:cs="Book Antiqua"/>
          <w:i/>
          <w:iCs/>
          <w:color w:val="000000"/>
        </w:rPr>
        <w:t>Gastric Cancer</w:t>
      </w:r>
      <w:r w:rsidRPr="0067130C">
        <w:rPr>
          <w:rFonts w:ascii="Book Antiqua" w:eastAsia="Book Antiqua" w:hAnsi="Book Antiqua" w:cs="Book Antiqua"/>
          <w:color w:val="000000"/>
        </w:rPr>
        <w:t xml:space="preserve"> 2011; </w:t>
      </w:r>
      <w:r w:rsidRPr="0067130C">
        <w:rPr>
          <w:rFonts w:ascii="Book Antiqua" w:eastAsia="Book Antiqua" w:hAnsi="Book Antiqua" w:cs="Book Antiqua"/>
          <w:b/>
          <w:bCs/>
          <w:color w:val="000000"/>
        </w:rPr>
        <w:t>14</w:t>
      </w:r>
      <w:r w:rsidRPr="0067130C">
        <w:rPr>
          <w:rFonts w:ascii="Book Antiqua" w:eastAsia="Book Antiqua" w:hAnsi="Book Antiqua" w:cs="Book Antiqua"/>
          <w:color w:val="000000"/>
        </w:rPr>
        <w:t>: 161-165 [PMID: 21327441 DOI: 10.1007/s10120-011-0025-5]</w:t>
      </w:r>
    </w:p>
    <w:p w14:paraId="1AC636EA"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98 </w:t>
      </w:r>
      <w:r w:rsidRPr="0067130C">
        <w:rPr>
          <w:rFonts w:ascii="Book Antiqua" w:eastAsia="Book Antiqua" w:hAnsi="Book Antiqua" w:cs="Book Antiqua"/>
          <w:b/>
          <w:bCs/>
          <w:color w:val="000000"/>
        </w:rPr>
        <w:t>Strosberg J</w:t>
      </w:r>
      <w:r w:rsidRPr="0067130C">
        <w:rPr>
          <w:rFonts w:ascii="Book Antiqua" w:eastAsia="Book Antiqua" w:hAnsi="Book Antiqua" w:cs="Book Antiqua"/>
          <w:color w:val="000000"/>
        </w:rPr>
        <w:t xml:space="preserve">, El-Haddad G, Wolin E, Hendifar A, Yao J, Chasen B, Mittra E, Kunz PL, Kulke MH, Jacene H, Bushnell D, O'Dorisio TM, Baum RP, Kulkarni HR, Caplin M, Lebtahi R, Hobday T, Delpassand E, Van Cutsem E, Benson A, Srirajaskanthan R, Pavel M, Mora J, Berlin J, Grande E, Reed N, Seregni E, Öberg K, Lopera Sierra M, Santoro P, Thevenet T, Erion JL, Ruszniewski P, Kwekkeboom D, Krenning E; NETTER-1 Trial Investigators. Phase 3 Trial of </w:t>
      </w:r>
      <w:r w:rsidRPr="0067130C">
        <w:rPr>
          <w:rFonts w:ascii="Book Antiqua" w:eastAsia="Book Antiqua" w:hAnsi="Book Antiqua" w:cs="Book Antiqua"/>
          <w:color w:val="000000"/>
          <w:szCs w:val="30"/>
          <w:vertAlign w:val="superscript"/>
        </w:rPr>
        <w:t>177</w:t>
      </w:r>
      <w:r w:rsidRPr="0067130C">
        <w:rPr>
          <w:rFonts w:ascii="Book Antiqua" w:eastAsia="Book Antiqua" w:hAnsi="Book Antiqua" w:cs="Book Antiqua"/>
          <w:color w:val="000000"/>
        </w:rPr>
        <w:t xml:space="preserve">Lu-Dotatate for Midgut Neuroendocrine Tumors. </w:t>
      </w:r>
      <w:r w:rsidRPr="0067130C">
        <w:rPr>
          <w:rFonts w:ascii="Book Antiqua" w:eastAsia="Book Antiqua" w:hAnsi="Book Antiqua" w:cs="Book Antiqua"/>
          <w:i/>
          <w:iCs/>
          <w:color w:val="000000"/>
        </w:rPr>
        <w:t>N Engl J Med</w:t>
      </w:r>
      <w:r w:rsidRPr="0067130C">
        <w:rPr>
          <w:rFonts w:ascii="Book Antiqua" w:eastAsia="Book Antiqua" w:hAnsi="Book Antiqua" w:cs="Book Antiqua"/>
          <w:color w:val="000000"/>
        </w:rPr>
        <w:t xml:space="preserve"> 2017; </w:t>
      </w:r>
      <w:r w:rsidRPr="0067130C">
        <w:rPr>
          <w:rFonts w:ascii="Book Antiqua" w:eastAsia="Book Antiqua" w:hAnsi="Book Antiqua" w:cs="Book Antiqua"/>
          <w:b/>
          <w:bCs/>
          <w:color w:val="000000"/>
        </w:rPr>
        <w:t>376</w:t>
      </w:r>
      <w:r w:rsidRPr="0067130C">
        <w:rPr>
          <w:rFonts w:ascii="Book Antiqua" w:eastAsia="Book Antiqua" w:hAnsi="Book Antiqua" w:cs="Book Antiqua"/>
          <w:color w:val="000000"/>
        </w:rPr>
        <w:t>: 125-135 [PMID: 28076709 DOI: 10.1056/NEJMoa1607427]</w:t>
      </w:r>
    </w:p>
    <w:p w14:paraId="4135719F"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99 </w:t>
      </w:r>
      <w:r w:rsidRPr="0067130C">
        <w:rPr>
          <w:rFonts w:ascii="Book Antiqua" w:eastAsia="Book Antiqua" w:hAnsi="Book Antiqua" w:cs="Book Antiqua"/>
          <w:b/>
          <w:bCs/>
          <w:color w:val="000000"/>
        </w:rPr>
        <w:t>Carlsen EA</w:t>
      </w:r>
      <w:r w:rsidRPr="0067130C">
        <w:rPr>
          <w:rFonts w:ascii="Book Antiqua" w:eastAsia="Book Antiqua" w:hAnsi="Book Antiqua" w:cs="Book Antiqua"/>
          <w:color w:val="000000"/>
        </w:rPr>
        <w:t xml:space="preserve">, Fazio N, Granberg D, Grozinsky-Glasberg S, Ahmadzadehfar H, Grana CM, Zandee WT, Cwikla J, Walter MA, Oturai PS, Rinke A, Weaver A, Frilling A, Gritti S, Arveschoug AK, Meirovitz A, Knigge U, Sorbye H. Peptide receptor radionuclide therapy in gastroenteropancreatic NEN G3: a multicenter cohort study. </w:t>
      </w:r>
      <w:r w:rsidRPr="0067130C">
        <w:rPr>
          <w:rFonts w:ascii="Book Antiqua" w:eastAsia="Book Antiqua" w:hAnsi="Book Antiqua" w:cs="Book Antiqua"/>
          <w:i/>
          <w:iCs/>
          <w:color w:val="000000"/>
        </w:rPr>
        <w:t>Endocr Relat Cancer</w:t>
      </w:r>
      <w:r w:rsidRPr="0067130C">
        <w:rPr>
          <w:rFonts w:ascii="Book Antiqua" w:eastAsia="Book Antiqua" w:hAnsi="Book Antiqua" w:cs="Book Antiqua"/>
          <w:color w:val="000000"/>
        </w:rPr>
        <w:t xml:space="preserve"> 2019; </w:t>
      </w:r>
      <w:r w:rsidRPr="0067130C">
        <w:rPr>
          <w:rFonts w:ascii="Book Antiqua" w:eastAsia="Book Antiqua" w:hAnsi="Book Antiqua" w:cs="Book Antiqua"/>
          <w:b/>
          <w:bCs/>
          <w:color w:val="000000"/>
        </w:rPr>
        <w:t>26</w:t>
      </w:r>
      <w:r w:rsidRPr="0067130C">
        <w:rPr>
          <w:rFonts w:ascii="Book Antiqua" w:eastAsia="Book Antiqua" w:hAnsi="Book Antiqua" w:cs="Book Antiqua"/>
          <w:color w:val="000000"/>
        </w:rPr>
        <w:t>: 227-239 [PMID: 30540557 DOI: 10.1530/ERC-18-0424]</w:t>
      </w:r>
    </w:p>
    <w:p w14:paraId="3A54A698"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100 </w:t>
      </w:r>
      <w:r w:rsidRPr="0067130C">
        <w:rPr>
          <w:rFonts w:ascii="Book Antiqua" w:eastAsia="Book Antiqua" w:hAnsi="Book Antiqua" w:cs="Book Antiqua"/>
          <w:b/>
          <w:bCs/>
          <w:color w:val="000000"/>
        </w:rPr>
        <w:t>Ravizza D</w:t>
      </w:r>
      <w:r w:rsidRPr="0067130C">
        <w:rPr>
          <w:rFonts w:ascii="Book Antiqua" w:eastAsia="Book Antiqua" w:hAnsi="Book Antiqua" w:cs="Book Antiqua"/>
          <w:color w:val="000000"/>
        </w:rPr>
        <w:t xml:space="preserve">, Fiori G, Trovato C, Fazio N, Bonomo G, Luca F, Bodei L, Pelosi G, Tamayo D, Crosta C. Long-term endoscopic and clinical follow-up of untreated type 1 gastric neuroendocrine tumours. </w:t>
      </w:r>
      <w:r w:rsidRPr="0067130C">
        <w:rPr>
          <w:rFonts w:ascii="Book Antiqua" w:eastAsia="Book Antiqua" w:hAnsi="Book Antiqua" w:cs="Book Antiqua"/>
          <w:i/>
          <w:iCs/>
          <w:color w:val="000000"/>
        </w:rPr>
        <w:t>Dig Liver Dis</w:t>
      </w:r>
      <w:r w:rsidRPr="0067130C">
        <w:rPr>
          <w:rFonts w:ascii="Book Antiqua" w:eastAsia="Book Antiqua" w:hAnsi="Book Antiqua" w:cs="Book Antiqua"/>
          <w:color w:val="000000"/>
        </w:rPr>
        <w:t xml:space="preserve"> 2007; </w:t>
      </w:r>
      <w:r w:rsidRPr="0067130C">
        <w:rPr>
          <w:rFonts w:ascii="Book Antiqua" w:eastAsia="Book Antiqua" w:hAnsi="Book Antiqua" w:cs="Book Antiqua"/>
          <w:b/>
          <w:bCs/>
          <w:color w:val="000000"/>
        </w:rPr>
        <w:t>39</w:t>
      </w:r>
      <w:r w:rsidRPr="0067130C">
        <w:rPr>
          <w:rFonts w:ascii="Book Antiqua" w:eastAsia="Book Antiqua" w:hAnsi="Book Antiqua" w:cs="Book Antiqua"/>
          <w:color w:val="000000"/>
        </w:rPr>
        <w:t>: 537-543 [PMID: 17433795 DOI: 10.1016/j.dld.2007.01.018]</w:t>
      </w:r>
    </w:p>
    <w:p w14:paraId="5C87FA25" w14:textId="77777777" w:rsidR="00A77B3E" w:rsidRPr="0067130C"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101 </w:t>
      </w:r>
      <w:r w:rsidRPr="0067130C">
        <w:rPr>
          <w:rFonts w:ascii="Book Antiqua" w:eastAsia="Book Antiqua" w:hAnsi="Book Antiqua" w:cs="Book Antiqua"/>
          <w:b/>
          <w:bCs/>
          <w:color w:val="000000"/>
        </w:rPr>
        <w:t>Ito T</w:t>
      </w:r>
      <w:r w:rsidRPr="0067130C">
        <w:rPr>
          <w:rFonts w:ascii="Book Antiqua" w:eastAsia="Book Antiqua" w:hAnsi="Book Antiqua" w:cs="Book Antiqua"/>
          <w:color w:val="000000"/>
        </w:rPr>
        <w:t xml:space="preserve">, Igarashi H, Uehara H, Berna MJ, Jensen RT. Causes of death and prognostic factors in multiple endocrine neoplasia type 1: a prospective study: comparison of 106 MEN1/Zollinger-Ellison syndrome patients with 1613 Literature MEN1 patients with or without pancreatic endocrine tumors. </w:t>
      </w:r>
      <w:r w:rsidRPr="0067130C">
        <w:rPr>
          <w:rFonts w:ascii="Book Antiqua" w:eastAsia="Book Antiqua" w:hAnsi="Book Antiqua" w:cs="Book Antiqua"/>
          <w:i/>
          <w:iCs/>
          <w:color w:val="000000"/>
        </w:rPr>
        <w:t>Medicine (Baltimore)</w:t>
      </w:r>
      <w:r w:rsidRPr="0067130C">
        <w:rPr>
          <w:rFonts w:ascii="Book Antiqua" w:eastAsia="Book Antiqua" w:hAnsi="Book Antiqua" w:cs="Book Antiqua"/>
          <w:color w:val="000000"/>
        </w:rPr>
        <w:t xml:space="preserve"> 2013; </w:t>
      </w:r>
      <w:r w:rsidRPr="0067130C">
        <w:rPr>
          <w:rFonts w:ascii="Book Antiqua" w:eastAsia="Book Antiqua" w:hAnsi="Book Antiqua" w:cs="Book Antiqua"/>
          <w:b/>
          <w:bCs/>
          <w:color w:val="000000"/>
        </w:rPr>
        <w:t>92</w:t>
      </w:r>
      <w:r w:rsidRPr="0067130C">
        <w:rPr>
          <w:rFonts w:ascii="Book Antiqua" w:eastAsia="Book Antiqua" w:hAnsi="Book Antiqua" w:cs="Book Antiqua"/>
          <w:color w:val="000000"/>
        </w:rPr>
        <w:t>: 135-181 [PMID: 23645327 DOI: 10.1097/MD.0b013e3182954af1]</w:t>
      </w:r>
    </w:p>
    <w:p w14:paraId="679450FB" w14:textId="77777777" w:rsidR="00A77B3E" w:rsidRDefault="00A27C93" w:rsidP="005A68CD">
      <w:pPr>
        <w:adjustRightInd w:val="0"/>
        <w:snapToGrid w:val="0"/>
        <w:spacing w:line="360" w:lineRule="auto"/>
        <w:jc w:val="both"/>
      </w:pPr>
      <w:r w:rsidRPr="0067130C">
        <w:rPr>
          <w:rFonts w:ascii="Book Antiqua" w:eastAsia="Book Antiqua" w:hAnsi="Book Antiqua" w:cs="Book Antiqua"/>
          <w:color w:val="000000"/>
        </w:rPr>
        <w:t xml:space="preserve">102 </w:t>
      </w:r>
      <w:r w:rsidRPr="0067130C">
        <w:rPr>
          <w:rFonts w:ascii="Book Antiqua" w:eastAsia="Book Antiqua" w:hAnsi="Book Antiqua" w:cs="Book Antiqua"/>
          <w:b/>
          <w:bCs/>
          <w:color w:val="000000"/>
        </w:rPr>
        <w:t>La Rosa S</w:t>
      </w:r>
      <w:r w:rsidRPr="0067130C">
        <w:rPr>
          <w:rFonts w:ascii="Book Antiqua" w:eastAsia="Book Antiqua" w:hAnsi="Book Antiqua" w:cs="Book Antiqua"/>
          <w:color w:val="000000"/>
        </w:rPr>
        <w:t xml:space="preserve">, Inzani F, Vanoli A, Klersy C, Dainese L, Rindi G, Capella C, Bordi C, Solcia E. Histologic characterization and improved prognostic evaluation of 209 gastric neuroendocrine neoplasms. </w:t>
      </w:r>
      <w:r w:rsidRPr="0067130C">
        <w:rPr>
          <w:rFonts w:ascii="Book Antiqua" w:eastAsia="Book Antiqua" w:hAnsi="Book Antiqua" w:cs="Book Antiqua"/>
          <w:i/>
          <w:iCs/>
          <w:color w:val="000000"/>
        </w:rPr>
        <w:t>Hum Pathol</w:t>
      </w:r>
      <w:r w:rsidRPr="0067130C">
        <w:rPr>
          <w:rFonts w:ascii="Book Antiqua" w:eastAsia="Book Antiqua" w:hAnsi="Book Antiqua" w:cs="Book Antiqua"/>
          <w:color w:val="000000"/>
        </w:rPr>
        <w:t xml:space="preserve"> 2011; </w:t>
      </w:r>
      <w:r w:rsidRPr="0067130C">
        <w:rPr>
          <w:rFonts w:ascii="Book Antiqua" w:eastAsia="Book Antiqua" w:hAnsi="Book Antiqua" w:cs="Book Antiqua"/>
          <w:b/>
          <w:bCs/>
          <w:color w:val="000000"/>
        </w:rPr>
        <w:t>42</w:t>
      </w:r>
      <w:r w:rsidRPr="0067130C">
        <w:rPr>
          <w:rFonts w:ascii="Book Antiqua" w:eastAsia="Book Antiqua" w:hAnsi="Book Antiqua" w:cs="Book Antiqua"/>
          <w:color w:val="000000"/>
        </w:rPr>
        <w:t>: 1373-1384 [PMID: 21531442 DOI: 10.1016/j.humpath.2011.01.018]</w:t>
      </w:r>
    </w:p>
    <w:p w14:paraId="3FF38A78" w14:textId="77777777" w:rsidR="00A77B3E" w:rsidRDefault="00A77B3E" w:rsidP="005A68CD">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7D13FCE6"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Footnotes</w:t>
      </w:r>
    </w:p>
    <w:p w14:paraId="02DA058F" w14:textId="102869E0"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r w:rsidR="00BC0540">
        <w:rPr>
          <w:rFonts w:ascii="Book Antiqua" w:eastAsia="Book Antiqua" w:hAnsi="Book Antiqua" w:cs="Book Antiqua"/>
          <w:color w:val="000000"/>
        </w:rPr>
        <w:t>.</w:t>
      </w:r>
    </w:p>
    <w:p w14:paraId="0113F820" w14:textId="77777777" w:rsidR="00A77B3E" w:rsidRDefault="00A77B3E" w:rsidP="005A68CD">
      <w:pPr>
        <w:adjustRightInd w:val="0"/>
        <w:snapToGrid w:val="0"/>
        <w:spacing w:line="360" w:lineRule="auto"/>
        <w:jc w:val="both"/>
      </w:pPr>
    </w:p>
    <w:p w14:paraId="76228771" w14:textId="77777777" w:rsidR="00A77B3E" w:rsidRDefault="00A27C93" w:rsidP="005A68CD">
      <w:pPr>
        <w:adjustRightInd w:val="0"/>
        <w:snapToGrid w:val="0"/>
        <w:spacing w:line="360" w:lineRule="auto"/>
        <w:jc w:val="both"/>
      </w:pPr>
      <w:r>
        <w:rPr>
          <w:rFonts w:ascii="Book Antiqua" w:eastAsia="Book Antiqua" w:hAnsi="Book Antiqua" w:cs="Book Antiqua"/>
          <w:b/>
          <w:bCs/>
          <w:color w:val="000000"/>
        </w:rPr>
        <w:t xml:space="preserve">Open-Access: </w:t>
      </w:r>
      <w:bookmarkStart w:id="10" w:name="OLE_LINK166"/>
      <w:bookmarkStart w:id="11" w:name="OLE_LINK167"/>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p>
    <w:p w14:paraId="25B2E425" w14:textId="77777777" w:rsidR="00A77B3E" w:rsidRDefault="00A77B3E" w:rsidP="005A68CD">
      <w:pPr>
        <w:adjustRightInd w:val="0"/>
        <w:snapToGrid w:val="0"/>
        <w:spacing w:line="360" w:lineRule="auto"/>
        <w:jc w:val="both"/>
      </w:pPr>
    </w:p>
    <w:p w14:paraId="5AE72E0A"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04380">
        <w:rPr>
          <w:rFonts w:ascii="Book Antiqua" w:eastAsia="Book Antiqua" w:hAnsi="Book Antiqua" w:cs="Book Antiqua"/>
          <w:color w:val="000000"/>
        </w:rPr>
        <w:t>man</w:t>
      </w:r>
      <w:r>
        <w:rPr>
          <w:rFonts w:ascii="Book Antiqua" w:eastAsia="Book Antiqua" w:hAnsi="Book Antiqua" w:cs="Book Antiqua"/>
          <w:color w:val="000000"/>
        </w:rPr>
        <w:t>uscript</w:t>
      </w:r>
    </w:p>
    <w:p w14:paraId="71DE2439" w14:textId="77777777" w:rsidR="00A77B3E" w:rsidRDefault="00A77B3E" w:rsidP="005A68CD">
      <w:pPr>
        <w:adjustRightInd w:val="0"/>
        <w:snapToGrid w:val="0"/>
        <w:spacing w:line="360" w:lineRule="auto"/>
        <w:jc w:val="both"/>
      </w:pPr>
    </w:p>
    <w:p w14:paraId="7220A2CE"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20, 2021</w:t>
      </w:r>
    </w:p>
    <w:p w14:paraId="69129BAA"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09EAB914" w14:textId="0C615554"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Article in press: </w:t>
      </w:r>
      <w:r w:rsidR="008011C1" w:rsidRPr="006C7D93">
        <w:rPr>
          <w:rFonts w:ascii="Book Antiqua" w:eastAsia="Book Antiqua" w:hAnsi="Book Antiqua" w:cs="Book Antiqua"/>
          <w:color w:val="000000"/>
        </w:rPr>
        <w:t>A</w:t>
      </w:r>
      <w:r w:rsidR="008011C1" w:rsidRPr="006C7D93">
        <w:rPr>
          <w:rFonts w:ascii="Book Antiqua" w:hAnsi="Book Antiqua" w:cs="Book Antiqua"/>
          <w:color w:val="000000"/>
          <w:lang w:eastAsia="zh-CN"/>
        </w:rPr>
        <w:t>ug</w:t>
      </w:r>
      <w:r w:rsidR="008011C1" w:rsidRPr="006C7D93">
        <w:rPr>
          <w:rFonts w:ascii="Book Antiqua" w:eastAsia="Book Antiqua" w:hAnsi="Book Antiqua" w:cs="Book Antiqua"/>
          <w:color w:val="000000"/>
        </w:rPr>
        <w:t>ust 18, 2021</w:t>
      </w:r>
    </w:p>
    <w:p w14:paraId="0CCAF276" w14:textId="77777777" w:rsidR="00A77B3E" w:rsidRDefault="00A77B3E" w:rsidP="005A68CD">
      <w:pPr>
        <w:adjustRightInd w:val="0"/>
        <w:snapToGrid w:val="0"/>
        <w:spacing w:line="360" w:lineRule="auto"/>
        <w:jc w:val="both"/>
      </w:pPr>
    </w:p>
    <w:p w14:paraId="60C44333"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104380">
        <w:rPr>
          <w:rFonts w:ascii="Book Antiqua" w:eastAsia="Book Antiqua" w:hAnsi="Book Antiqua" w:cs="Book Antiqua"/>
          <w:color w:val="000000"/>
        </w:rPr>
        <w:t xml:space="preserve"> he</w:t>
      </w:r>
      <w:r>
        <w:rPr>
          <w:rFonts w:ascii="Book Antiqua" w:eastAsia="Book Antiqua" w:hAnsi="Book Antiqua" w:cs="Book Antiqua"/>
          <w:color w:val="000000"/>
        </w:rPr>
        <w:t>patology</w:t>
      </w:r>
    </w:p>
    <w:p w14:paraId="6452ED6B"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5C6AFF4E" w14:textId="77777777" w:rsidR="00A77B3E" w:rsidRDefault="00A27C93" w:rsidP="005A68CD">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0FD14096"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Grade A (Excellent): 0</w:t>
      </w:r>
    </w:p>
    <w:p w14:paraId="69A76786"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Grade B (Very good): 0</w:t>
      </w:r>
    </w:p>
    <w:p w14:paraId="563B5FE3"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Grade C (Good): C</w:t>
      </w:r>
    </w:p>
    <w:p w14:paraId="3EDA69FF"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Grade D (Fair): 0</w:t>
      </w:r>
    </w:p>
    <w:p w14:paraId="5C213001" w14:textId="77777777" w:rsidR="00A77B3E" w:rsidRDefault="00A27C93" w:rsidP="005A68CD">
      <w:pPr>
        <w:adjustRightInd w:val="0"/>
        <w:snapToGrid w:val="0"/>
        <w:spacing w:line="360" w:lineRule="auto"/>
        <w:jc w:val="both"/>
      </w:pPr>
      <w:r>
        <w:rPr>
          <w:rFonts w:ascii="Book Antiqua" w:eastAsia="Book Antiqua" w:hAnsi="Book Antiqua" w:cs="Book Antiqua"/>
          <w:color w:val="000000"/>
        </w:rPr>
        <w:t>Grade E (Poor): 0</w:t>
      </w:r>
    </w:p>
    <w:p w14:paraId="003B8470" w14:textId="77777777" w:rsidR="00A77B3E" w:rsidRDefault="00A77B3E" w:rsidP="005A68CD">
      <w:pPr>
        <w:adjustRightInd w:val="0"/>
        <w:snapToGrid w:val="0"/>
        <w:spacing w:line="360" w:lineRule="auto"/>
        <w:jc w:val="both"/>
      </w:pPr>
    </w:p>
    <w:p w14:paraId="065469A6" w14:textId="43BCCD03" w:rsidR="00A77B3E" w:rsidRPr="008011C1" w:rsidRDefault="00A27C93" w:rsidP="005A68CD">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Haruma K</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8011C1" w:rsidRPr="008011C1">
        <w:rPr>
          <w:rFonts w:ascii="Book Antiqua" w:hAnsi="Book Antiqua" w:cs="Book Antiqua" w:hint="eastAsia"/>
          <w:color w:val="000000"/>
          <w:lang w:eastAsia="zh-CN"/>
        </w:rPr>
        <w:t xml:space="preserve">A </w:t>
      </w:r>
      <w:r>
        <w:rPr>
          <w:rFonts w:ascii="Book Antiqua" w:eastAsia="Book Antiqua" w:hAnsi="Book Antiqua" w:cs="Book Antiqua"/>
          <w:b/>
          <w:color w:val="000000"/>
        </w:rPr>
        <w:t>P-Editor:</w:t>
      </w:r>
      <w:r w:rsidRPr="008011C1">
        <w:rPr>
          <w:rFonts w:ascii="Book Antiqua" w:eastAsia="Book Antiqua" w:hAnsi="Book Antiqua" w:cs="Book Antiqua"/>
          <w:color w:val="000000"/>
        </w:rPr>
        <w:t xml:space="preserve"> </w:t>
      </w:r>
      <w:r w:rsidR="008011C1" w:rsidRPr="008011C1">
        <w:rPr>
          <w:rFonts w:ascii="Book Antiqua" w:hAnsi="Book Antiqua" w:cs="Book Antiqua" w:hint="eastAsia"/>
          <w:color w:val="000000"/>
          <w:lang w:eastAsia="zh-CN"/>
        </w:rPr>
        <w:t>Liu JH</w:t>
      </w:r>
    </w:p>
    <w:p w14:paraId="6F65B82E" w14:textId="77777777" w:rsidR="00104380" w:rsidRPr="0052167A" w:rsidRDefault="00104380" w:rsidP="005A68CD">
      <w:pPr>
        <w:adjustRightInd w:val="0"/>
        <w:snapToGrid w:val="0"/>
        <w:spacing w:line="360" w:lineRule="auto"/>
        <w:rPr>
          <w:rFonts w:ascii="Book Antiqua" w:hAnsi="Book Antiqua"/>
          <w:b/>
          <w:lang w:eastAsia="zh-CN"/>
        </w:rPr>
      </w:pPr>
      <w:r>
        <w:rPr>
          <w:rFonts w:ascii="Book Antiqua" w:hAnsi="Book Antiqua" w:cs="Book Antiqua"/>
          <w:b/>
          <w:color w:val="000000"/>
          <w:lang w:eastAsia="zh-CN"/>
        </w:rPr>
        <w:br w:type="page"/>
      </w:r>
      <w:r w:rsidRPr="0052167A">
        <w:rPr>
          <w:rFonts w:ascii="Book Antiqua" w:hAnsi="Book Antiqua"/>
          <w:b/>
        </w:rPr>
        <w:t>Table 1</w:t>
      </w:r>
      <w:r w:rsidRPr="0052167A">
        <w:rPr>
          <w:rFonts w:ascii="Book Antiqua" w:hAnsi="Book Antiqua"/>
          <w:b/>
          <w:lang w:eastAsia="zh-CN"/>
        </w:rPr>
        <w:t xml:space="preserve"> </w:t>
      </w:r>
      <w:r w:rsidRPr="0052167A">
        <w:rPr>
          <w:rFonts w:ascii="Book Antiqua" w:hAnsi="Book Antiqua"/>
          <w:b/>
        </w:rPr>
        <w:t xml:space="preserve">Classification of neuroendocrine neoplasms according to </w:t>
      </w:r>
      <w:r w:rsidRPr="00104380">
        <w:rPr>
          <w:rFonts w:ascii="Book Antiqua" w:hAnsi="Book Antiqua"/>
          <w:b/>
        </w:rPr>
        <w:t xml:space="preserve">World Health Organization </w:t>
      </w:r>
      <w:r w:rsidRPr="0052167A">
        <w:rPr>
          <w:rFonts w:ascii="Book Antiqua" w:hAnsi="Book Antiqua"/>
          <w:b/>
        </w:rPr>
        <w:t>criteria</w:t>
      </w:r>
    </w:p>
    <w:tbl>
      <w:tblPr>
        <w:tblStyle w:val="a4"/>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4"/>
        <w:gridCol w:w="2126"/>
        <w:gridCol w:w="2345"/>
        <w:gridCol w:w="2345"/>
      </w:tblGrid>
      <w:tr w:rsidR="00104380" w:rsidRPr="005A68CD" w14:paraId="1319E0AB" w14:textId="77777777" w:rsidTr="00DB75E3">
        <w:trPr>
          <w:trHeight w:val="559"/>
        </w:trPr>
        <w:tc>
          <w:tcPr>
            <w:tcW w:w="2564" w:type="dxa"/>
            <w:tcBorders>
              <w:top w:val="single" w:sz="4" w:space="0" w:color="auto"/>
              <w:bottom w:val="single" w:sz="4" w:space="0" w:color="auto"/>
            </w:tcBorders>
          </w:tcPr>
          <w:p w14:paraId="2C57B1BD" w14:textId="77777777" w:rsidR="00104380" w:rsidRPr="005A68CD" w:rsidRDefault="00104380" w:rsidP="005A68CD">
            <w:pPr>
              <w:adjustRightInd w:val="0"/>
              <w:snapToGrid w:val="0"/>
              <w:spacing w:line="360" w:lineRule="auto"/>
              <w:jc w:val="center"/>
              <w:rPr>
                <w:rFonts w:ascii="Book Antiqua" w:hAnsi="Book Antiqua"/>
                <w:b/>
                <w:lang w:val="en-US"/>
              </w:rPr>
            </w:pPr>
          </w:p>
        </w:tc>
        <w:tc>
          <w:tcPr>
            <w:tcW w:w="2126" w:type="dxa"/>
            <w:tcBorders>
              <w:top w:val="single" w:sz="4" w:space="0" w:color="auto"/>
              <w:bottom w:val="single" w:sz="4" w:space="0" w:color="auto"/>
            </w:tcBorders>
          </w:tcPr>
          <w:p w14:paraId="3B4A5815" w14:textId="77777777" w:rsidR="00104380" w:rsidRPr="005A68CD" w:rsidRDefault="00104380" w:rsidP="005A68CD">
            <w:pPr>
              <w:adjustRightInd w:val="0"/>
              <w:snapToGrid w:val="0"/>
              <w:spacing w:line="360" w:lineRule="auto"/>
              <w:jc w:val="center"/>
              <w:rPr>
                <w:rFonts w:ascii="Book Antiqua" w:hAnsi="Book Antiqua"/>
                <w:b/>
                <w:lang w:val="en-US"/>
              </w:rPr>
            </w:pPr>
            <w:r w:rsidRPr="005A68CD">
              <w:rPr>
                <w:rFonts w:ascii="Book Antiqua" w:hAnsi="Book Antiqua"/>
                <w:b/>
                <w:lang w:val="en-US"/>
              </w:rPr>
              <w:t>Mitotic rate (mitoses/mm</w:t>
            </w:r>
            <w:r w:rsidRPr="005A68CD">
              <w:rPr>
                <w:rFonts w:ascii="Book Antiqua" w:hAnsi="Book Antiqua"/>
                <w:b/>
                <w:vertAlign w:val="superscript"/>
                <w:lang w:val="en-US"/>
              </w:rPr>
              <w:t>2</w:t>
            </w:r>
            <w:r w:rsidRPr="005A68CD">
              <w:rPr>
                <w:rFonts w:ascii="Book Antiqua" w:hAnsi="Book Antiqua"/>
                <w:b/>
                <w:lang w:val="en-US"/>
              </w:rPr>
              <w:t>)</w:t>
            </w:r>
          </w:p>
        </w:tc>
        <w:tc>
          <w:tcPr>
            <w:tcW w:w="2345" w:type="dxa"/>
            <w:tcBorders>
              <w:top w:val="single" w:sz="4" w:space="0" w:color="auto"/>
              <w:bottom w:val="single" w:sz="4" w:space="0" w:color="auto"/>
            </w:tcBorders>
          </w:tcPr>
          <w:p w14:paraId="2E21EEDA" w14:textId="77777777" w:rsidR="00104380" w:rsidRPr="005A68CD" w:rsidRDefault="00104380" w:rsidP="005A68CD">
            <w:pPr>
              <w:adjustRightInd w:val="0"/>
              <w:snapToGrid w:val="0"/>
              <w:spacing w:line="360" w:lineRule="auto"/>
              <w:jc w:val="center"/>
              <w:rPr>
                <w:rFonts w:ascii="Book Antiqua" w:hAnsi="Book Antiqua"/>
                <w:b/>
                <w:lang w:val="en-US"/>
              </w:rPr>
            </w:pPr>
            <w:r w:rsidRPr="005A68CD">
              <w:rPr>
                <w:rFonts w:ascii="Book Antiqua" w:hAnsi="Book Antiqua"/>
                <w:b/>
                <w:lang w:val="en-US"/>
              </w:rPr>
              <w:t>Ki-67 index</w:t>
            </w:r>
          </w:p>
        </w:tc>
        <w:tc>
          <w:tcPr>
            <w:tcW w:w="2345" w:type="dxa"/>
            <w:tcBorders>
              <w:top w:val="single" w:sz="4" w:space="0" w:color="auto"/>
              <w:bottom w:val="single" w:sz="4" w:space="0" w:color="auto"/>
            </w:tcBorders>
          </w:tcPr>
          <w:p w14:paraId="66D4F723" w14:textId="77777777" w:rsidR="00104380" w:rsidRPr="005A68CD" w:rsidRDefault="00104380" w:rsidP="005A68CD">
            <w:pPr>
              <w:adjustRightInd w:val="0"/>
              <w:snapToGrid w:val="0"/>
              <w:spacing w:line="360" w:lineRule="auto"/>
              <w:jc w:val="center"/>
              <w:rPr>
                <w:rFonts w:ascii="Book Antiqua" w:hAnsi="Book Antiqua"/>
                <w:b/>
                <w:lang w:val="en-US"/>
              </w:rPr>
            </w:pPr>
            <w:r w:rsidRPr="005A68CD">
              <w:rPr>
                <w:rFonts w:ascii="Book Antiqua" w:hAnsi="Book Antiqua"/>
                <w:b/>
                <w:lang w:val="en-US"/>
              </w:rPr>
              <w:t>Differentiation</w:t>
            </w:r>
          </w:p>
        </w:tc>
      </w:tr>
      <w:tr w:rsidR="00104380" w:rsidRPr="0052167A" w14:paraId="5A0CD417" w14:textId="77777777" w:rsidTr="00DB75E3">
        <w:trPr>
          <w:trHeight w:val="559"/>
        </w:trPr>
        <w:tc>
          <w:tcPr>
            <w:tcW w:w="2564" w:type="dxa"/>
            <w:tcBorders>
              <w:top w:val="single" w:sz="4" w:space="0" w:color="auto"/>
            </w:tcBorders>
          </w:tcPr>
          <w:p w14:paraId="62CCC9A0" w14:textId="77777777" w:rsidR="00104380" w:rsidRPr="0052167A" w:rsidRDefault="00104380" w:rsidP="005A68CD">
            <w:pPr>
              <w:adjustRightInd w:val="0"/>
              <w:snapToGrid w:val="0"/>
              <w:spacing w:line="360" w:lineRule="auto"/>
              <w:jc w:val="both"/>
              <w:rPr>
                <w:rFonts w:ascii="Book Antiqua" w:hAnsi="Book Antiqua"/>
                <w:lang w:val="en-US"/>
              </w:rPr>
            </w:pPr>
            <w:r w:rsidRPr="0052167A">
              <w:rPr>
                <w:rFonts w:ascii="Book Antiqua" w:hAnsi="Book Antiqua"/>
                <w:lang w:val="en-US"/>
              </w:rPr>
              <w:t>Neuroendocrine tumor, Grade 1</w:t>
            </w:r>
          </w:p>
        </w:tc>
        <w:tc>
          <w:tcPr>
            <w:tcW w:w="2126" w:type="dxa"/>
            <w:tcBorders>
              <w:top w:val="single" w:sz="4" w:space="0" w:color="auto"/>
            </w:tcBorders>
          </w:tcPr>
          <w:p w14:paraId="655FE03B"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&lt;</w:t>
            </w:r>
            <w:r>
              <w:rPr>
                <w:rFonts w:ascii="Book Antiqua" w:hAnsi="Book Antiqua" w:hint="eastAsia"/>
                <w:lang w:val="en-US" w:eastAsia="zh-CN"/>
              </w:rPr>
              <w:t xml:space="preserve"> </w:t>
            </w:r>
            <w:r w:rsidRPr="0052167A">
              <w:rPr>
                <w:rFonts w:ascii="Book Antiqua" w:hAnsi="Book Antiqua"/>
                <w:lang w:val="en-US"/>
              </w:rPr>
              <w:t>2</w:t>
            </w:r>
          </w:p>
        </w:tc>
        <w:tc>
          <w:tcPr>
            <w:tcW w:w="2345" w:type="dxa"/>
            <w:tcBorders>
              <w:top w:val="single" w:sz="4" w:space="0" w:color="auto"/>
            </w:tcBorders>
          </w:tcPr>
          <w:p w14:paraId="2A2A20DC"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&lt;</w:t>
            </w:r>
            <w:r>
              <w:rPr>
                <w:rFonts w:ascii="Book Antiqua" w:hAnsi="Book Antiqua" w:hint="eastAsia"/>
                <w:lang w:val="en-US" w:eastAsia="zh-CN"/>
              </w:rPr>
              <w:t xml:space="preserve"> </w:t>
            </w:r>
            <w:r w:rsidRPr="0052167A">
              <w:rPr>
                <w:rFonts w:ascii="Book Antiqua" w:hAnsi="Book Antiqua"/>
                <w:lang w:val="en-US"/>
              </w:rPr>
              <w:t>3%</w:t>
            </w:r>
          </w:p>
        </w:tc>
        <w:tc>
          <w:tcPr>
            <w:tcW w:w="2345" w:type="dxa"/>
            <w:tcBorders>
              <w:top w:val="single" w:sz="4" w:space="0" w:color="auto"/>
            </w:tcBorders>
          </w:tcPr>
          <w:p w14:paraId="2D3B6134"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Well</w:t>
            </w:r>
          </w:p>
        </w:tc>
      </w:tr>
      <w:tr w:rsidR="00104380" w:rsidRPr="0052167A" w14:paraId="2074B228" w14:textId="77777777" w:rsidTr="00DB75E3">
        <w:trPr>
          <w:trHeight w:val="559"/>
        </w:trPr>
        <w:tc>
          <w:tcPr>
            <w:tcW w:w="2564" w:type="dxa"/>
          </w:tcPr>
          <w:p w14:paraId="39316C25" w14:textId="77777777" w:rsidR="00104380" w:rsidRPr="0052167A" w:rsidRDefault="00104380" w:rsidP="005A68CD">
            <w:pPr>
              <w:adjustRightInd w:val="0"/>
              <w:snapToGrid w:val="0"/>
              <w:spacing w:line="360" w:lineRule="auto"/>
              <w:jc w:val="both"/>
              <w:rPr>
                <w:rFonts w:ascii="Book Antiqua" w:hAnsi="Book Antiqua"/>
                <w:lang w:val="en-US"/>
              </w:rPr>
            </w:pPr>
            <w:r w:rsidRPr="0052167A">
              <w:rPr>
                <w:rFonts w:ascii="Book Antiqua" w:hAnsi="Book Antiqua"/>
                <w:lang w:val="en-US"/>
              </w:rPr>
              <w:t>Neuroendocrine tumor, Grade 2</w:t>
            </w:r>
          </w:p>
        </w:tc>
        <w:tc>
          <w:tcPr>
            <w:tcW w:w="2126" w:type="dxa"/>
          </w:tcPr>
          <w:p w14:paraId="380E8F99"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2-20</w:t>
            </w:r>
          </w:p>
        </w:tc>
        <w:tc>
          <w:tcPr>
            <w:tcW w:w="2345" w:type="dxa"/>
          </w:tcPr>
          <w:p w14:paraId="21A7B75A"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3</w:t>
            </w:r>
            <w:r>
              <w:rPr>
                <w:rFonts w:ascii="Book Antiqua" w:hAnsi="Book Antiqua" w:hint="eastAsia"/>
                <w:lang w:val="en-US" w:eastAsia="zh-CN"/>
              </w:rPr>
              <w:t>%</w:t>
            </w:r>
            <w:r w:rsidRPr="0052167A">
              <w:rPr>
                <w:rFonts w:ascii="Book Antiqua" w:hAnsi="Book Antiqua"/>
                <w:lang w:val="en-US"/>
              </w:rPr>
              <w:t>-20%</w:t>
            </w:r>
          </w:p>
        </w:tc>
        <w:tc>
          <w:tcPr>
            <w:tcW w:w="2345" w:type="dxa"/>
          </w:tcPr>
          <w:p w14:paraId="3A31B836"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Well</w:t>
            </w:r>
          </w:p>
        </w:tc>
      </w:tr>
      <w:tr w:rsidR="00104380" w:rsidRPr="0052167A" w14:paraId="5BB71A6B" w14:textId="77777777" w:rsidTr="00DB75E3">
        <w:trPr>
          <w:trHeight w:val="559"/>
        </w:trPr>
        <w:tc>
          <w:tcPr>
            <w:tcW w:w="2564" w:type="dxa"/>
          </w:tcPr>
          <w:p w14:paraId="37E36766" w14:textId="77777777" w:rsidR="00104380" w:rsidRPr="0052167A" w:rsidRDefault="00104380" w:rsidP="005A68CD">
            <w:pPr>
              <w:adjustRightInd w:val="0"/>
              <w:snapToGrid w:val="0"/>
              <w:spacing w:line="360" w:lineRule="auto"/>
              <w:jc w:val="both"/>
              <w:rPr>
                <w:rFonts w:ascii="Book Antiqua" w:hAnsi="Book Antiqua"/>
                <w:lang w:val="en-US"/>
              </w:rPr>
            </w:pPr>
            <w:r w:rsidRPr="0052167A">
              <w:rPr>
                <w:rFonts w:ascii="Book Antiqua" w:hAnsi="Book Antiqua"/>
                <w:lang w:val="en-US"/>
              </w:rPr>
              <w:t>Neuroendocrine tumor, Grade 3</w:t>
            </w:r>
          </w:p>
        </w:tc>
        <w:tc>
          <w:tcPr>
            <w:tcW w:w="2126" w:type="dxa"/>
          </w:tcPr>
          <w:p w14:paraId="2A0276BE"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&gt;</w:t>
            </w:r>
            <w:r>
              <w:rPr>
                <w:rFonts w:ascii="Book Antiqua" w:hAnsi="Book Antiqua" w:hint="eastAsia"/>
                <w:lang w:val="en-US" w:eastAsia="zh-CN"/>
              </w:rPr>
              <w:t xml:space="preserve"> </w:t>
            </w:r>
            <w:r w:rsidRPr="0052167A">
              <w:rPr>
                <w:rFonts w:ascii="Book Antiqua" w:hAnsi="Book Antiqua"/>
                <w:lang w:val="en-US"/>
              </w:rPr>
              <w:t>20</w:t>
            </w:r>
          </w:p>
        </w:tc>
        <w:tc>
          <w:tcPr>
            <w:tcW w:w="2345" w:type="dxa"/>
          </w:tcPr>
          <w:p w14:paraId="3B9223D3"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&gt;</w:t>
            </w:r>
            <w:r>
              <w:rPr>
                <w:rFonts w:ascii="Book Antiqua" w:hAnsi="Book Antiqua" w:hint="eastAsia"/>
                <w:lang w:val="en-US" w:eastAsia="zh-CN"/>
              </w:rPr>
              <w:t xml:space="preserve"> </w:t>
            </w:r>
            <w:r w:rsidRPr="0052167A">
              <w:rPr>
                <w:rFonts w:ascii="Book Antiqua" w:hAnsi="Book Antiqua"/>
                <w:lang w:val="en-US"/>
              </w:rPr>
              <w:t>20%</w:t>
            </w:r>
          </w:p>
        </w:tc>
        <w:tc>
          <w:tcPr>
            <w:tcW w:w="2345" w:type="dxa"/>
          </w:tcPr>
          <w:p w14:paraId="70753675"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Well</w:t>
            </w:r>
          </w:p>
        </w:tc>
      </w:tr>
      <w:tr w:rsidR="00104380" w:rsidRPr="0052167A" w14:paraId="2F7BB149" w14:textId="77777777" w:rsidTr="00DB75E3">
        <w:trPr>
          <w:trHeight w:val="502"/>
        </w:trPr>
        <w:tc>
          <w:tcPr>
            <w:tcW w:w="2564" w:type="dxa"/>
          </w:tcPr>
          <w:p w14:paraId="1A7D54B6" w14:textId="77777777" w:rsidR="00104380" w:rsidRPr="0052167A" w:rsidRDefault="00104380" w:rsidP="005A68CD">
            <w:pPr>
              <w:adjustRightInd w:val="0"/>
              <w:snapToGrid w:val="0"/>
              <w:spacing w:line="360" w:lineRule="auto"/>
              <w:jc w:val="both"/>
              <w:rPr>
                <w:rFonts w:ascii="Book Antiqua" w:hAnsi="Book Antiqua"/>
                <w:lang w:val="en-US"/>
              </w:rPr>
            </w:pPr>
            <w:r w:rsidRPr="0052167A">
              <w:rPr>
                <w:rFonts w:ascii="Book Antiqua" w:hAnsi="Book Antiqua"/>
                <w:lang w:val="en-US"/>
              </w:rPr>
              <w:t>Neuroendocrine carcinoma, small-cell type</w:t>
            </w:r>
          </w:p>
        </w:tc>
        <w:tc>
          <w:tcPr>
            <w:tcW w:w="2126" w:type="dxa"/>
          </w:tcPr>
          <w:p w14:paraId="55279BCA"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&gt;</w:t>
            </w:r>
            <w:r>
              <w:rPr>
                <w:rFonts w:ascii="Book Antiqua" w:hAnsi="Book Antiqua" w:hint="eastAsia"/>
                <w:lang w:val="en-US" w:eastAsia="zh-CN"/>
              </w:rPr>
              <w:t xml:space="preserve"> </w:t>
            </w:r>
            <w:r w:rsidRPr="0052167A">
              <w:rPr>
                <w:rFonts w:ascii="Book Antiqua" w:hAnsi="Book Antiqua"/>
                <w:lang w:val="en-US"/>
              </w:rPr>
              <w:t>20</w:t>
            </w:r>
          </w:p>
        </w:tc>
        <w:tc>
          <w:tcPr>
            <w:tcW w:w="2345" w:type="dxa"/>
          </w:tcPr>
          <w:p w14:paraId="6B906DC5"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&gt;</w:t>
            </w:r>
            <w:r>
              <w:rPr>
                <w:rFonts w:ascii="Book Antiqua" w:hAnsi="Book Antiqua" w:hint="eastAsia"/>
                <w:lang w:val="en-US" w:eastAsia="zh-CN"/>
              </w:rPr>
              <w:t xml:space="preserve"> </w:t>
            </w:r>
            <w:r w:rsidRPr="0052167A">
              <w:rPr>
                <w:rFonts w:ascii="Book Antiqua" w:hAnsi="Book Antiqua"/>
                <w:lang w:val="en-US"/>
              </w:rPr>
              <w:t>20%</w:t>
            </w:r>
          </w:p>
        </w:tc>
        <w:tc>
          <w:tcPr>
            <w:tcW w:w="2345" w:type="dxa"/>
          </w:tcPr>
          <w:p w14:paraId="1ED01328"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Poor</w:t>
            </w:r>
          </w:p>
        </w:tc>
      </w:tr>
      <w:tr w:rsidR="00104380" w:rsidRPr="0052167A" w14:paraId="39EEC18B" w14:textId="77777777" w:rsidTr="00DB75E3">
        <w:trPr>
          <w:trHeight w:val="559"/>
        </w:trPr>
        <w:tc>
          <w:tcPr>
            <w:tcW w:w="2564" w:type="dxa"/>
          </w:tcPr>
          <w:p w14:paraId="374D097F" w14:textId="77777777" w:rsidR="00104380" w:rsidRPr="0052167A" w:rsidRDefault="00104380" w:rsidP="005A68CD">
            <w:pPr>
              <w:adjustRightInd w:val="0"/>
              <w:snapToGrid w:val="0"/>
              <w:spacing w:line="360" w:lineRule="auto"/>
              <w:jc w:val="both"/>
              <w:rPr>
                <w:rFonts w:ascii="Book Antiqua" w:hAnsi="Book Antiqua"/>
                <w:lang w:val="en-US"/>
              </w:rPr>
            </w:pPr>
            <w:r w:rsidRPr="0052167A">
              <w:rPr>
                <w:rFonts w:ascii="Book Antiqua" w:hAnsi="Book Antiqua"/>
                <w:lang w:val="en-US"/>
              </w:rPr>
              <w:t>Neuroendocrine carcinoma, large-cell type</w:t>
            </w:r>
          </w:p>
        </w:tc>
        <w:tc>
          <w:tcPr>
            <w:tcW w:w="2126" w:type="dxa"/>
          </w:tcPr>
          <w:p w14:paraId="21722E05"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&gt;</w:t>
            </w:r>
            <w:r>
              <w:rPr>
                <w:rFonts w:ascii="Book Antiqua" w:hAnsi="Book Antiqua" w:hint="eastAsia"/>
                <w:lang w:val="en-US" w:eastAsia="zh-CN"/>
              </w:rPr>
              <w:t xml:space="preserve"> </w:t>
            </w:r>
            <w:r w:rsidRPr="0052167A">
              <w:rPr>
                <w:rFonts w:ascii="Book Antiqua" w:hAnsi="Book Antiqua"/>
                <w:lang w:val="en-US"/>
              </w:rPr>
              <w:t>20</w:t>
            </w:r>
          </w:p>
        </w:tc>
        <w:tc>
          <w:tcPr>
            <w:tcW w:w="2345" w:type="dxa"/>
          </w:tcPr>
          <w:p w14:paraId="345C4A56"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&gt;</w:t>
            </w:r>
            <w:r>
              <w:rPr>
                <w:rFonts w:ascii="Book Antiqua" w:hAnsi="Book Antiqua" w:hint="eastAsia"/>
                <w:lang w:val="en-US" w:eastAsia="zh-CN"/>
              </w:rPr>
              <w:t xml:space="preserve"> </w:t>
            </w:r>
            <w:r w:rsidRPr="0052167A">
              <w:rPr>
                <w:rFonts w:ascii="Book Antiqua" w:hAnsi="Book Antiqua"/>
                <w:lang w:val="en-US"/>
              </w:rPr>
              <w:t>20%</w:t>
            </w:r>
          </w:p>
        </w:tc>
        <w:tc>
          <w:tcPr>
            <w:tcW w:w="2345" w:type="dxa"/>
          </w:tcPr>
          <w:p w14:paraId="539C9AE2"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Poor</w:t>
            </w:r>
          </w:p>
        </w:tc>
      </w:tr>
      <w:tr w:rsidR="00104380" w:rsidRPr="0052167A" w14:paraId="0CBE98A6" w14:textId="77777777" w:rsidTr="00DB75E3">
        <w:trPr>
          <w:trHeight w:val="838"/>
        </w:trPr>
        <w:tc>
          <w:tcPr>
            <w:tcW w:w="2564" w:type="dxa"/>
            <w:tcBorders>
              <w:bottom w:val="single" w:sz="4" w:space="0" w:color="auto"/>
            </w:tcBorders>
          </w:tcPr>
          <w:p w14:paraId="1783CB7D" w14:textId="77777777" w:rsidR="00104380" w:rsidRPr="0052167A" w:rsidRDefault="00104380" w:rsidP="005A68CD">
            <w:pPr>
              <w:adjustRightInd w:val="0"/>
              <w:snapToGrid w:val="0"/>
              <w:spacing w:line="360" w:lineRule="auto"/>
              <w:jc w:val="both"/>
              <w:rPr>
                <w:rFonts w:ascii="Book Antiqua" w:hAnsi="Book Antiqua" w:cstheme="minorHAnsi"/>
                <w:lang w:val="en-US"/>
              </w:rPr>
            </w:pPr>
            <w:r w:rsidRPr="0052167A">
              <w:rPr>
                <w:rFonts w:ascii="Book Antiqua" w:hAnsi="Book Antiqua" w:cstheme="minorHAnsi"/>
                <w:color w:val="231F20"/>
                <w:shd w:val="clear" w:color="auto" w:fill="FFFFFF"/>
                <w:lang w:val="en-US"/>
              </w:rPr>
              <w:t>Mixed</w:t>
            </w:r>
            <w:r w:rsidRPr="0052167A">
              <w:rPr>
                <w:rStyle w:val="a3"/>
                <w:rFonts w:ascii="Book Antiqua" w:hAnsi="Book Antiqua" w:cstheme="minorHAnsi"/>
                <w:shd w:val="clear" w:color="auto" w:fill="FFFFFF"/>
                <w:lang w:val="en-US"/>
              </w:rPr>
              <w:t xml:space="preserve"> </w:t>
            </w:r>
            <w:r w:rsidRPr="0052167A">
              <w:rPr>
                <w:rFonts w:ascii="Book Antiqua" w:hAnsi="Book Antiqua" w:cstheme="minorHAnsi"/>
                <w:color w:val="231F20"/>
                <w:shd w:val="clear" w:color="auto" w:fill="FFFFFF"/>
                <w:lang w:val="en-US"/>
              </w:rPr>
              <w:t>neuroendocrine</w:t>
            </w:r>
            <w:r w:rsidRPr="0052167A">
              <w:rPr>
                <w:rStyle w:val="ff6"/>
                <w:rFonts w:ascii="Book Antiqua" w:hAnsi="Book Antiqua" w:cstheme="minorHAnsi"/>
                <w:color w:val="231F20"/>
                <w:shd w:val="clear" w:color="auto" w:fill="FFFFFF"/>
                <w:lang w:val="en-US"/>
              </w:rPr>
              <w:t>–</w:t>
            </w:r>
            <w:r w:rsidRPr="0052167A">
              <w:rPr>
                <w:rFonts w:ascii="Book Antiqua" w:hAnsi="Book Antiqua" w:cstheme="minorHAnsi"/>
                <w:color w:val="231F20"/>
                <w:shd w:val="clear" w:color="auto" w:fill="FFFFFF"/>
                <w:lang w:val="en-US"/>
              </w:rPr>
              <w:t>non-neuroendocrine</w:t>
            </w:r>
            <w:r w:rsidRPr="0052167A">
              <w:rPr>
                <w:rStyle w:val="a3"/>
                <w:rFonts w:ascii="Book Antiqua" w:hAnsi="Book Antiqua" w:cstheme="minorHAnsi"/>
                <w:shd w:val="clear" w:color="auto" w:fill="FFFFFF"/>
                <w:lang w:val="en-US"/>
              </w:rPr>
              <w:t xml:space="preserve"> </w:t>
            </w:r>
            <w:r w:rsidRPr="0052167A">
              <w:rPr>
                <w:rFonts w:ascii="Book Antiqua" w:hAnsi="Book Antiqua" w:cstheme="minorHAnsi"/>
                <w:color w:val="231F20"/>
                <w:shd w:val="clear" w:color="auto" w:fill="FFFFFF"/>
                <w:lang w:val="en-US"/>
              </w:rPr>
              <w:t>neoplasm</w:t>
            </w:r>
          </w:p>
        </w:tc>
        <w:tc>
          <w:tcPr>
            <w:tcW w:w="2126" w:type="dxa"/>
            <w:tcBorders>
              <w:bottom w:val="single" w:sz="4" w:space="0" w:color="auto"/>
            </w:tcBorders>
          </w:tcPr>
          <w:p w14:paraId="362233A8"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Variable</w:t>
            </w:r>
          </w:p>
        </w:tc>
        <w:tc>
          <w:tcPr>
            <w:tcW w:w="2345" w:type="dxa"/>
            <w:tcBorders>
              <w:bottom w:val="single" w:sz="4" w:space="0" w:color="auto"/>
            </w:tcBorders>
          </w:tcPr>
          <w:p w14:paraId="5924852D"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Variable</w:t>
            </w:r>
          </w:p>
        </w:tc>
        <w:tc>
          <w:tcPr>
            <w:tcW w:w="2345" w:type="dxa"/>
            <w:tcBorders>
              <w:bottom w:val="single" w:sz="4" w:space="0" w:color="auto"/>
            </w:tcBorders>
          </w:tcPr>
          <w:p w14:paraId="691604AF" w14:textId="77777777" w:rsidR="00104380" w:rsidRPr="0052167A" w:rsidRDefault="00104380" w:rsidP="005A68CD">
            <w:pPr>
              <w:adjustRightInd w:val="0"/>
              <w:snapToGrid w:val="0"/>
              <w:spacing w:line="360" w:lineRule="auto"/>
              <w:jc w:val="center"/>
              <w:rPr>
                <w:rFonts w:ascii="Book Antiqua" w:hAnsi="Book Antiqua"/>
                <w:lang w:val="en-US"/>
              </w:rPr>
            </w:pPr>
            <w:r w:rsidRPr="0052167A">
              <w:rPr>
                <w:rFonts w:ascii="Book Antiqua" w:hAnsi="Book Antiqua"/>
                <w:lang w:val="en-US"/>
              </w:rPr>
              <w:t>Variable</w:t>
            </w:r>
          </w:p>
        </w:tc>
      </w:tr>
    </w:tbl>
    <w:p w14:paraId="06F2E170" w14:textId="77777777" w:rsidR="00104380" w:rsidRPr="0052167A" w:rsidRDefault="00104380" w:rsidP="005A68CD">
      <w:pPr>
        <w:adjustRightInd w:val="0"/>
        <w:snapToGrid w:val="0"/>
        <w:spacing w:line="360" w:lineRule="auto"/>
        <w:rPr>
          <w:rFonts w:ascii="Book Antiqua" w:hAnsi="Book Antiqua"/>
        </w:rPr>
      </w:pPr>
    </w:p>
    <w:p w14:paraId="2EBF43F4" w14:textId="77777777" w:rsidR="00104380" w:rsidRPr="00F746AB" w:rsidRDefault="00104380" w:rsidP="005A68CD">
      <w:pPr>
        <w:adjustRightInd w:val="0"/>
        <w:snapToGrid w:val="0"/>
        <w:spacing w:line="360" w:lineRule="auto"/>
        <w:rPr>
          <w:rFonts w:ascii="Book Antiqua" w:hAnsi="Book Antiqua"/>
          <w:b/>
        </w:rPr>
      </w:pPr>
      <w:r>
        <w:rPr>
          <w:lang w:eastAsia="zh-CN"/>
        </w:rPr>
        <w:br w:type="page"/>
      </w:r>
      <w:r w:rsidRPr="00F746AB">
        <w:rPr>
          <w:rFonts w:ascii="Book Antiqua" w:hAnsi="Book Antiqua"/>
          <w:b/>
        </w:rPr>
        <w:t>Table 2</w:t>
      </w:r>
      <w:r w:rsidRPr="00F746AB">
        <w:rPr>
          <w:rFonts w:ascii="Book Antiqua" w:hAnsi="Book Antiqua"/>
          <w:b/>
          <w:lang w:eastAsia="zh-CN"/>
        </w:rPr>
        <w:t xml:space="preserve"> </w:t>
      </w:r>
      <w:r w:rsidRPr="00F746AB">
        <w:rPr>
          <w:rFonts w:ascii="Book Antiqua" w:hAnsi="Book Antiqua"/>
          <w:b/>
        </w:rPr>
        <w:t>Characteristics of the subtypes of neuroendocrine neoplasms of the stomach</w:t>
      </w:r>
    </w:p>
    <w:tbl>
      <w:tblPr>
        <w:tblStyle w:val="a4"/>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644"/>
        <w:gridCol w:w="1616"/>
        <w:gridCol w:w="2273"/>
        <w:gridCol w:w="2273"/>
      </w:tblGrid>
      <w:tr w:rsidR="00104380" w:rsidRPr="00F746AB" w14:paraId="04BC23CC" w14:textId="77777777" w:rsidTr="00DB75E3">
        <w:tc>
          <w:tcPr>
            <w:tcW w:w="1849" w:type="dxa"/>
            <w:tcBorders>
              <w:top w:val="single" w:sz="4" w:space="0" w:color="auto"/>
              <w:bottom w:val="single" w:sz="4" w:space="0" w:color="auto"/>
            </w:tcBorders>
          </w:tcPr>
          <w:p w14:paraId="7A9EBF4E" w14:textId="77777777" w:rsidR="00104380" w:rsidRPr="00F746AB" w:rsidRDefault="00104380" w:rsidP="005A68CD">
            <w:pPr>
              <w:adjustRightInd w:val="0"/>
              <w:snapToGrid w:val="0"/>
              <w:spacing w:line="360" w:lineRule="auto"/>
              <w:rPr>
                <w:rFonts w:ascii="Book Antiqua" w:hAnsi="Book Antiqua"/>
                <w:b/>
                <w:lang w:val="en-US"/>
              </w:rPr>
            </w:pPr>
          </w:p>
        </w:tc>
        <w:tc>
          <w:tcPr>
            <w:tcW w:w="1832" w:type="dxa"/>
            <w:tcBorders>
              <w:top w:val="single" w:sz="4" w:space="0" w:color="auto"/>
              <w:bottom w:val="single" w:sz="4" w:space="0" w:color="auto"/>
            </w:tcBorders>
          </w:tcPr>
          <w:p w14:paraId="371E011B" w14:textId="77777777" w:rsidR="00104380" w:rsidRPr="00F746AB" w:rsidRDefault="00104380" w:rsidP="005A68CD">
            <w:pPr>
              <w:adjustRightInd w:val="0"/>
              <w:snapToGrid w:val="0"/>
              <w:spacing w:line="360" w:lineRule="auto"/>
              <w:jc w:val="center"/>
              <w:rPr>
                <w:rFonts w:ascii="Book Antiqua" w:hAnsi="Book Antiqua"/>
                <w:b/>
                <w:lang w:val="en-US"/>
              </w:rPr>
            </w:pPr>
            <w:r w:rsidRPr="00F746AB">
              <w:rPr>
                <w:rFonts w:ascii="Book Antiqua" w:hAnsi="Book Antiqua"/>
                <w:b/>
                <w:lang w:val="en-US"/>
              </w:rPr>
              <w:t>Type 1</w:t>
            </w:r>
          </w:p>
        </w:tc>
        <w:tc>
          <w:tcPr>
            <w:tcW w:w="1831" w:type="dxa"/>
            <w:tcBorders>
              <w:top w:val="single" w:sz="4" w:space="0" w:color="auto"/>
              <w:bottom w:val="single" w:sz="4" w:space="0" w:color="auto"/>
            </w:tcBorders>
          </w:tcPr>
          <w:p w14:paraId="151D46B2" w14:textId="77777777" w:rsidR="00104380" w:rsidRPr="00F746AB" w:rsidRDefault="00104380" w:rsidP="005A68CD">
            <w:pPr>
              <w:adjustRightInd w:val="0"/>
              <w:snapToGrid w:val="0"/>
              <w:spacing w:line="360" w:lineRule="auto"/>
              <w:jc w:val="center"/>
              <w:rPr>
                <w:rFonts w:ascii="Book Antiqua" w:hAnsi="Book Antiqua"/>
                <w:b/>
                <w:lang w:val="en-US"/>
              </w:rPr>
            </w:pPr>
            <w:r w:rsidRPr="00F746AB">
              <w:rPr>
                <w:rFonts w:ascii="Book Antiqua" w:hAnsi="Book Antiqua"/>
                <w:b/>
                <w:lang w:val="en-US"/>
              </w:rPr>
              <w:t>Type 2</w:t>
            </w:r>
          </w:p>
        </w:tc>
        <w:tc>
          <w:tcPr>
            <w:tcW w:w="1942" w:type="dxa"/>
            <w:tcBorders>
              <w:top w:val="single" w:sz="4" w:space="0" w:color="auto"/>
              <w:bottom w:val="single" w:sz="4" w:space="0" w:color="auto"/>
            </w:tcBorders>
          </w:tcPr>
          <w:p w14:paraId="1F2DE4FF" w14:textId="77777777" w:rsidR="00104380" w:rsidRPr="00F746AB" w:rsidRDefault="00104380" w:rsidP="005A68CD">
            <w:pPr>
              <w:adjustRightInd w:val="0"/>
              <w:snapToGrid w:val="0"/>
              <w:spacing w:line="360" w:lineRule="auto"/>
              <w:jc w:val="center"/>
              <w:rPr>
                <w:rFonts w:ascii="Book Antiqua" w:hAnsi="Book Antiqua"/>
                <w:b/>
                <w:lang w:val="en-US"/>
              </w:rPr>
            </w:pPr>
            <w:r w:rsidRPr="00F746AB">
              <w:rPr>
                <w:rFonts w:ascii="Book Antiqua" w:hAnsi="Book Antiqua"/>
                <w:b/>
                <w:lang w:val="en-US"/>
              </w:rPr>
              <w:t>Type 3</w:t>
            </w:r>
          </w:p>
        </w:tc>
        <w:tc>
          <w:tcPr>
            <w:tcW w:w="1942" w:type="dxa"/>
            <w:tcBorders>
              <w:top w:val="single" w:sz="4" w:space="0" w:color="auto"/>
              <w:bottom w:val="single" w:sz="4" w:space="0" w:color="auto"/>
            </w:tcBorders>
          </w:tcPr>
          <w:p w14:paraId="3EB6C54E" w14:textId="77777777" w:rsidR="00104380" w:rsidRPr="00F746AB" w:rsidRDefault="00104380" w:rsidP="005A68CD">
            <w:pPr>
              <w:adjustRightInd w:val="0"/>
              <w:snapToGrid w:val="0"/>
              <w:spacing w:line="360" w:lineRule="auto"/>
              <w:jc w:val="center"/>
              <w:rPr>
                <w:rFonts w:ascii="Book Antiqua" w:hAnsi="Book Antiqua"/>
                <w:b/>
                <w:lang w:val="en-US"/>
              </w:rPr>
            </w:pPr>
            <w:r w:rsidRPr="00F746AB">
              <w:rPr>
                <w:rFonts w:ascii="Book Antiqua" w:hAnsi="Book Antiqua"/>
                <w:b/>
                <w:lang w:val="en-US"/>
              </w:rPr>
              <w:t>Type 4</w:t>
            </w:r>
          </w:p>
        </w:tc>
      </w:tr>
      <w:tr w:rsidR="00104380" w:rsidRPr="00F746AB" w14:paraId="3CF99167" w14:textId="77777777" w:rsidTr="00DB75E3">
        <w:tc>
          <w:tcPr>
            <w:tcW w:w="1849" w:type="dxa"/>
            <w:tcBorders>
              <w:top w:val="single" w:sz="4" w:space="0" w:color="auto"/>
            </w:tcBorders>
          </w:tcPr>
          <w:p w14:paraId="40B5F026" w14:textId="77777777" w:rsidR="00104380" w:rsidRPr="00F746AB" w:rsidRDefault="00104380" w:rsidP="005A68CD">
            <w:pPr>
              <w:adjustRightInd w:val="0"/>
              <w:snapToGrid w:val="0"/>
              <w:spacing w:line="360" w:lineRule="auto"/>
              <w:rPr>
                <w:rFonts w:ascii="Book Antiqua" w:hAnsi="Book Antiqua"/>
                <w:lang w:val="en-US"/>
              </w:rPr>
            </w:pPr>
            <w:r w:rsidRPr="00F746AB">
              <w:rPr>
                <w:rFonts w:ascii="Book Antiqua" w:hAnsi="Book Antiqua"/>
                <w:lang w:val="en-US"/>
              </w:rPr>
              <w:t xml:space="preserve">Approximate Proportion </w:t>
            </w:r>
          </w:p>
        </w:tc>
        <w:tc>
          <w:tcPr>
            <w:tcW w:w="1832" w:type="dxa"/>
            <w:tcBorders>
              <w:top w:val="single" w:sz="4" w:space="0" w:color="auto"/>
            </w:tcBorders>
          </w:tcPr>
          <w:p w14:paraId="1ECAADA2"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70</w:t>
            </w:r>
            <w:r>
              <w:rPr>
                <w:rFonts w:ascii="Book Antiqua" w:hAnsi="Book Antiqua" w:hint="eastAsia"/>
                <w:lang w:val="en-US" w:eastAsia="zh-CN"/>
              </w:rPr>
              <w:t>%</w:t>
            </w:r>
            <w:r>
              <w:rPr>
                <w:rFonts w:ascii="Book Antiqua" w:hAnsi="Book Antiqua"/>
                <w:lang w:val="en-US"/>
              </w:rPr>
              <w:t>-80</w:t>
            </w:r>
            <w:r w:rsidRPr="00F746AB">
              <w:rPr>
                <w:rFonts w:ascii="Book Antiqua" w:hAnsi="Book Antiqua"/>
                <w:lang w:val="en-US"/>
              </w:rPr>
              <w:t>%</w:t>
            </w:r>
          </w:p>
        </w:tc>
        <w:tc>
          <w:tcPr>
            <w:tcW w:w="1831" w:type="dxa"/>
            <w:tcBorders>
              <w:top w:val="single" w:sz="4" w:space="0" w:color="auto"/>
            </w:tcBorders>
          </w:tcPr>
          <w:p w14:paraId="6073F2CC"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5%</w:t>
            </w:r>
          </w:p>
        </w:tc>
        <w:tc>
          <w:tcPr>
            <w:tcW w:w="1942" w:type="dxa"/>
            <w:tcBorders>
              <w:top w:val="single" w:sz="4" w:space="0" w:color="auto"/>
            </w:tcBorders>
          </w:tcPr>
          <w:p w14:paraId="5B3658DF"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10</w:t>
            </w:r>
            <w:r>
              <w:rPr>
                <w:rFonts w:ascii="Book Antiqua" w:hAnsi="Book Antiqua" w:hint="eastAsia"/>
                <w:lang w:val="en-US" w:eastAsia="zh-CN"/>
              </w:rPr>
              <w:t>%</w:t>
            </w:r>
            <w:r w:rsidRPr="00F746AB">
              <w:rPr>
                <w:rFonts w:ascii="Book Antiqua" w:hAnsi="Book Antiqua"/>
                <w:lang w:val="en-US"/>
              </w:rPr>
              <w:t>-25%</w:t>
            </w:r>
          </w:p>
        </w:tc>
        <w:tc>
          <w:tcPr>
            <w:tcW w:w="1942" w:type="dxa"/>
            <w:tcBorders>
              <w:top w:val="single" w:sz="4" w:space="0" w:color="auto"/>
            </w:tcBorders>
          </w:tcPr>
          <w:p w14:paraId="4EFC37E8"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Rarely</w:t>
            </w:r>
          </w:p>
        </w:tc>
      </w:tr>
      <w:tr w:rsidR="00104380" w:rsidRPr="00F746AB" w14:paraId="16A44642" w14:textId="77777777" w:rsidTr="00DB75E3">
        <w:tc>
          <w:tcPr>
            <w:tcW w:w="1849" w:type="dxa"/>
          </w:tcPr>
          <w:p w14:paraId="4D4BF941" w14:textId="77777777" w:rsidR="00104380" w:rsidRPr="00F746AB" w:rsidRDefault="00104380" w:rsidP="005A68CD">
            <w:pPr>
              <w:adjustRightInd w:val="0"/>
              <w:snapToGrid w:val="0"/>
              <w:spacing w:line="360" w:lineRule="auto"/>
              <w:rPr>
                <w:rFonts w:ascii="Book Antiqua" w:hAnsi="Book Antiqua"/>
                <w:lang w:val="en-US"/>
              </w:rPr>
            </w:pPr>
            <w:r w:rsidRPr="00F746AB">
              <w:rPr>
                <w:rFonts w:ascii="Book Antiqua" w:hAnsi="Book Antiqua"/>
                <w:lang w:val="en-US"/>
              </w:rPr>
              <w:t>Pathogenesis</w:t>
            </w:r>
          </w:p>
        </w:tc>
        <w:tc>
          <w:tcPr>
            <w:tcW w:w="1832" w:type="dxa"/>
          </w:tcPr>
          <w:p w14:paraId="76A60E79" w14:textId="77777777" w:rsidR="00104380" w:rsidRPr="00F746AB" w:rsidRDefault="00104380" w:rsidP="005A68CD">
            <w:pPr>
              <w:adjustRightInd w:val="0"/>
              <w:snapToGrid w:val="0"/>
              <w:spacing w:line="360" w:lineRule="auto"/>
              <w:jc w:val="center"/>
              <w:rPr>
                <w:rFonts w:ascii="Book Antiqua" w:hAnsi="Book Antiqua"/>
                <w:lang w:val="en-US" w:eastAsia="zh-CN"/>
              </w:rPr>
            </w:pPr>
            <w:r w:rsidRPr="00F746AB">
              <w:rPr>
                <w:rFonts w:ascii="Book Antiqua" w:hAnsi="Book Antiqua"/>
                <w:lang w:val="en-US"/>
              </w:rPr>
              <w:t>Increased gastrin levels due to</w:t>
            </w:r>
            <w:r>
              <w:rPr>
                <w:rFonts w:ascii="Book Antiqua" w:hAnsi="Book Antiqua"/>
                <w:lang w:val="en-US"/>
              </w:rPr>
              <w:t xml:space="preserve"> atrophic gastritis. ECL origin</w:t>
            </w:r>
          </w:p>
        </w:tc>
        <w:tc>
          <w:tcPr>
            <w:tcW w:w="1831" w:type="dxa"/>
          </w:tcPr>
          <w:p w14:paraId="5B862C52" w14:textId="77777777" w:rsidR="00104380" w:rsidRPr="00F746AB" w:rsidRDefault="00104380" w:rsidP="005A68CD">
            <w:pPr>
              <w:adjustRightInd w:val="0"/>
              <w:snapToGrid w:val="0"/>
              <w:spacing w:line="360" w:lineRule="auto"/>
              <w:jc w:val="center"/>
              <w:rPr>
                <w:rFonts w:ascii="Book Antiqua" w:hAnsi="Book Antiqua"/>
                <w:lang w:val="en-US" w:eastAsia="zh-CN"/>
              </w:rPr>
            </w:pPr>
            <w:r w:rsidRPr="00F746AB">
              <w:rPr>
                <w:rFonts w:ascii="Book Antiqua" w:hAnsi="Book Antiqua"/>
                <w:lang w:val="en-US"/>
              </w:rPr>
              <w:t>Increased gastrin level</w:t>
            </w:r>
            <w:r>
              <w:rPr>
                <w:rFonts w:ascii="Book Antiqua" w:hAnsi="Book Antiqua"/>
                <w:lang w:val="en-US"/>
              </w:rPr>
              <w:t>s due to gastrinoma. ECL origin</w:t>
            </w:r>
          </w:p>
        </w:tc>
        <w:tc>
          <w:tcPr>
            <w:tcW w:w="1942" w:type="dxa"/>
          </w:tcPr>
          <w:p w14:paraId="455F2313" w14:textId="77777777" w:rsidR="00104380" w:rsidRPr="00F746AB" w:rsidRDefault="00104380" w:rsidP="005A68CD">
            <w:pPr>
              <w:adjustRightInd w:val="0"/>
              <w:snapToGrid w:val="0"/>
              <w:spacing w:line="360" w:lineRule="auto"/>
              <w:jc w:val="center"/>
              <w:rPr>
                <w:rFonts w:ascii="Book Antiqua" w:hAnsi="Book Antiqua"/>
                <w:lang w:val="en-US" w:eastAsia="zh-CN"/>
              </w:rPr>
            </w:pPr>
            <w:r w:rsidRPr="00F746AB">
              <w:rPr>
                <w:rFonts w:ascii="Book Antiqua" w:hAnsi="Book Antiqua"/>
                <w:lang w:val="en-US"/>
              </w:rPr>
              <w:t>Not known. Most</w:t>
            </w:r>
            <w:r>
              <w:rPr>
                <w:rFonts w:ascii="Book Antiqua" w:hAnsi="Book Antiqua"/>
                <w:lang w:val="en-US"/>
              </w:rPr>
              <w:t>ly ECL origin</w:t>
            </w:r>
          </w:p>
        </w:tc>
        <w:tc>
          <w:tcPr>
            <w:tcW w:w="1942" w:type="dxa"/>
          </w:tcPr>
          <w:p w14:paraId="6DD16F35" w14:textId="77777777" w:rsidR="00104380" w:rsidRPr="00F746AB" w:rsidRDefault="00104380" w:rsidP="005A68CD">
            <w:pPr>
              <w:adjustRightInd w:val="0"/>
              <w:snapToGrid w:val="0"/>
              <w:spacing w:line="360" w:lineRule="auto"/>
              <w:jc w:val="center"/>
              <w:rPr>
                <w:rFonts w:ascii="Book Antiqua" w:hAnsi="Book Antiqua"/>
                <w:lang w:val="en-US" w:eastAsia="zh-CN"/>
              </w:rPr>
            </w:pPr>
            <w:r>
              <w:rPr>
                <w:rFonts w:ascii="Book Antiqua" w:hAnsi="Book Antiqua"/>
                <w:lang w:val="en-US"/>
              </w:rPr>
              <w:t>Not known. Non-ECL origin</w:t>
            </w:r>
          </w:p>
        </w:tc>
      </w:tr>
      <w:tr w:rsidR="00104380" w:rsidRPr="00F746AB" w14:paraId="789E0E48" w14:textId="77777777" w:rsidTr="00DB75E3">
        <w:tc>
          <w:tcPr>
            <w:tcW w:w="1849" w:type="dxa"/>
          </w:tcPr>
          <w:p w14:paraId="37280B26" w14:textId="77777777" w:rsidR="00104380" w:rsidRPr="00F746AB" w:rsidRDefault="00104380" w:rsidP="005A68CD">
            <w:pPr>
              <w:adjustRightInd w:val="0"/>
              <w:snapToGrid w:val="0"/>
              <w:spacing w:line="360" w:lineRule="auto"/>
              <w:rPr>
                <w:rFonts w:ascii="Book Antiqua" w:hAnsi="Book Antiqua"/>
                <w:lang w:val="en-US"/>
              </w:rPr>
            </w:pPr>
            <w:r w:rsidRPr="00F746AB">
              <w:rPr>
                <w:rFonts w:ascii="Book Antiqua" w:hAnsi="Book Antiqua"/>
                <w:lang w:val="en-US"/>
              </w:rPr>
              <w:t>Location and characteristics</w:t>
            </w:r>
          </w:p>
        </w:tc>
        <w:tc>
          <w:tcPr>
            <w:tcW w:w="1832" w:type="dxa"/>
          </w:tcPr>
          <w:p w14:paraId="16407AFD" w14:textId="77777777" w:rsidR="00104380" w:rsidRPr="00F746AB" w:rsidRDefault="00104380" w:rsidP="005A68CD">
            <w:pPr>
              <w:adjustRightInd w:val="0"/>
              <w:snapToGrid w:val="0"/>
              <w:spacing w:line="360" w:lineRule="auto"/>
              <w:jc w:val="center"/>
              <w:rPr>
                <w:rFonts w:ascii="Book Antiqua" w:hAnsi="Book Antiqua"/>
                <w:lang w:val="en-US" w:eastAsia="zh-CN"/>
              </w:rPr>
            </w:pPr>
            <w:r w:rsidRPr="00F746AB">
              <w:rPr>
                <w:rFonts w:ascii="Book Antiqua" w:hAnsi="Book Antiqua"/>
                <w:lang w:val="en-US"/>
              </w:rPr>
              <w:t>Gastric body and f</w:t>
            </w:r>
            <w:r>
              <w:rPr>
                <w:rFonts w:ascii="Book Antiqua" w:hAnsi="Book Antiqua"/>
                <w:lang w:val="en-US"/>
              </w:rPr>
              <w:t>undus. Often small and multiple</w:t>
            </w:r>
          </w:p>
        </w:tc>
        <w:tc>
          <w:tcPr>
            <w:tcW w:w="1831" w:type="dxa"/>
          </w:tcPr>
          <w:p w14:paraId="42BAE8A4" w14:textId="77777777" w:rsidR="00104380" w:rsidRPr="00F746AB" w:rsidRDefault="00104380" w:rsidP="005A68CD">
            <w:pPr>
              <w:adjustRightInd w:val="0"/>
              <w:snapToGrid w:val="0"/>
              <w:spacing w:line="360" w:lineRule="auto"/>
              <w:jc w:val="center"/>
              <w:rPr>
                <w:rFonts w:ascii="Book Antiqua" w:hAnsi="Book Antiqua"/>
                <w:lang w:val="en-US" w:eastAsia="zh-CN"/>
              </w:rPr>
            </w:pPr>
            <w:r w:rsidRPr="00F746AB">
              <w:rPr>
                <w:rFonts w:ascii="Book Antiqua" w:hAnsi="Book Antiqua"/>
                <w:lang w:val="en-US"/>
              </w:rPr>
              <w:t>Gastric body and f</w:t>
            </w:r>
            <w:r>
              <w:rPr>
                <w:rFonts w:ascii="Book Antiqua" w:hAnsi="Book Antiqua"/>
                <w:lang w:val="en-US"/>
              </w:rPr>
              <w:t>undus. Often small and multiple</w:t>
            </w:r>
          </w:p>
        </w:tc>
        <w:tc>
          <w:tcPr>
            <w:tcW w:w="1942" w:type="dxa"/>
          </w:tcPr>
          <w:p w14:paraId="177BC647" w14:textId="77777777" w:rsidR="00104380" w:rsidRPr="00F746AB" w:rsidRDefault="00104380" w:rsidP="005A68CD">
            <w:pPr>
              <w:adjustRightInd w:val="0"/>
              <w:snapToGrid w:val="0"/>
              <w:spacing w:line="360" w:lineRule="auto"/>
              <w:jc w:val="center"/>
              <w:rPr>
                <w:rFonts w:ascii="Book Antiqua" w:hAnsi="Book Antiqua"/>
                <w:lang w:val="en-US" w:eastAsia="zh-CN"/>
              </w:rPr>
            </w:pPr>
            <w:r w:rsidRPr="00F746AB">
              <w:rPr>
                <w:rFonts w:ascii="Book Antiqua" w:hAnsi="Book Antiqua"/>
                <w:lang w:val="en-US"/>
              </w:rPr>
              <w:t xml:space="preserve">Anywhere. </w:t>
            </w:r>
            <w:r>
              <w:rPr>
                <w:rFonts w:ascii="Book Antiqua" w:hAnsi="Book Antiqua"/>
                <w:lang w:val="en-US"/>
              </w:rPr>
              <w:t>Large and solitary</w:t>
            </w:r>
          </w:p>
        </w:tc>
        <w:tc>
          <w:tcPr>
            <w:tcW w:w="1942" w:type="dxa"/>
          </w:tcPr>
          <w:p w14:paraId="02725E73" w14:textId="77777777" w:rsidR="00104380" w:rsidRPr="00F746AB" w:rsidRDefault="00104380" w:rsidP="005A68CD">
            <w:pPr>
              <w:adjustRightInd w:val="0"/>
              <w:snapToGrid w:val="0"/>
              <w:spacing w:line="360" w:lineRule="auto"/>
              <w:jc w:val="center"/>
              <w:rPr>
                <w:rFonts w:ascii="Book Antiqua" w:hAnsi="Book Antiqua"/>
                <w:lang w:val="en-US" w:eastAsia="zh-CN"/>
              </w:rPr>
            </w:pPr>
            <w:r w:rsidRPr="00F746AB">
              <w:rPr>
                <w:rFonts w:ascii="Book Antiqua" w:hAnsi="Book Antiqua"/>
                <w:lang w:val="en-US"/>
              </w:rPr>
              <w:t>Anywhere. L</w:t>
            </w:r>
            <w:r>
              <w:rPr>
                <w:rFonts w:ascii="Book Antiqua" w:hAnsi="Book Antiqua"/>
                <w:lang w:val="en-US"/>
              </w:rPr>
              <w:t>arge (often larger than type 3)</w:t>
            </w:r>
          </w:p>
        </w:tc>
      </w:tr>
      <w:tr w:rsidR="00104380" w:rsidRPr="00F746AB" w14:paraId="77A56382" w14:textId="77777777" w:rsidTr="00DB75E3">
        <w:tc>
          <w:tcPr>
            <w:tcW w:w="1849" w:type="dxa"/>
          </w:tcPr>
          <w:p w14:paraId="6296DC50" w14:textId="77777777" w:rsidR="00104380" w:rsidRPr="00F746AB" w:rsidRDefault="00104380" w:rsidP="005A68CD">
            <w:pPr>
              <w:adjustRightInd w:val="0"/>
              <w:snapToGrid w:val="0"/>
              <w:spacing w:line="360" w:lineRule="auto"/>
              <w:rPr>
                <w:rFonts w:ascii="Book Antiqua" w:hAnsi="Book Antiqua"/>
                <w:lang w:val="en-US"/>
              </w:rPr>
            </w:pPr>
            <w:r w:rsidRPr="00F746AB">
              <w:rPr>
                <w:rFonts w:ascii="Book Antiqua" w:hAnsi="Book Antiqua"/>
                <w:lang w:val="en-US"/>
              </w:rPr>
              <w:t>Gastrin level</w:t>
            </w:r>
          </w:p>
        </w:tc>
        <w:tc>
          <w:tcPr>
            <w:tcW w:w="1832" w:type="dxa"/>
          </w:tcPr>
          <w:p w14:paraId="508ED914"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Increased</w:t>
            </w:r>
          </w:p>
        </w:tc>
        <w:tc>
          <w:tcPr>
            <w:tcW w:w="1831" w:type="dxa"/>
          </w:tcPr>
          <w:p w14:paraId="132AC350"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Increased</w:t>
            </w:r>
          </w:p>
        </w:tc>
        <w:tc>
          <w:tcPr>
            <w:tcW w:w="1942" w:type="dxa"/>
          </w:tcPr>
          <w:p w14:paraId="6A938EE1"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Normal</w:t>
            </w:r>
          </w:p>
        </w:tc>
        <w:tc>
          <w:tcPr>
            <w:tcW w:w="1942" w:type="dxa"/>
          </w:tcPr>
          <w:p w14:paraId="39DD3E22"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Increased or normal</w:t>
            </w:r>
          </w:p>
        </w:tc>
      </w:tr>
      <w:tr w:rsidR="00104380" w:rsidRPr="00F746AB" w14:paraId="24FB1924" w14:textId="77777777" w:rsidTr="00DB75E3">
        <w:tc>
          <w:tcPr>
            <w:tcW w:w="1849" w:type="dxa"/>
          </w:tcPr>
          <w:p w14:paraId="1EE7652B" w14:textId="77777777" w:rsidR="00104380" w:rsidRPr="00F746AB" w:rsidRDefault="00104380" w:rsidP="005A68CD">
            <w:pPr>
              <w:adjustRightInd w:val="0"/>
              <w:snapToGrid w:val="0"/>
              <w:spacing w:line="360" w:lineRule="auto"/>
              <w:rPr>
                <w:rFonts w:ascii="Book Antiqua" w:hAnsi="Book Antiqua"/>
                <w:lang w:val="en-US"/>
              </w:rPr>
            </w:pPr>
            <w:r w:rsidRPr="00F746AB">
              <w:rPr>
                <w:rFonts w:ascii="Book Antiqua" w:hAnsi="Book Antiqua"/>
                <w:lang w:val="en-US"/>
              </w:rPr>
              <w:t>Prognosis</w:t>
            </w:r>
          </w:p>
        </w:tc>
        <w:tc>
          <w:tcPr>
            <w:tcW w:w="1832" w:type="dxa"/>
          </w:tcPr>
          <w:p w14:paraId="2E20EEAD"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Excellent</w:t>
            </w:r>
          </w:p>
        </w:tc>
        <w:tc>
          <w:tcPr>
            <w:tcW w:w="1831" w:type="dxa"/>
          </w:tcPr>
          <w:p w14:paraId="40712456"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Good</w:t>
            </w:r>
          </w:p>
        </w:tc>
        <w:tc>
          <w:tcPr>
            <w:tcW w:w="1942" w:type="dxa"/>
          </w:tcPr>
          <w:p w14:paraId="4F8BC7A4"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Bad</w:t>
            </w:r>
          </w:p>
        </w:tc>
        <w:tc>
          <w:tcPr>
            <w:tcW w:w="1942" w:type="dxa"/>
          </w:tcPr>
          <w:p w14:paraId="4076B499"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Bad</w:t>
            </w:r>
          </w:p>
        </w:tc>
      </w:tr>
      <w:tr w:rsidR="00104380" w:rsidRPr="00F746AB" w14:paraId="2AF9BFFA" w14:textId="77777777" w:rsidTr="00DB75E3">
        <w:tc>
          <w:tcPr>
            <w:tcW w:w="1849" w:type="dxa"/>
          </w:tcPr>
          <w:p w14:paraId="50003F76" w14:textId="77777777" w:rsidR="00104380" w:rsidRPr="00F746AB" w:rsidRDefault="00104380" w:rsidP="005A68CD">
            <w:pPr>
              <w:adjustRightInd w:val="0"/>
              <w:snapToGrid w:val="0"/>
              <w:spacing w:line="360" w:lineRule="auto"/>
              <w:rPr>
                <w:rFonts w:ascii="Book Antiqua" w:hAnsi="Book Antiqua"/>
                <w:lang w:val="en-US"/>
              </w:rPr>
            </w:pPr>
            <w:r w:rsidRPr="00F746AB">
              <w:rPr>
                <w:rFonts w:ascii="Book Antiqua" w:hAnsi="Book Antiqua"/>
                <w:lang w:val="en-US"/>
              </w:rPr>
              <w:t>Treatment</w:t>
            </w:r>
          </w:p>
        </w:tc>
        <w:tc>
          <w:tcPr>
            <w:tcW w:w="1832" w:type="dxa"/>
          </w:tcPr>
          <w:p w14:paraId="348F735A"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Surveillance without resection, Endoscopic resection, surgery</w:t>
            </w:r>
          </w:p>
        </w:tc>
        <w:tc>
          <w:tcPr>
            <w:tcW w:w="1831" w:type="dxa"/>
          </w:tcPr>
          <w:p w14:paraId="7E49033B"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Endoscopic or surgical resection, resection of gastrinoma</w:t>
            </w:r>
          </w:p>
        </w:tc>
        <w:tc>
          <w:tcPr>
            <w:tcW w:w="1942" w:type="dxa"/>
          </w:tcPr>
          <w:p w14:paraId="520DEFD5"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Gastrectomy and regional lymphadenectomy, systemic chemotherapy</w:t>
            </w:r>
          </w:p>
        </w:tc>
        <w:tc>
          <w:tcPr>
            <w:tcW w:w="1942" w:type="dxa"/>
          </w:tcPr>
          <w:p w14:paraId="7BB6B2E4" w14:textId="77777777" w:rsidR="00104380" w:rsidRPr="00F746AB" w:rsidRDefault="00104380" w:rsidP="005A68CD">
            <w:pPr>
              <w:adjustRightInd w:val="0"/>
              <w:snapToGrid w:val="0"/>
              <w:spacing w:line="360" w:lineRule="auto"/>
              <w:jc w:val="center"/>
              <w:rPr>
                <w:rFonts w:ascii="Book Antiqua" w:hAnsi="Book Antiqua"/>
                <w:lang w:val="en-US"/>
              </w:rPr>
            </w:pPr>
            <w:r w:rsidRPr="00F746AB">
              <w:rPr>
                <w:rFonts w:ascii="Book Antiqua" w:hAnsi="Book Antiqua"/>
                <w:lang w:val="en-US"/>
              </w:rPr>
              <w:t>Gastrectomy and regional lymphadenectomy, systemic chemotherapy</w:t>
            </w:r>
          </w:p>
        </w:tc>
      </w:tr>
    </w:tbl>
    <w:p w14:paraId="4A46AA11" w14:textId="77777777" w:rsidR="00104380" w:rsidRPr="00F746AB" w:rsidRDefault="00104380" w:rsidP="005A68CD">
      <w:pPr>
        <w:adjustRightInd w:val="0"/>
        <w:snapToGrid w:val="0"/>
        <w:spacing w:line="360" w:lineRule="auto"/>
        <w:rPr>
          <w:rFonts w:ascii="Book Antiqua" w:hAnsi="Book Antiqua"/>
        </w:rPr>
      </w:pPr>
    </w:p>
    <w:p w14:paraId="0CE831F3" w14:textId="77777777" w:rsidR="005520EF" w:rsidRDefault="005520EF" w:rsidP="005520EF">
      <w:pPr>
        <w:jc w:val="center"/>
        <w:rPr>
          <w:rFonts w:ascii="Book Antiqua" w:hAnsi="Book Antiqua"/>
          <w:lang w:eastAsia="zh-CN"/>
        </w:rPr>
      </w:pPr>
      <w:r>
        <w:rPr>
          <w:lang w:eastAsia="zh-CN"/>
        </w:rPr>
        <w:br w:type="page"/>
      </w:r>
      <w:bookmarkStart w:id="12" w:name="OLE_LINK1"/>
      <w:bookmarkStart w:id="13" w:name="OLE_LINK2"/>
    </w:p>
    <w:p w14:paraId="42D0E5F5" w14:textId="77777777" w:rsidR="005520EF" w:rsidRDefault="005520EF" w:rsidP="005520EF">
      <w:pPr>
        <w:jc w:val="center"/>
        <w:rPr>
          <w:rFonts w:ascii="Book Antiqua" w:hAnsi="Book Antiqua"/>
          <w:lang w:eastAsia="zh-CN"/>
        </w:rPr>
      </w:pPr>
    </w:p>
    <w:p w14:paraId="6312C80F" w14:textId="77777777" w:rsidR="005520EF" w:rsidRDefault="005520EF" w:rsidP="005520EF">
      <w:pPr>
        <w:jc w:val="center"/>
        <w:rPr>
          <w:rFonts w:ascii="Book Antiqua" w:hAnsi="Book Antiqua"/>
          <w:lang w:eastAsia="zh-CN"/>
        </w:rPr>
      </w:pPr>
    </w:p>
    <w:p w14:paraId="6291E268" w14:textId="77777777" w:rsidR="005520EF" w:rsidRDefault="005520EF" w:rsidP="005520EF">
      <w:pPr>
        <w:jc w:val="center"/>
        <w:rPr>
          <w:rFonts w:ascii="Book Antiqua" w:hAnsi="Book Antiqua"/>
          <w:lang w:eastAsia="zh-CN"/>
        </w:rPr>
      </w:pPr>
    </w:p>
    <w:p w14:paraId="11A78C65" w14:textId="77777777" w:rsidR="005520EF" w:rsidRDefault="005520EF" w:rsidP="005520EF">
      <w:pPr>
        <w:jc w:val="center"/>
        <w:rPr>
          <w:rFonts w:ascii="Book Antiqua" w:hAnsi="Book Antiqua"/>
          <w:lang w:eastAsia="zh-CN"/>
        </w:rPr>
      </w:pPr>
    </w:p>
    <w:p w14:paraId="63C1C5A6" w14:textId="77777777" w:rsidR="005520EF" w:rsidRDefault="005520EF" w:rsidP="005520EF">
      <w:pPr>
        <w:jc w:val="center"/>
        <w:rPr>
          <w:rFonts w:ascii="Book Antiqua" w:hAnsi="Book Antiqua"/>
          <w:lang w:eastAsia="zh-CN"/>
        </w:rPr>
      </w:pPr>
      <w:r>
        <w:rPr>
          <w:rFonts w:ascii="Book Antiqua" w:hAnsi="Book Antiqua"/>
          <w:noProof/>
          <w:lang w:eastAsia="zh-CN"/>
        </w:rPr>
        <w:drawing>
          <wp:inline distT="0" distB="0" distL="0" distR="0" wp14:anchorId="7D4C63B7" wp14:editId="769A62E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BC84BAC" w14:textId="77777777" w:rsidR="005520EF" w:rsidRDefault="005520EF" w:rsidP="005520EF">
      <w:pPr>
        <w:jc w:val="center"/>
        <w:rPr>
          <w:rFonts w:ascii="Book Antiqua" w:hAnsi="Book Antiqua"/>
          <w:lang w:eastAsia="zh-CN"/>
        </w:rPr>
      </w:pPr>
    </w:p>
    <w:p w14:paraId="6E0BBB35" w14:textId="77777777" w:rsidR="005520EF" w:rsidRPr="00763D22" w:rsidRDefault="005520EF" w:rsidP="005520E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319C329" w14:textId="77777777" w:rsidR="005520EF" w:rsidRPr="00763D22" w:rsidRDefault="005520EF" w:rsidP="005520E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E60CCBF" w14:textId="77777777" w:rsidR="005520EF" w:rsidRPr="00763D22" w:rsidRDefault="005520EF" w:rsidP="005520E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29B6E7E" w14:textId="77777777" w:rsidR="005520EF" w:rsidRPr="00763D22" w:rsidRDefault="005520EF" w:rsidP="005520E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FEA869B" w14:textId="77777777" w:rsidR="005520EF" w:rsidRPr="00763D22" w:rsidRDefault="005520EF" w:rsidP="005520E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33AAFF2" w14:textId="77777777" w:rsidR="005520EF" w:rsidRPr="00763D22" w:rsidRDefault="005520EF" w:rsidP="005520E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D7C93E7" w14:textId="77777777" w:rsidR="005520EF" w:rsidRDefault="005520EF" w:rsidP="005520EF">
      <w:pPr>
        <w:jc w:val="center"/>
        <w:rPr>
          <w:rFonts w:ascii="Book Antiqua" w:hAnsi="Book Antiqua"/>
          <w:lang w:eastAsia="zh-CN"/>
        </w:rPr>
      </w:pPr>
    </w:p>
    <w:p w14:paraId="2F42FF94" w14:textId="77777777" w:rsidR="005520EF" w:rsidRDefault="005520EF" w:rsidP="005520EF">
      <w:pPr>
        <w:jc w:val="center"/>
        <w:rPr>
          <w:rFonts w:ascii="Book Antiqua" w:hAnsi="Book Antiqua"/>
          <w:lang w:eastAsia="zh-CN"/>
        </w:rPr>
      </w:pPr>
    </w:p>
    <w:p w14:paraId="3853A882" w14:textId="77777777" w:rsidR="005520EF" w:rsidRDefault="005520EF" w:rsidP="005520EF">
      <w:pPr>
        <w:jc w:val="center"/>
        <w:rPr>
          <w:rFonts w:ascii="Book Antiqua" w:hAnsi="Book Antiqua"/>
          <w:lang w:eastAsia="zh-CN"/>
        </w:rPr>
      </w:pPr>
    </w:p>
    <w:p w14:paraId="7C745199" w14:textId="77777777" w:rsidR="005520EF" w:rsidRDefault="005520EF" w:rsidP="005520EF">
      <w:pPr>
        <w:jc w:val="center"/>
        <w:rPr>
          <w:rFonts w:ascii="Book Antiqua" w:hAnsi="Book Antiqua"/>
          <w:lang w:eastAsia="zh-CN"/>
        </w:rPr>
      </w:pPr>
      <w:r>
        <w:rPr>
          <w:rFonts w:ascii="Book Antiqua" w:hAnsi="Book Antiqua"/>
          <w:noProof/>
          <w:lang w:eastAsia="zh-CN"/>
        </w:rPr>
        <w:drawing>
          <wp:inline distT="0" distB="0" distL="0" distR="0" wp14:anchorId="1BD2439E" wp14:editId="6C78C15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6B5AA3" w14:textId="77777777" w:rsidR="005520EF" w:rsidRDefault="005520EF" w:rsidP="005520EF">
      <w:pPr>
        <w:jc w:val="center"/>
        <w:rPr>
          <w:rFonts w:ascii="Book Antiqua" w:hAnsi="Book Antiqua"/>
          <w:lang w:eastAsia="zh-CN"/>
        </w:rPr>
      </w:pPr>
    </w:p>
    <w:p w14:paraId="5280E306" w14:textId="77777777" w:rsidR="005520EF" w:rsidRDefault="005520EF" w:rsidP="005520EF">
      <w:pPr>
        <w:jc w:val="center"/>
        <w:rPr>
          <w:rFonts w:ascii="Book Antiqua" w:hAnsi="Book Antiqua"/>
          <w:lang w:eastAsia="zh-CN"/>
        </w:rPr>
      </w:pPr>
    </w:p>
    <w:p w14:paraId="359245C8" w14:textId="77777777" w:rsidR="005520EF" w:rsidRDefault="005520EF" w:rsidP="005520EF">
      <w:pPr>
        <w:jc w:val="center"/>
        <w:rPr>
          <w:rFonts w:ascii="Book Antiqua" w:hAnsi="Book Antiqua"/>
          <w:lang w:eastAsia="zh-CN"/>
        </w:rPr>
      </w:pPr>
    </w:p>
    <w:p w14:paraId="478BD303" w14:textId="77777777" w:rsidR="005520EF" w:rsidRDefault="005520EF" w:rsidP="005520EF">
      <w:pPr>
        <w:jc w:val="center"/>
        <w:rPr>
          <w:rFonts w:ascii="Book Antiqua" w:hAnsi="Book Antiqua"/>
          <w:lang w:eastAsia="zh-CN"/>
        </w:rPr>
      </w:pPr>
    </w:p>
    <w:p w14:paraId="5A2AED42" w14:textId="77777777" w:rsidR="005520EF" w:rsidRDefault="005520EF" w:rsidP="005520EF">
      <w:pPr>
        <w:jc w:val="center"/>
        <w:rPr>
          <w:rFonts w:ascii="Book Antiqua" w:hAnsi="Book Antiqua"/>
          <w:lang w:eastAsia="zh-CN"/>
        </w:rPr>
      </w:pPr>
    </w:p>
    <w:p w14:paraId="3BDCEEA5" w14:textId="77777777" w:rsidR="005520EF" w:rsidRDefault="005520EF" w:rsidP="005520EF">
      <w:pPr>
        <w:jc w:val="center"/>
        <w:rPr>
          <w:rFonts w:ascii="Book Antiqua" w:hAnsi="Book Antiqua"/>
          <w:lang w:eastAsia="zh-CN"/>
        </w:rPr>
      </w:pPr>
    </w:p>
    <w:p w14:paraId="25BBF879" w14:textId="77777777" w:rsidR="005520EF" w:rsidRDefault="005520EF" w:rsidP="005520EF">
      <w:pPr>
        <w:jc w:val="center"/>
        <w:rPr>
          <w:rFonts w:ascii="Book Antiqua" w:hAnsi="Book Antiqua"/>
          <w:lang w:eastAsia="zh-CN"/>
        </w:rPr>
      </w:pPr>
    </w:p>
    <w:p w14:paraId="37380D34" w14:textId="77777777" w:rsidR="005520EF" w:rsidRDefault="005520EF" w:rsidP="005520EF">
      <w:pPr>
        <w:jc w:val="center"/>
        <w:rPr>
          <w:rFonts w:ascii="Book Antiqua" w:hAnsi="Book Antiqua"/>
          <w:lang w:eastAsia="zh-CN"/>
        </w:rPr>
      </w:pPr>
    </w:p>
    <w:p w14:paraId="7C5F5629" w14:textId="77777777" w:rsidR="005520EF" w:rsidRDefault="005520EF" w:rsidP="005520EF">
      <w:pPr>
        <w:jc w:val="center"/>
        <w:rPr>
          <w:rFonts w:ascii="Book Antiqua" w:hAnsi="Book Antiqua"/>
          <w:lang w:eastAsia="zh-CN"/>
        </w:rPr>
      </w:pPr>
    </w:p>
    <w:p w14:paraId="70794DAA" w14:textId="77777777" w:rsidR="005520EF" w:rsidRPr="00763D22" w:rsidRDefault="005520EF" w:rsidP="005520EF">
      <w:pPr>
        <w:jc w:val="right"/>
        <w:rPr>
          <w:rFonts w:ascii="Book Antiqua" w:hAnsi="Book Antiqua"/>
          <w:color w:val="000000" w:themeColor="text1"/>
          <w:lang w:eastAsia="zh-CN"/>
        </w:rPr>
      </w:pPr>
    </w:p>
    <w:p w14:paraId="78A56CD0" w14:textId="77777777" w:rsidR="005520EF" w:rsidRPr="00763D22" w:rsidRDefault="005520EF" w:rsidP="005520E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2"/>
      <w:bookmarkEnd w:id="13"/>
    </w:p>
    <w:p w14:paraId="13F73CA0" w14:textId="1CF58D1F" w:rsidR="00104380" w:rsidRPr="005520EF" w:rsidRDefault="00104380" w:rsidP="005A68CD">
      <w:pPr>
        <w:adjustRightInd w:val="0"/>
        <w:snapToGrid w:val="0"/>
        <w:spacing w:line="360" w:lineRule="auto"/>
        <w:jc w:val="both"/>
        <w:rPr>
          <w:lang w:eastAsia="zh-CN"/>
        </w:rPr>
      </w:pPr>
      <w:bookmarkStart w:id="14" w:name="_GoBack"/>
      <w:bookmarkEnd w:id="14"/>
    </w:p>
    <w:sectPr w:rsidR="00104380" w:rsidRPr="005520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A2290" w14:textId="77777777" w:rsidR="0004662E" w:rsidRDefault="0004662E" w:rsidP="005A68CD">
      <w:r>
        <w:separator/>
      </w:r>
    </w:p>
  </w:endnote>
  <w:endnote w:type="continuationSeparator" w:id="0">
    <w:p w14:paraId="307639E0" w14:textId="77777777" w:rsidR="0004662E" w:rsidRDefault="0004662E" w:rsidP="005A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24389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1D7E55E" w14:textId="77777777" w:rsidR="005A68CD" w:rsidRPr="005A68CD" w:rsidRDefault="005A68CD" w:rsidP="005A68CD">
            <w:pPr>
              <w:pStyle w:val="a6"/>
              <w:jc w:val="right"/>
              <w:rPr>
                <w:rFonts w:ascii="Book Antiqua" w:hAnsi="Book Antiqua"/>
                <w:sz w:val="24"/>
                <w:szCs w:val="24"/>
              </w:rPr>
            </w:pPr>
            <w:r w:rsidRPr="005A68CD">
              <w:rPr>
                <w:rFonts w:ascii="Book Antiqua" w:hAnsi="Book Antiqua"/>
                <w:sz w:val="24"/>
                <w:szCs w:val="24"/>
                <w:lang w:val="zh-CN" w:eastAsia="zh-CN"/>
              </w:rPr>
              <w:t xml:space="preserve"> </w:t>
            </w:r>
            <w:r w:rsidRPr="005A68CD">
              <w:rPr>
                <w:rFonts w:ascii="Book Antiqua" w:hAnsi="Book Antiqua"/>
                <w:b/>
                <w:bCs/>
                <w:sz w:val="24"/>
                <w:szCs w:val="24"/>
              </w:rPr>
              <w:fldChar w:fldCharType="begin"/>
            </w:r>
            <w:r w:rsidRPr="005A68CD">
              <w:rPr>
                <w:rFonts w:ascii="Book Antiqua" w:hAnsi="Book Antiqua"/>
                <w:b/>
                <w:bCs/>
                <w:sz w:val="24"/>
                <w:szCs w:val="24"/>
              </w:rPr>
              <w:instrText>PAGE</w:instrText>
            </w:r>
            <w:r w:rsidRPr="005A68CD">
              <w:rPr>
                <w:rFonts w:ascii="Book Antiqua" w:hAnsi="Book Antiqua"/>
                <w:b/>
                <w:bCs/>
                <w:sz w:val="24"/>
                <w:szCs w:val="24"/>
              </w:rPr>
              <w:fldChar w:fldCharType="separate"/>
            </w:r>
            <w:r w:rsidR="0004662E">
              <w:rPr>
                <w:rFonts w:ascii="Book Antiqua" w:hAnsi="Book Antiqua"/>
                <w:b/>
                <w:bCs/>
                <w:noProof/>
                <w:sz w:val="24"/>
                <w:szCs w:val="24"/>
              </w:rPr>
              <w:t>1</w:t>
            </w:r>
            <w:r w:rsidRPr="005A68CD">
              <w:rPr>
                <w:rFonts w:ascii="Book Antiqua" w:hAnsi="Book Antiqua"/>
                <w:b/>
                <w:bCs/>
                <w:sz w:val="24"/>
                <w:szCs w:val="24"/>
              </w:rPr>
              <w:fldChar w:fldCharType="end"/>
            </w:r>
            <w:r w:rsidRPr="005A68CD">
              <w:rPr>
                <w:rFonts w:ascii="Book Antiqua" w:hAnsi="Book Antiqua"/>
                <w:sz w:val="24"/>
                <w:szCs w:val="24"/>
                <w:lang w:val="zh-CN" w:eastAsia="zh-CN"/>
              </w:rPr>
              <w:t xml:space="preserve"> / </w:t>
            </w:r>
            <w:r w:rsidRPr="005A68CD">
              <w:rPr>
                <w:rFonts w:ascii="Book Antiqua" w:hAnsi="Book Antiqua"/>
                <w:b/>
                <w:bCs/>
                <w:sz w:val="24"/>
                <w:szCs w:val="24"/>
              </w:rPr>
              <w:fldChar w:fldCharType="begin"/>
            </w:r>
            <w:r w:rsidRPr="005A68CD">
              <w:rPr>
                <w:rFonts w:ascii="Book Antiqua" w:hAnsi="Book Antiqua"/>
                <w:b/>
                <w:bCs/>
                <w:sz w:val="24"/>
                <w:szCs w:val="24"/>
              </w:rPr>
              <w:instrText>NUMPAGES</w:instrText>
            </w:r>
            <w:r w:rsidRPr="005A68CD">
              <w:rPr>
                <w:rFonts w:ascii="Book Antiqua" w:hAnsi="Book Antiqua"/>
                <w:b/>
                <w:bCs/>
                <w:sz w:val="24"/>
                <w:szCs w:val="24"/>
              </w:rPr>
              <w:fldChar w:fldCharType="separate"/>
            </w:r>
            <w:r w:rsidR="0004662E">
              <w:rPr>
                <w:rFonts w:ascii="Book Antiqua" w:hAnsi="Book Antiqua"/>
                <w:b/>
                <w:bCs/>
                <w:noProof/>
                <w:sz w:val="24"/>
                <w:szCs w:val="24"/>
              </w:rPr>
              <w:t>1</w:t>
            </w:r>
            <w:r w:rsidRPr="005A68CD">
              <w:rPr>
                <w:rFonts w:ascii="Book Antiqua" w:hAnsi="Book Antiqua"/>
                <w:b/>
                <w:bCs/>
                <w:sz w:val="24"/>
                <w:szCs w:val="24"/>
              </w:rPr>
              <w:fldChar w:fldCharType="end"/>
            </w:r>
          </w:p>
        </w:sdtContent>
      </w:sdt>
    </w:sdtContent>
  </w:sdt>
  <w:p w14:paraId="62871D2A" w14:textId="77777777" w:rsidR="005A68CD" w:rsidRDefault="005A68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2F06D" w14:textId="77777777" w:rsidR="0004662E" w:rsidRDefault="0004662E" w:rsidP="005A68CD">
      <w:r>
        <w:separator/>
      </w:r>
    </w:p>
  </w:footnote>
  <w:footnote w:type="continuationSeparator" w:id="0">
    <w:p w14:paraId="7473EB95" w14:textId="77777777" w:rsidR="0004662E" w:rsidRDefault="0004662E" w:rsidP="005A6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662E"/>
    <w:rsid w:val="00104380"/>
    <w:rsid w:val="001142B7"/>
    <w:rsid w:val="001367C9"/>
    <w:rsid w:val="001B5035"/>
    <w:rsid w:val="001E4636"/>
    <w:rsid w:val="00203946"/>
    <w:rsid w:val="0025424F"/>
    <w:rsid w:val="002F3679"/>
    <w:rsid w:val="00426CC4"/>
    <w:rsid w:val="005520EF"/>
    <w:rsid w:val="005A68CD"/>
    <w:rsid w:val="0067130C"/>
    <w:rsid w:val="006C7D93"/>
    <w:rsid w:val="008011C1"/>
    <w:rsid w:val="008A1CCA"/>
    <w:rsid w:val="008A716C"/>
    <w:rsid w:val="009A5FE6"/>
    <w:rsid w:val="00A27C93"/>
    <w:rsid w:val="00A77B3E"/>
    <w:rsid w:val="00AD3B22"/>
    <w:rsid w:val="00B2576B"/>
    <w:rsid w:val="00B77C21"/>
    <w:rsid w:val="00BC0540"/>
    <w:rsid w:val="00C20338"/>
    <w:rsid w:val="00C37C75"/>
    <w:rsid w:val="00C57A72"/>
    <w:rsid w:val="00C90D47"/>
    <w:rsid w:val="00CA2A55"/>
    <w:rsid w:val="00CB2A58"/>
    <w:rsid w:val="00D51B45"/>
    <w:rsid w:val="00D8537B"/>
    <w:rsid w:val="00D90341"/>
    <w:rsid w:val="00DE5732"/>
    <w:rsid w:val="00EC2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6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_"/>
    <w:basedOn w:val="a0"/>
    <w:rsid w:val="00104380"/>
  </w:style>
  <w:style w:type="character" w:customStyle="1" w:styleId="ff6">
    <w:name w:val="ff6"/>
    <w:basedOn w:val="a0"/>
    <w:rsid w:val="00104380"/>
  </w:style>
  <w:style w:type="table" w:styleId="a4">
    <w:name w:val="Table Grid"/>
    <w:basedOn w:val="a1"/>
    <w:uiPriority w:val="59"/>
    <w:rsid w:val="00104380"/>
    <w:rPr>
      <w:rFonts w:asciiTheme="minorHAnsi" w:hAnsiTheme="minorHAnsi" w:cstheme="minorBidi"/>
      <w:sz w:val="22"/>
      <w:szCs w:val="22"/>
      <w:lang w:val="tr-TR"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rsid w:val="005A6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A68CD"/>
    <w:rPr>
      <w:sz w:val="18"/>
      <w:szCs w:val="18"/>
    </w:rPr>
  </w:style>
  <w:style w:type="paragraph" w:styleId="a6">
    <w:name w:val="footer"/>
    <w:basedOn w:val="a"/>
    <w:link w:val="Char0"/>
    <w:uiPriority w:val="99"/>
    <w:rsid w:val="005A68CD"/>
    <w:pPr>
      <w:tabs>
        <w:tab w:val="center" w:pos="4153"/>
        <w:tab w:val="right" w:pos="8306"/>
      </w:tabs>
      <w:snapToGrid w:val="0"/>
    </w:pPr>
    <w:rPr>
      <w:sz w:val="18"/>
      <w:szCs w:val="18"/>
    </w:rPr>
  </w:style>
  <w:style w:type="character" w:customStyle="1" w:styleId="Char0">
    <w:name w:val="页脚 Char"/>
    <w:basedOn w:val="a0"/>
    <w:link w:val="a6"/>
    <w:uiPriority w:val="99"/>
    <w:rsid w:val="005A68CD"/>
    <w:rPr>
      <w:sz w:val="18"/>
      <w:szCs w:val="18"/>
    </w:rPr>
  </w:style>
  <w:style w:type="paragraph" w:styleId="a7">
    <w:name w:val="Balloon Text"/>
    <w:basedOn w:val="a"/>
    <w:link w:val="Char1"/>
    <w:rsid w:val="005520EF"/>
    <w:rPr>
      <w:sz w:val="18"/>
      <w:szCs w:val="18"/>
    </w:rPr>
  </w:style>
  <w:style w:type="character" w:customStyle="1" w:styleId="Char1">
    <w:name w:val="批注框文本 Char"/>
    <w:basedOn w:val="a0"/>
    <w:link w:val="a7"/>
    <w:rsid w:val="005520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32</Pages>
  <Words>9002</Words>
  <Characters>51315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25</cp:revision>
  <dcterms:created xsi:type="dcterms:W3CDTF">2021-08-13T11:26:00Z</dcterms:created>
  <dcterms:modified xsi:type="dcterms:W3CDTF">2021-09-14T01:22:00Z</dcterms:modified>
</cp:coreProperties>
</file>