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FA0DE" w14:textId="77777777" w:rsidR="00A77B3E" w:rsidRDefault="00737A4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47B2ED4" w14:textId="77777777" w:rsidR="00A77B3E" w:rsidRDefault="00737A4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67847</w:t>
      </w:r>
    </w:p>
    <w:p w14:paraId="14C04E1D" w14:textId="77777777" w:rsidR="00A77B3E" w:rsidRDefault="00737A4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08172DF" w14:textId="77777777" w:rsidR="00A77B3E" w:rsidRDefault="00A77B3E">
      <w:pPr>
        <w:spacing w:line="360" w:lineRule="auto"/>
        <w:jc w:val="both"/>
      </w:pPr>
    </w:p>
    <w:p w14:paraId="7120A1A9" w14:textId="77777777" w:rsidR="00A77B3E" w:rsidRDefault="00737A4D">
      <w:pPr>
        <w:spacing w:line="360" w:lineRule="auto"/>
        <w:jc w:val="both"/>
      </w:pPr>
      <w:r>
        <w:rPr>
          <w:rFonts w:ascii="Book Antiqua" w:eastAsia="Book Antiqua" w:hAnsi="Book Antiqua" w:cs="Book Antiqua"/>
          <w:b/>
          <w:bCs/>
          <w:color w:val="000000"/>
        </w:rPr>
        <w:t>Low-intensity extracorporeal shock wave therapy for midshaft clavicular delayed union: A case report and review of literature</w:t>
      </w:r>
    </w:p>
    <w:p w14:paraId="0BE6C9A2" w14:textId="77777777" w:rsidR="00A77B3E" w:rsidRDefault="00A77B3E">
      <w:pPr>
        <w:spacing w:line="360" w:lineRule="auto"/>
        <w:jc w:val="both"/>
      </w:pPr>
    </w:p>
    <w:p w14:paraId="2FD1FB6F" w14:textId="2C23E6C8" w:rsidR="00A77B3E" w:rsidRDefault="0061779D">
      <w:pPr>
        <w:spacing w:line="360" w:lineRule="auto"/>
        <w:jc w:val="both"/>
      </w:pPr>
      <w:r>
        <w:rPr>
          <w:rFonts w:ascii="Book Antiqua" w:eastAsia="Book Antiqua" w:hAnsi="Book Antiqua" w:cs="Book Antiqua"/>
          <w:color w:val="000000"/>
        </w:rPr>
        <w:t xml:space="preserve">Yue </w:t>
      </w:r>
      <w:r>
        <w:rPr>
          <w:rFonts w:ascii="Book Antiqua" w:hAnsi="Book Antiqua" w:cs="Book Antiqua" w:hint="eastAsia"/>
          <w:color w:val="000000"/>
          <w:lang w:eastAsia="zh-CN"/>
        </w:rPr>
        <w:t xml:space="preserve">L </w:t>
      </w:r>
      <w:r w:rsidRPr="0061779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737A4D">
        <w:rPr>
          <w:rFonts w:ascii="Book Antiqua" w:eastAsia="Book Antiqua" w:hAnsi="Book Antiqua" w:cs="Book Antiqua"/>
          <w:color w:val="000000"/>
        </w:rPr>
        <w:t>ESWT</w:t>
      </w:r>
      <w:r w:rsidR="003E3C7E">
        <w:rPr>
          <w:rFonts w:ascii="Book Antiqua" w:hAnsi="Book Antiqua" w:cs="Book Antiqua" w:hint="eastAsia"/>
          <w:color w:val="000000"/>
          <w:lang w:eastAsia="zh-CN"/>
        </w:rPr>
        <w:t xml:space="preserve"> </w:t>
      </w:r>
      <w:r w:rsidR="00737A4D">
        <w:rPr>
          <w:rFonts w:ascii="Book Antiqua" w:eastAsia="Book Antiqua" w:hAnsi="Book Antiqua" w:cs="Book Antiqua"/>
          <w:color w:val="000000"/>
        </w:rPr>
        <w:t>for delayed union of</w:t>
      </w:r>
      <w:r w:rsidR="003E3C7E">
        <w:rPr>
          <w:rFonts w:ascii="Book Antiqua" w:hAnsi="Book Antiqua" w:cs="Book Antiqua" w:hint="eastAsia"/>
          <w:color w:val="000000"/>
          <w:lang w:eastAsia="zh-CN"/>
        </w:rPr>
        <w:t xml:space="preserve"> </w:t>
      </w:r>
      <w:r w:rsidR="00737A4D">
        <w:rPr>
          <w:rFonts w:ascii="Book Antiqua" w:eastAsia="Book Antiqua" w:hAnsi="Book Antiqua" w:cs="Book Antiqua"/>
          <w:color w:val="000000"/>
        </w:rPr>
        <w:t>clavicle</w:t>
      </w:r>
    </w:p>
    <w:p w14:paraId="25A791EA" w14:textId="77777777" w:rsidR="00A77B3E" w:rsidRDefault="00A77B3E">
      <w:pPr>
        <w:spacing w:line="360" w:lineRule="auto"/>
        <w:jc w:val="both"/>
      </w:pPr>
    </w:p>
    <w:p w14:paraId="28958784" w14:textId="77777777" w:rsidR="00A77B3E" w:rsidRDefault="00737A4D">
      <w:pPr>
        <w:spacing w:line="360" w:lineRule="auto"/>
        <w:jc w:val="both"/>
      </w:pPr>
      <w:r>
        <w:rPr>
          <w:rFonts w:ascii="Book Antiqua" w:eastAsia="Book Antiqua" w:hAnsi="Book Antiqua" w:cs="Book Antiqua"/>
          <w:color w:val="000000"/>
        </w:rPr>
        <w:t>Lei Yue, Hao Chen, Tian-Hao Feng, Rui Wang, Hao-Lin Sun</w:t>
      </w:r>
    </w:p>
    <w:p w14:paraId="0B7C8DB3" w14:textId="77777777" w:rsidR="00A77B3E" w:rsidRDefault="00A77B3E">
      <w:pPr>
        <w:spacing w:line="360" w:lineRule="auto"/>
        <w:jc w:val="both"/>
      </w:pPr>
    </w:p>
    <w:p w14:paraId="4454CF17" w14:textId="77777777" w:rsidR="00A77B3E" w:rsidRDefault="00737A4D">
      <w:pPr>
        <w:spacing w:line="360" w:lineRule="auto"/>
        <w:jc w:val="both"/>
      </w:pPr>
      <w:r>
        <w:rPr>
          <w:rFonts w:ascii="Book Antiqua" w:eastAsia="Book Antiqua" w:hAnsi="Book Antiqua" w:cs="Book Antiqua"/>
          <w:b/>
          <w:bCs/>
          <w:color w:val="000000"/>
        </w:rPr>
        <w:t xml:space="preserve">Lei Yue, Tian-Hao Feng, Rui Wang, Hao-Lin Sun, </w:t>
      </w:r>
      <w:r>
        <w:rPr>
          <w:rFonts w:ascii="Book Antiqua" w:eastAsia="Book Antiqua" w:hAnsi="Book Antiqua" w:cs="Book Antiqua"/>
          <w:color w:val="000000"/>
        </w:rPr>
        <w:t>Department of Orthopaedics, Peking University First Hospital, Beijing 100034, China</w:t>
      </w:r>
    </w:p>
    <w:p w14:paraId="04996EA4" w14:textId="77777777" w:rsidR="00A77B3E" w:rsidRDefault="00A77B3E">
      <w:pPr>
        <w:spacing w:line="360" w:lineRule="auto"/>
        <w:jc w:val="both"/>
      </w:pPr>
    </w:p>
    <w:p w14:paraId="0D362F6C" w14:textId="77777777" w:rsidR="00A77B3E" w:rsidRDefault="00737A4D">
      <w:pPr>
        <w:spacing w:line="360" w:lineRule="auto"/>
        <w:jc w:val="both"/>
      </w:pPr>
      <w:r>
        <w:rPr>
          <w:rFonts w:ascii="Book Antiqua" w:eastAsia="Book Antiqua" w:hAnsi="Book Antiqua" w:cs="Book Antiqua"/>
          <w:b/>
          <w:bCs/>
          <w:color w:val="000000"/>
        </w:rPr>
        <w:t xml:space="preserve">Hao Chen, </w:t>
      </w:r>
      <w:r>
        <w:rPr>
          <w:rFonts w:ascii="Book Antiqua" w:eastAsia="Book Antiqua" w:hAnsi="Book Antiqua" w:cs="Book Antiqua"/>
          <w:color w:val="000000"/>
        </w:rPr>
        <w:t>Department of Rehabilitation, Peking University First Hospital, Beijing 100034, China</w:t>
      </w:r>
    </w:p>
    <w:p w14:paraId="72C5EB4B" w14:textId="77777777" w:rsidR="00A77B3E" w:rsidRDefault="00A77B3E">
      <w:pPr>
        <w:spacing w:line="360" w:lineRule="auto"/>
        <w:jc w:val="both"/>
      </w:pPr>
    </w:p>
    <w:p w14:paraId="2DE08AC4" w14:textId="77777777" w:rsidR="00A77B3E" w:rsidRDefault="00737A4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Yue L, Chen H and Feng T</w:t>
      </w:r>
      <w:r w:rsidR="0061779D">
        <w:rPr>
          <w:rFonts w:ascii="Book Antiqua" w:hAnsi="Book Antiqua" w:cs="Book Antiqua" w:hint="eastAsia"/>
          <w:color w:val="000000"/>
          <w:lang w:eastAsia="zh-CN"/>
        </w:rPr>
        <w:t>H</w:t>
      </w:r>
      <w:r>
        <w:rPr>
          <w:rFonts w:ascii="Book Antiqua" w:eastAsia="Book Antiqua" w:hAnsi="Book Antiqua" w:cs="Book Antiqua"/>
          <w:color w:val="000000"/>
        </w:rPr>
        <w:t xml:space="preserve"> reviewed the literature and contributed to manuscript drafting; Chen H was the therapist of the patient; Yue L analyzed and interpreted the imaging findings; Sun H</w:t>
      </w:r>
      <w:r w:rsidR="0061779D">
        <w:rPr>
          <w:rFonts w:ascii="Book Antiqua" w:hAnsi="Book Antiqua" w:cs="Book Antiqua" w:hint="eastAsia"/>
          <w:color w:val="000000"/>
          <w:lang w:eastAsia="zh-CN"/>
        </w:rPr>
        <w:t>L</w:t>
      </w:r>
      <w:r>
        <w:rPr>
          <w:rFonts w:ascii="Book Antiqua" w:eastAsia="Book Antiqua" w:hAnsi="Book Antiqua" w:cs="Book Antiqua"/>
          <w:color w:val="000000"/>
        </w:rPr>
        <w:t xml:space="preserve"> and Wang R were the surgeons of the patient and responsible for the revision of the manuscript; all authors issued final approval for the version to be submitted.</w:t>
      </w:r>
    </w:p>
    <w:p w14:paraId="1A38580C" w14:textId="77777777" w:rsidR="00A77B3E" w:rsidRDefault="00A77B3E">
      <w:pPr>
        <w:spacing w:line="360" w:lineRule="auto"/>
        <w:jc w:val="both"/>
      </w:pPr>
    </w:p>
    <w:p w14:paraId="7E968BD6" w14:textId="77777777" w:rsidR="00A77B3E" w:rsidRDefault="00737A4D">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Beijing Municipal Natural Science Foundation, No. 7212117.</w:t>
      </w:r>
    </w:p>
    <w:p w14:paraId="707F9BE2" w14:textId="77777777" w:rsidR="00A77B3E" w:rsidRDefault="00A77B3E">
      <w:pPr>
        <w:spacing w:line="360" w:lineRule="auto"/>
        <w:jc w:val="both"/>
      </w:pPr>
    </w:p>
    <w:p w14:paraId="6A8C12C7" w14:textId="77777777" w:rsidR="00A77B3E" w:rsidRDefault="00737A4D">
      <w:pPr>
        <w:spacing w:line="360" w:lineRule="auto"/>
        <w:jc w:val="both"/>
      </w:pPr>
      <w:r>
        <w:rPr>
          <w:rFonts w:ascii="Book Antiqua" w:eastAsia="Book Antiqua" w:hAnsi="Book Antiqua" w:cs="Book Antiqua"/>
          <w:b/>
          <w:bCs/>
          <w:color w:val="000000"/>
        </w:rPr>
        <w:t xml:space="preserve">Corresponding author: Hao-Lin Sun, MD, Associate Professor, </w:t>
      </w:r>
      <w:r>
        <w:rPr>
          <w:rFonts w:ascii="Book Antiqua" w:eastAsia="Book Antiqua" w:hAnsi="Book Antiqua" w:cs="Book Antiqua"/>
          <w:color w:val="000000"/>
        </w:rPr>
        <w:t>Department of Orthopaedics, Peking University First Hospital, No. 8 Xishiku Ave, Beijing 100034, China. sunhaolin@vip.163.com</w:t>
      </w:r>
    </w:p>
    <w:p w14:paraId="1AB948DE" w14:textId="77777777" w:rsidR="00A77B3E" w:rsidRDefault="00A77B3E">
      <w:pPr>
        <w:spacing w:line="360" w:lineRule="auto"/>
        <w:jc w:val="both"/>
      </w:pPr>
    </w:p>
    <w:p w14:paraId="512D27B1" w14:textId="77777777" w:rsidR="00A77B3E" w:rsidRDefault="00737A4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4, 2021</w:t>
      </w:r>
    </w:p>
    <w:p w14:paraId="4C58903C" w14:textId="77777777" w:rsidR="00A77B3E" w:rsidRDefault="00737A4D">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July 5, 2021</w:t>
      </w:r>
    </w:p>
    <w:p w14:paraId="7CA22CF4" w14:textId="335287E0" w:rsidR="00A77B3E" w:rsidRDefault="00737A4D">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500705">
        <w:rPr>
          <w:rFonts w:ascii="Book Antiqua" w:eastAsia="宋体" w:hAnsi="Book Antiqua" w:hint="eastAsia"/>
          <w:color w:val="000000" w:themeColor="text1"/>
        </w:rPr>
        <w:t>Au</w:t>
      </w:r>
      <w:r w:rsidR="00500705">
        <w:rPr>
          <w:rFonts w:ascii="Book Antiqua" w:eastAsia="宋体" w:hAnsi="Book Antiqua"/>
          <w:color w:val="000000" w:themeColor="text1"/>
        </w:rPr>
        <w:t>gust</w:t>
      </w:r>
      <w:r w:rsidR="00500705" w:rsidRPr="00F06907">
        <w:rPr>
          <w:rFonts w:ascii="Book Antiqua" w:eastAsia="宋体" w:hAnsi="Book Antiqua"/>
          <w:color w:val="000000" w:themeColor="text1"/>
        </w:rPr>
        <w:t xml:space="preserve"> </w:t>
      </w:r>
      <w:r w:rsidR="00500705">
        <w:rPr>
          <w:rFonts w:ascii="Book Antiqua" w:eastAsia="宋体" w:hAnsi="Book Antiqua"/>
          <w:color w:val="000000" w:themeColor="text1"/>
        </w:rPr>
        <w:t>3</w:t>
      </w:r>
      <w:r w:rsidR="00500705" w:rsidRPr="00F06907">
        <w:rPr>
          <w:rFonts w:ascii="Book Antiqua" w:eastAsia="宋体" w:hAnsi="Book Antiqua"/>
          <w:color w:val="000000" w:themeColor="text1"/>
        </w:rPr>
        <w:t>, 2021</w:t>
      </w:r>
      <w:bookmarkEnd w:id="0"/>
      <w:bookmarkEnd w:id="1"/>
      <w:bookmarkEnd w:id="2"/>
    </w:p>
    <w:p w14:paraId="74A380B4" w14:textId="1CBF693B" w:rsidR="00A77B3E" w:rsidRDefault="00737A4D">
      <w:pPr>
        <w:spacing w:line="360" w:lineRule="auto"/>
        <w:jc w:val="both"/>
      </w:pPr>
      <w:r>
        <w:rPr>
          <w:rFonts w:ascii="Book Antiqua" w:eastAsia="Book Antiqua" w:hAnsi="Book Antiqua" w:cs="Book Antiqua"/>
          <w:b/>
          <w:bCs/>
          <w:color w:val="000000"/>
        </w:rPr>
        <w:t xml:space="preserve">Published online: </w:t>
      </w:r>
      <w:r w:rsidR="006A5203" w:rsidRPr="007F1B90">
        <w:rPr>
          <w:rFonts w:ascii="Book Antiqua" w:eastAsia="宋体" w:hAnsi="Book Antiqua"/>
          <w:color w:val="000000" w:themeColor="text1"/>
        </w:rPr>
        <w:t>September 26</w:t>
      </w:r>
      <w:r w:rsidR="006A5203" w:rsidRPr="00F06907">
        <w:rPr>
          <w:rFonts w:ascii="Book Antiqua" w:eastAsia="宋体" w:hAnsi="Book Antiqua"/>
          <w:color w:val="000000" w:themeColor="text1"/>
        </w:rPr>
        <w:t>, 2021</w:t>
      </w:r>
    </w:p>
    <w:p w14:paraId="3F8D612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DD57821" w14:textId="77777777" w:rsidR="00A77B3E" w:rsidRDefault="00737A4D">
      <w:pPr>
        <w:spacing w:line="360" w:lineRule="auto"/>
        <w:jc w:val="both"/>
      </w:pPr>
      <w:r>
        <w:rPr>
          <w:rFonts w:ascii="Book Antiqua" w:eastAsia="Book Antiqua" w:hAnsi="Book Antiqua" w:cs="Book Antiqua"/>
          <w:b/>
          <w:color w:val="000000"/>
        </w:rPr>
        <w:t>Abstract</w:t>
      </w:r>
    </w:p>
    <w:p w14:paraId="716E44BB" w14:textId="77777777" w:rsidR="00A77B3E" w:rsidRDefault="00737A4D">
      <w:pPr>
        <w:spacing w:line="360" w:lineRule="auto"/>
        <w:jc w:val="both"/>
      </w:pPr>
      <w:r>
        <w:rPr>
          <w:rFonts w:ascii="Book Antiqua" w:eastAsia="Book Antiqua" w:hAnsi="Book Antiqua" w:cs="Book Antiqua"/>
          <w:color w:val="000000"/>
        </w:rPr>
        <w:t>BACKGROUND</w:t>
      </w:r>
    </w:p>
    <w:p w14:paraId="2E4FA35C" w14:textId="77777777" w:rsidR="00A77B3E" w:rsidRDefault="00737A4D">
      <w:pPr>
        <w:spacing w:line="360" w:lineRule="auto"/>
        <w:jc w:val="both"/>
      </w:pPr>
      <w:r>
        <w:rPr>
          <w:rFonts w:ascii="Book Antiqua" w:eastAsia="Book Antiqua" w:hAnsi="Book Antiqua" w:cs="Book Antiqua"/>
          <w:color w:val="000000"/>
        </w:rPr>
        <w:t>One of the most common complications following surgery for midshaft clavicle fracture is nonunion/delayed union. Extracorporeal shock wave therapy (ESWT) is an alternative to promote new bone formation without surgical complications. To date, no literature has reported low-intensity ESWT (LI-ESWT) in delayed union of midshaft clavicle fracture.</w:t>
      </w:r>
    </w:p>
    <w:p w14:paraId="403AC9C7" w14:textId="77777777" w:rsidR="00A77B3E" w:rsidRDefault="00A77B3E">
      <w:pPr>
        <w:spacing w:line="360" w:lineRule="auto"/>
        <w:jc w:val="both"/>
      </w:pPr>
    </w:p>
    <w:p w14:paraId="2A5BAA77" w14:textId="77777777" w:rsidR="00A77B3E" w:rsidRDefault="00737A4D">
      <w:pPr>
        <w:spacing w:line="360" w:lineRule="auto"/>
        <w:jc w:val="both"/>
      </w:pPr>
      <w:r>
        <w:rPr>
          <w:rFonts w:ascii="Book Antiqua" w:eastAsia="Book Antiqua" w:hAnsi="Book Antiqua" w:cs="Book Antiqua"/>
          <w:color w:val="000000"/>
        </w:rPr>
        <w:t>CASE SUMMARY</w:t>
      </w:r>
    </w:p>
    <w:p w14:paraId="19A76289" w14:textId="77777777" w:rsidR="00A77B3E" w:rsidRDefault="00737A4D">
      <w:pPr>
        <w:spacing w:line="360" w:lineRule="auto"/>
        <w:jc w:val="both"/>
      </w:pPr>
      <w:r>
        <w:rPr>
          <w:rFonts w:ascii="Book Antiqua" w:eastAsia="Book Antiqua" w:hAnsi="Book Antiqua" w:cs="Book Antiqua"/>
          <w:color w:val="000000"/>
        </w:rPr>
        <w:t>We reported a 66-year-old Chinese amateur cyclist with clavicle delayed union treated with 10 sessions of LI-ESWT (radial, 0.057 mJ/mm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3 Hz, 3000 shocks). No anesthetics were applied, and no side effects occurred. At the 4 mo and 7 mo follow-ups, the patient achieved clinical and radiographical recovery, respectively.</w:t>
      </w:r>
    </w:p>
    <w:p w14:paraId="457BEA4D" w14:textId="77777777" w:rsidR="00A77B3E" w:rsidRDefault="00A77B3E">
      <w:pPr>
        <w:spacing w:line="360" w:lineRule="auto"/>
        <w:jc w:val="both"/>
      </w:pPr>
    </w:p>
    <w:p w14:paraId="3DD85F38" w14:textId="77777777" w:rsidR="00A77B3E" w:rsidRDefault="00737A4D">
      <w:pPr>
        <w:spacing w:line="360" w:lineRule="auto"/>
        <w:jc w:val="both"/>
      </w:pPr>
      <w:r>
        <w:rPr>
          <w:rFonts w:ascii="Book Antiqua" w:eastAsia="Book Antiqua" w:hAnsi="Book Antiqua" w:cs="Book Antiqua"/>
          <w:color w:val="000000"/>
        </w:rPr>
        <w:t>CONCLUSION</w:t>
      </w:r>
    </w:p>
    <w:p w14:paraId="30C9B99E" w14:textId="77777777" w:rsidR="00A77B3E" w:rsidRDefault="00737A4D">
      <w:pPr>
        <w:spacing w:line="360" w:lineRule="auto"/>
        <w:jc w:val="both"/>
      </w:pPr>
      <w:r>
        <w:rPr>
          <w:rFonts w:ascii="Book Antiqua" w:eastAsia="Book Antiqua" w:hAnsi="Book Antiqua" w:cs="Book Antiqua"/>
          <w:color w:val="000000"/>
        </w:rPr>
        <w:t>In conclusion, our findings indicated that LI-ESWT could be a good option for treating midshaft clavicular delayed union.</w:t>
      </w:r>
    </w:p>
    <w:p w14:paraId="45E2A6CF" w14:textId="77777777" w:rsidR="00A77B3E" w:rsidRDefault="00A77B3E">
      <w:pPr>
        <w:spacing w:line="360" w:lineRule="auto"/>
        <w:jc w:val="both"/>
      </w:pPr>
    </w:p>
    <w:p w14:paraId="232626D2" w14:textId="77777777" w:rsidR="00A77B3E" w:rsidRPr="0061779D" w:rsidRDefault="00737A4D">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Shockwave therapy; </w:t>
      </w:r>
      <w:r w:rsidR="0061779D">
        <w:rPr>
          <w:rFonts w:ascii="Book Antiqua" w:hAnsi="Book Antiqua" w:cs="Book Antiqua" w:hint="eastAsia"/>
          <w:color w:val="000000"/>
          <w:lang w:eastAsia="zh-CN"/>
        </w:rPr>
        <w:t>C</w:t>
      </w:r>
      <w:r>
        <w:rPr>
          <w:rFonts w:ascii="Book Antiqua" w:eastAsia="Book Antiqua" w:hAnsi="Book Antiqua" w:cs="Book Antiqua"/>
          <w:color w:val="000000"/>
        </w:rPr>
        <w:t xml:space="preserve">lavicle fracture; </w:t>
      </w:r>
      <w:r w:rsidR="0061779D">
        <w:rPr>
          <w:rFonts w:ascii="Book Antiqua" w:hAnsi="Book Antiqua" w:cs="Book Antiqua" w:hint="eastAsia"/>
          <w:color w:val="000000"/>
          <w:lang w:eastAsia="zh-CN"/>
        </w:rPr>
        <w:t>D</w:t>
      </w:r>
      <w:r>
        <w:rPr>
          <w:rFonts w:ascii="Book Antiqua" w:eastAsia="Book Antiqua" w:hAnsi="Book Antiqua" w:cs="Book Antiqua"/>
          <w:color w:val="000000"/>
        </w:rPr>
        <w:t>elayed union</w:t>
      </w:r>
      <w:r w:rsidR="0061779D">
        <w:rPr>
          <w:rFonts w:ascii="Book Antiqua" w:hAnsi="Book Antiqua" w:cs="Book Antiqua" w:hint="eastAsia"/>
          <w:color w:val="000000"/>
          <w:lang w:eastAsia="zh-CN"/>
        </w:rPr>
        <w:t xml:space="preserve">; </w:t>
      </w:r>
      <w:r w:rsidR="0061779D">
        <w:rPr>
          <w:rFonts w:ascii="Book Antiqua" w:eastAsia="Book Antiqua" w:hAnsi="Book Antiqua" w:cs="Book Antiqua"/>
          <w:color w:val="000000"/>
        </w:rPr>
        <w:t>Extracorporeal shock wave therapy</w:t>
      </w:r>
      <w:r w:rsidR="0061779D">
        <w:rPr>
          <w:rFonts w:ascii="Book Antiqua" w:hAnsi="Book Antiqua" w:cs="Book Antiqua" w:hint="eastAsia"/>
          <w:color w:val="000000"/>
          <w:lang w:eastAsia="zh-CN"/>
        </w:rPr>
        <w:t>; Case report</w:t>
      </w:r>
    </w:p>
    <w:p w14:paraId="538E5C00" w14:textId="77777777" w:rsidR="00DE06B0" w:rsidRDefault="00DE06B0" w:rsidP="00DE06B0">
      <w:pPr>
        <w:spacing w:line="360" w:lineRule="auto"/>
        <w:jc w:val="both"/>
        <w:rPr>
          <w:lang w:eastAsia="zh-CN"/>
        </w:rPr>
      </w:pPr>
    </w:p>
    <w:p w14:paraId="176C4624" w14:textId="77777777" w:rsidR="00DE06B0" w:rsidRPr="00026CB8" w:rsidRDefault="00DE06B0" w:rsidP="00DE06B0">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09AC150B" w14:textId="77777777" w:rsidR="00A77B3E" w:rsidRDefault="00A77B3E">
      <w:pPr>
        <w:spacing w:line="360" w:lineRule="auto"/>
        <w:jc w:val="both"/>
      </w:pPr>
    </w:p>
    <w:p w14:paraId="74766AE4" w14:textId="0887A9F6" w:rsidR="00642C77" w:rsidRDefault="00642C77" w:rsidP="007C1CC7">
      <w:pPr>
        <w:adjustRightInd w:val="0"/>
        <w:snapToGrid w:val="0"/>
        <w:spacing w:line="360" w:lineRule="auto"/>
        <w:rPr>
          <w:rFonts w:ascii="Book Antiqua" w:hAnsi="Book Antiqua" w:cs="Book Antiqua" w:hint="eastAsia"/>
          <w:lang w:val="pt-BR" w:eastAsia="zh-CN"/>
        </w:rPr>
      </w:pPr>
      <w:r w:rsidRPr="00642C77">
        <w:rPr>
          <w:rFonts w:ascii="Book Antiqua" w:hAnsi="Book Antiqua" w:cs="Book Antiqua" w:hint="eastAsia"/>
          <w:b/>
          <w:color w:val="000000"/>
          <w:lang w:eastAsia="zh-CN"/>
        </w:rPr>
        <w:t xml:space="preserve">Citation: </w:t>
      </w:r>
      <w:r w:rsidR="00737A4D">
        <w:rPr>
          <w:rFonts w:ascii="Book Antiqua" w:eastAsia="Book Antiqua" w:hAnsi="Book Antiqua" w:cs="Book Antiqua"/>
          <w:color w:val="000000"/>
        </w:rPr>
        <w:t xml:space="preserve">Yue L, Chen H, Feng TH, Wang R, Sun HL. Low-intensity extracorporeal shock wave therapy for midshaft clavicular delayed union: A case report and review of literature. </w:t>
      </w:r>
      <w:r w:rsidR="00737A4D">
        <w:rPr>
          <w:rFonts w:ascii="Book Antiqua" w:eastAsia="Book Antiqua" w:hAnsi="Book Antiqua" w:cs="Book Antiqua"/>
          <w:i/>
          <w:iCs/>
          <w:color w:val="000000"/>
        </w:rPr>
        <w:t>World J Clin Cases</w:t>
      </w:r>
      <w:r w:rsidR="00737A4D">
        <w:rPr>
          <w:rFonts w:ascii="Book Antiqua" w:eastAsia="Book Antiqua" w:hAnsi="Book Antiqua" w:cs="Book Antiqua"/>
          <w:color w:val="000000"/>
        </w:rPr>
        <w:t xml:space="preserve"> </w:t>
      </w:r>
      <w:bookmarkStart w:id="3" w:name="_Hlk56867303"/>
      <w:r w:rsidR="007C1CC7" w:rsidRPr="00D2753A">
        <w:rPr>
          <w:rFonts w:ascii="Book Antiqua" w:eastAsia="Book Antiqua" w:hAnsi="Book Antiqua" w:cs="Book Antiqua"/>
          <w:lang w:val="pt-BR"/>
        </w:rPr>
        <w:t>2021; 9(</w:t>
      </w:r>
      <w:r w:rsidR="007C1CC7">
        <w:rPr>
          <w:rFonts w:ascii="Book Antiqua" w:eastAsia="Book Antiqua" w:hAnsi="Book Antiqua" w:cs="Book Antiqua"/>
          <w:lang w:val="pt-BR"/>
        </w:rPr>
        <w:t>27</w:t>
      </w:r>
      <w:r w:rsidR="007C1CC7" w:rsidRPr="00D2753A">
        <w:rPr>
          <w:rFonts w:ascii="Book Antiqua" w:eastAsia="Book Antiqua" w:hAnsi="Book Antiqua" w:cs="Book Antiqua"/>
          <w:lang w:val="pt-BR"/>
        </w:rPr>
        <w:t xml:space="preserve">): </w:t>
      </w:r>
      <w:r w:rsidRPr="00642C77">
        <w:rPr>
          <w:rFonts w:ascii="Book Antiqua" w:eastAsia="Book Antiqua" w:hAnsi="Book Antiqua" w:cs="Book Antiqua"/>
          <w:lang w:val="pt-BR"/>
        </w:rPr>
        <w:t>8242-8248</w:t>
      </w:r>
      <w:r w:rsidR="007C1CC7" w:rsidRPr="00D2753A">
        <w:rPr>
          <w:rFonts w:ascii="Book Antiqua" w:eastAsia="Book Antiqua" w:hAnsi="Book Antiqua" w:cs="Book Antiqua"/>
          <w:lang w:val="pt-BR"/>
        </w:rPr>
        <w:t xml:space="preserve"> </w:t>
      </w:r>
    </w:p>
    <w:p w14:paraId="6E9CFFC6" w14:textId="77777777" w:rsidR="00642C77" w:rsidRDefault="007C1CC7" w:rsidP="007C1CC7">
      <w:pPr>
        <w:adjustRightInd w:val="0"/>
        <w:snapToGrid w:val="0"/>
        <w:spacing w:line="360" w:lineRule="auto"/>
        <w:rPr>
          <w:rFonts w:ascii="Book Antiqua" w:hAnsi="Book Antiqua" w:cs="Book Antiqua" w:hint="eastAsia"/>
          <w:lang w:val="pt-BR" w:eastAsia="zh-CN"/>
        </w:rPr>
      </w:pPr>
      <w:r w:rsidRPr="00642C77">
        <w:rPr>
          <w:rFonts w:ascii="Book Antiqua" w:eastAsia="Book Antiqua" w:hAnsi="Book Antiqua" w:cs="Book Antiqua"/>
          <w:b/>
          <w:lang w:val="pt-BR"/>
        </w:rPr>
        <w:t>URL:</w:t>
      </w:r>
      <w:r w:rsidRPr="00D2753A">
        <w:rPr>
          <w:rFonts w:ascii="Book Antiqua" w:eastAsia="Book Antiqua" w:hAnsi="Book Antiqua" w:cs="Book Antiqua"/>
          <w:lang w:val="pt-BR"/>
        </w:rPr>
        <w:t xml:space="preserve"> https://www.wjgnet.com/2307-8960/full/v9/i</w:t>
      </w:r>
      <w:r>
        <w:rPr>
          <w:rFonts w:ascii="Book Antiqua" w:eastAsia="Book Antiqua" w:hAnsi="Book Antiqua" w:cs="Book Antiqua"/>
          <w:lang w:val="pt-BR"/>
        </w:rPr>
        <w:t>27</w:t>
      </w:r>
      <w:r w:rsidRPr="00D2753A">
        <w:rPr>
          <w:rFonts w:ascii="Book Antiqua" w:eastAsia="Book Antiqua" w:hAnsi="Book Antiqua" w:cs="Book Antiqua"/>
          <w:lang w:val="pt-BR"/>
        </w:rPr>
        <w:t>/</w:t>
      </w:r>
      <w:r w:rsidR="00642C77" w:rsidRPr="00642C77">
        <w:rPr>
          <w:rFonts w:ascii="Book Antiqua" w:eastAsia="Book Antiqua" w:hAnsi="Book Antiqua" w:cs="Book Antiqua"/>
          <w:lang w:val="pt-BR"/>
        </w:rPr>
        <w:t>8242</w:t>
      </w:r>
      <w:r w:rsidRPr="00D2753A">
        <w:rPr>
          <w:rFonts w:ascii="Book Antiqua" w:eastAsia="Book Antiqua" w:hAnsi="Book Antiqua" w:cs="Book Antiqua"/>
          <w:lang w:val="pt-BR"/>
        </w:rPr>
        <w:t>.htm</w:t>
      </w:r>
      <w:r>
        <w:rPr>
          <w:rFonts w:ascii="Book Antiqua" w:eastAsia="Book Antiqua" w:hAnsi="Book Antiqua" w:cs="Book Antiqua"/>
          <w:lang w:val="pt-BR"/>
        </w:rPr>
        <w:t xml:space="preserve"> </w:t>
      </w:r>
    </w:p>
    <w:p w14:paraId="60DC0E61" w14:textId="180D4817" w:rsidR="007C1CC7" w:rsidRPr="00D2753A" w:rsidRDefault="007C1CC7" w:rsidP="007C1CC7">
      <w:pPr>
        <w:adjustRightInd w:val="0"/>
        <w:snapToGrid w:val="0"/>
        <w:spacing w:line="360" w:lineRule="auto"/>
        <w:rPr>
          <w:rFonts w:ascii="Book Antiqua" w:hAnsi="Book Antiqua" w:cs="Book Antiqua"/>
          <w:lang w:val="pt-BR"/>
        </w:rPr>
      </w:pPr>
      <w:r w:rsidRPr="00642C77">
        <w:rPr>
          <w:rFonts w:ascii="Book Antiqua" w:eastAsia="Book Antiqua" w:hAnsi="Book Antiqua" w:cs="Book Antiqua"/>
          <w:b/>
          <w:lang w:val="pt-BR"/>
        </w:rPr>
        <w:t>DOI:</w:t>
      </w:r>
      <w:r w:rsidRPr="00D2753A">
        <w:rPr>
          <w:rFonts w:ascii="Book Antiqua" w:eastAsia="Book Antiqua" w:hAnsi="Book Antiqua" w:cs="Book Antiqua"/>
          <w:lang w:val="pt-BR"/>
        </w:rPr>
        <w:t xml:space="preserve"> https://dx.doi.org/10.12998/wjcc.v9.i</w:t>
      </w:r>
      <w:r>
        <w:rPr>
          <w:rFonts w:ascii="Book Antiqua" w:eastAsia="Book Antiqua" w:hAnsi="Book Antiqua" w:cs="Book Antiqua"/>
          <w:lang w:val="pt-BR"/>
        </w:rPr>
        <w:t>27</w:t>
      </w:r>
      <w:r w:rsidRPr="00D2753A">
        <w:rPr>
          <w:rFonts w:ascii="Book Antiqua" w:eastAsia="Book Antiqua" w:hAnsi="Book Antiqua" w:cs="Book Antiqua"/>
          <w:lang w:val="pt-BR"/>
        </w:rPr>
        <w:t>.</w:t>
      </w:r>
      <w:r w:rsidR="00642C77" w:rsidRPr="00642C77">
        <w:rPr>
          <w:rFonts w:ascii="Book Antiqua" w:eastAsia="Book Antiqua" w:hAnsi="Book Antiqua" w:cs="Book Antiqua"/>
          <w:lang w:val="pt-BR"/>
        </w:rPr>
        <w:t>8242</w:t>
      </w:r>
    </w:p>
    <w:bookmarkEnd w:id="3"/>
    <w:p w14:paraId="5E9BEBF7" w14:textId="75209B3E" w:rsidR="00A77B3E" w:rsidRPr="007C1CC7" w:rsidRDefault="00A77B3E">
      <w:pPr>
        <w:spacing w:line="360" w:lineRule="auto"/>
        <w:jc w:val="both"/>
        <w:rPr>
          <w:lang w:val="pt-BR"/>
        </w:rPr>
      </w:pPr>
    </w:p>
    <w:p w14:paraId="1EB8463D" w14:textId="77777777" w:rsidR="00A77B3E" w:rsidRDefault="00737A4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Clavicle fracture is a common injury for cyclists, and surgical intervention could result in nonunion or delayed union. This is the first case report in the literature of low-intensity extracorporeal shock wave therapy</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treating midshaft clavicular delayed union. Our treatment protocol was unique in low-energy dosage, radial pattern, and multiple sessions. The clinical and radiographical outcomes were good, and the patient was able to return to sports, specifically amateur cycling, after a relatively short treatment period. The findings of this study could be particularly valuable for treating delayed union of clavicle fracture in athletes.</w:t>
      </w:r>
    </w:p>
    <w:p w14:paraId="1E6B4E08" w14:textId="77777777" w:rsidR="00A77B3E" w:rsidRDefault="0061779D">
      <w:pPr>
        <w:spacing w:line="360" w:lineRule="auto"/>
        <w:jc w:val="both"/>
      </w:pPr>
      <w:r>
        <w:br w:type="page"/>
      </w:r>
      <w:r w:rsidR="00737A4D">
        <w:rPr>
          <w:rFonts w:ascii="Book Antiqua" w:eastAsia="Book Antiqua" w:hAnsi="Book Antiqua" w:cs="Book Antiqua"/>
          <w:b/>
          <w:caps/>
          <w:color w:val="000000"/>
          <w:u w:val="single"/>
        </w:rPr>
        <w:t>INTRODUCTION</w:t>
      </w:r>
    </w:p>
    <w:p w14:paraId="159D4168" w14:textId="77777777" w:rsidR="00A77B3E" w:rsidRDefault="00737A4D">
      <w:pPr>
        <w:spacing w:line="360" w:lineRule="auto"/>
        <w:jc w:val="both"/>
      </w:pPr>
      <w:r>
        <w:rPr>
          <w:rFonts w:ascii="Book Antiqua" w:eastAsia="Book Antiqua" w:hAnsi="Book Antiqua" w:cs="Book Antiqua"/>
          <w:color w:val="000000"/>
        </w:rPr>
        <w:t>Clavicle fractures, 80% of which occur at the midshaft, are the most common injury in cyclists, and studies have reported a prevalence of 13%</w:t>
      </w:r>
      <w:r w:rsidR="0061779D">
        <w:rPr>
          <w:rFonts w:ascii="Book Antiqua" w:hAnsi="Book Antiqua" w:cs="Book Antiqua" w:hint="eastAsia"/>
          <w:color w:val="000000"/>
          <w:lang w:eastAsia="zh-CN"/>
        </w:rPr>
        <w:t>-</w:t>
      </w:r>
      <w:r>
        <w:rPr>
          <w:rFonts w:ascii="Book Antiqua" w:eastAsia="Book Antiqua" w:hAnsi="Book Antiqua" w:cs="Book Antiqua"/>
          <w:color w:val="000000"/>
        </w:rPr>
        <w:t xml:space="preserve">16% in this population </w:t>
      </w:r>
      <w:r>
        <w:rPr>
          <w:rFonts w:ascii="Book Antiqua" w:eastAsia="Book Antiqua" w:hAnsi="Book Antiqua" w:cs="Book Antiqua"/>
          <w:i/>
          <w:iCs/>
          <w:color w:val="000000"/>
        </w:rPr>
        <w:t>vs</w:t>
      </w:r>
      <w:r>
        <w:rPr>
          <w:rFonts w:ascii="Book Antiqua" w:eastAsia="Book Antiqua" w:hAnsi="Book Antiqua" w:cs="Book Antiqua"/>
          <w:color w:val="000000"/>
        </w:rPr>
        <w:t xml:space="preserve"> 2.6%</w:t>
      </w:r>
      <w:r w:rsidR="0061779D">
        <w:rPr>
          <w:rFonts w:ascii="Book Antiqua" w:hAnsi="Book Antiqua" w:cs="Book Antiqua" w:hint="eastAsia"/>
          <w:color w:val="000000"/>
          <w:lang w:eastAsia="zh-CN"/>
        </w:rPr>
        <w:t>-</w:t>
      </w:r>
      <w:r>
        <w:rPr>
          <w:rFonts w:ascii="Book Antiqua" w:eastAsia="Book Antiqua" w:hAnsi="Book Antiqua" w:cs="Book Antiqua"/>
          <w:color w:val="000000"/>
        </w:rPr>
        <w:t>4% in the general population</w:t>
      </w:r>
      <w:r>
        <w:rPr>
          <w:rFonts w:ascii="Book Antiqua" w:eastAsia="Book Antiqua" w:hAnsi="Book Antiqua" w:cs="Book Antiqua"/>
          <w:color w:val="000000"/>
          <w:szCs w:val="20"/>
          <w:vertAlign w:val="superscript"/>
        </w:rPr>
        <w:t>[1</w:t>
      </w:r>
      <w:r w:rsidR="0061779D">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With numerous studies indicating an unsatisfactory outcome and a high nonunion rate following conservative treatment, an increasing trend has been seen toward operative fixation of displaced midshaft clavicle fractures</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Nonunions and delayed unions are common complications of clavicle fracture operations. A complication rate of 15% was reported in revision surgery for clavicle nonunion</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Extracorporeal shock wave therapy (ESWT) has emerged as a feasible alternative for treating delayed union. Compared with surgeries, ESWT has similar efficacy without surgical complications</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w:t>
      </w:r>
    </w:p>
    <w:p w14:paraId="4CE2E49C" w14:textId="5A3CC502" w:rsidR="00A77B3E" w:rsidRDefault="00737A4D" w:rsidP="0061779D">
      <w:pPr>
        <w:spacing w:line="360" w:lineRule="auto"/>
        <w:ind w:firstLineChars="100" w:firstLine="240"/>
        <w:jc w:val="both"/>
      </w:pPr>
      <w:r>
        <w:rPr>
          <w:rFonts w:ascii="Book Antiqua" w:eastAsia="Book Antiqua" w:hAnsi="Book Antiqua" w:cs="Book Antiqua"/>
          <w:color w:val="000000"/>
        </w:rPr>
        <w:t>For bone healing, however, ESWT is mostly administered at middle-to-high energy (</w:t>
      </w:r>
      <w:r w:rsidR="00B95CCD" w:rsidRPr="00B95CCD">
        <w:rPr>
          <w:rFonts w:ascii="Book Antiqua" w:eastAsia="Book Antiqua" w:hAnsi="Book Antiqua" w:cs="Book Antiqua" w:hint="eastAsia"/>
          <w:color w:val="000000"/>
        </w:rPr>
        <w:t>≥</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0.08</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mJ/mm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and in a focused pattern</w:t>
      </w:r>
      <w:r w:rsidR="0061779D">
        <w:rPr>
          <w:rFonts w:ascii="Book Antiqua" w:eastAsia="Book Antiqua" w:hAnsi="Book Antiqua" w:cs="Book Antiqua"/>
          <w:color w:val="000000"/>
          <w:szCs w:val="20"/>
          <w:vertAlign w:val="superscript"/>
        </w:rPr>
        <w:t>[7,</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However, the clavicle is currently considered unsuitable for conventional ESWT due to its superficial anatomical site and proximity to the air-filled lung tissue, which creates large differences in acoustic impedance and offers considerable risks of lung injury</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To the best of our knowledge, no clinical literature has reported the use of low-intensity ESWT (LI-ESWT) in delayed union of clavicle fracture after internal fixation. Here, we present a case of delayed union of the clavicle in a cyclist after screw and plate fixation. After 10 sessions of LI-ESWT treatment at an outpatient clinic, the patient achieved a satisfying asymptomatic recovery and bone union as indicated by radiographs during follow-ups. Informed consent was obtained from the patient, and this study was approved by our ethics committee of our hospital (No. 2020</w:t>
      </w:r>
      <w:r w:rsidR="0061779D">
        <w:rPr>
          <w:rFonts w:ascii="Book Antiqua" w:hAnsi="Book Antiqua" w:cs="Book Antiqua" w:hint="eastAsia"/>
          <w:color w:val="000000"/>
          <w:lang w:eastAsia="zh-CN"/>
        </w:rPr>
        <w:t>-</w:t>
      </w:r>
      <w:r>
        <w:rPr>
          <w:rFonts w:ascii="Book Antiqua" w:eastAsia="Book Antiqua" w:hAnsi="Book Antiqua" w:cs="Book Antiqua"/>
          <w:color w:val="000000"/>
        </w:rPr>
        <w:t>340).</w:t>
      </w:r>
    </w:p>
    <w:p w14:paraId="3769067F" w14:textId="77777777" w:rsidR="00A77B3E" w:rsidRDefault="00A77B3E">
      <w:pPr>
        <w:spacing w:line="360" w:lineRule="auto"/>
        <w:jc w:val="both"/>
      </w:pPr>
    </w:p>
    <w:p w14:paraId="532AF719" w14:textId="77777777" w:rsidR="00A77B3E" w:rsidRDefault="00737A4D">
      <w:pPr>
        <w:spacing w:line="360" w:lineRule="auto"/>
        <w:jc w:val="both"/>
      </w:pPr>
      <w:r>
        <w:rPr>
          <w:rFonts w:ascii="Book Antiqua" w:eastAsia="Book Antiqua" w:hAnsi="Book Antiqua" w:cs="Book Antiqua"/>
          <w:b/>
          <w:caps/>
          <w:color w:val="000000"/>
          <w:u w:val="single"/>
        </w:rPr>
        <w:t>CASE PRESENTATION</w:t>
      </w:r>
    </w:p>
    <w:p w14:paraId="3256666E" w14:textId="77777777" w:rsidR="00A77B3E" w:rsidRDefault="00737A4D">
      <w:pPr>
        <w:spacing w:line="360" w:lineRule="auto"/>
        <w:jc w:val="both"/>
      </w:pPr>
      <w:r>
        <w:rPr>
          <w:rFonts w:ascii="Book Antiqua" w:eastAsia="Book Antiqua" w:hAnsi="Book Antiqua" w:cs="Book Antiqua"/>
          <w:b/>
          <w:i/>
          <w:color w:val="000000"/>
        </w:rPr>
        <w:t>Chief complaints</w:t>
      </w:r>
    </w:p>
    <w:p w14:paraId="37A45677" w14:textId="77777777" w:rsidR="00A77B3E" w:rsidRDefault="00737A4D">
      <w:pPr>
        <w:spacing w:line="360" w:lineRule="auto"/>
        <w:jc w:val="both"/>
      </w:pPr>
      <w:r>
        <w:rPr>
          <w:rFonts w:ascii="Book Antiqua" w:eastAsia="Book Antiqua" w:hAnsi="Book Antiqua" w:cs="Book Antiqua"/>
          <w:color w:val="000000"/>
        </w:rPr>
        <w:t xml:space="preserve">A 66-year-old male Chinese amateur cyclist visited the clinic for consistent right collarbone site pain </w:t>
      </w:r>
      <w:r w:rsidR="0061779D">
        <w:rPr>
          <w:rFonts w:ascii="Book Antiqua" w:hAnsi="Book Antiqua" w:cs="Book Antiqua" w:hint="eastAsia"/>
          <w:color w:val="000000"/>
          <w:lang w:eastAsia="zh-CN"/>
        </w:rPr>
        <w:t>[</w:t>
      </w:r>
      <w:r>
        <w:rPr>
          <w:rFonts w:ascii="Book Antiqua" w:eastAsia="Book Antiqua" w:hAnsi="Book Antiqua" w:cs="Book Antiqua"/>
          <w:color w:val="000000"/>
        </w:rPr>
        <w:t>visual analog scale (VAS)</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40 mm in static and 60 mm in active</w:t>
      </w:r>
      <w:r w:rsidR="0061779D">
        <w:rPr>
          <w:rFonts w:ascii="Book Antiqua" w:hAnsi="Book Antiqua" w:cs="Book Antiqua" w:hint="eastAsia"/>
          <w:color w:val="000000"/>
          <w:lang w:eastAsia="zh-CN"/>
        </w:rPr>
        <w:t>]</w:t>
      </w:r>
      <w:r>
        <w:rPr>
          <w:rFonts w:ascii="Book Antiqua" w:eastAsia="Book Antiqua" w:hAnsi="Book Antiqua" w:cs="Book Antiqua"/>
          <w:color w:val="000000"/>
        </w:rPr>
        <w:t xml:space="preserve"> and limited range of motion in the right upper arm.</w:t>
      </w:r>
    </w:p>
    <w:p w14:paraId="3695D82A" w14:textId="77777777" w:rsidR="00A77B3E" w:rsidRDefault="00A77B3E">
      <w:pPr>
        <w:spacing w:line="360" w:lineRule="auto"/>
        <w:jc w:val="both"/>
      </w:pPr>
    </w:p>
    <w:p w14:paraId="2D92A14B" w14:textId="77777777" w:rsidR="00A77B3E" w:rsidRDefault="00737A4D">
      <w:pPr>
        <w:spacing w:line="360" w:lineRule="auto"/>
        <w:jc w:val="both"/>
      </w:pPr>
      <w:r>
        <w:rPr>
          <w:rFonts w:ascii="Book Antiqua" w:eastAsia="Book Antiqua" w:hAnsi="Book Antiqua" w:cs="Book Antiqua"/>
          <w:b/>
          <w:i/>
          <w:color w:val="000000"/>
        </w:rPr>
        <w:t>History of present illness</w:t>
      </w:r>
    </w:p>
    <w:p w14:paraId="6D429282" w14:textId="77777777" w:rsidR="00A77B3E" w:rsidRDefault="00737A4D">
      <w:pPr>
        <w:spacing w:line="360" w:lineRule="auto"/>
        <w:jc w:val="both"/>
      </w:pPr>
      <w:r>
        <w:rPr>
          <w:rFonts w:ascii="Book Antiqua" w:eastAsia="Book Antiqua" w:hAnsi="Book Antiqua" w:cs="Book Antiqua"/>
          <w:color w:val="000000"/>
        </w:rPr>
        <w:t>He had become injured during bicycle training 3 mo prior to this clinic visit, and emergency imaging showed comminuted midshaft clavicle fracture with complete displacement. He then underwent open reduction and internal fixation in our center (Figure 1A</w:t>
      </w:r>
      <w:r w:rsidR="0061779D">
        <w:rPr>
          <w:rFonts w:ascii="Book Antiqua" w:hAnsi="Book Antiqua" w:cs="Book Antiqua" w:hint="eastAsia"/>
          <w:color w:val="000000"/>
          <w:lang w:eastAsia="zh-CN"/>
        </w:rPr>
        <w:t>-</w:t>
      </w:r>
      <w:r>
        <w:rPr>
          <w:rFonts w:ascii="Book Antiqua" w:eastAsia="Book Antiqua" w:hAnsi="Book Antiqua" w:cs="Book Antiqua"/>
          <w:color w:val="000000"/>
        </w:rPr>
        <w:t>C).</w:t>
      </w:r>
    </w:p>
    <w:p w14:paraId="2DFB8462" w14:textId="77777777" w:rsidR="00A77B3E" w:rsidRDefault="00A77B3E">
      <w:pPr>
        <w:spacing w:line="360" w:lineRule="auto"/>
        <w:jc w:val="both"/>
      </w:pPr>
    </w:p>
    <w:p w14:paraId="25126085" w14:textId="77777777" w:rsidR="00A77B3E" w:rsidRDefault="00737A4D">
      <w:pPr>
        <w:spacing w:line="360" w:lineRule="auto"/>
        <w:jc w:val="both"/>
      </w:pPr>
      <w:r>
        <w:rPr>
          <w:rFonts w:ascii="Book Antiqua" w:eastAsia="Book Antiqua" w:hAnsi="Book Antiqua" w:cs="Book Antiqua"/>
          <w:b/>
          <w:i/>
          <w:color w:val="000000"/>
        </w:rPr>
        <w:t>History of past illness</w:t>
      </w:r>
    </w:p>
    <w:p w14:paraId="4D0D9BA4" w14:textId="77777777" w:rsidR="00A77B3E" w:rsidRDefault="00737A4D">
      <w:pPr>
        <w:spacing w:line="360" w:lineRule="auto"/>
        <w:jc w:val="both"/>
      </w:pPr>
      <w:r>
        <w:rPr>
          <w:rFonts w:ascii="Book Antiqua" w:eastAsia="Book Antiqua" w:hAnsi="Book Antiqua" w:cs="Book Antiqua"/>
          <w:color w:val="000000"/>
        </w:rPr>
        <w:t>The patient had a 30-year history of smoking with a minimum of 10 cigarettes per day. He had no other relevant medical history.</w:t>
      </w:r>
    </w:p>
    <w:p w14:paraId="1E18CDCE" w14:textId="77777777" w:rsidR="00A77B3E" w:rsidRDefault="00A77B3E">
      <w:pPr>
        <w:spacing w:line="360" w:lineRule="auto"/>
        <w:jc w:val="both"/>
      </w:pPr>
    </w:p>
    <w:p w14:paraId="389C088A" w14:textId="77777777" w:rsidR="00A77B3E" w:rsidRDefault="00737A4D">
      <w:pPr>
        <w:spacing w:line="360" w:lineRule="auto"/>
        <w:jc w:val="both"/>
      </w:pPr>
      <w:r>
        <w:rPr>
          <w:rFonts w:ascii="Book Antiqua" w:eastAsia="Book Antiqua" w:hAnsi="Book Antiqua" w:cs="Book Antiqua"/>
          <w:b/>
          <w:i/>
          <w:color w:val="000000"/>
        </w:rPr>
        <w:t>Personal and family history</w:t>
      </w:r>
    </w:p>
    <w:p w14:paraId="55007285" w14:textId="77777777" w:rsidR="00A77B3E" w:rsidRDefault="00737A4D">
      <w:pPr>
        <w:spacing w:line="360" w:lineRule="auto"/>
        <w:jc w:val="both"/>
      </w:pPr>
      <w:r>
        <w:rPr>
          <w:rFonts w:ascii="Book Antiqua" w:eastAsia="Book Antiqua" w:hAnsi="Book Antiqua" w:cs="Book Antiqua"/>
          <w:color w:val="000000"/>
        </w:rPr>
        <w:t>There was no special personal or family history.</w:t>
      </w:r>
    </w:p>
    <w:p w14:paraId="0D3630BC" w14:textId="77777777" w:rsidR="00A77B3E" w:rsidRDefault="00A77B3E">
      <w:pPr>
        <w:spacing w:line="360" w:lineRule="auto"/>
        <w:jc w:val="both"/>
      </w:pPr>
    </w:p>
    <w:p w14:paraId="72F85CA8" w14:textId="77777777" w:rsidR="00A77B3E" w:rsidRDefault="00737A4D">
      <w:pPr>
        <w:spacing w:line="360" w:lineRule="auto"/>
        <w:jc w:val="both"/>
      </w:pPr>
      <w:r>
        <w:rPr>
          <w:rFonts w:ascii="Book Antiqua" w:eastAsia="Book Antiqua" w:hAnsi="Book Antiqua" w:cs="Book Antiqua"/>
          <w:b/>
          <w:i/>
          <w:color w:val="000000"/>
        </w:rPr>
        <w:t>Physical examination</w:t>
      </w:r>
    </w:p>
    <w:p w14:paraId="3D079A5C" w14:textId="77777777" w:rsidR="00A77B3E" w:rsidRDefault="00737A4D">
      <w:pPr>
        <w:spacing w:line="360" w:lineRule="auto"/>
        <w:jc w:val="both"/>
      </w:pPr>
      <w:r>
        <w:rPr>
          <w:rFonts w:ascii="Book Antiqua" w:eastAsia="Book Antiqua" w:hAnsi="Book Antiqua" w:cs="Book Antiqua"/>
          <w:color w:val="000000"/>
        </w:rPr>
        <w:t>A horizontal surgical scar and local tenderness were noticed on his right clavicle site. No sign of infection was noticed. Pain could be aggravated by abduction and extension of the right upper arm. His Disabilities of the Arm, Shoulder, and Hand (DASH) functional score was 43 when measured in the clinic.</w:t>
      </w:r>
    </w:p>
    <w:p w14:paraId="67B982AD" w14:textId="77777777" w:rsidR="00A77B3E" w:rsidRDefault="00A77B3E">
      <w:pPr>
        <w:spacing w:line="360" w:lineRule="auto"/>
        <w:jc w:val="both"/>
      </w:pPr>
    </w:p>
    <w:p w14:paraId="52D71D15" w14:textId="77777777" w:rsidR="00A77B3E" w:rsidRDefault="00737A4D">
      <w:pPr>
        <w:spacing w:line="360" w:lineRule="auto"/>
        <w:jc w:val="both"/>
      </w:pPr>
      <w:r>
        <w:rPr>
          <w:rFonts w:ascii="Book Antiqua" w:eastAsia="Book Antiqua" w:hAnsi="Book Antiqua" w:cs="Book Antiqua"/>
          <w:b/>
          <w:i/>
          <w:color w:val="000000"/>
        </w:rPr>
        <w:t>Imaging examinations</w:t>
      </w:r>
    </w:p>
    <w:p w14:paraId="2183A099" w14:textId="77777777" w:rsidR="00A77B3E" w:rsidRDefault="00737A4D">
      <w:pPr>
        <w:spacing w:line="360" w:lineRule="auto"/>
        <w:jc w:val="both"/>
      </w:pPr>
      <w:r>
        <w:rPr>
          <w:rFonts w:ascii="Book Antiqua" w:eastAsia="Book Antiqua" w:hAnsi="Book Antiqua" w:cs="Book Antiqua"/>
          <w:color w:val="000000"/>
        </w:rPr>
        <w:t xml:space="preserve">Plain radiographs showed correct instrument position but cortical discontinuity of the midshaft. A </w:t>
      </w:r>
      <w:bookmarkStart w:id="4" w:name="_Hlk54004097"/>
      <w:r w:rsidR="0061779D" w:rsidRPr="00313B45">
        <w:rPr>
          <w:rFonts w:ascii="Book Antiqua" w:eastAsia="Book Antiqua" w:hAnsi="Book Antiqua" w:cs="Book Antiqua"/>
          <w:color w:val="000000"/>
        </w:rPr>
        <w:t>computed tomography</w:t>
      </w:r>
      <w:bookmarkEnd w:id="4"/>
      <w:r w:rsidR="0061779D">
        <w:rPr>
          <w:rFonts w:ascii="Book Antiqua" w:eastAsia="Book Antiqua" w:hAnsi="Book Antiqua" w:cs="Book Antiqua"/>
          <w:color w:val="000000"/>
        </w:rPr>
        <w:t xml:space="preserve"> </w:t>
      </w:r>
      <w:r w:rsidR="0061779D">
        <w:rPr>
          <w:rFonts w:ascii="Book Antiqua" w:hAnsi="Book Antiqua" w:cs="Book Antiqua" w:hint="eastAsia"/>
          <w:color w:val="000000"/>
          <w:lang w:eastAsia="zh-CN"/>
        </w:rPr>
        <w:t>(</w:t>
      </w:r>
      <w:r>
        <w:rPr>
          <w:rFonts w:ascii="Book Antiqua" w:eastAsia="Book Antiqua" w:hAnsi="Book Antiqua" w:cs="Book Antiqua"/>
          <w:color w:val="000000"/>
        </w:rPr>
        <w:t>CT</w:t>
      </w:r>
      <w:r w:rsidR="0061779D">
        <w:rPr>
          <w:rFonts w:ascii="Book Antiqua" w:hAnsi="Book Antiqua" w:cs="Book Antiqua" w:hint="eastAsia"/>
          <w:color w:val="000000"/>
          <w:lang w:eastAsia="zh-CN"/>
        </w:rPr>
        <w:t>)</w:t>
      </w:r>
      <w:r>
        <w:rPr>
          <w:rFonts w:ascii="Book Antiqua" w:eastAsia="Book Antiqua" w:hAnsi="Book Antiqua" w:cs="Book Antiqua"/>
          <w:color w:val="000000"/>
        </w:rPr>
        <w:t xml:space="preserve"> scan showed discontinuity of the cortex, no sign of bridging callus, and trabecular bone with a nonunion gap of 3</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mm (Figure 1D</w:t>
      </w:r>
      <w:r w:rsidR="0061779D">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G).</w:t>
      </w:r>
    </w:p>
    <w:p w14:paraId="51B4CB9F" w14:textId="77777777" w:rsidR="00A77B3E" w:rsidRDefault="00A77B3E">
      <w:pPr>
        <w:spacing w:line="360" w:lineRule="auto"/>
        <w:jc w:val="both"/>
      </w:pPr>
    </w:p>
    <w:p w14:paraId="1FF47BE3" w14:textId="77777777" w:rsidR="00A77B3E" w:rsidRDefault="00737A4D">
      <w:pPr>
        <w:spacing w:line="360" w:lineRule="auto"/>
        <w:jc w:val="both"/>
      </w:pPr>
      <w:r>
        <w:rPr>
          <w:rFonts w:ascii="Book Antiqua" w:eastAsia="Book Antiqua" w:hAnsi="Book Antiqua" w:cs="Book Antiqua"/>
          <w:b/>
          <w:caps/>
          <w:color w:val="000000"/>
          <w:u w:val="single"/>
        </w:rPr>
        <w:t>FINAL DIAGNOSIS</w:t>
      </w:r>
    </w:p>
    <w:p w14:paraId="0141873D" w14:textId="77777777" w:rsidR="00A77B3E" w:rsidRDefault="00737A4D">
      <w:pPr>
        <w:spacing w:line="360" w:lineRule="auto"/>
        <w:jc w:val="both"/>
      </w:pPr>
      <w:r>
        <w:rPr>
          <w:rFonts w:ascii="Book Antiqua" w:eastAsia="Book Antiqua" w:hAnsi="Book Antiqua" w:cs="Book Antiqua"/>
          <w:color w:val="000000"/>
        </w:rPr>
        <w:t>Delayed union of midshaft clavicle fracture.</w:t>
      </w:r>
    </w:p>
    <w:p w14:paraId="49EDE57C" w14:textId="77777777" w:rsidR="00A77B3E" w:rsidRDefault="00A77B3E">
      <w:pPr>
        <w:spacing w:line="360" w:lineRule="auto"/>
        <w:jc w:val="both"/>
      </w:pPr>
    </w:p>
    <w:p w14:paraId="468993F9" w14:textId="77777777" w:rsidR="00A77B3E" w:rsidRDefault="00737A4D">
      <w:pPr>
        <w:spacing w:line="360" w:lineRule="auto"/>
        <w:jc w:val="both"/>
      </w:pPr>
      <w:r>
        <w:rPr>
          <w:rFonts w:ascii="Book Antiqua" w:eastAsia="Book Antiqua" w:hAnsi="Book Antiqua" w:cs="Book Antiqua"/>
          <w:b/>
          <w:caps/>
          <w:color w:val="000000"/>
          <w:u w:val="single"/>
        </w:rPr>
        <w:t>TREATMENT</w:t>
      </w:r>
    </w:p>
    <w:p w14:paraId="26FE992A" w14:textId="77777777" w:rsidR="00A77B3E" w:rsidRDefault="00737A4D">
      <w:pPr>
        <w:spacing w:line="360" w:lineRule="auto"/>
        <w:jc w:val="both"/>
      </w:pPr>
      <w:r>
        <w:rPr>
          <w:rFonts w:ascii="Book Antiqua" w:eastAsia="Book Antiqua" w:hAnsi="Book Antiqua" w:cs="Book Antiqua"/>
          <w:color w:val="000000"/>
        </w:rPr>
        <w:t>We used the shock wave device ShockMaster 500 (GymnaUniphy NV, Bilzen, Belgium) for treatment. LI-ESWT treatment utilized ultrasound-assisted localization, and local anesthesia was not required (Figure 2A</w:t>
      </w:r>
      <w:r w:rsidR="0061779D">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The patient received a total of 10 sessions with a 2-d</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interval between two sessions, and each session lasted for approximately 10</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min. The therapeutic parameter was 0.057</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mJ/mm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radial pattern, 3</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Hz and 3000 strikes. No immobilization was required after any treatment.</w:t>
      </w:r>
    </w:p>
    <w:p w14:paraId="1046B4B5" w14:textId="77777777" w:rsidR="00A77B3E" w:rsidRDefault="00A77B3E">
      <w:pPr>
        <w:spacing w:line="360" w:lineRule="auto"/>
        <w:jc w:val="both"/>
      </w:pPr>
    </w:p>
    <w:p w14:paraId="038F2C12" w14:textId="77777777" w:rsidR="00A77B3E" w:rsidRDefault="00737A4D">
      <w:pPr>
        <w:spacing w:line="360" w:lineRule="auto"/>
        <w:jc w:val="both"/>
      </w:pPr>
      <w:r>
        <w:rPr>
          <w:rFonts w:ascii="Book Antiqua" w:eastAsia="Book Antiqua" w:hAnsi="Book Antiqua" w:cs="Book Antiqua"/>
          <w:b/>
          <w:caps/>
          <w:color w:val="000000"/>
          <w:u w:val="single"/>
        </w:rPr>
        <w:t>OUTCOME AND FOLLOW-UP</w:t>
      </w:r>
    </w:p>
    <w:p w14:paraId="269A5760" w14:textId="77777777" w:rsidR="00A77B3E" w:rsidRDefault="00737A4D">
      <w:pPr>
        <w:spacing w:line="360" w:lineRule="auto"/>
        <w:jc w:val="both"/>
      </w:pPr>
      <w:r>
        <w:rPr>
          <w:rFonts w:ascii="Book Antiqua" w:eastAsia="Book Antiqua" w:hAnsi="Book Antiqua" w:cs="Book Antiqua"/>
          <w:color w:val="000000"/>
        </w:rPr>
        <w:t>At the 4-mo</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follow-up, the patient’s VAS was 0 mm in active and 10 mm in static, while the DASH scores of the patient decreased to 7. At the 7-mo</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follow-up, both the VAS and DASH scores of the patient had decreased to 0. The patient’s global assessment at the 7-mo</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follow-up was “much better.” During the whole follow-up process, the patient experienced no therapy-related complications.</w:t>
      </w:r>
    </w:p>
    <w:p w14:paraId="0A16D77E" w14:textId="77777777" w:rsidR="00A77B3E" w:rsidRDefault="00737A4D" w:rsidP="0061779D">
      <w:pPr>
        <w:spacing w:line="360" w:lineRule="auto"/>
        <w:ind w:firstLineChars="100" w:firstLine="240"/>
        <w:jc w:val="both"/>
      </w:pPr>
      <w:r>
        <w:rPr>
          <w:rFonts w:ascii="Book Antiqua" w:eastAsia="Book Antiqua" w:hAnsi="Book Antiqua" w:cs="Book Antiqua"/>
          <w:color w:val="000000"/>
        </w:rPr>
        <w:t>Bridging callus and new bone formation on X-ray and CT were observed at the 4 mo follow-up and further enhanced at the 7 mo follow-up (Figure 1D-I). The patient was able to attend normal cycling training on his last visit, but doctors suggested that he avoid intensive exercise.</w:t>
      </w:r>
    </w:p>
    <w:p w14:paraId="2955B98B" w14:textId="77777777" w:rsidR="00A77B3E" w:rsidRDefault="00A77B3E">
      <w:pPr>
        <w:spacing w:line="360" w:lineRule="auto"/>
        <w:jc w:val="both"/>
      </w:pPr>
    </w:p>
    <w:p w14:paraId="58BBC8E2" w14:textId="77777777" w:rsidR="00A77B3E" w:rsidRDefault="00737A4D">
      <w:pPr>
        <w:spacing w:line="360" w:lineRule="auto"/>
        <w:jc w:val="both"/>
      </w:pPr>
      <w:r>
        <w:rPr>
          <w:rFonts w:ascii="Book Antiqua" w:eastAsia="Book Antiqua" w:hAnsi="Book Antiqua" w:cs="Book Antiqua"/>
          <w:b/>
          <w:caps/>
          <w:color w:val="000000"/>
          <w:u w:val="single"/>
        </w:rPr>
        <w:t>DISCUSSION</w:t>
      </w:r>
    </w:p>
    <w:p w14:paraId="37167991" w14:textId="77777777" w:rsidR="00A77B3E" w:rsidRDefault="00737A4D">
      <w:pPr>
        <w:spacing w:line="360" w:lineRule="auto"/>
        <w:jc w:val="both"/>
      </w:pPr>
      <w:r>
        <w:rPr>
          <w:rFonts w:ascii="Book Antiqua" w:eastAsia="Book Antiqua" w:hAnsi="Book Antiqua" w:cs="Book Antiqua"/>
          <w:color w:val="000000"/>
        </w:rPr>
        <w:t>Delayed union of fracture is mostly defined as no signs of bone healing 3</w:t>
      </w:r>
      <w:r w:rsidR="0061779D">
        <w:rPr>
          <w:rFonts w:ascii="Book Antiqua" w:hAnsi="Book Antiqua" w:cs="Book Antiqua" w:hint="eastAsia"/>
          <w:color w:val="000000"/>
          <w:lang w:eastAsia="zh-CN"/>
        </w:rPr>
        <w:t>-</w:t>
      </w:r>
      <w:r>
        <w:rPr>
          <w:rFonts w:ascii="Book Antiqua" w:eastAsia="Book Antiqua" w:hAnsi="Book Antiqua" w:cs="Book Antiqua"/>
          <w:color w:val="000000"/>
        </w:rPr>
        <w:t>6 mo after injury or operation on X-ray or CT scan</w:t>
      </w:r>
      <w:r w:rsidR="0061779D">
        <w:rPr>
          <w:rFonts w:ascii="Book Antiqua" w:eastAsia="Book Antiqua" w:hAnsi="Book Antiqua" w:cs="Book Antiqua"/>
          <w:color w:val="000000"/>
          <w:szCs w:val="20"/>
          <w:vertAlign w:val="superscript"/>
        </w:rPr>
        <w:t>[10,</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The incidence of clavicle nonunion can be as high as 7.5% for operational treatment, and surgery to revise clavicle nonunion can have an even higher complication rate than the initial surgery</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Risk factors for nonhealing midshaft clavicle fractures are smoking, complexity of fracture, complete fracture displacement, advanced age, and female sex. Displacement seems to be the most likely factor</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The risk factors for the current patient, as he was informed before surgery, were complete dislocation of the initial fracture, smoking habit, and age. High-energy ESWT, since the first report of its application in bone nonunion by </w:t>
      </w:r>
      <w:r w:rsidR="0061779D" w:rsidRPr="0061779D">
        <w:rPr>
          <w:rFonts w:ascii="Book Antiqua" w:eastAsia="Book Antiqua" w:hAnsi="Book Antiqua" w:cs="Book Antiqua"/>
          <w:color w:val="000000"/>
        </w:rPr>
        <w:t>Valchanou</w:t>
      </w:r>
      <w:r>
        <w:rPr>
          <w:rFonts w:ascii="Book Antiqua" w:eastAsia="Book Antiqua" w:hAnsi="Book Antiqua" w:cs="Book Antiqua"/>
          <w:i/>
          <w:iCs/>
          <w:color w:val="000000"/>
        </w:rPr>
        <w:t xml:space="preserve"> et al</w:t>
      </w:r>
      <w:r w:rsidR="0061779D">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in 1991, has been proven to be as effective as surgical procedures but free of surgical side effects for the treatment of ununited fractures. To date, both guidelines and the literature have mostly applied middle-to-high-energy ESWT to treat nonunion</w:t>
      </w:r>
      <w:r w:rsidR="0061779D">
        <w:rPr>
          <w:rFonts w:ascii="Book Antiqua" w:eastAsia="Book Antiqua" w:hAnsi="Book Antiqua" w:cs="Book Antiqua"/>
          <w:color w:val="000000"/>
          <w:szCs w:val="20"/>
          <w:vertAlign w:val="superscript"/>
        </w:rPr>
        <w:t>[10,</w:t>
      </w:r>
      <w:r>
        <w:rPr>
          <w:rFonts w:ascii="Book Antiqua" w:eastAsia="Book Antiqua" w:hAnsi="Book Antiqua" w:cs="Book Antiqua"/>
          <w:color w:val="000000"/>
          <w:szCs w:val="20"/>
          <w:vertAlign w:val="superscript"/>
        </w:rPr>
        <w:t>14</w:t>
      </w:r>
      <w:r w:rsidR="0061779D">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Shockwave-promoted bone healing is associated with mechanically induced microfractures, periosteal detachment, and a complex spectrum of biomolecular reactions</w:t>
      </w:r>
      <w:r w:rsidR="0061779D">
        <w:rPr>
          <w:rFonts w:ascii="Book Antiqua" w:eastAsia="Book Antiqua" w:hAnsi="Book Antiqua" w:cs="Book Antiqua"/>
          <w:color w:val="000000"/>
          <w:szCs w:val="20"/>
          <w:vertAlign w:val="superscript"/>
        </w:rPr>
        <w:t>[17,</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However, high-energy ESWT can have hazardous effects, such as soft tissue edema, cortical fractures, intraosseous bleeding, and even displacement of bone fragments to pulmonary vessels, with the risk of pulmonary embolism</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Similar cambium cell proliferation was seen in low energy flux density (EFD) compared with a high-energy setting, and shockwaves with lower EFD have more capacity to induce angiogenesis and improve tissue perfusion in target tissues through upregulation of vascular endothelial growth factor</w:t>
      </w:r>
      <w:r w:rsidR="0061779D">
        <w:rPr>
          <w:rFonts w:ascii="Book Antiqua" w:eastAsia="Book Antiqua" w:hAnsi="Book Antiqua" w:cs="Book Antiqua"/>
          <w:color w:val="000000"/>
          <w:szCs w:val="20"/>
          <w:vertAlign w:val="superscript"/>
        </w:rPr>
        <w:t>[20,</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(Figure 2C</w:t>
      </w:r>
      <w:r w:rsidR="0061779D">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D).</w:t>
      </w:r>
    </w:p>
    <w:p w14:paraId="744285FE" w14:textId="77777777" w:rsidR="00A77B3E" w:rsidRDefault="00737A4D" w:rsidP="0061779D">
      <w:pPr>
        <w:spacing w:line="360" w:lineRule="auto"/>
        <w:ind w:firstLineChars="100" w:firstLine="240"/>
        <w:jc w:val="both"/>
      </w:pPr>
      <w:r>
        <w:rPr>
          <w:rFonts w:ascii="Book Antiqua" w:eastAsia="Book Antiqua" w:hAnsi="Book Antiqua" w:cs="Book Antiqua"/>
          <w:color w:val="000000"/>
        </w:rPr>
        <w:t>In superficial musculoskeletal disorders, LI-ESWT has proven to be more therapeutic in pain relief than high-energy ESWT</w:t>
      </w:r>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Tam </w:t>
      </w:r>
      <w:r>
        <w:rPr>
          <w:rFonts w:ascii="Book Antiqua" w:eastAsia="Book Antiqua" w:hAnsi="Book Antiqua" w:cs="Book Antiqua"/>
          <w:i/>
          <w:iCs/>
          <w:color w:val="000000"/>
        </w:rPr>
        <w:t>et al</w:t>
      </w:r>
      <w:r w:rsidR="0061779D">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suggested that low-intensity treatment with more shocks under the same total energy dose (intensity multiplied by number of shocks) was more favorable in enchaining periosteal cell activities. The study by Ke </w:t>
      </w:r>
      <w:r>
        <w:rPr>
          <w:rFonts w:ascii="Book Antiqua" w:eastAsia="Book Antiqua" w:hAnsi="Book Antiqua" w:cs="Book Antiqua"/>
          <w:i/>
          <w:iCs/>
          <w:color w:val="000000"/>
        </w:rPr>
        <w:t>et al</w:t>
      </w:r>
      <w:r w:rsidR="0061779D">
        <w:rPr>
          <w:rFonts w:ascii="Book Antiqua" w:eastAsia="Book Antiqua" w:hAnsi="Book Antiqua" w:cs="Book Antiqua"/>
          <w:color w:val="000000"/>
          <w:szCs w:val="20"/>
          <w:vertAlign w:val="superscript"/>
        </w:rPr>
        <w:t>[24]</w:t>
      </w:r>
      <w:r>
        <w:rPr>
          <w:rFonts w:ascii="Book Antiqua" w:eastAsia="Book Antiqua" w:hAnsi="Book Antiqua" w:cs="Book Antiqua"/>
          <w:i/>
          <w:iCs/>
          <w:color w:val="000000"/>
        </w:rPr>
        <w:t xml:space="preserve"> </w:t>
      </w:r>
      <w:r>
        <w:rPr>
          <w:rFonts w:ascii="Book Antiqua" w:eastAsia="Book Antiqua" w:hAnsi="Book Antiqua" w:cs="Book Antiqua"/>
          <w:color w:val="000000"/>
        </w:rPr>
        <w:t>showed that multiple sessions of ESWT had greater efficacy than single sessions from the perspective of the clinically cumulative effect. It should be noted that ESWT treatment for clavicle fracture is potentially risky for lung tissue damage, as suggested in animal experiments</w:t>
      </w:r>
      <w:r w:rsidR="0061779D">
        <w:rPr>
          <w:rFonts w:ascii="Book Antiqua" w:eastAsia="Book Antiqua" w:hAnsi="Book Antiqua" w:cs="Book Antiqua"/>
          <w:color w:val="000000"/>
          <w:szCs w:val="20"/>
          <w:vertAlign w:val="superscript"/>
        </w:rPr>
        <w:t>[25,</w:t>
      </w:r>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Moreover, high-intensity ESWT is often more costly and more likely to be performed in an inpatient setting, whereas LI-ESWT can be performed at an outpatient clinic by a therapist</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w:t>
      </w:r>
    </w:p>
    <w:p w14:paraId="371B44B4" w14:textId="685ECE91" w:rsidR="00A77B3E" w:rsidRDefault="00737A4D" w:rsidP="0061779D">
      <w:pPr>
        <w:spacing w:line="360" w:lineRule="auto"/>
        <w:ind w:firstLineChars="100" w:firstLine="240"/>
        <w:jc w:val="both"/>
      </w:pPr>
      <w:r>
        <w:rPr>
          <w:rFonts w:ascii="Book Antiqua" w:eastAsia="Book Antiqua" w:hAnsi="Book Antiqua" w:cs="Book Antiqua"/>
          <w:color w:val="000000"/>
        </w:rPr>
        <w:t xml:space="preserve">The criteria of LI-ESWT vary. Here, we defined ESWT as EFD </w:t>
      </w:r>
      <w:r w:rsidR="00B95CCD">
        <w:rPr>
          <w:rFonts w:ascii="宋体" w:eastAsia="宋体" w:hAnsi="宋体" w:cs="宋体"/>
          <w:color w:val="000000"/>
          <w:lang w:eastAsia="zh-CN"/>
        </w:rPr>
        <w:t>&lt;</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0.08</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mJ/mm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as in previous reports</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Five studies to date reported ESWT on delayed clavicle union or nonunion. Alkhawashki</w:t>
      </w:r>
      <w:r w:rsidR="0061779D">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reported one case of successful ESWT treatment of clavicle nonunion, but the treatment was high-energy ESWT conducted in a single session. Moretti </w:t>
      </w:r>
      <w:r>
        <w:rPr>
          <w:rFonts w:ascii="Book Antiqua" w:eastAsia="Book Antiqua" w:hAnsi="Book Antiqua" w:cs="Book Antiqua"/>
          <w:i/>
          <w:iCs/>
          <w:color w:val="000000"/>
        </w:rPr>
        <w:t>et al</w:t>
      </w:r>
      <w:r w:rsidR="0061779D">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reported ESWT treatment of clavicle pseudoarthrosis with EFD of 0.22</w:t>
      </w:r>
      <w:r w:rsidR="0061779D">
        <w:rPr>
          <w:rFonts w:ascii="Book Antiqua" w:hAnsi="Book Antiqua" w:cs="Book Antiqua" w:hint="eastAsia"/>
          <w:color w:val="000000"/>
          <w:lang w:eastAsia="zh-CN"/>
        </w:rPr>
        <w:t>-</w:t>
      </w:r>
      <w:r>
        <w:rPr>
          <w:rFonts w:ascii="Book Antiqua" w:eastAsia="Book Antiqua" w:hAnsi="Book Antiqua" w:cs="Book Antiqua"/>
          <w:color w:val="000000"/>
        </w:rPr>
        <w:t>1.10</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mJ/mm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Kertzman </w:t>
      </w:r>
      <w:r>
        <w:rPr>
          <w:rFonts w:ascii="Book Antiqua" w:eastAsia="Book Antiqua" w:hAnsi="Book Antiqua" w:cs="Book Antiqua"/>
          <w:i/>
          <w:iCs/>
          <w:color w:val="000000"/>
        </w:rPr>
        <w:t>et al</w:t>
      </w:r>
      <w:r w:rsidR="0061779D">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reported a failed case of radial ESWT treatment of a clavicle nonunion despite initial surgical fixation with two sessions of 0.18</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mJ/mm</w:t>
      </w:r>
      <w:r>
        <w:rPr>
          <w:rFonts w:ascii="Book Antiqua" w:eastAsia="Book Antiqua" w:hAnsi="Book Antiqua" w:cs="Book Antiqua"/>
          <w:color w:val="000000"/>
          <w:szCs w:val="20"/>
          <w:vertAlign w:val="superscript"/>
        </w:rPr>
        <w:t>2</w:t>
      </w:r>
      <w:r w:rsidRPr="00D07C30">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treatment. Vulpiani </w:t>
      </w:r>
      <w:r>
        <w:rPr>
          <w:rFonts w:ascii="Book Antiqua" w:eastAsia="Book Antiqua" w:hAnsi="Book Antiqua" w:cs="Book Antiqua"/>
          <w:i/>
          <w:iCs/>
          <w:color w:val="000000"/>
        </w:rPr>
        <w:t>et al</w:t>
      </w:r>
      <w:r w:rsidR="0061779D">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and Carfagni </w:t>
      </w:r>
      <w:r>
        <w:rPr>
          <w:rFonts w:ascii="Book Antiqua" w:eastAsia="Book Antiqua" w:hAnsi="Book Antiqua" w:cs="Book Antiqua"/>
          <w:i/>
          <w:iCs/>
          <w:color w:val="000000"/>
        </w:rPr>
        <w:t>et al</w:t>
      </w:r>
      <w:r w:rsidR="0061779D">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xml:space="preserve"> also reported clavicle nonunion treated with middle-to-high-energy ESWT, but the methods or results were not individually shown (Table</w:t>
      </w:r>
      <w:r w:rsidR="0061779D">
        <w:rPr>
          <w:rFonts w:ascii="Book Antiqua" w:hAnsi="Book Antiqua" w:cs="Book Antiqua" w:hint="eastAsia"/>
          <w:color w:val="000000"/>
          <w:lang w:eastAsia="zh-CN"/>
        </w:rPr>
        <w:t xml:space="preserve"> </w:t>
      </w:r>
      <w:r>
        <w:rPr>
          <w:rFonts w:ascii="Book Antiqua" w:eastAsia="Book Antiqua" w:hAnsi="Book Antiqua" w:cs="Book Antiqua"/>
          <w:color w:val="000000"/>
        </w:rPr>
        <w:t>1). None of these studies mentioned side effects. We learned from these studies and used a lower dose administered over more sessions for our patient, which produced positive results with no side effects.</w:t>
      </w:r>
    </w:p>
    <w:p w14:paraId="2C2788BB" w14:textId="77777777" w:rsidR="00A77B3E" w:rsidRDefault="00737A4D" w:rsidP="0061779D">
      <w:pPr>
        <w:spacing w:line="360" w:lineRule="auto"/>
        <w:ind w:firstLineChars="100" w:firstLine="240"/>
        <w:jc w:val="both"/>
      </w:pPr>
      <w:r>
        <w:rPr>
          <w:rFonts w:ascii="Book Antiqua" w:eastAsia="Book Antiqua" w:hAnsi="Book Antiqua" w:cs="Book Antiqua"/>
          <w:color w:val="000000"/>
        </w:rPr>
        <w:t>However, this was only a pilot study. Studies with a higher level of evidence must be conducted to verify our findings.</w:t>
      </w:r>
    </w:p>
    <w:p w14:paraId="03B53186" w14:textId="77777777" w:rsidR="00A77B3E" w:rsidRDefault="00A77B3E">
      <w:pPr>
        <w:spacing w:line="360" w:lineRule="auto"/>
        <w:jc w:val="both"/>
      </w:pPr>
    </w:p>
    <w:p w14:paraId="59398F03" w14:textId="77777777" w:rsidR="00A77B3E" w:rsidRDefault="00737A4D">
      <w:pPr>
        <w:spacing w:line="360" w:lineRule="auto"/>
        <w:jc w:val="both"/>
      </w:pPr>
      <w:r>
        <w:rPr>
          <w:rFonts w:ascii="Book Antiqua" w:eastAsia="Book Antiqua" w:hAnsi="Book Antiqua" w:cs="Book Antiqua"/>
          <w:b/>
          <w:caps/>
          <w:color w:val="000000"/>
          <w:u w:val="single"/>
        </w:rPr>
        <w:t>CONCLUSION</w:t>
      </w:r>
    </w:p>
    <w:p w14:paraId="10303BD0" w14:textId="77777777" w:rsidR="00A77B3E" w:rsidRDefault="00737A4D">
      <w:pPr>
        <w:spacing w:line="360" w:lineRule="auto"/>
        <w:jc w:val="both"/>
      </w:pPr>
      <w:r>
        <w:rPr>
          <w:rFonts w:ascii="Book Antiqua" w:eastAsia="Book Antiqua" w:hAnsi="Book Antiqua" w:cs="Book Antiqua"/>
          <w:color w:val="000000"/>
        </w:rPr>
        <w:t>In summary, this report describes a novel LI-ESWT protocol to optimize the clinical efficacy for delayed union of clavicle fracture that had been treated with internal fixation. The findings of this study could be particularly useful for dealing with delayed union or nonunion of midshaft clavicle fractures.</w:t>
      </w:r>
    </w:p>
    <w:p w14:paraId="2573463F" w14:textId="77777777" w:rsidR="00A77B3E" w:rsidRDefault="00A77B3E">
      <w:pPr>
        <w:spacing w:line="360" w:lineRule="auto"/>
        <w:jc w:val="both"/>
      </w:pPr>
    </w:p>
    <w:p w14:paraId="525AB4C1" w14:textId="77777777" w:rsidR="00A77B3E" w:rsidRDefault="00737A4D">
      <w:pPr>
        <w:spacing w:line="360" w:lineRule="auto"/>
        <w:jc w:val="both"/>
      </w:pPr>
      <w:r>
        <w:rPr>
          <w:rFonts w:ascii="Book Antiqua" w:eastAsia="Book Antiqua" w:hAnsi="Book Antiqua" w:cs="Book Antiqua"/>
          <w:b/>
          <w:color w:val="000000"/>
        </w:rPr>
        <w:t>REFERENCES</w:t>
      </w:r>
    </w:p>
    <w:p w14:paraId="7CD53018" w14:textId="77777777" w:rsidR="00A77B3E" w:rsidRDefault="00737A4D">
      <w:pPr>
        <w:spacing w:line="360" w:lineRule="auto"/>
        <w:jc w:val="both"/>
      </w:pPr>
      <w:bookmarkStart w:id="5" w:name="OLE_LINK80"/>
      <w:r>
        <w:rPr>
          <w:rFonts w:ascii="Book Antiqua" w:eastAsia="Book Antiqua" w:hAnsi="Book Antiqua" w:cs="Book Antiqua"/>
          <w:color w:val="000000"/>
        </w:rPr>
        <w:t xml:space="preserve">1 </w:t>
      </w:r>
      <w:r>
        <w:rPr>
          <w:rFonts w:ascii="Book Antiqua" w:eastAsia="Book Antiqua" w:hAnsi="Book Antiqua" w:cs="Book Antiqua"/>
          <w:b/>
          <w:bCs/>
          <w:color w:val="000000"/>
        </w:rPr>
        <w:t>Khan LA</w:t>
      </w:r>
      <w:r>
        <w:rPr>
          <w:rFonts w:ascii="Book Antiqua" w:eastAsia="Book Antiqua" w:hAnsi="Book Antiqua" w:cs="Book Antiqua"/>
          <w:color w:val="000000"/>
        </w:rPr>
        <w:t xml:space="preserve">, Bradnock TJ, Scott C, Robinson CM. Fractures of the clavicle.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2009; </w:t>
      </w:r>
      <w:r>
        <w:rPr>
          <w:rFonts w:ascii="Book Antiqua" w:eastAsia="Book Antiqua" w:hAnsi="Book Antiqua" w:cs="Book Antiqua"/>
          <w:b/>
          <w:bCs/>
          <w:color w:val="000000"/>
        </w:rPr>
        <w:t>91</w:t>
      </w:r>
      <w:r>
        <w:rPr>
          <w:rFonts w:ascii="Book Antiqua" w:eastAsia="Book Antiqua" w:hAnsi="Book Antiqua" w:cs="Book Antiqua"/>
          <w:color w:val="000000"/>
        </w:rPr>
        <w:t>: 447-460 [PMID: 19181992 DOI: 10.2106/JBJS.H.00034]</w:t>
      </w:r>
    </w:p>
    <w:p w14:paraId="19A2FCB6" w14:textId="77777777" w:rsidR="00A77B3E" w:rsidRDefault="00737A4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van der Ven DJC</w:t>
      </w:r>
      <w:r>
        <w:rPr>
          <w:rFonts w:ascii="Book Antiqua" w:eastAsia="Book Antiqua" w:hAnsi="Book Antiqua" w:cs="Book Antiqua"/>
          <w:color w:val="000000"/>
        </w:rPr>
        <w:t xml:space="preserve">, Timmers TK, Broeders IAMJ, van Olden GDJ. Displaced Clavicle Fractures in Cyclists: Return to Athletic Activity After Anteroinferior Plate Fixation. </w:t>
      </w:r>
      <w:r>
        <w:rPr>
          <w:rFonts w:ascii="Book Antiqua" w:eastAsia="Book Antiqua" w:hAnsi="Book Antiqua" w:cs="Book Antiqua"/>
          <w:i/>
          <w:iCs/>
          <w:color w:val="000000"/>
        </w:rPr>
        <w:t>Clin J Sport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465-469 [PMID: 31688176 DOI: 10.1097/JSM.0000000000000552]</w:t>
      </w:r>
    </w:p>
    <w:p w14:paraId="1CC58C7D" w14:textId="77777777" w:rsidR="00A77B3E" w:rsidRDefault="00737A4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Nishimi AY</w:t>
      </w:r>
      <w:r>
        <w:rPr>
          <w:rFonts w:ascii="Book Antiqua" w:eastAsia="Book Antiqua" w:hAnsi="Book Antiqua" w:cs="Book Antiqua"/>
          <w:color w:val="000000"/>
        </w:rPr>
        <w:t>, Belangero PS, Mesquita RS, Andreoli CV, Pochini AC, Ejnisman B. F</w:t>
      </w:r>
      <w:r w:rsidR="009606A7">
        <w:rPr>
          <w:rFonts w:ascii="Book Antiqua" w:eastAsia="Book Antiqua" w:hAnsi="Book Antiqua" w:cs="Book Antiqua"/>
          <w:color w:val="000000"/>
        </w:rPr>
        <w:t>requency and risk factors of clavicle fractures in professional cyclists</w:t>
      </w:r>
      <w:r>
        <w:rPr>
          <w:rFonts w:ascii="Book Antiqua" w:eastAsia="Book Antiqua" w:hAnsi="Book Antiqua" w:cs="Book Antiqua"/>
          <w:color w:val="000000"/>
        </w:rPr>
        <w:t xml:space="preserve">. </w:t>
      </w:r>
      <w:r>
        <w:rPr>
          <w:rFonts w:ascii="Book Antiqua" w:eastAsia="Book Antiqua" w:hAnsi="Book Antiqua" w:cs="Book Antiqua"/>
          <w:i/>
          <w:iCs/>
          <w:color w:val="000000"/>
        </w:rPr>
        <w:t>Acta Ortop Bras</w:t>
      </w:r>
      <w:r>
        <w:rPr>
          <w:rFonts w:ascii="Book Antiqua" w:eastAsia="Book Antiqua" w:hAnsi="Book Antiqua" w:cs="Book Antiqua"/>
          <w:color w:val="000000"/>
        </w:rPr>
        <w:t xml:space="preserve"> 2016; </w:t>
      </w:r>
      <w:r>
        <w:rPr>
          <w:rFonts w:ascii="Book Antiqua" w:eastAsia="Book Antiqua" w:hAnsi="Book Antiqua" w:cs="Book Antiqua"/>
          <w:b/>
          <w:bCs/>
          <w:color w:val="000000"/>
        </w:rPr>
        <w:t>24</w:t>
      </w:r>
      <w:r>
        <w:rPr>
          <w:rFonts w:ascii="Book Antiqua" w:eastAsia="Book Antiqua" w:hAnsi="Book Antiqua" w:cs="Book Antiqua"/>
          <w:color w:val="000000"/>
        </w:rPr>
        <w:t>: 240-242 [PMID: 28149188 DOI: 10.1590/1413-785220162405157391]</w:t>
      </w:r>
    </w:p>
    <w:p w14:paraId="61AB5DFE" w14:textId="77777777" w:rsidR="00A77B3E" w:rsidRDefault="00737A4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Robertson GA</w:t>
      </w:r>
      <w:r>
        <w:rPr>
          <w:rFonts w:ascii="Book Antiqua" w:eastAsia="Book Antiqua" w:hAnsi="Book Antiqua" w:cs="Book Antiqua"/>
          <w:color w:val="000000"/>
        </w:rPr>
        <w:t xml:space="preserve">, Wood AM, Oliver CW. Displaced middle-third clavicle fracture management in sport: still a challenge in 2018. Should you call the surgeon to speed return to play? </w:t>
      </w:r>
      <w:r>
        <w:rPr>
          <w:rFonts w:ascii="Book Antiqua" w:eastAsia="Book Antiqua" w:hAnsi="Book Antiqua" w:cs="Book Antiqua"/>
          <w:i/>
          <w:iCs/>
          <w:color w:val="000000"/>
        </w:rPr>
        <w:t>Br J Sports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348-349 [PMID: 28500080 DOI: 10.1136/bjsports-2016-097349]</w:t>
      </w:r>
    </w:p>
    <w:p w14:paraId="0641B72A" w14:textId="77777777" w:rsidR="00A77B3E" w:rsidRDefault="00737A4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Ban I</w:t>
      </w:r>
      <w:r>
        <w:rPr>
          <w:rFonts w:ascii="Book Antiqua" w:eastAsia="Book Antiqua" w:hAnsi="Book Antiqua" w:cs="Book Antiqua"/>
          <w:color w:val="000000"/>
        </w:rPr>
        <w:t xml:space="preserve">, Troelsen A. Risk profile of patients developing nonunion of the clavicle and outcome of treatment--analysis of fifty five nonunions in seven hundred and twenty nine consecutive fractures. </w:t>
      </w:r>
      <w:r>
        <w:rPr>
          <w:rFonts w:ascii="Book Antiqua" w:eastAsia="Book Antiqua" w:hAnsi="Book Antiqua" w:cs="Book Antiqua"/>
          <w:i/>
          <w:iCs/>
          <w:color w:val="000000"/>
        </w:rPr>
        <w:t>Int Orthop</w:t>
      </w:r>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587-593 [PMID: 26847264 DOI: 10.1007/s00264-016-3120-8]</w:t>
      </w:r>
    </w:p>
    <w:p w14:paraId="221C6A3A" w14:textId="77777777" w:rsidR="00A77B3E" w:rsidRDefault="00737A4D">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Zelle BA</w:t>
      </w:r>
      <w:r>
        <w:rPr>
          <w:rFonts w:ascii="Book Antiqua" w:eastAsia="Book Antiqua" w:hAnsi="Book Antiqua" w:cs="Book Antiqua"/>
          <w:color w:val="000000"/>
        </w:rPr>
        <w:t xml:space="preserve">, Gollwitzer H, Zlowodzki M, Bühren V. Extracorporeal shock wave therapy: current evidence. </w:t>
      </w:r>
      <w:r>
        <w:rPr>
          <w:rFonts w:ascii="Book Antiqua" w:eastAsia="Book Antiqua" w:hAnsi="Book Antiqua" w:cs="Book Antiqua"/>
          <w:i/>
          <w:iCs/>
          <w:color w:val="000000"/>
        </w:rPr>
        <w:t>J Orthop Trauma</w:t>
      </w:r>
      <w:r>
        <w:rPr>
          <w:rFonts w:ascii="Book Antiqua" w:eastAsia="Book Antiqua" w:hAnsi="Book Antiqua" w:cs="Book Antiqua"/>
          <w:color w:val="000000"/>
        </w:rPr>
        <w:t xml:space="preserve"> 2010; </w:t>
      </w:r>
      <w:r>
        <w:rPr>
          <w:rFonts w:ascii="Book Antiqua" w:eastAsia="Book Antiqua" w:hAnsi="Book Antiqua" w:cs="Book Antiqua"/>
          <w:b/>
          <w:bCs/>
          <w:color w:val="000000"/>
        </w:rPr>
        <w:t>24 Suppl 1</w:t>
      </w:r>
      <w:r>
        <w:rPr>
          <w:rFonts w:ascii="Book Antiqua" w:eastAsia="Book Antiqua" w:hAnsi="Book Antiqua" w:cs="Book Antiqua"/>
          <w:color w:val="000000"/>
        </w:rPr>
        <w:t>: S66-S70 [PMID: 20182240 DOI: 10.1097/BOT.0b013e3181cad510]</w:t>
      </w:r>
    </w:p>
    <w:p w14:paraId="3723EDBD" w14:textId="77777777" w:rsidR="00A77B3E" w:rsidRDefault="00737A4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Kertzman P</w:t>
      </w:r>
      <w:r>
        <w:rPr>
          <w:rFonts w:ascii="Book Antiqua" w:eastAsia="Book Antiqua" w:hAnsi="Book Antiqua" w:cs="Book Antiqua"/>
          <w:color w:val="000000"/>
        </w:rPr>
        <w:t xml:space="preserve">, Császár NBM, Furia JP, Schmitz C. Radial extracorporeal shock wave therapy is efficient and safe in the treatment of fracture nonunions of superficial bones: a retrospective case series. </w:t>
      </w:r>
      <w:r>
        <w:rPr>
          <w:rFonts w:ascii="Book Antiqua" w:eastAsia="Book Antiqua" w:hAnsi="Book Antiqua" w:cs="Book Antiqua"/>
          <w:i/>
          <w:iCs/>
          <w:color w:val="000000"/>
        </w:rPr>
        <w:t>J Orthop Surg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164 [PMID: 29110711 DOI: 10.1186/s13018-017-0667-z]</w:t>
      </w:r>
    </w:p>
    <w:p w14:paraId="78644E1D" w14:textId="77777777" w:rsidR="00A77B3E" w:rsidRDefault="00737A4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Gebauer D</w:t>
      </w:r>
      <w:r>
        <w:rPr>
          <w:rFonts w:ascii="Book Antiqua" w:eastAsia="Book Antiqua" w:hAnsi="Book Antiqua" w:cs="Book Antiqua"/>
          <w:color w:val="000000"/>
        </w:rPr>
        <w:t xml:space="preserve">, Mayr E, Orthner E, Ryaby JP. Low-intensity pulsed ultrasound: effects on nonunions.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31</w:t>
      </w:r>
      <w:r>
        <w:rPr>
          <w:rFonts w:ascii="Book Antiqua" w:eastAsia="Book Antiqua" w:hAnsi="Book Antiqua" w:cs="Book Antiqua"/>
          <w:color w:val="000000"/>
        </w:rPr>
        <w:t>: 1391-1402 [PMID: 16223643 DOI: 10.1016/j.ultrasmedbio.2005.06.002]</w:t>
      </w:r>
    </w:p>
    <w:p w14:paraId="3B15A24D" w14:textId="77777777" w:rsidR="00A77B3E" w:rsidRDefault="00737A4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Eroglu M</w:t>
      </w:r>
      <w:r>
        <w:rPr>
          <w:rFonts w:ascii="Book Antiqua" w:eastAsia="Book Antiqua" w:hAnsi="Book Antiqua" w:cs="Book Antiqua"/>
          <w:color w:val="000000"/>
        </w:rPr>
        <w:t xml:space="preserve">, Cimentepe E, Demirag F, Unsal E, Unsal A. The effects of shock waves on lung tissue in acute period: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study. </w:t>
      </w:r>
      <w:r>
        <w:rPr>
          <w:rFonts w:ascii="Book Antiqua" w:eastAsia="Book Antiqua" w:hAnsi="Book Antiqua" w:cs="Book Antiqua"/>
          <w:i/>
          <w:iCs/>
          <w:color w:val="000000"/>
        </w:rPr>
        <w:t>Urol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35</w:t>
      </w:r>
      <w:r>
        <w:rPr>
          <w:rFonts w:ascii="Book Antiqua" w:eastAsia="Book Antiqua" w:hAnsi="Book Antiqua" w:cs="Book Antiqua"/>
          <w:color w:val="000000"/>
        </w:rPr>
        <w:t>: 155-160 [PMID: 17453185 DOI: 10.1007/s00240-007-0092-6]</w:t>
      </w:r>
    </w:p>
    <w:p w14:paraId="48002FE0" w14:textId="7AB4AC97" w:rsidR="00A77B3E" w:rsidRDefault="00737A4D">
      <w:pPr>
        <w:spacing w:line="360" w:lineRule="auto"/>
        <w:jc w:val="both"/>
      </w:pPr>
      <w:r w:rsidRPr="00500705">
        <w:rPr>
          <w:rFonts w:ascii="Book Antiqua" w:eastAsia="Book Antiqua" w:hAnsi="Book Antiqua" w:cs="Book Antiqua"/>
          <w:color w:val="000000"/>
          <w:highlight w:val="yellow"/>
        </w:rPr>
        <w:t xml:space="preserve">10 The International Society for Medical Shockwave Treatment. DIGEST Guidelines for Extracorporeal Shock wave Therapy. 2019. </w:t>
      </w:r>
      <w:r w:rsidR="00500705">
        <w:rPr>
          <w:rFonts w:ascii="Book Antiqua" w:eastAsia="Book Antiqua" w:hAnsi="Book Antiqua" w:cs="Book Antiqua"/>
          <w:color w:val="000000"/>
          <w:highlight w:val="yellow"/>
        </w:rPr>
        <w:t>[c</w:t>
      </w:r>
      <w:r w:rsidR="00500705" w:rsidRPr="00500705">
        <w:rPr>
          <w:rFonts w:ascii="Book Antiqua" w:eastAsia="Book Antiqua" w:hAnsi="Book Antiqua" w:cs="Book Antiqua"/>
          <w:color w:val="000000"/>
          <w:highlight w:val="yellow"/>
        </w:rPr>
        <w:t>ited 3 May 2021</w:t>
      </w:r>
      <w:r w:rsidR="00500705">
        <w:rPr>
          <w:rFonts w:ascii="Book Antiqua" w:eastAsia="Book Antiqua" w:hAnsi="Book Antiqua" w:cs="Book Antiqua"/>
          <w:color w:val="000000"/>
          <w:highlight w:val="yellow"/>
        </w:rPr>
        <w:t xml:space="preserve">]. </w:t>
      </w:r>
      <w:r w:rsidRPr="00500705">
        <w:rPr>
          <w:rFonts w:ascii="Book Antiqua" w:eastAsia="Book Antiqua" w:hAnsi="Book Antiqua" w:cs="Book Antiqua"/>
          <w:color w:val="000000"/>
          <w:highlight w:val="yellow"/>
        </w:rPr>
        <w:t xml:space="preserve">Available from: </w:t>
      </w:r>
      <w:bookmarkStart w:id="6" w:name="OLE_LINK81"/>
      <w:r w:rsidRPr="00500705">
        <w:rPr>
          <w:rFonts w:ascii="Book Antiqua" w:eastAsia="Book Antiqua" w:hAnsi="Book Antiqua" w:cs="Book Antiqua"/>
          <w:color w:val="000000"/>
          <w:highlight w:val="yellow"/>
        </w:rPr>
        <w:t>https://wwwshockwavetherapyorg/about-eswt/ismst-guidelines/</w:t>
      </w:r>
      <w:bookmarkEnd w:id="6"/>
    </w:p>
    <w:p w14:paraId="4A397E4A" w14:textId="77777777" w:rsidR="00A77B3E" w:rsidRDefault="00737A4D">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Nicholson JA</w:t>
      </w:r>
      <w:r>
        <w:rPr>
          <w:rFonts w:ascii="Book Antiqua" w:eastAsia="Book Antiqua" w:hAnsi="Book Antiqua" w:cs="Book Antiqua"/>
          <w:color w:val="000000"/>
        </w:rPr>
        <w:t xml:space="preserve">, Fox B, Dhir R, Simpson A, Robinson CM. The accuracy of computed tomography for clavicle non-union evaluation. </w:t>
      </w:r>
      <w:r>
        <w:rPr>
          <w:rFonts w:ascii="Book Antiqua" w:eastAsia="Book Antiqua" w:hAnsi="Book Antiqua" w:cs="Book Antiqua"/>
          <w:i/>
          <w:iCs/>
          <w:color w:val="000000"/>
        </w:rPr>
        <w:t>Shoulder Elbow</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195-204 [PMID: 33897851 DOI: 10.1177/1758573219884067]</w:t>
      </w:r>
    </w:p>
    <w:p w14:paraId="1AAEB587" w14:textId="77777777" w:rsidR="00A77B3E" w:rsidRDefault="00737A4D">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Jørgensen A</w:t>
      </w:r>
      <w:r>
        <w:rPr>
          <w:rFonts w:ascii="Book Antiqua" w:eastAsia="Book Antiqua" w:hAnsi="Book Antiqua" w:cs="Book Antiqua"/>
          <w:color w:val="000000"/>
        </w:rPr>
        <w:t xml:space="preserve">, Troelsen A, Ban I. Predictors associated with nonunion and symptomatic malunion following non-operative treatment of displaced midshaft clavicle fractures--a systematic review of the literature. </w:t>
      </w:r>
      <w:r>
        <w:rPr>
          <w:rFonts w:ascii="Book Antiqua" w:eastAsia="Book Antiqua" w:hAnsi="Book Antiqua" w:cs="Book Antiqua"/>
          <w:i/>
          <w:iCs/>
          <w:color w:val="000000"/>
        </w:rPr>
        <w:t>Int Orthop</w:t>
      </w:r>
      <w:r>
        <w:rPr>
          <w:rFonts w:ascii="Book Antiqua" w:eastAsia="Book Antiqua" w:hAnsi="Book Antiqua" w:cs="Book Antiqua"/>
          <w:color w:val="000000"/>
        </w:rPr>
        <w:t xml:space="preserve"> 2014; </w:t>
      </w:r>
      <w:r>
        <w:rPr>
          <w:rFonts w:ascii="Book Antiqua" w:eastAsia="Book Antiqua" w:hAnsi="Book Antiqua" w:cs="Book Antiqua"/>
          <w:b/>
          <w:bCs/>
          <w:color w:val="000000"/>
        </w:rPr>
        <w:t>38</w:t>
      </w:r>
      <w:r>
        <w:rPr>
          <w:rFonts w:ascii="Book Antiqua" w:eastAsia="Book Antiqua" w:hAnsi="Book Antiqua" w:cs="Book Antiqua"/>
          <w:color w:val="000000"/>
        </w:rPr>
        <w:t>: 2543-2549 [PMID: 25027978 DOI: 10.1007/s00264-014-2450-7]</w:t>
      </w:r>
    </w:p>
    <w:p w14:paraId="3B76AAF3" w14:textId="77777777" w:rsidR="00A77B3E" w:rsidRDefault="00737A4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Valchanou VD</w:t>
      </w:r>
      <w:r>
        <w:rPr>
          <w:rFonts w:ascii="Book Antiqua" w:eastAsia="Book Antiqua" w:hAnsi="Book Antiqua" w:cs="Book Antiqua"/>
          <w:color w:val="000000"/>
        </w:rPr>
        <w:t xml:space="preserve">, Michailov P. High energy shock waves in the treatment of delayed and nonunion of fractures. </w:t>
      </w:r>
      <w:r>
        <w:rPr>
          <w:rFonts w:ascii="Book Antiqua" w:eastAsia="Book Antiqua" w:hAnsi="Book Antiqua" w:cs="Book Antiqua"/>
          <w:i/>
          <w:iCs/>
          <w:color w:val="000000"/>
        </w:rPr>
        <w:t>Int Orthop</w:t>
      </w:r>
      <w:r>
        <w:rPr>
          <w:rFonts w:ascii="Book Antiqua" w:eastAsia="Book Antiqua" w:hAnsi="Book Antiqua" w:cs="Book Antiqua"/>
          <w:color w:val="000000"/>
        </w:rPr>
        <w:t xml:space="preserve"> 1991; </w:t>
      </w:r>
      <w:r>
        <w:rPr>
          <w:rFonts w:ascii="Book Antiqua" w:eastAsia="Book Antiqua" w:hAnsi="Book Antiqua" w:cs="Book Antiqua"/>
          <w:b/>
          <w:bCs/>
          <w:color w:val="000000"/>
        </w:rPr>
        <w:t>15</w:t>
      </w:r>
      <w:r>
        <w:rPr>
          <w:rFonts w:ascii="Book Antiqua" w:eastAsia="Book Antiqua" w:hAnsi="Book Antiqua" w:cs="Book Antiqua"/>
          <w:color w:val="000000"/>
        </w:rPr>
        <w:t>: 181-184 [PMID: 1743828 DOI: 10.1007/BF00192289]</w:t>
      </w:r>
    </w:p>
    <w:p w14:paraId="5288FAE0" w14:textId="77777777" w:rsidR="00A77B3E" w:rsidRDefault="00737A4D">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Cacchio A</w:t>
      </w:r>
      <w:r>
        <w:rPr>
          <w:rFonts w:ascii="Book Antiqua" w:eastAsia="Book Antiqua" w:hAnsi="Book Antiqua" w:cs="Book Antiqua"/>
          <w:color w:val="000000"/>
        </w:rPr>
        <w:t xml:space="preserve">, Giordano L, Colafarina O, Rompe JD, Tavernese E, Ioppolo F, Flamini S, Spacca G, Santilli V. Extracorporeal shock-wave therapy compared with surgery for hypertrophic long-bone nonunions.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2009; </w:t>
      </w:r>
      <w:r>
        <w:rPr>
          <w:rFonts w:ascii="Book Antiqua" w:eastAsia="Book Antiqua" w:hAnsi="Book Antiqua" w:cs="Book Antiqua"/>
          <w:b/>
          <w:bCs/>
          <w:color w:val="000000"/>
        </w:rPr>
        <w:t>91</w:t>
      </w:r>
      <w:r>
        <w:rPr>
          <w:rFonts w:ascii="Book Antiqua" w:eastAsia="Book Antiqua" w:hAnsi="Book Antiqua" w:cs="Book Antiqua"/>
          <w:color w:val="000000"/>
        </w:rPr>
        <w:t>: 2589-2597 [PMID: 19884432 DOI: 10.2106/JBJS.H.00841]</w:t>
      </w:r>
    </w:p>
    <w:p w14:paraId="6C0D51F7" w14:textId="77777777" w:rsidR="00A77B3E" w:rsidRDefault="00737A4D">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Biedermann R</w:t>
      </w:r>
      <w:r>
        <w:rPr>
          <w:rFonts w:ascii="Book Antiqua" w:eastAsia="Book Antiqua" w:hAnsi="Book Antiqua" w:cs="Book Antiqua"/>
          <w:color w:val="000000"/>
        </w:rPr>
        <w:t xml:space="preserve">, Martin A, Handle G, Auckenthaler T, Bach C, Krismer M. Extracorporeal shock waves in the treatment of nonunions.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2003; </w:t>
      </w:r>
      <w:r>
        <w:rPr>
          <w:rFonts w:ascii="Book Antiqua" w:eastAsia="Book Antiqua" w:hAnsi="Book Antiqua" w:cs="Book Antiqua"/>
          <w:b/>
          <w:bCs/>
          <w:color w:val="000000"/>
        </w:rPr>
        <w:t>54</w:t>
      </w:r>
      <w:r>
        <w:rPr>
          <w:rFonts w:ascii="Book Antiqua" w:eastAsia="Book Antiqua" w:hAnsi="Book Antiqua" w:cs="Book Antiqua"/>
          <w:color w:val="000000"/>
        </w:rPr>
        <w:t>: 936-942 [PMID: 12777907 DOI: 10.1097/01.TA.0000042155.26936.03]</w:t>
      </w:r>
    </w:p>
    <w:p w14:paraId="560E74D4" w14:textId="77777777" w:rsidR="00A77B3E" w:rsidRDefault="00737A4D">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Schaden W</w:t>
      </w:r>
      <w:r>
        <w:rPr>
          <w:rFonts w:ascii="Book Antiqua" w:eastAsia="Book Antiqua" w:hAnsi="Book Antiqua" w:cs="Book Antiqua"/>
          <w:color w:val="000000"/>
        </w:rPr>
        <w:t xml:space="preserve">, Mittermayr R, Haffner N, Smolen D, Gerdesmeyer L, Wang CJ. Extracorporeal shockwave therapy (ESWT)--First choice treatment of fracture non-unions?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24</w:t>
      </w:r>
      <w:r>
        <w:rPr>
          <w:rFonts w:ascii="Book Antiqua" w:eastAsia="Book Antiqua" w:hAnsi="Book Antiqua" w:cs="Book Antiqua"/>
          <w:color w:val="000000"/>
        </w:rPr>
        <w:t>: 179-183 [PMID: 26454164 DOI: 10.1016/j.ijsu.2015.10.003]</w:t>
      </w:r>
    </w:p>
    <w:p w14:paraId="03A4CBDA" w14:textId="77777777" w:rsidR="00A77B3E" w:rsidRDefault="00737A4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Haffner N</w:t>
      </w:r>
      <w:r>
        <w:rPr>
          <w:rFonts w:ascii="Book Antiqua" w:eastAsia="Book Antiqua" w:hAnsi="Book Antiqua" w:cs="Book Antiqua"/>
          <w:color w:val="000000"/>
        </w:rPr>
        <w:t xml:space="preserve">, Antonic V, Smolen D, Slezak P, Schaden W, Mittermayr R, Stojadinovic A. Extracorporeal shockwave therapy (ESWT) ameliorates healing of tibial fracture non-union unresponsive to conventional therapy.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2016; </w:t>
      </w:r>
      <w:r>
        <w:rPr>
          <w:rFonts w:ascii="Book Antiqua" w:eastAsia="Book Antiqua" w:hAnsi="Book Antiqua" w:cs="Book Antiqua"/>
          <w:b/>
          <w:bCs/>
          <w:color w:val="000000"/>
        </w:rPr>
        <w:t>47</w:t>
      </w:r>
      <w:r>
        <w:rPr>
          <w:rFonts w:ascii="Book Antiqua" w:eastAsia="Book Antiqua" w:hAnsi="Book Antiqua" w:cs="Book Antiqua"/>
          <w:color w:val="000000"/>
        </w:rPr>
        <w:t>: 1506-1513 [PMID: 27158008 DOI: 10.1016/j.injury.2016.04.010]</w:t>
      </w:r>
    </w:p>
    <w:p w14:paraId="642D0DB6" w14:textId="77777777" w:rsidR="00A77B3E" w:rsidRDefault="00737A4D">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Yip HK</w:t>
      </w:r>
      <w:r>
        <w:rPr>
          <w:rFonts w:ascii="Book Antiqua" w:eastAsia="Book Antiqua" w:hAnsi="Book Antiqua" w:cs="Book Antiqua"/>
          <w:color w:val="000000"/>
        </w:rPr>
        <w:t xml:space="preserve">, Chang LT, Sun CK, Youssef AA, Sheu JJ, Wang CJ. Shock wave therapy applied to rat bone marrow-derived mononuclear cells enhances formation of cells stained positive for CD31 and vascular endothelial growth factor. </w:t>
      </w:r>
      <w:r>
        <w:rPr>
          <w:rFonts w:ascii="Book Antiqua" w:eastAsia="Book Antiqua" w:hAnsi="Book Antiqua" w:cs="Book Antiqua"/>
          <w:i/>
          <w:iCs/>
          <w:color w:val="000000"/>
        </w:rPr>
        <w:t>Circ J</w:t>
      </w:r>
      <w:r>
        <w:rPr>
          <w:rFonts w:ascii="Book Antiqua" w:eastAsia="Book Antiqua" w:hAnsi="Book Antiqua" w:cs="Book Antiqua"/>
          <w:color w:val="000000"/>
        </w:rPr>
        <w:t xml:space="preserve"> 2008; </w:t>
      </w:r>
      <w:r>
        <w:rPr>
          <w:rFonts w:ascii="Book Antiqua" w:eastAsia="Book Antiqua" w:hAnsi="Book Antiqua" w:cs="Book Antiqua"/>
          <w:b/>
          <w:bCs/>
          <w:color w:val="000000"/>
        </w:rPr>
        <w:t>72</w:t>
      </w:r>
      <w:r>
        <w:rPr>
          <w:rFonts w:ascii="Book Antiqua" w:eastAsia="Book Antiqua" w:hAnsi="Book Antiqua" w:cs="Book Antiqua"/>
          <w:color w:val="000000"/>
        </w:rPr>
        <w:t>: 150-156 [PMID: 18159117 DOI: 10.1253/circj.72.150]</w:t>
      </w:r>
    </w:p>
    <w:p w14:paraId="2F73DCB4" w14:textId="77777777" w:rsidR="00A77B3E" w:rsidRDefault="00737A4D">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Maier M</w:t>
      </w:r>
      <w:r>
        <w:rPr>
          <w:rFonts w:ascii="Book Antiqua" w:eastAsia="Book Antiqua" w:hAnsi="Book Antiqua" w:cs="Book Antiqua"/>
          <w:color w:val="000000"/>
        </w:rPr>
        <w:t xml:space="preserve">, Hausdorf J, Tischer T, Milz S, Weiler C, Refior HJ, Schmitz C. [New bone formation by extracorporeal shock waves. Dependence of induction on energy flux density]. </w:t>
      </w:r>
      <w:r>
        <w:rPr>
          <w:rFonts w:ascii="Book Antiqua" w:eastAsia="Book Antiqua" w:hAnsi="Book Antiqua" w:cs="Book Antiqua"/>
          <w:i/>
          <w:iCs/>
          <w:color w:val="000000"/>
        </w:rPr>
        <w:t>Orthopade</w:t>
      </w:r>
      <w:r>
        <w:rPr>
          <w:rFonts w:ascii="Book Antiqua" w:eastAsia="Book Antiqua" w:hAnsi="Book Antiqua" w:cs="Book Antiqua"/>
          <w:color w:val="000000"/>
        </w:rPr>
        <w:t xml:space="preserve"> 2004; </w:t>
      </w:r>
      <w:r>
        <w:rPr>
          <w:rFonts w:ascii="Book Antiqua" w:eastAsia="Book Antiqua" w:hAnsi="Book Antiqua" w:cs="Book Antiqua"/>
          <w:b/>
          <w:bCs/>
          <w:color w:val="000000"/>
        </w:rPr>
        <w:t>33</w:t>
      </w:r>
      <w:r>
        <w:rPr>
          <w:rFonts w:ascii="Book Antiqua" w:eastAsia="Book Antiqua" w:hAnsi="Book Antiqua" w:cs="Book Antiqua"/>
          <w:color w:val="000000"/>
        </w:rPr>
        <w:t>: 1401-1410 [PMID: 15490114 DOI: 10.1007/s00132-004-0734-0]</w:t>
      </w:r>
    </w:p>
    <w:p w14:paraId="0AE6BA37" w14:textId="77777777" w:rsidR="00A77B3E" w:rsidRDefault="00737A4D">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Kearney CJ</w:t>
      </w:r>
      <w:r>
        <w:rPr>
          <w:rFonts w:ascii="Book Antiqua" w:eastAsia="Book Antiqua" w:hAnsi="Book Antiqua" w:cs="Book Antiqua"/>
          <w:color w:val="000000"/>
        </w:rPr>
        <w:t xml:space="preserve">, Lee JY, Padera RF, Hsu HP, Spector M. Extracorporeal shock wave-induced proliferation of periosteal cells. </w:t>
      </w:r>
      <w:r>
        <w:rPr>
          <w:rFonts w:ascii="Book Antiqua" w:eastAsia="Book Antiqua" w:hAnsi="Book Antiqua" w:cs="Book Antiqua"/>
          <w:i/>
          <w:iCs/>
          <w:color w:val="000000"/>
        </w:rPr>
        <w:t>J Orthop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1536-1543 [PMID: 21448986 DOI: 10.1002/jor.21346]</w:t>
      </w:r>
    </w:p>
    <w:p w14:paraId="508274C5" w14:textId="77777777" w:rsidR="00A77B3E" w:rsidRDefault="00737A4D">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Wang HJ</w:t>
      </w:r>
      <w:r>
        <w:rPr>
          <w:rFonts w:ascii="Book Antiqua" w:eastAsia="Book Antiqua" w:hAnsi="Book Antiqua" w:cs="Book Antiqua"/>
          <w:color w:val="000000"/>
        </w:rPr>
        <w:t xml:space="preserve">, Cheng JH, Chuang YC. Potential applications of low-energy shock waves in functional urology. </w:t>
      </w:r>
      <w:r>
        <w:rPr>
          <w:rFonts w:ascii="Book Antiqua" w:eastAsia="Book Antiqua" w:hAnsi="Book Antiqua" w:cs="Book Antiqua"/>
          <w:i/>
          <w:iCs/>
          <w:color w:val="000000"/>
        </w:rPr>
        <w:t>Int J Urol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573-581 [PMID: 28697536 DOI: 10.1111/iju.13403]</w:t>
      </w:r>
    </w:p>
    <w:p w14:paraId="37C68A86" w14:textId="77777777" w:rsidR="00A77B3E" w:rsidRDefault="00737A4D">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Taheri P</w:t>
      </w:r>
      <w:r>
        <w:rPr>
          <w:rFonts w:ascii="Book Antiqua" w:eastAsia="Book Antiqua" w:hAnsi="Book Antiqua" w:cs="Book Antiqua"/>
          <w:color w:val="000000"/>
        </w:rPr>
        <w:t xml:space="preserve">, Emadi M, Poorghasemian J. Comparison the Effect of Extra Corporeal Shockwave Therapy with Low Dosage Versus High Dosage in Treatment of the Patients with Lateral Epicondylitis. </w:t>
      </w:r>
      <w:r>
        <w:rPr>
          <w:rFonts w:ascii="Book Antiqua" w:eastAsia="Book Antiqua" w:hAnsi="Book Antiqua" w:cs="Book Antiqua"/>
          <w:i/>
          <w:iCs/>
          <w:color w:val="000000"/>
        </w:rPr>
        <w:t>Adv Biomed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61 [PMID: 28603702 DOI: 10.4103/2277-9175.207148]</w:t>
      </w:r>
    </w:p>
    <w:p w14:paraId="56BD122B" w14:textId="77777777" w:rsidR="00A77B3E" w:rsidRDefault="00737A4D">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Tam KF</w:t>
      </w:r>
      <w:r>
        <w:rPr>
          <w:rFonts w:ascii="Book Antiqua" w:eastAsia="Book Antiqua" w:hAnsi="Book Antiqua" w:cs="Book Antiqua"/>
          <w:color w:val="000000"/>
        </w:rPr>
        <w:t xml:space="preserve">, Cheung WH, Lee KM, Qin L, Leung KS. Delayed stimulatory effect of low-intensity shockwaves on human periosteal cells. </w:t>
      </w:r>
      <w:r>
        <w:rPr>
          <w:rFonts w:ascii="Book Antiqua" w:eastAsia="Book Antiqua" w:hAnsi="Book Antiqua" w:cs="Book Antiqua"/>
          <w:i/>
          <w:iCs/>
          <w:color w:val="000000"/>
        </w:rPr>
        <w:t>Clin Orthop Relat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438</w:t>
      </w:r>
      <w:r>
        <w:rPr>
          <w:rFonts w:ascii="Book Antiqua" w:eastAsia="Book Antiqua" w:hAnsi="Book Antiqua" w:cs="Book Antiqua"/>
          <w:color w:val="000000"/>
        </w:rPr>
        <w:t>: 260-265 [PMID: 16131900 DOI: 10.1097/00003086-200509000-00042]</w:t>
      </w:r>
    </w:p>
    <w:p w14:paraId="2E6ECD25" w14:textId="77777777" w:rsidR="00A77B3E" w:rsidRDefault="00737A4D">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Ke MJ</w:t>
      </w:r>
      <w:r>
        <w:rPr>
          <w:rFonts w:ascii="Book Antiqua" w:eastAsia="Book Antiqua" w:hAnsi="Book Antiqua" w:cs="Book Antiqua"/>
          <w:color w:val="000000"/>
        </w:rPr>
        <w:t xml:space="preserve">, Chen LC, Chou YC, Li TY, Chu HY, Tsai CK, Wu YT. The dose-dependent efficiency of radial shock wave therapy for patients with carpal tunnel syndrome: a prospective, randomized, single-blind, placebo-controlled trial.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38344 [PMID: 27910920 DOI: 10.1038/srep38344]</w:t>
      </w:r>
    </w:p>
    <w:p w14:paraId="6BC0CFE4" w14:textId="77777777" w:rsidR="00A77B3E" w:rsidRDefault="00737A4D">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Delius M</w:t>
      </w:r>
      <w:r>
        <w:rPr>
          <w:rFonts w:ascii="Book Antiqua" w:eastAsia="Book Antiqua" w:hAnsi="Book Antiqua" w:cs="Book Antiqua"/>
          <w:color w:val="000000"/>
        </w:rPr>
        <w:t xml:space="preserve">, Enders G, Heine G, Stark J, Remberger K, Brendel W. Biological effects of shock waves: lung hemorrhage by shock waves in dogs--pressure dependence.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1987; </w:t>
      </w:r>
      <w:r>
        <w:rPr>
          <w:rFonts w:ascii="Book Antiqua" w:eastAsia="Book Antiqua" w:hAnsi="Book Antiqua" w:cs="Book Antiqua"/>
          <w:b/>
          <w:bCs/>
          <w:color w:val="000000"/>
        </w:rPr>
        <w:t>13</w:t>
      </w:r>
      <w:r>
        <w:rPr>
          <w:rFonts w:ascii="Book Antiqua" w:eastAsia="Book Antiqua" w:hAnsi="Book Antiqua" w:cs="Book Antiqua"/>
          <w:color w:val="000000"/>
        </w:rPr>
        <w:t>: 61-67 [PMID: 3590361 DOI: 10.1016/0301-5629(87)90075-5]</w:t>
      </w:r>
    </w:p>
    <w:p w14:paraId="5EF45AA8" w14:textId="77777777" w:rsidR="00A77B3E" w:rsidRDefault="00737A4D">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Tong C</w:t>
      </w:r>
      <w:r>
        <w:rPr>
          <w:rFonts w:ascii="Book Antiqua" w:eastAsia="Book Antiqua" w:hAnsi="Book Antiqua" w:cs="Book Antiqua"/>
          <w:color w:val="000000"/>
        </w:rPr>
        <w:t xml:space="preserve">, Liu Y, Zhang Y, Cong P, Shi X, Liu Y, Shi Hongxu Jin L, Hou M. Shock waves increase pulmonary vascular leakage, inflammation, oxidative stress, and apoptosis in a mouse model. </w:t>
      </w:r>
      <w:r>
        <w:rPr>
          <w:rFonts w:ascii="Book Antiqua" w:eastAsia="Book Antiqua" w:hAnsi="Book Antiqua" w:cs="Book Antiqua"/>
          <w:i/>
          <w:iCs/>
          <w:color w:val="000000"/>
        </w:rPr>
        <w:t>Exp Biol Med (Maywood)</w:t>
      </w:r>
      <w:r>
        <w:rPr>
          <w:rFonts w:ascii="Book Antiqua" w:eastAsia="Book Antiqua" w:hAnsi="Book Antiqua" w:cs="Book Antiqua"/>
          <w:color w:val="000000"/>
        </w:rPr>
        <w:t xml:space="preserve"> 2018; </w:t>
      </w:r>
      <w:r>
        <w:rPr>
          <w:rFonts w:ascii="Book Antiqua" w:eastAsia="Book Antiqua" w:hAnsi="Book Antiqua" w:cs="Book Antiqua"/>
          <w:b/>
          <w:bCs/>
          <w:color w:val="000000"/>
        </w:rPr>
        <w:t>243</w:t>
      </w:r>
      <w:r>
        <w:rPr>
          <w:rFonts w:ascii="Book Antiqua" w:eastAsia="Book Antiqua" w:hAnsi="Book Antiqua" w:cs="Book Antiqua"/>
          <w:color w:val="000000"/>
        </w:rPr>
        <w:t>: 934-944 [PMID: 29984607 DOI: 10.1177/1535370218784539]</w:t>
      </w:r>
    </w:p>
    <w:p w14:paraId="5F46D08C" w14:textId="77777777" w:rsidR="00A77B3E" w:rsidRDefault="00737A4D">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Verstraelen FU</w:t>
      </w:r>
      <w:r>
        <w:rPr>
          <w:rFonts w:ascii="Book Antiqua" w:eastAsia="Book Antiqua" w:hAnsi="Book Antiqua" w:cs="Book Antiqua"/>
          <w:color w:val="000000"/>
        </w:rPr>
        <w:t xml:space="preserve">, In den Kleef NJ, Jansen L, Morrenhof JW. High-energy </w:t>
      </w:r>
      <w:r>
        <w:rPr>
          <w:rFonts w:ascii="Book Antiqua" w:eastAsia="Book Antiqua" w:hAnsi="Book Antiqua" w:cs="Book Antiqua"/>
          <w:i/>
          <w:iCs/>
          <w:color w:val="000000"/>
        </w:rPr>
        <w:t>vs</w:t>
      </w:r>
      <w:r>
        <w:rPr>
          <w:rFonts w:ascii="Book Antiqua" w:eastAsia="Book Antiqua" w:hAnsi="Book Antiqua" w:cs="Book Antiqua"/>
          <w:color w:val="000000"/>
        </w:rPr>
        <w:t xml:space="preserve"> low-energy extracorporeal shock wave therapy for calcifying tendinitis of the shoulder: which is superior? A meta-analysis. </w:t>
      </w:r>
      <w:r>
        <w:rPr>
          <w:rFonts w:ascii="Book Antiqua" w:eastAsia="Book Antiqua" w:hAnsi="Book Antiqua" w:cs="Book Antiqua"/>
          <w:i/>
          <w:iCs/>
          <w:color w:val="000000"/>
        </w:rPr>
        <w:t>Clin Orthop Relat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472</w:t>
      </w:r>
      <w:r>
        <w:rPr>
          <w:rFonts w:ascii="Book Antiqua" w:eastAsia="Book Antiqua" w:hAnsi="Book Antiqua" w:cs="Book Antiqua"/>
          <w:color w:val="000000"/>
        </w:rPr>
        <w:t>: 2816-2825 [PMID: 24872197 DOI: 10.1007/s11999-014-3680-0]</w:t>
      </w:r>
    </w:p>
    <w:p w14:paraId="3ABB6BD1" w14:textId="77777777" w:rsidR="00A77B3E" w:rsidRDefault="00737A4D">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Alkhawashki HM</w:t>
      </w:r>
      <w:r>
        <w:rPr>
          <w:rFonts w:ascii="Book Antiqua" w:eastAsia="Book Antiqua" w:hAnsi="Book Antiqua" w:cs="Book Antiqua"/>
          <w:color w:val="000000"/>
        </w:rPr>
        <w:t xml:space="preserve">. Shock wave therapy of fracture nonunion.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2015; </w:t>
      </w:r>
      <w:r>
        <w:rPr>
          <w:rFonts w:ascii="Book Antiqua" w:eastAsia="Book Antiqua" w:hAnsi="Book Antiqua" w:cs="Book Antiqua"/>
          <w:b/>
          <w:bCs/>
          <w:color w:val="000000"/>
        </w:rPr>
        <w:t>46</w:t>
      </w:r>
      <w:r>
        <w:rPr>
          <w:rFonts w:ascii="Book Antiqua" w:eastAsia="Book Antiqua" w:hAnsi="Book Antiqua" w:cs="Book Antiqua"/>
          <w:color w:val="000000"/>
        </w:rPr>
        <w:t>: 2248-2252 [PMID: 26323379 DOI: 10.1016/j.injury.2015.06.035]</w:t>
      </w:r>
    </w:p>
    <w:p w14:paraId="43240C6A" w14:textId="77777777" w:rsidR="00A77B3E" w:rsidRDefault="00737A4D">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Moretti B</w:t>
      </w:r>
      <w:r>
        <w:rPr>
          <w:rFonts w:ascii="Book Antiqua" w:eastAsia="Book Antiqua" w:hAnsi="Book Antiqua" w:cs="Book Antiqua"/>
          <w:color w:val="000000"/>
        </w:rPr>
        <w:t xml:space="preserve">, Notarnicola A, Moretti L, Patella S, Tatò I, Patella V. Bone healing induced by ESWT. </w:t>
      </w:r>
      <w:r>
        <w:rPr>
          <w:rFonts w:ascii="Book Antiqua" w:eastAsia="Book Antiqua" w:hAnsi="Book Antiqua" w:cs="Book Antiqua"/>
          <w:i/>
          <w:iCs/>
          <w:color w:val="000000"/>
        </w:rPr>
        <w:t>Clin Cases Miner Bone Metab</w:t>
      </w:r>
      <w:r>
        <w:rPr>
          <w:rFonts w:ascii="Book Antiqua" w:eastAsia="Book Antiqua" w:hAnsi="Book Antiqua" w:cs="Book Antiqua"/>
          <w:color w:val="000000"/>
        </w:rPr>
        <w:t xml:space="preserve"> 2009; </w:t>
      </w:r>
      <w:r>
        <w:rPr>
          <w:rFonts w:ascii="Book Antiqua" w:eastAsia="Book Antiqua" w:hAnsi="Book Antiqua" w:cs="Book Antiqua"/>
          <w:b/>
          <w:bCs/>
          <w:color w:val="000000"/>
        </w:rPr>
        <w:t>6</w:t>
      </w:r>
      <w:r>
        <w:rPr>
          <w:rFonts w:ascii="Book Antiqua" w:eastAsia="Book Antiqua" w:hAnsi="Book Antiqua" w:cs="Book Antiqua"/>
          <w:color w:val="000000"/>
        </w:rPr>
        <w:t>: 155-158 [PMID: 22461166]</w:t>
      </w:r>
    </w:p>
    <w:p w14:paraId="58FD1007" w14:textId="77777777" w:rsidR="00A77B3E" w:rsidRDefault="00737A4D">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Vulpiani MC</w:t>
      </w:r>
      <w:r>
        <w:rPr>
          <w:rFonts w:ascii="Book Antiqua" w:eastAsia="Book Antiqua" w:hAnsi="Book Antiqua" w:cs="Book Antiqua"/>
          <w:color w:val="000000"/>
        </w:rPr>
        <w:t xml:space="preserve">, Vetrano M, Conforti F, Minutolo L, Trischitta D, Furia JP, Ferretti A. Effects of extracorporeal shock wave therapy on fracture nonunions. </w:t>
      </w:r>
      <w:r>
        <w:rPr>
          <w:rFonts w:ascii="Book Antiqua" w:eastAsia="Book Antiqua" w:hAnsi="Book Antiqua" w:cs="Book Antiqua"/>
          <w:i/>
          <w:iCs/>
          <w:color w:val="000000"/>
        </w:rPr>
        <w:t>Am J Orthop (Belle Mead NJ)</w:t>
      </w:r>
      <w:r>
        <w:rPr>
          <w:rFonts w:ascii="Book Antiqua" w:eastAsia="Book Antiqua" w:hAnsi="Book Antiqua" w:cs="Book Antiqua"/>
          <w:color w:val="000000"/>
        </w:rPr>
        <w:t xml:space="preserve"> 2012; </w:t>
      </w:r>
      <w:r>
        <w:rPr>
          <w:rFonts w:ascii="Book Antiqua" w:eastAsia="Book Antiqua" w:hAnsi="Book Antiqua" w:cs="Book Antiqua"/>
          <w:b/>
          <w:bCs/>
          <w:color w:val="000000"/>
        </w:rPr>
        <w:t>41</w:t>
      </w:r>
      <w:r>
        <w:rPr>
          <w:rFonts w:ascii="Book Antiqua" w:eastAsia="Book Antiqua" w:hAnsi="Book Antiqua" w:cs="Book Antiqua"/>
          <w:color w:val="000000"/>
        </w:rPr>
        <w:t>: E122-E127 [PMID: 23365814]</w:t>
      </w:r>
    </w:p>
    <w:p w14:paraId="7F5CCE5B" w14:textId="77777777" w:rsidR="00A77B3E" w:rsidRDefault="00737A4D">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Carfagni A</w:t>
      </w:r>
      <w:r w:rsidRPr="00F054FC">
        <w:rPr>
          <w:rFonts w:ascii="Book Antiqua" w:eastAsia="Book Antiqua" w:hAnsi="Book Antiqua" w:cs="Book Antiqua"/>
          <w:bCs/>
          <w:color w:val="000000"/>
        </w:rPr>
        <w:t>,</w:t>
      </w:r>
      <w:r w:rsidRPr="00F054FC">
        <w:rPr>
          <w:rFonts w:ascii="Book Antiqua" w:eastAsia="Book Antiqua" w:hAnsi="Book Antiqua" w:cs="Book Antiqua"/>
          <w:color w:val="000000"/>
        </w:rPr>
        <w:t xml:space="preserve"> </w:t>
      </w:r>
      <w:r>
        <w:rPr>
          <w:rFonts w:ascii="Book Antiqua" w:eastAsia="Book Antiqua" w:hAnsi="Book Antiqua" w:cs="Book Antiqua"/>
          <w:color w:val="000000"/>
        </w:rPr>
        <w:t xml:space="preserve">D’Innella G, Bagozzi C. Delayed unions/nonunions: Treatment with shock waves. </w:t>
      </w:r>
      <w:r w:rsidRPr="00F054FC">
        <w:rPr>
          <w:rFonts w:ascii="Book Antiqua" w:eastAsia="Book Antiqua" w:hAnsi="Book Antiqua" w:cs="Book Antiqua"/>
          <w:i/>
          <w:color w:val="000000"/>
        </w:rPr>
        <w:t>J</w:t>
      </w:r>
      <w:r w:rsidR="00F054FC" w:rsidRPr="00F054FC">
        <w:rPr>
          <w:rFonts w:ascii="Book Antiqua" w:hAnsi="Book Antiqua" w:cs="Book Antiqua" w:hint="eastAsia"/>
          <w:i/>
          <w:color w:val="000000"/>
          <w:lang w:eastAsia="zh-CN"/>
        </w:rPr>
        <w:t xml:space="preserve"> </w:t>
      </w:r>
      <w:r w:rsidRPr="00F054FC">
        <w:rPr>
          <w:rFonts w:ascii="Book Antiqua" w:eastAsia="Book Antiqua" w:hAnsi="Book Antiqua" w:cs="Book Antiqua"/>
          <w:i/>
          <w:color w:val="000000"/>
        </w:rPr>
        <w:t>Orthop</w:t>
      </w:r>
      <w:r w:rsidR="00F054FC" w:rsidRPr="00F054FC">
        <w:rPr>
          <w:rFonts w:ascii="Book Antiqua" w:hAnsi="Book Antiqua" w:cs="Book Antiqua" w:hint="eastAsia"/>
          <w:i/>
          <w:color w:val="000000"/>
          <w:lang w:eastAsia="zh-CN"/>
        </w:rPr>
        <w:t xml:space="preserve"> </w:t>
      </w:r>
      <w:r w:rsidRPr="00F054FC">
        <w:rPr>
          <w:rFonts w:ascii="Book Antiqua" w:eastAsia="Book Antiqua" w:hAnsi="Book Antiqua" w:cs="Book Antiqua"/>
          <w:i/>
          <w:color w:val="000000"/>
        </w:rPr>
        <w:t>Traumatol</w:t>
      </w:r>
      <w:r w:rsidR="00F054FC">
        <w:rPr>
          <w:rFonts w:ascii="Book Antiqua" w:hAnsi="Book Antiqua" w:cs="Book Antiqua" w:hint="eastAsia"/>
          <w:color w:val="000000"/>
          <w:lang w:eastAsia="zh-CN"/>
        </w:rPr>
        <w:t xml:space="preserve"> </w:t>
      </w:r>
      <w:r>
        <w:rPr>
          <w:rFonts w:ascii="Book Antiqua" w:eastAsia="Book Antiqua" w:hAnsi="Book Antiqua" w:cs="Book Antiqua"/>
          <w:color w:val="000000"/>
        </w:rPr>
        <w:t>2011;</w:t>
      </w:r>
      <w:r w:rsidR="00F054FC">
        <w:rPr>
          <w:rFonts w:ascii="Book Antiqua" w:hAnsi="Book Antiqua" w:cs="Book Antiqua" w:hint="eastAsia"/>
          <w:color w:val="000000"/>
          <w:lang w:eastAsia="zh-CN"/>
        </w:rPr>
        <w:t xml:space="preserve"> </w:t>
      </w:r>
      <w:r w:rsidRPr="00F054FC">
        <w:rPr>
          <w:rFonts w:ascii="Book Antiqua" w:eastAsia="Book Antiqua" w:hAnsi="Book Antiqua" w:cs="Book Antiqua"/>
          <w:b/>
          <w:color w:val="000000"/>
        </w:rPr>
        <w:t>12</w:t>
      </w:r>
      <w:r>
        <w:rPr>
          <w:rFonts w:ascii="Book Antiqua" w:eastAsia="Book Antiqua" w:hAnsi="Book Antiqua" w:cs="Book Antiqua"/>
          <w:color w:val="000000"/>
        </w:rPr>
        <w:t>:</w:t>
      </w:r>
      <w:r w:rsidR="00F054FC">
        <w:rPr>
          <w:rFonts w:ascii="Book Antiqua" w:hAnsi="Book Antiqua" w:cs="Book Antiqua" w:hint="eastAsia"/>
          <w:color w:val="000000"/>
          <w:lang w:eastAsia="zh-CN"/>
        </w:rPr>
        <w:t xml:space="preserve"> </w:t>
      </w:r>
      <w:r>
        <w:rPr>
          <w:rFonts w:ascii="Book Antiqua" w:eastAsia="Book Antiqua" w:hAnsi="Book Antiqua" w:cs="Book Antiqua"/>
          <w:color w:val="000000"/>
        </w:rPr>
        <w:t>S101</w:t>
      </w:r>
    </w:p>
    <w:bookmarkEnd w:id="5"/>
    <w:p w14:paraId="266575E4" w14:textId="77777777" w:rsidR="00A77B3E" w:rsidRDefault="00A77B3E">
      <w:pPr>
        <w:spacing w:line="360" w:lineRule="auto"/>
        <w:jc w:val="both"/>
        <w:rPr>
          <w:lang w:eastAsia="zh-CN"/>
        </w:rPr>
        <w:sectPr w:rsidR="00A77B3E">
          <w:pgSz w:w="12240" w:h="15840"/>
          <w:pgMar w:top="1440" w:right="1440" w:bottom="1440" w:left="1440" w:header="720" w:footer="720" w:gutter="0"/>
          <w:cols w:space="720"/>
          <w:docGrid w:linePitch="360"/>
        </w:sectPr>
      </w:pPr>
    </w:p>
    <w:p w14:paraId="1D6876FC" w14:textId="77777777" w:rsidR="00A77B3E" w:rsidRDefault="00737A4D">
      <w:pPr>
        <w:spacing w:line="360" w:lineRule="auto"/>
        <w:jc w:val="both"/>
      </w:pPr>
      <w:r>
        <w:rPr>
          <w:rFonts w:ascii="Book Antiqua" w:eastAsia="Book Antiqua" w:hAnsi="Book Antiqua" w:cs="Book Antiqua"/>
          <w:b/>
          <w:color w:val="000000"/>
        </w:rPr>
        <w:t>Footnotes</w:t>
      </w:r>
    </w:p>
    <w:p w14:paraId="4BA95C24" w14:textId="77777777" w:rsidR="00A77B3E" w:rsidRDefault="00737A4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was obtained from the patient for the publication of this case report and any accompanying imaging.</w:t>
      </w:r>
    </w:p>
    <w:p w14:paraId="3B40AC91" w14:textId="77777777" w:rsidR="00A77B3E" w:rsidRDefault="00A77B3E">
      <w:pPr>
        <w:spacing w:line="360" w:lineRule="auto"/>
        <w:jc w:val="both"/>
      </w:pPr>
    </w:p>
    <w:p w14:paraId="3B290833" w14:textId="77777777" w:rsidR="00A77B3E" w:rsidRDefault="00737A4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302C57FB" w14:textId="77777777" w:rsidR="00A77B3E" w:rsidRDefault="00A77B3E">
      <w:pPr>
        <w:spacing w:line="360" w:lineRule="auto"/>
        <w:jc w:val="both"/>
      </w:pPr>
    </w:p>
    <w:p w14:paraId="30380EA7" w14:textId="77777777" w:rsidR="00A77B3E" w:rsidRDefault="00737A4D">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196E7AB" w14:textId="77777777" w:rsidR="00A77B3E" w:rsidRDefault="00A77B3E">
      <w:pPr>
        <w:spacing w:line="360" w:lineRule="auto"/>
        <w:jc w:val="both"/>
      </w:pPr>
    </w:p>
    <w:p w14:paraId="45428481" w14:textId="77777777" w:rsidR="00A77B3E" w:rsidRDefault="00737A4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E22C98" w14:textId="77777777" w:rsidR="00A77B3E" w:rsidRDefault="00A77B3E">
      <w:pPr>
        <w:spacing w:line="360" w:lineRule="auto"/>
        <w:jc w:val="both"/>
      </w:pPr>
    </w:p>
    <w:p w14:paraId="36D593FE" w14:textId="77777777" w:rsidR="00A77B3E" w:rsidRDefault="00737A4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054FC">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3A9B49C5" w14:textId="77777777" w:rsidR="00A77B3E" w:rsidRDefault="00A77B3E">
      <w:pPr>
        <w:spacing w:line="360" w:lineRule="auto"/>
        <w:jc w:val="both"/>
      </w:pPr>
    </w:p>
    <w:p w14:paraId="7269E3E1" w14:textId="77777777" w:rsidR="00A77B3E" w:rsidRDefault="00737A4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4, 2021</w:t>
      </w:r>
    </w:p>
    <w:p w14:paraId="63581C5B" w14:textId="77777777" w:rsidR="00A77B3E" w:rsidRDefault="00737A4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24, 2021</w:t>
      </w:r>
    </w:p>
    <w:p w14:paraId="01F0C243" w14:textId="56155AB8" w:rsidR="00EC555F" w:rsidRDefault="00737A4D" w:rsidP="00EC555F">
      <w:pPr>
        <w:spacing w:line="360" w:lineRule="auto"/>
        <w:jc w:val="both"/>
      </w:pPr>
      <w:r>
        <w:rPr>
          <w:rFonts w:ascii="Book Antiqua" w:eastAsia="Book Antiqua" w:hAnsi="Book Antiqua" w:cs="Book Antiqua"/>
          <w:b/>
          <w:color w:val="000000"/>
        </w:rPr>
        <w:t>Article in press:</w:t>
      </w:r>
      <w:r w:rsidR="00EC555F" w:rsidRPr="00EC555F">
        <w:rPr>
          <w:rFonts w:ascii="Book Antiqua" w:eastAsia="宋体" w:hAnsi="Book Antiqua" w:hint="eastAsia"/>
          <w:color w:val="000000" w:themeColor="text1"/>
        </w:rPr>
        <w:t xml:space="preserve"> </w:t>
      </w:r>
      <w:r w:rsidR="00EC555F">
        <w:rPr>
          <w:rFonts w:ascii="Book Antiqua" w:eastAsia="宋体" w:hAnsi="Book Antiqua" w:hint="eastAsia"/>
          <w:color w:val="000000" w:themeColor="text1"/>
        </w:rPr>
        <w:t>Au</w:t>
      </w:r>
      <w:r w:rsidR="00EC555F">
        <w:rPr>
          <w:rFonts w:ascii="Book Antiqua" w:eastAsia="宋体" w:hAnsi="Book Antiqua"/>
          <w:color w:val="000000" w:themeColor="text1"/>
        </w:rPr>
        <w:t>gust</w:t>
      </w:r>
      <w:r w:rsidR="00EC555F" w:rsidRPr="00F06907">
        <w:rPr>
          <w:rFonts w:ascii="Book Antiqua" w:eastAsia="宋体" w:hAnsi="Book Antiqua"/>
          <w:color w:val="000000" w:themeColor="text1"/>
        </w:rPr>
        <w:t xml:space="preserve"> </w:t>
      </w:r>
      <w:r w:rsidR="00EC555F">
        <w:rPr>
          <w:rFonts w:ascii="Book Antiqua" w:eastAsia="宋体" w:hAnsi="Book Antiqua"/>
          <w:color w:val="000000" w:themeColor="text1"/>
        </w:rPr>
        <w:t>3</w:t>
      </w:r>
      <w:r w:rsidR="00EC555F" w:rsidRPr="00F06907">
        <w:rPr>
          <w:rFonts w:ascii="Book Antiqua" w:eastAsia="宋体" w:hAnsi="Book Antiqua"/>
          <w:color w:val="000000" w:themeColor="text1"/>
        </w:rPr>
        <w:t>, 2021</w:t>
      </w:r>
    </w:p>
    <w:p w14:paraId="5754A015" w14:textId="0C593A11" w:rsidR="00A77B3E" w:rsidRDefault="00A77B3E">
      <w:pPr>
        <w:spacing w:line="360" w:lineRule="auto"/>
        <w:jc w:val="both"/>
      </w:pPr>
    </w:p>
    <w:p w14:paraId="648E25E9" w14:textId="77777777" w:rsidR="00A77B3E" w:rsidRDefault="00737A4D">
      <w:pPr>
        <w:spacing w:line="360" w:lineRule="auto"/>
        <w:jc w:val="both"/>
      </w:pPr>
      <w:r>
        <w:rPr>
          <w:rFonts w:ascii="Book Antiqua" w:eastAsia="Book Antiqua" w:hAnsi="Book Antiqua" w:cs="Book Antiqua"/>
          <w:b/>
          <w:color w:val="000000"/>
        </w:rPr>
        <w:t xml:space="preserve">Specialty type: </w:t>
      </w:r>
      <w:r w:rsidR="00F054FC" w:rsidRPr="00F054FC">
        <w:rPr>
          <w:rFonts w:ascii="Book Antiqua" w:eastAsia="Book Antiqua" w:hAnsi="Book Antiqua" w:cs="Book Antiqua"/>
          <w:color w:val="000000"/>
        </w:rPr>
        <w:t>Medicine, research and experimental</w:t>
      </w:r>
    </w:p>
    <w:p w14:paraId="3C514525" w14:textId="77777777" w:rsidR="00A77B3E" w:rsidRDefault="00737A4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4D66CB1" w14:textId="77777777" w:rsidR="00A77B3E" w:rsidRDefault="00737A4D">
      <w:pPr>
        <w:spacing w:line="360" w:lineRule="auto"/>
        <w:jc w:val="both"/>
      </w:pPr>
      <w:r>
        <w:rPr>
          <w:rFonts w:ascii="Book Antiqua" w:eastAsia="Book Antiqua" w:hAnsi="Book Antiqua" w:cs="Book Antiqua"/>
          <w:b/>
          <w:color w:val="000000"/>
        </w:rPr>
        <w:t>Peer-review report’s scientific quality classification</w:t>
      </w:r>
    </w:p>
    <w:p w14:paraId="01148A63" w14:textId="77777777" w:rsidR="00A77B3E" w:rsidRDefault="00737A4D">
      <w:pPr>
        <w:spacing w:line="360" w:lineRule="auto"/>
        <w:jc w:val="both"/>
      </w:pPr>
      <w:r>
        <w:rPr>
          <w:rFonts w:ascii="Book Antiqua" w:eastAsia="Book Antiqua" w:hAnsi="Book Antiqua" w:cs="Book Antiqua"/>
          <w:color w:val="000000"/>
        </w:rPr>
        <w:t>Grade A (Excellent): 0</w:t>
      </w:r>
    </w:p>
    <w:p w14:paraId="0C0DA167" w14:textId="77777777" w:rsidR="00A77B3E" w:rsidRDefault="00737A4D">
      <w:pPr>
        <w:spacing w:line="360" w:lineRule="auto"/>
        <w:jc w:val="both"/>
      </w:pPr>
      <w:r>
        <w:rPr>
          <w:rFonts w:ascii="Book Antiqua" w:eastAsia="Book Antiqua" w:hAnsi="Book Antiqua" w:cs="Book Antiqua"/>
          <w:color w:val="000000"/>
        </w:rPr>
        <w:t>Grade B (Very good): B</w:t>
      </w:r>
    </w:p>
    <w:p w14:paraId="01F5B10F" w14:textId="77777777" w:rsidR="00A77B3E" w:rsidRDefault="00737A4D">
      <w:pPr>
        <w:spacing w:line="360" w:lineRule="auto"/>
        <w:jc w:val="both"/>
      </w:pPr>
      <w:r>
        <w:rPr>
          <w:rFonts w:ascii="Book Antiqua" w:eastAsia="Book Antiqua" w:hAnsi="Book Antiqua" w:cs="Book Antiqua"/>
          <w:color w:val="000000"/>
        </w:rPr>
        <w:t>Grade C (Good): C</w:t>
      </w:r>
    </w:p>
    <w:p w14:paraId="499633C0" w14:textId="77777777" w:rsidR="00A77B3E" w:rsidRDefault="00737A4D">
      <w:pPr>
        <w:spacing w:line="360" w:lineRule="auto"/>
        <w:jc w:val="both"/>
      </w:pPr>
      <w:r>
        <w:rPr>
          <w:rFonts w:ascii="Book Antiqua" w:eastAsia="Book Antiqua" w:hAnsi="Book Antiqua" w:cs="Book Antiqua"/>
          <w:color w:val="000000"/>
        </w:rPr>
        <w:t>Grade D (Fair): D</w:t>
      </w:r>
    </w:p>
    <w:p w14:paraId="224C1DCA" w14:textId="77777777" w:rsidR="00A77B3E" w:rsidRDefault="00737A4D">
      <w:pPr>
        <w:spacing w:line="360" w:lineRule="auto"/>
        <w:jc w:val="both"/>
      </w:pPr>
      <w:r>
        <w:rPr>
          <w:rFonts w:ascii="Book Antiqua" w:eastAsia="Book Antiqua" w:hAnsi="Book Antiqua" w:cs="Book Antiqua"/>
          <w:color w:val="000000"/>
        </w:rPr>
        <w:t>Grade E (Poor): 0</w:t>
      </w:r>
    </w:p>
    <w:p w14:paraId="5D1F96B0" w14:textId="77777777" w:rsidR="00A77B3E" w:rsidRDefault="00A77B3E">
      <w:pPr>
        <w:spacing w:line="360" w:lineRule="auto"/>
        <w:jc w:val="both"/>
      </w:pPr>
    </w:p>
    <w:p w14:paraId="1FE4C2A5" w14:textId="0AAFAB39" w:rsidR="00A77B3E" w:rsidRDefault="00737A4D">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Kung WM, Ng BW, Yukata K</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32266B" w:rsidRPr="0032266B">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602F41" w:rsidRPr="000835DA">
        <w:rPr>
          <w:rFonts w:ascii="Book Antiqua" w:eastAsia="Book Antiqua" w:hAnsi="Book Antiqua" w:cs="Book Antiqua"/>
          <w:bCs/>
          <w:color w:val="000000"/>
        </w:rPr>
        <w:t>Wang LYT</w:t>
      </w:r>
    </w:p>
    <w:p w14:paraId="260BEC37" w14:textId="77777777" w:rsidR="00A77B3E" w:rsidRDefault="00737A4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3271BD44" w14:textId="77777777" w:rsidR="0061779D" w:rsidRPr="0061779D" w:rsidRDefault="0061779D">
      <w:pPr>
        <w:spacing w:line="360" w:lineRule="auto"/>
        <w:jc w:val="both"/>
        <w:rPr>
          <w:lang w:eastAsia="zh-CN"/>
        </w:rPr>
      </w:pPr>
      <w:r>
        <w:rPr>
          <w:noProof/>
          <w:lang w:eastAsia="zh-CN"/>
        </w:rPr>
        <w:drawing>
          <wp:inline distT="0" distB="0" distL="0" distR="0" wp14:anchorId="3D52B7BE" wp14:editId="295FB7D6">
            <wp:extent cx="5436820" cy="468606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6030" cy="4685381"/>
                    </a:xfrm>
                    <a:prstGeom prst="rect">
                      <a:avLst/>
                    </a:prstGeom>
                    <a:noFill/>
                  </pic:spPr>
                </pic:pic>
              </a:graphicData>
            </a:graphic>
          </wp:inline>
        </w:drawing>
      </w:r>
    </w:p>
    <w:p w14:paraId="67C9802B" w14:textId="78BD9985" w:rsidR="005B4A1D" w:rsidRDefault="00737A4D">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sidR="005B4A1D">
        <w:rPr>
          <w:rFonts w:ascii="Book Antiqua" w:eastAsia="Book Antiqua" w:hAnsi="Book Antiqua" w:cs="Book Antiqua"/>
          <w:b/>
          <w:bCs/>
          <w:color w:val="000000"/>
        </w:rPr>
        <w:t xml:space="preserve"> Imaging examinations. </w:t>
      </w:r>
      <w:r w:rsidR="005B4A1D" w:rsidRPr="003E3C7E">
        <w:rPr>
          <w:rFonts w:ascii="Book Antiqua" w:eastAsia="Book Antiqua" w:hAnsi="Book Antiqua" w:cs="Book Antiqua"/>
          <w:color w:val="000000"/>
        </w:rPr>
        <w:t xml:space="preserve">A: Anteroposterior X-ray </w:t>
      </w:r>
      <w:r w:rsidR="00571AC8">
        <w:rPr>
          <w:rFonts w:ascii="Book Antiqua" w:eastAsia="Book Antiqua" w:hAnsi="Book Antiqua" w:cs="Book Antiqua"/>
          <w:color w:val="000000"/>
        </w:rPr>
        <w:t xml:space="preserve">image </w:t>
      </w:r>
      <w:r w:rsidR="005B4A1D" w:rsidRPr="003E3C7E">
        <w:rPr>
          <w:rFonts w:ascii="Book Antiqua" w:eastAsia="Book Antiqua" w:hAnsi="Book Antiqua" w:cs="Book Antiqua"/>
          <w:color w:val="000000"/>
        </w:rPr>
        <w:t xml:space="preserve">of the initial injury; B: </w:t>
      </w:r>
      <w:r w:rsidR="007B12A9" w:rsidRPr="007B12A9">
        <w:rPr>
          <w:rFonts w:ascii="Book Antiqua" w:eastAsia="Book Antiqua" w:hAnsi="Book Antiqua" w:cs="Book Antiqua"/>
          <w:color w:val="000000"/>
        </w:rPr>
        <w:t>Three-dimensional</w:t>
      </w:r>
      <w:r w:rsidR="005B4A1D" w:rsidRPr="003E3C7E">
        <w:rPr>
          <w:rFonts w:ascii="Book Antiqua" w:eastAsia="Book Antiqua" w:hAnsi="Book Antiqua" w:cs="Book Antiqua"/>
          <w:color w:val="000000"/>
        </w:rPr>
        <w:t xml:space="preserve"> </w:t>
      </w:r>
      <w:r w:rsidR="003E3C7E" w:rsidRPr="00313B45">
        <w:rPr>
          <w:rFonts w:ascii="Book Antiqua" w:eastAsia="Book Antiqua" w:hAnsi="Book Antiqua" w:cs="Book Antiqua"/>
          <w:color w:val="000000"/>
        </w:rPr>
        <w:t>computed tomography</w:t>
      </w:r>
      <w:r w:rsidR="003E3C7E" w:rsidRPr="003E3C7E">
        <w:rPr>
          <w:rFonts w:ascii="Book Antiqua" w:eastAsia="Book Antiqua" w:hAnsi="Book Antiqua" w:cs="Book Antiqua"/>
          <w:color w:val="000000"/>
        </w:rPr>
        <w:t xml:space="preserve"> </w:t>
      </w:r>
      <w:r w:rsidR="003E3C7E">
        <w:rPr>
          <w:rFonts w:ascii="Book Antiqua" w:hAnsi="Book Antiqua" w:cs="Book Antiqua" w:hint="eastAsia"/>
          <w:color w:val="000000"/>
          <w:lang w:eastAsia="zh-CN"/>
        </w:rPr>
        <w:t>(</w:t>
      </w:r>
      <w:r w:rsidR="005B4A1D" w:rsidRPr="003E3C7E">
        <w:rPr>
          <w:rFonts w:ascii="Book Antiqua" w:eastAsia="Book Antiqua" w:hAnsi="Book Antiqua" w:cs="Book Antiqua"/>
          <w:color w:val="000000"/>
        </w:rPr>
        <w:t>CT</w:t>
      </w:r>
      <w:r w:rsidR="003E3C7E">
        <w:rPr>
          <w:rFonts w:ascii="Book Antiqua" w:hAnsi="Book Antiqua" w:cs="Book Antiqua" w:hint="eastAsia"/>
          <w:color w:val="000000"/>
          <w:lang w:eastAsia="zh-CN"/>
        </w:rPr>
        <w:t>)</w:t>
      </w:r>
      <w:r w:rsidR="005B4A1D" w:rsidRPr="003E3C7E">
        <w:rPr>
          <w:rFonts w:ascii="Book Antiqua" w:eastAsia="Book Antiqua" w:hAnsi="Book Antiqua" w:cs="Book Antiqua"/>
          <w:color w:val="000000"/>
        </w:rPr>
        <w:t xml:space="preserve"> reconstruction image</w:t>
      </w:r>
      <w:r w:rsidR="007B12A9">
        <w:rPr>
          <w:rFonts w:ascii="Book Antiqua" w:eastAsia="Book Antiqua" w:hAnsi="Book Antiqua" w:cs="Book Antiqua"/>
          <w:color w:val="000000"/>
        </w:rPr>
        <w:t>s</w:t>
      </w:r>
      <w:r w:rsidR="007B12A9" w:rsidRPr="003E3C7E">
        <w:rPr>
          <w:rFonts w:ascii="Book Antiqua" w:eastAsia="Book Antiqua" w:hAnsi="Book Antiqua" w:cs="Book Antiqua"/>
          <w:color w:val="000000"/>
        </w:rPr>
        <w:t xml:space="preserve"> of the initial injury;</w:t>
      </w:r>
      <w:r w:rsidR="007B12A9">
        <w:rPr>
          <w:rFonts w:ascii="Book Antiqua" w:eastAsia="Book Antiqua" w:hAnsi="Book Antiqua" w:cs="Book Antiqua"/>
          <w:color w:val="000000"/>
        </w:rPr>
        <w:t xml:space="preserve"> C: </w:t>
      </w:r>
      <w:r w:rsidR="007B12A9" w:rsidRPr="00D17C46">
        <w:rPr>
          <w:rFonts w:ascii="Book Antiqua" w:eastAsia="Book Antiqua" w:hAnsi="Book Antiqua" w:cs="Book Antiqua"/>
          <w:color w:val="000000"/>
        </w:rPr>
        <w:t>Anteroposterior X-ray</w:t>
      </w:r>
      <w:r w:rsidR="007B12A9">
        <w:rPr>
          <w:rFonts w:ascii="Book Antiqua" w:eastAsia="Book Antiqua" w:hAnsi="Book Antiqua" w:cs="Book Antiqua"/>
          <w:color w:val="000000"/>
        </w:rPr>
        <w:t xml:space="preserve"> </w:t>
      </w:r>
      <w:r w:rsidR="00571AC8">
        <w:rPr>
          <w:rFonts w:ascii="Book Antiqua" w:eastAsia="Book Antiqua" w:hAnsi="Book Antiqua" w:cs="Book Antiqua"/>
          <w:color w:val="000000"/>
        </w:rPr>
        <w:t xml:space="preserve">image </w:t>
      </w:r>
      <w:r w:rsidR="007B12A9">
        <w:rPr>
          <w:rFonts w:ascii="Book Antiqua" w:eastAsia="Book Antiqua" w:hAnsi="Book Antiqua" w:cs="Book Antiqua"/>
          <w:color w:val="000000"/>
        </w:rPr>
        <w:t xml:space="preserve">after the internal fixation surgery; D: </w:t>
      </w:r>
      <w:r w:rsidR="007B12A9" w:rsidRPr="00D17C46">
        <w:rPr>
          <w:rFonts w:ascii="Book Antiqua" w:eastAsia="Book Antiqua" w:hAnsi="Book Antiqua" w:cs="Book Antiqua"/>
          <w:color w:val="000000"/>
        </w:rPr>
        <w:t>Anteroposterior X-ray</w:t>
      </w:r>
      <w:r w:rsidR="007B12A9">
        <w:rPr>
          <w:rFonts w:ascii="Book Antiqua" w:eastAsia="Book Antiqua" w:hAnsi="Book Antiqua" w:cs="Book Antiqua"/>
          <w:color w:val="000000"/>
        </w:rPr>
        <w:t xml:space="preserve"> </w:t>
      </w:r>
      <w:r w:rsidR="00571AC8">
        <w:rPr>
          <w:rFonts w:ascii="Book Antiqua" w:eastAsia="Book Antiqua" w:hAnsi="Book Antiqua" w:cs="Book Antiqua"/>
          <w:color w:val="000000"/>
        </w:rPr>
        <w:t xml:space="preserve">image </w:t>
      </w:r>
      <w:r w:rsidR="007B12A9">
        <w:rPr>
          <w:rFonts w:ascii="Book Antiqua" w:eastAsia="Book Antiqua" w:hAnsi="Book Antiqua" w:cs="Book Antiqua"/>
          <w:color w:val="000000"/>
        </w:rPr>
        <w:t xml:space="preserve">3 mo postoperatively; E: </w:t>
      </w:r>
      <w:r w:rsidR="007B12A9" w:rsidRPr="00D17C46">
        <w:rPr>
          <w:rFonts w:ascii="Book Antiqua" w:eastAsia="Book Antiqua" w:hAnsi="Book Antiqua" w:cs="Book Antiqua"/>
          <w:color w:val="000000"/>
        </w:rPr>
        <w:t>Anteroposterior X-ray</w:t>
      </w:r>
      <w:r w:rsidR="007B12A9">
        <w:rPr>
          <w:rFonts w:ascii="Book Antiqua" w:eastAsia="Book Antiqua" w:hAnsi="Book Antiqua" w:cs="Book Antiqua"/>
          <w:color w:val="000000"/>
        </w:rPr>
        <w:t xml:space="preserve"> </w:t>
      </w:r>
      <w:r w:rsidR="00571AC8">
        <w:rPr>
          <w:rFonts w:ascii="Book Antiqua" w:eastAsia="Book Antiqua" w:hAnsi="Book Antiqua" w:cs="Book Antiqua"/>
          <w:color w:val="000000"/>
        </w:rPr>
        <w:t xml:space="preserve">image </w:t>
      </w:r>
      <w:r w:rsidR="007B12A9">
        <w:rPr>
          <w:rFonts w:ascii="Book Antiqua" w:eastAsia="Book Antiqua" w:hAnsi="Book Antiqua" w:cs="Book Antiqua"/>
          <w:color w:val="000000"/>
        </w:rPr>
        <w:t xml:space="preserve">4 mo after shockwave therapy; F: </w:t>
      </w:r>
      <w:r w:rsidR="007B12A9" w:rsidRPr="00D17C46">
        <w:rPr>
          <w:rFonts w:ascii="Book Antiqua" w:eastAsia="Book Antiqua" w:hAnsi="Book Antiqua" w:cs="Book Antiqua"/>
          <w:color w:val="000000"/>
        </w:rPr>
        <w:t>Anteroposterior X-ray</w:t>
      </w:r>
      <w:r w:rsidR="007B12A9">
        <w:rPr>
          <w:rFonts w:ascii="Book Antiqua" w:eastAsia="Book Antiqua" w:hAnsi="Book Antiqua" w:cs="Book Antiqua"/>
          <w:color w:val="000000"/>
        </w:rPr>
        <w:t xml:space="preserve"> </w:t>
      </w:r>
      <w:r w:rsidR="00571AC8">
        <w:rPr>
          <w:rFonts w:ascii="Book Antiqua" w:eastAsia="Book Antiqua" w:hAnsi="Book Antiqua" w:cs="Book Antiqua"/>
          <w:color w:val="000000"/>
        </w:rPr>
        <w:t xml:space="preserve">image </w:t>
      </w:r>
      <w:r w:rsidR="007B12A9">
        <w:rPr>
          <w:rFonts w:ascii="Book Antiqua" w:eastAsia="Book Antiqua" w:hAnsi="Book Antiqua" w:cs="Book Antiqua"/>
          <w:color w:val="000000"/>
        </w:rPr>
        <w:t>7 mo after shockwave therapy; G: CT scan</w:t>
      </w:r>
      <w:r w:rsidR="007B43ED">
        <w:rPr>
          <w:rFonts w:ascii="Book Antiqua" w:eastAsia="Book Antiqua" w:hAnsi="Book Antiqua" w:cs="Book Antiqua"/>
          <w:color w:val="000000"/>
        </w:rPr>
        <w:t xml:space="preserve"> image</w:t>
      </w:r>
      <w:r w:rsidR="007B12A9">
        <w:rPr>
          <w:rFonts w:ascii="Book Antiqua" w:eastAsia="Book Antiqua" w:hAnsi="Book Antiqua" w:cs="Book Antiqua"/>
          <w:color w:val="000000"/>
        </w:rPr>
        <w:t xml:space="preserve"> 3 mo postoperatively; H: CT scan</w:t>
      </w:r>
      <w:r w:rsidR="007B43ED">
        <w:rPr>
          <w:rFonts w:ascii="Book Antiqua" w:eastAsia="Book Antiqua" w:hAnsi="Book Antiqua" w:cs="Book Antiqua"/>
          <w:color w:val="000000"/>
        </w:rPr>
        <w:t xml:space="preserve"> image</w:t>
      </w:r>
      <w:r w:rsidR="007B12A9">
        <w:rPr>
          <w:rFonts w:ascii="Book Antiqua" w:eastAsia="Book Antiqua" w:hAnsi="Book Antiqua" w:cs="Book Antiqua"/>
          <w:color w:val="000000"/>
        </w:rPr>
        <w:t xml:space="preserve"> 4 mo after shockwave therapy; I: CT scan</w:t>
      </w:r>
      <w:r w:rsidR="007B43ED">
        <w:rPr>
          <w:rFonts w:ascii="Book Antiqua" w:eastAsia="Book Antiqua" w:hAnsi="Book Antiqua" w:cs="Book Antiqua"/>
          <w:color w:val="000000"/>
        </w:rPr>
        <w:t xml:space="preserve"> image</w:t>
      </w:r>
      <w:r w:rsidR="007B12A9">
        <w:rPr>
          <w:rFonts w:ascii="Book Antiqua" w:eastAsia="Book Antiqua" w:hAnsi="Book Antiqua" w:cs="Book Antiqua"/>
          <w:color w:val="000000"/>
        </w:rPr>
        <w:t xml:space="preserve"> 7 mo after shockwave therapy.</w:t>
      </w:r>
    </w:p>
    <w:p w14:paraId="757965AA" w14:textId="77777777" w:rsidR="00A77B3E" w:rsidRDefault="001A23D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drawing>
          <wp:inline distT="0" distB="0" distL="0" distR="0" wp14:anchorId="581C4EFA" wp14:editId="510EBC8A">
            <wp:extent cx="5486400" cy="184943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0806" cy="1850921"/>
                    </a:xfrm>
                    <a:prstGeom prst="rect">
                      <a:avLst/>
                    </a:prstGeom>
                    <a:noFill/>
                  </pic:spPr>
                </pic:pic>
              </a:graphicData>
            </a:graphic>
          </wp:inline>
        </w:drawing>
      </w:r>
    </w:p>
    <w:p w14:paraId="4D3E21AB" w14:textId="77777777" w:rsidR="001A23D5" w:rsidRDefault="001A23D5">
      <w:pPr>
        <w:spacing w:line="360" w:lineRule="auto"/>
        <w:jc w:val="both"/>
        <w:rPr>
          <w:lang w:eastAsia="zh-CN"/>
        </w:rPr>
      </w:pPr>
      <w:r>
        <w:rPr>
          <w:noProof/>
          <w:lang w:eastAsia="zh-CN"/>
        </w:rPr>
        <w:drawing>
          <wp:inline distT="0" distB="0" distL="0" distR="0" wp14:anchorId="3D63CD4E" wp14:editId="38C7F4A4">
            <wp:extent cx="3581400" cy="288386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82454" cy="2884710"/>
                    </a:xfrm>
                    <a:prstGeom prst="rect">
                      <a:avLst/>
                    </a:prstGeom>
                  </pic:spPr>
                </pic:pic>
              </a:graphicData>
            </a:graphic>
          </wp:inline>
        </w:drawing>
      </w:r>
    </w:p>
    <w:p w14:paraId="639E8126" w14:textId="77777777" w:rsidR="001A23D5" w:rsidRPr="001A23D5" w:rsidRDefault="001A23D5">
      <w:pPr>
        <w:spacing w:line="360" w:lineRule="auto"/>
        <w:jc w:val="both"/>
        <w:rPr>
          <w:lang w:eastAsia="zh-CN"/>
        </w:rPr>
      </w:pPr>
      <w:r>
        <w:rPr>
          <w:noProof/>
          <w:lang w:eastAsia="zh-CN"/>
        </w:rPr>
        <w:drawing>
          <wp:inline distT="0" distB="0" distL="0" distR="0" wp14:anchorId="6A01001B" wp14:editId="436E056B">
            <wp:extent cx="3439886" cy="29787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40663" cy="2979432"/>
                    </a:xfrm>
                    <a:prstGeom prst="rect">
                      <a:avLst/>
                    </a:prstGeom>
                  </pic:spPr>
                </pic:pic>
              </a:graphicData>
            </a:graphic>
          </wp:inline>
        </w:drawing>
      </w:r>
    </w:p>
    <w:p w14:paraId="52CD7B73" w14:textId="5D892954" w:rsidR="001A23D5" w:rsidRDefault="00737A4D">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sidR="007F54A2">
        <w:rPr>
          <w:rFonts w:ascii="Book Antiqua" w:eastAsia="Book Antiqua" w:hAnsi="Book Antiqua" w:cs="Book Antiqua"/>
          <w:b/>
          <w:bCs/>
          <w:color w:val="000000"/>
        </w:rPr>
        <w:t xml:space="preserve"> Illustration diagram of the treatment process, equipment and mechanism</w:t>
      </w:r>
      <w:r w:rsidR="00701FCA">
        <w:rPr>
          <w:rFonts w:ascii="Book Antiqua" w:eastAsia="Book Antiqua" w:hAnsi="Book Antiqua" w:cs="Book Antiqua"/>
          <w:b/>
          <w:bCs/>
          <w:color w:val="000000"/>
        </w:rPr>
        <w:t xml:space="preserve"> of </w:t>
      </w:r>
      <w:r w:rsidR="003E3C7E">
        <w:rPr>
          <w:rFonts w:ascii="Book Antiqua" w:hAnsi="Book Antiqua" w:cs="Book Antiqua" w:hint="eastAsia"/>
          <w:b/>
          <w:bCs/>
          <w:color w:val="000000"/>
          <w:lang w:eastAsia="zh-CN"/>
        </w:rPr>
        <w:t>l</w:t>
      </w:r>
      <w:r w:rsidR="003E3C7E" w:rsidRPr="003E3C7E">
        <w:rPr>
          <w:rFonts w:ascii="Book Antiqua" w:eastAsia="Book Antiqua" w:hAnsi="Book Antiqua" w:cs="Book Antiqua"/>
          <w:b/>
          <w:bCs/>
          <w:color w:val="000000"/>
        </w:rPr>
        <w:t>ow-intensity extracorporeal shock wave therapy</w:t>
      </w:r>
      <w:r w:rsidR="00701FCA">
        <w:rPr>
          <w:rFonts w:ascii="Book Antiqua" w:eastAsia="Book Antiqua" w:hAnsi="Book Antiqua" w:cs="Book Antiqua"/>
          <w:b/>
          <w:bCs/>
          <w:color w:val="000000"/>
        </w:rPr>
        <w:t xml:space="preserve"> for </w:t>
      </w:r>
      <w:r w:rsidR="00701FCA" w:rsidRPr="00701FCA">
        <w:rPr>
          <w:rFonts w:ascii="Book Antiqua" w:eastAsia="Book Antiqua" w:hAnsi="Book Antiqua" w:cs="Book Antiqua"/>
          <w:b/>
          <w:bCs/>
          <w:color w:val="000000"/>
        </w:rPr>
        <w:t>clavicle nonunion</w:t>
      </w:r>
      <w:r w:rsidR="007F54A2">
        <w:rPr>
          <w:rFonts w:ascii="Book Antiqua" w:eastAsia="Book Antiqua" w:hAnsi="Book Antiqua" w:cs="Book Antiqua"/>
          <w:b/>
          <w:bCs/>
          <w:color w:val="000000"/>
        </w:rPr>
        <w:t>.</w:t>
      </w:r>
      <w:r w:rsidR="003E3C7E">
        <w:rPr>
          <w:rFonts w:ascii="Book Antiqua" w:hAnsi="Book Antiqua" w:cs="Book Antiqua" w:hint="eastAsia"/>
          <w:b/>
          <w:bCs/>
          <w:color w:val="000000"/>
          <w:lang w:eastAsia="zh-CN"/>
        </w:rPr>
        <w:t xml:space="preserve"> </w:t>
      </w:r>
      <w:r>
        <w:rPr>
          <w:rFonts w:ascii="Book Antiqua" w:eastAsia="Book Antiqua" w:hAnsi="Book Antiqua" w:cs="Book Antiqua"/>
          <w:color w:val="000000"/>
        </w:rPr>
        <w:t>A: Treatment of the current patient by a therapist without anesthetics; B: Illustration of shockwave device and applicator; C</w:t>
      </w:r>
      <w:r w:rsidR="007B43ED">
        <w:rPr>
          <w:rFonts w:ascii="Book Antiqua" w:eastAsia="Book Antiqua" w:hAnsi="Book Antiqua" w:cs="Book Antiqua"/>
          <w:color w:val="000000"/>
        </w:rPr>
        <w:t>:</w:t>
      </w:r>
      <w:r>
        <w:rPr>
          <w:rFonts w:ascii="Book Antiqua" w:eastAsia="Book Antiqua" w:hAnsi="Book Antiqua" w:cs="Book Antiqua"/>
          <w:color w:val="000000"/>
        </w:rPr>
        <w:t xml:space="preserve"> </w:t>
      </w:r>
      <w:r w:rsidR="007B43ED">
        <w:rPr>
          <w:rFonts w:ascii="Book Antiqua" w:eastAsia="Book Antiqua" w:hAnsi="Book Antiqua" w:cs="Book Antiqua"/>
          <w:color w:val="000000"/>
        </w:rPr>
        <w:t xml:space="preserve">Mechanism diagram of the potential risks of conventional shockwave treatment for clavicle nonunion; </w:t>
      </w:r>
      <w:r>
        <w:rPr>
          <w:rFonts w:ascii="Book Antiqua" w:eastAsia="Book Antiqua" w:hAnsi="Book Antiqua" w:cs="Book Antiqua"/>
          <w:color w:val="000000"/>
        </w:rPr>
        <w:t xml:space="preserve">D: Mechanism diagram of superiority of </w:t>
      </w:r>
      <w:r w:rsidR="003E3C7E" w:rsidRPr="003E3C7E">
        <w:rPr>
          <w:rFonts w:ascii="Book Antiqua" w:eastAsia="Book Antiqua" w:hAnsi="Book Antiqua" w:cs="Book Antiqua"/>
          <w:color w:val="000000"/>
        </w:rPr>
        <w:t>low-intensity extracorporeal shock wave therapy</w:t>
      </w:r>
      <w:r>
        <w:rPr>
          <w:rFonts w:ascii="Book Antiqua" w:eastAsia="Book Antiqua" w:hAnsi="Book Antiqua" w:cs="Book Antiqua"/>
          <w:color w:val="000000"/>
        </w:rPr>
        <w:t xml:space="preserve"> treatment for clavicle nonunion.</w:t>
      </w:r>
      <w:r w:rsidR="001A23D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VEGF: </w:t>
      </w:r>
      <w:r w:rsidR="001A23D5">
        <w:rPr>
          <w:rFonts w:ascii="Book Antiqua" w:hAnsi="Book Antiqua" w:cs="Book Antiqua" w:hint="eastAsia"/>
          <w:color w:val="000000"/>
          <w:lang w:eastAsia="zh-CN"/>
        </w:rPr>
        <w:t>V</w:t>
      </w:r>
      <w:r>
        <w:rPr>
          <w:rFonts w:ascii="Book Antiqua" w:eastAsia="Book Antiqua" w:hAnsi="Book Antiqua" w:cs="Book Antiqua"/>
          <w:color w:val="000000"/>
        </w:rPr>
        <w:t>ascular endothelial growth factor</w:t>
      </w:r>
      <w:r w:rsidR="001A23D5">
        <w:rPr>
          <w:rFonts w:ascii="Book Antiqua" w:hAnsi="Book Antiqua" w:cs="Book Antiqua" w:hint="eastAsia"/>
          <w:color w:val="000000"/>
          <w:lang w:eastAsia="zh-CN"/>
        </w:rPr>
        <w:t>.</w:t>
      </w:r>
    </w:p>
    <w:p w14:paraId="3005D327" w14:textId="77777777" w:rsidR="00A77B3E" w:rsidRDefault="001A23D5">
      <w:pPr>
        <w:spacing w:line="360" w:lineRule="auto"/>
        <w:jc w:val="both"/>
        <w:rPr>
          <w:rFonts w:ascii="Book Antiqua" w:hAnsi="Book Antiqua" w:cs="Book Antiqua"/>
          <w:b/>
          <w:bCs/>
          <w:color w:val="000000"/>
          <w:lang w:eastAsia="zh-CN"/>
        </w:rPr>
      </w:pPr>
      <w:r>
        <w:rPr>
          <w:rFonts w:ascii="Book Antiqua" w:hAnsi="Book Antiqua" w:cs="Book Antiqua"/>
          <w:color w:val="000000"/>
          <w:lang w:eastAsia="zh-CN"/>
        </w:rPr>
        <w:br w:type="page"/>
      </w:r>
      <w:r w:rsidR="00737A4D">
        <w:rPr>
          <w:rFonts w:ascii="Book Antiqua" w:eastAsia="Book Antiqua" w:hAnsi="Book Antiqua" w:cs="Book Antiqua"/>
          <w:b/>
          <w:bCs/>
          <w:color w:val="000000"/>
        </w:rPr>
        <w:t>Table</w:t>
      </w:r>
      <w:r>
        <w:rPr>
          <w:rFonts w:ascii="Book Antiqua" w:hAnsi="Book Antiqua" w:cs="Book Antiqua" w:hint="eastAsia"/>
          <w:b/>
          <w:bCs/>
          <w:color w:val="000000"/>
          <w:lang w:eastAsia="zh-CN"/>
        </w:rPr>
        <w:t xml:space="preserve"> </w:t>
      </w:r>
      <w:r w:rsidR="00737A4D">
        <w:rPr>
          <w:rFonts w:ascii="Book Antiqua" w:eastAsia="Book Antiqua" w:hAnsi="Book Antiqua" w:cs="Book Antiqua"/>
          <w:b/>
          <w:bCs/>
          <w:color w:val="000000"/>
        </w:rPr>
        <w:t>1</w:t>
      </w:r>
      <w:r>
        <w:rPr>
          <w:rFonts w:ascii="Book Antiqua" w:hAnsi="Book Antiqua" w:cs="Book Antiqua" w:hint="eastAsia"/>
          <w:b/>
          <w:bCs/>
          <w:color w:val="000000"/>
          <w:lang w:eastAsia="zh-CN"/>
        </w:rPr>
        <w:t xml:space="preserve"> </w:t>
      </w:r>
      <w:r w:rsidR="00737A4D">
        <w:rPr>
          <w:rFonts w:ascii="Book Antiqua" w:eastAsia="Book Antiqua" w:hAnsi="Book Antiqua" w:cs="Book Antiqua"/>
          <w:b/>
          <w:bCs/>
          <w:color w:val="000000"/>
        </w:rPr>
        <w:t xml:space="preserve">Literature review and summary of </w:t>
      </w:r>
      <w:r>
        <w:rPr>
          <w:rFonts w:ascii="Book Antiqua" w:hAnsi="Book Antiqua" w:cs="Book Antiqua" w:hint="eastAsia"/>
          <w:b/>
          <w:bCs/>
          <w:color w:val="000000"/>
          <w:lang w:eastAsia="zh-CN"/>
        </w:rPr>
        <w:t>e</w:t>
      </w:r>
      <w:r w:rsidRPr="001A23D5">
        <w:rPr>
          <w:rFonts w:ascii="Book Antiqua" w:eastAsia="Book Antiqua" w:hAnsi="Book Antiqua" w:cs="Book Antiqua"/>
          <w:b/>
          <w:bCs/>
          <w:color w:val="000000"/>
        </w:rPr>
        <w:t>xtracorporeal shock wave therapy</w:t>
      </w:r>
      <w:r w:rsidR="00737A4D">
        <w:rPr>
          <w:rFonts w:ascii="Book Antiqua" w:eastAsia="Book Antiqua" w:hAnsi="Book Antiqua" w:cs="Book Antiqua"/>
          <w:b/>
          <w:bCs/>
          <w:color w:val="000000"/>
        </w:rPr>
        <w:t xml:space="preserve"> treatment of clavicle nonunion/delayed union/pseudoarthrosis (to April 6, 2021)</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1"/>
        <w:gridCol w:w="1322"/>
        <w:gridCol w:w="963"/>
        <w:gridCol w:w="1570"/>
        <w:gridCol w:w="1164"/>
        <w:gridCol w:w="1246"/>
        <w:gridCol w:w="947"/>
        <w:gridCol w:w="963"/>
      </w:tblGrid>
      <w:tr w:rsidR="001A23D5" w:rsidRPr="001A23D5" w14:paraId="51881A0E" w14:textId="77777777" w:rsidTr="001A23D5">
        <w:trPr>
          <w:trHeight w:val="1234"/>
        </w:trPr>
        <w:tc>
          <w:tcPr>
            <w:tcW w:w="1312" w:type="dxa"/>
            <w:tcBorders>
              <w:top w:val="single" w:sz="4" w:space="0" w:color="auto"/>
              <w:bottom w:val="single" w:sz="4" w:space="0" w:color="auto"/>
            </w:tcBorders>
            <w:shd w:val="clear" w:color="auto" w:fill="auto"/>
          </w:tcPr>
          <w:p w14:paraId="6A8259FB" w14:textId="77777777" w:rsidR="001A23D5" w:rsidRPr="001A23D5" w:rsidRDefault="001A23D5" w:rsidP="001A23D5">
            <w:pPr>
              <w:widowControl/>
              <w:spacing w:line="360" w:lineRule="auto"/>
              <w:rPr>
                <w:rFonts w:ascii="Book Antiqua" w:hAnsi="Book Antiqua" w:cs="Times New Roman Regular"/>
                <w:b/>
                <w:color w:val="000000"/>
                <w:lang w:bidi="ar"/>
              </w:rPr>
            </w:pPr>
            <w:r>
              <w:rPr>
                <w:rFonts w:ascii="Book Antiqua" w:hAnsi="Book Antiqua" w:cs="Times New Roman Regular" w:hint="eastAsia"/>
                <w:b/>
                <w:color w:val="000000"/>
                <w:lang w:bidi="ar"/>
              </w:rPr>
              <w:t>Ref.</w:t>
            </w:r>
          </w:p>
        </w:tc>
        <w:tc>
          <w:tcPr>
            <w:tcW w:w="1239" w:type="dxa"/>
            <w:tcBorders>
              <w:top w:val="single" w:sz="4" w:space="0" w:color="auto"/>
              <w:bottom w:val="single" w:sz="4" w:space="0" w:color="auto"/>
            </w:tcBorders>
            <w:shd w:val="clear" w:color="auto" w:fill="auto"/>
          </w:tcPr>
          <w:p w14:paraId="25C2D1B8" w14:textId="77777777" w:rsidR="001A23D5" w:rsidRPr="001A23D5" w:rsidRDefault="001A23D5" w:rsidP="001A23D5">
            <w:pPr>
              <w:widowControl/>
              <w:spacing w:line="360" w:lineRule="auto"/>
              <w:rPr>
                <w:rFonts w:ascii="Book Antiqua" w:eastAsia="Arial Narrow" w:hAnsi="Book Antiqua" w:cs="Times New Roman Regular"/>
                <w:b/>
                <w:color w:val="000000"/>
                <w:lang w:eastAsia="zh-Hans" w:bidi="ar"/>
              </w:rPr>
            </w:pPr>
            <w:r w:rsidRPr="001A23D5">
              <w:rPr>
                <w:rFonts w:ascii="Book Antiqua" w:eastAsia="Arial Narrow" w:hAnsi="Book Antiqua" w:cs="Times New Roman Regular"/>
                <w:b/>
                <w:color w:val="000000"/>
                <w:lang w:eastAsia="zh-Hans" w:bidi="ar"/>
              </w:rPr>
              <w:t>Study type</w:t>
            </w:r>
          </w:p>
        </w:tc>
        <w:tc>
          <w:tcPr>
            <w:tcW w:w="903" w:type="dxa"/>
            <w:tcBorders>
              <w:top w:val="single" w:sz="4" w:space="0" w:color="auto"/>
              <w:bottom w:val="single" w:sz="4" w:space="0" w:color="auto"/>
            </w:tcBorders>
            <w:shd w:val="clear" w:color="auto" w:fill="auto"/>
          </w:tcPr>
          <w:p w14:paraId="3DF44A06" w14:textId="77777777" w:rsidR="001A23D5" w:rsidRPr="001A23D5" w:rsidRDefault="001A23D5" w:rsidP="001A23D5">
            <w:pPr>
              <w:widowControl/>
              <w:spacing w:line="360" w:lineRule="auto"/>
              <w:rPr>
                <w:rFonts w:ascii="Book Antiqua" w:eastAsia="Arial Narrow" w:hAnsi="Book Antiqua" w:cs="Times New Roman Regular"/>
                <w:b/>
                <w:color w:val="000000"/>
                <w:lang w:eastAsia="zh-Hans" w:bidi="ar"/>
              </w:rPr>
            </w:pPr>
            <w:r w:rsidRPr="001A23D5">
              <w:rPr>
                <w:rFonts w:ascii="Book Antiqua" w:eastAsia="Arial Narrow" w:hAnsi="Book Antiqua" w:cs="Times New Roman Regular"/>
                <w:b/>
                <w:color w:val="000000"/>
                <w:lang w:eastAsia="zh-Hans" w:bidi="ar"/>
              </w:rPr>
              <w:t>Clavicle cases/total cases</w:t>
            </w:r>
          </w:p>
        </w:tc>
        <w:tc>
          <w:tcPr>
            <w:tcW w:w="1472" w:type="dxa"/>
            <w:tcBorders>
              <w:top w:val="single" w:sz="4" w:space="0" w:color="auto"/>
              <w:bottom w:val="single" w:sz="4" w:space="0" w:color="auto"/>
            </w:tcBorders>
            <w:shd w:val="clear" w:color="auto" w:fill="auto"/>
          </w:tcPr>
          <w:p w14:paraId="5FC89B46" w14:textId="77777777" w:rsidR="001A23D5" w:rsidRPr="001A23D5" w:rsidRDefault="001A23D5" w:rsidP="001A23D5">
            <w:pPr>
              <w:widowControl/>
              <w:spacing w:line="360" w:lineRule="auto"/>
              <w:rPr>
                <w:rFonts w:ascii="Book Antiqua" w:eastAsia="Arial Narrow" w:hAnsi="Book Antiqua" w:cs="Times New Roman Regular"/>
                <w:b/>
                <w:color w:val="000000"/>
                <w:lang w:eastAsia="zh-Hans" w:bidi="ar"/>
              </w:rPr>
            </w:pPr>
            <w:r w:rsidRPr="001A23D5">
              <w:rPr>
                <w:rFonts w:ascii="Book Antiqua" w:eastAsia="Arial Narrow" w:hAnsi="Book Antiqua" w:cs="Times New Roman Regular"/>
                <w:b/>
                <w:color w:val="000000"/>
                <w:lang w:eastAsia="zh-Hans" w:bidi="ar"/>
              </w:rPr>
              <w:t>Initial fracture treatment</w:t>
            </w:r>
          </w:p>
        </w:tc>
        <w:tc>
          <w:tcPr>
            <w:tcW w:w="1091" w:type="dxa"/>
            <w:tcBorders>
              <w:top w:val="single" w:sz="4" w:space="0" w:color="auto"/>
              <w:bottom w:val="single" w:sz="4" w:space="0" w:color="auto"/>
            </w:tcBorders>
            <w:shd w:val="clear" w:color="auto" w:fill="auto"/>
          </w:tcPr>
          <w:p w14:paraId="2DF9B721" w14:textId="77777777" w:rsidR="001A23D5" w:rsidRPr="001A23D5" w:rsidRDefault="001A23D5" w:rsidP="001A23D5">
            <w:pPr>
              <w:widowControl/>
              <w:spacing w:line="360" w:lineRule="auto"/>
              <w:rPr>
                <w:rFonts w:ascii="Book Antiqua" w:eastAsia="Arial Narrow" w:hAnsi="Book Antiqua" w:cs="Times New Roman Regular"/>
                <w:b/>
                <w:color w:val="000000"/>
                <w:lang w:bidi="ar"/>
              </w:rPr>
            </w:pPr>
            <w:r w:rsidRPr="001A23D5">
              <w:rPr>
                <w:rFonts w:ascii="Book Antiqua" w:eastAsia="Arial Narrow" w:hAnsi="Book Antiqua" w:cs="Times New Roman Regular"/>
                <w:b/>
                <w:color w:val="000000"/>
                <w:lang w:bidi="ar"/>
              </w:rPr>
              <w:t>Device</w:t>
            </w:r>
          </w:p>
        </w:tc>
        <w:tc>
          <w:tcPr>
            <w:tcW w:w="1168" w:type="dxa"/>
            <w:tcBorders>
              <w:top w:val="single" w:sz="4" w:space="0" w:color="auto"/>
              <w:bottom w:val="single" w:sz="4" w:space="0" w:color="auto"/>
            </w:tcBorders>
            <w:shd w:val="clear" w:color="auto" w:fill="auto"/>
          </w:tcPr>
          <w:p w14:paraId="5FF339A3" w14:textId="77777777" w:rsidR="001A23D5" w:rsidRPr="001A23D5" w:rsidRDefault="001A23D5" w:rsidP="001A23D5">
            <w:pPr>
              <w:widowControl/>
              <w:spacing w:line="360" w:lineRule="auto"/>
              <w:rPr>
                <w:rFonts w:ascii="Book Antiqua" w:eastAsia="Arial Narrow" w:hAnsi="Book Antiqua" w:cs="Times New Roman Regular"/>
                <w:b/>
                <w:color w:val="000000"/>
                <w:lang w:bidi="ar"/>
              </w:rPr>
            </w:pPr>
            <w:r w:rsidRPr="001A23D5">
              <w:rPr>
                <w:rFonts w:ascii="Book Antiqua" w:eastAsia="Arial Narrow" w:hAnsi="Book Antiqua" w:cs="Times New Roman Regular"/>
                <w:b/>
                <w:color w:val="000000"/>
                <w:lang w:bidi="ar"/>
              </w:rPr>
              <w:t>Energy level</w:t>
            </w:r>
          </w:p>
        </w:tc>
        <w:tc>
          <w:tcPr>
            <w:tcW w:w="888" w:type="dxa"/>
            <w:tcBorders>
              <w:top w:val="single" w:sz="4" w:space="0" w:color="auto"/>
              <w:bottom w:val="single" w:sz="4" w:space="0" w:color="auto"/>
            </w:tcBorders>
            <w:shd w:val="clear" w:color="auto" w:fill="auto"/>
          </w:tcPr>
          <w:p w14:paraId="10F71B74" w14:textId="77777777" w:rsidR="001A23D5" w:rsidRPr="001A23D5" w:rsidRDefault="001A23D5" w:rsidP="001A23D5">
            <w:pPr>
              <w:widowControl/>
              <w:spacing w:line="360" w:lineRule="auto"/>
              <w:rPr>
                <w:rFonts w:ascii="Book Antiqua" w:eastAsia="Arial Narrow" w:hAnsi="Book Antiqua" w:cs="Times New Roman Regular"/>
                <w:b/>
                <w:color w:val="000000"/>
                <w:lang w:bidi="ar"/>
              </w:rPr>
            </w:pPr>
            <w:r w:rsidRPr="001A23D5">
              <w:rPr>
                <w:rFonts w:ascii="Book Antiqua" w:eastAsia="Arial Narrow" w:hAnsi="Book Antiqua" w:cs="Times New Roman Regular"/>
                <w:b/>
                <w:color w:val="000000"/>
                <w:lang w:bidi="ar"/>
              </w:rPr>
              <w:t>Sessions</w:t>
            </w:r>
          </w:p>
        </w:tc>
        <w:tc>
          <w:tcPr>
            <w:tcW w:w="903" w:type="dxa"/>
            <w:tcBorders>
              <w:top w:val="single" w:sz="4" w:space="0" w:color="auto"/>
              <w:bottom w:val="single" w:sz="4" w:space="0" w:color="auto"/>
            </w:tcBorders>
            <w:shd w:val="clear" w:color="auto" w:fill="auto"/>
          </w:tcPr>
          <w:p w14:paraId="72E4E091" w14:textId="77777777" w:rsidR="001A23D5" w:rsidRPr="001A23D5" w:rsidRDefault="001A23D5" w:rsidP="001A23D5">
            <w:pPr>
              <w:widowControl/>
              <w:spacing w:line="360" w:lineRule="auto"/>
              <w:rPr>
                <w:rFonts w:ascii="Book Antiqua" w:eastAsia="Arial Narrow" w:hAnsi="Book Antiqua" w:cs="Times New Roman Regular"/>
                <w:b/>
                <w:color w:val="000000"/>
                <w:lang w:eastAsia="zh-Hans" w:bidi="ar"/>
              </w:rPr>
            </w:pPr>
            <w:r w:rsidRPr="001A23D5">
              <w:rPr>
                <w:rFonts w:ascii="Book Antiqua" w:eastAsia="Arial Narrow" w:hAnsi="Book Antiqua" w:cs="Times New Roman Regular"/>
                <w:b/>
                <w:color w:val="000000"/>
                <w:lang w:eastAsia="zh-Hans" w:bidi="ar"/>
              </w:rPr>
              <w:t>Outcome</w:t>
            </w:r>
          </w:p>
        </w:tc>
      </w:tr>
      <w:tr w:rsidR="001A23D5" w:rsidRPr="001A23D5" w14:paraId="22ABC39F" w14:textId="77777777" w:rsidTr="001A23D5">
        <w:trPr>
          <w:trHeight w:val="940"/>
        </w:trPr>
        <w:tc>
          <w:tcPr>
            <w:tcW w:w="1312" w:type="dxa"/>
            <w:tcBorders>
              <w:top w:val="single" w:sz="4" w:space="0" w:color="auto"/>
            </w:tcBorders>
            <w:shd w:val="clear" w:color="auto" w:fill="auto"/>
          </w:tcPr>
          <w:p w14:paraId="6D5C5CD5"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 xml:space="preserve">Moretti </w:t>
            </w:r>
            <w:r w:rsidRPr="001A23D5">
              <w:rPr>
                <w:rFonts w:ascii="Book Antiqua" w:eastAsia="Arial Narrow" w:hAnsi="Book Antiqua" w:cs="Times New Roman Regular"/>
                <w:i/>
                <w:color w:val="000000"/>
                <w:lang w:bidi="ar"/>
              </w:rPr>
              <w:t>et al</w:t>
            </w:r>
            <w:r w:rsidRPr="001A23D5">
              <w:rPr>
                <w:rFonts w:ascii="Book Antiqua" w:eastAsia="Arial Narrow" w:hAnsi="Book Antiqua" w:cs="Times New Roman Regular"/>
                <w:color w:val="000000"/>
                <w:vertAlign w:val="superscript"/>
                <w:lang w:bidi="ar"/>
              </w:rPr>
              <w:t>[2</w:t>
            </w:r>
            <w:r>
              <w:rPr>
                <w:rFonts w:ascii="Book Antiqua" w:hAnsi="Book Antiqua" w:cs="Times New Roman Regular" w:hint="eastAsia"/>
                <w:color w:val="000000"/>
                <w:vertAlign w:val="superscript"/>
                <w:lang w:bidi="ar"/>
              </w:rPr>
              <w:t>9</w:t>
            </w:r>
            <w:r w:rsidRPr="001A23D5">
              <w:rPr>
                <w:rFonts w:ascii="Book Antiqua" w:eastAsia="Arial Narrow" w:hAnsi="Book Antiqua" w:cs="Times New Roman Regular"/>
                <w:color w:val="000000"/>
                <w:vertAlign w:val="superscript"/>
                <w:lang w:bidi="ar"/>
              </w:rPr>
              <w:t>]</w:t>
            </w:r>
            <w:r w:rsidRPr="001A23D5">
              <w:rPr>
                <w:rFonts w:ascii="Book Antiqua" w:eastAsia="Arial Narrow" w:hAnsi="Book Antiqua" w:cs="Times New Roman Regular"/>
                <w:color w:val="000000"/>
                <w:lang w:bidi="ar"/>
              </w:rPr>
              <w:t>, 2009</w:t>
            </w:r>
          </w:p>
        </w:tc>
        <w:tc>
          <w:tcPr>
            <w:tcW w:w="1239" w:type="dxa"/>
            <w:tcBorders>
              <w:top w:val="single" w:sz="4" w:space="0" w:color="auto"/>
            </w:tcBorders>
            <w:shd w:val="clear" w:color="auto" w:fill="auto"/>
          </w:tcPr>
          <w:p w14:paraId="0B6237BE" w14:textId="77777777" w:rsidR="001A23D5" w:rsidRPr="001A23D5" w:rsidRDefault="001A23D5" w:rsidP="001A23D5">
            <w:pPr>
              <w:widowControl/>
              <w:spacing w:line="360" w:lineRule="auto"/>
              <w:rPr>
                <w:rFonts w:ascii="Book Antiqua" w:eastAsia="Arial Narrow" w:hAnsi="Book Antiqua" w:cs="Times New Roman Regular"/>
                <w:color w:val="000000"/>
                <w:lang w:eastAsia="zh-Hans" w:bidi="ar"/>
              </w:rPr>
            </w:pPr>
            <w:r w:rsidRPr="001A23D5">
              <w:rPr>
                <w:rFonts w:ascii="Book Antiqua" w:eastAsia="Arial Narrow" w:hAnsi="Book Antiqua" w:cs="Times New Roman Regular"/>
                <w:color w:val="000000"/>
                <w:lang w:eastAsia="zh-Hans" w:bidi="ar"/>
              </w:rPr>
              <w:t>Retrospective case series</w:t>
            </w:r>
          </w:p>
        </w:tc>
        <w:tc>
          <w:tcPr>
            <w:tcW w:w="903" w:type="dxa"/>
            <w:tcBorders>
              <w:top w:val="single" w:sz="4" w:space="0" w:color="auto"/>
            </w:tcBorders>
            <w:shd w:val="clear" w:color="auto" w:fill="auto"/>
          </w:tcPr>
          <w:p w14:paraId="520117EA"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NM/204</w:t>
            </w:r>
          </w:p>
        </w:tc>
        <w:tc>
          <w:tcPr>
            <w:tcW w:w="1472" w:type="dxa"/>
            <w:tcBorders>
              <w:top w:val="single" w:sz="4" w:space="0" w:color="auto"/>
            </w:tcBorders>
            <w:shd w:val="clear" w:color="auto" w:fill="auto"/>
          </w:tcPr>
          <w:p w14:paraId="0EFF4613" w14:textId="77777777" w:rsidR="001A23D5" w:rsidRPr="001A23D5" w:rsidRDefault="001A23D5" w:rsidP="001A23D5">
            <w:pPr>
              <w:widowControl/>
              <w:spacing w:line="360" w:lineRule="auto"/>
              <w:rPr>
                <w:rFonts w:ascii="Book Antiqua" w:eastAsia="Arial Narrow" w:hAnsi="Book Antiqua" w:cs="Times New Roman Regular"/>
                <w:color w:val="000000"/>
                <w:lang w:eastAsia="zh-Hans" w:bidi="ar"/>
              </w:rPr>
            </w:pPr>
            <w:r w:rsidRPr="001A23D5">
              <w:rPr>
                <w:rFonts w:ascii="Book Antiqua" w:eastAsia="Arial Narrow" w:hAnsi="Book Antiqua" w:cs="Times New Roman Regular"/>
                <w:color w:val="000000"/>
                <w:lang w:eastAsia="zh-Hans" w:bidi="ar"/>
              </w:rPr>
              <w:t>NM</w:t>
            </w:r>
          </w:p>
        </w:tc>
        <w:tc>
          <w:tcPr>
            <w:tcW w:w="1091" w:type="dxa"/>
            <w:tcBorders>
              <w:top w:val="single" w:sz="4" w:space="0" w:color="auto"/>
            </w:tcBorders>
            <w:shd w:val="clear" w:color="auto" w:fill="auto"/>
          </w:tcPr>
          <w:p w14:paraId="7230071D"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Minilith SL1 (Storz)</w:t>
            </w:r>
          </w:p>
        </w:tc>
        <w:tc>
          <w:tcPr>
            <w:tcW w:w="1168" w:type="dxa"/>
            <w:tcBorders>
              <w:top w:val="single" w:sz="4" w:space="0" w:color="auto"/>
            </w:tcBorders>
            <w:shd w:val="clear" w:color="auto" w:fill="auto"/>
          </w:tcPr>
          <w:p w14:paraId="378DD6ED"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0.22</w:t>
            </w:r>
            <w:r>
              <w:rPr>
                <w:rFonts w:ascii="Book Antiqua" w:hAnsi="Book Antiqua" w:cs="Times New Roman Regular" w:hint="eastAsia"/>
                <w:color w:val="000000"/>
                <w:lang w:bidi="ar"/>
              </w:rPr>
              <w:t>-</w:t>
            </w:r>
            <w:r w:rsidRPr="001A23D5">
              <w:rPr>
                <w:rFonts w:ascii="Book Antiqua" w:eastAsia="Arial Narrow" w:hAnsi="Book Antiqua" w:cs="Times New Roman Regular"/>
                <w:color w:val="000000"/>
                <w:lang w:bidi="ar"/>
              </w:rPr>
              <w:t>1.10</w:t>
            </w:r>
            <w:r>
              <w:rPr>
                <w:rFonts w:ascii="Book Antiqua" w:hAnsi="Book Antiqua" w:cs="Times New Roman Regular" w:hint="eastAsia"/>
                <w:color w:val="000000"/>
                <w:lang w:bidi="ar"/>
              </w:rPr>
              <w:t xml:space="preserve"> </w:t>
            </w:r>
            <w:r w:rsidRPr="001A23D5">
              <w:rPr>
                <w:rFonts w:ascii="Book Antiqua" w:eastAsia="Arial Narrow" w:hAnsi="Book Antiqua" w:cs="Times New Roman Regular"/>
                <w:color w:val="000000"/>
                <w:lang w:bidi="ar"/>
              </w:rPr>
              <w:t>mJ/mm</w:t>
            </w:r>
            <w:r w:rsidRPr="001A23D5">
              <w:rPr>
                <w:rFonts w:ascii="Book Antiqua" w:eastAsia="Arial Narrow" w:hAnsi="Book Antiqua" w:cs="Times New Roman Regular"/>
                <w:color w:val="000000"/>
                <w:vertAlign w:val="superscript"/>
                <w:lang w:bidi="ar"/>
              </w:rPr>
              <w:t>2</w:t>
            </w:r>
          </w:p>
        </w:tc>
        <w:tc>
          <w:tcPr>
            <w:tcW w:w="888" w:type="dxa"/>
            <w:tcBorders>
              <w:top w:val="single" w:sz="4" w:space="0" w:color="auto"/>
            </w:tcBorders>
            <w:shd w:val="clear" w:color="auto" w:fill="auto"/>
          </w:tcPr>
          <w:p w14:paraId="577B1172"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NM</w:t>
            </w:r>
          </w:p>
        </w:tc>
        <w:tc>
          <w:tcPr>
            <w:tcW w:w="903" w:type="dxa"/>
            <w:tcBorders>
              <w:top w:val="single" w:sz="4" w:space="0" w:color="auto"/>
            </w:tcBorders>
            <w:shd w:val="clear" w:color="auto" w:fill="auto"/>
          </w:tcPr>
          <w:p w14:paraId="275929F7"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Positive</w:t>
            </w:r>
          </w:p>
        </w:tc>
      </w:tr>
      <w:tr w:rsidR="001A23D5" w:rsidRPr="001A23D5" w14:paraId="594E34B2" w14:textId="77777777" w:rsidTr="001A23D5">
        <w:trPr>
          <w:trHeight w:val="1235"/>
        </w:trPr>
        <w:tc>
          <w:tcPr>
            <w:tcW w:w="1312" w:type="dxa"/>
            <w:shd w:val="clear" w:color="auto" w:fill="auto"/>
          </w:tcPr>
          <w:p w14:paraId="327C6AE7"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 xml:space="preserve">Carfagni </w:t>
            </w:r>
            <w:r w:rsidRPr="001A23D5">
              <w:rPr>
                <w:rFonts w:ascii="Book Antiqua" w:eastAsia="Arial Narrow" w:hAnsi="Book Antiqua" w:cs="Times New Roman Regular"/>
                <w:i/>
                <w:color w:val="000000"/>
                <w:lang w:bidi="ar"/>
              </w:rPr>
              <w:t>et al</w:t>
            </w:r>
            <w:r w:rsidRPr="001A23D5">
              <w:rPr>
                <w:rFonts w:ascii="Book Antiqua" w:eastAsia="Arial Narrow" w:hAnsi="Book Antiqua" w:cs="Times New Roman Regular"/>
                <w:color w:val="000000"/>
                <w:vertAlign w:val="superscript"/>
                <w:lang w:bidi="ar"/>
              </w:rPr>
              <w:t>[3</w:t>
            </w:r>
            <w:r>
              <w:rPr>
                <w:rFonts w:ascii="Book Antiqua" w:hAnsi="Book Antiqua" w:cs="Times New Roman Regular" w:hint="eastAsia"/>
                <w:color w:val="000000"/>
                <w:vertAlign w:val="superscript"/>
                <w:lang w:bidi="ar"/>
              </w:rPr>
              <w:t>1</w:t>
            </w:r>
            <w:r w:rsidRPr="001A23D5">
              <w:rPr>
                <w:rFonts w:ascii="Book Antiqua" w:eastAsia="Arial Narrow" w:hAnsi="Book Antiqua" w:cs="Times New Roman Regular"/>
                <w:color w:val="000000"/>
                <w:vertAlign w:val="superscript"/>
                <w:lang w:bidi="ar"/>
              </w:rPr>
              <w:t>]</w:t>
            </w:r>
            <w:r w:rsidRPr="001A23D5">
              <w:rPr>
                <w:rFonts w:ascii="Book Antiqua" w:eastAsia="Arial Narrow" w:hAnsi="Book Antiqua" w:cs="Times New Roman Regular"/>
                <w:color w:val="000000"/>
                <w:lang w:bidi="ar"/>
              </w:rPr>
              <w:t>, 2011</w:t>
            </w:r>
          </w:p>
        </w:tc>
        <w:tc>
          <w:tcPr>
            <w:tcW w:w="1239" w:type="dxa"/>
            <w:shd w:val="clear" w:color="auto" w:fill="auto"/>
          </w:tcPr>
          <w:p w14:paraId="6A1DE5F9" w14:textId="77777777" w:rsidR="001A23D5" w:rsidRPr="001A23D5" w:rsidRDefault="001A23D5" w:rsidP="001A23D5">
            <w:pPr>
              <w:widowControl/>
              <w:spacing w:line="360" w:lineRule="auto"/>
              <w:rPr>
                <w:rFonts w:ascii="Book Antiqua" w:eastAsia="Arial Narrow" w:hAnsi="Book Antiqua" w:cs="Times New Roman Regular"/>
                <w:color w:val="000000"/>
                <w:lang w:eastAsia="zh-Hans" w:bidi="ar"/>
              </w:rPr>
            </w:pPr>
            <w:r w:rsidRPr="001A23D5">
              <w:rPr>
                <w:rFonts w:ascii="Book Antiqua" w:eastAsia="Arial Narrow" w:hAnsi="Book Antiqua" w:cs="Times New Roman Regular"/>
                <w:color w:val="000000"/>
                <w:lang w:eastAsia="zh-Hans" w:bidi="ar"/>
              </w:rPr>
              <w:t>Retrospective case series</w:t>
            </w:r>
          </w:p>
        </w:tc>
        <w:tc>
          <w:tcPr>
            <w:tcW w:w="903" w:type="dxa"/>
            <w:shd w:val="clear" w:color="auto" w:fill="auto"/>
          </w:tcPr>
          <w:p w14:paraId="180C7B4B"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3/93</w:t>
            </w:r>
          </w:p>
        </w:tc>
        <w:tc>
          <w:tcPr>
            <w:tcW w:w="1472" w:type="dxa"/>
            <w:shd w:val="clear" w:color="auto" w:fill="auto"/>
          </w:tcPr>
          <w:p w14:paraId="31E2AD0F"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NM</w:t>
            </w:r>
          </w:p>
        </w:tc>
        <w:tc>
          <w:tcPr>
            <w:tcW w:w="1091" w:type="dxa"/>
            <w:shd w:val="clear" w:color="auto" w:fill="auto"/>
          </w:tcPr>
          <w:p w14:paraId="6015F6DB"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Duolith (Storz), Modulith SLK (Storz)</w:t>
            </w:r>
          </w:p>
        </w:tc>
        <w:tc>
          <w:tcPr>
            <w:tcW w:w="1168" w:type="dxa"/>
            <w:shd w:val="clear" w:color="auto" w:fill="auto"/>
          </w:tcPr>
          <w:p w14:paraId="45AC2AAA"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0.20</w:t>
            </w:r>
            <w:r>
              <w:rPr>
                <w:rFonts w:ascii="Book Antiqua" w:hAnsi="Book Antiqua" w:cs="Times New Roman Regular" w:hint="eastAsia"/>
                <w:color w:val="000000"/>
                <w:lang w:bidi="ar"/>
              </w:rPr>
              <w:t>-</w:t>
            </w:r>
            <w:r w:rsidRPr="001A23D5">
              <w:rPr>
                <w:rFonts w:ascii="Book Antiqua" w:eastAsia="Arial Narrow" w:hAnsi="Book Antiqua" w:cs="Times New Roman Regular"/>
                <w:color w:val="000000"/>
                <w:lang w:bidi="ar"/>
              </w:rPr>
              <w:t>0.55</w:t>
            </w:r>
            <w:r>
              <w:rPr>
                <w:rFonts w:ascii="Book Antiqua" w:hAnsi="Book Antiqua" w:cs="Times New Roman Regular" w:hint="eastAsia"/>
                <w:color w:val="000000"/>
                <w:lang w:bidi="ar"/>
              </w:rPr>
              <w:t xml:space="preserve"> </w:t>
            </w:r>
            <w:r w:rsidRPr="001A23D5">
              <w:rPr>
                <w:rFonts w:ascii="Book Antiqua" w:eastAsia="Arial Narrow" w:hAnsi="Book Antiqua" w:cs="Times New Roman Regular"/>
                <w:color w:val="000000"/>
                <w:lang w:bidi="ar"/>
              </w:rPr>
              <w:t>mJ/mm</w:t>
            </w:r>
            <w:r w:rsidRPr="001A23D5">
              <w:rPr>
                <w:rFonts w:ascii="Book Antiqua" w:eastAsia="Arial Narrow" w:hAnsi="Book Antiqua" w:cs="Times New Roman Regular"/>
                <w:color w:val="000000"/>
                <w:vertAlign w:val="superscript"/>
                <w:lang w:bidi="ar"/>
              </w:rPr>
              <w:t>2</w:t>
            </w:r>
          </w:p>
        </w:tc>
        <w:tc>
          <w:tcPr>
            <w:tcW w:w="888" w:type="dxa"/>
            <w:shd w:val="clear" w:color="auto" w:fill="auto"/>
          </w:tcPr>
          <w:p w14:paraId="78EDA64D"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4</w:t>
            </w:r>
            <w:r>
              <w:rPr>
                <w:rFonts w:ascii="Book Antiqua" w:hAnsi="Book Antiqua" w:cs="Times New Roman Regular" w:hint="eastAsia"/>
                <w:color w:val="000000"/>
                <w:lang w:bidi="ar"/>
              </w:rPr>
              <w:t>-</w:t>
            </w:r>
            <w:r w:rsidRPr="001A23D5">
              <w:rPr>
                <w:rFonts w:ascii="Book Antiqua" w:eastAsia="Arial Narrow" w:hAnsi="Book Antiqua" w:cs="Times New Roman Regular"/>
                <w:color w:val="000000"/>
                <w:lang w:bidi="ar"/>
              </w:rPr>
              <w:t>5</w:t>
            </w:r>
          </w:p>
        </w:tc>
        <w:tc>
          <w:tcPr>
            <w:tcW w:w="903" w:type="dxa"/>
            <w:shd w:val="clear" w:color="auto" w:fill="auto"/>
          </w:tcPr>
          <w:p w14:paraId="5011E36A"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NM</w:t>
            </w:r>
          </w:p>
        </w:tc>
      </w:tr>
      <w:tr w:rsidR="001A23D5" w:rsidRPr="001A23D5" w14:paraId="569E2581" w14:textId="77777777" w:rsidTr="001A23D5">
        <w:trPr>
          <w:trHeight w:val="932"/>
        </w:trPr>
        <w:tc>
          <w:tcPr>
            <w:tcW w:w="1312" w:type="dxa"/>
            <w:shd w:val="clear" w:color="auto" w:fill="auto"/>
          </w:tcPr>
          <w:p w14:paraId="28486CAE"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 xml:space="preserve">Vulpiani </w:t>
            </w:r>
            <w:r w:rsidRPr="001A23D5">
              <w:rPr>
                <w:rFonts w:ascii="Book Antiqua" w:eastAsia="Arial Narrow" w:hAnsi="Book Antiqua" w:cs="Times New Roman Regular"/>
                <w:i/>
                <w:color w:val="000000"/>
                <w:lang w:bidi="ar"/>
              </w:rPr>
              <w:t>et al</w:t>
            </w:r>
            <w:r w:rsidRPr="001A23D5">
              <w:rPr>
                <w:rFonts w:ascii="Book Antiqua" w:eastAsia="Arial Narrow" w:hAnsi="Book Antiqua" w:cs="Times New Roman Regular"/>
                <w:color w:val="000000"/>
                <w:vertAlign w:val="superscript"/>
                <w:lang w:bidi="ar"/>
              </w:rPr>
              <w:t>[</w:t>
            </w:r>
            <w:r>
              <w:rPr>
                <w:rFonts w:ascii="Book Antiqua" w:hAnsi="Book Antiqua" w:cs="Times New Roman Regular" w:hint="eastAsia"/>
                <w:color w:val="000000"/>
                <w:vertAlign w:val="superscript"/>
                <w:lang w:bidi="ar"/>
              </w:rPr>
              <w:t>30</w:t>
            </w:r>
            <w:r w:rsidRPr="001A23D5">
              <w:rPr>
                <w:rFonts w:ascii="Book Antiqua" w:eastAsia="Arial Narrow" w:hAnsi="Book Antiqua" w:cs="Times New Roman Regular"/>
                <w:color w:val="000000"/>
                <w:vertAlign w:val="superscript"/>
                <w:lang w:bidi="ar"/>
              </w:rPr>
              <w:t>]</w:t>
            </w:r>
            <w:r w:rsidRPr="001A23D5">
              <w:rPr>
                <w:rFonts w:ascii="Book Antiqua" w:eastAsia="Arial Narrow" w:hAnsi="Book Antiqua" w:cs="Times New Roman Regular"/>
                <w:color w:val="000000"/>
                <w:lang w:bidi="ar"/>
              </w:rPr>
              <w:t>, 201</w:t>
            </w:r>
            <w:r>
              <w:rPr>
                <w:rFonts w:ascii="Book Antiqua" w:hAnsi="Book Antiqua" w:cs="Times New Roman Regular" w:hint="eastAsia"/>
                <w:color w:val="000000"/>
                <w:lang w:bidi="ar"/>
              </w:rPr>
              <w:t>2</w:t>
            </w:r>
          </w:p>
        </w:tc>
        <w:tc>
          <w:tcPr>
            <w:tcW w:w="1239" w:type="dxa"/>
            <w:shd w:val="clear" w:color="auto" w:fill="auto"/>
          </w:tcPr>
          <w:p w14:paraId="7D7E04C8" w14:textId="77777777" w:rsidR="001A23D5" w:rsidRPr="001A23D5" w:rsidRDefault="001A23D5" w:rsidP="001A23D5">
            <w:pPr>
              <w:widowControl/>
              <w:spacing w:line="360" w:lineRule="auto"/>
              <w:rPr>
                <w:rFonts w:ascii="Book Antiqua" w:eastAsia="Arial Narrow" w:hAnsi="Book Antiqua" w:cs="Times New Roman Regular"/>
                <w:color w:val="000000"/>
                <w:lang w:eastAsia="zh-Hans" w:bidi="ar"/>
              </w:rPr>
            </w:pPr>
            <w:r w:rsidRPr="001A23D5">
              <w:rPr>
                <w:rFonts w:ascii="Book Antiqua" w:eastAsia="Arial Narrow" w:hAnsi="Book Antiqua" w:cs="Times New Roman Regular"/>
                <w:color w:val="000000"/>
                <w:lang w:eastAsia="zh-Hans" w:bidi="ar"/>
              </w:rPr>
              <w:t>Prospective cohort study</w:t>
            </w:r>
          </w:p>
        </w:tc>
        <w:tc>
          <w:tcPr>
            <w:tcW w:w="903" w:type="dxa"/>
            <w:shd w:val="clear" w:color="auto" w:fill="auto"/>
          </w:tcPr>
          <w:p w14:paraId="668A67FC"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6/143</w:t>
            </w:r>
          </w:p>
        </w:tc>
        <w:tc>
          <w:tcPr>
            <w:tcW w:w="1472" w:type="dxa"/>
            <w:shd w:val="clear" w:color="auto" w:fill="auto"/>
          </w:tcPr>
          <w:p w14:paraId="66C42E26"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Conservative treatment and Internal fixation</w:t>
            </w:r>
          </w:p>
        </w:tc>
        <w:tc>
          <w:tcPr>
            <w:tcW w:w="1091" w:type="dxa"/>
            <w:shd w:val="clear" w:color="auto" w:fill="auto"/>
          </w:tcPr>
          <w:p w14:paraId="0F2B4E76"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Modulith SLK (Storz)</w:t>
            </w:r>
          </w:p>
        </w:tc>
        <w:tc>
          <w:tcPr>
            <w:tcW w:w="1168" w:type="dxa"/>
            <w:shd w:val="clear" w:color="auto" w:fill="auto"/>
          </w:tcPr>
          <w:p w14:paraId="0B6DB281"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0.25</w:t>
            </w:r>
            <w:r>
              <w:rPr>
                <w:rFonts w:ascii="Book Antiqua" w:hAnsi="Book Antiqua" w:cs="Times New Roman Regular" w:hint="eastAsia"/>
                <w:color w:val="000000"/>
                <w:lang w:bidi="ar"/>
              </w:rPr>
              <w:t>-</w:t>
            </w:r>
            <w:r w:rsidRPr="001A23D5">
              <w:rPr>
                <w:rFonts w:ascii="Book Antiqua" w:eastAsia="Arial Narrow" w:hAnsi="Book Antiqua" w:cs="Times New Roman Regular"/>
                <w:color w:val="000000"/>
                <w:lang w:bidi="ar"/>
              </w:rPr>
              <w:t>0.84 mJ/mm</w:t>
            </w:r>
            <w:r w:rsidRPr="001A23D5">
              <w:rPr>
                <w:rFonts w:ascii="Book Antiqua" w:eastAsia="Arial Narrow" w:hAnsi="Book Antiqua" w:cs="Times New Roman Regular"/>
                <w:color w:val="000000"/>
                <w:vertAlign w:val="superscript"/>
                <w:lang w:bidi="ar"/>
              </w:rPr>
              <w:t>2</w:t>
            </w:r>
          </w:p>
        </w:tc>
        <w:tc>
          <w:tcPr>
            <w:tcW w:w="888" w:type="dxa"/>
            <w:shd w:val="clear" w:color="auto" w:fill="auto"/>
          </w:tcPr>
          <w:p w14:paraId="0A65A3BB"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3</w:t>
            </w:r>
            <w:r>
              <w:rPr>
                <w:rFonts w:ascii="Book Antiqua" w:hAnsi="Book Antiqua" w:cs="Times New Roman Regular" w:hint="eastAsia"/>
                <w:color w:val="000000"/>
                <w:lang w:bidi="ar"/>
              </w:rPr>
              <w:t>-</w:t>
            </w:r>
            <w:r w:rsidRPr="001A23D5">
              <w:rPr>
                <w:rFonts w:ascii="Book Antiqua" w:eastAsia="Arial Narrow" w:hAnsi="Book Antiqua" w:cs="Times New Roman Regular"/>
                <w:color w:val="000000"/>
                <w:lang w:bidi="ar"/>
              </w:rPr>
              <w:t>5</w:t>
            </w:r>
          </w:p>
        </w:tc>
        <w:tc>
          <w:tcPr>
            <w:tcW w:w="903" w:type="dxa"/>
            <w:shd w:val="clear" w:color="auto" w:fill="auto"/>
          </w:tcPr>
          <w:p w14:paraId="7846FE7E"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NM</w:t>
            </w:r>
          </w:p>
        </w:tc>
      </w:tr>
      <w:tr w:rsidR="001A23D5" w:rsidRPr="001A23D5" w14:paraId="4FB6B9A7" w14:textId="77777777" w:rsidTr="001A23D5">
        <w:trPr>
          <w:trHeight w:val="646"/>
        </w:trPr>
        <w:tc>
          <w:tcPr>
            <w:tcW w:w="1312" w:type="dxa"/>
            <w:shd w:val="clear" w:color="auto" w:fill="auto"/>
          </w:tcPr>
          <w:p w14:paraId="0C1197EA"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Alkhawashki</w:t>
            </w:r>
            <w:r w:rsidRPr="001A23D5">
              <w:rPr>
                <w:rFonts w:ascii="Book Antiqua" w:eastAsia="Arial Narrow" w:hAnsi="Book Antiqua" w:cs="Times New Roman Regular"/>
                <w:color w:val="000000"/>
                <w:vertAlign w:val="superscript"/>
                <w:lang w:bidi="ar"/>
              </w:rPr>
              <w:t>[2</w:t>
            </w:r>
            <w:r>
              <w:rPr>
                <w:rFonts w:ascii="Book Antiqua" w:hAnsi="Book Antiqua" w:cs="Times New Roman Regular" w:hint="eastAsia"/>
                <w:color w:val="000000"/>
                <w:vertAlign w:val="superscript"/>
                <w:lang w:bidi="ar"/>
              </w:rPr>
              <w:t>8</w:t>
            </w:r>
            <w:r w:rsidRPr="001A23D5">
              <w:rPr>
                <w:rFonts w:ascii="Book Antiqua" w:eastAsia="Arial Narrow" w:hAnsi="Book Antiqua" w:cs="Times New Roman Regular"/>
                <w:color w:val="000000"/>
                <w:vertAlign w:val="superscript"/>
                <w:lang w:bidi="ar"/>
              </w:rPr>
              <w:t>]</w:t>
            </w:r>
            <w:r w:rsidRPr="001A23D5">
              <w:rPr>
                <w:rFonts w:ascii="Book Antiqua" w:eastAsia="Arial Narrow" w:hAnsi="Book Antiqua" w:cs="Times New Roman Regular"/>
                <w:color w:val="000000"/>
                <w:lang w:bidi="ar"/>
              </w:rPr>
              <w:t>, 2015</w:t>
            </w:r>
          </w:p>
        </w:tc>
        <w:tc>
          <w:tcPr>
            <w:tcW w:w="1239" w:type="dxa"/>
            <w:shd w:val="clear" w:color="auto" w:fill="auto"/>
          </w:tcPr>
          <w:p w14:paraId="19FD9B84"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eastAsia="zh-Hans" w:bidi="ar"/>
              </w:rPr>
              <w:t>Retrospective case series</w:t>
            </w:r>
          </w:p>
        </w:tc>
        <w:tc>
          <w:tcPr>
            <w:tcW w:w="903" w:type="dxa"/>
            <w:shd w:val="clear" w:color="auto" w:fill="auto"/>
          </w:tcPr>
          <w:p w14:paraId="3143D093"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1/49</w:t>
            </w:r>
          </w:p>
        </w:tc>
        <w:tc>
          <w:tcPr>
            <w:tcW w:w="1472" w:type="dxa"/>
            <w:shd w:val="clear" w:color="auto" w:fill="auto"/>
          </w:tcPr>
          <w:p w14:paraId="11A56508"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Conservative treatment</w:t>
            </w:r>
          </w:p>
        </w:tc>
        <w:tc>
          <w:tcPr>
            <w:tcW w:w="1091" w:type="dxa"/>
            <w:shd w:val="clear" w:color="auto" w:fill="auto"/>
          </w:tcPr>
          <w:p w14:paraId="11219E47"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OssaTron (HMT)</w:t>
            </w:r>
          </w:p>
        </w:tc>
        <w:tc>
          <w:tcPr>
            <w:tcW w:w="1168" w:type="dxa"/>
            <w:shd w:val="clear" w:color="auto" w:fill="auto"/>
          </w:tcPr>
          <w:p w14:paraId="51C1D060"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26 KV</w:t>
            </w:r>
          </w:p>
        </w:tc>
        <w:tc>
          <w:tcPr>
            <w:tcW w:w="888" w:type="dxa"/>
            <w:shd w:val="clear" w:color="auto" w:fill="auto"/>
          </w:tcPr>
          <w:p w14:paraId="1363D0C3"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1</w:t>
            </w:r>
          </w:p>
        </w:tc>
        <w:tc>
          <w:tcPr>
            <w:tcW w:w="903" w:type="dxa"/>
            <w:shd w:val="clear" w:color="auto" w:fill="auto"/>
          </w:tcPr>
          <w:p w14:paraId="774C932A"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Positive</w:t>
            </w:r>
          </w:p>
        </w:tc>
      </w:tr>
      <w:tr w:rsidR="001A23D5" w:rsidRPr="001A23D5" w14:paraId="68A51BBA" w14:textId="77777777" w:rsidTr="001A23D5">
        <w:trPr>
          <w:trHeight w:val="997"/>
        </w:trPr>
        <w:tc>
          <w:tcPr>
            <w:tcW w:w="1312" w:type="dxa"/>
            <w:tcBorders>
              <w:bottom w:val="single" w:sz="4" w:space="0" w:color="auto"/>
            </w:tcBorders>
            <w:shd w:val="clear" w:color="auto" w:fill="auto"/>
          </w:tcPr>
          <w:p w14:paraId="2FFD1E33"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 xml:space="preserve">Kertzman </w:t>
            </w:r>
            <w:r w:rsidRPr="001A23D5">
              <w:rPr>
                <w:rFonts w:ascii="Book Antiqua" w:eastAsia="Arial Narrow" w:hAnsi="Book Antiqua" w:cs="Times New Roman Regular"/>
                <w:i/>
                <w:color w:val="000000"/>
                <w:lang w:bidi="ar"/>
              </w:rPr>
              <w:t>et al</w:t>
            </w:r>
            <w:r w:rsidRPr="001A23D5">
              <w:rPr>
                <w:rFonts w:ascii="Book Antiqua" w:eastAsia="Arial Narrow" w:hAnsi="Book Antiqua" w:cs="Times New Roman Regular"/>
                <w:color w:val="000000"/>
                <w:vertAlign w:val="superscript"/>
                <w:lang w:bidi="ar"/>
              </w:rPr>
              <w:t>[7]</w:t>
            </w:r>
            <w:r w:rsidRPr="001A23D5">
              <w:rPr>
                <w:rFonts w:ascii="Book Antiqua" w:eastAsia="Arial Narrow" w:hAnsi="Book Antiqua" w:cs="Times New Roman Regular"/>
                <w:color w:val="000000"/>
                <w:lang w:bidi="ar"/>
              </w:rPr>
              <w:t>, 2017</w:t>
            </w:r>
          </w:p>
        </w:tc>
        <w:tc>
          <w:tcPr>
            <w:tcW w:w="1239" w:type="dxa"/>
            <w:tcBorders>
              <w:bottom w:val="single" w:sz="4" w:space="0" w:color="auto"/>
            </w:tcBorders>
            <w:shd w:val="clear" w:color="auto" w:fill="auto"/>
          </w:tcPr>
          <w:p w14:paraId="1C7C5EE6" w14:textId="77777777" w:rsidR="001A23D5" w:rsidRPr="001A23D5" w:rsidRDefault="001A23D5" w:rsidP="001A23D5">
            <w:pPr>
              <w:widowControl/>
              <w:spacing w:line="360" w:lineRule="auto"/>
              <w:rPr>
                <w:rFonts w:ascii="Book Antiqua" w:eastAsia="Arial Narrow" w:hAnsi="Book Antiqua" w:cs="Times New Roman Regular"/>
                <w:color w:val="000000"/>
                <w:lang w:eastAsia="zh-Hans" w:bidi="ar"/>
              </w:rPr>
            </w:pPr>
            <w:r w:rsidRPr="001A23D5">
              <w:rPr>
                <w:rFonts w:ascii="Book Antiqua" w:eastAsia="Arial Narrow" w:hAnsi="Book Antiqua" w:cs="Times New Roman Regular"/>
                <w:color w:val="000000"/>
                <w:lang w:eastAsia="zh-Hans" w:bidi="ar"/>
              </w:rPr>
              <w:t>Retrospective case series</w:t>
            </w:r>
          </w:p>
        </w:tc>
        <w:tc>
          <w:tcPr>
            <w:tcW w:w="903" w:type="dxa"/>
            <w:tcBorders>
              <w:bottom w:val="single" w:sz="4" w:space="0" w:color="auto"/>
            </w:tcBorders>
            <w:shd w:val="clear" w:color="auto" w:fill="auto"/>
          </w:tcPr>
          <w:p w14:paraId="6A516542"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1/22</w:t>
            </w:r>
          </w:p>
        </w:tc>
        <w:tc>
          <w:tcPr>
            <w:tcW w:w="1472" w:type="dxa"/>
            <w:tcBorders>
              <w:bottom w:val="single" w:sz="4" w:space="0" w:color="auto"/>
            </w:tcBorders>
            <w:shd w:val="clear" w:color="auto" w:fill="auto"/>
          </w:tcPr>
          <w:p w14:paraId="4FA68EA9"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Internal fixation</w:t>
            </w:r>
          </w:p>
        </w:tc>
        <w:tc>
          <w:tcPr>
            <w:tcW w:w="1091" w:type="dxa"/>
            <w:tcBorders>
              <w:bottom w:val="single" w:sz="4" w:space="0" w:color="auto"/>
            </w:tcBorders>
            <w:shd w:val="clear" w:color="auto" w:fill="auto"/>
          </w:tcPr>
          <w:p w14:paraId="43BBC2A2"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Swiss DolorClast (EMS)</w:t>
            </w:r>
          </w:p>
        </w:tc>
        <w:tc>
          <w:tcPr>
            <w:tcW w:w="1168" w:type="dxa"/>
            <w:tcBorders>
              <w:bottom w:val="single" w:sz="4" w:space="0" w:color="auto"/>
            </w:tcBorders>
            <w:shd w:val="clear" w:color="auto" w:fill="auto"/>
          </w:tcPr>
          <w:p w14:paraId="1526A782"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0.18</w:t>
            </w:r>
            <w:r>
              <w:rPr>
                <w:rFonts w:ascii="Book Antiqua" w:hAnsi="Book Antiqua" w:cs="Times New Roman Regular" w:hint="eastAsia"/>
                <w:color w:val="000000"/>
                <w:lang w:bidi="ar"/>
              </w:rPr>
              <w:t xml:space="preserve"> </w:t>
            </w:r>
            <w:r w:rsidRPr="001A23D5">
              <w:rPr>
                <w:rFonts w:ascii="Book Antiqua" w:eastAsia="Arial Narrow" w:hAnsi="Book Antiqua" w:cs="Times New Roman Regular"/>
                <w:color w:val="000000"/>
                <w:lang w:bidi="ar"/>
              </w:rPr>
              <w:t>mJ/mm</w:t>
            </w:r>
            <w:r w:rsidRPr="001A23D5">
              <w:rPr>
                <w:rFonts w:ascii="Book Antiqua" w:eastAsia="Arial Narrow" w:hAnsi="Book Antiqua" w:cs="Times New Roman Regular"/>
                <w:color w:val="000000"/>
                <w:vertAlign w:val="superscript"/>
                <w:lang w:bidi="ar"/>
              </w:rPr>
              <w:t>2</w:t>
            </w:r>
          </w:p>
        </w:tc>
        <w:tc>
          <w:tcPr>
            <w:tcW w:w="888" w:type="dxa"/>
            <w:tcBorders>
              <w:bottom w:val="single" w:sz="4" w:space="0" w:color="auto"/>
            </w:tcBorders>
            <w:shd w:val="clear" w:color="auto" w:fill="auto"/>
          </w:tcPr>
          <w:p w14:paraId="06F4D3DD"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bidi="ar"/>
              </w:rPr>
              <w:t>2</w:t>
            </w:r>
          </w:p>
        </w:tc>
        <w:tc>
          <w:tcPr>
            <w:tcW w:w="903" w:type="dxa"/>
            <w:tcBorders>
              <w:bottom w:val="single" w:sz="4" w:space="0" w:color="auto"/>
            </w:tcBorders>
            <w:shd w:val="clear" w:color="auto" w:fill="auto"/>
          </w:tcPr>
          <w:p w14:paraId="79706A26" w14:textId="77777777" w:rsidR="001A23D5" w:rsidRPr="001A23D5" w:rsidRDefault="001A23D5" w:rsidP="001A23D5">
            <w:pPr>
              <w:widowControl/>
              <w:spacing w:line="360" w:lineRule="auto"/>
              <w:rPr>
                <w:rFonts w:ascii="Book Antiqua" w:eastAsia="Arial Narrow" w:hAnsi="Book Antiqua" w:cs="Times New Roman Regular"/>
                <w:color w:val="000000"/>
                <w:lang w:bidi="ar"/>
              </w:rPr>
            </w:pPr>
            <w:r w:rsidRPr="001A23D5">
              <w:rPr>
                <w:rFonts w:ascii="Book Antiqua" w:eastAsia="Arial Narrow" w:hAnsi="Book Antiqua" w:cs="Times New Roman Regular"/>
                <w:color w:val="000000"/>
                <w:lang w:eastAsia="zh-Hans" w:bidi="ar"/>
              </w:rPr>
              <w:t>Negative</w:t>
            </w:r>
          </w:p>
        </w:tc>
      </w:tr>
    </w:tbl>
    <w:p w14:paraId="2125AC61" w14:textId="1340D19D" w:rsidR="00DE06B0" w:rsidRDefault="00737A4D">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NM: Not mentioned</w:t>
      </w:r>
      <w:r w:rsidR="001A23D5">
        <w:rPr>
          <w:rFonts w:ascii="Book Antiqua" w:hAnsi="Book Antiqua" w:cs="Book Antiqua" w:hint="eastAsia"/>
          <w:color w:val="000000"/>
          <w:lang w:eastAsia="zh-CN"/>
        </w:rPr>
        <w:t>.</w:t>
      </w:r>
    </w:p>
    <w:p w14:paraId="38B631B4" w14:textId="77777777" w:rsidR="00DE06B0" w:rsidRDefault="00DE06B0">
      <w:pPr>
        <w:rPr>
          <w:rFonts w:ascii="Book Antiqua" w:hAnsi="Book Antiqua" w:cs="Book Antiqua"/>
          <w:color w:val="000000"/>
          <w:lang w:eastAsia="zh-CN"/>
        </w:rPr>
      </w:pPr>
      <w:r>
        <w:rPr>
          <w:rFonts w:ascii="Book Antiqua" w:hAnsi="Book Antiqua" w:cs="Book Antiqua"/>
          <w:color w:val="000000"/>
          <w:lang w:eastAsia="zh-CN"/>
        </w:rPr>
        <w:br w:type="page"/>
      </w:r>
    </w:p>
    <w:p w14:paraId="3030061B" w14:textId="77777777" w:rsidR="00DE06B0" w:rsidRDefault="00DE06B0" w:rsidP="00DE06B0">
      <w:pPr>
        <w:jc w:val="center"/>
        <w:rPr>
          <w:rFonts w:ascii="Book Antiqua" w:hAnsi="Book Antiqua"/>
          <w:lang w:eastAsia="zh-CN"/>
        </w:rPr>
      </w:pPr>
      <w:bookmarkStart w:id="7" w:name="OLE_LINK1"/>
      <w:bookmarkStart w:id="8" w:name="OLE_LINK2"/>
    </w:p>
    <w:p w14:paraId="3D670796" w14:textId="77777777" w:rsidR="00DE06B0" w:rsidRDefault="00DE06B0" w:rsidP="00DE06B0">
      <w:pPr>
        <w:jc w:val="center"/>
        <w:rPr>
          <w:rFonts w:ascii="Book Antiqua" w:hAnsi="Book Antiqua"/>
          <w:lang w:eastAsia="zh-CN"/>
        </w:rPr>
      </w:pPr>
    </w:p>
    <w:p w14:paraId="349ACDCD" w14:textId="77777777" w:rsidR="00DE06B0" w:rsidRDefault="00DE06B0" w:rsidP="00DE06B0">
      <w:pPr>
        <w:jc w:val="center"/>
        <w:rPr>
          <w:rFonts w:ascii="Book Antiqua" w:hAnsi="Book Antiqua"/>
          <w:lang w:eastAsia="zh-CN"/>
        </w:rPr>
      </w:pPr>
    </w:p>
    <w:p w14:paraId="31D5EFD0" w14:textId="77777777" w:rsidR="00DE06B0" w:rsidRDefault="00DE06B0" w:rsidP="00DE06B0">
      <w:pPr>
        <w:jc w:val="center"/>
        <w:rPr>
          <w:rFonts w:ascii="Book Antiqua" w:hAnsi="Book Antiqua"/>
          <w:lang w:eastAsia="zh-CN"/>
        </w:rPr>
      </w:pPr>
    </w:p>
    <w:p w14:paraId="775DDD32" w14:textId="77777777" w:rsidR="00DE06B0" w:rsidRDefault="00DE06B0" w:rsidP="00DE06B0">
      <w:pPr>
        <w:jc w:val="center"/>
        <w:rPr>
          <w:rFonts w:ascii="Book Antiqua" w:hAnsi="Book Antiqua"/>
          <w:lang w:eastAsia="zh-CN"/>
        </w:rPr>
      </w:pPr>
    </w:p>
    <w:p w14:paraId="66FBB0D0" w14:textId="77777777" w:rsidR="00DE06B0" w:rsidRDefault="00DE06B0" w:rsidP="00DE06B0">
      <w:pPr>
        <w:jc w:val="center"/>
        <w:rPr>
          <w:rFonts w:ascii="Book Antiqua" w:hAnsi="Book Antiqua"/>
          <w:lang w:eastAsia="zh-CN"/>
        </w:rPr>
      </w:pPr>
      <w:r>
        <w:rPr>
          <w:rFonts w:ascii="Book Antiqua" w:hAnsi="Book Antiqua"/>
          <w:noProof/>
          <w:lang w:eastAsia="zh-CN"/>
        </w:rPr>
        <w:drawing>
          <wp:inline distT="0" distB="0" distL="0" distR="0" wp14:anchorId="0E944742" wp14:editId="697E5F8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0BAF9BF" w14:textId="77777777" w:rsidR="00DE06B0" w:rsidRDefault="00DE06B0" w:rsidP="00DE06B0">
      <w:pPr>
        <w:jc w:val="center"/>
        <w:rPr>
          <w:rFonts w:ascii="Book Antiqua" w:hAnsi="Book Antiqua"/>
          <w:lang w:eastAsia="zh-CN"/>
        </w:rPr>
      </w:pPr>
    </w:p>
    <w:p w14:paraId="000BFA98" w14:textId="77777777" w:rsidR="00DE06B0" w:rsidRPr="00763D22" w:rsidRDefault="00DE06B0" w:rsidP="00DE06B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6994367" w14:textId="77777777" w:rsidR="00DE06B0" w:rsidRPr="00763D22" w:rsidRDefault="00DE06B0" w:rsidP="00DE06B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0BBAA60" w14:textId="77777777" w:rsidR="00DE06B0" w:rsidRPr="00763D22" w:rsidRDefault="00DE06B0" w:rsidP="00DE06B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A83F1D3" w14:textId="77777777" w:rsidR="00DE06B0" w:rsidRPr="00763D22" w:rsidRDefault="00DE06B0" w:rsidP="00DE06B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2E11A66" w14:textId="77777777" w:rsidR="00DE06B0" w:rsidRPr="00763D22" w:rsidRDefault="00DE06B0" w:rsidP="00DE06B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0BE805D" w14:textId="77777777" w:rsidR="00DE06B0" w:rsidRPr="00763D22" w:rsidRDefault="00DE06B0" w:rsidP="00DE06B0">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74F4A4D" w14:textId="77777777" w:rsidR="00DE06B0" w:rsidRDefault="00DE06B0" w:rsidP="00DE06B0">
      <w:pPr>
        <w:jc w:val="center"/>
        <w:rPr>
          <w:rFonts w:ascii="Book Antiqua" w:hAnsi="Book Antiqua"/>
          <w:lang w:eastAsia="zh-CN"/>
        </w:rPr>
      </w:pPr>
    </w:p>
    <w:p w14:paraId="07E22FA3" w14:textId="77777777" w:rsidR="00DE06B0" w:rsidRDefault="00DE06B0" w:rsidP="00DE06B0">
      <w:pPr>
        <w:jc w:val="center"/>
        <w:rPr>
          <w:rFonts w:ascii="Book Antiqua" w:hAnsi="Book Antiqua"/>
          <w:lang w:eastAsia="zh-CN"/>
        </w:rPr>
      </w:pPr>
    </w:p>
    <w:p w14:paraId="0B4A3485" w14:textId="77777777" w:rsidR="00DE06B0" w:rsidRDefault="00DE06B0" w:rsidP="00DE06B0">
      <w:pPr>
        <w:jc w:val="center"/>
        <w:rPr>
          <w:rFonts w:ascii="Book Antiqua" w:hAnsi="Book Antiqua"/>
          <w:lang w:eastAsia="zh-CN"/>
        </w:rPr>
      </w:pPr>
    </w:p>
    <w:p w14:paraId="38CD7D8D" w14:textId="77777777" w:rsidR="00DE06B0" w:rsidRDefault="00DE06B0" w:rsidP="00DE06B0">
      <w:pPr>
        <w:jc w:val="center"/>
        <w:rPr>
          <w:rFonts w:ascii="Book Antiqua" w:hAnsi="Book Antiqua"/>
          <w:lang w:eastAsia="zh-CN"/>
        </w:rPr>
      </w:pPr>
      <w:r>
        <w:rPr>
          <w:rFonts w:ascii="Book Antiqua" w:hAnsi="Book Antiqua"/>
          <w:noProof/>
          <w:lang w:eastAsia="zh-CN"/>
        </w:rPr>
        <w:drawing>
          <wp:inline distT="0" distB="0" distL="0" distR="0" wp14:anchorId="3023B2DC" wp14:editId="64915C3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E565CA5" w14:textId="77777777" w:rsidR="00DE06B0" w:rsidRDefault="00DE06B0" w:rsidP="00DE06B0">
      <w:pPr>
        <w:jc w:val="center"/>
        <w:rPr>
          <w:rFonts w:ascii="Book Antiqua" w:hAnsi="Book Antiqua"/>
          <w:lang w:eastAsia="zh-CN"/>
        </w:rPr>
      </w:pPr>
    </w:p>
    <w:p w14:paraId="122CF84A" w14:textId="77777777" w:rsidR="00DE06B0" w:rsidRDefault="00DE06B0" w:rsidP="00DE06B0">
      <w:pPr>
        <w:jc w:val="center"/>
        <w:rPr>
          <w:rFonts w:ascii="Book Antiqua" w:hAnsi="Book Antiqua"/>
          <w:lang w:eastAsia="zh-CN"/>
        </w:rPr>
      </w:pPr>
    </w:p>
    <w:p w14:paraId="623DFA42" w14:textId="77777777" w:rsidR="00DE06B0" w:rsidRDefault="00DE06B0" w:rsidP="00DE06B0">
      <w:pPr>
        <w:jc w:val="center"/>
        <w:rPr>
          <w:rFonts w:ascii="Book Antiqua" w:hAnsi="Book Antiqua"/>
          <w:lang w:eastAsia="zh-CN"/>
        </w:rPr>
      </w:pPr>
    </w:p>
    <w:p w14:paraId="7EB6ABD6" w14:textId="77777777" w:rsidR="00DE06B0" w:rsidRDefault="00DE06B0" w:rsidP="00DE06B0">
      <w:pPr>
        <w:jc w:val="center"/>
        <w:rPr>
          <w:rFonts w:ascii="Book Antiqua" w:hAnsi="Book Antiqua"/>
          <w:lang w:eastAsia="zh-CN"/>
        </w:rPr>
      </w:pPr>
    </w:p>
    <w:p w14:paraId="40EB263B" w14:textId="77777777" w:rsidR="00DE06B0" w:rsidRDefault="00DE06B0" w:rsidP="00DE06B0">
      <w:pPr>
        <w:jc w:val="center"/>
        <w:rPr>
          <w:rFonts w:ascii="Book Antiqua" w:hAnsi="Book Antiqua"/>
          <w:lang w:eastAsia="zh-CN"/>
        </w:rPr>
      </w:pPr>
    </w:p>
    <w:p w14:paraId="18267815" w14:textId="77777777" w:rsidR="00DE06B0" w:rsidRDefault="00DE06B0" w:rsidP="00DE06B0">
      <w:pPr>
        <w:jc w:val="center"/>
        <w:rPr>
          <w:rFonts w:ascii="Book Antiqua" w:hAnsi="Book Antiqua"/>
          <w:lang w:eastAsia="zh-CN"/>
        </w:rPr>
      </w:pPr>
    </w:p>
    <w:p w14:paraId="16D97E85" w14:textId="77777777" w:rsidR="00DE06B0" w:rsidRDefault="00DE06B0" w:rsidP="00DE06B0">
      <w:pPr>
        <w:jc w:val="center"/>
        <w:rPr>
          <w:rFonts w:ascii="Book Antiqua" w:hAnsi="Book Antiqua"/>
          <w:lang w:eastAsia="zh-CN"/>
        </w:rPr>
      </w:pPr>
    </w:p>
    <w:p w14:paraId="30D77355" w14:textId="77777777" w:rsidR="00DE06B0" w:rsidRDefault="00DE06B0" w:rsidP="00DE06B0">
      <w:pPr>
        <w:jc w:val="center"/>
        <w:rPr>
          <w:rFonts w:ascii="Book Antiqua" w:hAnsi="Book Antiqua"/>
          <w:lang w:eastAsia="zh-CN"/>
        </w:rPr>
      </w:pPr>
    </w:p>
    <w:p w14:paraId="54705480" w14:textId="77777777" w:rsidR="00DE06B0" w:rsidRDefault="00DE06B0" w:rsidP="00DE06B0">
      <w:pPr>
        <w:jc w:val="center"/>
        <w:rPr>
          <w:rFonts w:ascii="Book Antiqua" w:hAnsi="Book Antiqua"/>
          <w:lang w:eastAsia="zh-CN"/>
        </w:rPr>
      </w:pPr>
    </w:p>
    <w:p w14:paraId="74669D6B" w14:textId="77777777" w:rsidR="00DE06B0" w:rsidRPr="00763D22" w:rsidRDefault="00DE06B0" w:rsidP="00DE06B0">
      <w:pPr>
        <w:jc w:val="right"/>
        <w:rPr>
          <w:rFonts w:ascii="Book Antiqua" w:hAnsi="Book Antiqua"/>
          <w:color w:val="000000" w:themeColor="text1"/>
          <w:lang w:eastAsia="zh-CN"/>
        </w:rPr>
      </w:pPr>
    </w:p>
    <w:p w14:paraId="1FB219CB" w14:textId="77777777" w:rsidR="00DE06B0" w:rsidRPr="00763D22" w:rsidRDefault="00DE06B0" w:rsidP="00DE06B0">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7"/>
      <w:bookmarkEnd w:id="8"/>
    </w:p>
    <w:p w14:paraId="30E9C53F" w14:textId="77777777" w:rsidR="00A77B3E" w:rsidRPr="00DE06B0" w:rsidRDefault="00A77B3E">
      <w:pPr>
        <w:spacing w:line="360" w:lineRule="auto"/>
        <w:jc w:val="both"/>
        <w:rPr>
          <w:lang w:eastAsia="zh-CN"/>
        </w:rPr>
      </w:pPr>
      <w:bookmarkStart w:id="9" w:name="_GoBack"/>
      <w:bookmarkEnd w:id="9"/>
    </w:p>
    <w:sectPr w:rsidR="00A77B3E" w:rsidRPr="00DE06B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216586" w14:textId="77777777" w:rsidR="004C7BEC" w:rsidRDefault="004C7BEC" w:rsidP="006D7E04">
      <w:r>
        <w:separator/>
      </w:r>
    </w:p>
  </w:endnote>
  <w:endnote w:type="continuationSeparator" w:id="0">
    <w:p w14:paraId="36B24F42" w14:textId="77777777" w:rsidR="004C7BEC" w:rsidRDefault="004C7BEC" w:rsidP="006D7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Regular">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358283"/>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349A6462" w14:textId="77777777" w:rsidR="006D7E04" w:rsidRPr="006D7E04" w:rsidRDefault="006D7E04" w:rsidP="006D7E04">
            <w:pPr>
              <w:pStyle w:val="a9"/>
              <w:jc w:val="right"/>
              <w:rPr>
                <w:rFonts w:ascii="Book Antiqua" w:hAnsi="Book Antiqua"/>
                <w:sz w:val="24"/>
                <w:szCs w:val="24"/>
              </w:rPr>
            </w:pPr>
            <w:r w:rsidRPr="006D7E04">
              <w:rPr>
                <w:rFonts w:ascii="Book Antiqua" w:hAnsi="Book Antiqua"/>
                <w:sz w:val="24"/>
                <w:szCs w:val="24"/>
                <w:lang w:val="zh-CN" w:eastAsia="zh-CN"/>
              </w:rPr>
              <w:t xml:space="preserve"> </w:t>
            </w:r>
            <w:r w:rsidRPr="006D7E04">
              <w:rPr>
                <w:rFonts w:ascii="Book Antiqua" w:hAnsi="Book Antiqua"/>
                <w:bCs/>
                <w:sz w:val="24"/>
                <w:szCs w:val="24"/>
              </w:rPr>
              <w:fldChar w:fldCharType="begin"/>
            </w:r>
            <w:r w:rsidRPr="006D7E04">
              <w:rPr>
                <w:rFonts w:ascii="Book Antiqua" w:hAnsi="Book Antiqua"/>
                <w:bCs/>
                <w:sz w:val="24"/>
                <w:szCs w:val="24"/>
              </w:rPr>
              <w:instrText>PAGE</w:instrText>
            </w:r>
            <w:r w:rsidRPr="006D7E04">
              <w:rPr>
                <w:rFonts w:ascii="Book Antiqua" w:hAnsi="Book Antiqua"/>
                <w:bCs/>
                <w:sz w:val="24"/>
                <w:szCs w:val="24"/>
              </w:rPr>
              <w:fldChar w:fldCharType="separate"/>
            </w:r>
            <w:r w:rsidR="004C7BEC">
              <w:rPr>
                <w:rFonts w:ascii="Book Antiqua" w:hAnsi="Book Antiqua"/>
                <w:bCs/>
                <w:noProof/>
                <w:sz w:val="24"/>
                <w:szCs w:val="24"/>
              </w:rPr>
              <w:t>1</w:t>
            </w:r>
            <w:r w:rsidRPr="006D7E04">
              <w:rPr>
                <w:rFonts w:ascii="Book Antiqua" w:hAnsi="Book Antiqua"/>
                <w:bCs/>
                <w:sz w:val="24"/>
                <w:szCs w:val="24"/>
              </w:rPr>
              <w:fldChar w:fldCharType="end"/>
            </w:r>
            <w:r w:rsidRPr="006D7E04">
              <w:rPr>
                <w:rFonts w:ascii="Book Antiqua" w:hAnsi="Book Antiqua"/>
                <w:sz w:val="24"/>
                <w:szCs w:val="24"/>
                <w:lang w:val="zh-CN" w:eastAsia="zh-CN"/>
              </w:rPr>
              <w:t xml:space="preserve"> / </w:t>
            </w:r>
            <w:r w:rsidRPr="006D7E04">
              <w:rPr>
                <w:rFonts w:ascii="Book Antiqua" w:hAnsi="Book Antiqua"/>
                <w:bCs/>
                <w:sz w:val="24"/>
                <w:szCs w:val="24"/>
              </w:rPr>
              <w:fldChar w:fldCharType="begin"/>
            </w:r>
            <w:r w:rsidRPr="006D7E04">
              <w:rPr>
                <w:rFonts w:ascii="Book Antiqua" w:hAnsi="Book Antiqua"/>
                <w:bCs/>
                <w:sz w:val="24"/>
                <w:szCs w:val="24"/>
              </w:rPr>
              <w:instrText>NUMPAGES</w:instrText>
            </w:r>
            <w:r w:rsidRPr="006D7E04">
              <w:rPr>
                <w:rFonts w:ascii="Book Antiqua" w:hAnsi="Book Antiqua"/>
                <w:bCs/>
                <w:sz w:val="24"/>
                <w:szCs w:val="24"/>
              </w:rPr>
              <w:fldChar w:fldCharType="separate"/>
            </w:r>
            <w:r w:rsidR="004C7BEC">
              <w:rPr>
                <w:rFonts w:ascii="Book Antiqua" w:hAnsi="Book Antiqua"/>
                <w:bCs/>
                <w:noProof/>
                <w:sz w:val="24"/>
                <w:szCs w:val="24"/>
              </w:rPr>
              <w:t>1</w:t>
            </w:r>
            <w:r w:rsidRPr="006D7E04">
              <w:rPr>
                <w:rFonts w:ascii="Book Antiqua" w:hAnsi="Book Antiqua"/>
                <w:bCs/>
                <w:sz w:val="24"/>
                <w:szCs w:val="24"/>
              </w:rPr>
              <w:fldChar w:fldCharType="end"/>
            </w:r>
          </w:p>
        </w:sdtContent>
      </w:sdt>
    </w:sdtContent>
  </w:sdt>
  <w:p w14:paraId="2209D161" w14:textId="77777777" w:rsidR="006D7E04" w:rsidRPr="006D7E04" w:rsidRDefault="006D7E04" w:rsidP="006D7E04">
    <w:pPr>
      <w:pStyle w:val="a9"/>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9B6BA7" w14:textId="77777777" w:rsidR="004C7BEC" w:rsidRDefault="004C7BEC" w:rsidP="006D7E04">
      <w:r>
        <w:separator/>
      </w:r>
    </w:p>
  </w:footnote>
  <w:footnote w:type="continuationSeparator" w:id="0">
    <w:p w14:paraId="3CBB1DCB" w14:textId="77777777" w:rsidR="004C7BEC" w:rsidRDefault="004C7BEC" w:rsidP="006D7E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285"/>
    <w:rsid w:val="000314B5"/>
    <w:rsid w:val="00066C9C"/>
    <w:rsid w:val="001866C5"/>
    <w:rsid w:val="001A23D5"/>
    <w:rsid w:val="002E7A9E"/>
    <w:rsid w:val="0032266B"/>
    <w:rsid w:val="00377595"/>
    <w:rsid w:val="003E3C7E"/>
    <w:rsid w:val="004C7BEC"/>
    <w:rsid w:val="00500705"/>
    <w:rsid w:val="00571AC8"/>
    <w:rsid w:val="005B4A1D"/>
    <w:rsid w:val="00602F41"/>
    <w:rsid w:val="0061779D"/>
    <w:rsid w:val="00642C77"/>
    <w:rsid w:val="00647059"/>
    <w:rsid w:val="006A5203"/>
    <w:rsid w:val="006D7E04"/>
    <w:rsid w:val="00701FCA"/>
    <w:rsid w:val="00737A4D"/>
    <w:rsid w:val="007B12A9"/>
    <w:rsid w:val="007B43ED"/>
    <w:rsid w:val="007C1CC7"/>
    <w:rsid w:val="007F54A2"/>
    <w:rsid w:val="009606A7"/>
    <w:rsid w:val="00A77B3E"/>
    <w:rsid w:val="00A83250"/>
    <w:rsid w:val="00A85C22"/>
    <w:rsid w:val="00B95CCD"/>
    <w:rsid w:val="00BB52CB"/>
    <w:rsid w:val="00CA2A55"/>
    <w:rsid w:val="00D07C30"/>
    <w:rsid w:val="00DB0D70"/>
    <w:rsid w:val="00DE06B0"/>
    <w:rsid w:val="00E97A81"/>
    <w:rsid w:val="00EC555F"/>
    <w:rsid w:val="00F054FC"/>
    <w:rsid w:val="00F3504F"/>
    <w:rsid w:val="00F8242A"/>
    <w:rsid w:val="00F977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F31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55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1779D"/>
    <w:rPr>
      <w:sz w:val="21"/>
      <w:szCs w:val="21"/>
    </w:rPr>
  </w:style>
  <w:style w:type="paragraph" w:styleId="a4">
    <w:name w:val="annotation text"/>
    <w:basedOn w:val="a"/>
    <w:link w:val="Char"/>
    <w:rsid w:val="0061779D"/>
  </w:style>
  <w:style w:type="character" w:customStyle="1" w:styleId="Char">
    <w:name w:val="批注文字 Char"/>
    <w:basedOn w:val="a0"/>
    <w:link w:val="a4"/>
    <w:rsid w:val="0061779D"/>
    <w:rPr>
      <w:sz w:val="24"/>
      <w:szCs w:val="24"/>
    </w:rPr>
  </w:style>
  <w:style w:type="paragraph" w:styleId="a5">
    <w:name w:val="annotation subject"/>
    <w:basedOn w:val="a4"/>
    <w:next w:val="a4"/>
    <w:link w:val="Char0"/>
    <w:rsid w:val="0061779D"/>
    <w:rPr>
      <w:b/>
      <w:bCs/>
    </w:rPr>
  </w:style>
  <w:style w:type="character" w:customStyle="1" w:styleId="Char0">
    <w:name w:val="批注主题 Char"/>
    <w:basedOn w:val="Char"/>
    <w:link w:val="a5"/>
    <w:rsid w:val="0061779D"/>
    <w:rPr>
      <w:b/>
      <w:bCs/>
      <w:sz w:val="24"/>
      <w:szCs w:val="24"/>
    </w:rPr>
  </w:style>
  <w:style w:type="paragraph" w:styleId="a6">
    <w:name w:val="Balloon Text"/>
    <w:basedOn w:val="a"/>
    <w:link w:val="Char1"/>
    <w:rsid w:val="0061779D"/>
    <w:rPr>
      <w:sz w:val="18"/>
      <w:szCs w:val="18"/>
    </w:rPr>
  </w:style>
  <w:style w:type="character" w:customStyle="1" w:styleId="Char1">
    <w:name w:val="批注框文本 Char"/>
    <w:basedOn w:val="a0"/>
    <w:link w:val="a6"/>
    <w:rsid w:val="0061779D"/>
    <w:rPr>
      <w:sz w:val="18"/>
      <w:szCs w:val="18"/>
    </w:rPr>
  </w:style>
  <w:style w:type="table" w:styleId="a7">
    <w:name w:val="Table Grid"/>
    <w:basedOn w:val="a1"/>
    <w:rsid w:val="001A23D5"/>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2"/>
    <w:rsid w:val="006D7E0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6D7E04"/>
    <w:rPr>
      <w:sz w:val="18"/>
      <w:szCs w:val="18"/>
    </w:rPr>
  </w:style>
  <w:style w:type="paragraph" w:styleId="a9">
    <w:name w:val="footer"/>
    <w:basedOn w:val="a"/>
    <w:link w:val="Char3"/>
    <w:uiPriority w:val="99"/>
    <w:rsid w:val="006D7E04"/>
    <w:pPr>
      <w:tabs>
        <w:tab w:val="center" w:pos="4153"/>
        <w:tab w:val="right" w:pos="8306"/>
      </w:tabs>
      <w:snapToGrid w:val="0"/>
    </w:pPr>
    <w:rPr>
      <w:sz w:val="18"/>
      <w:szCs w:val="18"/>
    </w:rPr>
  </w:style>
  <w:style w:type="character" w:customStyle="1" w:styleId="Char3">
    <w:name w:val="页脚 Char"/>
    <w:basedOn w:val="a0"/>
    <w:link w:val="a9"/>
    <w:uiPriority w:val="99"/>
    <w:rsid w:val="006D7E04"/>
    <w:rPr>
      <w:sz w:val="18"/>
      <w:szCs w:val="18"/>
    </w:rPr>
  </w:style>
  <w:style w:type="character" w:styleId="aa">
    <w:name w:val="Hyperlink"/>
    <w:basedOn w:val="a0"/>
    <w:unhideWhenUsed/>
    <w:rsid w:val="00642C7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55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1779D"/>
    <w:rPr>
      <w:sz w:val="21"/>
      <w:szCs w:val="21"/>
    </w:rPr>
  </w:style>
  <w:style w:type="paragraph" w:styleId="a4">
    <w:name w:val="annotation text"/>
    <w:basedOn w:val="a"/>
    <w:link w:val="Char"/>
    <w:rsid w:val="0061779D"/>
  </w:style>
  <w:style w:type="character" w:customStyle="1" w:styleId="Char">
    <w:name w:val="批注文字 Char"/>
    <w:basedOn w:val="a0"/>
    <w:link w:val="a4"/>
    <w:rsid w:val="0061779D"/>
    <w:rPr>
      <w:sz w:val="24"/>
      <w:szCs w:val="24"/>
    </w:rPr>
  </w:style>
  <w:style w:type="paragraph" w:styleId="a5">
    <w:name w:val="annotation subject"/>
    <w:basedOn w:val="a4"/>
    <w:next w:val="a4"/>
    <w:link w:val="Char0"/>
    <w:rsid w:val="0061779D"/>
    <w:rPr>
      <w:b/>
      <w:bCs/>
    </w:rPr>
  </w:style>
  <w:style w:type="character" w:customStyle="1" w:styleId="Char0">
    <w:name w:val="批注主题 Char"/>
    <w:basedOn w:val="Char"/>
    <w:link w:val="a5"/>
    <w:rsid w:val="0061779D"/>
    <w:rPr>
      <w:b/>
      <w:bCs/>
      <w:sz w:val="24"/>
      <w:szCs w:val="24"/>
    </w:rPr>
  </w:style>
  <w:style w:type="paragraph" w:styleId="a6">
    <w:name w:val="Balloon Text"/>
    <w:basedOn w:val="a"/>
    <w:link w:val="Char1"/>
    <w:rsid w:val="0061779D"/>
    <w:rPr>
      <w:sz w:val="18"/>
      <w:szCs w:val="18"/>
    </w:rPr>
  </w:style>
  <w:style w:type="character" w:customStyle="1" w:styleId="Char1">
    <w:name w:val="批注框文本 Char"/>
    <w:basedOn w:val="a0"/>
    <w:link w:val="a6"/>
    <w:rsid w:val="0061779D"/>
    <w:rPr>
      <w:sz w:val="18"/>
      <w:szCs w:val="18"/>
    </w:rPr>
  </w:style>
  <w:style w:type="table" w:styleId="a7">
    <w:name w:val="Table Grid"/>
    <w:basedOn w:val="a1"/>
    <w:rsid w:val="001A23D5"/>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2"/>
    <w:rsid w:val="006D7E0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6D7E04"/>
    <w:rPr>
      <w:sz w:val="18"/>
      <w:szCs w:val="18"/>
    </w:rPr>
  </w:style>
  <w:style w:type="paragraph" w:styleId="a9">
    <w:name w:val="footer"/>
    <w:basedOn w:val="a"/>
    <w:link w:val="Char3"/>
    <w:uiPriority w:val="99"/>
    <w:rsid w:val="006D7E04"/>
    <w:pPr>
      <w:tabs>
        <w:tab w:val="center" w:pos="4153"/>
        <w:tab w:val="right" w:pos="8306"/>
      </w:tabs>
      <w:snapToGrid w:val="0"/>
    </w:pPr>
    <w:rPr>
      <w:sz w:val="18"/>
      <w:szCs w:val="18"/>
    </w:rPr>
  </w:style>
  <w:style w:type="character" w:customStyle="1" w:styleId="Char3">
    <w:name w:val="页脚 Char"/>
    <w:basedOn w:val="a0"/>
    <w:link w:val="a9"/>
    <w:uiPriority w:val="99"/>
    <w:rsid w:val="006D7E04"/>
    <w:rPr>
      <w:sz w:val="18"/>
      <w:szCs w:val="18"/>
    </w:rPr>
  </w:style>
  <w:style w:type="character" w:styleId="aa">
    <w:name w:val="Hyperlink"/>
    <w:basedOn w:val="a0"/>
    <w:unhideWhenUsed/>
    <w:rsid w:val="00642C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491160">
      <w:bodyDiv w:val="1"/>
      <w:marLeft w:val="0"/>
      <w:marRight w:val="0"/>
      <w:marTop w:val="0"/>
      <w:marBottom w:val="0"/>
      <w:divBdr>
        <w:top w:val="none" w:sz="0" w:space="0" w:color="auto"/>
        <w:left w:val="none" w:sz="0" w:space="0" w:color="auto"/>
        <w:bottom w:val="none" w:sz="0" w:space="0" w:color="auto"/>
        <w:right w:val="none" w:sz="0" w:space="0" w:color="auto"/>
      </w:divBdr>
    </w:div>
    <w:div w:id="1332563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3387</Words>
  <Characters>19309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22651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liujihong2008@qq.con</cp:lastModifiedBy>
  <cp:revision>6</cp:revision>
  <dcterms:created xsi:type="dcterms:W3CDTF">2021-09-12T14:31:00Z</dcterms:created>
  <dcterms:modified xsi:type="dcterms:W3CDTF">2021-09-14T04:28:00Z</dcterms:modified>
</cp:coreProperties>
</file>