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CF6B"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Name of Journal: </w:t>
      </w:r>
      <w:r w:rsidRPr="00231E72">
        <w:rPr>
          <w:rFonts w:ascii="Book Antiqua" w:eastAsia="Book Antiqua" w:hAnsi="Book Antiqua" w:cs="Book Antiqua"/>
          <w:i/>
          <w:color w:val="000000"/>
        </w:rPr>
        <w:t>World Journal of Clinical Cases</w:t>
      </w:r>
    </w:p>
    <w:p w14:paraId="364F04C7"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Manuscript NO: </w:t>
      </w:r>
      <w:r w:rsidRPr="00231E72">
        <w:rPr>
          <w:rFonts w:ascii="Book Antiqua" w:eastAsia="Book Antiqua" w:hAnsi="Book Antiqua" w:cs="Book Antiqua"/>
          <w:color w:val="000000"/>
        </w:rPr>
        <w:t>61651</w:t>
      </w:r>
    </w:p>
    <w:p w14:paraId="10771605"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Manuscript Type: </w:t>
      </w:r>
      <w:r w:rsidRPr="00231E72">
        <w:rPr>
          <w:rFonts w:ascii="Book Antiqua" w:eastAsia="Book Antiqua" w:hAnsi="Book Antiqua" w:cs="Book Antiqua"/>
          <w:color w:val="000000"/>
        </w:rPr>
        <w:t>CASE REPORT</w:t>
      </w:r>
    </w:p>
    <w:p w14:paraId="43947B7C" w14:textId="77777777" w:rsidR="00A77B3E" w:rsidRPr="00231E72" w:rsidRDefault="00A77B3E" w:rsidP="00F142BD">
      <w:pPr>
        <w:spacing w:line="360" w:lineRule="auto"/>
        <w:jc w:val="both"/>
        <w:rPr>
          <w:rFonts w:ascii="Book Antiqua" w:hAnsi="Book Antiqua"/>
        </w:rPr>
      </w:pPr>
    </w:p>
    <w:p w14:paraId="32520A55" w14:textId="5052C6C3" w:rsidR="00A77B3E" w:rsidRPr="00231E72" w:rsidRDefault="006748EB" w:rsidP="00F142BD">
      <w:pPr>
        <w:spacing w:line="360" w:lineRule="auto"/>
        <w:jc w:val="both"/>
        <w:rPr>
          <w:rFonts w:ascii="Book Antiqua" w:hAnsi="Book Antiqua"/>
          <w:lang w:eastAsia="zh-CN"/>
        </w:rPr>
      </w:pPr>
      <w:bookmarkStart w:id="0" w:name="OLE_LINK41"/>
      <w:bookmarkStart w:id="1" w:name="OLE_LINK42"/>
      <w:r w:rsidRPr="00231E72">
        <w:rPr>
          <w:rFonts w:ascii="Book Antiqua" w:eastAsia="Book Antiqua" w:hAnsi="Book Antiqua" w:cs="Book Antiqua"/>
          <w:b/>
          <w:color w:val="000000"/>
        </w:rPr>
        <w:t>Whole</w:t>
      </w:r>
      <w:r w:rsidR="006E1555" w:rsidRPr="00231E72">
        <w:rPr>
          <w:rFonts w:ascii="Book Antiqua" w:eastAsia="Book Antiqua" w:hAnsi="Book Antiqua" w:cs="Book Antiqua"/>
          <w:b/>
          <w:color w:val="000000"/>
        </w:rPr>
        <w:t>-</w:t>
      </w:r>
      <w:r w:rsidR="008D4159" w:rsidRPr="00231E72">
        <w:rPr>
          <w:rFonts w:ascii="Book Antiqua" w:eastAsia="Book Antiqua" w:hAnsi="Book Antiqua" w:cs="Book Antiqua"/>
          <w:b/>
          <w:color w:val="000000"/>
        </w:rPr>
        <w:t>genome amplification/preimplantation genetic testing</w:t>
      </w:r>
      <w:r w:rsidRPr="00231E72">
        <w:rPr>
          <w:rFonts w:ascii="Book Antiqua" w:eastAsia="Book Antiqua" w:hAnsi="Book Antiqua" w:cs="Book Antiqua"/>
          <w:b/>
          <w:color w:val="000000"/>
        </w:rPr>
        <w:t xml:space="preserve"> for propionic acidemi</w:t>
      </w:r>
      <w:r w:rsidR="00E75670" w:rsidRPr="00231E72">
        <w:rPr>
          <w:rFonts w:ascii="Book Antiqua" w:eastAsia="Book Antiqua" w:hAnsi="Book Antiqua" w:cs="Book Antiqua"/>
          <w:b/>
          <w:color w:val="000000"/>
        </w:rPr>
        <w:t>a</w:t>
      </w:r>
      <w:r w:rsidR="008568E5" w:rsidRPr="00231E72">
        <w:rPr>
          <w:rFonts w:ascii="Book Antiqua" w:eastAsia="Book Antiqua" w:hAnsi="Book Antiqua" w:cs="Book Antiqua"/>
          <w:b/>
          <w:color w:val="000000"/>
        </w:rPr>
        <w:t xml:space="preserve"> </w:t>
      </w:r>
      <w:r w:rsidR="008568E5" w:rsidRPr="00231E72">
        <w:rPr>
          <w:rFonts w:ascii="Book Antiqua" w:hAnsi="Book Antiqua"/>
          <w:b/>
        </w:rPr>
        <w:t>of</w:t>
      </w:r>
      <w:r w:rsidR="008568E5" w:rsidRPr="00231E72">
        <w:rPr>
          <w:rFonts w:ascii="Book Antiqua" w:hAnsi="Book Antiqua"/>
        </w:rPr>
        <w:t xml:space="preserve"> </w:t>
      </w:r>
      <w:r w:rsidRPr="00231E72">
        <w:rPr>
          <w:rFonts w:ascii="Book Antiqua" w:eastAsia="Book Antiqua" w:hAnsi="Book Antiqua" w:cs="Book Antiqua"/>
          <w:b/>
          <w:color w:val="000000"/>
        </w:rPr>
        <w:t xml:space="preserve">successful pregnancy in an obligate carrier Mexican </w:t>
      </w:r>
      <w:r w:rsidR="008D4159" w:rsidRPr="00231E72">
        <w:rPr>
          <w:rFonts w:ascii="Book Antiqua" w:eastAsia="Book Antiqua" w:hAnsi="Book Antiqua" w:cs="Book Antiqua"/>
          <w:b/>
          <w:color w:val="000000"/>
        </w:rPr>
        <w:t>couple</w:t>
      </w:r>
      <w:r w:rsidR="00E75670" w:rsidRPr="00231E72">
        <w:rPr>
          <w:rFonts w:ascii="Book Antiqua" w:hAnsi="Book Antiqua" w:cs="Book Antiqua"/>
          <w:b/>
          <w:color w:val="000000"/>
          <w:lang w:eastAsia="zh-CN"/>
        </w:rPr>
        <w:t>: A</w:t>
      </w:r>
      <w:r w:rsidR="00E75670" w:rsidRPr="00231E72">
        <w:rPr>
          <w:rFonts w:ascii="Book Antiqua" w:eastAsia="Book Antiqua" w:hAnsi="Book Antiqua" w:cs="Book Antiqua"/>
          <w:b/>
          <w:color w:val="000000"/>
        </w:rPr>
        <w:t xml:space="preserve"> case report</w:t>
      </w:r>
    </w:p>
    <w:bookmarkEnd w:id="0"/>
    <w:bookmarkEnd w:id="1"/>
    <w:p w14:paraId="106320E5" w14:textId="77777777" w:rsidR="00A77B3E" w:rsidRPr="00231E72" w:rsidRDefault="00A77B3E" w:rsidP="00F142BD">
      <w:pPr>
        <w:spacing w:line="360" w:lineRule="auto"/>
        <w:jc w:val="both"/>
        <w:rPr>
          <w:rFonts w:ascii="Book Antiqua" w:hAnsi="Book Antiqua"/>
        </w:rPr>
      </w:pPr>
    </w:p>
    <w:p w14:paraId="45F1A5A4" w14:textId="77777777" w:rsidR="00A77B3E" w:rsidRPr="00231E72" w:rsidRDefault="008D4159" w:rsidP="00F142BD">
      <w:pPr>
        <w:spacing w:line="360" w:lineRule="auto"/>
        <w:jc w:val="both"/>
        <w:rPr>
          <w:rFonts w:ascii="Book Antiqua" w:hAnsi="Book Antiqua"/>
          <w:lang w:val="es-MX"/>
        </w:rPr>
      </w:pPr>
      <w:bookmarkStart w:id="2" w:name="OLE_LINK10"/>
      <w:r w:rsidRPr="00231E72">
        <w:rPr>
          <w:rFonts w:ascii="Book Antiqua" w:eastAsia="Book Antiqua" w:hAnsi="Book Antiqua" w:cs="Book Antiqua"/>
          <w:color w:val="000000"/>
          <w:lang w:val="es-MX"/>
        </w:rPr>
        <w:t xml:space="preserve">Neumann </w:t>
      </w:r>
      <w:r w:rsidRPr="00231E72">
        <w:rPr>
          <w:rFonts w:ascii="Book Antiqua" w:hAnsi="Book Antiqua" w:cs="Book Antiqua"/>
          <w:color w:val="000000"/>
          <w:lang w:val="es-MX" w:eastAsia="zh-CN"/>
        </w:rPr>
        <w:t>A</w:t>
      </w:r>
      <w:bookmarkEnd w:id="2"/>
      <w:r w:rsidRPr="00231E72">
        <w:rPr>
          <w:rFonts w:ascii="Book Antiqua" w:hAnsi="Book Antiqua" w:cs="Book Antiqua"/>
          <w:i/>
          <w:color w:val="000000"/>
          <w:lang w:val="es-MX" w:eastAsia="zh-CN"/>
        </w:rPr>
        <w:t xml:space="preserve"> et a</w:t>
      </w:r>
      <w:r w:rsidRPr="00231E72">
        <w:rPr>
          <w:rFonts w:ascii="Book Antiqua" w:hAnsi="Book Antiqua" w:cs="Book Antiqua"/>
          <w:i/>
          <w:iCs/>
          <w:color w:val="000000"/>
          <w:lang w:val="es-MX" w:eastAsia="zh-CN"/>
        </w:rPr>
        <w:t>l</w:t>
      </w:r>
      <w:r w:rsidRPr="00231E72">
        <w:rPr>
          <w:rFonts w:ascii="Book Antiqua" w:hAnsi="Book Antiqua" w:cs="Book Antiqua"/>
          <w:color w:val="000000"/>
          <w:lang w:val="es-MX" w:eastAsia="zh-CN"/>
        </w:rPr>
        <w:t xml:space="preserve">. </w:t>
      </w:r>
      <w:r w:rsidR="006748EB" w:rsidRPr="00231E72">
        <w:rPr>
          <w:rFonts w:ascii="Book Antiqua" w:eastAsia="Book Antiqua" w:hAnsi="Book Antiqua" w:cs="Book Antiqua"/>
          <w:color w:val="000000"/>
          <w:lang w:val="es-MX"/>
        </w:rPr>
        <w:t>PGT-M identifies PA</w:t>
      </w:r>
    </w:p>
    <w:p w14:paraId="626C641C" w14:textId="77777777" w:rsidR="00A77B3E" w:rsidRPr="00231E72" w:rsidRDefault="00A77B3E" w:rsidP="00F142BD">
      <w:pPr>
        <w:spacing w:line="360" w:lineRule="auto"/>
        <w:jc w:val="both"/>
        <w:rPr>
          <w:rFonts w:ascii="Book Antiqua" w:hAnsi="Book Antiqua"/>
          <w:lang w:val="es-MX"/>
        </w:rPr>
      </w:pPr>
    </w:p>
    <w:p w14:paraId="734976B6" w14:textId="0C6CF714" w:rsidR="00A77B3E" w:rsidRPr="00231E72" w:rsidRDefault="006748EB" w:rsidP="00F142BD">
      <w:pPr>
        <w:spacing w:line="360" w:lineRule="auto"/>
        <w:jc w:val="both"/>
        <w:rPr>
          <w:rFonts w:ascii="Book Antiqua" w:hAnsi="Book Antiqua"/>
          <w:lang w:val="es-MX"/>
        </w:rPr>
      </w:pPr>
      <w:r w:rsidRPr="00231E72">
        <w:rPr>
          <w:rFonts w:ascii="Book Antiqua" w:eastAsia="Book Antiqua" w:hAnsi="Book Antiqua" w:cs="Book Antiqua"/>
          <w:color w:val="000000"/>
          <w:lang w:val="es-MX"/>
        </w:rPr>
        <w:t xml:space="preserve">Adina </w:t>
      </w:r>
      <w:bookmarkStart w:id="3" w:name="OLE_LINK1"/>
      <w:bookmarkStart w:id="4" w:name="OLE_LINK2"/>
      <w:r w:rsidRPr="00231E72">
        <w:rPr>
          <w:rFonts w:ascii="Book Antiqua" w:eastAsia="Book Antiqua" w:hAnsi="Book Antiqua" w:cs="Book Antiqua"/>
          <w:color w:val="000000"/>
          <w:lang w:val="es-MX"/>
        </w:rPr>
        <w:t>Neumann</w:t>
      </w:r>
      <w:bookmarkEnd w:id="3"/>
      <w:bookmarkEnd w:id="4"/>
      <w:r w:rsidRPr="00231E72">
        <w:rPr>
          <w:rFonts w:ascii="Book Antiqua" w:eastAsia="Book Antiqua" w:hAnsi="Book Antiqua" w:cs="Book Antiqua"/>
          <w:color w:val="000000"/>
          <w:lang w:val="es-MX"/>
        </w:rPr>
        <w:t xml:space="preserve">, Miguel </w:t>
      </w:r>
      <w:bookmarkStart w:id="5" w:name="OLE_LINK15"/>
      <w:bookmarkStart w:id="6" w:name="OLE_LINK16"/>
      <w:r w:rsidR="00240E94" w:rsidRPr="00231E72">
        <w:rPr>
          <w:rFonts w:ascii="Book Antiqua" w:eastAsia="Book Antiqua" w:hAnsi="Book Antiqua" w:cs="Book Antiqua"/>
          <w:color w:val="000000"/>
          <w:lang w:val="es-MX"/>
        </w:rPr>
        <w:t xml:space="preserve">Angel </w:t>
      </w:r>
      <w:r w:rsidR="006E1555" w:rsidRPr="00231E72">
        <w:rPr>
          <w:rFonts w:ascii="Book Antiqua" w:eastAsia="Book Antiqua" w:hAnsi="Book Antiqua" w:cs="Book Antiqua"/>
          <w:color w:val="000000"/>
          <w:lang w:val="es-MX"/>
        </w:rPr>
        <w:t>Alcántara</w:t>
      </w:r>
      <w:r w:rsidRPr="00231E72">
        <w:rPr>
          <w:rFonts w:ascii="Book Antiqua" w:eastAsia="Book Antiqua" w:hAnsi="Book Antiqua" w:cs="Book Antiqua"/>
          <w:color w:val="000000"/>
          <w:lang w:val="es-MX"/>
        </w:rPr>
        <w:t>-Ortigoza</w:t>
      </w:r>
      <w:bookmarkEnd w:id="5"/>
      <w:bookmarkEnd w:id="6"/>
      <w:r w:rsidRPr="00231E72">
        <w:rPr>
          <w:rFonts w:ascii="Book Antiqua" w:eastAsia="Book Antiqua" w:hAnsi="Book Antiqua" w:cs="Book Antiqua"/>
          <w:color w:val="000000"/>
          <w:lang w:val="es-MX"/>
        </w:rPr>
        <w:t xml:space="preserve">, Ariadna González-del </w:t>
      </w:r>
      <w:bookmarkStart w:id="7" w:name="OLE_LINK13"/>
      <w:bookmarkStart w:id="8" w:name="OLE_LINK14"/>
      <w:r w:rsidR="005E26EF">
        <w:rPr>
          <w:rFonts w:ascii="Book Antiqua" w:eastAsia="Book Antiqua" w:hAnsi="Book Antiqua" w:cs="Book Antiqua"/>
          <w:color w:val="000000"/>
          <w:lang w:val="es-MX"/>
        </w:rPr>
        <w:t>A</w:t>
      </w:r>
      <w:r w:rsidRPr="00231E72">
        <w:rPr>
          <w:rFonts w:ascii="Book Antiqua" w:eastAsia="Book Antiqua" w:hAnsi="Book Antiqua" w:cs="Book Antiqua"/>
          <w:color w:val="000000"/>
          <w:lang w:val="es-MX"/>
        </w:rPr>
        <w:t>ngel</w:t>
      </w:r>
      <w:bookmarkEnd w:id="7"/>
      <w:bookmarkEnd w:id="8"/>
      <w:r w:rsidRPr="00231E72">
        <w:rPr>
          <w:rFonts w:ascii="Book Antiqua" w:eastAsia="Book Antiqua" w:hAnsi="Book Antiqua" w:cs="Book Antiqua"/>
          <w:color w:val="000000"/>
          <w:lang w:val="es-MX"/>
        </w:rPr>
        <w:t xml:space="preserve">, Nestor Alejandro </w:t>
      </w:r>
      <w:bookmarkStart w:id="9" w:name="OLE_LINK19"/>
      <w:bookmarkStart w:id="10" w:name="OLE_LINK20"/>
      <w:r w:rsidRPr="00231E72">
        <w:rPr>
          <w:rFonts w:ascii="Book Antiqua" w:eastAsia="Book Antiqua" w:hAnsi="Book Antiqua" w:cs="Book Antiqua"/>
          <w:color w:val="000000"/>
          <w:lang w:val="es-MX"/>
        </w:rPr>
        <w:t>Zarate Díaz</w:t>
      </w:r>
      <w:bookmarkEnd w:id="9"/>
      <w:bookmarkEnd w:id="10"/>
      <w:r w:rsidRPr="00231E72">
        <w:rPr>
          <w:rFonts w:ascii="Book Antiqua" w:eastAsia="Book Antiqua" w:hAnsi="Book Antiqua" w:cs="Book Antiqua"/>
          <w:color w:val="000000"/>
          <w:lang w:val="es-MX"/>
        </w:rPr>
        <w:t>,</w:t>
      </w:r>
      <w:r w:rsidR="0009269B" w:rsidRPr="00231E72">
        <w:rPr>
          <w:rFonts w:ascii="Book Antiqua" w:eastAsia="Book Antiqua" w:hAnsi="Book Antiqua" w:cs="Book Antiqua"/>
          <w:color w:val="000000"/>
          <w:lang w:val="es-MX"/>
        </w:rPr>
        <w:t xml:space="preserve"> Javier Sam </w:t>
      </w:r>
      <w:bookmarkStart w:id="11" w:name="OLE_LINK17"/>
      <w:bookmarkStart w:id="12" w:name="OLE_LINK18"/>
      <w:r w:rsidR="0009269B" w:rsidRPr="00231E72">
        <w:rPr>
          <w:rFonts w:ascii="Book Antiqua" w:eastAsia="Book Antiqua" w:hAnsi="Book Antiqua" w:cs="Book Antiqua"/>
          <w:color w:val="000000"/>
          <w:lang w:val="es-MX"/>
        </w:rPr>
        <w:t>Santana</w:t>
      </w:r>
      <w:bookmarkEnd w:id="11"/>
      <w:bookmarkEnd w:id="12"/>
      <w:r w:rsidR="0009269B" w:rsidRPr="00231E72">
        <w:rPr>
          <w:rFonts w:ascii="Book Antiqua" w:eastAsia="Book Antiqua" w:hAnsi="Book Antiqua" w:cs="Book Antiqua"/>
          <w:color w:val="000000"/>
          <w:lang w:val="es-MX"/>
        </w:rPr>
        <w:t>, Leonardo M</w:t>
      </w:r>
      <w:r w:rsidRPr="00231E72">
        <w:rPr>
          <w:rFonts w:ascii="Book Antiqua" w:eastAsia="Book Antiqua" w:hAnsi="Book Antiqua" w:cs="Book Antiqua"/>
          <w:color w:val="000000"/>
          <w:lang w:val="es-MX"/>
        </w:rPr>
        <w:t xml:space="preserve"> </w:t>
      </w:r>
      <w:bookmarkStart w:id="13" w:name="OLE_LINK35"/>
      <w:r w:rsidRPr="00231E72">
        <w:rPr>
          <w:rFonts w:ascii="Book Antiqua" w:eastAsia="Book Antiqua" w:hAnsi="Book Antiqua" w:cs="Book Antiqua"/>
          <w:color w:val="000000"/>
          <w:lang w:val="es-MX"/>
        </w:rPr>
        <w:t>Porchia</w:t>
      </w:r>
      <w:bookmarkEnd w:id="13"/>
      <w:r w:rsidRPr="00231E72">
        <w:rPr>
          <w:rFonts w:ascii="Book Antiqua" w:eastAsia="Book Antiqua" w:hAnsi="Book Antiqua" w:cs="Book Antiqua"/>
          <w:color w:val="000000"/>
          <w:lang w:val="es-MX"/>
        </w:rPr>
        <w:t xml:space="preserve">, Esther </w:t>
      </w:r>
      <w:bookmarkStart w:id="14" w:name="OLE_LINK11"/>
      <w:r w:rsidRPr="00231E72">
        <w:rPr>
          <w:rFonts w:ascii="Book Antiqua" w:eastAsia="Book Antiqua" w:hAnsi="Book Antiqua" w:cs="Book Antiqua"/>
          <w:color w:val="000000"/>
          <w:lang w:val="es-MX"/>
        </w:rPr>
        <w:t>López-Bayghen</w:t>
      </w:r>
      <w:bookmarkEnd w:id="14"/>
    </w:p>
    <w:p w14:paraId="645C1D93" w14:textId="77777777" w:rsidR="00A77B3E" w:rsidRPr="00231E72" w:rsidRDefault="00A77B3E" w:rsidP="00F142BD">
      <w:pPr>
        <w:spacing w:line="360" w:lineRule="auto"/>
        <w:jc w:val="both"/>
        <w:rPr>
          <w:rFonts w:ascii="Book Antiqua" w:hAnsi="Book Antiqua"/>
          <w:lang w:val="es-MX"/>
        </w:rPr>
      </w:pPr>
    </w:p>
    <w:p w14:paraId="3CE77B2D" w14:textId="77777777" w:rsidR="00A77B3E" w:rsidRPr="00231E72" w:rsidRDefault="006748EB" w:rsidP="00F142BD">
      <w:pPr>
        <w:spacing w:line="360" w:lineRule="auto"/>
        <w:jc w:val="both"/>
        <w:rPr>
          <w:rFonts w:ascii="Book Antiqua" w:hAnsi="Book Antiqua"/>
          <w:lang w:val="es-MX"/>
        </w:rPr>
      </w:pPr>
      <w:r w:rsidRPr="00231E72">
        <w:rPr>
          <w:rFonts w:ascii="Book Antiqua" w:eastAsia="Book Antiqua" w:hAnsi="Book Antiqua" w:cs="Book Antiqua"/>
          <w:b/>
          <w:bCs/>
          <w:color w:val="000000"/>
          <w:lang w:val="es-MX"/>
        </w:rPr>
        <w:t xml:space="preserve">Adina Neumann, </w:t>
      </w:r>
      <w:r w:rsidRPr="00231E72">
        <w:rPr>
          <w:rFonts w:ascii="Book Antiqua" w:eastAsia="Book Antiqua" w:hAnsi="Book Antiqua" w:cs="Book Antiqua"/>
          <w:color w:val="000000"/>
          <w:lang w:val="es-MX"/>
        </w:rPr>
        <w:t>Laboratorio de Investigación y</w:t>
      </w:r>
      <w:r w:rsidR="008D4159" w:rsidRPr="00231E72">
        <w:rPr>
          <w:rFonts w:ascii="Book Antiqua" w:eastAsia="Book Antiqua" w:hAnsi="Book Antiqua" w:cs="Book Antiqua"/>
          <w:color w:val="000000"/>
          <w:lang w:val="es-MX"/>
        </w:rPr>
        <w:t xml:space="preserve"> Diagnóstico Molecular, Ingenes</w:t>
      </w:r>
      <w:r w:rsidRPr="00231E72">
        <w:rPr>
          <w:rFonts w:ascii="Book Antiqua" w:eastAsia="Book Antiqua" w:hAnsi="Book Antiqua" w:cs="Book Antiqua"/>
          <w:color w:val="000000"/>
          <w:lang w:val="es-MX"/>
        </w:rPr>
        <w:t xml:space="preserve">, </w:t>
      </w:r>
      <w:bookmarkStart w:id="15" w:name="OLE_LINK6"/>
      <w:bookmarkStart w:id="16" w:name="OLE_LINK7"/>
      <w:r w:rsidRPr="00231E72">
        <w:rPr>
          <w:rFonts w:ascii="Book Antiqua" w:eastAsia="Book Antiqua" w:hAnsi="Book Antiqua" w:cs="Book Antiqua"/>
          <w:color w:val="000000"/>
          <w:lang w:val="es-MX"/>
        </w:rPr>
        <w:t>Mexico City</w:t>
      </w:r>
      <w:bookmarkEnd w:id="15"/>
      <w:bookmarkEnd w:id="16"/>
      <w:r w:rsidRPr="00231E72">
        <w:rPr>
          <w:rFonts w:ascii="Book Antiqua" w:eastAsia="Book Antiqua" w:hAnsi="Book Antiqua" w:cs="Book Antiqua"/>
          <w:color w:val="000000"/>
          <w:lang w:val="es-MX"/>
        </w:rPr>
        <w:t xml:space="preserve"> 05320, Mexico</w:t>
      </w:r>
    </w:p>
    <w:p w14:paraId="176D40F8" w14:textId="77777777" w:rsidR="00A77B3E" w:rsidRPr="00231E72" w:rsidRDefault="00A77B3E" w:rsidP="00F142BD">
      <w:pPr>
        <w:spacing w:line="360" w:lineRule="auto"/>
        <w:jc w:val="both"/>
        <w:rPr>
          <w:rFonts w:ascii="Book Antiqua" w:hAnsi="Book Antiqua"/>
          <w:lang w:val="es-MX"/>
        </w:rPr>
      </w:pPr>
    </w:p>
    <w:p w14:paraId="556238D8" w14:textId="66686BD0" w:rsidR="00A77B3E" w:rsidRPr="00231E72" w:rsidRDefault="006748EB" w:rsidP="00F142BD">
      <w:pPr>
        <w:spacing w:line="360" w:lineRule="auto"/>
        <w:jc w:val="both"/>
        <w:rPr>
          <w:rFonts w:ascii="Book Antiqua" w:eastAsia="Book Antiqua" w:hAnsi="Book Antiqua" w:cs="Book Antiqua"/>
          <w:color w:val="000000"/>
          <w:lang w:val="es-MX"/>
        </w:rPr>
      </w:pPr>
      <w:r w:rsidRPr="00231E72">
        <w:rPr>
          <w:rFonts w:ascii="Book Antiqua" w:eastAsia="Book Antiqua" w:hAnsi="Book Antiqua" w:cs="Book Antiqua"/>
          <w:b/>
          <w:bCs/>
          <w:color w:val="000000"/>
          <w:lang w:val="es-MX"/>
        </w:rPr>
        <w:t xml:space="preserve">Miguel </w:t>
      </w:r>
      <w:r w:rsidR="005E26EF">
        <w:rPr>
          <w:rFonts w:ascii="Book Antiqua" w:eastAsia="Book Antiqua" w:hAnsi="Book Antiqua" w:cs="Book Antiqua"/>
          <w:b/>
          <w:bCs/>
          <w:color w:val="000000"/>
          <w:lang w:val="es-MX"/>
        </w:rPr>
        <w:t>A</w:t>
      </w:r>
      <w:r w:rsidR="00B97958" w:rsidRPr="00B97958">
        <w:rPr>
          <w:rFonts w:ascii="Book Antiqua" w:eastAsia="Book Antiqua" w:hAnsi="Book Antiqua" w:cs="Book Antiqua"/>
          <w:b/>
          <w:bCs/>
          <w:color w:val="000000"/>
          <w:lang w:val="es-MX"/>
        </w:rPr>
        <w:t>ngel</w:t>
      </w:r>
      <w:r w:rsidR="00240E94" w:rsidRPr="00231E72">
        <w:rPr>
          <w:rFonts w:ascii="Book Antiqua" w:eastAsia="Book Antiqua" w:hAnsi="Book Antiqua" w:cs="Book Antiqua"/>
          <w:b/>
          <w:bCs/>
          <w:color w:val="000000"/>
          <w:lang w:val="es-MX"/>
        </w:rPr>
        <w:t xml:space="preserve"> </w:t>
      </w:r>
      <w:r w:rsidRPr="00231E72">
        <w:rPr>
          <w:rFonts w:ascii="Book Antiqua" w:eastAsia="Book Antiqua" w:hAnsi="Book Antiqua" w:cs="Book Antiqua"/>
          <w:b/>
          <w:bCs/>
          <w:color w:val="000000"/>
          <w:lang w:val="es-MX"/>
        </w:rPr>
        <w:t xml:space="preserve">Alcantara-Ortigoza, </w:t>
      </w:r>
      <w:r w:rsidR="008D4159" w:rsidRPr="00231E72">
        <w:rPr>
          <w:rFonts w:ascii="Book Antiqua" w:eastAsia="Book Antiqua" w:hAnsi="Book Antiqua" w:cs="Book Antiqua"/>
          <w:b/>
          <w:bCs/>
          <w:color w:val="000000"/>
          <w:lang w:val="es-MX"/>
        </w:rPr>
        <w:t xml:space="preserve">Ariadna González-del </w:t>
      </w:r>
      <w:r w:rsidR="005E26EF">
        <w:rPr>
          <w:rFonts w:ascii="Book Antiqua" w:eastAsia="Book Antiqua" w:hAnsi="Book Antiqua" w:cs="Book Antiqua"/>
          <w:b/>
          <w:bCs/>
          <w:color w:val="000000"/>
          <w:lang w:val="es-MX"/>
        </w:rPr>
        <w:t>A</w:t>
      </w:r>
      <w:r w:rsidR="008D4159" w:rsidRPr="00231E72">
        <w:rPr>
          <w:rFonts w:ascii="Book Antiqua" w:eastAsia="Book Antiqua" w:hAnsi="Book Antiqua" w:cs="Book Antiqua"/>
          <w:b/>
          <w:bCs/>
          <w:color w:val="000000"/>
          <w:lang w:val="es-MX"/>
        </w:rPr>
        <w:t>ngel,</w:t>
      </w:r>
      <w:r w:rsidR="008D4159" w:rsidRPr="00231E72">
        <w:rPr>
          <w:rFonts w:ascii="Book Antiqua" w:hAnsi="Book Antiqua" w:cs="Book Antiqua"/>
          <w:b/>
          <w:bCs/>
          <w:color w:val="000000"/>
          <w:lang w:val="es-MX" w:eastAsia="zh-CN"/>
        </w:rPr>
        <w:t xml:space="preserve"> </w:t>
      </w:r>
      <w:r w:rsidRPr="00231E72">
        <w:rPr>
          <w:rFonts w:ascii="Book Antiqua" w:eastAsia="Book Antiqua" w:hAnsi="Book Antiqua" w:cs="Book Antiqua"/>
          <w:color w:val="000000"/>
          <w:lang w:val="es-MX"/>
        </w:rPr>
        <w:t xml:space="preserve">Laboratorio de Biología Molecular, </w:t>
      </w:r>
      <w:r w:rsidR="00312552" w:rsidRPr="00231E72">
        <w:rPr>
          <w:rFonts w:ascii="Book Antiqua" w:eastAsia="Book Antiqua" w:hAnsi="Book Antiqua" w:cs="Book Antiqua"/>
          <w:color w:val="000000"/>
          <w:lang w:val="es-MX"/>
        </w:rPr>
        <w:t>Subdirección de Investigación Médica</w:t>
      </w:r>
      <w:r w:rsidRPr="00231E72">
        <w:rPr>
          <w:rFonts w:ascii="Book Antiqua" w:eastAsia="Book Antiqua" w:hAnsi="Book Antiqua" w:cs="Book Antiqua"/>
          <w:color w:val="000000"/>
          <w:lang w:val="es-MX"/>
        </w:rPr>
        <w:t xml:space="preserve">, </w:t>
      </w:r>
      <w:bookmarkStart w:id="17" w:name="OLE_LINK3"/>
      <w:bookmarkStart w:id="18" w:name="OLE_LINK4"/>
      <w:bookmarkStart w:id="19" w:name="OLE_LINK5"/>
      <w:r w:rsidRPr="00231E72">
        <w:rPr>
          <w:rFonts w:ascii="Book Antiqua" w:eastAsia="Book Antiqua" w:hAnsi="Book Antiqua" w:cs="Book Antiqua"/>
          <w:color w:val="000000"/>
          <w:lang w:val="es-MX"/>
        </w:rPr>
        <w:t>Instituto Nacional de Pediatría</w:t>
      </w:r>
      <w:bookmarkEnd w:id="17"/>
      <w:bookmarkEnd w:id="18"/>
      <w:bookmarkEnd w:id="19"/>
      <w:r w:rsidRPr="00231E72">
        <w:rPr>
          <w:rFonts w:ascii="Book Antiqua" w:eastAsia="Book Antiqua" w:hAnsi="Book Antiqua" w:cs="Book Antiqua"/>
          <w:color w:val="000000"/>
          <w:lang w:val="es-MX"/>
        </w:rPr>
        <w:t xml:space="preserve">, </w:t>
      </w:r>
      <w:r w:rsidR="008D4159" w:rsidRPr="00231E72">
        <w:rPr>
          <w:rFonts w:ascii="Book Antiqua" w:eastAsia="Book Antiqua" w:hAnsi="Book Antiqua" w:cs="Book Antiqua"/>
          <w:color w:val="000000"/>
          <w:lang w:val="es-MX"/>
        </w:rPr>
        <w:t>Mexico City 04530</w:t>
      </w:r>
      <w:r w:rsidRPr="00231E72">
        <w:rPr>
          <w:rFonts w:ascii="Book Antiqua" w:eastAsia="Book Antiqua" w:hAnsi="Book Antiqua" w:cs="Book Antiqua"/>
          <w:color w:val="000000"/>
          <w:lang w:val="es-MX"/>
        </w:rPr>
        <w:t>, Mexico</w:t>
      </w:r>
    </w:p>
    <w:p w14:paraId="190234C1" w14:textId="77777777" w:rsidR="00F74679" w:rsidRPr="00231E72" w:rsidRDefault="00F74679" w:rsidP="00F142BD">
      <w:pPr>
        <w:spacing w:line="360" w:lineRule="auto"/>
        <w:jc w:val="both"/>
        <w:rPr>
          <w:rFonts w:ascii="Book Antiqua" w:eastAsia="Book Antiqua" w:hAnsi="Book Antiqua" w:cs="Book Antiqua"/>
          <w:color w:val="000000"/>
          <w:lang w:val="es-MX"/>
        </w:rPr>
      </w:pPr>
    </w:p>
    <w:p w14:paraId="12EE9677" w14:textId="104C39D6" w:rsidR="00312552" w:rsidRPr="00231E72" w:rsidRDefault="00F142BD" w:rsidP="00F142BD">
      <w:pPr>
        <w:spacing w:line="360" w:lineRule="auto"/>
        <w:jc w:val="both"/>
        <w:rPr>
          <w:rFonts w:ascii="Book Antiqua" w:hAnsi="Book Antiqua"/>
          <w:lang w:val="es-MX"/>
        </w:rPr>
      </w:pPr>
      <w:r w:rsidRPr="00231E72">
        <w:rPr>
          <w:rFonts w:ascii="Book Antiqua" w:eastAsia="Book Antiqua" w:hAnsi="Book Antiqua" w:cs="Book Antiqua"/>
          <w:b/>
          <w:bCs/>
          <w:color w:val="000000"/>
          <w:lang w:val="es-MX"/>
        </w:rPr>
        <w:t xml:space="preserve">Miguel </w:t>
      </w:r>
      <w:r w:rsidR="005E26EF">
        <w:rPr>
          <w:rFonts w:ascii="Book Antiqua" w:eastAsia="Book Antiqua" w:hAnsi="Book Antiqua" w:cs="Book Antiqua"/>
          <w:b/>
          <w:bCs/>
          <w:color w:val="000000"/>
          <w:lang w:val="es-MX"/>
        </w:rPr>
        <w:t>A</w:t>
      </w:r>
      <w:r w:rsidR="00B97958" w:rsidRPr="00B97958">
        <w:rPr>
          <w:rFonts w:ascii="Book Antiqua" w:eastAsia="Book Antiqua" w:hAnsi="Book Antiqua" w:cs="Book Antiqua"/>
          <w:b/>
          <w:bCs/>
          <w:color w:val="000000"/>
          <w:lang w:val="es-MX"/>
        </w:rPr>
        <w:t>ngel</w:t>
      </w:r>
      <w:r w:rsidRPr="00231E72">
        <w:rPr>
          <w:rFonts w:ascii="Book Antiqua" w:eastAsia="Book Antiqua" w:hAnsi="Book Antiqua" w:cs="Book Antiqua"/>
          <w:b/>
          <w:bCs/>
          <w:color w:val="000000"/>
          <w:lang w:val="es-MX"/>
        </w:rPr>
        <w:t xml:space="preserve"> Alcantara-Ortigoza, Ariadna González-del </w:t>
      </w:r>
      <w:r w:rsidR="005E26EF">
        <w:rPr>
          <w:rFonts w:ascii="Book Antiqua" w:eastAsia="Book Antiqua" w:hAnsi="Book Antiqua" w:cs="Book Antiqua"/>
          <w:b/>
          <w:bCs/>
          <w:color w:val="000000"/>
          <w:lang w:val="es-MX"/>
        </w:rPr>
        <w:t>A</w:t>
      </w:r>
      <w:r w:rsidRPr="00231E72">
        <w:rPr>
          <w:rFonts w:ascii="Book Antiqua" w:eastAsia="Book Antiqua" w:hAnsi="Book Antiqua" w:cs="Book Antiqua"/>
          <w:b/>
          <w:bCs/>
          <w:color w:val="000000"/>
          <w:lang w:val="es-MX"/>
        </w:rPr>
        <w:t>ngel,</w:t>
      </w:r>
      <w:r w:rsidRPr="00231E72">
        <w:rPr>
          <w:rFonts w:ascii="Book Antiqua" w:hAnsi="Book Antiqua" w:cs="Book Antiqua"/>
          <w:b/>
          <w:bCs/>
          <w:color w:val="000000"/>
          <w:lang w:val="es-MX" w:eastAsia="zh-CN"/>
        </w:rPr>
        <w:t xml:space="preserve"> </w:t>
      </w:r>
      <w:r w:rsidR="00312552" w:rsidRPr="00231E72">
        <w:rPr>
          <w:rFonts w:ascii="Book Antiqua" w:hAnsi="Book Antiqua"/>
          <w:lang w:val="es-MX"/>
        </w:rPr>
        <w:t>DNA-GEN S.C. Centro de Alta Especialidad en Genética Humana, Mexico City 14070, Mexico</w:t>
      </w:r>
    </w:p>
    <w:p w14:paraId="342B8CA3" w14:textId="77777777" w:rsidR="00A77B3E" w:rsidRPr="00231E72" w:rsidRDefault="00A77B3E" w:rsidP="00F142BD">
      <w:pPr>
        <w:spacing w:line="360" w:lineRule="auto"/>
        <w:jc w:val="both"/>
        <w:rPr>
          <w:rFonts w:ascii="Book Antiqua" w:hAnsi="Book Antiqua"/>
          <w:lang w:val="es-MX"/>
        </w:rPr>
      </w:pPr>
    </w:p>
    <w:p w14:paraId="05BF1EB6" w14:textId="77777777" w:rsidR="00A77B3E" w:rsidRPr="00231E72" w:rsidRDefault="006748EB" w:rsidP="00F142BD">
      <w:pPr>
        <w:spacing w:line="360" w:lineRule="auto"/>
        <w:jc w:val="both"/>
        <w:rPr>
          <w:rFonts w:ascii="Book Antiqua" w:hAnsi="Book Antiqua"/>
          <w:lang w:val="es-MX"/>
        </w:rPr>
      </w:pPr>
      <w:r w:rsidRPr="00231E72">
        <w:rPr>
          <w:rFonts w:ascii="Book Antiqua" w:eastAsia="Book Antiqua" w:hAnsi="Book Antiqua" w:cs="Book Antiqua"/>
          <w:b/>
          <w:bCs/>
          <w:color w:val="000000"/>
          <w:lang w:val="es-MX"/>
        </w:rPr>
        <w:t xml:space="preserve">Nestor Alejandro Zarate Díaz, Javier Sam Santana, </w:t>
      </w:r>
      <w:r w:rsidR="008D4159" w:rsidRPr="00231E72">
        <w:rPr>
          <w:rFonts w:ascii="Book Antiqua" w:eastAsia="Book Antiqua" w:hAnsi="Book Antiqua" w:cs="Book Antiqua"/>
          <w:color w:val="000000"/>
          <w:lang w:val="es-MX"/>
        </w:rPr>
        <w:t xml:space="preserve">Investigación Clínica, </w:t>
      </w:r>
      <w:bookmarkStart w:id="20" w:name="OLE_LINK8"/>
      <w:bookmarkStart w:id="21" w:name="OLE_LINK9"/>
      <w:r w:rsidR="008D4159" w:rsidRPr="00231E72">
        <w:rPr>
          <w:rFonts w:ascii="Book Antiqua" w:eastAsia="Book Antiqua" w:hAnsi="Book Antiqua" w:cs="Book Antiqua"/>
          <w:color w:val="000000"/>
          <w:lang w:val="es-MX"/>
        </w:rPr>
        <w:t>Ingenes</w:t>
      </w:r>
      <w:bookmarkEnd w:id="20"/>
      <w:bookmarkEnd w:id="21"/>
      <w:r w:rsidR="008D4159" w:rsidRPr="00231E72">
        <w:rPr>
          <w:rFonts w:ascii="Book Antiqua" w:eastAsia="Book Antiqua" w:hAnsi="Book Antiqua" w:cs="Book Antiqua"/>
          <w:color w:val="000000"/>
          <w:lang w:val="es-MX"/>
        </w:rPr>
        <w:t>, Puebla 72820</w:t>
      </w:r>
      <w:r w:rsidRPr="00231E72">
        <w:rPr>
          <w:rFonts w:ascii="Book Antiqua" w:eastAsia="Book Antiqua" w:hAnsi="Book Antiqua" w:cs="Book Antiqua"/>
          <w:color w:val="000000"/>
          <w:lang w:val="es-MX"/>
        </w:rPr>
        <w:t>, Mexico</w:t>
      </w:r>
    </w:p>
    <w:p w14:paraId="1009E943" w14:textId="77777777" w:rsidR="00A77B3E" w:rsidRPr="00231E72" w:rsidRDefault="00A77B3E" w:rsidP="00F142BD">
      <w:pPr>
        <w:spacing w:line="360" w:lineRule="auto"/>
        <w:jc w:val="both"/>
        <w:rPr>
          <w:rFonts w:ascii="Book Antiqua" w:hAnsi="Book Antiqua"/>
          <w:lang w:val="es-MX"/>
        </w:rPr>
      </w:pPr>
    </w:p>
    <w:p w14:paraId="67466B35" w14:textId="77777777" w:rsidR="00A77B3E" w:rsidRPr="00231E72" w:rsidRDefault="0009269B" w:rsidP="00F142BD">
      <w:pPr>
        <w:spacing w:line="360" w:lineRule="auto"/>
        <w:jc w:val="both"/>
        <w:rPr>
          <w:rFonts w:ascii="Book Antiqua" w:hAnsi="Book Antiqua"/>
          <w:lang w:val="es-MX"/>
        </w:rPr>
      </w:pPr>
      <w:r w:rsidRPr="00231E72">
        <w:rPr>
          <w:rFonts w:ascii="Book Antiqua" w:eastAsia="Book Antiqua" w:hAnsi="Book Antiqua" w:cs="Book Antiqua"/>
          <w:b/>
          <w:bCs/>
          <w:color w:val="000000"/>
          <w:lang w:val="es-MX"/>
        </w:rPr>
        <w:t>Leonardo M</w:t>
      </w:r>
      <w:r w:rsidR="006748EB" w:rsidRPr="00231E72">
        <w:rPr>
          <w:rFonts w:ascii="Book Antiqua" w:eastAsia="Book Antiqua" w:hAnsi="Book Antiqua" w:cs="Book Antiqua"/>
          <w:b/>
          <w:bCs/>
          <w:color w:val="000000"/>
          <w:lang w:val="es-MX"/>
        </w:rPr>
        <w:t xml:space="preserve"> Porchia, </w:t>
      </w:r>
      <w:r w:rsidR="008D4159" w:rsidRPr="00231E72">
        <w:rPr>
          <w:rFonts w:ascii="Book Antiqua" w:eastAsia="Book Antiqua" w:hAnsi="Book Antiqua" w:cs="Book Antiqua"/>
          <w:b/>
          <w:bCs/>
          <w:color w:val="000000"/>
          <w:lang w:val="es-MX"/>
        </w:rPr>
        <w:t xml:space="preserve">Esther López-Bayghen, </w:t>
      </w:r>
      <w:r w:rsidR="006748EB" w:rsidRPr="00231E72">
        <w:rPr>
          <w:rFonts w:ascii="Book Antiqua" w:eastAsia="Book Antiqua" w:hAnsi="Book Antiqua" w:cs="Book Antiqua"/>
          <w:color w:val="000000"/>
          <w:lang w:val="es-MX"/>
        </w:rPr>
        <w:t>Departamento de Toxicología, Centro de Investigación y de Estudios Avanzados del Instituto Politécnico Nacional, Mexico City 07360, Mexico</w:t>
      </w:r>
    </w:p>
    <w:p w14:paraId="138BAF1E" w14:textId="77777777" w:rsidR="00A77B3E" w:rsidRPr="00231E72" w:rsidRDefault="00A77B3E" w:rsidP="00F142BD">
      <w:pPr>
        <w:spacing w:line="360" w:lineRule="auto"/>
        <w:jc w:val="both"/>
        <w:rPr>
          <w:rFonts w:ascii="Book Antiqua" w:hAnsi="Book Antiqua"/>
          <w:lang w:val="es-MX" w:eastAsia="zh-CN"/>
        </w:rPr>
      </w:pPr>
    </w:p>
    <w:p w14:paraId="70C9C3B9" w14:textId="141136FC"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Author contributions: </w:t>
      </w:r>
      <w:r w:rsidRPr="00231E72">
        <w:rPr>
          <w:rFonts w:ascii="Book Antiqua" w:eastAsia="Book Antiqua" w:hAnsi="Book Antiqua" w:cs="Book Antiqua"/>
          <w:color w:val="000000"/>
        </w:rPr>
        <w:t xml:space="preserve">The project was conceived by </w:t>
      </w:r>
      <w:bookmarkStart w:id="22" w:name="OLE_LINK12"/>
      <w:r w:rsidR="0009269B" w:rsidRPr="00231E72">
        <w:rPr>
          <w:rFonts w:ascii="Book Antiqua" w:eastAsia="Book Antiqua" w:hAnsi="Book Antiqua" w:cs="Book Antiqua"/>
          <w:color w:val="000000"/>
        </w:rPr>
        <w:t xml:space="preserve">Neumann </w:t>
      </w:r>
      <w:r w:rsidR="0009269B" w:rsidRPr="00231E72">
        <w:rPr>
          <w:rFonts w:ascii="Book Antiqua" w:hAnsi="Book Antiqua" w:cs="Book Antiqua"/>
          <w:color w:val="000000"/>
          <w:lang w:eastAsia="zh-CN"/>
        </w:rPr>
        <w:t>A</w:t>
      </w:r>
      <w:r w:rsidR="0009269B" w:rsidRPr="00231E72">
        <w:rPr>
          <w:rFonts w:ascii="Book Antiqua" w:eastAsia="Book Antiqua" w:hAnsi="Book Antiqua" w:cs="Book Antiqua"/>
          <w:color w:val="000000"/>
        </w:rPr>
        <w:t xml:space="preserve"> </w:t>
      </w:r>
      <w:bookmarkEnd w:id="22"/>
      <w:r w:rsidRPr="00231E72">
        <w:rPr>
          <w:rFonts w:ascii="Book Antiqua" w:eastAsia="Book Antiqua" w:hAnsi="Book Antiqua" w:cs="Book Antiqua"/>
          <w:color w:val="000000"/>
        </w:rPr>
        <w:t xml:space="preserve">and </w:t>
      </w:r>
      <w:bookmarkStart w:id="23" w:name="OLE_LINK36"/>
      <w:r w:rsidR="0009269B" w:rsidRPr="00231E72">
        <w:rPr>
          <w:rFonts w:ascii="Book Antiqua" w:eastAsia="Book Antiqua" w:hAnsi="Book Antiqua" w:cs="Book Antiqua"/>
          <w:color w:val="000000"/>
        </w:rPr>
        <w:t>López-Bayghen</w:t>
      </w:r>
      <w:r w:rsidR="0009269B" w:rsidRPr="00231E72">
        <w:rPr>
          <w:rFonts w:ascii="Book Antiqua" w:hAnsi="Book Antiqua" w:cs="Book Antiqua"/>
          <w:color w:val="000000"/>
          <w:lang w:eastAsia="zh-CN"/>
        </w:rPr>
        <w:t xml:space="preserve"> E</w:t>
      </w:r>
      <w:bookmarkEnd w:id="23"/>
      <w:r w:rsidR="00C40080" w:rsidRPr="00231E72">
        <w:rPr>
          <w:rFonts w:ascii="Book Antiqua" w:hAnsi="Book Antiqua" w:cs="Book Antiqua"/>
          <w:color w:val="000000"/>
          <w:lang w:eastAsia="zh-CN"/>
        </w:rPr>
        <w:t>;</w:t>
      </w:r>
      <w:r w:rsidRPr="00231E72">
        <w:rPr>
          <w:rFonts w:ascii="Book Antiqua" w:eastAsia="Book Antiqua" w:hAnsi="Book Antiqua" w:cs="Book Antiqua"/>
          <w:color w:val="000000"/>
        </w:rPr>
        <w:t xml:space="preserve"> Data acquisition was performed by </w:t>
      </w:r>
      <w:bookmarkStart w:id="24" w:name="OLE_LINK25"/>
      <w:bookmarkStart w:id="25" w:name="OLE_LINK26"/>
      <w:bookmarkStart w:id="26" w:name="OLE_LINK33"/>
      <w:bookmarkStart w:id="27" w:name="OLE_LINK31"/>
      <w:bookmarkStart w:id="28" w:name="OLE_LINK32"/>
      <w:r w:rsidR="0009269B" w:rsidRPr="00231E72">
        <w:rPr>
          <w:rFonts w:ascii="Book Antiqua" w:eastAsia="Book Antiqua" w:hAnsi="Book Antiqua" w:cs="Book Antiqua"/>
          <w:color w:val="000000"/>
        </w:rPr>
        <w:t xml:space="preserve">Neumann </w:t>
      </w:r>
      <w:r w:rsidR="0009269B" w:rsidRPr="00231E72">
        <w:rPr>
          <w:rFonts w:ascii="Book Antiqua" w:hAnsi="Book Antiqua" w:cs="Book Antiqua"/>
          <w:color w:val="000000"/>
          <w:lang w:eastAsia="zh-CN"/>
        </w:rPr>
        <w:t>A</w:t>
      </w:r>
      <w:bookmarkEnd w:id="24"/>
      <w:bookmarkEnd w:id="25"/>
      <w:bookmarkEnd w:id="26"/>
      <w:r w:rsidR="006770BC" w:rsidRPr="00231E72">
        <w:rPr>
          <w:rFonts w:ascii="Book Antiqua" w:eastAsia="Book Antiqua" w:hAnsi="Book Antiqua" w:cs="Book Antiqua"/>
          <w:color w:val="000000"/>
        </w:rPr>
        <w:t xml:space="preserve">, </w:t>
      </w:r>
      <w:r w:rsidR="00312552" w:rsidRPr="00231E72">
        <w:rPr>
          <w:rFonts w:ascii="Book Antiqua" w:eastAsia="Book Antiqua" w:hAnsi="Book Antiqua" w:cs="Book Antiqua"/>
          <w:color w:val="000000"/>
        </w:rPr>
        <w:t>González-del Angel A</w:t>
      </w:r>
      <w:r w:rsidR="006770BC" w:rsidRPr="00231E72">
        <w:rPr>
          <w:rFonts w:ascii="Book Antiqua" w:eastAsia="Book Antiqua" w:hAnsi="Book Antiqua" w:cs="Book Antiqua"/>
          <w:color w:val="000000"/>
        </w:rPr>
        <w:t xml:space="preserve">, </w:t>
      </w:r>
      <w:bookmarkStart w:id="29" w:name="OLE_LINK23"/>
      <w:bookmarkStart w:id="30" w:name="OLE_LINK24"/>
      <w:r w:rsidR="006770BC" w:rsidRPr="00231E72">
        <w:rPr>
          <w:rFonts w:ascii="Book Antiqua" w:eastAsia="Book Antiqua" w:hAnsi="Book Antiqua" w:cs="Book Antiqua"/>
          <w:color w:val="000000"/>
        </w:rPr>
        <w:t>Alcantara-Ortigoza MA</w:t>
      </w:r>
      <w:bookmarkEnd w:id="27"/>
      <w:bookmarkEnd w:id="28"/>
      <w:bookmarkEnd w:id="29"/>
      <w:bookmarkEnd w:id="30"/>
      <w:r w:rsidRPr="00231E72">
        <w:rPr>
          <w:rFonts w:ascii="Book Antiqua" w:eastAsia="Book Antiqua" w:hAnsi="Book Antiqua" w:cs="Book Antiqua"/>
          <w:color w:val="000000"/>
        </w:rPr>
        <w:t xml:space="preserve">, </w:t>
      </w:r>
      <w:bookmarkStart w:id="31" w:name="OLE_LINK27"/>
      <w:bookmarkStart w:id="32" w:name="OLE_LINK28"/>
      <w:r w:rsidR="006770BC" w:rsidRPr="00231E72">
        <w:rPr>
          <w:rFonts w:ascii="Book Antiqua" w:eastAsia="Book Antiqua" w:hAnsi="Book Antiqua" w:cs="Book Antiqua"/>
          <w:color w:val="000000"/>
        </w:rPr>
        <w:t>Santana JS</w:t>
      </w:r>
      <w:bookmarkEnd w:id="31"/>
      <w:bookmarkEnd w:id="32"/>
      <w:r w:rsidR="006770BC" w:rsidRPr="00231E72">
        <w:rPr>
          <w:rFonts w:ascii="Book Antiqua" w:eastAsia="Book Antiqua" w:hAnsi="Book Antiqua" w:cs="Book Antiqua"/>
          <w:color w:val="000000"/>
        </w:rPr>
        <w:t xml:space="preserve"> and </w:t>
      </w:r>
      <w:bookmarkStart w:id="33" w:name="OLE_LINK29"/>
      <w:bookmarkStart w:id="34" w:name="OLE_LINK30"/>
      <w:r w:rsidR="006770BC" w:rsidRPr="00231E72">
        <w:rPr>
          <w:rFonts w:ascii="Book Antiqua" w:eastAsia="Book Antiqua" w:hAnsi="Book Antiqua" w:cs="Book Antiqua"/>
          <w:color w:val="000000"/>
        </w:rPr>
        <w:t>Zarate Díaz NA</w:t>
      </w:r>
      <w:bookmarkEnd w:id="33"/>
      <w:bookmarkEnd w:id="34"/>
      <w:r w:rsidRPr="00231E72">
        <w:rPr>
          <w:rFonts w:ascii="Book Antiqua" w:eastAsia="Book Antiqua" w:hAnsi="Book Antiqua" w:cs="Book Antiqua"/>
          <w:color w:val="000000"/>
        </w:rPr>
        <w:t>, where</w:t>
      </w:r>
      <w:r w:rsidR="006770BC" w:rsidRPr="00231E72">
        <w:rPr>
          <w:rFonts w:ascii="Book Antiqua" w:hAnsi="Book Antiqua" w:cs="Book Antiqua"/>
          <w:color w:val="000000"/>
          <w:lang w:eastAsia="zh-CN"/>
        </w:rPr>
        <w:t xml:space="preserve"> </w:t>
      </w:r>
      <w:r w:rsidR="00312552" w:rsidRPr="00231E72">
        <w:rPr>
          <w:rFonts w:ascii="Book Antiqua" w:eastAsia="Book Antiqua" w:hAnsi="Book Antiqua" w:cs="Book Antiqua"/>
          <w:color w:val="000000"/>
        </w:rPr>
        <w:t>González-del Angel A</w:t>
      </w:r>
      <w:r w:rsidR="006770BC"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and </w:t>
      </w:r>
      <w:r w:rsidR="006770BC" w:rsidRPr="00231E72">
        <w:rPr>
          <w:rFonts w:ascii="Book Antiqua" w:eastAsia="Book Antiqua" w:hAnsi="Book Antiqua" w:cs="Book Antiqua"/>
          <w:color w:val="000000"/>
        </w:rPr>
        <w:t xml:space="preserve">Alcantara-Ortigoza MA </w:t>
      </w:r>
      <w:r w:rsidRPr="00231E72">
        <w:rPr>
          <w:rFonts w:ascii="Book Antiqua" w:eastAsia="Book Antiqua" w:hAnsi="Book Antiqua" w:cs="Book Antiqua"/>
          <w:color w:val="000000"/>
        </w:rPr>
        <w:t xml:space="preserve">assessed genetic data, sequencing, and alignments, </w:t>
      </w:r>
      <w:r w:rsidR="006770BC" w:rsidRPr="00231E72">
        <w:rPr>
          <w:rFonts w:ascii="Book Antiqua" w:eastAsia="Book Antiqua" w:hAnsi="Book Antiqua" w:cs="Book Antiqua"/>
          <w:color w:val="000000"/>
        </w:rPr>
        <w:t xml:space="preserve">Neumann </w:t>
      </w:r>
      <w:r w:rsidR="006770BC" w:rsidRPr="00231E72">
        <w:rPr>
          <w:rFonts w:ascii="Book Antiqua" w:hAnsi="Book Antiqua" w:cs="Book Antiqua"/>
          <w:color w:val="000000"/>
          <w:lang w:eastAsia="zh-CN"/>
        </w:rPr>
        <w:t>A</w:t>
      </w:r>
      <w:r w:rsidR="006770BC"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collected genomic data, </w:t>
      </w:r>
      <w:r w:rsidR="006770BC" w:rsidRPr="00231E72">
        <w:rPr>
          <w:rFonts w:ascii="Book Antiqua" w:eastAsia="Book Antiqua" w:hAnsi="Book Antiqua" w:cs="Book Antiqua"/>
          <w:color w:val="000000"/>
        </w:rPr>
        <w:t xml:space="preserve">Santana JS </w:t>
      </w:r>
      <w:r w:rsidRPr="00231E72">
        <w:rPr>
          <w:rFonts w:ascii="Book Antiqua" w:eastAsia="Book Antiqua" w:hAnsi="Book Antiqua" w:cs="Book Antiqua"/>
          <w:color w:val="000000"/>
        </w:rPr>
        <w:t xml:space="preserve">and </w:t>
      </w:r>
      <w:bookmarkStart w:id="35" w:name="OLE_LINK34"/>
      <w:r w:rsidR="006770BC" w:rsidRPr="00231E72">
        <w:rPr>
          <w:rFonts w:ascii="Book Antiqua" w:eastAsia="Book Antiqua" w:hAnsi="Book Antiqua" w:cs="Book Antiqua"/>
          <w:color w:val="000000"/>
        </w:rPr>
        <w:t>Zarate Díaz NA</w:t>
      </w:r>
      <w:bookmarkEnd w:id="35"/>
      <w:r w:rsidR="006770BC"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were handling the case as the embryologist and clinician, respectively, collecting information regarding </w:t>
      </w:r>
      <w:r w:rsidR="006E1555" w:rsidRPr="00231E72">
        <w:rPr>
          <w:rFonts w:ascii="Book Antiqua" w:eastAsia="Book Antiqua" w:hAnsi="Book Antiqua" w:cs="Book Antiqua"/>
          <w:color w:val="000000"/>
        </w:rPr>
        <w:t xml:space="preserve">the </w:t>
      </w:r>
      <w:r w:rsidR="00C40080" w:rsidRPr="00231E72">
        <w:rPr>
          <w:rFonts w:ascii="Book Antiqua" w:eastAsia="Book Antiqua" w:hAnsi="Book Antiqua" w:cs="Book Antiqua"/>
          <w:color w:val="000000"/>
        </w:rPr>
        <w:t>parental history and IVF data</w:t>
      </w:r>
      <w:r w:rsidR="00C40080" w:rsidRPr="00231E72">
        <w:rPr>
          <w:rFonts w:ascii="Book Antiqua" w:hAnsi="Book Antiqua" w:cs="Book Antiqua"/>
          <w:color w:val="000000"/>
          <w:lang w:eastAsia="zh-CN"/>
        </w:rPr>
        <w:t>;</w:t>
      </w:r>
      <w:r w:rsidR="00971601" w:rsidRPr="00231E72">
        <w:rPr>
          <w:rFonts w:ascii="Book Antiqua" w:eastAsia="Book Antiqua" w:hAnsi="Book Antiqua" w:cs="Book Antiqua"/>
          <w:color w:val="000000"/>
        </w:rPr>
        <w:t xml:space="preserve"> d</w:t>
      </w:r>
      <w:r w:rsidRPr="00231E72">
        <w:rPr>
          <w:rFonts w:ascii="Book Antiqua" w:eastAsia="Book Antiqua" w:hAnsi="Book Antiqua" w:cs="Book Antiqua"/>
          <w:color w:val="000000"/>
        </w:rPr>
        <w:t>ata analysis and interpretation were performed by</w:t>
      </w:r>
      <w:r w:rsidR="006770BC" w:rsidRPr="00231E72">
        <w:rPr>
          <w:rFonts w:ascii="Book Antiqua" w:eastAsia="Book Antiqua" w:hAnsi="Book Antiqua" w:cs="Book Antiqua"/>
          <w:color w:val="000000"/>
        </w:rPr>
        <w:t xml:space="preserve"> Neumann </w:t>
      </w:r>
      <w:r w:rsidR="006770BC" w:rsidRPr="00231E72">
        <w:rPr>
          <w:rFonts w:ascii="Book Antiqua" w:hAnsi="Book Antiqua" w:cs="Book Antiqua"/>
          <w:color w:val="000000"/>
          <w:lang w:eastAsia="zh-CN"/>
        </w:rPr>
        <w:t>A</w:t>
      </w:r>
      <w:r w:rsidR="006770BC" w:rsidRPr="00231E72">
        <w:rPr>
          <w:rFonts w:ascii="Book Antiqua" w:eastAsia="Book Antiqua" w:hAnsi="Book Antiqua" w:cs="Book Antiqua"/>
          <w:color w:val="000000"/>
        </w:rPr>
        <w:t xml:space="preserve">, </w:t>
      </w:r>
      <w:r w:rsidR="00312552" w:rsidRPr="00231E72">
        <w:rPr>
          <w:rFonts w:ascii="Book Antiqua" w:eastAsia="Book Antiqua" w:hAnsi="Book Antiqua" w:cs="Book Antiqua"/>
          <w:color w:val="000000"/>
        </w:rPr>
        <w:t>González-del Angel A</w:t>
      </w:r>
      <w:r w:rsidR="006E1555" w:rsidRPr="00231E72">
        <w:rPr>
          <w:rFonts w:ascii="Book Antiqua" w:eastAsia="Book Antiqua" w:hAnsi="Book Antiqua" w:cs="Book Antiqua"/>
          <w:color w:val="000000"/>
        </w:rPr>
        <w:t>,</w:t>
      </w:r>
      <w:r w:rsidR="006770BC" w:rsidRPr="00231E72">
        <w:rPr>
          <w:rFonts w:ascii="Book Antiqua" w:hAnsi="Book Antiqua" w:cs="Book Antiqua"/>
          <w:color w:val="000000"/>
          <w:lang w:eastAsia="zh-CN"/>
        </w:rPr>
        <w:t xml:space="preserve"> and</w:t>
      </w:r>
      <w:r w:rsidR="006770BC" w:rsidRPr="00231E72">
        <w:rPr>
          <w:rFonts w:ascii="Book Antiqua" w:eastAsia="Book Antiqua" w:hAnsi="Book Antiqua" w:cs="Book Antiqua"/>
          <w:color w:val="000000"/>
        </w:rPr>
        <w:t xml:space="preserve"> Alcantara-Ortigoza MA</w:t>
      </w:r>
      <w:r w:rsidR="00DA73C8" w:rsidRPr="00231E72">
        <w:rPr>
          <w:rFonts w:ascii="Book Antiqua" w:hAnsi="Book Antiqua" w:cs="Book Antiqua"/>
          <w:color w:val="000000"/>
          <w:lang w:eastAsia="zh-CN"/>
        </w:rPr>
        <w:t>;</w:t>
      </w:r>
      <w:r w:rsidR="006770BC" w:rsidRPr="00231E72">
        <w:rPr>
          <w:rFonts w:ascii="Book Antiqua" w:eastAsia="Book Antiqua" w:hAnsi="Book Antiqua" w:cs="Book Antiqua"/>
          <w:color w:val="000000"/>
        </w:rPr>
        <w:t xml:space="preserve"> Neumann </w:t>
      </w:r>
      <w:r w:rsidR="006770BC" w:rsidRPr="00231E72">
        <w:rPr>
          <w:rFonts w:ascii="Book Antiqua" w:hAnsi="Book Antiqua" w:cs="Book Antiqua"/>
          <w:color w:val="000000"/>
          <w:lang w:eastAsia="zh-CN"/>
        </w:rPr>
        <w:t>A</w:t>
      </w:r>
      <w:r w:rsidRPr="00231E72">
        <w:rPr>
          <w:rFonts w:ascii="Book Antiqua" w:eastAsia="Book Antiqua" w:hAnsi="Book Antiqua" w:cs="Book Antiqua"/>
          <w:color w:val="000000"/>
        </w:rPr>
        <w:t xml:space="preserve">, </w:t>
      </w:r>
      <w:r w:rsidR="006770BC" w:rsidRPr="00231E72">
        <w:rPr>
          <w:rFonts w:ascii="Book Antiqua" w:eastAsia="Book Antiqua" w:hAnsi="Book Antiqua" w:cs="Book Antiqua"/>
          <w:color w:val="000000"/>
        </w:rPr>
        <w:t>Zarate Díaz NA, Porchia LM</w:t>
      </w:r>
      <w:r w:rsidRPr="00231E72">
        <w:rPr>
          <w:rFonts w:ascii="Book Antiqua" w:eastAsia="Book Antiqua" w:hAnsi="Book Antiqua" w:cs="Book Antiqua"/>
          <w:color w:val="000000"/>
        </w:rPr>
        <w:t xml:space="preserve">, and </w:t>
      </w:r>
      <w:r w:rsidR="006770BC" w:rsidRPr="00231E72">
        <w:rPr>
          <w:rFonts w:ascii="Book Antiqua" w:eastAsia="Book Antiqua" w:hAnsi="Book Antiqua" w:cs="Book Antiqua"/>
          <w:color w:val="000000"/>
        </w:rPr>
        <w:t>López-Bayghen</w:t>
      </w:r>
      <w:r w:rsidR="006770BC" w:rsidRPr="00231E72">
        <w:rPr>
          <w:rFonts w:ascii="Book Antiqua" w:hAnsi="Book Antiqua" w:cs="Book Antiqua"/>
          <w:color w:val="000000"/>
          <w:lang w:eastAsia="zh-CN"/>
        </w:rPr>
        <w:t xml:space="preserve"> E</w:t>
      </w:r>
      <w:r w:rsidR="006770BC"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drafted the ar</w:t>
      </w:r>
      <w:r w:rsidR="00DA73C8" w:rsidRPr="00231E72">
        <w:rPr>
          <w:rFonts w:ascii="Book Antiqua" w:eastAsia="Book Antiqua" w:hAnsi="Book Antiqua" w:cs="Book Antiqua"/>
          <w:color w:val="000000"/>
        </w:rPr>
        <w:t>ticle and critically revised it</w:t>
      </w:r>
      <w:r w:rsidR="00DA73C8" w:rsidRPr="00231E72">
        <w:rPr>
          <w:rFonts w:ascii="Book Antiqua" w:hAnsi="Book Antiqua" w:cs="Book Antiqua"/>
          <w:color w:val="000000"/>
          <w:lang w:eastAsia="zh-CN"/>
        </w:rPr>
        <w:t>;</w:t>
      </w:r>
      <w:r w:rsidRPr="00231E72">
        <w:rPr>
          <w:rFonts w:ascii="Book Antiqua" w:eastAsia="Book Antiqua" w:hAnsi="Book Antiqua" w:cs="Book Antiqua"/>
          <w:color w:val="000000"/>
        </w:rPr>
        <w:t xml:space="preserve"> </w:t>
      </w:r>
      <w:r w:rsidR="00971601" w:rsidRPr="00231E72">
        <w:rPr>
          <w:rFonts w:ascii="Book Antiqua" w:eastAsia="Book Antiqua" w:hAnsi="Book Antiqua" w:cs="Book Antiqua"/>
          <w:color w:val="000000"/>
        </w:rPr>
        <w:t>a</w:t>
      </w:r>
      <w:r w:rsidRPr="00231E72">
        <w:rPr>
          <w:rFonts w:ascii="Book Antiqua" w:eastAsia="Book Antiqua" w:hAnsi="Book Antiqua" w:cs="Book Antiqua"/>
          <w:color w:val="000000"/>
        </w:rPr>
        <w:t>ll authors have approved the final version of the manuscript.</w:t>
      </w:r>
    </w:p>
    <w:p w14:paraId="07668865" w14:textId="77777777" w:rsidR="00A77B3E" w:rsidRPr="00231E72" w:rsidRDefault="00A77B3E" w:rsidP="00F142BD">
      <w:pPr>
        <w:spacing w:line="360" w:lineRule="auto"/>
        <w:jc w:val="both"/>
        <w:rPr>
          <w:rFonts w:ascii="Book Antiqua" w:hAnsi="Book Antiqua"/>
        </w:rPr>
      </w:pPr>
    </w:p>
    <w:p w14:paraId="038B4BA9" w14:textId="77777777" w:rsidR="00A77B3E" w:rsidRPr="00231E72" w:rsidRDefault="006748EB" w:rsidP="00F142BD">
      <w:pPr>
        <w:spacing w:line="360" w:lineRule="auto"/>
        <w:jc w:val="both"/>
        <w:rPr>
          <w:rFonts w:ascii="Book Antiqua" w:hAnsi="Book Antiqua"/>
          <w:lang w:val="es-MX"/>
        </w:rPr>
      </w:pPr>
      <w:r w:rsidRPr="00231E72">
        <w:rPr>
          <w:rFonts w:ascii="Book Antiqua" w:eastAsia="Book Antiqua" w:hAnsi="Book Antiqua" w:cs="Book Antiqua"/>
          <w:b/>
          <w:bCs/>
          <w:color w:val="000000"/>
          <w:lang w:val="es-MX"/>
        </w:rPr>
        <w:t xml:space="preserve">Corresponding author: Esther López-Bayghen, PhD, Professor, </w:t>
      </w:r>
      <w:r w:rsidRPr="00231E72">
        <w:rPr>
          <w:rFonts w:ascii="Book Antiqua" w:eastAsia="Book Antiqua" w:hAnsi="Book Antiqua" w:cs="Book Antiqua"/>
          <w:color w:val="000000"/>
          <w:lang w:val="es-MX"/>
        </w:rPr>
        <w:t>Departamento de Toxicología, Centro de Investigación y de Estudios Avanzados del Instituto Politécnico Nacional, Avenida Instituto Politécnico Nacional 2508, San Pedro Zacatenco, Mexico City 07360, Mexico. ebayghen@cinvestav.mx</w:t>
      </w:r>
    </w:p>
    <w:p w14:paraId="11E23204" w14:textId="77777777" w:rsidR="00A77B3E" w:rsidRPr="00231E72" w:rsidRDefault="00A77B3E" w:rsidP="00F142BD">
      <w:pPr>
        <w:spacing w:line="360" w:lineRule="auto"/>
        <w:jc w:val="both"/>
        <w:rPr>
          <w:rFonts w:ascii="Book Antiqua" w:hAnsi="Book Antiqua"/>
          <w:lang w:val="es-MX"/>
        </w:rPr>
      </w:pPr>
    </w:p>
    <w:p w14:paraId="2DA58FF5"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Received: </w:t>
      </w:r>
      <w:r w:rsidRPr="00231E72">
        <w:rPr>
          <w:rFonts w:ascii="Book Antiqua" w:eastAsia="Book Antiqua" w:hAnsi="Book Antiqua" w:cs="Book Antiqua"/>
          <w:color w:val="000000"/>
        </w:rPr>
        <w:t>December 16, 2020</w:t>
      </w:r>
    </w:p>
    <w:p w14:paraId="43906EF0" w14:textId="77777777" w:rsidR="00A77B3E" w:rsidRPr="00231E72" w:rsidRDefault="006748EB" w:rsidP="00F142BD">
      <w:pPr>
        <w:spacing w:line="360" w:lineRule="auto"/>
        <w:jc w:val="both"/>
        <w:rPr>
          <w:rFonts w:ascii="Book Antiqua" w:hAnsi="Book Antiqua"/>
          <w:lang w:eastAsia="zh-CN"/>
        </w:rPr>
      </w:pPr>
      <w:r w:rsidRPr="00231E72">
        <w:rPr>
          <w:rFonts w:ascii="Book Antiqua" w:eastAsia="Book Antiqua" w:hAnsi="Book Antiqua" w:cs="Book Antiqua"/>
          <w:b/>
          <w:bCs/>
          <w:color w:val="000000"/>
        </w:rPr>
        <w:t>Revised:</w:t>
      </w:r>
      <w:r w:rsidRPr="00231E72">
        <w:rPr>
          <w:rFonts w:ascii="Book Antiqua" w:eastAsia="Book Antiqua" w:hAnsi="Book Antiqua" w:cs="Book Antiqua"/>
          <w:bCs/>
          <w:color w:val="000000"/>
        </w:rPr>
        <w:t xml:space="preserve"> </w:t>
      </w:r>
      <w:r w:rsidR="00A4097F" w:rsidRPr="00231E72">
        <w:rPr>
          <w:rFonts w:ascii="Book Antiqua" w:hAnsi="Book Antiqua" w:cs="Book Antiqua"/>
          <w:bCs/>
          <w:color w:val="000000"/>
          <w:lang w:eastAsia="zh-CN"/>
        </w:rPr>
        <w:t>July 28, 2020</w:t>
      </w:r>
    </w:p>
    <w:p w14:paraId="16FCCB3A" w14:textId="2E0055CA"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Accepted: </w:t>
      </w:r>
      <w:r w:rsidR="00F74679" w:rsidRPr="00231E72">
        <w:rPr>
          <w:rFonts w:ascii="Book Antiqua" w:eastAsia="Book Antiqua" w:hAnsi="Book Antiqua" w:cs="Book Antiqua"/>
          <w:color w:val="000000"/>
        </w:rPr>
        <w:t>September 7, 2021</w:t>
      </w:r>
    </w:p>
    <w:p w14:paraId="7B0D21F8" w14:textId="7E0A1F1B"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Published online:</w:t>
      </w:r>
      <w:r w:rsidRPr="00231E72">
        <w:rPr>
          <w:rFonts w:ascii="Book Antiqua" w:eastAsia="Book Antiqua" w:hAnsi="Book Antiqua" w:cs="Book Antiqua"/>
          <w:color w:val="000000"/>
        </w:rPr>
        <w:t xml:space="preserve"> </w:t>
      </w:r>
      <w:r w:rsidR="004B443F" w:rsidRPr="00231E72">
        <w:rPr>
          <w:rFonts w:ascii="Book Antiqua" w:eastAsia="Book Antiqua" w:hAnsi="Book Antiqua" w:cs="Book Antiqua"/>
          <w:color w:val="000000"/>
        </w:rPr>
        <w:t>October 16, 2021</w:t>
      </w:r>
    </w:p>
    <w:p w14:paraId="41DD263F" w14:textId="77777777" w:rsidR="00A77B3E" w:rsidRPr="00231E72" w:rsidRDefault="00A77B3E" w:rsidP="00F142BD">
      <w:pPr>
        <w:spacing w:line="360" w:lineRule="auto"/>
        <w:jc w:val="both"/>
        <w:rPr>
          <w:rFonts w:ascii="Book Antiqua" w:hAnsi="Book Antiqua"/>
        </w:rPr>
        <w:sectPr w:rsidR="00A77B3E" w:rsidRPr="00231E72">
          <w:footerReference w:type="default" r:id="rId7"/>
          <w:pgSz w:w="12240" w:h="15840"/>
          <w:pgMar w:top="1440" w:right="1440" w:bottom="1440" w:left="1440" w:header="720" w:footer="720" w:gutter="0"/>
          <w:cols w:space="720"/>
          <w:docGrid w:linePitch="360"/>
        </w:sectPr>
      </w:pPr>
    </w:p>
    <w:p w14:paraId="5C11222A"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lastRenderedPageBreak/>
        <w:t>Abstract</w:t>
      </w:r>
    </w:p>
    <w:p w14:paraId="185898F3"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BACKGROUND</w:t>
      </w:r>
    </w:p>
    <w:p w14:paraId="19F06724" w14:textId="08C639F4"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 xml:space="preserve">Identifying a potential single monogenetic disorder in healthy couples is costly due to the Assisted Reproduction facilities' current methodology for screening, which focuses on the detecting multiple genetic disorders at once. Here, we report the successful application of a low-cost and fast </w:t>
      </w:r>
      <w:r w:rsidR="00B01521" w:rsidRPr="00231E72">
        <w:rPr>
          <w:rFonts w:ascii="Book Antiqua" w:eastAsia="Book Antiqua" w:hAnsi="Book Antiqua" w:cs="Book Antiqua"/>
          <w:color w:val="000000"/>
        </w:rPr>
        <w:t xml:space="preserve">preimplantation genetic testing for monogenic/single gene defects </w:t>
      </w:r>
      <w:r w:rsidRPr="00231E72">
        <w:rPr>
          <w:rFonts w:ascii="Book Antiqua" w:eastAsia="Book Antiqua" w:hAnsi="Book Antiqua" w:cs="Book Antiqua"/>
          <w:color w:val="000000"/>
        </w:rPr>
        <w:t xml:space="preserve">(PGT-M) approach for detecting </w:t>
      </w:r>
      <w:r w:rsidR="00B01521" w:rsidRPr="00231E72">
        <w:rPr>
          <w:rFonts w:ascii="Book Antiqua" w:eastAsia="Book Antiqua" w:hAnsi="Book Antiqua" w:cs="Book Antiqua"/>
          <w:color w:val="000000"/>
        </w:rPr>
        <w:t xml:space="preserve">propionic </w:t>
      </w:r>
      <w:r w:rsidRPr="00231E72">
        <w:rPr>
          <w:rFonts w:ascii="Book Antiqua" w:eastAsia="Book Antiqua" w:hAnsi="Book Antiqua" w:cs="Book Antiqua"/>
          <w:color w:val="000000"/>
        </w:rPr>
        <w:t xml:space="preserve">acidemia (PA) in embryos obtained from a confirmed heterozygous </w:t>
      </w:r>
      <w:bookmarkStart w:id="36" w:name="OLE_LINK47"/>
      <w:r w:rsidRPr="00231E72">
        <w:rPr>
          <w:rFonts w:ascii="Book Antiqua" w:eastAsia="Book Antiqua" w:hAnsi="Book Antiqua" w:cs="Book Antiqua"/>
          <w:color w:val="000000"/>
        </w:rPr>
        <w:t xml:space="preserve">propionyl-CoA carboxylase </w:t>
      </w:r>
      <w:bookmarkEnd w:id="36"/>
      <w:r w:rsidR="008F2EA9" w:rsidRPr="00231E72">
        <w:rPr>
          <w:rFonts w:ascii="Book Antiqua" w:eastAsia="Book Antiqua" w:hAnsi="Book Antiqua" w:cs="Book Antiqua"/>
          <w:color w:val="000000"/>
        </w:rPr>
        <w:t>alpha subunit</w:t>
      </w:r>
      <w:r w:rsidRPr="00231E72">
        <w:rPr>
          <w:rFonts w:ascii="Book Antiqua" w:eastAsia="Book Antiqua" w:hAnsi="Book Antiqua" w:cs="Book Antiqua"/>
          <w:color w:val="000000"/>
        </w:rPr>
        <w:t xml:space="preserv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couple.</w:t>
      </w:r>
    </w:p>
    <w:p w14:paraId="36B180C8" w14:textId="77777777" w:rsidR="00A77B3E" w:rsidRPr="00231E72" w:rsidRDefault="00A77B3E" w:rsidP="00F142BD">
      <w:pPr>
        <w:spacing w:line="360" w:lineRule="auto"/>
        <w:jc w:val="both"/>
        <w:rPr>
          <w:rFonts w:ascii="Book Antiqua" w:hAnsi="Book Antiqua"/>
        </w:rPr>
      </w:pPr>
    </w:p>
    <w:p w14:paraId="52A6550B"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CASE SUMMARY</w:t>
      </w:r>
    </w:p>
    <w:p w14:paraId="52195F69" w14:textId="37AA070E" w:rsidR="00A77B3E" w:rsidRPr="00231E72" w:rsidRDefault="006748EB" w:rsidP="00F142BD">
      <w:pPr>
        <w:spacing w:line="360" w:lineRule="auto"/>
        <w:jc w:val="both"/>
        <w:rPr>
          <w:rFonts w:ascii="Book Antiqua" w:hAnsi="Book Antiqua"/>
          <w:lang w:eastAsia="zh-CN"/>
        </w:rPr>
      </w:pPr>
      <w:r w:rsidRPr="00231E72">
        <w:rPr>
          <w:rFonts w:ascii="Book Antiqua" w:eastAsia="Book Antiqua" w:hAnsi="Book Antiqua" w:cs="Book Antiqua"/>
          <w:color w:val="000000"/>
        </w:rPr>
        <w:t xml:space="preserve">A fertile 32-years old Mexican couple with denied consanguinity sought antenatal genetic counseling. They were suspected obligate PA carriers due to a previous deceased PA male newborn with an unknown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/propionyl-CoA carboxylase </w:t>
      </w:r>
      <w:r w:rsidR="008F2EA9" w:rsidRPr="00231E72">
        <w:rPr>
          <w:rFonts w:ascii="Book Antiqua" w:eastAsia="Book Antiqua" w:hAnsi="Book Antiqua" w:cs="Book Antiqua"/>
          <w:color w:val="000000"/>
        </w:rPr>
        <w:t>beta subunit</w:t>
      </w:r>
      <w:r w:rsidRPr="00231E72">
        <w:rPr>
          <w:rFonts w:ascii="Book Antiqua" w:eastAsia="Book Antiqua" w:hAnsi="Book Antiqua" w:cs="Book Antiqua"/>
          <w:color w:val="000000"/>
        </w:rPr>
        <w:t xml:space="preserve"> </w:t>
      </w:r>
      <w:r w:rsidR="00963336" w:rsidRPr="00231E72">
        <w:rPr>
          <w:rFonts w:ascii="Book Antiqua" w:eastAsia="Book Antiqua" w:hAnsi="Book Antiqua" w:cs="Book Antiqua"/>
          <w:color w:val="000000"/>
        </w:rPr>
        <w:t>(</w:t>
      </w:r>
      <w:r w:rsidR="00963336" w:rsidRPr="00231E72">
        <w:rPr>
          <w:rFonts w:ascii="Book Antiqua" w:eastAsia="Book Antiqua" w:hAnsi="Book Antiqua" w:cs="Book Antiqua"/>
          <w:i/>
          <w:color w:val="000000"/>
        </w:rPr>
        <w:t>PCCB</w:t>
      </w:r>
      <w:r w:rsidR="00963336"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genotype. Next-Generation Sequencing revealed a heterozygous genotype for a pathogenic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variant (c.2041-1G&gt;T, ClinVar:RCV000802701.1; dbSNP:rs1367867218) in both parents. The couple requested </w:t>
      </w:r>
      <w:r w:rsidRPr="00231E72">
        <w:rPr>
          <w:rFonts w:ascii="Book Antiqua" w:eastAsia="Book Antiqua" w:hAnsi="Book Antiqua" w:cs="Book Antiqua"/>
          <w:i/>
          <w:iCs/>
          <w:color w:val="000000"/>
        </w:rPr>
        <w:t>in vitro</w:t>
      </w:r>
      <w:r w:rsidRPr="00231E72">
        <w:rPr>
          <w:rFonts w:ascii="Book Antiqua" w:eastAsia="Book Antiqua" w:hAnsi="Book Antiqua" w:cs="Book Antiqua"/>
          <w:color w:val="000000"/>
        </w:rPr>
        <w:t xml:space="preserve"> fertilization (IVF) and PGT-M for PA. From IVF, 12 oocytes were collected and fertilized, of which two resulted in high-quality embryos. Trophectoderm biopsies and Whole Genome Amplification by a fragmentation/amplification-based method were performed and revealed that the two embryos were euploid. End-point </w:t>
      </w:r>
      <w:r w:rsidR="00B01521" w:rsidRPr="00231E72">
        <w:rPr>
          <w:rFonts w:ascii="Book Antiqua" w:eastAsia="Book Antiqua" w:hAnsi="Book Antiqua" w:cs="Book Antiqua"/>
          <w:color w:val="000000"/>
        </w:rPr>
        <w:t>polymerase chain reaction</w:t>
      </w:r>
      <w:r w:rsidRPr="00231E72">
        <w:rPr>
          <w:rFonts w:ascii="Book Antiqua" w:eastAsia="Book Antiqua" w:hAnsi="Book Antiqua" w:cs="Book Antiqua"/>
          <w:color w:val="000000"/>
        </w:rPr>
        <w:t xml:space="preserve"> and further Sanger sequencing of the exon-intron borders revealed a wild-type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male embryo and a heterozygous c.2041-1G&gt;T female embryo. Both embryos were transferred, resulting in a clinical pregnancy and the delivery of a healthy male newborn (38 wk, weight: 4080 g, length: 49 cm, APGAR 9/9). The absence of PA was confirmed by expanded newborn screening.</w:t>
      </w:r>
    </w:p>
    <w:p w14:paraId="326E25DF" w14:textId="77777777" w:rsidR="00A77B3E" w:rsidRPr="00231E72" w:rsidRDefault="00A77B3E" w:rsidP="00F142BD">
      <w:pPr>
        <w:spacing w:line="360" w:lineRule="auto"/>
        <w:jc w:val="both"/>
        <w:rPr>
          <w:rFonts w:ascii="Book Antiqua" w:hAnsi="Book Antiqua"/>
        </w:rPr>
      </w:pPr>
    </w:p>
    <w:p w14:paraId="46AFB6F9"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CONCLUSION</w:t>
      </w:r>
    </w:p>
    <w:p w14:paraId="5E0B5BED" w14:textId="0FD516AA" w:rsidR="00A77B3E" w:rsidRPr="00231E72" w:rsidRDefault="006748EB" w:rsidP="00F142BD">
      <w:pPr>
        <w:spacing w:line="360" w:lineRule="auto"/>
        <w:jc w:val="both"/>
        <w:rPr>
          <w:rFonts w:ascii="Book Antiqua" w:eastAsia="Book Antiqua" w:hAnsi="Book Antiqua" w:cs="Book Antiqua"/>
          <w:i/>
          <w:color w:val="000000"/>
        </w:rPr>
      </w:pPr>
      <w:r w:rsidRPr="00231E72">
        <w:rPr>
          <w:rFonts w:ascii="Book Antiqua" w:eastAsia="Book Antiqua" w:hAnsi="Book Antiqua" w:cs="Book Antiqua"/>
          <w:color w:val="000000"/>
        </w:rPr>
        <w:lastRenderedPageBreak/>
        <w:t xml:space="preserve">We show that using PGT-M with Whole Genome Amplification templates, coupled with IVF, can reduce the transmission of a pathogenic variant of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gene.</w:t>
      </w:r>
    </w:p>
    <w:p w14:paraId="74D27B65" w14:textId="77777777" w:rsidR="00A77B3E" w:rsidRPr="00231E72" w:rsidRDefault="00A77B3E" w:rsidP="00F142BD">
      <w:pPr>
        <w:spacing w:line="360" w:lineRule="auto"/>
        <w:jc w:val="both"/>
        <w:rPr>
          <w:rFonts w:ascii="Book Antiqua" w:hAnsi="Book Antiqua"/>
        </w:rPr>
      </w:pPr>
    </w:p>
    <w:p w14:paraId="49D4CBE6" w14:textId="777E58E7" w:rsidR="00A77B3E" w:rsidRPr="00231E72" w:rsidRDefault="006748EB" w:rsidP="00F142BD">
      <w:pPr>
        <w:spacing w:line="360" w:lineRule="auto"/>
        <w:jc w:val="both"/>
        <w:rPr>
          <w:rFonts w:ascii="Book Antiqua" w:hAnsi="Book Antiqua"/>
          <w:lang w:eastAsia="zh-CN"/>
        </w:rPr>
      </w:pPr>
      <w:r w:rsidRPr="00231E72">
        <w:rPr>
          <w:rFonts w:ascii="Book Antiqua" w:eastAsia="Book Antiqua" w:hAnsi="Book Antiqua" w:cs="Book Antiqua"/>
          <w:b/>
          <w:bCs/>
          <w:color w:val="000000"/>
        </w:rPr>
        <w:t xml:space="preserve">Key Words: </w:t>
      </w:r>
      <w:r w:rsidRPr="00231E72">
        <w:rPr>
          <w:rFonts w:ascii="Book Antiqua" w:eastAsia="Book Antiqua" w:hAnsi="Book Antiqua" w:cs="Book Antiqua"/>
          <w:color w:val="000000"/>
        </w:rPr>
        <w:t xml:space="preserve">Propionic </w:t>
      </w:r>
      <w:r w:rsidR="00A21A1A" w:rsidRPr="00231E72">
        <w:rPr>
          <w:rFonts w:ascii="Book Antiqua" w:eastAsia="Book Antiqua" w:hAnsi="Book Antiqua" w:cs="Book Antiqua"/>
          <w:color w:val="000000"/>
        </w:rPr>
        <w:t xml:space="preserve">acidemia; Autosomal recessive; </w:t>
      </w:r>
      <w:r w:rsidR="00A21A1A" w:rsidRPr="00231E72">
        <w:rPr>
          <w:rFonts w:ascii="Book Antiqua" w:hAnsi="Book Antiqua" w:cs="Book Antiqua"/>
          <w:color w:val="000000"/>
          <w:lang w:eastAsia="zh-CN"/>
        </w:rPr>
        <w:t>P</w:t>
      </w:r>
      <w:r w:rsidRPr="00231E72">
        <w:rPr>
          <w:rFonts w:ascii="Book Antiqua" w:eastAsia="Book Antiqua" w:hAnsi="Book Antiqua" w:cs="Book Antiqua"/>
          <w:color w:val="000000"/>
        </w:rPr>
        <w:t xml:space="preserve">ropionyl-CoA carboxylase </w:t>
      </w:r>
      <w:r w:rsidR="008F2EA9" w:rsidRPr="00231E72">
        <w:rPr>
          <w:rFonts w:ascii="Book Antiqua" w:eastAsia="Book Antiqua" w:hAnsi="Book Antiqua" w:cs="Book Antiqua"/>
          <w:color w:val="000000"/>
        </w:rPr>
        <w:t>alpha subunit</w:t>
      </w:r>
      <w:r w:rsidRPr="00231E72">
        <w:rPr>
          <w:rFonts w:ascii="Book Antiqua" w:eastAsia="Book Antiqua" w:hAnsi="Book Antiqua" w:cs="Book Antiqua"/>
          <w:color w:val="000000"/>
        </w:rPr>
        <w:t xml:space="preserve"> </w:t>
      </w:r>
      <w:r w:rsidR="008F2EA9" w:rsidRPr="00231E72">
        <w:rPr>
          <w:rFonts w:ascii="Book Antiqua" w:eastAsia="Book Antiqua" w:hAnsi="Book Antiqua" w:cs="Book Antiqua"/>
          <w:color w:val="000000"/>
        </w:rPr>
        <w:t>(</w:t>
      </w:r>
      <w:r w:rsidR="008F2EA9" w:rsidRPr="00231E72">
        <w:rPr>
          <w:rFonts w:ascii="Book Antiqua" w:eastAsia="Book Antiqua" w:hAnsi="Book Antiqua" w:cs="Book Antiqua"/>
          <w:i/>
          <w:color w:val="000000"/>
        </w:rPr>
        <w:t>PCCA</w:t>
      </w:r>
      <w:r w:rsidR="008F2EA9"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gene; Preimplantation </w:t>
      </w:r>
      <w:r w:rsidR="00A21A1A" w:rsidRPr="00231E72">
        <w:rPr>
          <w:rFonts w:ascii="Book Antiqua" w:eastAsia="Book Antiqua" w:hAnsi="Book Antiqua" w:cs="Book Antiqua"/>
          <w:color w:val="000000"/>
        </w:rPr>
        <w:t>genetic testi</w:t>
      </w:r>
      <w:r w:rsidRPr="00231E72">
        <w:rPr>
          <w:rFonts w:ascii="Book Antiqua" w:eastAsia="Book Antiqua" w:hAnsi="Book Antiqua" w:cs="Book Antiqua"/>
          <w:color w:val="000000"/>
        </w:rPr>
        <w:t>ng; Next-</w:t>
      </w:r>
      <w:r w:rsidR="00A21A1A" w:rsidRPr="00231E72">
        <w:rPr>
          <w:rFonts w:ascii="Book Antiqua" w:eastAsia="Book Antiqua" w:hAnsi="Book Antiqua" w:cs="Book Antiqua"/>
          <w:color w:val="000000"/>
        </w:rPr>
        <w:t xml:space="preserve">generation sequencing; </w:t>
      </w:r>
      <w:r w:rsidR="00A21A1A" w:rsidRPr="00231E72">
        <w:rPr>
          <w:rFonts w:ascii="Book Antiqua" w:hAnsi="Book Antiqua" w:cs="Book Antiqua"/>
          <w:color w:val="000000"/>
          <w:lang w:eastAsia="zh-CN"/>
        </w:rPr>
        <w:t>E</w:t>
      </w:r>
      <w:r w:rsidRPr="00231E72">
        <w:rPr>
          <w:rFonts w:ascii="Book Antiqua" w:eastAsia="Book Antiqua" w:hAnsi="Book Antiqua" w:cs="Book Antiqua"/>
          <w:color w:val="000000"/>
        </w:rPr>
        <w:t>mbryo transfer</w:t>
      </w:r>
    </w:p>
    <w:p w14:paraId="271B6A07" w14:textId="77777777" w:rsidR="00301635" w:rsidRDefault="00301635" w:rsidP="00301635">
      <w:pPr>
        <w:spacing w:line="360" w:lineRule="auto"/>
        <w:jc w:val="both"/>
        <w:rPr>
          <w:lang w:eastAsia="zh-CN"/>
        </w:rPr>
      </w:pPr>
    </w:p>
    <w:p w14:paraId="61BF6323" w14:textId="77777777" w:rsidR="00301635" w:rsidRPr="00026CB8" w:rsidRDefault="00301635" w:rsidP="0030163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64B1254" w14:textId="77777777" w:rsidR="00301635" w:rsidRPr="009C101B" w:rsidRDefault="00301635" w:rsidP="00301635">
      <w:pPr>
        <w:spacing w:line="360" w:lineRule="auto"/>
        <w:jc w:val="both"/>
        <w:rPr>
          <w:lang w:eastAsia="zh-CN"/>
        </w:rPr>
      </w:pPr>
    </w:p>
    <w:p w14:paraId="6FF5F654" w14:textId="4512CF98" w:rsidR="003B77F7" w:rsidRDefault="00301635" w:rsidP="00301635">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748EB" w:rsidRPr="00231E72">
        <w:rPr>
          <w:rFonts w:ascii="Book Antiqua" w:eastAsia="Book Antiqua" w:hAnsi="Book Antiqua" w:cs="Book Antiqua"/>
          <w:color w:val="000000"/>
        </w:rPr>
        <w:t>Neumann A, Alcantara-Ortigoza M</w:t>
      </w:r>
      <w:r w:rsidR="00971601" w:rsidRPr="00231E72">
        <w:rPr>
          <w:rFonts w:ascii="Book Antiqua" w:eastAsia="Book Antiqua" w:hAnsi="Book Antiqua" w:cs="Book Antiqua"/>
          <w:color w:val="000000"/>
        </w:rPr>
        <w:t>A</w:t>
      </w:r>
      <w:r w:rsidR="006748EB" w:rsidRPr="00231E72">
        <w:rPr>
          <w:rFonts w:ascii="Book Antiqua" w:eastAsia="Book Antiqua" w:hAnsi="Book Antiqua" w:cs="Book Antiqua"/>
          <w:color w:val="000000"/>
        </w:rPr>
        <w:t xml:space="preserve">, González-del Ángel A, Zarate Díaz NA, Santana JS, Porchia LM, López-Bayghen E. </w:t>
      </w:r>
      <w:r w:rsidR="00971601" w:rsidRPr="00231E72">
        <w:rPr>
          <w:rFonts w:ascii="Book Antiqua" w:eastAsia="Book Antiqua" w:hAnsi="Book Antiqua" w:cs="Book Antiqua"/>
          <w:color w:val="000000"/>
        </w:rPr>
        <w:t>Whole-genome amplification/preimplantation genetic testing for propionic acidemia of successful pregnancy in an obligate carrier Mexican couple: A case report</w:t>
      </w:r>
      <w:r w:rsidR="006748EB" w:rsidRPr="00231E72">
        <w:rPr>
          <w:rFonts w:ascii="Book Antiqua" w:eastAsia="Book Antiqua" w:hAnsi="Book Antiqua" w:cs="Book Antiqua"/>
          <w:color w:val="000000"/>
        </w:rPr>
        <w:t xml:space="preserve">. </w:t>
      </w:r>
      <w:r w:rsidR="006748EB" w:rsidRPr="00231E72">
        <w:rPr>
          <w:rFonts w:ascii="Book Antiqua" w:eastAsia="Book Antiqua" w:hAnsi="Book Antiqua" w:cs="Book Antiqua"/>
          <w:i/>
          <w:iCs/>
          <w:color w:val="000000"/>
        </w:rPr>
        <w:t>World J Clin Cases</w:t>
      </w:r>
      <w:r w:rsidR="006748EB" w:rsidRPr="00231E72">
        <w:rPr>
          <w:rFonts w:ascii="Book Antiqua" w:eastAsia="Book Antiqua" w:hAnsi="Book Antiqua" w:cs="Book Antiqua"/>
          <w:color w:val="000000"/>
        </w:rPr>
        <w:t xml:space="preserve"> 2021; </w:t>
      </w:r>
      <w:r w:rsidR="00326C26" w:rsidRPr="00231E72">
        <w:rPr>
          <w:rFonts w:ascii="Book Antiqua" w:eastAsia="Book Antiqua" w:hAnsi="Book Antiqua" w:cs="Book Antiqua"/>
          <w:color w:val="000000"/>
        </w:rPr>
        <w:t xml:space="preserve">9(29): </w:t>
      </w:r>
      <w:r w:rsidR="003B77F7" w:rsidRPr="00246FC9">
        <w:rPr>
          <w:rFonts w:ascii="Book Antiqua" w:hAnsi="Book Antiqua" w:hint="eastAsia"/>
        </w:rPr>
        <w:t>8</w:t>
      </w:r>
      <w:r w:rsidR="003B77F7" w:rsidRPr="00246FC9">
        <w:rPr>
          <w:rFonts w:ascii="Book Antiqua" w:hAnsi="Book Antiqua"/>
        </w:rPr>
        <w:t>797</w:t>
      </w:r>
      <w:r w:rsidR="003B77F7" w:rsidRPr="00246FC9">
        <w:rPr>
          <w:rFonts w:ascii="Book Antiqua" w:hAnsi="Book Antiqua" w:hint="eastAsia"/>
        </w:rPr>
        <w:t>-</w:t>
      </w:r>
      <w:r w:rsidR="003B77F7" w:rsidRPr="00246FC9">
        <w:rPr>
          <w:rFonts w:ascii="Book Antiqua" w:hAnsi="Book Antiqua"/>
        </w:rPr>
        <w:t>8803</w:t>
      </w:r>
      <w:r w:rsidR="00326C26" w:rsidRPr="00231E72">
        <w:rPr>
          <w:rFonts w:ascii="Book Antiqua" w:eastAsia="Book Antiqua" w:hAnsi="Book Antiqua" w:cs="Book Antiqua"/>
          <w:color w:val="000000"/>
        </w:rPr>
        <w:t xml:space="preserve"> </w:t>
      </w:r>
    </w:p>
    <w:p w14:paraId="671E06DE" w14:textId="7BD38727" w:rsidR="003B77F7" w:rsidRDefault="00326C26" w:rsidP="00301635">
      <w:pPr>
        <w:spacing w:line="360" w:lineRule="auto"/>
        <w:jc w:val="both"/>
        <w:rPr>
          <w:rFonts w:ascii="Book Antiqua" w:eastAsia="Book Antiqua" w:hAnsi="Book Antiqua" w:cs="Book Antiqua"/>
          <w:color w:val="000000"/>
        </w:rPr>
      </w:pPr>
      <w:r w:rsidRPr="00231E72">
        <w:rPr>
          <w:rFonts w:ascii="Book Antiqua" w:eastAsia="Book Antiqua" w:hAnsi="Book Antiqua" w:cs="Book Antiqua"/>
          <w:color w:val="000000"/>
        </w:rPr>
        <w:t>URL: https://www.wjgnet.com/2307-8960/full/v9/i29/</w:t>
      </w:r>
      <w:r w:rsidR="003B77F7" w:rsidRPr="00246FC9">
        <w:rPr>
          <w:rFonts w:ascii="Book Antiqua" w:hAnsi="Book Antiqua" w:hint="eastAsia"/>
        </w:rPr>
        <w:t>8</w:t>
      </w:r>
      <w:r w:rsidR="003B77F7" w:rsidRPr="00246FC9">
        <w:rPr>
          <w:rFonts w:ascii="Book Antiqua" w:hAnsi="Book Antiqua"/>
        </w:rPr>
        <w:t>797</w:t>
      </w:r>
      <w:r w:rsidRPr="00231E72">
        <w:rPr>
          <w:rFonts w:ascii="Book Antiqua" w:eastAsia="Book Antiqua" w:hAnsi="Book Antiqua" w:cs="Book Antiqua"/>
          <w:color w:val="000000"/>
        </w:rPr>
        <w:t xml:space="preserve">.htm  </w:t>
      </w:r>
    </w:p>
    <w:p w14:paraId="09C0334C" w14:textId="675B2624" w:rsidR="00A77B3E" w:rsidRPr="00231E72" w:rsidRDefault="00326C26" w:rsidP="00301635">
      <w:pPr>
        <w:spacing w:line="360" w:lineRule="auto"/>
        <w:jc w:val="both"/>
        <w:rPr>
          <w:rFonts w:ascii="Book Antiqua" w:hAnsi="Book Antiqua"/>
        </w:rPr>
      </w:pPr>
      <w:r w:rsidRPr="00231E72">
        <w:rPr>
          <w:rFonts w:ascii="Book Antiqua" w:eastAsia="Book Antiqua" w:hAnsi="Book Antiqua" w:cs="Book Antiqua"/>
          <w:color w:val="000000"/>
        </w:rPr>
        <w:t>DOI: https://dx.doi.org/10.12998/wjcc.v9.i29.</w:t>
      </w:r>
      <w:r w:rsidR="003B77F7" w:rsidRPr="00246FC9">
        <w:rPr>
          <w:rFonts w:ascii="Book Antiqua" w:hAnsi="Book Antiqua" w:hint="eastAsia"/>
        </w:rPr>
        <w:t>8</w:t>
      </w:r>
      <w:r w:rsidR="003B77F7" w:rsidRPr="00246FC9">
        <w:rPr>
          <w:rFonts w:ascii="Book Antiqua" w:hAnsi="Book Antiqua"/>
        </w:rPr>
        <w:t>797</w:t>
      </w:r>
    </w:p>
    <w:p w14:paraId="2D7C96BE" w14:textId="77777777" w:rsidR="00A77B3E" w:rsidRPr="00231E72" w:rsidRDefault="00A77B3E" w:rsidP="00F142BD">
      <w:pPr>
        <w:spacing w:line="360" w:lineRule="auto"/>
        <w:jc w:val="both"/>
        <w:rPr>
          <w:rFonts w:ascii="Book Antiqua" w:hAnsi="Book Antiqua"/>
        </w:rPr>
      </w:pPr>
    </w:p>
    <w:p w14:paraId="1FAFD057" w14:textId="14932176"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Core Tip: </w:t>
      </w:r>
      <w:r w:rsidRPr="00231E72">
        <w:rPr>
          <w:rFonts w:ascii="Book Antiqua" w:eastAsia="Book Antiqua" w:hAnsi="Book Antiqua" w:cs="Book Antiqua"/>
          <w:color w:val="000000"/>
        </w:rPr>
        <w:t>Propionic acidemia is an uncommon monogenetic disorder resulting in inherited severe complications and death. A heterozygous genotype for a pathogenic variant of the propionyl-Coenzyme A carboxylase alpha</w:t>
      </w:r>
      <w:r w:rsidR="008F2EA9" w:rsidRPr="00231E72">
        <w:rPr>
          <w:rFonts w:ascii="Book Antiqua" w:eastAsia="Book Antiqua" w:hAnsi="Book Antiqua" w:cs="Book Antiqua"/>
          <w:color w:val="000000"/>
        </w:rPr>
        <w:t xml:space="preserve"> </w:t>
      </w:r>
      <w:r w:rsidR="006A18CC" w:rsidRPr="00231E72">
        <w:rPr>
          <w:rFonts w:ascii="Book Antiqua" w:eastAsia="Book Antiqua" w:hAnsi="Book Antiqua" w:cs="Book Antiqua"/>
          <w:color w:val="000000"/>
        </w:rPr>
        <w:t>s</w:t>
      </w:r>
      <w:r w:rsidRPr="00231E72">
        <w:rPr>
          <w:rFonts w:ascii="Book Antiqua" w:eastAsia="Book Antiqua" w:hAnsi="Book Antiqua" w:cs="Book Antiqua"/>
          <w:color w:val="000000"/>
        </w:rPr>
        <w:t xml:space="preserve">ubunit gene </w:t>
      </w:r>
      <w:r w:rsidR="008F2EA9" w:rsidRPr="00231E72">
        <w:rPr>
          <w:rFonts w:ascii="Book Antiqua" w:eastAsia="Book Antiqua" w:hAnsi="Book Antiqua" w:cs="Book Antiqua"/>
          <w:color w:val="000000"/>
        </w:rPr>
        <w:t>(</w:t>
      </w:r>
      <w:r w:rsidR="008F2EA9" w:rsidRPr="00231E72">
        <w:rPr>
          <w:rFonts w:ascii="Book Antiqua" w:eastAsia="Book Antiqua" w:hAnsi="Book Antiqua" w:cs="Book Antiqua"/>
          <w:i/>
          <w:color w:val="000000"/>
        </w:rPr>
        <w:t>PCCA</w:t>
      </w:r>
      <w:r w:rsidR="008F2EA9"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was located in a fertile Mexican couple. Here we show that a couple can reduce the transmission of a pathogenic variant of a gene using </w:t>
      </w:r>
      <w:r w:rsidR="001161BF" w:rsidRPr="00231E72">
        <w:rPr>
          <w:rFonts w:ascii="Book Antiqua" w:eastAsia="Book Antiqua" w:hAnsi="Book Antiqua" w:cs="Book Antiqua"/>
          <w:i/>
          <w:color w:val="000000"/>
        </w:rPr>
        <w:t>in vitro</w:t>
      </w:r>
      <w:r w:rsidRPr="00231E72">
        <w:rPr>
          <w:rFonts w:ascii="Book Antiqua" w:eastAsia="Book Antiqua" w:hAnsi="Book Antiqua" w:cs="Book Antiqua"/>
          <w:color w:val="000000"/>
        </w:rPr>
        <w:t xml:space="preserve"> fertilization, genetic counseling, and sequencing of a </w:t>
      </w:r>
      <w:r w:rsidR="001161BF" w:rsidRPr="00231E72">
        <w:rPr>
          <w:rFonts w:ascii="Book Antiqua" w:eastAsia="Book Antiqua" w:hAnsi="Book Antiqua" w:cs="Book Antiqua"/>
          <w:color w:val="000000"/>
        </w:rPr>
        <w:t>whole genome amplification</w:t>
      </w:r>
      <w:r w:rsidRPr="00231E72">
        <w:rPr>
          <w:rFonts w:ascii="Book Antiqua" w:eastAsia="Book Antiqua" w:hAnsi="Book Antiqua" w:cs="Book Antiqua"/>
          <w:color w:val="000000"/>
        </w:rPr>
        <w:t xml:space="preserve"> template. Furthermore, after embryo transfer, we report the delivery of a healthy male newborn without propionic acidemia.</w:t>
      </w:r>
    </w:p>
    <w:p w14:paraId="36D860DD" w14:textId="77777777" w:rsidR="00A77B3E" w:rsidRPr="00231E72" w:rsidRDefault="00897892"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br w:type="page"/>
      </w:r>
      <w:r w:rsidR="006748EB" w:rsidRPr="00231E72">
        <w:rPr>
          <w:rFonts w:ascii="Book Antiqua" w:eastAsia="Book Antiqua" w:hAnsi="Book Antiqua" w:cs="Book Antiqua"/>
          <w:b/>
          <w:caps/>
          <w:color w:val="000000"/>
          <w:u w:val="single"/>
        </w:rPr>
        <w:lastRenderedPageBreak/>
        <w:t>INTRODUCTION</w:t>
      </w:r>
    </w:p>
    <w:p w14:paraId="2608CE29" w14:textId="06A4FC3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For fertile, healthy couples, the diagnosis of genetic disorders occurs postnatally when the disease's characteristics are present. However, for genetic disorders in which the fetus suffers from a detrimental illness, the probability of conceiving and delivering a healthy newborn decrease dramatically. Therefore, many at-risk couples attend Assisted Reproduction facilities for Preimplantation Genetic Testing for Monogenic/single gene defects (PGT-M). However, the cost associated with PGT-M, which includes the assessment of over 200 genetic disorders, can be expensive and, for some patients, preventative. Therefore, there is a need for alternative methods when the cost is an issue or the disorder is not covered under standard PGT-M.</w:t>
      </w:r>
      <w:r w:rsidR="00A165F8" w:rsidRPr="00231E72">
        <w:rPr>
          <w:rFonts w:ascii="Book Antiqua" w:hAnsi="Book Antiqua" w:cs="Book Antiqua"/>
          <w:color w:val="000000"/>
          <w:lang w:eastAsia="zh-CN"/>
        </w:rPr>
        <w:t xml:space="preserve"> </w:t>
      </w:r>
      <w:r w:rsidRPr="00231E72">
        <w:rPr>
          <w:rFonts w:ascii="Book Antiqua" w:eastAsia="Book Antiqua" w:hAnsi="Book Antiqua" w:cs="Book Antiqua"/>
          <w:color w:val="000000"/>
        </w:rPr>
        <w:t>Propionic acidemia (PA, MIM</w:t>
      </w:r>
      <w:r w:rsidR="006E1555" w:rsidRPr="00231E72">
        <w:rPr>
          <w:rFonts w:ascii="Book Antiqua" w:eastAsia="Book Antiqua" w:hAnsi="Book Antiqua" w:cs="Book Antiqua"/>
          <w:color w:val="000000"/>
        </w:rPr>
        <w:t>#</w:t>
      </w:r>
      <w:r w:rsidRPr="00231E72">
        <w:rPr>
          <w:rFonts w:ascii="Book Antiqua" w:eastAsia="Book Antiqua" w:hAnsi="Book Antiqua" w:cs="Book Antiqua"/>
          <w:color w:val="000000"/>
        </w:rPr>
        <w:t>606054) is an autosomal recessive, life-threatening metabolic disorder caused by a deficiency in the mitochondrial enzyme propionyl-CoA carboxylase (PCC). PCC carboxylates propionyl-CoA to methylmalonyl-CoA and reduced/abolished PCC activity results in elevated blood concentrations of levocarnitine ester of propionyl-CoA</w:t>
      </w:r>
      <w:r w:rsidRPr="00231E72">
        <w:rPr>
          <w:rFonts w:ascii="Book Antiqua" w:hAnsi="Book Antiqua" w:cs="Book Antiqua"/>
          <w:color w:val="000000"/>
          <w:vertAlign w:val="superscript"/>
          <w:lang w:eastAsia="zh-CN"/>
        </w:rPr>
        <w:t>[1]</w:t>
      </w:r>
      <w:r w:rsidRPr="00231E72">
        <w:rPr>
          <w:rFonts w:ascii="Book Antiqua" w:eastAsia="Book Antiqua" w:hAnsi="Book Antiqua" w:cs="Book Antiqua"/>
          <w:color w:val="000000"/>
        </w:rPr>
        <w:t>. PCC is composed of alpha</w:t>
      </w:r>
      <w:r w:rsidR="006E1555"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and beta</w:t>
      </w:r>
      <w:r w:rsidR="006E1555"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 xml:space="preserve">subunits encoded by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(13q32.3, MIM</w:t>
      </w:r>
      <w:r w:rsidR="006E1555" w:rsidRPr="00231E72">
        <w:rPr>
          <w:rFonts w:ascii="Book Antiqua" w:eastAsia="Book Antiqua" w:hAnsi="Book Antiqua" w:cs="Book Antiqua"/>
          <w:color w:val="000000"/>
        </w:rPr>
        <w:t>*</w:t>
      </w:r>
      <w:r w:rsidRPr="00231E72">
        <w:rPr>
          <w:rFonts w:ascii="Book Antiqua" w:eastAsia="Book Antiqua" w:hAnsi="Book Antiqua" w:cs="Book Antiqua"/>
          <w:color w:val="000000"/>
        </w:rPr>
        <w:t xml:space="preserve">232000) and </w:t>
      </w:r>
      <w:r w:rsidRPr="00231E72">
        <w:rPr>
          <w:rFonts w:ascii="Book Antiqua" w:eastAsia="Book Antiqua" w:hAnsi="Book Antiqua" w:cs="Book Antiqua"/>
          <w:i/>
          <w:color w:val="000000"/>
        </w:rPr>
        <w:t>PCCB</w:t>
      </w:r>
      <w:r w:rsidRPr="00231E72">
        <w:rPr>
          <w:rFonts w:ascii="Book Antiqua" w:eastAsia="Book Antiqua" w:hAnsi="Book Antiqua" w:cs="Book Antiqua"/>
          <w:color w:val="000000"/>
        </w:rPr>
        <w:t xml:space="preserve"> (3q22.3, MIM</w:t>
      </w:r>
      <w:r w:rsidR="006E1555" w:rsidRPr="00231E72">
        <w:rPr>
          <w:rFonts w:ascii="Book Antiqua" w:eastAsia="Book Antiqua" w:hAnsi="Book Antiqua" w:cs="Book Antiqua"/>
          <w:color w:val="000000"/>
        </w:rPr>
        <w:t>*</w:t>
      </w:r>
      <w:r w:rsidRPr="00231E72">
        <w:rPr>
          <w:rFonts w:ascii="Book Antiqua" w:eastAsia="Book Antiqua" w:hAnsi="Book Antiqua" w:cs="Book Antiqua"/>
          <w:color w:val="000000"/>
        </w:rPr>
        <w:t>232050) genes, respectively</w:t>
      </w:r>
      <w:r w:rsidRPr="00231E72">
        <w:rPr>
          <w:rFonts w:ascii="Book Antiqua" w:hAnsi="Book Antiqua" w:cs="Book Antiqua"/>
          <w:color w:val="000000"/>
          <w:vertAlign w:val="superscript"/>
          <w:lang w:eastAsia="zh-CN"/>
        </w:rPr>
        <w:t>[</w:t>
      </w:r>
      <w:r w:rsidR="004B331B" w:rsidRPr="00231E72">
        <w:rPr>
          <w:rFonts w:ascii="Book Antiqua" w:hAnsi="Book Antiqua" w:cs="Book Antiqua"/>
          <w:color w:val="000000"/>
          <w:vertAlign w:val="superscript"/>
          <w:lang w:eastAsia="zh-CN"/>
        </w:rPr>
        <w:t>1</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Shortly after birth, approximately 65</w:t>
      </w:r>
      <w:r w:rsidR="00AD083E" w:rsidRPr="00231E72">
        <w:rPr>
          <w:rFonts w:ascii="Book Antiqua" w:eastAsia="Book Antiqua" w:hAnsi="Book Antiqua" w:cs="Book Antiqua"/>
          <w:color w:val="000000"/>
        </w:rPr>
        <w:t>%</w:t>
      </w:r>
      <w:r w:rsidR="006E1555"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of all PA patients present with symptoms, such as vomiting, lethargy, refuse feeding, hypotonia, and other clinical data</w:t>
      </w:r>
      <w:r w:rsidRPr="00231E72">
        <w:rPr>
          <w:rFonts w:ascii="Book Antiqua" w:hAnsi="Book Antiqua" w:cs="Book Antiqua"/>
          <w:color w:val="000000"/>
          <w:vertAlign w:val="superscript"/>
          <w:lang w:eastAsia="zh-CN"/>
        </w:rPr>
        <w:t>[</w:t>
      </w:r>
      <w:r w:rsidR="00656A2F" w:rsidRPr="00231E72">
        <w:rPr>
          <w:rFonts w:ascii="Book Antiqua" w:hAnsi="Book Antiqua" w:cs="Book Antiqua"/>
          <w:color w:val="000000"/>
          <w:vertAlign w:val="superscript"/>
          <w:lang w:eastAsia="zh-CN"/>
        </w:rPr>
        <w:t>2</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If not treated, PA may progress to a severe illness with neurologic, cardiologic, hematologic, hepatic, and pancreatic complications or death</w:t>
      </w:r>
      <w:r w:rsidRPr="00231E72">
        <w:rPr>
          <w:rFonts w:ascii="Book Antiqua" w:hAnsi="Book Antiqua" w:cs="Book Antiqua"/>
          <w:color w:val="000000"/>
          <w:vertAlign w:val="superscript"/>
          <w:lang w:eastAsia="zh-CN"/>
        </w:rPr>
        <w:t>[</w:t>
      </w:r>
      <w:r w:rsidR="008B0281" w:rsidRPr="00231E72">
        <w:rPr>
          <w:rFonts w:ascii="Book Antiqua" w:hAnsi="Book Antiqua" w:cs="Book Antiqua"/>
          <w:color w:val="000000"/>
          <w:vertAlign w:val="superscript"/>
          <w:lang w:eastAsia="zh-CN"/>
        </w:rPr>
        <w:t>1,</w:t>
      </w:r>
      <w:r w:rsidR="00C62234" w:rsidRPr="00231E72">
        <w:rPr>
          <w:rFonts w:ascii="Book Antiqua" w:hAnsi="Book Antiqua" w:cs="Book Antiqua"/>
          <w:color w:val="000000"/>
          <w:vertAlign w:val="superscript"/>
          <w:lang w:eastAsia="zh-CN"/>
        </w:rPr>
        <w:t>2</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xml:space="preserve">. Since </w:t>
      </w:r>
      <w:r w:rsidR="00B05AFC" w:rsidRPr="00231E72">
        <w:rPr>
          <w:rFonts w:ascii="Book Antiqua" w:eastAsia="Book Antiqua" w:hAnsi="Book Antiqua" w:cs="Book Antiqua"/>
          <w:color w:val="000000"/>
        </w:rPr>
        <w:t>80%</w:t>
      </w:r>
      <w:r w:rsidR="006E1555"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of all PA cases worldwide are caused by a single-nucleotide or other small pathogenic changes, which results in loss of PCC activity</w:t>
      </w:r>
      <w:r w:rsidRPr="00231E72">
        <w:rPr>
          <w:rFonts w:ascii="Book Antiqua" w:hAnsi="Book Antiqua" w:cs="Book Antiqua"/>
          <w:color w:val="000000"/>
          <w:vertAlign w:val="superscript"/>
          <w:lang w:eastAsia="zh-CN"/>
        </w:rPr>
        <w:t>[</w:t>
      </w:r>
      <w:r w:rsidR="003E01E1" w:rsidRPr="00231E72">
        <w:rPr>
          <w:rFonts w:ascii="Book Antiqua" w:hAnsi="Book Antiqua" w:cs="Book Antiqua"/>
          <w:color w:val="000000"/>
          <w:vertAlign w:val="superscript"/>
          <w:lang w:eastAsia="zh-CN"/>
        </w:rPr>
        <w:t>1</w:t>
      </w:r>
      <w:r w:rsidR="004B331B" w:rsidRPr="00231E72">
        <w:rPr>
          <w:rFonts w:ascii="Book Antiqua" w:hAnsi="Book Antiqua" w:cs="Book Antiqua"/>
          <w:color w:val="000000"/>
          <w:vertAlign w:val="superscript"/>
          <w:lang w:eastAsia="zh-CN"/>
        </w:rPr>
        <w:t>,2</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xml:space="preserve">, suspected carriers of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or </w:t>
      </w:r>
      <w:r w:rsidRPr="00231E72">
        <w:rPr>
          <w:rFonts w:ascii="Book Antiqua" w:eastAsia="Book Antiqua" w:hAnsi="Book Antiqua" w:cs="Book Antiqua"/>
          <w:i/>
          <w:color w:val="000000"/>
        </w:rPr>
        <w:t>PCCB</w:t>
      </w:r>
      <w:r w:rsidRPr="00231E72">
        <w:rPr>
          <w:rFonts w:ascii="Book Antiqua" w:eastAsia="Book Antiqua" w:hAnsi="Book Antiqua" w:cs="Book Antiqua"/>
          <w:color w:val="000000"/>
        </w:rPr>
        <w:t xml:space="preserve"> pathogenic genetic variants would benefit from PGT-M. Here, we report the successful application of a low-cost and fast PGT-M approach for PA in embryos obtained from a confirmed heterozygous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couple, which resulted in a clinical pregnancy and delivery of a healthy newborn male.</w:t>
      </w:r>
    </w:p>
    <w:p w14:paraId="3AD9C67F" w14:textId="77777777" w:rsidR="00A77B3E" w:rsidRPr="00231E72" w:rsidRDefault="00A77B3E" w:rsidP="00F142BD">
      <w:pPr>
        <w:spacing w:line="360" w:lineRule="auto"/>
        <w:jc w:val="both"/>
        <w:rPr>
          <w:rFonts w:ascii="Book Antiqua" w:hAnsi="Book Antiqua"/>
        </w:rPr>
      </w:pPr>
    </w:p>
    <w:p w14:paraId="4FA0DA8A"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CASE PRESENTATION</w:t>
      </w:r>
    </w:p>
    <w:p w14:paraId="68ECC941"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Chief complaints</w:t>
      </w:r>
    </w:p>
    <w:p w14:paraId="5EF1BCBF"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lastRenderedPageBreak/>
        <w:t>A 32-years old healthy Mexican couple with denied consanguinity sought antenatal genetic counseling, after giving birth to PA male.</w:t>
      </w:r>
    </w:p>
    <w:p w14:paraId="7AE2C812" w14:textId="77777777" w:rsidR="00A77B3E" w:rsidRPr="00231E72" w:rsidRDefault="00A77B3E" w:rsidP="00F142BD">
      <w:pPr>
        <w:spacing w:line="360" w:lineRule="auto"/>
        <w:jc w:val="both"/>
        <w:rPr>
          <w:rFonts w:ascii="Book Antiqua" w:hAnsi="Book Antiqua"/>
        </w:rPr>
      </w:pPr>
    </w:p>
    <w:p w14:paraId="69224ED3"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History of present illness</w:t>
      </w:r>
    </w:p>
    <w:p w14:paraId="6436F142"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They were suspected of being obligate PA carriers due to a previous full-term delivered male (3200 g), who passed one month after birth and presented with PA's classical clinical profile. Diagnosis of PA in the deceased newborn was biochemically suspected through an acylcarnitine profile during newborn screening (elevated serum propionyl carnitine) and further confirmed by elevated urine organic acids concentrations (methyl citrate, 3-hydroxypropionate, 2-hydroxyisovaleric, 3-hydroxybutyric, 3-hydroxy propionic).</w:t>
      </w:r>
    </w:p>
    <w:p w14:paraId="2AD24D71" w14:textId="77777777" w:rsidR="00A77B3E" w:rsidRPr="00231E72" w:rsidRDefault="00A77B3E" w:rsidP="00F142BD">
      <w:pPr>
        <w:spacing w:line="360" w:lineRule="auto"/>
        <w:jc w:val="both"/>
        <w:rPr>
          <w:rFonts w:ascii="Book Antiqua" w:hAnsi="Book Antiqua"/>
        </w:rPr>
      </w:pPr>
    </w:p>
    <w:p w14:paraId="60F1A112"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History of past illness</w:t>
      </w:r>
    </w:p>
    <w:p w14:paraId="30BD1225"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No significant past medical history associated with PA.</w:t>
      </w:r>
    </w:p>
    <w:p w14:paraId="606DF0C7" w14:textId="77777777" w:rsidR="00A77B3E" w:rsidRPr="00231E72" w:rsidRDefault="00A77B3E" w:rsidP="00F142BD">
      <w:pPr>
        <w:spacing w:line="360" w:lineRule="auto"/>
        <w:jc w:val="both"/>
        <w:rPr>
          <w:rFonts w:ascii="Book Antiqua" w:hAnsi="Book Antiqua"/>
        </w:rPr>
      </w:pPr>
    </w:p>
    <w:p w14:paraId="74BAEC3D"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Personal and family history</w:t>
      </w:r>
    </w:p>
    <w:p w14:paraId="4205DA38" w14:textId="77777777" w:rsidR="00A77B3E" w:rsidRPr="00231E72" w:rsidRDefault="006748EB" w:rsidP="00F142BD">
      <w:pPr>
        <w:spacing w:line="360" w:lineRule="auto"/>
        <w:jc w:val="both"/>
        <w:rPr>
          <w:rFonts w:ascii="Book Antiqua" w:hAnsi="Book Antiqua"/>
          <w:lang w:eastAsia="zh-CN"/>
        </w:rPr>
      </w:pPr>
      <w:r w:rsidRPr="00231E72">
        <w:rPr>
          <w:rFonts w:ascii="Book Antiqua" w:eastAsia="Book Antiqua" w:hAnsi="Book Antiqua" w:cs="Book Antiqua"/>
          <w:color w:val="000000"/>
        </w:rPr>
        <w:t>Both parents originated from different states in Mexico. Moreover, they indicated no knowledge of any family history of PA.</w:t>
      </w:r>
    </w:p>
    <w:p w14:paraId="75916C22" w14:textId="77777777" w:rsidR="00A77B3E" w:rsidRPr="00231E72" w:rsidRDefault="00A77B3E" w:rsidP="00F142BD">
      <w:pPr>
        <w:spacing w:line="360" w:lineRule="auto"/>
        <w:jc w:val="both"/>
        <w:rPr>
          <w:rFonts w:ascii="Book Antiqua" w:hAnsi="Book Antiqua"/>
        </w:rPr>
      </w:pPr>
    </w:p>
    <w:p w14:paraId="66EE53BA"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Physical examination</w:t>
      </w:r>
    </w:p>
    <w:p w14:paraId="600EFEAE"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Neither parent presented with any symptoms or risk factors for being a PA carrier.</w:t>
      </w:r>
    </w:p>
    <w:p w14:paraId="3A4D3992" w14:textId="77777777" w:rsidR="00A77B3E" w:rsidRPr="00231E72" w:rsidRDefault="00A77B3E" w:rsidP="00F142BD">
      <w:pPr>
        <w:spacing w:line="360" w:lineRule="auto"/>
        <w:jc w:val="both"/>
        <w:rPr>
          <w:rFonts w:ascii="Book Antiqua" w:hAnsi="Book Antiqua"/>
        </w:rPr>
      </w:pPr>
    </w:p>
    <w:p w14:paraId="3FA66025"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Laboratory examinations</w:t>
      </w:r>
    </w:p>
    <w:p w14:paraId="6CC33791"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Due to a lack of any previous complication of either parent with respect to reproductive health or otherwise, no laboratory examinations were performed.</w:t>
      </w:r>
    </w:p>
    <w:p w14:paraId="1837A47F" w14:textId="77777777" w:rsidR="00A77B3E" w:rsidRPr="00231E72" w:rsidRDefault="00A77B3E" w:rsidP="00F142BD">
      <w:pPr>
        <w:spacing w:line="360" w:lineRule="auto"/>
        <w:jc w:val="both"/>
        <w:rPr>
          <w:rFonts w:ascii="Book Antiqua" w:hAnsi="Book Antiqua"/>
        </w:rPr>
      </w:pPr>
    </w:p>
    <w:p w14:paraId="29AE687E"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i/>
          <w:color w:val="000000"/>
        </w:rPr>
        <w:t>Imaging examinations</w:t>
      </w:r>
    </w:p>
    <w:p w14:paraId="22EB60C6"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No imaging studies were performed.</w:t>
      </w:r>
    </w:p>
    <w:p w14:paraId="3AEC4BD8" w14:textId="77777777" w:rsidR="00A77B3E" w:rsidRPr="00231E72" w:rsidRDefault="00A77B3E" w:rsidP="00F142BD">
      <w:pPr>
        <w:spacing w:line="360" w:lineRule="auto"/>
        <w:jc w:val="both"/>
        <w:rPr>
          <w:rFonts w:ascii="Book Antiqua" w:hAnsi="Book Antiqua"/>
        </w:rPr>
      </w:pPr>
    </w:p>
    <w:p w14:paraId="162674FD"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Pathological examination</w:t>
      </w:r>
    </w:p>
    <w:p w14:paraId="5C62C761"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lastRenderedPageBreak/>
        <w:t xml:space="preserve">Since the pathogenic PA genotype could not be confirmed for the deceased newborn, both parents were subjected to </w:t>
      </w:r>
      <w:r w:rsidR="00DB5804" w:rsidRPr="00231E72">
        <w:rPr>
          <w:rFonts w:ascii="Book Antiqua" w:eastAsia="Book Antiqua" w:hAnsi="Book Antiqua" w:cs="Book Antiqua"/>
          <w:color w:val="000000"/>
        </w:rPr>
        <w:t>next-generation seq</w:t>
      </w:r>
      <w:r w:rsidRPr="00231E72">
        <w:rPr>
          <w:rFonts w:ascii="Book Antiqua" w:eastAsia="Book Antiqua" w:hAnsi="Book Antiqua" w:cs="Book Antiqua"/>
          <w:color w:val="000000"/>
        </w:rPr>
        <w:t xml:space="preserve">uencing (NGS) for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and </w:t>
      </w:r>
      <w:r w:rsidRPr="00231E72">
        <w:rPr>
          <w:rFonts w:ascii="Book Antiqua" w:eastAsia="Book Antiqua" w:hAnsi="Book Antiqua" w:cs="Book Antiqua"/>
          <w:i/>
          <w:color w:val="000000"/>
        </w:rPr>
        <w:t>PCCB</w:t>
      </w:r>
      <w:r w:rsidRPr="00231E72">
        <w:rPr>
          <w:rFonts w:ascii="Book Antiqua" w:eastAsia="Book Antiqua" w:hAnsi="Book Antiqua" w:cs="Book Antiqua"/>
          <w:color w:val="000000"/>
        </w:rPr>
        <w:t xml:space="preserve"> genes. Quality of the parental genomic DNA, obtained from peripheral blood samples, was evaluated using the Qubit™ Flex Fluorometer (Life Technologies, Singapore). Targets were captured by hybridization to create libraries through Nextera Rapid Capture Exome (I</w:t>
      </w:r>
      <w:r w:rsidR="00DB5804" w:rsidRPr="00231E72">
        <w:rPr>
          <w:rFonts w:ascii="Book Antiqua" w:eastAsia="Book Antiqua" w:hAnsi="Book Antiqua" w:cs="Book Antiqua"/>
          <w:color w:val="000000"/>
        </w:rPr>
        <w:t xml:space="preserve">llumina Inc., San Diego, CA, </w:t>
      </w:r>
      <w:bookmarkStart w:id="37" w:name="OLE_LINK37"/>
      <w:bookmarkStart w:id="38" w:name="OLE_LINK38"/>
      <w:r w:rsidR="00DB5804" w:rsidRPr="00231E72">
        <w:rPr>
          <w:rFonts w:ascii="Book Antiqua" w:eastAsia="Book Antiqua" w:hAnsi="Book Antiqua" w:cs="Book Antiqua"/>
          <w:color w:val="000000"/>
        </w:rPr>
        <w:t>U</w:t>
      </w:r>
      <w:r w:rsidR="00DB5804" w:rsidRPr="00231E72">
        <w:rPr>
          <w:rFonts w:ascii="Book Antiqua" w:hAnsi="Book Antiqua" w:cs="Book Antiqua"/>
          <w:color w:val="000000"/>
          <w:lang w:eastAsia="zh-CN"/>
        </w:rPr>
        <w:t>nited States</w:t>
      </w:r>
      <w:bookmarkEnd w:id="37"/>
      <w:bookmarkEnd w:id="38"/>
      <w:r w:rsidRPr="00231E72">
        <w:rPr>
          <w:rFonts w:ascii="Book Antiqua" w:eastAsia="Book Antiqua" w:hAnsi="Book Antiqua" w:cs="Book Antiqua"/>
          <w:color w:val="000000"/>
        </w:rPr>
        <w:t>) and then seque</w:t>
      </w:r>
      <w:r w:rsidR="00DB5804" w:rsidRPr="00231E72">
        <w:rPr>
          <w:rFonts w:ascii="Book Antiqua" w:eastAsia="Book Antiqua" w:hAnsi="Book Antiqua" w:cs="Book Antiqua"/>
          <w:color w:val="000000"/>
        </w:rPr>
        <w:t>nced on an Illumina HiSeq2000 2</w:t>
      </w:r>
      <w:r w:rsidR="00DB5804" w:rsidRPr="00231E72">
        <w:rPr>
          <w:rFonts w:ascii="Book Antiqua" w:hAnsi="Book Antiqua" w:cs="Book Antiqua"/>
          <w:color w:val="000000"/>
          <w:lang w:eastAsia="zh-CN"/>
        </w:rPr>
        <w:t xml:space="preserve"> </w:t>
      </w:r>
      <w:r w:rsidR="00DB5804" w:rsidRPr="00231E72">
        <w:rPr>
          <w:rFonts w:ascii="Book Antiqua" w:eastAsia="Book Antiqua" w:hAnsi="Book Antiqua"/>
          <w:color w:val="000000"/>
        </w:rPr>
        <w:t>×</w:t>
      </w:r>
      <w:r w:rsidR="00DB5804" w:rsidRPr="00231E72">
        <w:rPr>
          <w:rFonts w:ascii="Book Antiqua" w:hAnsi="Book Antiqua" w:cs="Book Antiqua"/>
          <w:color w:val="000000"/>
          <w:lang w:eastAsia="zh-CN"/>
        </w:rPr>
        <w:t xml:space="preserve"> </w:t>
      </w:r>
      <w:r w:rsidRPr="00231E72">
        <w:rPr>
          <w:rFonts w:ascii="Book Antiqua" w:eastAsia="Book Antiqua" w:hAnsi="Book Antiqua" w:cs="Book Antiqua"/>
          <w:color w:val="000000"/>
        </w:rPr>
        <w:t xml:space="preserve">150 platform (San Diego, CA, </w:t>
      </w:r>
      <w:r w:rsidR="00DB5804" w:rsidRPr="00231E72">
        <w:rPr>
          <w:rFonts w:ascii="Book Antiqua" w:eastAsia="Book Antiqua" w:hAnsi="Book Antiqua" w:cs="Book Antiqua"/>
          <w:color w:val="000000"/>
        </w:rPr>
        <w:t>U</w:t>
      </w:r>
      <w:r w:rsidR="00DB5804" w:rsidRPr="00231E72">
        <w:rPr>
          <w:rFonts w:ascii="Book Antiqua" w:hAnsi="Book Antiqua" w:cs="Book Antiqua"/>
          <w:color w:val="000000"/>
          <w:lang w:eastAsia="zh-CN"/>
        </w:rPr>
        <w:t>nited States</w:t>
      </w:r>
      <w:r w:rsidRPr="00231E72">
        <w:rPr>
          <w:rFonts w:ascii="Book Antiqua" w:eastAsia="Book Antiqua" w:hAnsi="Book Antiqua" w:cs="Book Antiqua"/>
          <w:color w:val="000000"/>
        </w:rPr>
        <w:t xml:space="preserve">). The bioinformatics pipeline included an overall quality evaluation of the raw output reads with FastQC v0.11.8, trimming of adapters and filtering of low-quality reads using Trimmomatic v0.35, alignment of the filtered reads against the GRCh38 human reference sequence using the Bowtie2 software v2.3.4.1, and calling and annotation of single nucleotide variations and detection of small insertion-deletion with the GATK and snpEff programs, respectively. Only one clinically relevant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gene variant was confirmed by unidirectional Sanger sequencing of an end-point </w:t>
      </w:r>
      <w:r w:rsidR="000D0B8F" w:rsidRPr="00231E72">
        <w:rPr>
          <w:rFonts w:ascii="Book Antiqua" w:eastAsia="Book Antiqua" w:hAnsi="Book Antiqua" w:cs="Book Antiqua"/>
          <w:color w:val="000000"/>
        </w:rPr>
        <w:t>polymerase chain reaction (PCR)</w:t>
      </w:r>
      <w:r w:rsidRPr="00231E72">
        <w:rPr>
          <w:rFonts w:ascii="Book Antiqua" w:eastAsia="Book Antiqua" w:hAnsi="Book Antiqua" w:cs="Book Antiqua"/>
          <w:color w:val="000000"/>
        </w:rPr>
        <w:t xml:space="preserve">-derived 250 bp fragment containing exon 23 of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gene (Figure 1A). Annotation was carried out using the Alamut Visual 2.14 software (SOPHIA GENETICS, Lausanne, Switzerland).</w:t>
      </w:r>
    </w:p>
    <w:p w14:paraId="5487BA4A" w14:textId="77777777" w:rsidR="00A77B3E" w:rsidRPr="00231E72" w:rsidRDefault="00A77B3E" w:rsidP="00F142BD">
      <w:pPr>
        <w:spacing w:line="360" w:lineRule="auto"/>
        <w:jc w:val="both"/>
        <w:rPr>
          <w:rFonts w:ascii="Book Antiqua" w:hAnsi="Book Antiqua"/>
        </w:rPr>
      </w:pPr>
    </w:p>
    <w:p w14:paraId="760291DB"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FINAL DIAGNOSIS</w:t>
      </w:r>
    </w:p>
    <w:p w14:paraId="5BA26AC1" w14:textId="02F234C0" w:rsidR="00A77B3E" w:rsidRPr="00231E72" w:rsidRDefault="006748EB" w:rsidP="00F142BD">
      <w:pPr>
        <w:spacing w:line="360" w:lineRule="auto"/>
        <w:jc w:val="both"/>
        <w:rPr>
          <w:rFonts w:ascii="Book Antiqua" w:hAnsi="Book Antiqua"/>
        </w:rPr>
      </w:pPr>
      <w:bookmarkStart w:id="39" w:name="_Hlk80248549"/>
      <w:r w:rsidRPr="00231E72">
        <w:rPr>
          <w:rFonts w:ascii="Book Antiqua" w:eastAsia="Book Antiqua" w:hAnsi="Book Antiqua" w:cs="Book Antiqua"/>
          <w:color w:val="000000"/>
        </w:rPr>
        <w:t xml:space="preserve">Both parents were found to be asymptomatic heterozygotes for the same pathogenic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gene variant (Figure 1B), c.2041-1G&gt;T (NM_000282.4; ClinVar:RCV000802701.1; dbSNP:rs1367867218). According to the </w:t>
      </w:r>
      <w:r w:rsidRPr="00231E72">
        <w:rPr>
          <w:rFonts w:ascii="Book Antiqua" w:eastAsia="Book Antiqua" w:hAnsi="Book Antiqua" w:cs="Book Antiqua"/>
          <w:i/>
          <w:iCs/>
          <w:color w:val="000000"/>
        </w:rPr>
        <w:t>in silico</w:t>
      </w:r>
      <w:r w:rsidRPr="00231E72">
        <w:rPr>
          <w:rFonts w:ascii="Book Antiqua" w:eastAsia="Book Antiqua" w:hAnsi="Book Antiqua" w:cs="Book Antiqua"/>
          <w:color w:val="000000"/>
        </w:rPr>
        <w:t xml:space="preserve"> evaluation by the Splice Site Finder-like, MaxEntScan, NNSPLICE, and GeneSplicer programs, including the Splicing Prediction Module of Alamut Visual 2.14 software, this variant eliminates the natural acceptor splicing site of intron 22 and </w:t>
      </w:r>
      <w:r w:rsidR="009540A2" w:rsidRPr="00231E72">
        <w:rPr>
          <w:rFonts w:ascii="Book Antiqua" w:eastAsia="Book Antiqua" w:hAnsi="Book Antiqua" w:cs="Book Antiqua"/>
          <w:color w:val="000000"/>
        </w:rPr>
        <w:t>p</w:t>
      </w:r>
      <w:r w:rsidRPr="00231E72">
        <w:rPr>
          <w:rFonts w:ascii="Book Antiqua" w:eastAsia="Book Antiqua" w:hAnsi="Book Antiqua" w:cs="Book Antiqua"/>
          <w:color w:val="000000"/>
        </w:rPr>
        <w:t>ossible activation of a cryptic acceptor splicing site inside of exon 23 (positions c.2043 and c.2044; Figure 1A).</w:t>
      </w:r>
    </w:p>
    <w:bookmarkEnd w:id="39"/>
    <w:p w14:paraId="00E6530C" w14:textId="77777777" w:rsidR="00A77B3E" w:rsidRPr="00231E72" w:rsidRDefault="00A77B3E" w:rsidP="00F142BD">
      <w:pPr>
        <w:spacing w:line="360" w:lineRule="auto"/>
        <w:jc w:val="both"/>
        <w:rPr>
          <w:rFonts w:ascii="Book Antiqua" w:hAnsi="Book Antiqua"/>
        </w:rPr>
      </w:pPr>
    </w:p>
    <w:p w14:paraId="1F0C9A2D"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TREATMENT</w:t>
      </w:r>
    </w:p>
    <w:p w14:paraId="41836746" w14:textId="307F32C9"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lastRenderedPageBreak/>
        <w:t xml:space="preserve">After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genotype characterization and post-genetic testing counseling, both parents requested PGT-M for PA, along with PGT for aneuploidies (PGT-A). </w:t>
      </w:r>
      <w:bookmarkStart w:id="40" w:name="_Hlk80249757"/>
      <w:r w:rsidRPr="00231E72">
        <w:rPr>
          <w:rFonts w:ascii="Book Antiqua" w:eastAsia="Book Antiqua" w:hAnsi="Book Antiqua" w:cs="Book Antiqua"/>
          <w:color w:val="000000"/>
        </w:rPr>
        <w:t xml:space="preserve">A single </w:t>
      </w:r>
      <w:r w:rsidRPr="00231E72">
        <w:rPr>
          <w:rFonts w:ascii="Book Antiqua" w:eastAsia="Book Antiqua" w:hAnsi="Book Antiqua" w:cs="Book Antiqua"/>
          <w:i/>
          <w:iCs/>
          <w:color w:val="000000"/>
        </w:rPr>
        <w:t>in vitro</w:t>
      </w:r>
      <w:r w:rsidRPr="00231E72">
        <w:rPr>
          <w:rFonts w:ascii="Book Antiqua" w:eastAsia="Book Antiqua" w:hAnsi="Book Antiqua" w:cs="Book Antiqua"/>
          <w:color w:val="000000"/>
        </w:rPr>
        <w:t xml:space="preserve"> fertilization (IVF) cycle, embryo biopsy, and PGT were performed according to the standard protocols of the Ingenes Institute, as previously described</w:t>
      </w:r>
      <w:r w:rsidR="00433AFC" w:rsidRPr="00231E72">
        <w:rPr>
          <w:rFonts w:ascii="Book Antiqua" w:eastAsia="Book Antiqua" w:hAnsi="Book Antiqua" w:cs="Book Antiqua"/>
          <w:color w:val="000000"/>
          <w:vertAlign w:val="superscript"/>
        </w:rPr>
        <w:t>[</w:t>
      </w:r>
      <w:r w:rsidR="00C62234" w:rsidRPr="00231E72">
        <w:rPr>
          <w:rFonts w:ascii="Book Antiqua" w:eastAsia="Book Antiqua" w:hAnsi="Book Antiqua" w:cs="Book Antiqua"/>
          <w:color w:val="000000"/>
          <w:vertAlign w:val="superscript"/>
        </w:rPr>
        <w:t>3</w:t>
      </w:r>
      <w:r w:rsidR="00DB2F4D" w:rsidRPr="00231E72">
        <w:rPr>
          <w:rFonts w:ascii="Book Antiqua" w:eastAsia="Book Antiqua" w:hAnsi="Book Antiqua" w:cs="Book Antiqua"/>
          <w:color w:val="000000"/>
          <w:vertAlign w:val="superscript"/>
        </w:rPr>
        <w:t>,4</w:t>
      </w:r>
      <w:r w:rsidRPr="00231E72">
        <w:rPr>
          <w:rFonts w:ascii="Book Antiqua" w:eastAsia="Book Antiqua" w:hAnsi="Book Antiqua" w:cs="Book Antiqua"/>
          <w:color w:val="000000"/>
          <w:vertAlign w:val="superscript"/>
        </w:rPr>
        <w:t>]</w:t>
      </w:r>
      <w:r w:rsidRPr="00231E72">
        <w:rPr>
          <w:rFonts w:ascii="Book Antiqua" w:eastAsia="Book Antiqua" w:hAnsi="Book Antiqua" w:cs="Book Antiqua"/>
          <w:color w:val="000000"/>
        </w:rPr>
        <w:t>. The mother underwent one standard course of controlled ovarian stimulation with 1650 UI of Gonal (FSH, Merck, Darmstadt, Germany) and 375 UI of Merapur (Hmg Ferring Laboratories, Saint-Prex, Switzerland). After 36 h, 12 oocytes (10 were in Metaphase II) were retrieved with ultrasound guidance and were fertilized by intracytoplasmic sperm injection. Only morphologically optimal embryos were considered for PGT, using the Istanbul Consensus Workshop Criteria on Embryo Assessment</w:t>
      </w:r>
      <w:r w:rsidRPr="00231E72">
        <w:rPr>
          <w:rFonts w:ascii="Book Antiqua" w:eastAsia="Book Antiqua" w:hAnsi="Book Antiqua" w:cs="Book Antiqua"/>
          <w:color w:val="000000"/>
          <w:vertAlign w:val="superscript"/>
        </w:rPr>
        <w:t>[</w:t>
      </w:r>
      <w:r w:rsidR="005D22B8" w:rsidRPr="00231E72">
        <w:rPr>
          <w:rFonts w:ascii="Book Antiqua" w:eastAsia="Book Antiqua" w:hAnsi="Book Antiqua" w:cs="Book Antiqua"/>
          <w:color w:val="000000"/>
          <w:vertAlign w:val="superscript"/>
        </w:rPr>
        <w:t>3</w:t>
      </w:r>
      <w:r w:rsidRPr="00231E72">
        <w:rPr>
          <w:rFonts w:ascii="Book Antiqua" w:eastAsia="Book Antiqua" w:hAnsi="Book Antiqua" w:cs="Book Antiqua"/>
          <w:color w:val="000000"/>
          <w:vertAlign w:val="superscript"/>
        </w:rPr>
        <w:t>]</w:t>
      </w:r>
      <w:r w:rsidRPr="00231E72">
        <w:rPr>
          <w:rFonts w:ascii="Book Antiqua" w:eastAsia="Book Antiqua" w:hAnsi="Book Antiqua" w:cs="Book Antiqua"/>
          <w:color w:val="000000"/>
        </w:rPr>
        <w:t>.</w:t>
      </w:r>
    </w:p>
    <w:p w14:paraId="691DACE0" w14:textId="23C0DE81" w:rsidR="00A77B3E" w:rsidRPr="00231E72" w:rsidRDefault="00433AFC" w:rsidP="00F142BD">
      <w:pPr>
        <w:spacing w:line="360" w:lineRule="auto"/>
        <w:ind w:firstLineChars="100" w:firstLine="240"/>
        <w:jc w:val="both"/>
        <w:rPr>
          <w:rFonts w:ascii="Book Antiqua" w:hAnsi="Book Antiqua"/>
          <w:lang w:eastAsia="zh-CN"/>
        </w:rPr>
      </w:pPr>
      <w:r w:rsidRPr="00231E72">
        <w:rPr>
          <w:rFonts w:ascii="Book Antiqua" w:eastAsia="Book Antiqua" w:hAnsi="Book Antiqua" w:cs="Book Antiqua"/>
          <w:color w:val="000000"/>
        </w:rPr>
        <w:t xml:space="preserve">During </w:t>
      </w:r>
      <w:r w:rsidRPr="00231E72">
        <w:rPr>
          <w:rFonts w:ascii="Book Antiqua" w:hAnsi="Book Antiqua" w:cs="Book Antiqua"/>
          <w:color w:val="000000"/>
          <w:lang w:eastAsia="zh-CN"/>
        </w:rPr>
        <w:t>d</w:t>
      </w:r>
      <w:r w:rsidR="006748EB" w:rsidRPr="00231E72">
        <w:rPr>
          <w:rFonts w:ascii="Book Antiqua" w:eastAsia="Book Antiqua" w:hAnsi="Book Antiqua" w:cs="Book Antiqua"/>
          <w:color w:val="000000"/>
        </w:rPr>
        <w:t>ay 5 of embryonic development, two embryos were determined to be of high-quality and were biopsied.</w:t>
      </w:r>
      <w:bookmarkEnd w:id="40"/>
      <w:r w:rsidR="006748EB" w:rsidRPr="00231E72">
        <w:rPr>
          <w:rFonts w:ascii="Book Antiqua" w:eastAsia="Book Antiqua" w:hAnsi="Book Antiqua" w:cs="Book Antiqua"/>
          <w:color w:val="000000"/>
        </w:rPr>
        <w:t xml:space="preserve"> Using micromanipulation, 4-7 cells from the trophectoderm were isolated and placed into a 0.2 mL PCR tube. Afterward, the embryos were cryopreserved using the vitrification technique</w:t>
      </w:r>
      <w:r w:rsidR="006748EB" w:rsidRPr="00231E72">
        <w:rPr>
          <w:rFonts w:ascii="Book Antiqua" w:eastAsia="Book Antiqua" w:hAnsi="Book Antiqua" w:cs="Book Antiqua"/>
          <w:color w:val="000000"/>
          <w:vertAlign w:val="superscript"/>
        </w:rPr>
        <w:t>[</w:t>
      </w:r>
      <w:r w:rsidR="00DB2F4D" w:rsidRPr="00231E72">
        <w:rPr>
          <w:rFonts w:ascii="Book Antiqua" w:eastAsia="Book Antiqua" w:hAnsi="Book Antiqua" w:cs="Book Antiqua"/>
          <w:color w:val="000000"/>
          <w:vertAlign w:val="superscript"/>
        </w:rPr>
        <w:t>4</w:t>
      </w:r>
      <w:r w:rsidR="006748EB" w:rsidRPr="00231E72">
        <w:rPr>
          <w:rFonts w:ascii="Book Antiqua" w:eastAsia="Book Antiqua" w:hAnsi="Book Antiqua" w:cs="Book Antiqua"/>
          <w:color w:val="000000"/>
          <w:vertAlign w:val="superscript"/>
        </w:rPr>
        <w:t>]</w:t>
      </w:r>
      <w:r w:rsidR="006748EB" w:rsidRPr="00231E72">
        <w:rPr>
          <w:rFonts w:ascii="Book Antiqua" w:eastAsia="Book Antiqua" w:hAnsi="Book Antiqua" w:cs="Book Antiqua"/>
          <w:color w:val="000000"/>
        </w:rPr>
        <w:t>. The biopsies were subjected to Whole Genome Amplification (WGA, according to the manufacturer's protocol) using the SurePlex DNA Amplification System (Illumina Inc.,</w:t>
      </w:r>
      <w:r w:rsidRPr="00231E72">
        <w:rPr>
          <w:rFonts w:ascii="Book Antiqua" w:eastAsia="Book Antiqua" w:hAnsi="Book Antiqua" w:cs="Book Antiqua"/>
          <w:color w:val="000000"/>
        </w:rPr>
        <w:t xml:space="preserve"> San Diego, CA, </w:t>
      </w:r>
      <w:bookmarkStart w:id="41" w:name="OLE_LINK39"/>
      <w:bookmarkStart w:id="42" w:name="OLE_LINK40"/>
      <w:r w:rsidRPr="00231E72">
        <w:rPr>
          <w:rFonts w:ascii="Book Antiqua" w:eastAsia="Book Antiqua" w:hAnsi="Book Antiqua" w:cs="Book Antiqua"/>
          <w:color w:val="000000"/>
        </w:rPr>
        <w:t>U</w:t>
      </w:r>
      <w:r w:rsidRPr="00231E72">
        <w:rPr>
          <w:rFonts w:ascii="Book Antiqua" w:hAnsi="Book Antiqua" w:cs="Book Antiqua"/>
          <w:color w:val="000000"/>
          <w:lang w:eastAsia="zh-CN"/>
        </w:rPr>
        <w:t>nited States</w:t>
      </w:r>
      <w:bookmarkEnd w:id="41"/>
      <w:bookmarkEnd w:id="42"/>
      <w:r w:rsidR="006748EB" w:rsidRPr="00231E72">
        <w:rPr>
          <w:rFonts w:ascii="Book Antiqua" w:eastAsia="Book Antiqua" w:hAnsi="Book Antiqua" w:cs="Book Antiqua"/>
          <w:color w:val="000000"/>
        </w:rPr>
        <w:t>). NGS (Veri-seq PGS Library Prep kit, Illumina Inc., San Diego, CA,</w:t>
      </w:r>
      <w:r w:rsidRPr="00231E72">
        <w:rPr>
          <w:rFonts w:ascii="Book Antiqua" w:eastAsia="Book Antiqua" w:hAnsi="Book Antiqua" w:cs="Book Antiqua"/>
          <w:color w:val="000000"/>
        </w:rPr>
        <w:t xml:space="preserve"> U</w:t>
      </w:r>
      <w:r w:rsidRPr="00231E72">
        <w:rPr>
          <w:rFonts w:ascii="Book Antiqua" w:hAnsi="Book Antiqua" w:cs="Book Antiqua"/>
          <w:color w:val="000000"/>
          <w:lang w:eastAsia="zh-CN"/>
        </w:rPr>
        <w:t>nited States</w:t>
      </w:r>
      <w:r w:rsidR="006748EB" w:rsidRPr="00231E72">
        <w:rPr>
          <w:rFonts w:ascii="Book Antiqua" w:eastAsia="Book Antiqua" w:hAnsi="Book Antiqua" w:cs="Book Antiqua"/>
          <w:color w:val="000000"/>
        </w:rPr>
        <w:t>) was performed and embryo ploidy assessment was obtained</w:t>
      </w:r>
      <w:r w:rsidR="006748EB" w:rsidRPr="00231E72">
        <w:rPr>
          <w:rFonts w:ascii="Book Antiqua" w:eastAsia="Book Antiqua" w:hAnsi="Book Antiqua" w:cs="Book Antiqua"/>
          <w:color w:val="000000"/>
          <w:vertAlign w:val="superscript"/>
        </w:rPr>
        <w:t>[</w:t>
      </w:r>
      <w:r w:rsidR="00DB2F4D" w:rsidRPr="00231E72">
        <w:rPr>
          <w:rFonts w:ascii="Book Antiqua" w:eastAsia="Book Antiqua" w:hAnsi="Book Antiqua" w:cs="Book Antiqua"/>
          <w:color w:val="000000"/>
          <w:vertAlign w:val="superscript"/>
        </w:rPr>
        <w:t>4</w:t>
      </w:r>
      <w:r w:rsidR="006748EB" w:rsidRPr="00231E72">
        <w:rPr>
          <w:rFonts w:ascii="Book Antiqua" w:eastAsia="Book Antiqua" w:hAnsi="Book Antiqua" w:cs="Book Antiqua"/>
          <w:color w:val="000000"/>
          <w:vertAlign w:val="superscript"/>
        </w:rPr>
        <w:t>]</w:t>
      </w:r>
      <w:r w:rsidR="006748EB" w:rsidRPr="00231E72">
        <w:rPr>
          <w:rFonts w:ascii="Book Antiqua" w:eastAsia="Book Antiqua" w:hAnsi="Book Antiqua" w:cs="Book Antiqua"/>
          <w:color w:val="000000"/>
        </w:rPr>
        <w:t xml:space="preserve">. To determine the embryos’ </w:t>
      </w:r>
      <w:r w:rsidR="006748EB" w:rsidRPr="00231E72">
        <w:rPr>
          <w:rFonts w:ascii="Book Antiqua" w:eastAsia="Book Antiqua" w:hAnsi="Book Antiqua" w:cs="Book Antiqua"/>
          <w:i/>
          <w:color w:val="000000"/>
        </w:rPr>
        <w:t>PCCA</w:t>
      </w:r>
      <w:r w:rsidR="006748EB" w:rsidRPr="00231E72">
        <w:rPr>
          <w:rFonts w:ascii="Book Antiqua" w:eastAsia="Book Antiqua" w:hAnsi="Book Antiqua" w:cs="Book Antiqua"/>
          <w:color w:val="000000"/>
        </w:rPr>
        <w:t xml:space="preserve"> genotype, in triplicate, WGA-DNA samples were subjected to PCR amplification and Sanger sequencing assays, as previously employed for both parents. Samples from healthy adults and blank controls were included in all PCR and Sanger assays. The two embryos obtained were found to have a normal chromosome composition by PGT-A and were characterized as euploid. For PGT-M for PA, the first embryo (E1), which had a normal XX sex chromosome composition, was heterozygous for the pathogenic </w:t>
      </w:r>
      <w:r w:rsidR="006748EB" w:rsidRPr="00231E72">
        <w:rPr>
          <w:rFonts w:ascii="Book Antiqua" w:eastAsia="Book Antiqua" w:hAnsi="Book Antiqua" w:cs="Book Antiqua"/>
          <w:i/>
          <w:color w:val="000000"/>
        </w:rPr>
        <w:t>PCCA</w:t>
      </w:r>
      <w:r w:rsidR="006748EB" w:rsidRPr="00231E72">
        <w:rPr>
          <w:rFonts w:ascii="Book Antiqua" w:eastAsia="Book Antiqua" w:hAnsi="Book Antiqua" w:cs="Book Antiqua"/>
          <w:color w:val="000000"/>
        </w:rPr>
        <w:t xml:space="preserve"> variant (NG_008768.1(NM_000282.3): c.2041-1G&gt;T) and was diagnosed as a non-affected female PA carrier (Figure 1B). The second embryo (E2), which had a normal XY sex chromosome composition, was wild-type for the </w:t>
      </w:r>
      <w:r w:rsidR="006748EB" w:rsidRPr="00231E72">
        <w:rPr>
          <w:rFonts w:ascii="Book Antiqua" w:eastAsia="Book Antiqua" w:hAnsi="Book Antiqua" w:cs="Book Antiqua"/>
          <w:i/>
          <w:color w:val="000000"/>
        </w:rPr>
        <w:t>PCCA</w:t>
      </w:r>
      <w:r w:rsidR="006748EB" w:rsidRPr="00231E72">
        <w:rPr>
          <w:rFonts w:ascii="Book Antiqua" w:eastAsia="Book Antiqua" w:hAnsi="Book Antiqua" w:cs="Book Antiqua"/>
          <w:color w:val="000000"/>
        </w:rPr>
        <w:t xml:space="preserve"> gene and was diagnosed as a non-affected male (Figure 1B). Both embryos were determined to be acceptable for transferred, after both parents agreed. </w:t>
      </w:r>
      <w:bookmarkStart w:id="43" w:name="_Hlk80246853"/>
      <w:r w:rsidR="006748EB" w:rsidRPr="00231E72">
        <w:rPr>
          <w:rFonts w:ascii="Book Antiqua" w:eastAsia="Book Antiqua" w:hAnsi="Book Antiqua" w:cs="Book Antiqua"/>
          <w:color w:val="000000"/>
        </w:rPr>
        <w:t xml:space="preserve">The embryo implantation protocol consisted of endometrial </w:t>
      </w:r>
      <w:r w:rsidR="006748EB" w:rsidRPr="00231E72">
        <w:rPr>
          <w:rFonts w:ascii="Book Antiqua" w:eastAsia="Book Antiqua" w:hAnsi="Book Antiqua" w:cs="Book Antiqua"/>
          <w:color w:val="000000"/>
        </w:rPr>
        <w:lastRenderedPageBreak/>
        <w:t>preparation with Evorel 50 and Gonapeptil depot (Ferring Laboratories, Saint-Prex, Switzerland). Luteal phase support was carried out with Utrogestan (300 mg/day/vaginal).</w:t>
      </w:r>
    </w:p>
    <w:bookmarkEnd w:id="43"/>
    <w:p w14:paraId="327DF7A0" w14:textId="77777777" w:rsidR="00A77B3E" w:rsidRPr="00231E72" w:rsidRDefault="00A77B3E" w:rsidP="00F142BD">
      <w:pPr>
        <w:spacing w:line="360" w:lineRule="auto"/>
        <w:jc w:val="both"/>
        <w:rPr>
          <w:rFonts w:ascii="Book Antiqua" w:hAnsi="Book Antiqua"/>
        </w:rPr>
      </w:pPr>
    </w:p>
    <w:p w14:paraId="25917E55"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OUTCOME AND FOLLOW-UP</w:t>
      </w:r>
    </w:p>
    <w:p w14:paraId="59A8481D"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 xml:space="preserve">Fourteen days after transfer, β-hCG serum levels were 168.0 mUI/mL, confirming a positive pregnancy. After 16 wk, an ultrasound exhibited a single gestational sac. The couple declined to confirm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genotype of the fetus by invasive diagnostic testing. Duo test was performed during week 11-13, which indicated a low risk of chromosomopathy during the 1st trimester. Also, a Torch screen was performed, which was negative. Structural ultrasound and five following consultations showed that the baby was healthy throughout the pregnancy. A healthy newborn male was delivered after 38 wk of pregnancy (weight: 4080 g, length: 49 cm, APGAR 9/9). The newborn’s metabolic screening demonstrated a normal acylcarnitine profile. Moreover, none of the typical symptoms for PA were noted in the subsequent days after birth. When this article was submitted, the child was four months of age and has not presented with any symptoms of PA.</w:t>
      </w:r>
    </w:p>
    <w:p w14:paraId="27E35415" w14:textId="77777777" w:rsidR="00A77B3E" w:rsidRPr="00231E72" w:rsidRDefault="00A77B3E" w:rsidP="00F142BD">
      <w:pPr>
        <w:spacing w:line="360" w:lineRule="auto"/>
        <w:jc w:val="both"/>
        <w:rPr>
          <w:rFonts w:ascii="Book Antiqua" w:hAnsi="Book Antiqua"/>
        </w:rPr>
      </w:pPr>
    </w:p>
    <w:p w14:paraId="571D7169"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DISCUSSION</w:t>
      </w:r>
    </w:p>
    <w:p w14:paraId="1F94A36F" w14:textId="49B46864"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Here, we report a couple that underwent preconception counseling, pre- and post-genetic testing counseling, subjected to IVF and PGT-M to avoid the high probability of bearing an affected PA offspring. The preventive reproductive approach was successful and the couple was able to conceive a healthy newborn. As reported with other potentially fatal organic acidemias, the poor clinical prognosis of PA justifies providing preconception genetic counseling and preventive reproductive options, like PGT-M, to at-risk couples</w:t>
      </w:r>
      <w:r w:rsidRPr="00231E72">
        <w:rPr>
          <w:rFonts w:ascii="Book Antiqua" w:hAnsi="Book Antiqua" w:cs="Book Antiqua"/>
          <w:color w:val="000000"/>
          <w:vertAlign w:val="superscript"/>
          <w:lang w:eastAsia="zh-CN"/>
        </w:rPr>
        <w:t>[</w:t>
      </w:r>
      <w:r w:rsidR="00DB2F4D" w:rsidRPr="00231E72">
        <w:rPr>
          <w:rFonts w:ascii="Book Antiqua" w:hAnsi="Book Antiqua" w:cs="Book Antiqua"/>
          <w:color w:val="000000"/>
          <w:vertAlign w:val="superscript"/>
          <w:lang w:eastAsia="zh-CN"/>
        </w:rPr>
        <w:t>5</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w:t>
      </w:r>
      <w:r w:rsidR="00E35B86" w:rsidRPr="00231E72">
        <w:rPr>
          <w:rFonts w:ascii="Book Antiqua" w:hAnsi="Book Antiqua" w:cs="Book Antiqua"/>
          <w:color w:val="000000"/>
          <w:lang w:eastAsia="zh-CN"/>
        </w:rPr>
        <w:t xml:space="preserve"> </w:t>
      </w:r>
      <w:r w:rsidRPr="00231E72">
        <w:rPr>
          <w:rFonts w:ascii="Book Antiqua" w:eastAsia="Book Antiqua" w:hAnsi="Book Antiqua" w:cs="Book Antiqua"/>
          <w:color w:val="000000"/>
        </w:rPr>
        <w:t>Monogenic disorders have been estimated to occur in about 0.36</w:t>
      </w:r>
      <w:r w:rsidR="00AD083E" w:rsidRPr="00231E72">
        <w:rPr>
          <w:rFonts w:ascii="Book Antiqua" w:eastAsia="Book Antiqua" w:hAnsi="Book Antiqua" w:cs="Book Antiqua"/>
          <w:color w:val="000000"/>
        </w:rPr>
        <w:t>%</w:t>
      </w:r>
      <w:r w:rsidR="006E1555"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of births</w:t>
      </w:r>
      <w:r w:rsidRPr="00231E72">
        <w:rPr>
          <w:rFonts w:ascii="Book Antiqua" w:hAnsi="Book Antiqua" w:cs="Book Antiqua"/>
          <w:color w:val="000000"/>
          <w:vertAlign w:val="superscript"/>
          <w:lang w:eastAsia="zh-CN"/>
        </w:rPr>
        <w:t>[</w:t>
      </w:r>
      <w:r w:rsidR="00DB2F4D" w:rsidRPr="00231E72">
        <w:rPr>
          <w:rFonts w:ascii="Book Antiqua" w:hAnsi="Book Antiqua" w:cs="Book Antiqua"/>
          <w:color w:val="000000"/>
          <w:vertAlign w:val="superscript"/>
          <w:lang w:eastAsia="zh-CN"/>
        </w:rPr>
        <w:t>6</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xml:space="preserve">. These Mendelian diseases can be identified in embryos belonging to at-risk couples through PGT. At present, different technologies are available to directly search for specific mutations for a highly accurate genetic diagnosis of potential embryos. PGT-M has been </w:t>
      </w:r>
      <w:r w:rsidRPr="00231E72">
        <w:rPr>
          <w:rFonts w:ascii="Book Antiqua" w:eastAsia="Book Antiqua" w:hAnsi="Book Antiqua" w:cs="Book Antiqua"/>
          <w:color w:val="000000"/>
        </w:rPr>
        <w:lastRenderedPageBreak/>
        <w:t>performed with sequencing verification for 234 pathogenic genetic variants</w:t>
      </w:r>
      <w:r w:rsidR="006E1555" w:rsidRPr="00231E72">
        <w:rPr>
          <w:rFonts w:ascii="Book Antiqua" w:eastAsia="Book Antiqua" w:hAnsi="Book Antiqua" w:cs="Book Antiqua"/>
          <w:color w:val="000000"/>
        </w:rPr>
        <w:t>;</w:t>
      </w:r>
      <w:r w:rsidRPr="00231E72">
        <w:rPr>
          <w:rFonts w:ascii="Book Antiqua" w:eastAsia="Book Antiqua" w:hAnsi="Book Antiqua" w:cs="Book Antiqua"/>
          <w:color w:val="000000"/>
        </w:rPr>
        <w:t xml:space="preserve"> however, this approach increases the cost and time to complete. As pointed out before, NGS strategies applied to PGT-M allow identifying pathogenic variants located across the genome, including those responsible for </w:t>
      </w:r>
      <w:r w:rsidR="006E1555" w:rsidRPr="00231E72">
        <w:rPr>
          <w:rFonts w:ascii="Book Antiqua" w:eastAsia="Book Antiqua" w:hAnsi="Book Antiqua" w:cs="Book Antiqua"/>
          <w:color w:val="000000"/>
        </w:rPr>
        <w:t>“</w:t>
      </w:r>
      <w:r w:rsidRPr="00231E72">
        <w:rPr>
          <w:rFonts w:ascii="Book Antiqua" w:eastAsia="Book Antiqua" w:hAnsi="Book Antiqua" w:cs="Book Antiqua"/>
          <w:color w:val="000000"/>
        </w:rPr>
        <w:t>rare disorders</w:t>
      </w:r>
      <w:r w:rsidR="006E1555" w:rsidRPr="00231E72">
        <w:rPr>
          <w:rFonts w:ascii="Book Antiqua" w:eastAsia="Book Antiqua" w:hAnsi="Book Antiqua" w:cs="Book Antiqua"/>
          <w:color w:val="000000"/>
        </w:rPr>
        <w:t>”</w:t>
      </w:r>
      <w:r w:rsidRPr="00231E72">
        <w:rPr>
          <w:rFonts w:ascii="Book Antiqua" w:eastAsia="Book Antiqua" w:hAnsi="Book Antiqua" w:cs="Book Antiqua"/>
          <w:color w:val="000000"/>
        </w:rPr>
        <w:t xml:space="preserve">, like </w:t>
      </w:r>
      <w:r w:rsidR="00545B9E" w:rsidRPr="00231E72">
        <w:rPr>
          <w:rFonts w:ascii="Book Antiqua" w:eastAsia="Book Antiqua" w:hAnsi="Book Antiqua" w:cs="Book Antiqua"/>
          <w:color w:val="000000"/>
        </w:rPr>
        <w:t>acidemias</w:t>
      </w:r>
      <w:r w:rsidRPr="00231E72">
        <w:rPr>
          <w:rFonts w:ascii="Book Antiqua" w:hAnsi="Book Antiqua" w:cs="Book Antiqua"/>
          <w:color w:val="000000"/>
          <w:vertAlign w:val="superscript"/>
          <w:lang w:eastAsia="zh-CN"/>
        </w:rPr>
        <w:t>[</w:t>
      </w:r>
      <w:r w:rsidR="00A47C6D" w:rsidRPr="00231E72">
        <w:rPr>
          <w:rFonts w:ascii="Book Antiqua" w:hAnsi="Book Antiqua" w:cs="Book Antiqua"/>
          <w:color w:val="000000"/>
          <w:vertAlign w:val="superscript"/>
          <w:lang w:eastAsia="zh-CN"/>
        </w:rPr>
        <w:t>5</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However, this approach is an expensive and time-consuming testing that does not appear to be an affordable option for couples where a specific pathogenic genotype has been previously identified. Therefore, the most straightforward approach is to perform PGT-M to identify the pathogenic genotype from IVF-generated euploid embryos</w:t>
      </w:r>
      <w:r w:rsidR="00545B9E" w:rsidRPr="00231E72">
        <w:rPr>
          <w:rFonts w:ascii="Book Antiqua" w:hAnsi="Book Antiqua" w:cs="Book Antiqua"/>
          <w:color w:val="000000"/>
          <w:vertAlign w:val="superscript"/>
          <w:lang w:eastAsia="zh-CN"/>
        </w:rPr>
        <w:t>[</w:t>
      </w:r>
      <w:r w:rsidR="0047069D" w:rsidRPr="00231E72">
        <w:rPr>
          <w:rFonts w:ascii="Book Antiqua" w:hAnsi="Book Antiqua" w:cs="Book Antiqua"/>
          <w:color w:val="000000"/>
          <w:vertAlign w:val="superscript"/>
          <w:lang w:eastAsia="zh-CN"/>
        </w:rPr>
        <w:t>4</w:t>
      </w:r>
      <w:r w:rsidR="00545B9E"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Indeed, here, our technique presents as an alternative to prenatal diagnosis and avoids termination of a pregnancy in the case of a compromised fetus. Moreover, the cost associated with the methodology presented here can significantly reduce the patient's expenses, making the test accessible.</w:t>
      </w:r>
    </w:p>
    <w:p w14:paraId="244EAE72" w14:textId="67F98D3A" w:rsidR="00A77B3E" w:rsidRPr="00231E72" w:rsidRDefault="006748EB" w:rsidP="00F142BD">
      <w:pPr>
        <w:spacing w:line="360" w:lineRule="auto"/>
        <w:ind w:firstLineChars="100" w:firstLine="240"/>
        <w:jc w:val="both"/>
        <w:rPr>
          <w:rFonts w:ascii="Book Antiqua" w:hAnsi="Book Antiqua"/>
        </w:rPr>
      </w:pPr>
      <w:r w:rsidRPr="00231E72">
        <w:rPr>
          <w:rFonts w:ascii="Book Antiqua" w:eastAsia="Book Antiqua" w:hAnsi="Book Antiqua" w:cs="Book Antiqua"/>
          <w:color w:val="000000"/>
        </w:rPr>
        <w:t>With embryo biopsies, a significant problem during analysis can arise if there is inadequate DNA or its concentration is very low. The signal can be improved by performing WGA. We have previously shown that using WGA-DNA, obtained by the fragmentation/amplification-based method, yields a suitable DNA template for the generation of small PCR fragments (250 bp</w:t>
      </w:r>
      <w:r w:rsidR="00AD083E" w:rsidRPr="00231E72">
        <w:rPr>
          <w:rFonts w:ascii="Book Antiqua" w:eastAsia="Book Antiqua" w:hAnsi="Book Antiqua" w:cs="Book Antiqua"/>
          <w:color w:val="000000"/>
        </w:rPr>
        <w:t xml:space="preserve"> aprox</w:t>
      </w:r>
      <w:r w:rsidRPr="00231E72">
        <w:rPr>
          <w:rFonts w:ascii="Book Antiqua" w:eastAsia="Book Antiqua" w:hAnsi="Book Antiqua" w:cs="Book Antiqua"/>
          <w:color w:val="000000"/>
        </w:rPr>
        <w:t>). Those fragments are successfully sequenced by the simple automated Sanger method to rapidly determine a specific embryo genotype for a single nucleotide change or other small pathogenic variants</w:t>
      </w:r>
      <w:r w:rsidRPr="00231E72">
        <w:rPr>
          <w:rFonts w:ascii="Book Antiqua" w:hAnsi="Book Antiqua" w:cs="Book Antiqua"/>
          <w:color w:val="000000"/>
          <w:vertAlign w:val="superscript"/>
          <w:lang w:eastAsia="zh-CN"/>
        </w:rPr>
        <w:t>[</w:t>
      </w:r>
      <w:r w:rsidR="0047069D" w:rsidRPr="00231E72">
        <w:rPr>
          <w:rFonts w:ascii="Book Antiqua" w:hAnsi="Book Antiqua" w:cs="Book Antiqua"/>
          <w:color w:val="000000"/>
          <w:vertAlign w:val="superscript"/>
          <w:lang w:eastAsia="zh-CN"/>
        </w:rPr>
        <w:t>4</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xml:space="preserve">. However, such assays must consider a false positive possibility due to the </w:t>
      </w:r>
      <w:r w:rsidRPr="00231E72">
        <w:rPr>
          <w:rFonts w:ascii="Book Antiqua" w:eastAsia="Book Antiqua" w:hAnsi="Book Antiqua" w:cs="Book Antiqua"/>
          <w:iCs/>
          <w:color w:val="000000"/>
        </w:rPr>
        <w:t>allele drop-out</w:t>
      </w:r>
      <w:r w:rsidRPr="00231E72">
        <w:rPr>
          <w:rFonts w:ascii="Book Antiqua" w:eastAsia="Book Antiqua" w:hAnsi="Book Antiqua" w:cs="Book Antiqua"/>
          <w:color w:val="000000"/>
        </w:rPr>
        <w:t xml:space="preserve"> phenomena. As also noted in the recently reported PGT-M procedure performed with the WGA-DNA template obtained by isothermal genome amplification</w:t>
      </w:r>
      <w:r w:rsidRPr="00231E72">
        <w:rPr>
          <w:rFonts w:ascii="Book Antiqua" w:hAnsi="Book Antiqua" w:cs="Book Antiqua"/>
          <w:color w:val="000000"/>
          <w:vertAlign w:val="superscript"/>
          <w:lang w:eastAsia="zh-CN"/>
        </w:rPr>
        <w:t>[</w:t>
      </w:r>
      <w:r w:rsidR="0047069D" w:rsidRPr="00231E72">
        <w:rPr>
          <w:rFonts w:ascii="Book Antiqua" w:hAnsi="Book Antiqua" w:cs="Book Antiqua"/>
          <w:color w:val="000000"/>
          <w:vertAlign w:val="superscript"/>
          <w:lang w:eastAsia="zh-CN"/>
        </w:rPr>
        <w:t>4</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in our triplicate Sanger sequencing assay, we were unable to document the allele drop-out phenomena. It would be necessary to carry out further validation studies to quantify the possibility of allelic amplification imbalances when PGT-M is based on WGA-DNA obtained by a fragmentation/amplification-based method.</w:t>
      </w:r>
    </w:p>
    <w:p w14:paraId="79870C13" w14:textId="2ECB1BC8" w:rsidR="00A77B3E" w:rsidRPr="00231E72" w:rsidRDefault="006748EB" w:rsidP="00F142BD">
      <w:pPr>
        <w:spacing w:line="360" w:lineRule="auto"/>
        <w:ind w:firstLineChars="100" w:firstLine="240"/>
        <w:jc w:val="both"/>
        <w:rPr>
          <w:rFonts w:ascii="Book Antiqua" w:hAnsi="Book Antiqua"/>
        </w:rPr>
      </w:pPr>
      <w:r w:rsidRPr="00231E72">
        <w:rPr>
          <w:rFonts w:ascii="Book Antiqua" w:eastAsia="Book Antiqua" w:hAnsi="Book Antiqua" w:cs="Book Antiqua"/>
          <w:color w:val="000000"/>
        </w:rPr>
        <w:t xml:space="preserve">The birth prevalence of PA across Asia-Pacific, Europe, and North America </w:t>
      </w:r>
      <w:r w:rsidR="006D1023" w:rsidRPr="00231E72">
        <w:rPr>
          <w:rFonts w:ascii="Book Antiqua" w:eastAsia="Book Antiqua" w:hAnsi="Book Antiqua" w:cs="Book Antiqua"/>
          <w:color w:val="000000"/>
        </w:rPr>
        <w:t>is 0.29, 0.33, and 0.33 per 100</w:t>
      </w:r>
      <w:r w:rsidRPr="00231E72">
        <w:rPr>
          <w:rFonts w:ascii="Book Antiqua" w:eastAsia="Book Antiqua" w:hAnsi="Book Antiqua" w:cs="Book Antiqua"/>
          <w:color w:val="000000"/>
        </w:rPr>
        <w:t>000 newborns, respectively</w:t>
      </w:r>
      <w:r w:rsidRPr="00231E72">
        <w:rPr>
          <w:rFonts w:ascii="Book Antiqua" w:hAnsi="Book Antiqua" w:cs="Book Antiqua"/>
          <w:color w:val="000000"/>
          <w:vertAlign w:val="superscript"/>
          <w:lang w:eastAsia="zh-CN"/>
        </w:rPr>
        <w:t>[</w:t>
      </w:r>
      <w:r w:rsidR="0047069D" w:rsidRPr="00231E72">
        <w:rPr>
          <w:rFonts w:ascii="Book Antiqua" w:hAnsi="Book Antiqua" w:cs="Book Antiqua"/>
          <w:color w:val="000000"/>
          <w:vertAlign w:val="superscript"/>
          <w:lang w:eastAsia="zh-CN"/>
        </w:rPr>
        <w:t>7</w:t>
      </w:r>
      <w:r w:rsidRPr="00231E72">
        <w:rPr>
          <w:rFonts w:ascii="Book Antiqua" w:hAnsi="Book Antiqua" w:cs="Book Antiqua"/>
          <w:color w:val="000000"/>
          <w:vertAlign w:val="superscript"/>
          <w:lang w:eastAsia="zh-CN"/>
        </w:rPr>
        <w:t>]</w:t>
      </w:r>
      <w:r w:rsidRPr="00231E72">
        <w:rPr>
          <w:rFonts w:ascii="Book Antiqua" w:hAnsi="Book Antiqua" w:cs="Book Antiqua"/>
          <w:color w:val="000000"/>
          <w:lang w:eastAsia="zh-CN"/>
        </w:rPr>
        <w:t>,</w:t>
      </w:r>
      <w:r w:rsidRPr="00231E72">
        <w:rPr>
          <w:rFonts w:ascii="Book Antiqua" w:eastAsia="Book Antiqua" w:hAnsi="Book Antiqua" w:cs="Book Antiqua"/>
          <w:color w:val="000000"/>
        </w:rPr>
        <w:t xml:space="preserve"> however, it is still unknown in Mexico. This disorder appears to be very rare for the Mexican population, as determined by</w:t>
      </w:r>
      <w:r w:rsidR="00F12FD1" w:rsidRPr="00231E72">
        <w:rPr>
          <w:rFonts w:ascii="Book Antiqua" w:eastAsia="Book Antiqua" w:hAnsi="Book Antiqua" w:cs="Book Antiqua"/>
          <w:color w:val="000000"/>
        </w:rPr>
        <w:t xml:space="preserve"> at </w:t>
      </w:r>
      <w:r w:rsidR="00F12FD1" w:rsidRPr="00231E72">
        <w:rPr>
          <w:rFonts w:ascii="Book Antiqua" w:eastAsia="Book Antiqua" w:hAnsi="Book Antiqua" w:cs="Book Antiqua"/>
          <w:color w:val="000000"/>
        </w:rPr>
        <w:lastRenderedPageBreak/>
        <w:t>least</w:t>
      </w:r>
      <w:r w:rsidRPr="00231E72">
        <w:rPr>
          <w:rFonts w:ascii="Book Antiqua" w:eastAsia="Book Antiqua" w:hAnsi="Book Antiqua" w:cs="Book Antiqua"/>
          <w:color w:val="000000"/>
        </w:rPr>
        <w:t xml:space="preserve"> t</w:t>
      </w:r>
      <w:r w:rsidR="00F12FD1" w:rsidRPr="00231E72">
        <w:rPr>
          <w:rFonts w:ascii="Book Antiqua" w:eastAsia="Book Antiqua" w:hAnsi="Book Antiqua" w:cs="Book Antiqua"/>
          <w:color w:val="000000"/>
        </w:rPr>
        <w:t>wo</w:t>
      </w:r>
      <w:r w:rsidRPr="00231E72">
        <w:rPr>
          <w:rFonts w:ascii="Book Antiqua" w:eastAsia="Book Antiqua" w:hAnsi="Book Antiqua" w:cs="Book Antiqua"/>
          <w:color w:val="000000"/>
        </w:rPr>
        <w:t xml:space="preserve"> expanded neonatal screening reports applying an acylcarnitine profile</w:t>
      </w:r>
      <w:r w:rsidRPr="00231E72">
        <w:rPr>
          <w:rFonts w:ascii="Book Antiqua" w:hAnsi="Book Antiqua" w:cs="Book Antiqua"/>
          <w:color w:val="000000"/>
          <w:vertAlign w:val="superscript"/>
          <w:lang w:eastAsia="zh-CN"/>
        </w:rPr>
        <w:t>[</w:t>
      </w:r>
      <w:r w:rsidR="008B160B" w:rsidRPr="00231E72">
        <w:rPr>
          <w:rFonts w:ascii="Book Antiqua" w:hAnsi="Book Antiqua" w:cs="Book Antiqua"/>
          <w:color w:val="000000"/>
          <w:vertAlign w:val="superscript"/>
          <w:lang w:eastAsia="zh-CN"/>
        </w:rPr>
        <w:t>8.</w:t>
      </w:r>
      <w:r w:rsidR="00AF3F2C" w:rsidRPr="00231E72">
        <w:rPr>
          <w:rFonts w:ascii="Book Antiqua" w:hAnsi="Book Antiqua" w:cs="Book Antiqua"/>
          <w:color w:val="000000"/>
          <w:vertAlign w:val="superscript"/>
          <w:lang w:eastAsia="zh-CN"/>
        </w:rPr>
        <w:t>9</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xml:space="preserve">, even though PA comprises </w:t>
      </w:r>
      <w:r w:rsidR="006E1555" w:rsidRPr="00231E72">
        <w:rPr>
          <w:rFonts w:ascii="Book Antiqua" w:eastAsia="Book Antiqua" w:hAnsi="Book Antiqua" w:cs="Book Antiqua"/>
          <w:color w:val="000000"/>
        </w:rPr>
        <w:t xml:space="preserve">around </w:t>
      </w:r>
      <w:r w:rsidRPr="00231E72">
        <w:rPr>
          <w:rFonts w:ascii="Book Antiqua" w:eastAsia="Book Antiqua" w:hAnsi="Book Antiqua" w:cs="Book Antiqua"/>
          <w:color w:val="000000"/>
        </w:rPr>
        <w:t>7</w:t>
      </w:r>
      <w:r w:rsidR="00AD083E" w:rsidRPr="00231E72">
        <w:rPr>
          <w:rFonts w:ascii="Book Antiqua" w:eastAsia="Book Antiqua" w:hAnsi="Book Antiqua" w:cs="Book Antiqua"/>
          <w:color w:val="000000"/>
        </w:rPr>
        <w:t>%</w:t>
      </w:r>
      <w:r w:rsidR="006E1555" w:rsidRPr="00231E72">
        <w:rPr>
          <w:rFonts w:ascii="Book Antiqua" w:eastAsia="Book Antiqua" w:hAnsi="Book Antiqua" w:cs="Book Antiqua"/>
          <w:color w:val="000000"/>
        </w:rPr>
        <w:t xml:space="preserve"> </w:t>
      </w:r>
      <w:r w:rsidRPr="00231E72">
        <w:rPr>
          <w:rFonts w:ascii="Book Antiqua" w:eastAsia="Book Antiqua" w:hAnsi="Book Antiqua" w:cs="Book Antiqua"/>
          <w:color w:val="000000"/>
        </w:rPr>
        <w:t>of all detected inborn errors of intermediary metabolism in Mexican patients</w:t>
      </w:r>
      <w:r w:rsidRPr="00231E72">
        <w:rPr>
          <w:rFonts w:ascii="Book Antiqua" w:hAnsi="Book Antiqua" w:cs="Book Antiqua"/>
          <w:color w:val="000000"/>
          <w:vertAlign w:val="superscript"/>
          <w:lang w:eastAsia="zh-CN"/>
        </w:rPr>
        <w:t>[</w:t>
      </w:r>
      <w:r w:rsidR="004B715E" w:rsidRPr="00231E72">
        <w:rPr>
          <w:rFonts w:ascii="Book Antiqua" w:hAnsi="Book Antiqua" w:cs="Book Antiqua"/>
          <w:color w:val="000000"/>
          <w:vertAlign w:val="superscript"/>
          <w:lang w:eastAsia="zh-CN"/>
        </w:rPr>
        <w:t>10</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To date, in the Human Gene Mutation Database (http://www.hgmd.cf.ac.uk/), there are around 25 splicing defects responsible for PA. To the best of our knowledge, the c.2041-1G</w:t>
      </w:r>
      <w:r w:rsidR="006E1555" w:rsidRPr="00231E72">
        <w:rPr>
          <w:rFonts w:ascii="Book Antiqua" w:eastAsia="Book Antiqua" w:hAnsi="Book Antiqua" w:cs="Book Antiqua"/>
          <w:color w:val="000000"/>
        </w:rPr>
        <w:t>&gt;</w:t>
      </w:r>
      <w:r w:rsidRPr="00231E72">
        <w:rPr>
          <w:rFonts w:ascii="Book Antiqua" w:eastAsia="Book Antiqua" w:hAnsi="Book Antiqua" w:cs="Book Antiqua"/>
          <w:color w:val="000000"/>
        </w:rPr>
        <w:t>T variant has not been reported in the literature as associated with PA. However, according to the gnomAD database, it is listed as an extremely infrequent allele, with only single heterozygous individuals identified in the Latino population (allele frequency 0.00002891). This feature contrasts with the consanguinity antecedent denied by the couple. Interestingly, both parents are of Mexican origin</w:t>
      </w:r>
      <w:r w:rsidR="006E1555" w:rsidRPr="00231E72">
        <w:rPr>
          <w:rFonts w:ascii="Book Antiqua" w:eastAsia="Book Antiqua" w:hAnsi="Book Antiqua" w:cs="Book Antiqua"/>
          <w:color w:val="000000"/>
        </w:rPr>
        <w:t>. H</w:t>
      </w:r>
      <w:r w:rsidRPr="00231E72">
        <w:rPr>
          <w:rFonts w:ascii="Book Antiqua" w:eastAsia="Book Antiqua" w:hAnsi="Book Antiqua" w:cs="Book Antiqua"/>
          <w:color w:val="000000"/>
        </w:rPr>
        <w:t>owever, they come from different states in Mexico, supporting the state of no endogamy in the couple.</w:t>
      </w:r>
    </w:p>
    <w:p w14:paraId="4CE72BBD" w14:textId="59BB1EAA" w:rsidR="00A77B3E" w:rsidRPr="00231E72" w:rsidRDefault="006748EB" w:rsidP="00F142BD">
      <w:pPr>
        <w:spacing w:line="360" w:lineRule="auto"/>
        <w:ind w:firstLineChars="100" w:firstLine="240"/>
        <w:jc w:val="both"/>
        <w:rPr>
          <w:rFonts w:ascii="Book Antiqua" w:hAnsi="Book Antiqua"/>
        </w:rPr>
      </w:pPr>
      <w:r w:rsidRPr="00231E72">
        <w:rPr>
          <w:rFonts w:ascii="Book Antiqua" w:eastAsia="Book Antiqua" w:hAnsi="Book Antiqua" w:cs="Book Antiqua"/>
          <w:color w:val="000000"/>
        </w:rPr>
        <w:t>Recently, the c.2041-1G</w:t>
      </w:r>
      <w:r w:rsidR="006E1555" w:rsidRPr="00231E72">
        <w:rPr>
          <w:rFonts w:ascii="Book Antiqua" w:eastAsia="Book Antiqua" w:hAnsi="Book Antiqua" w:cs="Book Antiqua"/>
          <w:color w:val="000000"/>
        </w:rPr>
        <w:t>&gt;</w:t>
      </w:r>
      <w:r w:rsidRPr="00231E72">
        <w:rPr>
          <w:rFonts w:ascii="Book Antiqua" w:eastAsia="Book Antiqua" w:hAnsi="Book Antiqua" w:cs="Book Antiqua"/>
          <w:color w:val="000000"/>
        </w:rPr>
        <w:t xml:space="preserve">T variant has been reported in the ClinVar database as a likely pathogenic variant (RCV000802701.1), as it predicts to nullify the recognition of the natural acceptor splice site of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intron 22. Another pathogenic variant, c.2041-2A</w:t>
      </w:r>
      <w:r w:rsidR="006E1555" w:rsidRPr="00231E72">
        <w:rPr>
          <w:rFonts w:ascii="Book Antiqua" w:eastAsia="Book Antiqua" w:hAnsi="Book Antiqua" w:cs="Book Antiqua"/>
          <w:color w:val="000000"/>
        </w:rPr>
        <w:t>&gt;</w:t>
      </w:r>
      <w:r w:rsidRPr="00231E72">
        <w:rPr>
          <w:rFonts w:ascii="Book Antiqua" w:eastAsia="Book Antiqua" w:hAnsi="Book Antiqua" w:cs="Book Antiqua"/>
          <w:color w:val="000000"/>
        </w:rPr>
        <w:t>G, affects the same acceptor splicing site, conditioning exon 23 skipping in the mRNA</w:t>
      </w:r>
      <w:r w:rsidR="00545B9E" w:rsidRPr="00231E72">
        <w:rPr>
          <w:rFonts w:ascii="Book Antiqua" w:hAnsi="Book Antiqua" w:cs="Book Antiqua"/>
          <w:color w:val="000000"/>
          <w:vertAlign w:val="superscript"/>
          <w:lang w:eastAsia="zh-CN"/>
        </w:rPr>
        <w:t xml:space="preserve"> </w:t>
      </w:r>
      <w:r w:rsidRPr="00231E72">
        <w:rPr>
          <w:rFonts w:ascii="Book Antiqua" w:eastAsia="Book Antiqua" w:hAnsi="Book Antiqua" w:cs="Book Antiqua"/>
          <w:color w:val="000000"/>
        </w:rPr>
        <w:t>but leads to a relatively mild PA phenotype with high residual PCC activity in fibroblasts. This is attributed to generating a small amount of normally spliced transcripts</w:t>
      </w:r>
      <w:r w:rsidR="0095569E" w:rsidRPr="00231E72">
        <w:rPr>
          <w:rFonts w:ascii="Book Antiqua" w:hAnsi="Book Antiqua" w:cs="Book Antiqua"/>
          <w:color w:val="000000"/>
          <w:vertAlign w:val="superscript"/>
          <w:lang w:eastAsia="zh-CN"/>
        </w:rPr>
        <w:t>[</w:t>
      </w:r>
      <w:r w:rsidR="00AF3F2C" w:rsidRPr="00231E72">
        <w:rPr>
          <w:rFonts w:ascii="Book Antiqua" w:hAnsi="Book Antiqua" w:cs="Book Antiqua"/>
          <w:color w:val="000000"/>
          <w:vertAlign w:val="superscript"/>
          <w:lang w:eastAsia="zh-CN"/>
        </w:rPr>
        <w:t>11</w:t>
      </w:r>
      <w:r w:rsidR="0095569E"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If the c.2041-1G</w:t>
      </w:r>
      <w:r w:rsidR="006E1555" w:rsidRPr="00231E72">
        <w:rPr>
          <w:rFonts w:ascii="Book Antiqua" w:eastAsia="Book Antiqua" w:hAnsi="Book Antiqua" w:cs="Book Antiqua"/>
          <w:color w:val="000000"/>
        </w:rPr>
        <w:t>&gt;</w:t>
      </w:r>
      <w:r w:rsidRPr="00231E72">
        <w:rPr>
          <w:rFonts w:ascii="Book Antiqua" w:eastAsia="Book Antiqua" w:hAnsi="Book Antiqua" w:cs="Book Antiqua"/>
          <w:color w:val="000000"/>
        </w:rPr>
        <w:t>T variant also leads to exon 23 skipping, the resulting protein will lose a biotin-binding motif, leading to a non-functional PCC enzyme</w:t>
      </w:r>
      <w:r w:rsidRPr="00231E72">
        <w:rPr>
          <w:rFonts w:ascii="Book Antiqua" w:hAnsi="Book Antiqua" w:cs="Book Antiqua"/>
          <w:color w:val="000000"/>
          <w:vertAlign w:val="superscript"/>
          <w:lang w:eastAsia="zh-CN"/>
        </w:rPr>
        <w:t>[</w:t>
      </w:r>
      <w:r w:rsidR="00545B9E" w:rsidRPr="00231E72">
        <w:rPr>
          <w:rFonts w:ascii="Book Antiqua" w:hAnsi="Book Antiqua" w:cs="Book Antiqua"/>
          <w:color w:val="000000"/>
          <w:vertAlign w:val="superscript"/>
          <w:lang w:eastAsia="zh-CN"/>
        </w:rPr>
        <w:t>1</w:t>
      </w:r>
      <w:r w:rsidR="0047069D" w:rsidRPr="00231E72">
        <w:rPr>
          <w:rFonts w:ascii="Book Antiqua" w:hAnsi="Book Antiqua" w:cs="Book Antiqua"/>
          <w:color w:val="000000"/>
          <w:vertAlign w:val="superscript"/>
          <w:lang w:eastAsia="zh-CN"/>
        </w:rPr>
        <w:t>1</w:t>
      </w:r>
      <w:r w:rsidRPr="00231E72">
        <w:rPr>
          <w:rFonts w:ascii="Book Antiqua" w:hAnsi="Book Antiqua" w:cs="Book Antiqua"/>
          <w:color w:val="000000"/>
          <w:vertAlign w:val="superscript"/>
          <w:lang w:eastAsia="zh-CN"/>
        </w:rPr>
        <w:t>]</w:t>
      </w:r>
      <w:r w:rsidRPr="00231E72">
        <w:rPr>
          <w:rFonts w:ascii="Book Antiqua" w:eastAsia="Book Antiqua" w:hAnsi="Book Antiqua" w:cs="Book Antiqua"/>
          <w:color w:val="000000"/>
        </w:rPr>
        <w:t>. Possible residual exon 23 retention and the activation of the in silico predicted out-of-frame cryptic acceptor splice site inside exon 23 must be confirmed by further experimental assays to define the precise pathogenic effect of c.2041-1G</w:t>
      </w:r>
      <w:r w:rsidR="006E1555" w:rsidRPr="00231E72">
        <w:rPr>
          <w:rFonts w:ascii="Book Antiqua" w:eastAsia="Book Antiqua" w:hAnsi="Book Antiqua" w:cs="Book Antiqua"/>
          <w:color w:val="000000"/>
        </w:rPr>
        <w:t>&gt;</w:t>
      </w:r>
      <w:r w:rsidRPr="00231E72">
        <w:rPr>
          <w:rFonts w:ascii="Book Antiqua" w:eastAsia="Book Antiqua" w:hAnsi="Book Antiqua" w:cs="Book Antiqua"/>
          <w:color w:val="000000"/>
        </w:rPr>
        <w:t>T and its possible genotype-phenotype correlation.</w:t>
      </w:r>
    </w:p>
    <w:p w14:paraId="5B85CECB" w14:textId="77777777" w:rsidR="00A77B3E" w:rsidRPr="00231E72" w:rsidRDefault="00A77B3E" w:rsidP="00F142BD">
      <w:pPr>
        <w:spacing w:line="360" w:lineRule="auto"/>
        <w:jc w:val="both"/>
        <w:rPr>
          <w:rFonts w:ascii="Book Antiqua" w:hAnsi="Book Antiqua"/>
        </w:rPr>
      </w:pPr>
    </w:p>
    <w:p w14:paraId="375B397B"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CONCLUSION</w:t>
      </w:r>
    </w:p>
    <w:p w14:paraId="41B90790"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 xml:space="preserve">Here, we report the c.2041-1G&gt;T variant of the </w:t>
      </w:r>
      <w:r w:rsidRPr="00231E72">
        <w:rPr>
          <w:rFonts w:ascii="Book Antiqua" w:eastAsia="Book Antiqua" w:hAnsi="Book Antiqua" w:cs="Book Antiqua"/>
          <w:i/>
          <w:color w:val="000000"/>
        </w:rPr>
        <w:t>PCCA</w:t>
      </w:r>
      <w:r w:rsidRPr="00231E72">
        <w:rPr>
          <w:rFonts w:ascii="Book Antiqua" w:eastAsia="Book Antiqua" w:hAnsi="Book Antiqua" w:cs="Book Antiqua"/>
          <w:color w:val="000000"/>
        </w:rPr>
        <w:t xml:space="preserve"> gene is possibly associated with PA. Moreover, we show that using PGT-M coupled with IVF could be applied to avoid the transmission of PA in patients’ descendances, which should decrease the potential of an unsuccessful pregnancy and increase the possibility of delivering a healthy baby. Lastly, </w:t>
      </w:r>
      <w:r w:rsidRPr="00231E72">
        <w:rPr>
          <w:rFonts w:ascii="Book Antiqua" w:eastAsia="Book Antiqua" w:hAnsi="Book Antiqua" w:cs="Book Antiqua"/>
          <w:color w:val="000000"/>
        </w:rPr>
        <w:lastRenderedPageBreak/>
        <w:t>we demonstrate the feasibility of using WGA-DNA templates for a low-cost, rapid, and accurate PGT-M for life-threatening disorders, like PA.</w:t>
      </w:r>
    </w:p>
    <w:p w14:paraId="7263FE05" w14:textId="77777777" w:rsidR="00A77B3E" w:rsidRPr="00231E72" w:rsidRDefault="00A77B3E" w:rsidP="00F142BD">
      <w:pPr>
        <w:spacing w:line="360" w:lineRule="auto"/>
        <w:jc w:val="both"/>
        <w:rPr>
          <w:rFonts w:ascii="Book Antiqua" w:hAnsi="Book Antiqua"/>
        </w:rPr>
      </w:pPr>
    </w:p>
    <w:p w14:paraId="0114F670"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aps/>
          <w:color w:val="000000"/>
          <w:u w:val="single"/>
        </w:rPr>
        <w:t>ACKNOWLEDGEMENTS</w:t>
      </w:r>
    </w:p>
    <w:p w14:paraId="1C3EDA77" w14:textId="77777777" w:rsidR="00A77B3E" w:rsidRPr="00231E72" w:rsidRDefault="006748EB" w:rsidP="00F142BD">
      <w:pPr>
        <w:spacing w:line="360" w:lineRule="auto"/>
        <w:jc w:val="both"/>
        <w:rPr>
          <w:rFonts w:ascii="Book Antiqua" w:hAnsi="Book Antiqua"/>
          <w:lang w:eastAsia="zh-CN"/>
        </w:rPr>
      </w:pPr>
      <w:r w:rsidRPr="00231E72">
        <w:rPr>
          <w:rFonts w:ascii="Book Antiqua" w:eastAsia="Book Antiqua" w:hAnsi="Book Antiqua" w:cs="Book Antiqua"/>
          <w:color w:val="000000"/>
        </w:rPr>
        <w:t>We are grateful to the participants of the study and to Ing. Lucero Cervantes Pozos for her editorial assistance. We also</w:t>
      </w:r>
      <w:r w:rsidR="002F0802" w:rsidRPr="00231E72">
        <w:rPr>
          <w:rFonts w:ascii="Book Antiqua" w:eastAsia="Book Antiqua" w:hAnsi="Book Antiqua" w:cs="Book Antiqua"/>
          <w:color w:val="000000"/>
        </w:rPr>
        <w:t xml:space="preserve"> thank the technical support of</w:t>
      </w:r>
      <w:r w:rsidRPr="00231E72">
        <w:rPr>
          <w:rFonts w:ascii="Book Antiqua" w:eastAsia="Book Antiqua" w:hAnsi="Book Antiqua" w:cs="Book Antiqua"/>
          <w:color w:val="000000"/>
        </w:rPr>
        <w:t xml:space="preserve"> Semper Genomics SA de CV</w:t>
      </w:r>
      <w:r w:rsidR="002F0802" w:rsidRPr="00231E72">
        <w:rPr>
          <w:rFonts w:ascii="Book Antiqua" w:hAnsi="Book Antiqua" w:cs="Book Antiqua"/>
          <w:color w:val="000000"/>
          <w:lang w:eastAsia="zh-CN"/>
        </w:rPr>
        <w:t>.</w:t>
      </w:r>
    </w:p>
    <w:p w14:paraId="670430DC" w14:textId="77777777" w:rsidR="00A76E82" w:rsidRPr="00231E72" w:rsidRDefault="00A76E82" w:rsidP="00F142BD">
      <w:pPr>
        <w:spacing w:line="360" w:lineRule="auto"/>
        <w:jc w:val="both"/>
        <w:rPr>
          <w:rFonts w:ascii="Book Antiqua" w:hAnsi="Book Antiqua"/>
        </w:rPr>
      </w:pPr>
    </w:p>
    <w:p w14:paraId="1C661DAF" w14:textId="77777777" w:rsidR="0003183E" w:rsidRPr="00231E72" w:rsidRDefault="00A76E82" w:rsidP="00F142BD">
      <w:pPr>
        <w:spacing w:line="360" w:lineRule="auto"/>
        <w:jc w:val="both"/>
        <w:rPr>
          <w:rFonts w:ascii="Book Antiqua" w:hAnsi="Book Antiqua" w:cs="Book Antiqua"/>
          <w:b/>
          <w:color w:val="000000"/>
          <w:lang w:eastAsia="zh-CN"/>
        </w:rPr>
      </w:pPr>
      <w:r w:rsidRPr="00231E72">
        <w:rPr>
          <w:rFonts w:ascii="Book Antiqua" w:eastAsia="Book Antiqua" w:hAnsi="Book Antiqua" w:cs="Book Antiqua"/>
          <w:b/>
          <w:color w:val="000000"/>
        </w:rPr>
        <w:t>REFERENCES</w:t>
      </w:r>
    </w:p>
    <w:p w14:paraId="4F064FA5" w14:textId="148D8A22" w:rsidR="0003183E" w:rsidRPr="00231E72" w:rsidRDefault="0003183E" w:rsidP="00F142BD">
      <w:pPr>
        <w:adjustRightInd w:val="0"/>
        <w:snapToGrid w:val="0"/>
        <w:spacing w:line="360" w:lineRule="auto"/>
        <w:jc w:val="both"/>
        <w:rPr>
          <w:rFonts w:ascii="Book Antiqua" w:hAnsi="Book Antiqua"/>
        </w:rPr>
      </w:pPr>
      <w:bookmarkStart w:id="44" w:name="_Hlk81236484"/>
      <w:r w:rsidRPr="00231E72">
        <w:rPr>
          <w:rFonts w:ascii="Book Antiqua" w:hAnsi="Book Antiqua"/>
        </w:rPr>
        <w:t>1 </w:t>
      </w:r>
      <w:r w:rsidRPr="00231E72">
        <w:rPr>
          <w:rFonts w:ascii="Book Antiqua" w:hAnsi="Book Antiqua"/>
          <w:b/>
          <w:bCs/>
        </w:rPr>
        <w:t>Wongkittichote P</w:t>
      </w:r>
      <w:r w:rsidRPr="00231E72">
        <w:rPr>
          <w:rFonts w:ascii="Book Antiqua" w:hAnsi="Book Antiqua"/>
        </w:rPr>
        <w:t>, Ah Mew N, Chapman KA. Propionyl-CoA carboxylase - A review. </w:t>
      </w:r>
      <w:r w:rsidRPr="00231E72">
        <w:rPr>
          <w:rFonts w:ascii="Book Antiqua" w:hAnsi="Book Antiqua"/>
          <w:i/>
          <w:iCs/>
        </w:rPr>
        <w:t>Mol Genet Metab</w:t>
      </w:r>
      <w:r w:rsidRPr="00231E72">
        <w:rPr>
          <w:rFonts w:ascii="Book Antiqua" w:hAnsi="Book Antiqua"/>
        </w:rPr>
        <w:t> 2017; </w:t>
      </w:r>
      <w:r w:rsidRPr="00231E72">
        <w:rPr>
          <w:rFonts w:ascii="Book Antiqua" w:hAnsi="Book Antiqua"/>
          <w:b/>
          <w:bCs/>
        </w:rPr>
        <w:t>122</w:t>
      </w:r>
      <w:r w:rsidRPr="00231E72">
        <w:rPr>
          <w:rFonts w:ascii="Book Antiqua" w:hAnsi="Book Antiqua"/>
        </w:rPr>
        <w:t>: 145-152 [PMID: 29033250 DOI: 10.1016/j.ymgme.2017.10.002]</w:t>
      </w:r>
    </w:p>
    <w:p w14:paraId="402A3CE4" w14:textId="77777777" w:rsidR="0003183E" w:rsidRPr="00231E72"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rPr>
        <w:t>2 </w:t>
      </w:r>
      <w:r w:rsidRPr="00231E72">
        <w:rPr>
          <w:rFonts w:ascii="Book Antiqua" w:hAnsi="Book Antiqua"/>
          <w:b/>
          <w:bCs/>
        </w:rPr>
        <w:t>Pena L</w:t>
      </w:r>
      <w:r w:rsidRPr="00231E72">
        <w:rPr>
          <w:rFonts w:ascii="Book Antiqua" w:hAnsi="Book Antiqua"/>
        </w:rPr>
        <w:t>, Franks J, Chapman KA, Gropman A, Ah Mew N, Chakrapani A, Island E, MacLeod E, Matern D, Smith B, Stagni K, Sutton VR, Ueda K, Urv T, Venditti C, Enns GM, Summar ML. Natural history of propionic acidemia. </w:t>
      </w:r>
      <w:r w:rsidRPr="00231E72">
        <w:rPr>
          <w:rFonts w:ascii="Book Antiqua" w:hAnsi="Book Antiqua"/>
          <w:i/>
          <w:iCs/>
        </w:rPr>
        <w:t>Mol Genet Metab</w:t>
      </w:r>
      <w:r w:rsidRPr="00231E72">
        <w:rPr>
          <w:rFonts w:ascii="Book Antiqua" w:hAnsi="Book Antiqua"/>
        </w:rPr>
        <w:t> 2012; </w:t>
      </w:r>
      <w:r w:rsidRPr="00231E72">
        <w:rPr>
          <w:rFonts w:ascii="Book Antiqua" w:hAnsi="Book Antiqua"/>
          <w:b/>
          <w:bCs/>
        </w:rPr>
        <w:t>105</w:t>
      </w:r>
      <w:r w:rsidRPr="00231E72">
        <w:rPr>
          <w:rFonts w:ascii="Book Antiqua" w:hAnsi="Book Antiqua"/>
        </w:rPr>
        <w:t>: 5-9 [PMID: 21986446 DOI: 10.1016/j.ymgme.2011.09.022]</w:t>
      </w:r>
    </w:p>
    <w:p w14:paraId="48312E56" w14:textId="1CE2FCC0" w:rsidR="0003183E" w:rsidRPr="00231E72"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rPr>
        <w:t>3 </w:t>
      </w:r>
      <w:r w:rsidRPr="00231E72">
        <w:rPr>
          <w:rFonts w:ascii="Book Antiqua" w:hAnsi="Book Antiqua"/>
          <w:b/>
          <w:bCs/>
        </w:rPr>
        <w:t>Alpha Scientists in Reproductive Medicine and ESHRE Special Interest Group of Embryology.</w:t>
      </w:r>
      <w:r w:rsidRPr="00231E72">
        <w:rPr>
          <w:rFonts w:ascii="Book Antiqua" w:hAnsi="Book Antiqua"/>
        </w:rPr>
        <w:t>. The Istanbul consensus workshop on embryo assessment: proceedings of an expert meeting. </w:t>
      </w:r>
      <w:r w:rsidRPr="00231E72">
        <w:rPr>
          <w:rFonts w:ascii="Book Antiqua" w:hAnsi="Book Antiqua"/>
          <w:i/>
          <w:iCs/>
        </w:rPr>
        <w:t>Hum Reprod</w:t>
      </w:r>
      <w:r w:rsidRPr="00231E72">
        <w:rPr>
          <w:rFonts w:ascii="Book Antiqua" w:hAnsi="Book Antiqua"/>
        </w:rPr>
        <w:t> 2011; </w:t>
      </w:r>
      <w:r w:rsidRPr="00231E72">
        <w:rPr>
          <w:rFonts w:ascii="Book Antiqua" w:hAnsi="Book Antiqua"/>
          <w:b/>
          <w:bCs/>
        </w:rPr>
        <w:t>26</w:t>
      </w:r>
      <w:r w:rsidRPr="00231E72">
        <w:rPr>
          <w:rFonts w:ascii="Book Antiqua" w:hAnsi="Book Antiqua"/>
        </w:rPr>
        <w:t>: 1270-1283 [PMID: 21502182 DOI: 10.1093/humrep/der037]</w:t>
      </w:r>
    </w:p>
    <w:p w14:paraId="3CC3A156" w14:textId="4620F8A8" w:rsidR="005D22B8" w:rsidRPr="00231E72" w:rsidRDefault="005D22B8"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rPr>
        <w:t>4</w:t>
      </w:r>
      <w:r w:rsidR="0003183E" w:rsidRPr="00231E72">
        <w:rPr>
          <w:rFonts w:ascii="Book Antiqua" w:hAnsi="Book Antiqua"/>
        </w:rPr>
        <w:t> </w:t>
      </w:r>
      <w:r w:rsidRPr="00231E72">
        <w:rPr>
          <w:rFonts w:ascii="Book Antiqua" w:hAnsi="Book Antiqua"/>
          <w:b/>
          <w:bCs/>
        </w:rPr>
        <w:t>Neumann A</w:t>
      </w:r>
      <w:r w:rsidRPr="00231E72">
        <w:rPr>
          <w:rFonts w:ascii="Book Antiqua" w:hAnsi="Book Antiqua"/>
        </w:rPr>
        <w:t>, Alcántara-Ortigoza MÁ, González-Del Ángel A, Camargo-Diaz F, López-Bayghen E. Diagnosis of Laron syndrome using monoplex-polymerase chain reaction technology with a whole-genome amplification template: A case report. </w:t>
      </w:r>
      <w:r w:rsidRPr="00231E72">
        <w:rPr>
          <w:rFonts w:ascii="Book Antiqua" w:hAnsi="Book Antiqua"/>
          <w:i/>
          <w:iCs/>
        </w:rPr>
        <w:t>World J Clin Cases</w:t>
      </w:r>
      <w:r w:rsidRPr="00231E72">
        <w:rPr>
          <w:rFonts w:ascii="Book Antiqua" w:hAnsi="Book Antiqua"/>
        </w:rPr>
        <w:t> 2019; </w:t>
      </w:r>
      <w:r w:rsidRPr="00231E72">
        <w:rPr>
          <w:rFonts w:ascii="Book Antiqua" w:hAnsi="Book Antiqua"/>
          <w:b/>
          <w:bCs/>
        </w:rPr>
        <w:t>7</w:t>
      </w:r>
      <w:r w:rsidRPr="00231E72">
        <w:rPr>
          <w:rFonts w:ascii="Book Antiqua" w:hAnsi="Book Antiqua"/>
        </w:rPr>
        <w:t>: 4029-4035 [PMID: 31832405 DOI: 10.12998/wjcc.v7.i23.4029]</w:t>
      </w:r>
    </w:p>
    <w:p w14:paraId="5FAFDC82" w14:textId="01B81414" w:rsidR="0003183E" w:rsidRPr="00231E72"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rPr>
        <w:t>5</w:t>
      </w:r>
      <w:r w:rsidR="0003183E" w:rsidRPr="00231E72">
        <w:rPr>
          <w:rFonts w:ascii="Book Antiqua" w:hAnsi="Book Antiqua"/>
        </w:rPr>
        <w:t> </w:t>
      </w:r>
      <w:r w:rsidR="0003183E" w:rsidRPr="00231E72">
        <w:rPr>
          <w:rFonts w:ascii="Book Antiqua" w:hAnsi="Book Antiqua"/>
          <w:b/>
          <w:bCs/>
        </w:rPr>
        <w:t>Habibzadeh P</w:t>
      </w:r>
      <w:r w:rsidR="0003183E" w:rsidRPr="00231E72">
        <w:rPr>
          <w:rFonts w:ascii="Book Antiqua" w:hAnsi="Book Antiqua"/>
        </w:rPr>
        <w:t>, Tabatabaei Z, Farazi Fard MA, Jamali L, Hafizi A, Nikuei P, Salarian L, Nasr Esfahani MH, Anvar Z, Faghihi MA. Pre-implantation genetic diagnosis in an Iranian family with a novel mutation in MUT gene. </w:t>
      </w:r>
      <w:r w:rsidR="0003183E" w:rsidRPr="00231E72">
        <w:rPr>
          <w:rFonts w:ascii="Book Antiqua" w:hAnsi="Book Antiqua"/>
          <w:i/>
          <w:iCs/>
        </w:rPr>
        <w:t>BMC Med Genet</w:t>
      </w:r>
      <w:r w:rsidR="0003183E" w:rsidRPr="00231E72">
        <w:rPr>
          <w:rFonts w:ascii="Book Antiqua" w:hAnsi="Book Antiqua"/>
        </w:rPr>
        <w:t> 2020; </w:t>
      </w:r>
      <w:r w:rsidR="0003183E" w:rsidRPr="00231E72">
        <w:rPr>
          <w:rFonts w:ascii="Book Antiqua" w:hAnsi="Book Antiqua"/>
          <w:b/>
          <w:bCs/>
        </w:rPr>
        <w:t>21</w:t>
      </w:r>
      <w:r w:rsidR="0003183E" w:rsidRPr="00231E72">
        <w:rPr>
          <w:rFonts w:ascii="Book Antiqua" w:hAnsi="Book Antiqua"/>
        </w:rPr>
        <w:t>: 22 [PMID: 32013889 DOI: 10.1186/s12881-020-0959-8]</w:t>
      </w:r>
    </w:p>
    <w:p w14:paraId="78AB5D63" w14:textId="7049EC0F" w:rsidR="0003183E" w:rsidRPr="00231E72"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rPr>
        <w:lastRenderedPageBreak/>
        <w:t>6</w:t>
      </w:r>
      <w:r w:rsidR="0003183E" w:rsidRPr="00231E72">
        <w:rPr>
          <w:rFonts w:ascii="Book Antiqua" w:hAnsi="Book Antiqua"/>
        </w:rPr>
        <w:t> </w:t>
      </w:r>
      <w:r w:rsidR="0003183E" w:rsidRPr="00231E72">
        <w:rPr>
          <w:rFonts w:ascii="Book Antiqua" w:hAnsi="Book Antiqua"/>
          <w:b/>
          <w:bCs/>
        </w:rPr>
        <w:t>Verma IC</w:t>
      </w:r>
      <w:r w:rsidR="0003183E" w:rsidRPr="00231E72">
        <w:rPr>
          <w:rFonts w:ascii="Book Antiqua" w:hAnsi="Book Antiqua"/>
        </w:rPr>
        <w:t>, Puri RD. Global burden of genetic disease and the role of genetic screening. </w:t>
      </w:r>
      <w:r w:rsidR="0003183E" w:rsidRPr="00231E72">
        <w:rPr>
          <w:rFonts w:ascii="Book Antiqua" w:hAnsi="Book Antiqua"/>
          <w:i/>
          <w:iCs/>
        </w:rPr>
        <w:t>Semin Fetal Neonatal Med</w:t>
      </w:r>
      <w:r w:rsidR="0003183E" w:rsidRPr="00231E72">
        <w:rPr>
          <w:rFonts w:ascii="Book Antiqua" w:hAnsi="Book Antiqua"/>
        </w:rPr>
        <w:t> 2015; </w:t>
      </w:r>
      <w:r w:rsidR="0003183E" w:rsidRPr="00231E72">
        <w:rPr>
          <w:rFonts w:ascii="Book Antiqua" w:hAnsi="Book Antiqua"/>
          <w:b/>
          <w:bCs/>
        </w:rPr>
        <w:t>20</w:t>
      </w:r>
      <w:r w:rsidR="0003183E" w:rsidRPr="00231E72">
        <w:rPr>
          <w:rFonts w:ascii="Book Antiqua" w:hAnsi="Book Antiqua"/>
        </w:rPr>
        <w:t>: 354-363 [PMID: 26251359 DOI: 10.1016/j.siny.2015.07.002]</w:t>
      </w:r>
    </w:p>
    <w:p w14:paraId="37FB8AE5" w14:textId="7BA676C8" w:rsidR="0003183E" w:rsidRPr="00231E72"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231E72">
        <w:rPr>
          <w:rFonts w:ascii="Book Antiqua" w:hAnsi="Book Antiqua"/>
        </w:rPr>
        <w:t>7</w:t>
      </w:r>
      <w:r w:rsidR="0003183E" w:rsidRPr="00231E72">
        <w:rPr>
          <w:rFonts w:ascii="Book Antiqua" w:hAnsi="Book Antiqua"/>
        </w:rPr>
        <w:t> </w:t>
      </w:r>
      <w:r w:rsidR="0003183E" w:rsidRPr="00231E72">
        <w:rPr>
          <w:rFonts w:ascii="Book Antiqua" w:hAnsi="Book Antiqua"/>
          <w:b/>
          <w:bCs/>
        </w:rPr>
        <w:t>Almási T</w:t>
      </w:r>
      <w:r w:rsidR="0003183E" w:rsidRPr="00231E72">
        <w:rPr>
          <w:rFonts w:ascii="Book Antiqua" w:hAnsi="Book Antiqua"/>
        </w:rPr>
        <w:t>, Guey LT, Lukacs C, Csetneki K, Vokó Z, Zelei T. Systematic literature review and meta-analysis on the epidemiology of propionic acidemia. </w:t>
      </w:r>
      <w:r w:rsidR="0003183E" w:rsidRPr="00231E72">
        <w:rPr>
          <w:rFonts w:ascii="Book Antiqua" w:hAnsi="Book Antiqua"/>
          <w:i/>
          <w:iCs/>
          <w:lang w:val="es-ES"/>
        </w:rPr>
        <w:t>Orphanet J Rare Dis</w:t>
      </w:r>
      <w:r w:rsidR="0003183E" w:rsidRPr="00231E72">
        <w:rPr>
          <w:rFonts w:ascii="Book Antiqua" w:hAnsi="Book Antiqua"/>
          <w:lang w:val="es-ES"/>
        </w:rPr>
        <w:t> 2019; </w:t>
      </w:r>
      <w:r w:rsidR="0003183E" w:rsidRPr="00231E72">
        <w:rPr>
          <w:rFonts w:ascii="Book Antiqua" w:hAnsi="Book Antiqua"/>
          <w:b/>
          <w:bCs/>
          <w:lang w:val="es-ES"/>
        </w:rPr>
        <w:t>14</w:t>
      </w:r>
      <w:r w:rsidR="0003183E" w:rsidRPr="00231E72">
        <w:rPr>
          <w:rFonts w:ascii="Book Antiqua" w:hAnsi="Book Antiqua"/>
          <w:lang w:val="es-ES"/>
        </w:rPr>
        <w:t>: 40 [PMID: 30760309 DOI: 10.1186/s13023-018-0987-z]</w:t>
      </w:r>
    </w:p>
    <w:p w14:paraId="480C3594" w14:textId="60DD56E9" w:rsidR="0003183E" w:rsidRPr="00231E72"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lang w:val="es-ES"/>
        </w:rPr>
        <w:t>8</w:t>
      </w:r>
      <w:r w:rsidR="0003183E" w:rsidRPr="00231E72">
        <w:rPr>
          <w:rFonts w:ascii="Book Antiqua" w:hAnsi="Book Antiqua"/>
          <w:lang w:val="es-ES"/>
        </w:rPr>
        <w:t> </w:t>
      </w:r>
      <w:r w:rsidR="0003183E" w:rsidRPr="00231E72">
        <w:rPr>
          <w:rFonts w:ascii="Book Antiqua" w:hAnsi="Book Antiqua"/>
          <w:b/>
          <w:bCs/>
          <w:lang w:val="es-ES"/>
        </w:rPr>
        <w:t>Torres-Sepúlveda Mdel R</w:t>
      </w:r>
      <w:r w:rsidR="0003183E" w:rsidRPr="00231E72">
        <w:rPr>
          <w:rFonts w:ascii="Book Antiqua" w:hAnsi="Book Antiqua"/>
          <w:lang w:val="es-ES"/>
        </w:rPr>
        <w:t xml:space="preserve">, Martínez-de Villarreal LE, Esmer C, González-Alanís R, Ruiz-Herrera C, Sánchez-Peña A, Mendoza-Cruz JA, Villarreal-Pérez JZ. </w:t>
      </w:r>
      <w:r w:rsidR="0003183E" w:rsidRPr="00231E72">
        <w:rPr>
          <w:rFonts w:ascii="Book Antiqua" w:hAnsi="Book Antiqua"/>
        </w:rPr>
        <w:t>[Expand newborn screening using tandem mass spectrometry: two years' experience in Nuevo León, Mexico]. </w:t>
      </w:r>
      <w:r w:rsidR="0003183E" w:rsidRPr="00231E72">
        <w:rPr>
          <w:rFonts w:ascii="Book Antiqua" w:hAnsi="Book Antiqua"/>
          <w:i/>
          <w:iCs/>
        </w:rPr>
        <w:t>Salud Publica Mex</w:t>
      </w:r>
      <w:r w:rsidR="0003183E" w:rsidRPr="00231E72">
        <w:rPr>
          <w:rFonts w:ascii="Book Antiqua" w:hAnsi="Book Antiqua"/>
        </w:rPr>
        <w:t> 2008; </w:t>
      </w:r>
      <w:r w:rsidR="0003183E" w:rsidRPr="00231E72">
        <w:rPr>
          <w:rFonts w:ascii="Book Antiqua" w:hAnsi="Book Antiqua"/>
          <w:b/>
          <w:bCs/>
        </w:rPr>
        <w:t>50</w:t>
      </w:r>
      <w:r w:rsidR="0003183E" w:rsidRPr="00231E72">
        <w:rPr>
          <w:rFonts w:ascii="Book Antiqua" w:hAnsi="Book Antiqua"/>
        </w:rPr>
        <w:t>: 200-206 [PMID: 18516367 DOI: 10.1590/s0036-36342008000300003]</w:t>
      </w:r>
    </w:p>
    <w:p w14:paraId="1770460F" w14:textId="3398B80E" w:rsidR="0003183E" w:rsidRPr="00231E72"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rPr>
        <w:t>9</w:t>
      </w:r>
      <w:r w:rsidR="0003183E" w:rsidRPr="00231E72">
        <w:rPr>
          <w:rFonts w:ascii="Book Antiqua" w:hAnsi="Book Antiqua"/>
        </w:rPr>
        <w:t> </w:t>
      </w:r>
      <w:r w:rsidR="0003183E" w:rsidRPr="00231E72">
        <w:rPr>
          <w:rFonts w:ascii="Book Antiqua" w:hAnsi="Book Antiqua"/>
          <w:b/>
          <w:bCs/>
        </w:rPr>
        <w:t>Cantú-Reyna,</w:t>
      </w:r>
      <w:r w:rsidR="0003183E" w:rsidRPr="00231E72">
        <w:rPr>
          <w:rFonts w:ascii="Book Antiqua" w:hAnsi="Book Antiqua"/>
        </w:rPr>
        <w:t> C, Zepeda, LM, Montemayor, R, Benavides, S, González, HJ, Vázquez-Cantú, M, Cruz-Camino, H. Incidence of inborn errors of metabolism by expanded newborn screening in a Mexican hospital. J Inborn Errors Metab Screen 2016; 4: 1-8 [DOI: 10.1177/2326409816669027]</w:t>
      </w:r>
    </w:p>
    <w:p w14:paraId="493C7861" w14:textId="3117259C" w:rsidR="0003183E" w:rsidRPr="00231E72"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231E72">
        <w:rPr>
          <w:rFonts w:ascii="Book Antiqua" w:hAnsi="Book Antiqua"/>
        </w:rPr>
        <w:t>1</w:t>
      </w:r>
      <w:r w:rsidR="003E5F0D" w:rsidRPr="00231E72">
        <w:rPr>
          <w:rFonts w:ascii="Book Antiqua" w:hAnsi="Book Antiqua"/>
        </w:rPr>
        <w:t>0</w:t>
      </w:r>
      <w:r w:rsidRPr="00231E72">
        <w:rPr>
          <w:rFonts w:ascii="Book Antiqua" w:hAnsi="Book Antiqua"/>
        </w:rPr>
        <w:t> </w:t>
      </w:r>
      <w:r w:rsidRPr="00231E72">
        <w:rPr>
          <w:rFonts w:ascii="Book Antiqua" w:hAnsi="Book Antiqua"/>
          <w:b/>
          <w:bCs/>
        </w:rPr>
        <w:t>Ibarra-González I</w:t>
      </w:r>
      <w:r w:rsidRPr="00231E72">
        <w:rPr>
          <w:rFonts w:ascii="Book Antiqua" w:hAnsi="Book Antiqua"/>
        </w:rPr>
        <w:t>, Fernández-Lainez C, Belmont-Martínez L, Guillén-López S, Monroy-Santoyo S, Vela-Amieva M. [Characterization of inborn errors of intermediary metabolism in mexican patients]. </w:t>
      </w:r>
      <w:r w:rsidRPr="00231E72">
        <w:rPr>
          <w:rFonts w:ascii="Book Antiqua" w:hAnsi="Book Antiqua"/>
          <w:i/>
          <w:iCs/>
          <w:lang w:val="es-ES"/>
        </w:rPr>
        <w:t>An Pediatr (Barc)</w:t>
      </w:r>
      <w:r w:rsidRPr="00231E72">
        <w:rPr>
          <w:rFonts w:ascii="Book Antiqua" w:hAnsi="Book Antiqua"/>
          <w:lang w:val="es-ES"/>
        </w:rPr>
        <w:t> 2014; </w:t>
      </w:r>
      <w:r w:rsidRPr="00231E72">
        <w:rPr>
          <w:rFonts w:ascii="Book Antiqua" w:hAnsi="Book Antiqua"/>
          <w:b/>
          <w:bCs/>
          <w:lang w:val="es-ES"/>
        </w:rPr>
        <w:t>80</w:t>
      </w:r>
      <w:r w:rsidRPr="00231E72">
        <w:rPr>
          <w:rFonts w:ascii="Book Antiqua" w:hAnsi="Book Antiqua"/>
          <w:lang w:val="es-ES"/>
        </w:rPr>
        <w:t>: 310-316 [PMID: 24140120 DOI: 10.1016/j.anpedi.2013.09.003]</w:t>
      </w:r>
    </w:p>
    <w:p w14:paraId="2FE2ED4B" w14:textId="1168D489" w:rsidR="0003183E" w:rsidRPr="00231E72"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231E72">
        <w:rPr>
          <w:rFonts w:ascii="Book Antiqua" w:hAnsi="Book Antiqua"/>
          <w:lang w:val="es-ES"/>
        </w:rPr>
        <w:t>1</w:t>
      </w:r>
      <w:r w:rsidR="003E5F0D" w:rsidRPr="00231E72">
        <w:rPr>
          <w:rFonts w:ascii="Book Antiqua" w:hAnsi="Book Antiqua"/>
          <w:lang w:val="es-ES"/>
        </w:rPr>
        <w:t>1</w:t>
      </w:r>
      <w:r w:rsidRPr="00231E72">
        <w:rPr>
          <w:rFonts w:ascii="Book Antiqua" w:hAnsi="Book Antiqua"/>
          <w:lang w:val="es-ES"/>
        </w:rPr>
        <w:t> </w:t>
      </w:r>
      <w:r w:rsidRPr="00231E72">
        <w:rPr>
          <w:rFonts w:ascii="Book Antiqua" w:hAnsi="Book Antiqua"/>
          <w:b/>
          <w:bCs/>
          <w:lang w:val="es-ES"/>
        </w:rPr>
        <w:t>Clavero S</w:t>
      </w:r>
      <w:r w:rsidRPr="00231E72">
        <w:rPr>
          <w:rFonts w:ascii="Book Antiqua" w:hAnsi="Book Antiqua"/>
          <w:lang w:val="es-ES"/>
        </w:rPr>
        <w:t xml:space="preserve">, Pérez B, Rincón A, Ugarte M, Desviat LR. </w:t>
      </w:r>
      <w:r w:rsidRPr="00231E72">
        <w:rPr>
          <w:rFonts w:ascii="Book Antiqua" w:hAnsi="Book Antiqua"/>
        </w:rPr>
        <w:t>Qualitative and quantitative analysis of the effect of splicing mutations in propionic acidemia underlying non-severe phenotypes. </w:t>
      </w:r>
      <w:r w:rsidRPr="00231E72">
        <w:rPr>
          <w:rFonts w:ascii="Book Antiqua" w:hAnsi="Book Antiqua"/>
          <w:i/>
          <w:iCs/>
        </w:rPr>
        <w:t>Hum Genet</w:t>
      </w:r>
      <w:r w:rsidRPr="00231E72">
        <w:rPr>
          <w:rFonts w:ascii="Book Antiqua" w:hAnsi="Book Antiqua"/>
        </w:rPr>
        <w:t> 2004; </w:t>
      </w:r>
      <w:r w:rsidRPr="00231E72">
        <w:rPr>
          <w:rFonts w:ascii="Book Antiqua" w:hAnsi="Book Antiqua"/>
          <w:b/>
          <w:bCs/>
        </w:rPr>
        <w:t>115</w:t>
      </w:r>
      <w:r w:rsidRPr="00231E72">
        <w:rPr>
          <w:rFonts w:ascii="Book Antiqua" w:hAnsi="Book Antiqua"/>
        </w:rPr>
        <w:t>: 239-247 [PMID: 15235904 DOI: 10.1007/s00439-004-1147-1]</w:t>
      </w:r>
    </w:p>
    <w:bookmarkEnd w:id="44"/>
    <w:p w14:paraId="71D01312" w14:textId="06939693" w:rsidR="00A76E82" w:rsidRPr="00231E72" w:rsidRDefault="00A76E82" w:rsidP="00F142BD">
      <w:pPr>
        <w:spacing w:line="360" w:lineRule="auto"/>
        <w:jc w:val="both"/>
        <w:rPr>
          <w:rFonts w:ascii="Book Antiqua" w:hAnsi="Book Antiqua"/>
        </w:rPr>
        <w:sectPr w:rsidR="00A76E82" w:rsidRPr="00231E72">
          <w:pgSz w:w="12240" w:h="15840"/>
          <w:pgMar w:top="1440" w:right="1440" w:bottom="1440" w:left="1440" w:header="720" w:footer="720" w:gutter="0"/>
          <w:cols w:space="720"/>
          <w:docGrid w:linePitch="360"/>
        </w:sectPr>
      </w:pPr>
    </w:p>
    <w:p w14:paraId="56788942"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lastRenderedPageBreak/>
        <w:t>Footnotes</w:t>
      </w:r>
    </w:p>
    <w:p w14:paraId="69367C38"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Informed consent statement: </w:t>
      </w:r>
      <w:r w:rsidRPr="00231E72">
        <w:rPr>
          <w:rFonts w:ascii="Book Antiqua" w:eastAsia="Book Antiqua" w:hAnsi="Book Antiqua" w:cs="Book Antiqua"/>
          <w:color w:val="000000"/>
        </w:rPr>
        <w:t>Both patients provided written informed consent to participate in this study, in accordance with the Declaration of Helsinki. Written informed consent was obtained from the patient(s) for their anonymized information to be published in this article.</w:t>
      </w:r>
    </w:p>
    <w:p w14:paraId="6A4868FA" w14:textId="77777777" w:rsidR="00A77B3E" w:rsidRPr="00231E72" w:rsidRDefault="00A77B3E" w:rsidP="00F142BD">
      <w:pPr>
        <w:spacing w:line="360" w:lineRule="auto"/>
        <w:jc w:val="both"/>
        <w:rPr>
          <w:rFonts w:ascii="Book Antiqua" w:hAnsi="Book Antiqua"/>
        </w:rPr>
      </w:pPr>
    </w:p>
    <w:p w14:paraId="76F02997"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Conflict-of-interest statement: </w:t>
      </w:r>
      <w:r w:rsidRPr="00231E72">
        <w:rPr>
          <w:rFonts w:ascii="Book Antiqua" w:eastAsia="Book Antiqua" w:hAnsi="Book Antiqua" w:cs="Book Antiqua"/>
          <w:color w:val="000000"/>
        </w:rPr>
        <w:t>The authors have no relevant financial or non-financial interests to disclose.</w:t>
      </w:r>
    </w:p>
    <w:p w14:paraId="76787FD6" w14:textId="77777777" w:rsidR="00A77B3E" w:rsidRPr="00231E72" w:rsidRDefault="00A77B3E" w:rsidP="00F142BD">
      <w:pPr>
        <w:spacing w:line="360" w:lineRule="auto"/>
        <w:jc w:val="both"/>
        <w:rPr>
          <w:rFonts w:ascii="Book Antiqua" w:hAnsi="Book Antiqua"/>
        </w:rPr>
      </w:pPr>
    </w:p>
    <w:p w14:paraId="07CD29DC"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CARE Checklist (2016) statement: </w:t>
      </w:r>
      <w:r w:rsidRPr="00231E72">
        <w:rPr>
          <w:rFonts w:ascii="Book Antiqua" w:eastAsia="Book Antiqua" w:hAnsi="Book Antiqua" w:cs="Book Antiqua"/>
          <w:color w:val="000000"/>
        </w:rPr>
        <w:t>The authors have read the CARE Checklist (2016), and the manuscript was prepared and revised according to the CARE Checklist (2016).</w:t>
      </w:r>
    </w:p>
    <w:p w14:paraId="64CB8CCD" w14:textId="77777777" w:rsidR="00A77B3E" w:rsidRPr="00231E72" w:rsidRDefault="00A77B3E" w:rsidP="00F142BD">
      <w:pPr>
        <w:spacing w:line="360" w:lineRule="auto"/>
        <w:jc w:val="both"/>
        <w:rPr>
          <w:rFonts w:ascii="Book Antiqua" w:hAnsi="Book Antiqua"/>
        </w:rPr>
      </w:pPr>
    </w:p>
    <w:p w14:paraId="6FE570EE"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bCs/>
          <w:color w:val="000000"/>
        </w:rPr>
        <w:t xml:space="preserve">Open-Access: </w:t>
      </w:r>
      <w:r w:rsidRPr="00231E7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2A6035" w14:textId="77777777" w:rsidR="00A77B3E" w:rsidRPr="00231E72" w:rsidRDefault="00A77B3E" w:rsidP="00F142BD">
      <w:pPr>
        <w:spacing w:line="360" w:lineRule="auto"/>
        <w:jc w:val="both"/>
        <w:rPr>
          <w:rFonts w:ascii="Book Antiqua" w:hAnsi="Book Antiqua"/>
        </w:rPr>
      </w:pPr>
    </w:p>
    <w:p w14:paraId="04B9B3F0"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Manuscript source: </w:t>
      </w:r>
      <w:r w:rsidR="003D3ACE" w:rsidRPr="00231E72">
        <w:rPr>
          <w:rFonts w:ascii="Book Antiqua" w:eastAsia="Book Antiqua" w:hAnsi="Book Antiqua" w:cs="Book Antiqua"/>
          <w:color w:val="000000"/>
        </w:rPr>
        <w:t xml:space="preserve">Unsolicited </w:t>
      </w:r>
      <w:r w:rsidR="003D3ACE" w:rsidRPr="00231E72">
        <w:rPr>
          <w:rFonts w:ascii="Book Antiqua" w:hAnsi="Book Antiqua" w:cs="Book Antiqua"/>
          <w:color w:val="000000"/>
          <w:lang w:eastAsia="zh-CN"/>
        </w:rPr>
        <w:t>m</w:t>
      </w:r>
      <w:r w:rsidRPr="00231E72">
        <w:rPr>
          <w:rFonts w:ascii="Book Antiqua" w:eastAsia="Book Antiqua" w:hAnsi="Book Antiqua" w:cs="Book Antiqua"/>
          <w:color w:val="000000"/>
        </w:rPr>
        <w:t>anuscript</w:t>
      </w:r>
    </w:p>
    <w:p w14:paraId="6338BA21"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Corresponding Author's Membership in Professional Societies: </w:t>
      </w:r>
      <w:r w:rsidRPr="00231E72">
        <w:rPr>
          <w:rFonts w:ascii="Book Antiqua" w:eastAsia="Book Antiqua" w:hAnsi="Book Antiqua" w:cs="Book Antiqua"/>
          <w:color w:val="000000"/>
        </w:rPr>
        <w:t>American Soc</w:t>
      </w:r>
      <w:r w:rsidR="003D3ACE" w:rsidRPr="00231E72">
        <w:rPr>
          <w:rFonts w:ascii="Book Antiqua" w:eastAsia="Book Antiqua" w:hAnsi="Book Antiqua" w:cs="Book Antiqua"/>
          <w:color w:val="000000"/>
        </w:rPr>
        <w:t>iety for Reproductive Medicine</w:t>
      </w:r>
      <w:r w:rsidRPr="00231E72">
        <w:rPr>
          <w:rFonts w:ascii="Book Antiqua" w:eastAsia="Book Antiqua" w:hAnsi="Book Antiqua" w:cs="Book Antiqua"/>
          <w:color w:val="000000"/>
        </w:rPr>
        <w:t xml:space="preserve">; American Society for Neurochemistry, </w:t>
      </w:r>
      <w:r w:rsidR="003D3ACE" w:rsidRPr="00231E72">
        <w:rPr>
          <w:rFonts w:ascii="Book Antiqua" w:hAnsi="Book Antiqua" w:cs="Book Antiqua"/>
          <w:color w:val="000000"/>
          <w:lang w:eastAsia="zh-CN"/>
        </w:rPr>
        <w:t xml:space="preserve">No. </w:t>
      </w:r>
      <w:r w:rsidRPr="00231E72">
        <w:rPr>
          <w:rFonts w:ascii="Book Antiqua" w:eastAsia="Book Antiqua" w:hAnsi="Book Antiqua" w:cs="Book Antiqua"/>
          <w:color w:val="000000"/>
        </w:rPr>
        <w:t xml:space="preserve">12657; Society for Neuroscience, </w:t>
      </w:r>
      <w:r w:rsidR="003D3ACE" w:rsidRPr="00231E72">
        <w:rPr>
          <w:rFonts w:ascii="Book Antiqua" w:hAnsi="Book Antiqua" w:cs="Book Antiqua"/>
          <w:color w:val="000000"/>
          <w:lang w:eastAsia="zh-CN"/>
        </w:rPr>
        <w:t xml:space="preserve">No. </w:t>
      </w:r>
      <w:r w:rsidRPr="00231E72">
        <w:rPr>
          <w:rFonts w:ascii="Book Antiqua" w:eastAsia="Book Antiqua" w:hAnsi="Book Antiqua" w:cs="Book Antiqua"/>
          <w:color w:val="000000"/>
        </w:rPr>
        <w:t>100008912.</w:t>
      </w:r>
    </w:p>
    <w:p w14:paraId="124969D2" w14:textId="77777777" w:rsidR="00A77B3E" w:rsidRPr="00231E72" w:rsidRDefault="00A77B3E" w:rsidP="00F142BD">
      <w:pPr>
        <w:spacing w:line="360" w:lineRule="auto"/>
        <w:jc w:val="both"/>
        <w:rPr>
          <w:rFonts w:ascii="Book Antiqua" w:hAnsi="Book Antiqua"/>
        </w:rPr>
      </w:pPr>
    </w:p>
    <w:p w14:paraId="256D4AFF"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Peer-review started: </w:t>
      </w:r>
      <w:r w:rsidRPr="00231E72">
        <w:rPr>
          <w:rFonts w:ascii="Book Antiqua" w:eastAsia="Book Antiqua" w:hAnsi="Book Antiqua" w:cs="Book Antiqua"/>
          <w:color w:val="000000"/>
        </w:rPr>
        <w:t>December 16, 2020</w:t>
      </w:r>
    </w:p>
    <w:p w14:paraId="6CE2EAD5"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First decision: </w:t>
      </w:r>
      <w:r w:rsidRPr="00231E72">
        <w:rPr>
          <w:rFonts w:ascii="Book Antiqua" w:eastAsia="Book Antiqua" w:hAnsi="Book Antiqua" w:cs="Book Antiqua"/>
          <w:color w:val="000000"/>
        </w:rPr>
        <w:t>July 16, 2021</w:t>
      </w:r>
    </w:p>
    <w:p w14:paraId="5857D12F" w14:textId="2BB8219D"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Article in press: </w:t>
      </w:r>
      <w:r w:rsidR="00EE6C3D" w:rsidRPr="00231E72">
        <w:rPr>
          <w:rFonts w:ascii="Book Antiqua" w:eastAsia="Book Antiqua" w:hAnsi="Book Antiqua" w:cs="Book Antiqua"/>
          <w:color w:val="000000"/>
        </w:rPr>
        <w:t>September 7, 2021</w:t>
      </w:r>
    </w:p>
    <w:p w14:paraId="3C00CFD1" w14:textId="77777777" w:rsidR="00A77B3E" w:rsidRPr="00231E72" w:rsidRDefault="00A77B3E" w:rsidP="00F142BD">
      <w:pPr>
        <w:spacing w:line="360" w:lineRule="auto"/>
        <w:jc w:val="both"/>
        <w:rPr>
          <w:rFonts w:ascii="Book Antiqua" w:hAnsi="Book Antiqua"/>
        </w:rPr>
      </w:pPr>
    </w:p>
    <w:p w14:paraId="0631534E"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 xml:space="preserve">Specialty type: </w:t>
      </w:r>
      <w:r w:rsidR="005C7C28" w:rsidRPr="00231E72">
        <w:rPr>
          <w:rFonts w:ascii="Book Antiqua" w:eastAsia="Book Antiqua" w:hAnsi="Book Antiqua" w:cs="Book Antiqua"/>
          <w:color w:val="000000"/>
        </w:rPr>
        <w:t xml:space="preserve">Reproductive </w:t>
      </w:r>
      <w:r w:rsidR="005C7C28" w:rsidRPr="00231E72">
        <w:rPr>
          <w:rFonts w:ascii="Book Antiqua" w:hAnsi="Book Antiqua" w:cs="Book Antiqua"/>
          <w:color w:val="000000"/>
          <w:lang w:eastAsia="zh-CN"/>
        </w:rPr>
        <w:t>b</w:t>
      </w:r>
      <w:r w:rsidRPr="00231E72">
        <w:rPr>
          <w:rFonts w:ascii="Book Antiqua" w:eastAsia="Book Antiqua" w:hAnsi="Book Antiqua" w:cs="Book Antiqua"/>
          <w:color w:val="000000"/>
        </w:rPr>
        <w:t>iology</w:t>
      </w:r>
    </w:p>
    <w:p w14:paraId="2D558AAA"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lastRenderedPageBreak/>
        <w:t xml:space="preserve">Country/Territory of origin: </w:t>
      </w:r>
      <w:r w:rsidRPr="00231E72">
        <w:rPr>
          <w:rFonts w:ascii="Book Antiqua" w:eastAsia="Book Antiqua" w:hAnsi="Book Antiqua" w:cs="Book Antiqua"/>
          <w:color w:val="000000"/>
        </w:rPr>
        <w:t>Mexico</w:t>
      </w:r>
    </w:p>
    <w:p w14:paraId="45B55F7E"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b/>
          <w:color w:val="000000"/>
        </w:rPr>
        <w:t>Peer-review report’s scientific quality classification</w:t>
      </w:r>
    </w:p>
    <w:p w14:paraId="5A1D4667"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Grade A (Excellent): A</w:t>
      </w:r>
    </w:p>
    <w:p w14:paraId="3022D142"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Grade B (Very good): 0</w:t>
      </w:r>
    </w:p>
    <w:p w14:paraId="42C2A3C6"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Grade C (Good): 0</w:t>
      </w:r>
    </w:p>
    <w:p w14:paraId="4011B1C1"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Grade D (Fair): 0</w:t>
      </w:r>
    </w:p>
    <w:p w14:paraId="01DD1641" w14:textId="77777777" w:rsidR="00A77B3E" w:rsidRPr="00231E72" w:rsidRDefault="006748EB" w:rsidP="00F142BD">
      <w:pPr>
        <w:spacing w:line="360" w:lineRule="auto"/>
        <w:jc w:val="both"/>
        <w:rPr>
          <w:rFonts w:ascii="Book Antiqua" w:hAnsi="Book Antiqua"/>
        </w:rPr>
      </w:pPr>
      <w:r w:rsidRPr="00231E72">
        <w:rPr>
          <w:rFonts w:ascii="Book Antiqua" w:eastAsia="Book Antiqua" w:hAnsi="Book Antiqua" w:cs="Book Antiqua"/>
          <w:color w:val="000000"/>
        </w:rPr>
        <w:t>Grade E (Poor): 0</w:t>
      </w:r>
    </w:p>
    <w:p w14:paraId="19AB66A0" w14:textId="77777777" w:rsidR="00A77B3E" w:rsidRPr="00231E72" w:rsidRDefault="00A77B3E" w:rsidP="00F142BD">
      <w:pPr>
        <w:spacing w:line="360" w:lineRule="auto"/>
        <w:jc w:val="both"/>
        <w:rPr>
          <w:rFonts w:ascii="Book Antiqua" w:hAnsi="Book Antiqua"/>
        </w:rPr>
      </w:pPr>
    </w:p>
    <w:p w14:paraId="20F5605A" w14:textId="3E580AE1" w:rsidR="00A77B3E" w:rsidRPr="00231E72" w:rsidRDefault="006748EB" w:rsidP="00F142BD">
      <w:pPr>
        <w:spacing w:line="360" w:lineRule="auto"/>
        <w:jc w:val="both"/>
        <w:rPr>
          <w:rFonts w:ascii="Book Antiqua" w:eastAsia="Book Antiqua" w:hAnsi="Book Antiqua" w:cs="Book Antiqua"/>
          <w:bCs/>
          <w:color w:val="000000"/>
        </w:rPr>
      </w:pPr>
      <w:r w:rsidRPr="00231E72">
        <w:rPr>
          <w:rFonts w:ascii="Book Antiqua" w:eastAsia="Book Antiqua" w:hAnsi="Book Antiqua" w:cs="Book Antiqua"/>
          <w:b/>
          <w:color w:val="000000"/>
        </w:rPr>
        <w:t xml:space="preserve">P-Reviewer: </w:t>
      </w:r>
      <w:r w:rsidRPr="00231E72">
        <w:rPr>
          <w:rFonts w:ascii="Book Antiqua" w:eastAsia="Book Antiqua" w:hAnsi="Book Antiqua" w:cs="Book Antiqua"/>
          <w:color w:val="000000"/>
        </w:rPr>
        <w:t>Kim HS</w:t>
      </w:r>
      <w:r w:rsidRPr="00231E72">
        <w:rPr>
          <w:rFonts w:ascii="Book Antiqua" w:eastAsia="Book Antiqua" w:hAnsi="Book Antiqua" w:cs="Book Antiqua"/>
          <w:b/>
          <w:color w:val="000000"/>
        </w:rPr>
        <w:t xml:space="preserve"> S-Editor: </w:t>
      </w:r>
      <w:r w:rsidR="005C7C28" w:rsidRPr="00231E72">
        <w:rPr>
          <w:rFonts w:ascii="Book Antiqua" w:hAnsi="Book Antiqua" w:cs="Book Antiqua"/>
          <w:color w:val="000000"/>
          <w:lang w:eastAsia="zh-CN"/>
        </w:rPr>
        <w:t>Zhang H</w:t>
      </w:r>
      <w:r w:rsidR="005C7C28" w:rsidRPr="00231E72">
        <w:rPr>
          <w:rFonts w:ascii="Book Antiqua" w:eastAsia="Book Antiqua" w:hAnsi="Book Antiqua" w:cs="Book Antiqua"/>
          <w:b/>
          <w:color w:val="000000"/>
        </w:rPr>
        <w:t xml:space="preserve"> L-Editor:</w:t>
      </w:r>
      <w:r w:rsidRPr="00231E72">
        <w:rPr>
          <w:rFonts w:ascii="Book Antiqua" w:eastAsia="Book Antiqua" w:hAnsi="Book Antiqua" w:cs="Book Antiqua"/>
          <w:b/>
          <w:color w:val="000000"/>
        </w:rPr>
        <w:t xml:space="preserve"> </w:t>
      </w:r>
      <w:r w:rsidR="008D35D2" w:rsidRPr="00231E72">
        <w:rPr>
          <w:rFonts w:ascii="Book Antiqua" w:eastAsia="Book Antiqua" w:hAnsi="Book Antiqua" w:cs="Book Antiqua"/>
          <w:bCs/>
          <w:color w:val="000000"/>
        </w:rPr>
        <w:t>A</w:t>
      </w:r>
      <w:r w:rsidR="008D35D2" w:rsidRPr="00231E72">
        <w:rPr>
          <w:rFonts w:ascii="Book Antiqua" w:eastAsia="Book Antiqua" w:hAnsi="Book Antiqua" w:cs="Book Antiqua"/>
          <w:b/>
          <w:color w:val="000000"/>
        </w:rPr>
        <w:t xml:space="preserve"> </w:t>
      </w:r>
      <w:r w:rsidRPr="00231E72">
        <w:rPr>
          <w:rFonts w:ascii="Book Antiqua" w:eastAsia="Book Antiqua" w:hAnsi="Book Antiqua" w:cs="Book Antiqua"/>
          <w:b/>
          <w:color w:val="000000"/>
        </w:rPr>
        <w:t>P-Editor:</w:t>
      </w:r>
      <w:r w:rsidRPr="00231E72">
        <w:rPr>
          <w:rFonts w:ascii="Book Antiqua" w:eastAsia="Book Antiqua" w:hAnsi="Book Antiqua" w:cs="Book Antiqua"/>
          <w:bCs/>
          <w:color w:val="000000"/>
        </w:rPr>
        <w:t xml:space="preserve"> </w:t>
      </w:r>
      <w:r w:rsidR="008D35D2" w:rsidRPr="00231E72">
        <w:rPr>
          <w:rFonts w:ascii="Book Antiqua" w:eastAsia="Book Antiqua" w:hAnsi="Book Antiqua" w:cs="Book Antiqua"/>
          <w:bCs/>
          <w:color w:val="000000"/>
        </w:rPr>
        <w:t>Li JH</w:t>
      </w:r>
    </w:p>
    <w:p w14:paraId="5F8CC5A4" w14:textId="67C8E490" w:rsidR="008D35D2" w:rsidRPr="00231E72" w:rsidRDefault="008D35D2" w:rsidP="00F142BD">
      <w:pPr>
        <w:spacing w:line="360" w:lineRule="auto"/>
        <w:jc w:val="both"/>
        <w:rPr>
          <w:rFonts w:ascii="Book Antiqua" w:hAnsi="Book Antiqua"/>
        </w:rPr>
        <w:sectPr w:rsidR="008D35D2" w:rsidRPr="00231E72">
          <w:pgSz w:w="12240" w:h="15840"/>
          <w:pgMar w:top="1440" w:right="1440" w:bottom="1440" w:left="1440" w:header="720" w:footer="720" w:gutter="0"/>
          <w:cols w:space="720"/>
          <w:docGrid w:linePitch="360"/>
        </w:sectPr>
      </w:pPr>
    </w:p>
    <w:p w14:paraId="36871A4B" w14:textId="4A44651B" w:rsidR="00A77B3E" w:rsidRPr="00231E72" w:rsidRDefault="006748EB" w:rsidP="00F142BD">
      <w:pPr>
        <w:spacing w:line="360" w:lineRule="auto"/>
        <w:jc w:val="both"/>
        <w:rPr>
          <w:rFonts w:ascii="Book Antiqua" w:eastAsia="Book Antiqua" w:hAnsi="Book Antiqua" w:cs="Book Antiqua"/>
          <w:b/>
          <w:color w:val="000000"/>
        </w:rPr>
      </w:pPr>
      <w:r w:rsidRPr="00231E72">
        <w:rPr>
          <w:rFonts w:ascii="Book Antiqua" w:eastAsia="Book Antiqua" w:hAnsi="Book Antiqua" w:cs="Book Antiqua"/>
          <w:b/>
          <w:color w:val="000000"/>
        </w:rPr>
        <w:lastRenderedPageBreak/>
        <w:t>Figure Legends</w:t>
      </w:r>
    </w:p>
    <w:p w14:paraId="3CE7947A" w14:textId="765FB309" w:rsidR="002E7596" w:rsidRPr="00231E72" w:rsidRDefault="002E7596" w:rsidP="00F142BD">
      <w:pPr>
        <w:spacing w:line="360" w:lineRule="auto"/>
        <w:jc w:val="both"/>
        <w:rPr>
          <w:rFonts w:ascii="Book Antiqua" w:hAnsi="Book Antiqua"/>
        </w:rPr>
      </w:pPr>
      <w:r w:rsidRPr="00231E72">
        <w:rPr>
          <w:rFonts w:ascii="Book Antiqua" w:hAnsi="Book Antiqua"/>
          <w:lang w:val="es-MX"/>
        </w:rPr>
        <w:object w:dxaOrig="13171" w:dyaOrig="16608" w14:anchorId="2A705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589.45pt" o:ole="">
            <v:imagedata r:id="rId8" o:title=""/>
          </v:shape>
          <o:OLEObject Type="Embed" ProgID="Photoshop.Image.13" ShapeID="_x0000_i1025" DrawAspect="Content" ObjectID="_1695536435" r:id="rId9">
            <o:FieldCodes>\s</o:FieldCodes>
          </o:OLEObject>
        </w:object>
      </w:r>
    </w:p>
    <w:p w14:paraId="7808706E" w14:textId="1ACAF37E" w:rsidR="00FC2C7C" w:rsidRPr="00231E72" w:rsidRDefault="00FC2C7C" w:rsidP="00F142BD">
      <w:pPr>
        <w:spacing w:line="360" w:lineRule="auto"/>
        <w:jc w:val="both"/>
        <w:rPr>
          <w:rFonts w:ascii="Book Antiqua" w:hAnsi="Book Antiqua" w:cs="Book Antiqua"/>
          <w:b/>
          <w:color w:val="000000"/>
          <w:lang w:eastAsia="zh-CN"/>
        </w:rPr>
      </w:pPr>
    </w:p>
    <w:p w14:paraId="76CE2D36" w14:textId="10214EAB" w:rsidR="00D33DE9" w:rsidRDefault="00037D40" w:rsidP="00F142BD">
      <w:pPr>
        <w:spacing w:line="360" w:lineRule="auto"/>
        <w:jc w:val="both"/>
        <w:rPr>
          <w:rFonts w:ascii="Book Antiqua" w:eastAsia="Book Antiqua" w:hAnsi="Book Antiqua" w:cs="Book Antiqua"/>
          <w:color w:val="000000"/>
        </w:rPr>
      </w:pPr>
      <w:r w:rsidRPr="00231E72">
        <w:rPr>
          <w:rFonts w:ascii="Book Antiqua" w:eastAsia="Book Antiqua" w:hAnsi="Book Antiqua" w:cs="Book Antiqua"/>
          <w:b/>
          <w:color w:val="000000"/>
        </w:rPr>
        <w:lastRenderedPageBreak/>
        <w:t>Figure 1</w:t>
      </w:r>
      <w:r w:rsidR="006748EB" w:rsidRPr="00231E72">
        <w:rPr>
          <w:rFonts w:ascii="Book Antiqua" w:eastAsia="Book Antiqua" w:hAnsi="Book Antiqua" w:cs="Book Antiqua"/>
          <w:b/>
          <w:color w:val="000000"/>
        </w:rPr>
        <w:t xml:space="preserve"> </w:t>
      </w:r>
      <w:r w:rsidRPr="00231E72">
        <w:rPr>
          <w:rFonts w:ascii="Book Antiqua" w:hAnsi="Book Antiqua" w:cs="Book Antiqua"/>
          <w:b/>
          <w:color w:val="000000"/>
          <w:lang w:eastAsia="zh-CN"/>
        </w:rPr>
        <w:t>P</w:t>
      </w:r>
      <w:r w:rsidRPr="00231E72">
        <w:rPr>
          <w:rFonts w:ascii="Book Antiqua" w:eastAsia="Book Antiqua" w:hAnsi="Book Antiqua" w:cs="Book Antiqua"/>
          <w:b/>
          <w:color w:val="000000"/>
        </w:rPr>
        <w:t xml:space="preserve">ropionyl-CoA carboxylase </w:t>
      </w:r>
      <w:r w:rsidR="008F2EA9" w:rsidRPr="00231E72">
        <w:rPr>
          <w:rFonts w:ascii="Book Antiqua" w:eastAsia="Book Antiqua" w:hAnsi="Book Antiqua" w:cs="Book Antiqua"/>
          <w:b/>
          <w:color w:val="000000"/>
        </w:rPr>
        <w:t>alpha subunit</w:t>
      </w:r>
      <w:r w:rsidRPr="00231E72">
        <w:rPr>
          <w:rFonts w:ascii="Book Antiqua" w:eastAsia="Book Antiqua" w:hAnsi="Book Antiqua" w:cs="Book Antiqua"/>
          <w:b/>
          <w:color w:val="000000"/>
        </w:rPr>
        <w:t xml:space="preserve"> </w:t>
      </w:r>
      <w:r w:rsidR="006D2A20" w:rsidRPr="00231E72">
        <w:rPr>
          <w:rFonts w:ascii="Book Antiqua" w:eastAsia="Book Antiqua" w:hAnsi="Book Antiqua" w:cs="Book Antiqua"/>
          <w:b/>
          <w:color w:val="000000"/>
        </w:rPr>
        <w:t>(</w:t>
      </w:r>
      <w:r w:rsidR="006D2A20" w:rsidRPr="00231E72">
        <w:rPr>
          <w:rFonts w:ascii="Book Antiqua" w:eastAsia="Book Antiqua" w:hAnsi="Book Antiqua" w:cs="Book Antiqua"/>
          <w:b/>
          <w:i/>
          <w:color w:val="000000"/>
        </w:rPr>
        <w:t>PCCA</w:t>
      </w:r>
      <w:r w:rsidR="006D2A20" w:rsidRPr="00231E72">
        <w:rPr>
          <w:rFonts w:ascii="Book Antiqua" w:eastAsia="Book Antiqua" w:hAnsi="Book Antiqua" w:cs="Book Antiqua"/>
          <w:b/>
          <w:color w:val="000000"/>
        </w:rPr>
        <w:t xml:space="preserve">) </w:t>
      </w:r>
      <w:r w:rsidR="006748EB" w:rsidRPr="00231E72">
        <w:rPr>
          <w:rFonts w:ascii="Book Antiqua" w:eastAsia="Book Antiqua" w:hAnsi="Book Antiqua" w:cs="Book Antiqua"/>
          <w:b/>
          <w:color w:val="000000"/>
        </w:rPr>
        <w:t>gene variant in the present family.</w:t>
      </w:r>
      <w:r w:rsidR="006748EB" w:rsidRPr="00231E72">
        <w:rPr>
          <w:rFonts w:ascii="Book Antiqua" w:eastAsia="Book Antiqua" w:hAnsi="Book Antiqua" w:cs="Book Antiqua"/>
          <w:color w:val="000000"/>
        </w:rPr>
        <w:t xml:space="preserve"> A: Schematic representation of the intron 22-exon 23 boundary of the</w:t>
      </w:r>
      <w:r w:rsidR="00A76E82" w:rsidRPr="00231E72">
        <w:rPr>
          <w:rFonts w:ascii="Book Antiqua" w:eastAsia="Book Antiqua" w:hAnsi="Book Antiqua" w:cs="Book Antiqua"/>
          <w:color w:val="000000"/>
        </w:rPr>
        <w:t xml:space="preserve"> </w:t>
      </w:r>
      <w:r w:rsidR="006748EB" w:rsidRPr="00231E72">
        <w:rPr>
          <w:rFonts w:ascii="Book Antiqua" w:eastAsia="Book Antiqua" w:hAnsi="Book Antiqua" w:cs="Book Antiqua"/>
          <w:i/>
          <w:color w:val="000000"/>
        </w:rPr>
        <w:t>PCCA</w:t>
      </w:r>
      <w:r w:rsidR="006748EB" w:rsidRPr="00231E72">
        <w:rPr>
          <w:rFonts w:ascii="Book Antiqua" w:eastAsia="Book Antiqua" w:hAnsi="Book Antiqua" w:cs="Book Antiqua"/>
          <w:color w:val="000000"/>
        </w:rPr>
        <w:t xml:space="preserve"> gene and the predicted </w:t>
      </w:r>
      <w:r w:rsidR="006748EB" w:rsidRPr="00231E72">
        <w:rPr>
          <w:rFonts w:ascii="Book Antiqua" w:eastAsia="Book Antiqua" w:hAnsi="Book Antiqua" w:cs="Book Antiqua"/>
          <w:i/>
          <w:iCs/>
          <w:color w:val="000000"/>
        </w:rPr>
        <w:t>in silico</w:t>
      </w:r>
      <w:r w:rsidR="006748EB" w:rsidRPr="00231E72">
        <w:rPr>
          <w:rFonts w:ascii="Book Antiqua" w:eastAsia="Book Antiqua" w:hAnsi="Book Antiqua" w:cs="Book Antiqua"/>
          <w:color w:val="000000"/>
        </w:rPr>
        <w:t xml:space="preserve"> </w:t>
      </w:r>
      <w:r w:rsidR="004F0DAC" w:rsidRPr="00231E72">
        <w:rPr>
          <w:rFonts w:ascii="Book Antiqua" w:eastAsia="Book Antiqua" w:hAnsi="Book Antiqua" w:cs="Book Antiqua"/>
          <w:color w:val="000000"/>
        </w:rPr>
        <w:t xml:space="preserve">generation </w:t>
      </w:r>
      <w:r w:rsidRPr="00231E72">
        <w:rPr>
          <w:rFonts w:ascii="Book Antiqua" w:eastAsia="Book Antiqua" w:hAnsi="Book Antiqua" w:cs="Book Antiqua"/>
          <w:color w:val="000000"/>
        </w:rPr>
        <w:t>of a possible cryptic acceptor</w:t>
      </w:r>
      <w:r w:rsidR="004F0DAC" w:rsidRPr="00231E72">
        <w:rPr>
          <w:rFonts w:ascii="Book Antiqua" w:eastAsia="Book Antiqua" w:hAnsi="Book Antiqua" w:cs="Book Antiqua"/>
          <w:color w:val="000000"/>
        </w:rPr>
        <w:t xml:space="preserve"> site</w:t>
      </w:r>
      <w:r w:rsidRPr="00231E72">
        <w:rPr>
          <w:rFonts w:ascii="Book Antiqua" w:hAnsi="Book Antiqua" w:cs="Book Antiqua"/>
          <w:color w:val="000000"/>
          <w:lang w:eastAsia="zh-CN"/>
        </w:rPr>
        <w:t>;</w:t>
      </w:r>
      <w:r w:rsidR="006748EB" w:rsidRPr="00231E72">
        <w:rPr>
          <w:rFonts w:ascii="Book Antiqua" w:eastAsia="Book Antiqua" w:hAnsi="Book Antiqua" w:cs="Book Antiqua"/>
          <w:color w:val="000000"/>
        </w:rPr>
        <w:t xml:space="preserve"> B: Partial electropherograms (only forward strands are shown) of the intron 22-exon 23 region</w:t>
      </w:r>
      <w:r w:rsidR="006D2A20" w:rsidRPr="00231E72">
        <w:rPr>
          <w:rFonts w:ascii="Book Antiqua" w:eastAsia="Book Antiqua" w:hAnsi="Book Antiqua" w:cs="Book Antiqua"/>
          <w:color w:val="000000"/>
        </w:rPr>
        <w:t xml:space="preserve"> of the </w:t>
      </w:r>
      <w:r w:rsidR="006D2A20" w:rsidRPr="00231E72">
        <w:rPr>
          <w:rFonts w:ascii="Book Antiqua" w:eastAsia="Book Antiqua" w:hAnsi="Book Antiqua" w:cs="Book Antiqua"/>
          <w:i/>
          <w:color w:val="000000"/>
        </w:rPr>
        <w:t>PCCA</w:t>
      </w:r>
      <w:r w:rsidR="006D2A20" w:rsidRPr="00231E72">
        <w:rPr>
          <w:rFonts w:ascii="Book Antiqua" w:eastAsia="Book Antiqua" w:hAnsi="Book Antiqua" w:cs="Book Antiqua"/>
          <w:color w:val="000000"/>
        </w:rPr>
        <w:t xml:space="preserve"> gene (NG_008768.1 and NM_000282.3) in</w:t>
      </w:r>
      <w:r w:rsidR="006748EB" w:rsidRPr="00231E72">
        <w:rPr>
          <w:rFonts w:ascii="Book Antiqua" w:eastAsia="Book Antiqua" w:hAnsi="Book Antiqua" w:cs="Book Antiqua"/>
          <w:color w:val="000000"/>
        </w:rPr>
        <w:t xml:space="preserve"> both parents and embryo E1 demonstrated a heterozygous genotype for the likely pathogenic variant</w:t>
      </w:r>
      <w:r w:rsidR="006D2A20" w:rsidRPr="00231E72">
        <w:rPr>
          <w:rFonts w:ascii="Book Antiqua" w:eastAsia="Book Antiqua" w:hAnsi="Book Antiqua" w:cs="Book Antiqua"/>
          <w:color w:val="000000"/>
        </w:rPr>
        <w:t xml:space="preserve"> c.2041-1G&gt;T</w:t>
      </w:r>
      <w:r w:rsidR="006748EB" w:rsidRPr="00231E72">
        <w:rPr>
          <w:rFonts w:ascii="Book Antiqua" w:eastAsia="Book Antiqua" w:hAnsi="Book Antiqua" w:cs="Book Antiqua"/>
          <w:color w:val="000000"/>
        </w:rPr>
        <w:t xml:space="preserve">. The G-to-T transversion predicts an abolished splicing acceptor site in the </w:t>
      </w:r>
      <w:r w:rsidR="006748EB" w:rsidRPr="00231E72">
        <w:rPr>
          <w:rFonts w:ascii="Book Antiqua" w:eastAsia="Book Antiqua" w:hAnsi="Book Antiqua" w:cs="Book Antiqua"/>
          <w:i/>
          <w:color w:val="000000"/>
        </w:rPr>
        <w:t>PCCA</w:t>
      </w:r>
      <w:r w:rsidR="006748EB" w:rsidRPr="00231E72">
        <w:rPr>
          <w:rFonts w:ascii="Book Antiqua" w:eastAsia="Book Antiqua" w:hAnsi="Book Antiqua" w:cs="Book Antiqua"/>
          <w:color w:val="000000"/>
        </w:rPr>
        <w:t xml:space="preserve"> intron 22. A wild-type </w:t>
      </w:r>
      <w:r w:rsidR="006748EB" w:rsidRPr="00231E72">
        <w:rPr>
          <w:rFonts w:ascii="Book Antiqua" w:eastAsia="Book Antiqua" w:hAnsi="Book Antiqua" w:cs="Book Antiqua"/>
          <w:i/>
          <w:color w:val="000000"/>
        </w:rPr>
        <w:t>PCCA</w:t>
      </w:r>
      <w:r w:rsidR="006748EB" w:rsidRPr="00231E72">
        <w:rPr>
          <w:rFonts w:ascii="Book Antiqua" w:eastAsia="Book Antiqua" w:hAnsi="Book Antiqua" w:cs="Book Antiqua"/>
          <w:color w:val="000000"/>
        </w:rPr>
        <w:t xml:space="preserve"> genotype was noted for embryo E2 as well as in the healthy control included in the analysis. Sanger sequencing was performed, in triplicate, for the PGT-</w:t>
      </w:r>
      <w:r w:rsidRPr="00231E72">
        <w:rPr>
          <w:rFonts w:ascii="Book Antiqua" w:eastAsia="Book Antiqua" w:hAnsi="Book Antiqua" w:cs="Book Antiqua"/>
          <w:color w:val="000000"/>
        </w:rPr>
        <w:t>M assays.</w:t>
      </w:r>
      <w:r w:rsidRPr="00F142BD">
        <w:rPr>
          <w:rFonts w:ascii="Book Antiqua" w:eastAsia="Book Antiqua" w:hAnsi="Book Antiqua" w:cs="Book Antiqua"/>
          <w:color w:val="000000"/>
        </w:rPr>
        <w:t xml:space="preserve"> </w:t>
      </w:r>
    </w:p>
    <w:p w14:paraId="68D3BDC0" w14:textId="77777777" w:rsidR="00D33DE9" w:rsidRDefault="00D33DE9">
      <w:pPr>
        <w:rPr>
          <w:rFonts w:ascii="Book Antiqua" w:eastAsia="Book Antiqua" w:hAnsi="Book Antiqua" w:cs="Book Antiqua"/>
          <w:color w:val="000000"/>
        </w:rPr>
      </w:pPr>
      <w:r>
        <w:rPr>
          <w:rFonts w:ascii="Book Antiqua" w:eastAsia="Book Antiqua" w:hAnsi="Book Antiqua" w:cs="Book Antiqua"/>
          <w:color w:val="000000"/>
        </w:rPr>
        <w:br w:type="page"/>
      </w:r>
    </w:p>
    <w:p w14:paraId="1E236178" w14:textId="77777777" w:rsidR="00D33DE9" w:rsidRDefault="00D33DE9" w:rsidP="00D33DE9">
      <w:pPr>
        <w:jc w:val="center"/>
        <w:rPr>
          <w:rFonts w:ascii="Book Antiqua" w:hAnsi="Book Antiqua"/>
          <w:lang w:eastAsia="zh-CN"/>
        </w:rPr>
      </w:pPr>
    </w:p>
    <w:p w14:paraId="4E5EEF97" w14:textId="77777777" w:rsidR="00D33DE9" w:rsidRDefault="00D33DE9" w:rsidP="00D33DE9">
      <w:pPr>
        <w:jc w:val="center"/>
        <w:rPr>
          <w:rFonts w:ascii="Book Antiqua" w:hAnsi="Book Antiqua"/>
          <w:lang w:eastAsia="zh-CN"/>
        </w:rPr>
      </w:pPr>
    </w:p>
    <w:p w14:paraId="2B1A5A22" w14:textId="77777777" w:rsidR="00D33DE9" w:rsidRDefault="00D33DE9" w:rsidP="00D33DE9">
      <w:pPr>
        <w:jc w:val="center"/>
        <w:rPr>
          <w:rFonts w:ascii="Book Antiqua" w:hAnsi="Book Antiqua"/>
          <w:lang w:eastAsia="zh-CN"/>
        </w:rPr>
      </w:pPr>
    </w:p>
    <w:p w14:paraId="2D00A1DF" w14:textId="77777777" w:rsidR="00D33DE9" w:rsidRDefault="00D33DE9" w:rsidP="00D33DE9">
      <w:pPr>
        <w:jc w:val="center"/>
        <w:rPr>
          <w:rFonts w:ascii="Book Antiqua" w:hAnsi="Book Antiqua"/>
          <w:lang w:eastAsia="zh-CN"/>
        </w:rPr>
      </w:pPr>
    </w:p>
    <w:p w14:paraId="0C4EA17C" w14:textId="77777777" w:rsidR="00D33DE9" w:rsidRDefault="00D33DE9" w:rsidP="00D33DE9">
      <w:pPr>
        <w:jc w:val="center"/>
        <w:rPr>
          <w:rFonts w:ascii="Book Antiqua" w:hAnsi="Book Antiqua"/>
          <w:lang w:eastAsia="zh-CN"/>
        </w:rPr>
      </w:pPr>
    </w:p>
    <w:p w14:paraId="3F95D1BC" w14:textId="77777777" w:rsidR="00D33DE9" w:rsidRDefault="00D33DE9" w:rsidP="00D33DE9">
      <w:pPr>
        <w:jc w:val="center"/>
        <w:rPr>
          <w:rFonts w:ascii="Book Antiqua" w:hAnsi="Book Antiqua"/>
          <w:lang w:eastAsia="zh-CN"/>
        </w:rPr>
      </w:pPr>
      <w:r>
        <w:rPr>
          <w:rFonts w:ascii="Book Antiqua" w:hAnsi="Book Antiqua"/>
          <w:noProof/>
          <w:lang w:eastAsia="zh-CN"/>
        </w:rPr>
        <w:drawing>
          <wp:inline distT="0" distB="0" distL="0" distR="0" wp14:anchorId="5723CDDF" wp14:editId="139DC95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9C0245" w14:textId="77777777" w:rsidR="00D33DE9" w:rsidRDefault="00D33DE9" w:rsidP="00D33DE9">
      <w:pPr>
        <w:jc w:val="center"/>
        <w:rPr>
          <w:rFonts w:ascii="Book Antiqua" w:hAnsi="Book Antiqua"/>
          <w:lang w:eastAsia="zh-CN"/>
        </w:rPr>
      </w:pPr>
    </w:p>
    <w:p w14:paraId="090FFD44" w14:textId="77777777" w:rsidR="00D33DE9" w:rsidRPr="00763D22" w:rsidRDefault="00D33DE9" w:rsidP="00D33DE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573D845" w14:textId="77777777" w:rsidR="00D33DE9" w:rsidRPr="00763D22" w:rsidRDefault="00D33DE9" w:rsidP="00D33DE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3C9C3F" w14:textId="77777777" w:rsidR="00D33DE9" w:rsidRPr="00763D22" w:rsidRDefault="00D33DE9" w:rsidP="00D33DE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42D3D0" w14:textId="77777777" w:rsidR="00D33DE9" w:rsidRPr="00763D22" w:rsidRDefault="00D33DE9" w:rsidP="00D33DE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C48B82" w14:textId="77777777" w:rsidR="00D33DE9" w:rsidRPr="00763D22" w:rsidRDefault="00D33DE9" w:rsidP="00D33DE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D28D5DD" w14:textId="77777777" w:rsidR="00D33DE9" w:rsidRPr="00763D22" w:rsidRDefault="00D33DE9" w:rsidP="00D33DE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A15EBF" w14:textId="77777777" w:rsidR="00D33DE9" w:rsidRDefault="00D33DE9" w:rsidP="00D33DE9">
      <w:pPr>
        <w:jc w:val="center"/>
        <w:rPr>
          <w:rFonts w:ascii="Book Antiqua" w:hAnsi="Book Antiqua"/>
          <w:lang w:eastAsia="zh-CN"/>
        </w:rPr>
      </w:pPr>
    </w:p>
    <w:p w14:paraId="73BC8898" w14:textId="77777777" w:rsidR="00D33DE9" w:rsidRDefault="00D33DE9" w:rsidP="00D33DE9">
      <w:pPr>
        <w:jc w:val="center"/>
        <w:rPr>
          <w:rFonts w:ascii="Book Antiqua" w:hAnsi="Book Antiqua"/>
          <w:lang w:eastAsia="zh-CN"/>
        </w:rPr>
      </w:pPr>
    </w:p>
    <w:p w14:paraId="22D12CCD" w14:textId="77777777" w:rsidR="00D33DE9" w:rsidRDefault="00D33DE9" w:rsidP="00D33DE9">
      <w:pPr>
        <w:jc w:val="center"/>
        <w:rPr>
          <w:rFonts w:ascii="Book Antiqua" w:hAnsi="Book Antiqua"/>
          <w:lang w:eastAsia="zh-CN"/>
        </w:rPr>
      </w:pPr>
    </w:p>
    <w:p w14:paraId="4DB0786F" w14:textId="77777777" w:rsidR="00D33DE9" w:rsidRDefault="00D33DE9" w:rsidP="00D33DE9">
      <w:pPr>
        <w:jc w:val="center"/>
        <w:rPr>
          <w:rFonts w:ascii="Book Antiqua" w:hAnsi="Book Antiqua"/>
          <w:lang w:eastAsia="zh-CN"/>
        </w:rPr>
      </w:pPr>
      <w:r>
        <w:rPr>
          <w:rFonts w:ascii="Book Antiqua" w:hAnsi="Book Antiqua"/>
          <w:noProof/>
          <w:lang w:eastAsia="zh-CN"/>
        </w:rPr>
        <w:drawing>
          <wp:inline distT="0" distB="0" distL="0" distR="0" wp14:anchorId="2740F215" wp14:editId="0193D8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090A80" w14:textId="77777777" w:rsidR="00D33DE9" w:rsidRDefault="00D33DE9" w:rsidP="00D33DE9">
      <w:pPr>
        <w:jc w:val="center"/>
        <w:rPr>
          <w:rFonts w:ascii="Book Antiqua" w:hAnsi="Book Antiqua"/>
          <w:lang w:eastAsia="zh-CN"/>
        </w:rPr>
      </w:pPr>
    </w:p>
    <w:p w14:paraId="23E4919D" w14:textId="77777777" w:rsidR="00D33DE9" w:rsidRDefault="00D33DE9" w:rsidP="00D33DE9">
      <w:pPr>
        <w:jc w:val="center"/>
        <w:rPr>
          <w:rFonts w:ascii="Book Antiqua" w:hAnsi="Book Antiqua"/>
          <w:lang w:eastAsia="zh-CN"/>
        </w:rPr>
      </w:pPr>
    </w:p>
    <w:p w14:paraId="12B307F5" w14:textId="77777777" w:rsidR="00D33DE9" w:rsidRDefault="00D33DE9" w:rsidP="00D33DE9">
      <w:pPr>
        <w:jc w:val="center"/>
        <w:rPr>
          <w:rFonts w:ascii="Book Antiqua" w:hAnsi="Book Antiqua"/>
          <w:lang w:eastAsia="zh-CN"/>
        </w:rPr>
      </w:pPr>
    </w:p>
    <w:p w14:paraId="79450643" w14:textId="77777777" w:rsidR="00D33DE9" w:rsidRDefault="00D33DE9" w:rsidP="00D33DE9">
      <w:pPr>
        <w:jc w:val="center"/>
        <w:rPr>
          <w:rFonts w:ascii="Book Antiqua" w:hAnsi="Book Antiqua"/>
          <w:lang w:eastAsia="zh-CN"/>
        </w:rPr>
      </w:pPr>
    </w:p>
    <w:p w14:paraId="680E2462" w14:textId="77777777" w:rsidR="00D33DE9" w:rsidRDefault="00D33DE9" w:rsidP="00D33DE9">
      <w:pPr>
        <w:jc w:val="center"/>
        <w:rPr>
          <w:rFonts w:ascii="Book Antiqua" w:hAnsi="Book Antiqua"/>
          <w:lang w:eastAsia="zh-CN"/>
        </w:rPr>
      </w:pPr>
    </w:p>
    <w:p w14:paraId="0196C11C" w14:textId="77777777" w:rsidR="00D33DE9" w:rsidRDefault="00D33DE9" w:rsidP="00D33DE9">
      <w:pPr>
        <w:jc w:val="center"/>
        <w:rPr>
          <w:rFonts w:ascii="Book Antiqua" w:hAnsi="Book Antiqua"/>
          <w:lang w:eastAsia="zh-CN"/>
        </w:rPr>
      </w:pPr>
    </w:p>
    <w:p w14:paraId="0F7B0C2B" w14:textId="77777777" w:rsidR="00D33DE9" w:rsidRDefault="00D33DE9" w:rsidP="00D33DE9">
      <w:pPr>
        <w:jc w:val="center"/>
        <w:rPr>
          <w:rFonts w:ascii="Book Antiqua" w:hAnsi="Book Antiqua"/>
          <w:lang w:eastAsia="zh-CN"/>
        </w:rPr>
      </w:pPr>
    </w:p>
    <w:p w14:paraId="7E8E7B8D" w14:textId="77777777" w:rsidR="00D33DE9" w:rsidRDefault="00D33DE9" w:rsidP="00D33DE9">
      <w:pPr>
        <w:jc w:val="center"/>
        <w:rPr>
          <w:rFonts w:ascii="Book Antiqua" w:hAnsi="Book Antiqua"/>
          <w:lang w:eastAsia="zh-CN"/>
        </w:rPr>
      </w:pPr>
    </w:p>
    <w:p w14:paraId="3B26C2D3" w14:textId="77777777" w:rsidR="00D33DE9" w:rsidRDefault="00D33DE9" w:rsidP="00D33DE9">
      <w:pPr>
        <w:jc w:val="center"/>
        <w:rPr>
          <w:rFonts w:ascii="Book Antiqua" w:hAnsi="Book Antiqua"/>
          <w:lang w:eastAsia="zh-CN"/>
        </w:rPr>
      </w:pPr>
    </w:p>
    <w:p w14:paraId="590CFEC7" w14:textId="77777777" w:rsidR="00D33DE9" w:rsidRPr="00763D22" w:rsidRDefault="00D33DE9" w:rsidP="00D33DE9">
      <w:pPr>
        <w:jc w:val="right"/>
        <w:rPr>
          <w:rFonts w:ascii="Book Antiqua" w:hAnsi="Book Antiqua"/>
          <w:color w:val="000000" w:themeColor="text1"/>
          <w:lang w:eastAsia="zh-CN"/>
        </w:rPr>
      </w:pPr>
    </w:p>
    <w:p w14:paraId="6297083C" w14:textId="77777777" w:rsidR="00D33DE9" w:rsidRPr="00763D22" w:rsidRDefault="00D33DE9" w:rsidP="00D33DE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7CEB5CD" w14:textId="77777777" w:rsidR="00A77B3E" w:rsidRPr="00F142BD" w:rsidRDefault="00A77B3E" w:rsidP="00F142BD">
      <w:pPr>
        <w:spacing w:line="360" w:lineRule="auto"/>
        <w:jc w:val="both"/>
        <w:rPr>
          <w:rFonts w:ascii="Book Antiqua" w:hAnsi="Book Antiqua"/>
        </w:rPr>
      </w:pPr>
    </w:p>
    <w:sectPr w:rsidR="00A77B3E" w:rsidRPr="00F142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37F6E" w14:textId="77777777" w:rsidR="00E56509" w:rsidRDefault="00E56509" w:rsidP="007C36A3">
      <w:r>
        <w:separator/>
      </w:r>
    </w:p>
  </w:endnote>
  <w:endnote w:type="continuationSeparator" w:id="0">
    <w:p w14:paraId="68019673" w14:textId="77777777" w:rsidR="00E56509" w:rsidRDefault="00E56509" w:rsidP="007C3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848006"/>
      <w:docPartObj>
        <w:docPartGallery w:val="Page Numbers (Bottom of Page)"/>
        <w:docPartUnique/>
      </w:docPartObj>
    </w:sdtPr>
    <w:sdtEndPr/>
    <w:sdtContent>
      <w:sdt>
        <w:sdtPr>
          <w:id w:val="860082579"/>
          <w:docPartObj>
            <w:docPartGallery w:val="Page Numbers (Top of Page)"/>
            <w:docPartUnique/>
          </w:docPartObj>
        </w:sdtPr>
        <w:sdtEndPr/>
        <w:sdtContent>
          <w:p w14:paraId="4BCDB2B5" w14:textId="179803BD" w:rsidR="007C36A3" w:rsidRDefault="007C36A3">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34C8">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34C8">
              <w:rPr>
                <w:b/>
                <w:bCs/>
                <w:noProof/>
              </w:rPr>
              <w:t>17</w:t>
            </w:r>
            <w:r>
              <w:rPr>
                <w:b/>
                <w:bCs/>
                <w:sz w:val="24"/>
                <w:szCs w:val="24"/>
              </w:rPr>
              <w:fldChar w:fldCharType="end"/>
            </w:r>
          </w:p>
        </w:sdtContent>
      </w:sdt>
    </w:sdtContent>
  </w:sdt>
  <w:p w14:paraId="5882B203" w14:textId="77777777" w:rsidR="007C36A3" w:rsidRDefault="007C36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FC300" w14:textId="77777777" w:rsidR="00E56509" w:rsidRDefault="00E56509" w:rsidP="007C36A3">
      <w:r>
        <w:separator/>
      </w:r>
    </w:p>
  </w:footnote>
  <w:footnote w:type="continuationSeparator" w:id="0">
    <w:p w14:paraId="71689657" w14:textId="77777777" w:rsidR="00E56509" w:rsidRDefault="00E56509" w:rsidP="007C36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YwMbUwMLI0M7EwsDBX0lEKTi0uzszPAykwrQUACBA3uSwAAAA="/>
  </w:docVars>
  <w:rsids>
    <w:rsidRoot w:val="00A77B3E"/>
    <w:rsid w:val="0002193F"/>
    <w:rsid w:val="0003183E"/>
    <w:rsid w:val="0003779A"/>
    <w:rsid w:val="00037D40"/>
    <w:rsid w:val="00043EC9"/>
    <w:rsid w:val="0009269B"/>
    <w:rsid w:val="00097DD4"/>
    <w:rsid w:val="000D01A8"/>
    <w:rsid w:val="000D0B8F"/>
    <w:rsid w:val="001161BF"/>
    <w:rsid w:val="00122D51"/>
    <w:rsid w:val="001236D0"/>
    <w:rsid w:val="00130536"/>
    <w:rsid w:val="00132EBA"/>
    <w:rsid w:val="0013629A"/>
    <w:rsid w:val="001602F2"/>
    <w:rsid w:val="001E5C27"/>
    <w:rsid w:val="001E68C1"/>
    <w:rsid w:val="001F25A5"/>
    <w:rsid w:val="00210E40"/>
    <w:rsid w:val="00231E72"/>
    <w:rsid w:val="00240E94"/>
    <w:rsid w:val="00241DBA"/>
    <w:rsid w:val="00243273"/>
    <w:rsid w:val="00286C79"/>
    <w:rsid w:val="002E1312"/>
    <w:rsid w:val="002E15E4"/>
    <w:rsid w:val="002E7596"/>
    <w:rsid w:val="002F0802"/>
    <w:rsid w:val="00301635"/>
    <w:rsid w:val="00312552"/>
    <w:rsid w:val="00314AC5"/>
    <w:rsid w:val="00326C26"/>
    <w:rsid w:val="00330825"/>
    <w:rsid w:val="0033529E"/>
    <w:rsid w:val="003A3950"/>
    <w:rsid w:val="003B77F7"/>
    <w:rsid w:val="003C478B"/>
    <w:rsid w:val="003C65CA"/>
    <w:rsid w:val="003D3ACE"/>
    <w:rsid w:val="003E01E1"/>
    <w:rsid w:val="003E5F0D"/>
    <w:rsid w:val="00433AFC"/>
    <w:rsid w:val="00434CAE"/>
    <w:rsid w:val="00455C27"/>
    <w:rsid w:val="0047069D"/>
    <w:rsid w:val="00483E74"/>
    <w:rsid w:val="004B331B"/>
    <w:rsid w:val="004B443F"/>
    <w:rsid w:val="004B715E"/>
    <w:rsid w:val="004F0DAC"/>
    <w:rsid w:val="00513119"/>
    <w:rsid w:val="00545B9E"/>
    <w:rsid w:val="00552A66"/>
    <w:rsid w:val="00557894"/>
    <w:rsid w:val="00566974"/>
    <w:rsid w:val="00566C7E"/>
    <w:rsid w:val="00577A8E"/>
    <w:rsid w:val="005A1399"/>
    <w:rsid w:val="005C3029"/>
    <w:rsid w:val="005C7C28"/>
    <w:rsid w:val="005D22B8"/>
    <w:rsid w:val="005E26EF"/>
    <w:rsid w:val="0060284B"/>
    <w:rsid w:val="0060307C"/>
    <w:rsid w:val="006156EE"/>
    <w:rsid w:val="00656A2F"/>
    <w:rsid w:val="006577C8"/>
    <w:rsid w:val="006748EB"/>
    <w:rsid w:val="006770BC"/>
    <w:rsid w:val="00677636"/>
    <w:rsid w:val="00695E7C"/>
    <w:rsid w:val="006A18CC"/>
    <w:rsid w:val="006A7711"/>
    <w:rsid w:val="006C1A7C"/>
    <w:rsid w:val="006C7661"/>
    <w:rsid w:val="006D1023"/>
    <w:rsid w:val="006D2A20"/>
    <w:rsid w:val="006E1555"/>
    <w:rsid w:val="006F1170"/>
    <w:rsid w:val="006F177F"/>
    <w:rsid w:val="006F7AA4"/>
    <w:rsid w:val="007500A8"/>
    <w:rsid w:val="00797378"/>
    <w:rsid w:val="007C36A3"/>
    <w:rsid w:val="007D3238"/>
    <w:rsid w:val="008105E2"/>
    <w:rsid w:val="00832085"/>
    <w:rsid w:val="008568E5"/>
    <w:rsid w:val="00885FF6"/>
    <w:rsid w:val="00897892"/>
    <w:rsid w:val="008A1FCF"/>
    <w:rsid w:val="008B0281"/>
    <w:rsid w:val="008B160B"/>
    <w:rsid w:val="008D35D2"/>
    <w:rsid w:val="008D4159"/>
    <w:rsid w:val="008F2EA9"/>
    <w:rsid w:val="00952DC3"/>
    <w:rsid w:val="009540A2"/>
    <w:rsid w:val="0095569E"/>
    <w:rsid w:val="00963336"/>
    <w:rsid w:val="00971601"/>
    <w:rsid w:val="009B6C91"/>
    <w:rsid w:val="009C0FFD"/>
    <w:rsid w:val="009E4611"/>
    <w:rsid w:val="009F6B4B"/>
    <w:rsid w:val="00A15BD4"/>
    <w:rsid w:val="00A165F8"/>
    <w:rsid w:val="00A21A1A"/>
    <w:rsid w:val="00A32893"/>
    <w:rsid w:val="00A4097F"/>
    <w:rsid w:val="00A47C6D"/>
    <w:rsid w:val="00A76E82"/>
    <w:rsid w:val="00A77B3E"/>
    <w:rsid w:val="00A91590"/>
    <w:rsid w:val="00AD083E"/>
    <w:rsid w:val="00AE2B64"/>
    <w:rsid w:val="00AF3F2C"/>
    <w:rsid w:val="00B01521"/>
    <w:rsid w:val="00B05AFC"/>
    <w:rsid w:val="00B77A2B"/>
    <w:rsid w:val="00B97958"/>
    <w:rsid w:val="00BB71B3"/>
    <w:rsid w:val="00BE7077"/>
    <w:rsid w:val="00C40080"/>
    <w:rsid w:val="00C62234"/>
    <w:rsid w:val="00CA2A55"/>
    <w:rsid w:val="00CB4DCB"/>
    <w:rsid w:val="00CE365C"/>
    <w:rsid w:val="00D034C8"/>
    <w:rsid w:val="00D33DE9"/>
    <w:rsid w:val="00D42636"/>
    <w:rsid w:val="00D8716A"/>
    <w:rsid w:val="00DA73C8"/>
    <w:rsid w:val="00DB2F4D"/>
    <w:rsid w:val="00DB5804"/>
    <w:rsid w:val="00DC0512"/>
    <w:rsid w:val="00E035BE"/>
    <w:rsid w:val="00E04852"/>
    <w:rsid w:val="00E2383B"/>
    <w:rsid w:val="00E27513"/>
    <w:rsid w:val="00E35B86"/>
    <w:rsid w:val="00E56509"/>
    <w:rsid w:val="00E74D1A"/>
    <w:rsid w:val="00E75670"/>
    <w:rsid w:val="00E86FF6"/>
    <w:rsid w:val="00E97579"/>
    <w:rsid w:val="00EA5DD6"/>
    <w:rsid w:val="00EC0F1E"/>
    <w:rsid w:val="00EC5A3A"/>
    <w:rsid w:val="00ED67DE"/>
    <w:rsid w:val="00EE6C3D"/>
    <w:rsid w:val="00F12FD1"/>
    <w:rsid w:val="00F142BD"/>
    <w:rsid w:val="00F158A8"/>
    <w:rsid w:val="00F337E2"/>
    <w:rsid w:val="00F74679"/>
    <w:rsid w:val="00F8781B"/>
    <w:rsid w:val="00F9142F"/>
    <w:rsid w:val="00FC2C7C"/>
    <w:rsid w:val="00FF2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9C43E"/>
  <w15:docId w15:val="{D930D10D-7022-4AFF-8B72-C8E1C8B4E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142F"/>
    <w:pPr>
      <w:spacing w:before="100" w:beforeAutospacing="1" w:after="100" w:afterAutospacing="1"/>
    </w:pPr>
    <w:rPr>
      <w:rFonts w:ascii="宋体" w:eastAsia="宋体" w:hAnsi="宋体" w:cs="宋体"/>
      <w:lang w:eastAsia="zh-CN"/>
    </w:rPr>
  </w:style>
  <w:style w:type="paragraph" w:styleId="a4">
    <w:name w:val="Balloon Text"/>
    <w:basedOn w:val="a"/>
    <w:link w:val="a5"/>
    <w:rsid w:val="00FC2C7C"/>
    <w:rPr>
      <w:sz w:val="18"/>
      <w:szCs w:val="18"/>
    </w:rPr>
  </w:style>
  <w:style w:type="character" w:customStyle="1" w:styleId="a5">
    <w:name w:val="批注框文本 字符"/>
    <w:basedOn w:val="a0"/>
    <w:link w:val="a4"/>
    <w:rsid w:val="00FC2C7C"/>
    <w:rPr>
      <w:sz w:val="18"/>
      <w:szCs w:val="18"/>
    </w:rPr>
  </w:style>
  <w:style w:type="character" w:styleId="a6">
    <w:name w:val="annotation reference"/>
    <w:basedOn w:val="a0"/>
    <w:semiHidden/>
    <w:unhideWhenUsed/>
    <w:rsid w:val="00E75670"/>
    <w:rPr>
      <w:sz w:val="21"/>
      <w:szCs w:val="21"/>
    </w:rPr>
  </w:style>
  <w:style w:type="paragraph" w:styleId="a7">
    <w:name w:val="annotation text"/>
    <w:basedOn w:val="a"/>
    <w:link w:val="a8"/>
    <w:semiHidden/>
    <w:unhideWhenUsed/>
    <w:rsid w:val="00E75670"/>
  </w:style>
  <w:style w:type="character" w:customStyle="1" w:styleId="a8">
    <w:name w:val="批注文字 字符"/>
    <w:basedOn w:val="a0"/>
    <w:link w:val="a7"/>
    <w:semiHidden/>
    <w:rsid w:val="00E75670"/>
    <w:rPr>
      <w:sz w:val="24"/>
      <w:szCs w:val="24"/>
    </w:rPr>
  </w:style>
  <w:style w:type="paragraph" w:styleId="a9">
    <w:name w:val="annotation subject"/>
    <w:basedOn w:val="a7"/>
    <w:next w:val="a7"/>
    <w:link w:val="aa"/>
    <w:semiHidden/>
    <w:unhideWhenUsed/>
    <w:rsid w:val="00E75670"/>
    <w:rPr>
      <w:b/>
      <w:bCs/>
    </w:rPr>
  </w:style>
  <w:style w:type="character" w:customStyle="1" w:styleId="aa">
    <w:name w:val="批注主题 字符"/>
    <w:basedOn w:val="a8"/>
    <w:link w:val="a9"/>
    <w:semiHidden/>
    <w:rsid w:val="00E75670"/>
    <w:rPr>
      <w:b/>
      <w:bCs/>
      <w:sz w:val="24"/>
      <w:szCs w:val="24"/>
    </w:rPr>
  </w:style>
  <w:style w:type="paragraph" w:styleId="ab">
    <w:name w:val="header"/>
    <w:basedOn w:val="a"/>
    <w:link w:val="ac"/>
    <w:unhideWhenUsed/>
    <w:rsid w:val="007C36A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C36A3"/>
    <w:rPr>
      <w:sz w:val="18"/>
      <w:szCs w:val="18"/>
    </w:rPr>
  </w:style>
  <w:style w:type="paragraph" w:styleId="ad">
    <w:name w:val="footer"/>
    <w:basedOn w:val="a"/>
    <w:link w:val="ae"/>
    <w:uiPriority w:val="99"/>
    <w:unhideWhenUsed/>
    <w:rsid w:val="007C36A3"/>
    <w:pPr>
      <w:tabs>
        <w:tab w:val="center" w:pos="4153"/>
        <w:tab w:val="right" w:pos="8306"/>
      </w:tabs>
      <w:snapToGrid w:val="0"/>
    </w:pPr>
    <w:rPr>
      <w:sz w:val="18"/>
      <w:szCs w:val="18"/>
    </w:rPr>
  </w:style>
  <w:style w:type="character" w:customStyle="1" w:styleId="ae">
    <w:name w:val="页脚 字符"/>
    <w:basedOn w:val="a0"/>
    <w:link w:val="ad"/>
    <w:uiPriority w:val="99"/>
    <w:rsid w:val="007C36A3"/>
    <w:rPr>
      <w:sz w:val="18"/>
      <w:szCs w:val="18"/>
    </w:rPr>
  </w:style>
  <w:style w:type="paragraph" w:styleId="af">
    <w:name w:val="Revision"/>
    <w:hidden/>
    <w:uiPriority w:val="99"/>
    <w:semiHidden/>
    <w:rsid w:val="00F878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186523">
      <w:bodyDiv w:val="1"/>
      <w:marLeft w:val="0"/>
      <w:marRight w:val="0"/>
      <w:marTop w:val="0"/>
      <w:marBottom w:val="0"/>
      <w:divBdr>
        <w:top w:val="none" w:sz="0" w:space="0" w:color="auto"/>
        <w:left w:val="none" w:sz="0" w:space="0" w:color="auto"/>
        <w:bottom w:val="none" w:sz="0" w:space="0" w:color="auto"/>
        <w:right w:val="none" w:sz="0" w:space="0" w:color="auto"/>
      </w:divBdr>
    </w:div>
    <w:div w:id="1839539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554A2-EFFD-4C1F-A144-989EAE44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3877</Words>
  <Characters>22099</Characters>
  <Application>Microsoft Office Word</Application>
  <DocSecurity>0</DocSecurity>
  <Lines>184</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11000MALCANTARAO</dc:creator>
  <cp:lastModifiedBy>Li Jia-Hui</cp:lastModifiedBy>
  <cp:revision>20</cp:revision>
  <dcterms:created xsi:type="dcterms:W3CDTF">2021-09-07T08:13:00Z</dcterms:created>
  <dcterms:modified xsi:type="dcterms:W3CDTF">2021-10-12T01:34:00Z</dcterms:modified>
</cp:coreProperties>
</file>