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EA93" w14:textId="02F70C48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26300" w:rsidRPr="000B094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26300" w:rsidRPr="000B094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784BF9B7" w14:textId="6A234814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68578</w:t>
      </w:r>
    </w:p>
    <w:p w14:paraId="15B7EC67" w14:textId="13ACEE9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ORIGINAL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ARTICLE</w:t>
      </w:r>
    </w:p>
    <w:p w14:paraId="4BF4D5E7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BED863" w14:textId="44C70DEF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67FFCCB" w14:textId="356E753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b/>
          <w:color w:val="000000" w:themeColor="text1"/>
        </w:rPr>
        <w:t xml:space="preserve">and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electroencephalogram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outcomes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spikes</w:t>
      </w:r>
    </w:p>
    <w:p w14:paraId="0711E5BF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A77660" w14:textId="0ACB95F6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Chen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42A4" w:rsidRPr="000B094B">
        <w:rPr>
          <w:rFonts w:ascii="Book Antiqua" w:eastAsia="Book Antiqua" w:hAnsi="Book Antiqua" w:cs="Book Antiqua"/>
          <w:color w:val="000000" w:themeColor="text1"/>
        </w:rPr>
        <w:t>RH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26300" w:rsidRPr="000B094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OLE_LINK1"/>
      <w:r w:rsidR="004042A4"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outcomes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42A4" w:rsidRPr="000B094B">
        <w:rPr>
          <w:rFonts w:ascii="Book Antiqua" w:hAnsi="Book Antiqua" w:cs="Book Antiqua"/>
          <w:color w:val="000000" w:themeColor="text1"/>
          <w:lang w:eastAsia="zh-CN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BEC </w:t>
      </w:r>
      <w:bookmarkEnd w:id="0"/>
    </w:p>
    <w:p w14:paraId="37751E3D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15CA13" w14:textId="6709CDD6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Rui</w:t>
      </w:r>
      <w:r w:rsidR="00275145" w:rsidRPr="000B094B">
        <w:rPr>
          <w:rFonts w:ascii="Book Antiqua" w:eastAsia="Book Antiqua" w:hAnsi="Book Antiqua" w:cs="Book Antiqua"/>
          <w:color w:val="000000" w:themeColor="text1"/>
        </w:rPr>
        <w:t>-Hua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Bing</w:t>
      </w:r>
      <w:r w:rsidR="00275145" w:rsidRPr="000B094B">
        <w:rPr>
          <w:rFonts w:ascii="Book Antiqua" w:eastAsia="Book Antiqua" w:hAnsi="Book Antiqua" w:cs="Book Antiqua"/>
          <w:color w:val="000000" w:themeColor="text1"/>
        </w:rPr>
        <w:t>-Fei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Jian</w:t>
      </w:r>
      <w:r w:rsidR="00275145" w:rsidRPr="000B094B">
        <w:rPr>
          <w:rFonts w:ascii="Book Antiqua" w:eastAsia="Book Antiqua" w:hAnsi="Book Antiqua" w:cs="Book Antiqua"/>
          <w:color w:val="000000" w:themeColor="text1"/>
        </w:rPr>
        <w:t>-Hua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Chun</w:t>
      </w:r>
      <w:r w:rsidR="00275145" w:rsidRPr="000B094B">
        <w:rPr>
          <w:rFonts w:ascii="Book Antiqua" w:eastAsia="Book Antiqua" w:hAnsi="Book Antiqua" w:cs="Book Antiqua"/>
          <w:color w:val="000000" w:themeColor="text1"/>
        </w:rPr>
        <w:t>-Lan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Zhong,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Ming</w:t>
      </w:r>
      <w:r w:rsidR="00275145" w:rsidRPr="000B094B">
        <w:rPr>
          <w:rFonts w:ascii="Book Antiqua" w:eastAsia="Book Antiqua" w:hAnsi="Book Antiqua" w:cs="Book Antiqua"/>
          <w:color w:val="000000" w:themeColor="text1"/>
        </w:rPr>
        <w:t>-Ming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Ji</w:t>
      </w:r>
    </w:p>
    <w:p w14:paraId="15F6126C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2D72B5" w14:textId="67CEB63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Rui</w:t>
      </w:r>
      <w:r w:rsidR="005453E2" w:rsidRPr="000B094B">
        <w:rPr>
          <w:rFonts w:ascii="Book Antiqua" w:eastAsia="Book Antiqua" w:hAnsi="Book Antiqua" w:cs="Book Antiqua"/>
          <w:b/>
          <w:bCs/>
          <w:color w:val="000000" w:themeColor="text1"/>
        </w:rPr>
        <w:t>-Hua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Department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BA2E43" w:rsidRPr="000B094B">
        <w:rPr>
          <w:rFonts w:ascii="Book Antiqua" w:eastAsia="Book Antiqua" w:hAnsi="Book Antiqua" w:cs="Book Antiqua"/>
          <w:color w:val="000000" w:themeColor="text1"/>
        </w:rPr>
        <w:t>’</w:t>
      </w:r>
      <w:r w:rsidRPr="000B094B">
        <w:rPr>
          <w:rFonts w:ascii="Book Antiqua" w:eastAsia="Book Antiqua" w:hAnsi="Book Antiqua" w:cs="Book Antiqua"/>
          <w:color w:val="000000" w:themeColor="text1"/>
        </w:rPr>
        <w:t>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3E2" w:rsidRPr="000B094B">
        <w:rPr>
          <w:rFonts w:ascii="Book Antiqua" w:eastAsia="Book Antiqua" w:hAnsi="Book Antiqua" w:cs="Book Antiqua"/>
          <w:color w:val="000000" w:themeColor="text1"/>
        </w:rPr>
        <w:t>Neurology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Health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341000,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3E2" w:rsidRPr="000B094B">
        <w:rPr>
          <w:rFonts w:ascii="Book Antiqua" w:eastAsia="宋体" w:hAnsi="Book Antiqua"/>
          <w:iCs/>
          <w:color w:val="000000" w:themeColor="text1"/>
        </w:rPr>
        <w:t>Jiangxi</w:t>
      </w:r>
      <w:r w:rsidR="00A26300" w:rsidRPr="000B094B">
        <w:rPr>
          <w:rFonts w:ascii="Book Antiqua" w:eastAsia="宋体" w:hAnsi="Book Antiqua"/>
          <w:iCs/>
          <w:color w:val="000000" w:themeColor="text1"/>
        </w:rPr>
        <w:t xml:space="preserve"> </w:t>
      </w:r>
      <w:r w:rsidR="005453E2" w:rsidRPr="000B094B">
        <w:rPr>
          <w:rFonts w:ascii="Book Antiqua" w:eastAsia="宋体" w:hAnsi="Book Antiqua"/>
          <w:iCs/>
          <w:color w:val="000000" w:themeColor="text1"/>
        </w:rPr>
        <w:t>Province,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China</w:t>
      </w:r>
    </w:p>
    <w:p w14:paraId="16964972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8C5D07" w14:textId="107969E8" w:rsidR="00A77B3E" w:rsidRDefault="0037186A" w:rsidP="0011672D">
      <w:pPr>
        <w:adjustRightInd w:val="0"/>
        <w:snapToGrid w:val="0"/>
        <w:spacing w:line="360" w:lineRule="auto"/>
        <w:jc w:val="both"/>
        <w:rPr>
          <w:rFonts w:ascii="宋体" w:eastAsia="宋体" w:hAnsi="宋体" w:cs="宋体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Bing</w:t>
      </w:r>
      <w:r w:rsidR="009D7AAC" w:rsidRPr="000B094B">
        <w:rPr>
          <w:rFonts w:ascii="Book Antiqua" w:eastAsia="Book Antiqua" w:hAnsi="Book Antiqua" w:cs="Book Antiqua"/>
          <w:b/>
          <w:bCs/>
          <w:color w:val="000000" w:themeColor="text1"/>
        </w:rPr>
        <w:t>-Fei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Chun</w:t>
      </w:r>
      <w:r w:rsidR="009D7AAC" w:rsidRPr="000B094B">
        <w:rPr>
          <w:rFonts w:ascii="Book Antiqua" w:eastAsia="Book Antiqua" w:hAnsi="Book Antiqua" w:cs="Book Antiqua"/>
          <w:b/>
          <w:bCs/>
          <w:color w:val="000000" w:themeColor="text1"/>
        </w:rPr>
        <w:t>-Lan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Zhong,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Ming</w:t>
      </w:r>
      <w:r w:rsidR="009D7AAC" w:rsidRPr="000B094B">
        <w:rPr>
          <w:rFonts w:ascii="Book Antiqua" w:eastAsia="Book Antiqua" w:hAnsi="Book Antiqua" w:cs="Book Antiqua"/>
          <w:b/>
          <w:bCs/>
          <w:color w:val="000000" w:themeColor="text1"/>
        </w:rPr>
        <w:t>-Ming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Department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Pediatric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s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Health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341000,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AC" w:rsidRPr="000B094B">
        <w:rPr>
          <w:rFonts w:ascii="Book Antiqua" w:eastAsia="宋体" w:hAnsi="Book Antiqua"/>
          <w:iCs/>
          <w:color w:val="000000" w:themeColor="text1"/>
        </w:rPr>
        <w:t>Jiangxi</w:t>
      </w:r>
      <w:r w:rsidR="00A26300" w:rsidRPr="000B094B">
        <w:rPr>
          <w:rFonts w:ascii="Book Antiqua" w:eastAsia="宋体" w:hAnsi="Book Antiqua"/>
          <w:iCs/>
          <w:color w:val="000000" w:themeColor="text1"/>
        </w:rPr>
        <w:t xml:space="preserve"> </w:t>
      </w:r>
      <w:r w:rsidR="009D7AAC" w:rsidRPr="000B094B">
        <w:rPr>
          <w:rFonts w:ascii="Book Antiqua" w:eastAsia="宋体" w:hAnsi="Book Antiqua"/>
          <w:iCs/>
          <w:color w:val="000000" w:themeColor="text1"/>
        </w:rPr>
        <w:t>Province,</w:t>
      </w:r>
      <w:r w:rsidR="00A26300" w:rsidRPr="000B094B">
        <w:rPr>
          <w:rFonts w:ascii="Book Antiqua" w:eastAsia="宋体" w:hAnsi="Book Antiqua"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China</w:t>
      </w:r>
      <w:r w:rsidR="00931F6D">
        <w:rPr>
          <w:rFonts w:ascii="宋体" w:eastAsia="宋体" w:hAnsi="宋体" w:cs="宋体" w:hint="eastAsia"/>
          <w:color w:val="000000" w:themeColor="text1"/>
          <w:lang w:eastAsia="zh-CN"/>
        </w:rPr>
        <w:t>、</w:t>
      </w:r>
    </w:p>
    <w:p w14:paraId="1D6B5D5E" w14:textId="77777777" w:rsidR="00931F6D" w:rsidRPr="000B094B" w:rsidRDefault="00931F6D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36C906" w14:textId="77777777" w:rsidR="00931F6D" w:rsidRPr="00931F6D" w:rsidRDefault="00931F6D" w:rsidP="00931F6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31F6D">
        <w:rPr>
          <w:rFonts w:ascii="Book Antiqua" w:eastAsia="Book Antiqua" w:hAnsi="Book Antiqua" w:cs="Book Antiqua"/>
          <w:b/>
          <w:bCs/>
          <w:color w:val="000000" w:themeColor="text1"/>
        </w:rPr>
        <w:t>Jian-Hua Wen,</w:t>
      </w:r>
      <w:r w:rsidRPr="00931F6D">
        <w:rPr>
          <w:rFonts w:ascii="Book Antiqua" w:eastAsia="Book Antiqua" w:hAnsi="Book Antiqua" w:cs="Book Antiqua" w:hint="eastAsia"/>
          <w:b/>
          <w:bCs/>
          <w:color w:val="000000" w:themeColor="text1"/>
        </w:rPr>
        <w:t xml:space="preserve"> </w:t>
      </w:r>
      <w:r w:rsidRPr="00931F6D">
        <w:rPr>
          <w:rFonts w:ascii="Book Antiqua" w:eastAsia="Book Antiqua" w:hAnsi="Book Antiqua" w:cs="Book Antiqua"/>
          <w:color w:val="000000" w:themeColor="text1"/>
        </w:rPr>
        <w:t>Department of Pediatrics, Ningdu County People's Hospital</w:t>
      </w:r>
      <w:r w:rsidRPr="00931F6D">
        <w:rPr>
          <w:rFonts w:ascii="宋体" w:eastAsia="宋体" w:hAnsi="宋体" w:cs="宋体" w:hint="eastAsia"/>
          <w:color w:val="000000" w:themeColor="text1"/>
        </w:rPr>
        <w:t>，</w:t>
      </w:r>
      <w:r w:rsidRPr="00931F6D">
        <w:rPr>
          <w:rFonts w:ascii="Book Antiqua" w:eastAsia="Book Antiqua" w:hAnsi="Book Antiqua" w:cs="Book Antiqua"/>
          <w:color w:val="000000" w:themeColor="text1"/>
        </w:rPr>
        <w:t>Ningdu County People's Hospital, No.109 south Zhongshan Road, Meijiang Town, Ningdu County, Jiangxi  province, China</w:t>
      </w:r>
    </w:p>
    <w:p w14:paraId="09D99B61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2A96CD" w14:textId="09B8D0F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RH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BF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designed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retrospective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Chen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RH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wrote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0B094B">
        <w:rPr>
          <w:rFonts w:ascii="Book Antiqua" w:eastAsia="Book Antiqua" w:hAnsi="Book Antiqua" w:cs="Book Antiqua"/>
          <w:color w:val="000000" w:themeColor="text1"/>
        </w:rPr>
        <w:t>paper;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RH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BF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JH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Zhong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CL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0B094B">
        <w:rPr>
          <w:rFonts w:ascii="Book Antiqua" w:eastAsia="Book Antiqua" w:hAnsi="Book Antiqua" w:cs="Book Antiqua"/>
          <w:color w:val="000000" w:themeColor="text1"/>
        </w:rPr>
        <w:t>MM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sorting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data.</w:t>
      </w:r>
    </w:p>
    <w:p w14:paraId="08E82A04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A09286" w14:textId="16F662AA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Bing</w:t>
      </w:r>
      <w:r w:rsidR="00E95BBC" w:rsidRPr="000B094B">
        <w:rPr>
          <w:rFonts w:ascii="Book Antiqua" w:eastAsia="Book Antiqua" w:hAnsi="Book Antiqua" w:cs="Book Antiqua"/>
          <w:b/>
          <w:bCs/>
          <w:color w:val="000000" w:themeColor="text1"/>
        </w:rPr>
        <w:t>-Fei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BMed,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Department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Pediatric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s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Health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Dagong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Road,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Zhanggong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District,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341000,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BBC" w:rsidRPr="000B094B">
        <w:rPr>
          <w:rFonts w:ascii="Book Antiqua" w:eastAsia="宋体" w:hAnsi="Book Antiqua"/>
          <w:iCs/>
          <w:color w:val="000000" w:themeColor="text1"/>
        </w:rPr>
        <w:t>Jiangxi</w:t>
      </w:r>
      <w:r w:rsidR="00A26300" w:rsidRPr="000B094B">
        <w:rPr>
          <w:rFonts w:ascii="Book Antiqua" w:eastAsia="宋体" w:hAnsi="Book Antiqua"/>
          <w:iCs/>
          <w:color w:val="000000" w:themeColor="text1"/>
        </w:rPr>
        <w:t xml:space="preserve"> </w:t>
      </w:r>
      <w:r w:rsidR="00E95BBC" w:rsidRPr="000B094B">
        <w:rPr>
          <w:rFonts w:ascii="Book Antiqua" w:eastAsia="宋体" w:hAnsi="Book Antiqua"/>
          <w:iCs/>
          <w:color w:val="000000" w:themeColor="text1"/>
        </w:rPr>
        <w:t>Province,</w:t>
      </w:r>
      <w:r w:rsidR="00A26300" w:rsidRPr="000B094B">
        <w:rPr>
          <w:rFonts w:ascii="Book Antiqua" w:eastAsia="宋体" w:hAnsi="Book Antiqua"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China.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jxgzlbf2021@126.com</w:t>
      </w:r>
    </w:p>
    <w:p w14:paraId="24220BED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30567E" w14:textId="201B78F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July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2021</w:t>
      </w:r>
    </w:p>
    <w:p w14:paraId="5E72FFFB" w14:textId="16AFF205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D2471" w:rsidRPr="000B094B">
        <w:rPr>
          <w:rFonts w:ascii="Book Antiqua" w:eastAsia="Book Antiqua" w:hAnsi="Book Antiqua" w:cs="Book Antiqua"/>
          <w:color w:val="000000" w:themeColor="text1"/>
        </w:rPr>
        <w:t>August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471" w:rsidRPr="000B094B">
        <w:rPr>
          <w:rFonts w:ascii="Book Antiqua" w:eastAsia="Book Antiqua" w:hAnsi="Book Antiqua" w:cs="Book Antiqua"/>
          <w:color w:val="000000" w:themeColor="text1"/>
        </w:rPr>
        <w:t>8,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471" w:rsidRPr="000B094B">
        <w:rPr>
          <w:rFonts w:ascii="Book Antiqua" w:eastAsia="Book Antiqua" w:hAnsi="Book Antiqua" w:cs="Book Antiqua"/>
          <w:color w:val="000000" w:themeColor="text1"/>
        </w:rPr>
        <w:t>2021</w:t>
      </w:r>
    </w:p>
    <w:p w14:paraId="7CD322B6" w14:textId="560B66C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15"/>
      <w:bookmarkStart w:id="2" w:name="OLE_LINK33"/>
      <w:bookmarkStart w:id="3" w:name="OLE_LINK48"/>
      <w:r w:rsidR="00A26300" w:rsidRPr="000B094B">
        <w:rPr>
          <w:rFonts w:ascii="Book Antiqua" w:eastAsia="宋体" w:hAnsi="Book Antiqua" w:hint="eastAsia"/>
          <w:color w:val="000000" w:themeColor="text1"/>
        </w:rPr>
        <w:t>Au</w:t>
      </w:r>
      <w:r w:rsidR="00A26300" w:rsidRPr="000B094B">
        <w:rPr>
          <w:rFonts w:ascii="Book Antiqua" w:eastAsia="宋体" w:hAnsi="Book Antiqua"/>
          <w:color w:val="000000" w:themeColor="text1"/>
        </w:rPr>
        <w:t>gust 27, 2021</w:t>
      </w:r>
      <w:bookmarkEnd w:id="1"/>
      <w:bookmarkEnd w:id="2"/>
      <w:bookmarkEnd w:id="3"/>
    </w:p>
    <w:p w14:paraId="636DFE27" w14:textId="77777777" w:rsidR="004D7904" w:rsidRPr="000B094B" w:rsidRDefault="0037186A" w:rsidP="004D7904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D7904" w:rsidRPr="000B094B">
        <w:rPr>
          <w:rFonts w:ascii="Book Antiqua" w:eastAsia="宋体" w:hAnsi="Book Antiqua"/>
          <w:color w:val="000000" w:themeColor="text1"/>
        </w:rPr>
        <w:t>November 26, 2021</w:t>
      </w:r>
    </w:p>
    <w:p w14:paraId="2FE79301" w14:textId="0DBC1396" w:rsidR="001D2471" w:rsidRPr="000B094B" w:rsidRDefault="001D2471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0A519BE6" w14:textId="77777777" w:rsidR="001D2471" w:rsidRPr="000B094B" w:rsidRDefault="001D2471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C2D84FA" w14:textId="6F1817B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2953622F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EEA662F" w14:textId="7B61BEE8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syndrome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transient,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rigid,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paroxysmal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repetitive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nervous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system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behavioral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 are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great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patients’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quality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life.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Electroencephalograms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(EEG)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predict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decline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function.</w:t>
      </w:r>
    </w:p>
    <w:p w14:paraId="015F135D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7674AF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AIM</w:t>
      </w:r>
    </w:p>
    <w:p w14:paraId="56672342" w14:textId="7E83D168" w:rsidR="00A77B3E" w:rsidRPr="000B094B" w:rsidRDefault="00E30079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determine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results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spiking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children.</w:t>
      </w:r>
    </w:p>
    <w:p w14:paraId="4DC07D6F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98D8B9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EBF2366" w14:textId="5B7F20D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myocardial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0B094B">
        <w:rPr>
          <w:rFonts w:ascii="Book Antiqua" w:eastAsia="Book Antiqua" w:hAnsi="Book Antiqua" w:cs="Book Antiqua"/>
          <w:color w:val="000000" w:themeColor="text1"/>
        </w:rPr>
        <w:t>our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from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January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2017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January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2020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selected.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EGG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treatment-effective/-ineffective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patients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analyzed,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before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evaluated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Gesell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Scale.</w:t>
      </w:r>
    </w:p>
    <w:p w14:paraId="45BDD300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5483C3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B4FA4BC" w14:textId="23DF324A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proportion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0B094B">
        <w:rPr>
          <w:rFonts w:ascii="Book Antiqua" w:eastAsia="Book Antiqua" w:hAnsi="Book Antiqua" w:cs="Book Antiqua"/>
          <w:color w:val="000000" w:themeColor="text1"/>
        </w:rPr>
        <w:t>awake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0B094B">
        <w:rPr>
          <w:rFonts w:ascii="Book Antiqua" w:eastAsia="Book Antiqua" w:hAnsi="Book Antiqua" w:cs="Book Antiqua"/>
          <w:color w:val="000000" w:themeColor="text1"/>
        </w:rPr>
        <w:t>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periods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66.04%,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peak/peak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mainly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single-sided,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accounting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81.13%,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accounted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31.13%.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variables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sexes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7E3924" w:rsidRPr="000B094B">
        <w:rPr>
          <w:rFonts w:ascii="Book Antiqua" w:eastAsia="Book Antiqua" w:hAnsi="Book Antiqua" w:cs="Book Antiqua"/>
          <w:color w:val="000000" w:themeColor="text1"/>
        </w:rPr>
        <w:t xml:space="preserve"> proportion of patients 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3 times/half a year </w:t>
      </w:r>
      <w:r w:rsidR="007E3924" w:rsidRPr="000B094B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0B094B">
        <w:rPr>
          <w:rFonts w:ascii="Book Antiqua" w:eastAsia="Book Antiqua" w:hAnsi="Book Antiqua" w:cs="Book Antiqua"/>
          <w:color w:val="000000" w:themeColor="text1"/>
        </w:rPr>
        <w:t>40.00%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60.00%,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respectively;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incidence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rate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younger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those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treatment-effective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491709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treatment-effective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491709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negatively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=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0B094B">
        <w:rPr>
          <w:rFonts w:ascii="Book Antiqua" w:eastAsia="Book Antiqua" w:hAnsi="Book Antiqua" w:cs="Book Antiqua"/>
          <w:color w:val="000000" w:themeColor="text1"/>
        </w:rPr>
        <w:t>0.274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0B094B">
        <w:rPr>
          <w:rFonts w:ascii="Book Antiqua" w:eastAsia="Book Antiqua" w:hAnsi="Book Antiqua" w:cs="Book Antiqua"/>
          <w:color w:val="000000" w:themeColor="text1"/>
        </w:rPr>
        <w:t>0.247,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but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 not 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Logistic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regression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affecting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ineffective-treatment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odds </w:t>
      </w:r>
      <w:r w:rsidR="00491709" w:rsidRPr="000B094B">
        <w:rPr>
          <w:rFonts w:ascii="Book Antiqua" w:eastAsia="Book Antiqua" w:hAnsi="Book Antiqua" w:cs="Book Antiqua"/>
          <w:color w:val="000000" w:themeColor="text1"/>
        </w:rPr>
        <w:t>ratio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=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11.304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5.784,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However,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personal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social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</w:p>
    <w:p w14:paraId="296F926C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0EFB5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408CE9E" w14:textId="02D5230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0B094B">
        <w:rPr>
          <w:rFonts w:ascii="Book Antiqua" w:eastAsia="Book Antiqua" w:hAnsi="Book Antiqua" w:cs="Book Antiqua"/>
          <w:color w:val="000000" w:themeColor="text1"/>
        </w:rPr>
        <w:t xml:space="preserve">EEG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zone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changes,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influenced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frequency.</w:t>
      </w:r>
    </w:p>
    <w:p w14:paraId="30EB5166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9E9344" w14:textId="6F9C6C86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Pr="000B094B">
        <w:rPr>
          <w:rFonts w:ascii="Book Antiqua" w:eastAsia="Book Antiqua" w:hAnsi="Book Antiqua" w:cs="Book Antiqua"/>
          <w:color w:val="000000" w:themeColor="text1"/>
        </w:rPr>
        <w:t>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Electroencephalogram</w:t>
      </w:r>
      <w:r w:rsidRPr="000B094B">
        <w:rPr>
          <w:rFonts w:ascii="Book Antiqua" w:eastAsia="Book Antiqua" w:hAnsi="Book Antiqua" w:cs="Book Antiqua"/>
          <w:color w:val="000000" w:themeColor="text1"/>
        </w:rPr>
        <w:t>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</w:t>
      </w:r>
    </w:p>
    <w:p w14:paraId="57A1DD62" w14:textId="77777777" w:rsidR="005F05BE" w:rsidRPr="000B094B" w:rsidRDefault="005F05BE" w:rsidP="005F05BE">
      <w:pPr>
        <w:spacing w:line="360" w:lineRule="auto"/>
        <w:jc w:val="both"/>
        <w:rPr>
          <w:lang w:eastAsia="zh-CN"/>
        </w:rPr>
      </w:pPr>
    </w:p>
    <w:p w14:paraId="77B6D523" w14:textId="77777777" w:rsidR="005F05BE" w:rsidRPr="000B094B" w:rsidRDefault="005F05BE" w:rsidP="005F05B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B094B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0B094B">
        <w:rPr>
          <w:rFonts w:ascii="Book Antiqua" w:eastAsia="Book Antiqua" w:hAnsi="Book Antiqua" w:cs="Book Antiqua"/>
          <w:b/>
          <w:color w:val="000000"/>
        </w:rPr>
        <w:t>The</w:t>
      </w:r>
      <w:r w:rsidRPr="000B094B">
        <w:rPr>
          <w:rFonts w:ascii="Book Antiqua" w:eastAsia="Book Antiqua" w:hAnsi="Book Antiqua" w:cs="Book Antiqua"/>
          <w:color w:val="000000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B094B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484700B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CBCBF8" w14:textId="78A65B61" w:rsidR="00A0760F" w:rsidRPr="000B094B" w:rsidRDefault="00A0760F" w:rsidP="001478CA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0B094B">
        <w:rPr>
          <w:rFonts w:ascii="Book Antiqua" w:hAnsi="Book Antiqua" w:cs="Book Antiqua" w:hint="eastAsia"/>
          <w:b/>
          <w:color w:val="000000" w:themeColor="text1"/>
          <w:lang w:eastAsia="zh-CN"/>
        </w:rPr>
        <w:lastRenderedPageBreak/>
        <w:t xml:space="preserve">Citation: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Chen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R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H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Li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B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F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Wen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J</w:t>
      </w:r>
      <w:r w:rsidR="003942BD" w:rsidRPr="000B094B">
        <w:rPr>
          <w:rFonts w:ascii="Book Antiqua" w:eastAsia="Book Antiqua" w:hAnsi="Book Antiqua" w:cs="Book Antiqua"/>
          <w:color w:val="000000" w:themeColor="text1"/>
        </w:rPr>
        <w:t>H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Zhong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L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Ji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M</w:t>
      </w:r>
      <w:r w:rsidR="005133C2" w:rsidRPr="000B094B">
        <w:rPr>
          <w:rFonts w:ascii="Book Antiqua" w:eastAsia="Book Antiqua" w:hAnsi="Book Antiqua" w:cs="Book Antiqua"/>
          <w:color w:val="000000" w:themeColor="text1"/>
        </w:rPr>
        <w:t>M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outcomes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color w:val="000000" w:themeColor="text1"/>
        </w:rPr>
        <w:t>spikes.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26300" w:rsidRPr="000B094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6300" w:rsidRPr="000B094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6300" w:rsidRPr="000B094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7186A" w:rsidRPr="000B094B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56867303"/>
      <w:r w:rsidR="001478CA" w:rsidRPr="000B094B">
        <w:rPr>
          <w:rFonts w:ascii="Book Antiqua" w:eastAsia="Book Antiqua" w:hAnsi="Book Antiqua" w:cs="Book Antiqua"/>
          <w:lang w:val="pt-BR"/>
        </w:rPr>
        <w:t xml:space="preserve">2021; 9(33): </w:t>
      </w:r>
      <w:r w:rsidR="009F2AF0" w:rsidRPr="000B094B">
        <w:rPr>
          <w:rFonts w:ascii="Book Antiqua" w:eastAsia="Book Antiqua" w:hAnsi="Book Antiqua" w:cs="Book Antiqua"/>
          <w:lang w:val="pt-BR"/>
        </w:rPr>
        <w:t>10116-10125</w:t>
      </w:r>
      <w:r w:rsidR="001478CA" w:rsidRPr="000B094B">
        <w:rPr>
          <w:rFonts w:ascii="Book Antiqua" w:eastAsia="Book Antiqua" w:hAnsi="Book Antiqua" w:cs="Book Antiqua"/>
          <w:lang w:val="pt-BR"/>
        </w:rPr>
        <w:t xml:space="preserve"> </w:t>
      </w:r>
    </w:p>
    <w:p w14:paraId="789AD1E3" w14:textId="77777777" w:rsidR="00A0760F" w:rsidRPr="000B094B" w:rsidRDefault="001478CA" w:rsidP="001478CA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0B094B">
        <w:rPr>
          <w:rFonts w:ascii="Book Antiqua" w:eastAsia="Book Antiqua" w:hAnsi="Book Antiqua" w:cs="Book Antiqua"/>
          <w:b/>
          <w:lang w:val="pt-BR"/>
        </w:rPr>
        <w:t xml:space="preserve">URL: </w:t>
      </w:r>
      <w:r w:rsidRPr="000B094B">
        <w:rPr>
          <w:rFonts w:ascii="Book Antiqua" w:eastAsia="Book Antiqua" w:hAnsi="Book Antiqua" w:cs="Book Antiqua"/>
          <w:lang w:val="pt-BR"/>
        </w:rPr>
        <w:t>https://www.wjgnet.com/2307-8960/full/v9/i33/</w:t>
      </w:r>
      <w:r w:rsidR="009F2AF0" w:rsidRPr="000B094B">
        <w:rPr>
          <w:rFonts w:ascii="Book Antiqua" w:eastAsia="Book Antiqua" w:hAnsi="Book Antiqua" w:cs="Book Antiqua"/>
          <w:lang w:val="pt-BR"/>
        </w:rPr>
        <w:t>10116</w:t>
      </w:r>
      <w:r w:rsidRPr="000B094B">
        <w:rPr>
          <w:rFonts w:ascii="Book Antiqua" w:eastAsia="Book Antiqua" w:hAnsi="Book Antiqua" w:cs="Book Antiqua"/>
          <w:lang w:val="pt-BR"/>
        </w:rPr>
        <w:t xml:space="preserve">.htm  </w:t>
      </w:r>
    </w:p>
    <w:p w14:paraId="5205EB26" w14:textId="6672F88F" w:rsidR="001478CA" w:rsidRPr="000B094B" w:rsidRDefault="001478CA" w:rsidP="001478CA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0B094B">
        <w:rPr>
          <w:rFonts w:ascii="Book Antiqua" w:eastAsia="Book Antiqua" w:hAnsi="Book Antiqua" w:cs="Book Antiqua"/>
          <w:b/>
          <w:lang w:val="pt-BR"/>
        </w:rPr>
        <w:t>DOI:</w:t>
      </w:r>
      <w:r w:rsidRPr="000B094B">
        <w:rPr>
          <w:rFonts w:ascii="Book Antiqua" w:eastAsia="Book Antiqua" w:hAnsi="Book Antiqua" w:cs="Book Antiqua"/>
          <w:lang w:val="pt-BR"/>
        </w:rPr>
        <w:t xml:space="preserve"> https://dx.doi.org/10.12998/wjcc.v9.i33.</w:t>
      </w:r>
      <w:r w:rsidR="009F2AF0" w:rsidRPr="000B094B">
        <w:rPr>
          <w:rFonts w:ascii="Book Antiqua" w:eastAsia="Book Antiqua" w:hAnsi="Book Antiqua" w:cs="Book Antiqua"/>
          <w:lang w:val="pt-BR"/>
        </w:rPr>
        <w:t>10116</w:t>
      </w:r>
    </w:p>
    <w:bookmarkEnd w:id="4"/>
    <w:p w14:paraId="29DA0C33" w14:textId="481AF5A8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44731ACC" w14:textId="3CE59FD3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changes,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affected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onset.</w:t>
      </w:r>
    </w:p>
    <w:p w14:paraId="26AC3087" w14:textId="77777777" w:rsidR="00845BD5" w:rsidRPr="000B094B" w:rsidRDefault="00845BD5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0ED7EC90" w14:textId="156D8C4D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C9B0BBC" w14:textId="4F485E63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syndrome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transient,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rigid,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paroxysmal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repetitive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nervous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system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excessive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neuron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synchronization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self-limited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etiological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s 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common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among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incidence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rate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of epilepsy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increasing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recent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age-dependent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syndrome,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peaks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6–8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mental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present,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primary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goal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completely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simultaneously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considering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behavioral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 is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great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patients’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quality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life.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(EEG)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important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validator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structure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useful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detect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alterations.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important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aspect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also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based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morphology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and/or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Studies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predict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decline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[3,4]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0B094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analyzed,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outcomes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also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discussed.</w:t>
      </w:r>
    </w:p>
    <w:p w14:paraId="331DE059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3480E3" w14:textId="273761A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MATERIALS</w:t>
      </w:r>
      <w:r w:rsidR="00A26300"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A26300"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541540A" w14:textId="70F1F98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5641D9B9" w14:textId="584B520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including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males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40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females,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0B094B">
        <w:rPr>
          <w:rFonts w:ascii="Book Antiqua" w:eastAsia="Book Antiqua" w:hAnsi="Book Antiqua" w:cs="Book Antiqua"/>
          <w:color w:val="000000" w:themeColor="text1"/>
        </w:rPr>
        <w:t>our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from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January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2017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January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2020.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Their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ranged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from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12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their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average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0B094B">
        <w:rPr>
          <w:rFonts w:ascii="Book Antiqua" w:eastAsia="Book Antiqua" w:hAnsi="Book Antiqua" w:cs="Book Antiqua"/>
          <w:color w:val="000000" w:themeColor="text1"/>
        </w:rPr>
        <w:t>7.15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 w:rsidRPr="000B094B">
        <w:rPr>
          <w:rFonts w:ascii="Book Antiqua" w:eastAsia="Book Antiqua" w:hAnsi="Book Antiqua" w:cs="Book Antiqua"/>
          <w:color w:val="000000" w:themeColor="text1"/>
        </w:rPr>
        <w:t>±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1.82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The inclusion </w:t>
      </w:r>
      <w:r w:rsidRPr="000B094B">
        <w:rPr>
          <w:rFonts w:ascii="Book Antiqua" w:eastAsia="Book Antiqua" w:hAnsi="Book Antiqua" w:cs="Book Antiqua"/>
          <w:color w:val="000000" w:themeColor="text1"/>
        </w:rPr>
        <w:t>criteria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were</w:t>
      </w:r>
      <w:r w:rsidRPr="000B094B">
        <w:rPr>
          <w:rFonts w:ascii="Book Antiqua" w:eastAsia="Book Antiqua" w:hAnsi="Book Antiqua" w:cs="Book Antiqua"/>
          <w:color w:val="000000" w:themeColor="text1"/>
        </w:rPr>
        <w:t>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(1)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criteria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guidelines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International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League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Against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(2)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7DB9" w:rsidRPr="000B094B">
        <w:rPr>
          <w:rFonts w:ascii="Book Antiqua" w:eastAsia="Book Antiqua" w:hAnsi="Book Antiqua" w:cs="Book Antiqua"/>
          <w:color w:val="000000" w:themeColor="text1"/>
        </w:rPr>
        <w:t>F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>irst</w:t>
      </w:r>
      <w:r w:rsidRPr="000B094B">
        <w:rPr>
          <w:rFonts w:ascii="Book Antiqua" w:eastAsia="Book Antiqua" w:hAnsi="Book Antiqua" w:cs="Book Antiqua"/>
          <w:color w:val="000000" w:themeColor="text1"/>
        </w:rPr>
        <w:t>-time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(3)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7DB9"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ged </w:t>
      </w:r>
      <w:r w:rsidRPr="000B094B">
        <w:rPr>
          <w:rFonts w:ascii="Book Antiqua" w:eastAsia="Book Antiqua" w:hAnsi="Book Antiqua" w:cs="Book Antiqua"/>
          <w:color w:val="000000" w:themeColor="text1"/>
        </w:rPr>
        <w:t>3–12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(4)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7DB9" w:rsidRPr="000B094B">
        <w:rPr>
          <w:rFonts w:ascii="Book Antiqua" w:eastAsia="Book Antiqua" w:hAnsi="Book Antiqua" w:cs="Book Antiqua"/>
          <w:color w:val="000000" w:themeColor="text1"/>
        </w:rPr>
        <w:t>C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omplete </w:t>
      </w:r>
      <w:r w:rsidRPr="000B094B">
        <w:rPr>
          <w:rFonts w:ascii="Book Antiqua" w:eastAsia="Book Antiqua" w:hAnsi="Book Antiqua" w:cs="Book Antiqua"/>
          <w:color w:val="000000" w:themeColor="text1"/>
        </w:rPr>
        <w:t>clinical,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follow-up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(5)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7DB9" w:rsidRPr="000B094B">
        <w:rPr>
          <w:rFonts w:ascii="Book Antiqua" w:eastAsia="Book Antiqua" w:hAnsi="Book Antiqua" w:cs="Book Antiqua"/>
          <w:color w:val="000000" w:themeColor="text1"/>
        </w:rPr>
        <w:t>H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ad </w:t>
      </w:r>
      <w:r w:rsidRPr="000B094B">
        <w:rPr>
          <w:rFonts w:ascii="Book Antiqua" w:eastAsia="Book Antiqua" w:hAnsi="Book Antiqua" w:cs="Book Antiqua"/>
          <w:color w:val="000000" w:themeColor="text1"/>
        </w:rPr>
        <w:t>intelligence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tests;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02E9"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(6)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7DB9" w:rsidRPr="000B094B">
        <w:rPr>
          <w:rFonts w:ascii="Book Antiqua" w:eastAsia="Book Antiqua" w:hAnsi="Book Antiqua" w:cs="Book Antiqua"/>
          <w:color w:val="000000" w:themeColor="text1"/>
        </w:rPr>
        <w:t>I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nformed </w:t>
      </w:r>
      <w:r w:rsidRPr="000B094B">
        <w:rPr>
          <w:rFonts w:ascii="Book Antiqua" w:eastAsia="Book Antiqua" w:hAnsi="Book Antiqua" w:cs="Book Antiqua"/>
          <w:color w:val="000000" w:themeColor="text1"/>
        </w:rPr>
        <w:t>consent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from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guardian.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The exclusion </w:t>
      </w:r>
      <w:r w:rsidRPr="000B094B">
        <w:rPr>
          <w:rFonts w:ascii="Book Antiqua" w:eastAsia="Book Antiqua" w:hAnsi="Book Antiqua" w:cs="Book Antiqua"/>
          <w:color w:val="000000" w:themeColor="text1"/>
        </w:rPr>
        <w:t>criteria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 were</w:t>
      </w:r>
      <w:r w:rsidRPr="000B094B">
        <w:rPr>
          <w:rFonts w:ascii="Book Antiqua" w:eastAsia="Book Antiqua" w:hAnsi="Book Antiqua" w:cs="Book Antiqua"/>
          <w:color w:val="000000" w:themeColor="text1"/>
        </w:rPr>
        <w:t>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(1)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history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encephalitis,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meningitis,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malformation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diseases;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(2)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37DF" w:rsidRPr="000B094B">
        <w:rPr>
          <w:rFonts w:ascii="Book Antiqua" w:eastAsia="Book Antiqua" w:hAnsi="Book Antiqua" w:cs="Book Antiqua"/>
          <w:color w:val="000000" w:themeColor="text1"/>
        </w:rPr>
        <w:t>O</w:t>
      </w:r>
      <w:r w:rsidR="005C0E79" w:rsidRPr="000B094B">
        <w:rPr>
          <w:rFonts w:ascii="Book Antiqua" w:eastAsia="Book Antiqua" w:hAnsi="Book Antiqua" w:cs="Book Antiqua"/>
          <w:color w:val="000000" w:themeColor="text1"/>
        </w:rPr>
        <w:t xml:space="preserve">ther </w:t>
      </w:r>
      <w:r w:rsidRPr="000B094B">
        <w:rPr>
          <w:rFonts w:ascii="Book Antiqua" w:eastAsia="Book Antiqua" w:hAnsi="Book Antiqua" w:cs="Book Antiqua"/>
          <w:color w:val="000000" w:themeColor="text1"/>
        </w:rPr>
        <w:t>diseases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such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connective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tissue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nephrotic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syndrome,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immunodeficiency;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1CAB"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(3)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37DF" w:rsidRPr="000B094B">
        <w:rPr>
          <w:rFonts w:ascii="Book Antiqua" w:eastAsia="Book Antiqua" w:hAnsi="Book Antiqua" w:cs="Book Antiqua"/>
          <w:color w:val="000000" w:themeColor="text1"/>
        </w:rPr>
        <w:t>P</w:t>
      </w:r>
      <w:r w:rsidR="001534A5" w:rsidRPr="000B094B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history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glucocorticoid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before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our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4A6C472D" w14:textId="77777777" w:rsidR="00061CAB" w:rsidRPr="000B094B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4A8319" w14:textId="2E3CA9E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</w:p>
    <w:p w14:paraId="40941758" w14:textId="0122DE1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levetiracetam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lamotrigine.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levetiracetam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dose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mg/kg/d,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dose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B12" w:rsidRPr="000B094B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0B094B">
        <w:rPr>
          <w:rFonts w:ascii="Book Antiqua" w:eastAsia="Book Antiqua" w:hAnsi="Book Antiqua" w:cs="Book Antiqua"/>
          <w:color w:val="000000" w:themeColor="text1"/>
        </w:rPr>
        <w:t>10</w:t>
      </w:r>
      <w:r w:rsidR="00061CAB" w:rsidRPr="000B094B">
        <w:rPr>
          <w:rFonts w:ascii="Book Antiqua" w:eastAsia="Book Antiqua" w:hAnsi="Book Antiqua" w:cs="Book Antiqua"/>
          <w:color w:val="000000" w:themeColor="text1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30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mg/kg/d.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Lamotrigine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administered</w:t>
      </w:r>
      <w:r w:rsidR="00095B12" w:rsidRPr="000B094B">
        <w:rPr>
          <w:rFonts w:ascii="Book Antiqua" w:eastAsia="Book Antiqua" w:hAnsi="Book Antiqua" w:cs="Book Antiqua"/>
          <w:color w:val="000000" w:themeColor="text1"/>
        </w:rPr>
        <w:t xml:space="preserve"> 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doses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from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0.3</w:t>
      </w:r>
      <w:r w:rsidR="00061CAB" w:rsidRPr="000B094B">
        <w:rPr>
          <w:rFonts w:ascii="Book Antiqua" w:eastAsia="Book Antiqua" w:hAnsi="Book Antiqua" w:cs="Book Antiqua"/>
          <w:color w:val="000000" w:themeColor="text1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0.6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mg/kg/d,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gradually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increasing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</w:t>
      </w:r>
      <w:r w:rsidR="00061CAB" w:rsidRPr="000B094B">
        <w:rPr>
          <w:rFonts w:ascii="Book Antiqua" w:eastAsia="Book Antiqua" w:hAnsi="Book Antiqua" w:cs="Book Antiqua"/>
          <w:color w:val="000000" w:themeColor="text1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mg/kg/d.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followed</w:t>
      </w:r>
      <w:r w:rsidR="00095B12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considered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ineffective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follow-up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seizures.</w:t>
      </w:r>
    </w:p>
    <w:p w14:paraId="40C9087A" w14:textId="77777777" w:rsidR="00061CAB" w:rsidRPr="000B094B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506CD4" w14:textId="2865B8B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examination</w:t>
      </w:r>
    </w:p>
    <w:p w14:paraId="046BBD0A" w14:textId="2C667DA6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We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employed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EEG-1200C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manufactured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Japan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Optoelectronics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Co.,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Ltd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with the following parameters: Gain, </w:t>
      </w:r>
      <w:r w:rsidRPr="000B094B">
        <w:rPr>
          <w:rFonts w:ascii="Book Antiqua" w:eastAsia="Book Antiqua" w:hAnsi="Book Antiqua" w:cs="Book Antiqua"/>
          <w:color w:val="000000" w:themeColor="text1"/>
        </w:rPr>
        <w:t>50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µV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high-pass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filtering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conducted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45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constant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0.3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accuracy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bit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0B094B">
        <w:rPr>
          <w:rFonts w:ascii="Book Antiqua" w:eastAsia="Book Antiqua" w:hAnsi="Book Antiqua" w:cs="Book Antiqua"/>
          <w:color w:val="000000" w:themeColor="text1"/>
        </w:rPr>
        <w:t>200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scalp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resistance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≤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5000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MΩ.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electrodes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placed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bilateral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earlobes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recording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electrodes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total.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signals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recorded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quiet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eye-closed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state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min,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complexity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B12" w:rsidRPr="000B094B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0B094B">
        <w:rPr>
          <w:rFonts w:ascii="Book Antiqua" w:eastAsia="Book Antiqua" w:hAnsi="Book Antiqua" w:cs="Book Antiqua"/>
          <w:color w:val="000000" w:themeColor="text1"/>
        </w:rPr>
        <w:t>calculated.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human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(0.5-30)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including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β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(13.5</w:t>
      </w:r>
      <w:r w:rsidR="00061CAB" w:rsidRPr="000B094B">
        <w:rPr>
          <w:rFonts w:ascii="Book Antiqua" w:hAnsi="Book Antiqua" w:cs="Book Antiqua"/>
          <w:color w:val="000000" w:themeColor="text1"/>
          <w:lang w:eastAsia="zh-CN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30.0)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α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(8.0–13.0)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θ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(4.0</w:t>
      </w:r>
      <w:r w:rsidR="00061CAB" w:rsidRPr="000B094B">
        <w:rPr>
          <w:rFonts w:ascii="Book Antiqua" w:eastAsia="Book Antiqua" w:hAnsi="Book Antiqua" w:cs="Book Antiqua"/>
          <w:color w:val="000000" w:themeColor="text1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7.5)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δ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(1.0</w:t>
      </w:r>
      <w:r w:rsidR="00061CAB" w:rsidRPr="000B094B">
        <w:rPr>
          <w:rFonts w:ascii="Book Antiqua" w:hAnsi="Book Antiqua" w:cs="Book Antiqua"/>
          <w:color w:val="000000" w:themeColor="text1"/>
          <w:lang w:eastAsia="zh-CN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3.5)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02A320D" w14:textId="77777777" w:rsidR="00061CAB" w:rsidRPr="000B094B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FC8B4" w14:textId="76FAC0C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Intelligence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</w:t>
      </w:r>
    </w:p>
    <w:p w14:paraId="0E037158" w14:textId="603CA6CF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intelligence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assessed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Gesell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Scale,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included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>domains</w:t>
      </w:r>
      <w:r w:rsidR="00F3673D" w:rsidRPr="000B094B">
        <w:rPr>
          <w:rFonts w:ascii="Book Antiqua" w:eastAsia="Book Antiqua" w:hAnsi="Book Antiqua" w:cs="Book Antiqua"/>
          <w:color w:val="000000" w:themeColor="text1"/>
        </w:rPr>
        <w:t xml:space="preserve">, namely, </w:t>
      </w:r>
      <w:r w:rsidRPr="000B094B">
        <w:rPr>
          <w:rFonts w:ascii="Book Antiqua" w:eastAsia="Book Antiqua" w:hAnsi="Book Antiqua" w:cs="Book Antiqua"/>
          <w:color w:val="000000" w:themeColor="text1"/>
        </w:rPr>
        <w:t>gross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 w:rsidRPr="000B094B">
        <w:rPr>
          <w:rFonts w:ascii="Book Antiqua" w:eastAsia="Book Antiqua" w:hAnsi="Book Antiqua" w:cs="Book Antiqua"/>
          <w:color w:val="000000" w:themeColor="text1"/>
        </w:rPr>
        <w:t xml:space="preserve">motor,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language,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personal-social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ability.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result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domain is </w:t>
      </w:r>
      <w:r w:rsidRPr="000B094B">
        <w:rPr>
          <w:rFonts w:ascii="Book Antiqua" w:eastAsia="Book Antiqua" w:hAnsi="Book Antiqua" w:cs="Book Antiqua"/>
          <w:color w:val="000000" w:themeColor="text1"/>
        </w:rPr>
        <w:t>expressed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(DQ),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DQ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85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considered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normal.</w:t>
      </w:r>
    </w:p>
    <w:p w14:paraId="584C27AD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1FE92D" w14:textId="76C2109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44143A2" w14:textId="149463B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SPSS22.0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software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analyses. Measurement </w:t>
      </w:r>
      <w:r w:rsidRPr="000B094B">
        <w:rPr>
          <w:rFonts w:ascii="Book Antiqua" w:eastAsia="Book Antiqua" w:hAnsi="Book Antiqua" w:cs="Book Antiqua"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with a </w:t>
      </w:r>
      <w:r w:rsidRPr="000B094B">
        <w:rPr>
          <w:rFonts w:ascii="Book Antiqua" w:eastAsia="Book Antiqua" w:hAnsi="Book Antiqua" w:cs="Book Antiqua"/>
          <w:color w:val="000000" w:themeColor="text1"/>
        </w:rPr>
        <w:t>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distribution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0B094B">
        <w:rPr>
          <w:rFonts w:ascii="Book Antiqua" w:eastAsia="Book Antiqua" w:hAnsi="Book Antiqua" w:cs="Book Antiqua"/>
          <w:color w:val="000000" w:themeColor="text1"/>
        </w:rPr>
        <w:t>expressed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mean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 w:rsidRPr="000B094B">
        <w:rPr>
          <w:rFonts w:ascii="Book Antiqua" w:hAnsi="Book Antiqua" w:cs="Book Antiqua"/>
          <w:color w:val="000000" w:themeColor="text1"/>
          <w:lang w:eastAsia="zh-CN"/>
        </w:rPr>
        <w:t>±</w:t>
      </w:r>
      <w:r w:rsidR="00A26300" w:rsidRPr="000B094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SD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, and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comparison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Count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expressed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(%),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inter-group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comparisons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were performed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 w:rsidRPr="000B094B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="00F3673D" w:rsidRPr="000B094B">
        <w:rPr>
          <w:rFonts w:ascii="Book Antiqua" w:hAnsi="Book Antiqua" w:cs="Book Antiqua"/>
          <w:color w:val="000000" w:themeColor="text1"/>
          <w:lang w:eastAsia="zh-CN"/>
        </w:rPr>
        <w:t xml:space="preserve">he </w:t>
      </w:r>
      <w:r w:rsidR="00F3673D" w:rsidRPr="000B094B">
        <w:rPr>
          <w:rFonts w:ascii="Book Antiqua" w:eastAsia="Book Antiqua" w:hAnsi="Book Antiqua" w:cs="Book Antiqua"/>
          <w:color w:val="000000" w:themeColor="text1"/>
        </w:rPr>
        <w:t>chi-square test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Pearson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logistic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regression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multivariate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were also performed. </w:t>
      </w:r>
      <w:r w:rsidR="00502097" w:rsidRPr="000B094B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values &lt; </w:t>
      </w:r>
      <w:r w:rsidRPr="000B094B">
        <w:rPr>
          <w:rFonts w:ascii="Book Antiqua" w:eastAsia="Book Antiqua" w:hAnsi="Book Antiqua" w:cs="Book Antiqua"/>
          <w:color w:val="000000" w:themeColor="text1"/>
        </w:rPr>
        <w:t>0.05</w:t>
      </w:r>
      <w:r w:rsidR="00502097" w:rsidRPr="000B094B">
        <w:rPr>
          <w:rFonts w:ascii="Book Antiqua" w:eastAsia="Book Antiqua" w:hAnsi="Book Antiqua" w:cs="Book Antiqua"/>
          <w:color w:val="000000" w:themeColor="text1"/>
        </w:rPr>
        <w:t xml:space="preserve"> were considered statistically significant</w:t>
      </w:r>
      <w:r w:rsidR="00EA446F" w:rsidRPr="000B094B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76CC60FC" w14:textId="77777777" w:rsidR="00A77B3E" w:rsidRPr="000B094B" w:rsidRDefault="00A77B3E" w:rsidP="0011672D">
      <w:pPr>
        <w:adjustRightInd w:val="0"/>
        <w:snapToGrid w:val="0"/>
        <w:spacing w:line="360" w:lineRule="auto"/>
        <w:ind w:firstLine="220"/>
        <w:jc w:val="both"/>
        <w:rPr>
          <w:rFonts w:ascii="Book Antiqua" w:hAnsi="Book Antiqua"/>
          <w:color w:val="000000" w:themeColor="text1"/>
        </w:rPr>
      </w:pPr>
    </w:p>
    <w:p w14:paraId="19B19A29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4D73DF0D" w14:textId="62236C1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Children's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140CC7D" w14:textId="3CC62AEA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Among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106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proportion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0B094B">
        <w:rPr>
          <w:rFonts w:ascii="Book Antiqua" w:eastAsia="Book Antiqua" w:hAnsi="Book Antiqua" w:cs="Book Antiqua"/>
          <w:color w:val="000000" w:themeColor="text1"/>
        </w:rPr>
        <w:t>awake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66.04%,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spike/sharp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rate 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81.13%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color w:val="000000" w:themeColor="text1"/>
        </w:rPr>
        <w:t>mainly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unilateral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)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rate of </w:t>
      </w:r>
      <w:r w:rsidRPr="000B094B">
        <w:rPr>
          <w:rFonts w:ascii="Book Antiqua" w:eastAsia="Book Antiqua" w:hAnsi="Book Antiqua" w:cs="Book Antiqua"/>
          <w:color w:val="000000" w:themeColor="text1"/>
        </w:rPr>
        <w:t>31.13%,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1.</w:t>
      </w:r>
    </w:p>
    <w:p w14:paraId="4961F0AB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F1BE49" w14:textId="5044F874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respect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sex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age</w:t>
      </w:r>
    </w:p>
    <w:p w14:paraId="1E1DDF7F" w14:textId="721B5BD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proportion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spike/sharp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unilateral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sexes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among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age groups </w:t>
      </w:r>
      <w:r w:rsidRPr="000B094B">
        <w:rPr>
          <w:rFonts w:ascii="Book Antiqua" w:eastAsia="Book Antiqua" w:hAnsi="Book Antiqua" w:cs="Book Antiqua"/>
          <w:color w:val="000000" w:themeColor="text1"/>
        </w:rPr>
        <w:t>either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during the </w:t>
      </w:r>
      <w:r w:rsidRPr="000B094B">
        <w:rPr>
          <w:rFonts w:ascii="Book Antiqua" w:eastAsia="Book Antiqua" w:hAnsi="Book Antiqua" w:cs="Book Antiqua"/>
          <w:color w:val="000000" w:themeColor="text1"/>
        </w:rPr>
        <w:t>awake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period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2.</w:t>
      </w:r>
    </w:p>
    <w:p w14:paraId="18730DF1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13D0F7" w14:textId="33266ED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responsive/unresponsive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2449F06" w14:textId="32A3882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proportion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young-age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times/half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0B094B">
        <w:rPr>
          <w:rFonts w:ascii="Book Antiqua" w:eastAsia="Book Antiqua" w:hAnsi="Book Antiqua" w:cs="Book Antiqua"/>
          <w:color w:val="000000" w:themeColor="text1"/>
        </w:rPr>
        <w:t>year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sex,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, or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responsive/unresponsive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</w:t>
      </w:r>
      <w:r w:rsidR="00452A5C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</w:t>
      </w:r>
      <w:r w:rsidR="00452A5C" w:rsidRPr="000B094B">
        <w:rPr>
          <w:rFonts w:ascii="Book Antiqua" w:eastAsia="Book Antiqua" w:hAnsi="Book Antiqua" w:cs="Book Antiqua"/>
          <w:color w:val="000000" w:themeColor="text1"/>
        </w:rPr>
        <w:t>)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</w:p>
    <w:p w14:paraId="031C40F0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95766E" w14:textId="24D613A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Gesell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scale</w:t>
      </w:r>
    </w:p>
    <w:p w14:paraId="6AAE6F7D" w14:textId="2AFD2C56" w:rsidR="00EA446F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Pearson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negative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=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−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0.274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−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0.247,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but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observed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parameters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4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Figure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1.</w:t>
      </w:r>
    </w:p>
    <w:p w14:paraId="0791CBFF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789F2B" w14:textId="2DEB945F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77F10A3" w14:textId="46AB6E8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Logistic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regression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performed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above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statistically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indicators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independent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variables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effectiveness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0B094B">
        <w:rPr>
          <w:rFonts w:ascii="Book Antiqua" w:eastAsia="Book Antiqua" w:hAnsi="Book Antiqua" w:cs="Book Antiqua"/>
          <w:color w:val="000000" w:themeColor="text1"/>
        </w:rPr>
        <w:t>dependent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variable.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results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affecting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Odds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ratio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=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11.304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5.784,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5.</w:t>
      </w:r>
    </w:p>
    <w:p w14:paraId="12C35D85" w14:textId="77777777" w:rsidR="00EA446F" w:rsidRPr="000B094B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ADF2CA" w14:textId="2BA0853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Gesell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scale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responsive/unresponsive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</w:p>
    <w:p w14:paraId="1C48045B" w14:textId="0625C08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34.47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 w:rsidRPr="000B094B">
        <w:rPr>
          <w:rFonts w:ascii="Book Antiqua" w:eastAsia="Book Antiqua" w:hAnsi="Book Antiqua" w:cs="Book Antiqua"/>
          <w:color w:val="000000" w:themeColor="text1"/>
        </w:rPr>
        <w:t>±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10.02%,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skills,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adaptability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0.05).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language,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personal-social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ability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responsive/unresponsive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group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0B094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0.05,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6).</w:t>
      </w:r>
    </w:p>
    <w:p w14:paraId="11DBC9CA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D8FCBC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BBB13EE" w14:textId="24574D7E" w:rsidR="000E6D29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mainly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transient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nervous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system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neuron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Repeated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often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variety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neurobiological,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psychological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social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common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partial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childhood,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3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-</w:t>
      </w:r>
      <w:r w:rsidRPr="000B094B">
        <w:rPr>
          <w:rFonts w:ascii="Book Antiqua" w:eastAsia="Book Antiqua" w:hAnsi="Book Antiqua" w:cs="Book Antiqua"/>
          <w:color w:val="000000" w:themeColor="text1"/>
        </w:rPr>
        <w:t>13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accounting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15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%-</w:t>
      </w:r>
      <w:r w:rsidRPr="000B094B">
        <w:rPr>
          <w:rFonts w:ascii="Book Antiqua" w:eastAsia="Book Antiqua" w:hAnsi="Book Antiqua" w:cs="Book Antiqua"/>
          <w:color w:val="000000" w:themeColor="text1"/>
        </w:rPr>
        <w:t>24%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kinds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Several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studies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degrees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behavioral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damage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[6,7]</w:t>
      </w:r>
      <w:r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reports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found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impairment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but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related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Neuropsychological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sociological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problems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exist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half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after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adulthood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[8,9]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Although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primary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goal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completely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behavioral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dysfunction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must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simultaneously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considered.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Therefore,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clinicians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must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achieve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balance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between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controlling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much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possible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preserving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behavioral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functions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Long-term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outbreaks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spike-and-slow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rhythm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bilateral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asynchronous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spike-and-slow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distribution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severe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impairment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single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monitoring,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common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modern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auxiliary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examination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method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6D29" w:rsidRPr="000B094B">
        <w:rPr>
          <w:rFonts w:ascii="Book Antiqua" w:eastAsia="Book Antiqua" w:hAnsi="Book Antiqua" w:cs="Book Antiqua"/>
          <w:color w:val="000000" w:themeColor="text1"/>
        </w:rPr>
        <w:t>mild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0B094B">
        <w:rPr>
          <w:rFonts w:ascii="Book Antiqua" w:eastAsia="Book Antiqua" w:hAnsi="Book Antiqua" w:cs="Book Antiqua"/>
          <w:color w:val="000000" w:themeColor="text1"/>
        </w:rPr>
        <w:t>impairment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induces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physical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trauma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confirmed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value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diseases.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However,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comprehensive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experimental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auxiliary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examinations,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conducted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based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specific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symptoms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signs;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therefore,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great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explore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chemical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markers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damage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represents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waveforms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formed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spontaneous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potential;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waveforms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divided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α,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β,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γ,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θ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δ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according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their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frequencies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waveforms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consciousness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states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brain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levels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[13,14]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studies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predict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decline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function.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often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tonic-clonic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initial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fast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activity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amplitude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middle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gradually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increases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amplitude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decreases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gradually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evolving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alternating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appearance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generalized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ipsilateral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hemisphere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even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spread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contralateral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one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present,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considered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related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compared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those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healthy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peers,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increase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extremely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high-amplitude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Rolandic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observed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awake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along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widespread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rhythmic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outbreak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2-3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Hz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high-amplitude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awake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However,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increased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spinous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slow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0B094B">
        <w:rPr>
          <w:rFonts w:ascii="Book Antiqua" w:eastAsia="Book Antiqua" w:hAnsi="Book Antiqua" w:cs="Book Antiqua"/>
          <w:color w:val="000000" w:themeColor="text1"/>
        </w:rPr>
        <w:t>&gt;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50%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non-rapid-eye-movement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period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presence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status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sleep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known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cause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nerve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damage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changes;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higher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severe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damage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Therefore,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should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actively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diagnose,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observe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[17,18]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revealed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negatively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correlated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performance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Logistic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regression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influencing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indicating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monitoring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EEG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could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preliminarily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determine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motor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skills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language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quotient.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During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great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attention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should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given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early-onset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whom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poor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lead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delayed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reaction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even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reaction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loss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suggesting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abnormal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transient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changes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under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conditions,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reminds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control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should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target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but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inhibition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subsequent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patients</w:t>
      </w:r>
      <w:r w:rsidR="000E6D29" w:rsidRPr="000B094B">
        <w:rPr>
          <w:rFonts w:ascii="Book Antiqua" w:eastAsia="Book Antiqua" w:hAnsi="Book Antiqua" w:cs="Book Antiqua"/>
          <w:color w:val="000000" w:themeColor="text1"/>
        </w:rPr>
        <w:t>’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</w:t>
      </w:r>
      <w:r w:rsidRPr="000B094B">
        <w:rPr>
          <w:rFonts w:ascii="Book Antiqua" w:eastAsia="Book Antiqua" w:hAnsi="Book Antiqua" w:cs="Book Antiqua"/>
          <w:color w:val="000000" w:themeColor="text1"/>
          <w:vertAlign w:val="superscript"/>
        </w:rPr>
        <w:t>[19,20]</w:t>
      </w:r>
      <w:r w:rsidRPr="000B094B">
        <w:rPr>
          <w:rFonts w:ascii="Book Antiqua" w:eastAsia="Book Antiqua" w:hAnsi="Book Antiqua" w:cs="Book Antiqua"/>
          <w:color w:val="000000" w:themeColor="text1"/>
        </w:rPr>
        <w:t>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important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leading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poor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Given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clear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specific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scope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early-onset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relevant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factor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predict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treatment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prognosis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early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&lt;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5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years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old.</w:t>
      </w:r>
    </w:p>
    <w:p w14:paraId="1FA31640" w14:textId="19148EAF" w:rsidR="00A77B3E" w:rsidRPr="000B094B" w:rsidRDefault="0037186A" w:rsidP="0011672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analysis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results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showed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two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drugs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levetiracetam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lamotrigine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could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effectively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control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seizures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inhibit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improving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cognitive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function.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However,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various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limitations.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Due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limited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number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enrolled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some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deviation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error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evaluation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discharge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index,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lead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0B094B">
        <w:rPr>
          <w:rFonts w:ascii="Book Antiqua" w:eastAsia="Book Antiqua" w:hAnsi="Book Antiqua" w:cs="Book Antiqua"/>
          <w:color w:val="000000" w:themeColor="text1"/>
        </w:rPr>
        <w:t>lack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generalizability.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Therefore,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further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expanding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sample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size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extending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follow-up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needed.</w:t>
      </w:r>
    </w:p>
    <w:p w14:paraId="4E995DDB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B274C5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5369E15" w14:textId="114668D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summary,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EGG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children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benign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epilepsy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centrotemporal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spikes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changes,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effects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affected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age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attack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frequency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time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onset.</w:t>
      </w:r>
    </w:p>
    <w:p w14:paraId="6B5B507C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2BA27B" w14:textId="2A40280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A26300"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B094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A04FEDC" w14:textId="74D6F514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366B221" w14:textId="3080AD10" w:rsidR="00A77B3E" w:rsidRPr="000B094B" w:rsidRDefault="00D13B34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0B094B">
        <w:rPr>
          <w:rFonts w:ascii="Book Antiqua" w:eastAsia="宋体" w:hAnsi="Book Antiqua"/>
          <w:color w:val="000000" w:themeColor="text1"/>
        </w:rPr>
        <w:t>The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primary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="00F55A06" w:rsidRPr="000B094B">
        <w:rPr>
          <w:rFonts w:ascii="Book Antiqua" w:eastAsia="宋体" w:hAnsi="Book Antiqua"/>
          <w:color w:val="000000" w:themeColor="text1"/>
        </w:rPr>
        <w:t xml:space="preserve">goal </w:t>
      </w:r>
      <w:r w:rsidRPr="000B094B">
        <w:rPr>
          <w:rFonts w:ascii="Book Antiqua" w:eastAsia="宋体" w:hAnsi="Book Antiqua"/>
          <w:color w:val="000000" w:themeColor="text1"/>
        </w:rPr>
        <w:t>of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antiepileptic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treatments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is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to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completely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control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epileptic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seizures,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while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simultaneously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considering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prevention,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control,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improvement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of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cognitive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behavioral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dysfunction</w:t>
      </w:r>
      <w:r w:rsidR="00F55A06" w:rsidRPr="000B094B">
        <w:rPr>
          <w:rFonts w:ascii="Book Antiqua" w:eastAsia="宋体" w:hAnsi="Book Antiqua"/>
          <w:color w:val="000000" w:themeColor="text1"/>
        </w:rPr>
        <w:t xml:space="preserve"> is </w:t>
      </w:r>
      <w:r w:rsidRPr="000B094B">
        <w:rPr>
          <w:rFonts w:ascii="Book Antiqua" w:eastAsia="宋体" w:hAnsi="Book Antiqua"/>
          <w:color w:val="000000" w:themeColor="text1"/>
        </w:rPr>
        <w:t>of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great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significance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for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improving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the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patients’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intellectual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development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quality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of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life.</w:t>
      </w:r>
    </w:p>
    <w:p w14:paraId="051FD797" w14:textId="77777777" w:rsidR="00D13B34" w:rsidRPr="000B094B" w:rsidRDefault="00D13B34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CC77C7" w14:textId="37B9545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DBC62D1" w14:textId="0303DAD1" w:rsidR="00D13B34" w:rsidRPr="000B094B" w:rsidRDefault="00D13B34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0B094B">
        <w:rPr>
          <w:rFonts w:ascii="Book Antiqua" w:eastAsia="宋体" w:hAnsi="Book Antiqua"/>
          <w:color w:val="000000" w:themeColor="text1"/>
        </w:rPr>
        <w:lastRenderedPageBreak/>
        <w:t>In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this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study,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the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clinical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="00F55A06" w:rsidRPr="000B094B">
        <w:rPr>
          <w:rFonts w:ascii="Book Antiqua" w:eastAsia="宋体" w:hAnsi="Book Antiqua"/>
          <w:color w:val="000000" w:themeColor="text1"/>
        </w:rPr>
        <w:t xml:space="preserve">and </w:t>
      </w:r>
      <w:r w:rsidRPr="000B094B">
        <w:rPr>
          <w:rFonts w:ascii="Book Antiqua" w:eastAsia="宋体" w:hAnsi="Book Antiqua"/>
          <w:color w:val="000000" w:themeColor="text1"/>
        </w:rPr>
        <w:t>electroencephalograms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(EEG)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characteristics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of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children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with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benign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epilepsy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centrotemporal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spikes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were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analyzed,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the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children’s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treatment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and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outcomes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also</w:t>
      </w:r>
      <w:r w:rsidR="00A26300" w:rsidRPr="000B094B">
        <w:rPr>
          <w:rFonts w:ascii="Book Antiqua" w:eastAsia="宋体" w:hAnsi="Book Antiqua"/>
          <w:color w:val="000000" w:themeColor="text1"/>
        </w:rPr>
        <w:t xml:space="preserve"> </w:t>
      </w:r>
      <w:r w:rsidRPr="000B094B">
        <w:rPr>
          <w:rFonts w:ascii="Book Antiqua" w:eastAsia="宋体" w:hAnsi="Book Antiqua"/>
          <w:color w:val="000000" w:themeColor="text1"/>
        </w:rPr>
        <w:t>discussed.</w:t>
      </w:r>
    </w:p>
    <w:p w14:paraId="36AD557C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B54E04" w14:textId="2D8F2E85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07EAC5E" w14:textId="45EE2592" w:rsidR="00A77B3E" w:rsidRPr="000B094B" w:rsidRDefault="00D13B34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aimed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determine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the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clinical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F55A06" w:rsidRPr="000B094B">
        <w:rPr>
          <w:rFonts w:ascii="Book Antiqua" w:hAnsi="Book Antiqua"/>
          <w:bCs/>
          <w:color w:val="000000" w:themeColor="text1"/>
        </w:rPr>
        <w:t xml:space="preserve">and </w:t>
      </w:r>
      <w:r w:rsidRPr="000B094B">
        <w:rPr>
          <w:rFonts w:ascii="Book Antiqua" w:hAnsi="Book Antiqua"/>
          <w:bCs/>
          <w:color w:val="000000" w:themeColor="text1"/>
        </w:rPr>
        <w:t>EEG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characteristics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and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treatment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results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of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benign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epilepsy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in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spiking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Pr="000B094B">
        <w:rPr>
          <w:rFonts w:ascii="Book Antiqua" w:hAnsi="Book Antiqua"/>
          <w:bCs/>
          <w:color w:val="000000" w:themeColor="text1"/>
        </w:rPr>
        <w:t>children.</w:t>
      </w:r>
    </w:p>
    <w:p w14:paraId="46A785D6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C64DF7" w14:textId="00EED97D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11915014" w14:textId="5AFE4E03" w:rsidR="00930A5F" w:rsidRPr="000B094B" w:rsidRDefault="00F55A06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0B094B">
        <w:rPr>
          <w:rFonts w:ascii="Book Antiqua" w:hAnsi="Book Antiqua"/>
          <w:bCs/>
          <w:color w:val="000000" w:themeColor="text1"/>
        </w:rPr>
        <w:t xml:space="preserve">A total </w:t>
      </w:r>
      <w:r w:rsidR="00930A5F" w:rsidRPr="000B094B">
        <w:rPr>
          <w:rFonts w:ascii="Book Antiqua" w:hAnsi="Book Antiqua"/>
          <w:bCs/>
          <w:color w:val="000000" w:themeColor="text1"/>
        </w:rPr>
        <w:t>of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106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benign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epilepsy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children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with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myocardial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spines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were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included.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Differences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in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clinical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data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and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EGG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characteristics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between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treatment-effective/-ineffective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patients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were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analyzed,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and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children’s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intellectual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development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before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and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after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treatment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evaluated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using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the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Gesell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Development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Diagnostic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  <w:r w:rsidR="00930A5F" w:rsidRPr="000B094B">
        <w:rPr>
          <w:rFonts w:ascii="Book Antiqua" w:hAnsi="Book Antiqua"/>
          <w:bCs/>
          <w:color w:val="000000" w:themeColor="text1"/>
        </w:rPr>
        <w:t>Scale.</w:t>
      </w:r>
      <w:r w:rsidR="00A26300" w:rsidRPr="000B094B">
        <w:rPr>
          <w:rFonts w:ascii="Book Antiqua" w:hAnsi="Book Antiqua"/>
          <w:bCs/>
          <w:color w:val="000000" w:themeColor="text1"/>
        </w:rPr>
        <w:t xml:space="preserve"> </w:t>
      </w:r>
    </w:p>
    <w:p w14:paraId="1245B7DA" w14:textId="77777777" w:rsidR="00930A5F" w:rsidRPr="000B094B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58818D" w14:textId="4A98B2A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9E103A7" w14:textId="20344E90" w:rsidR="00930A5F" w:rsidRPr="000B094B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0B094B">
        <w:rPr>
          <w:rFonts w:ascii="Book Antiqua" w:hAnsi="Book Antiqua"/>
          <w:bCs/>
        </w:rPr>
        <w:t>EEG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showed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that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discharge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proportion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in</w:t>
      </w:r>
      <w:r w:rsidR="00A26300" w:rsidRPr="000B094B">
        <w:rPr>
          <w:rFonts w:ascii="Book Antiqua" w:hAnsi="Book Antiqua"/>
          <w:bCs/>
        </w:rPr>
        <w:t xml:space="preserve"> </w:t>
      </w:r>
      <w:r w:rsidR="00F55A06" w:rsidRPr="000B094B">
        <w:rPr>
          <w:rFonts w:ascii="Book Antiqua" w:hAnsi="Book Antiqua"/>
          <w:bCs/>
        </w:rPr>
        <w:t xml:space="preserve">the </w:t>
      </w:r>
      <w:r w:rsidRPr="000B094B">
        <w:rPr>
          <w:rFonts w:ascii="Book Antiqua" w:hAnsi="Book Antiqua"/>
          <w:bCs/>
        </w:rPr>
        <w:t>awake</w:t>
      </w:r>
      <w:r w:rsidR="00F55A06" w:rsidRPr="000B094B">
        <w:rPr>
          <w:rFonts w:ascii="Book Antiqua" w:hAnsi="Book Antiqua"/>
          <w:bCs/>
        </w:rPr>
        <w:t xml:space="preserve"> and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sleep</w:t>
      </w:r>
      <w:r w:rsidR="00A26300" w:rsidRPr="000B094B">
        <w:rPr>
          <w:rFonts w:ascii="Book Antiqua" w:hAnsi="Book Antiqua"/>
          <w:bCs/>
        </w:rPr>
        <w:t xml:space="preserve"> </w:t>
      </w:r>
      <w:r w:rsidR="00F55A06" w:rsidRPr="000B094B">
        <w:rPr>
          <w:rFonts w:ascii="Book Antiqua" w:hAnsi="Book Antiqua"/>
          <w:bCs/>
        </w:rPr>
        <w:t xml:space="preserve">periods </w:t>
      </w:r>
      <w:r w:rsidRPr="000B094B">
        <w:rPr>
          <w:rFonts w:ascii="Book Antiqua" w:hAnsi="Book Antiqua"/>
          <w:bCs/>
        </w:rPr>
        <w:t>was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66.04%,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and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peak/peak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discharge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was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mainly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single-sided,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accounting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for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81.13%,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while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discharge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generalization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accounted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for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31.13%.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discharge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index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was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negatively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correlated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with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fine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motor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skill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and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language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development,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but</w:t>
      </w:r>
      <w:r w:rsidR="00A26300" w:rsidRPr="000B094B">
        <w:rPr>
          <w:rFonts w:ascii="Book Antiqua" w:hAnsi="Book Antiqua"/>
          <w:bCs/>
        </w:rPr>
        <w:t xml:space="preserve"> </w:t>
      </w:r>
      <w:r w:rsidR="00F55A06" w:rsidRPr="000B094B">
        <w:rPr>
          <w:rFonts w:ascii="Book Antiqua" w:hAnsi="Book Antiqua"/>
          <w:bCs/>
        </w:rPr>
        <w:t xml:space="preserve">not with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rest.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discharge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index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of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responsive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group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after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treatment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was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significantly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lower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than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that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of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the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unresponsive</w:t>
      </w:r>
      <w:r w:rsidR="00A26300" w:rsidRPr="000B094B">
        <w:rPr>
          <w:rFonts w:ascii="Book Antiqua" w:hAnsi="Book Antiqua"/>
          <w:bCs/>
        </w:rPr>
        <w:t xml:space="preserve"> </w:t>
      </w:r>
      <w:r w:rsidRPr="000B094B">
        <w:rPr>
          <w:rFonts w:ascii="Book Antiqua" w:hAnsi="Book Antiqua"/>
          <w:bCs/>
        </w:rPr>
        <w:t>group.</w:t>
      </w:r>
    </w:p>
    <w:p w14:paraId="25210A7F" w14:textId="77777777" w:rsidR="00930A5F" w:rsidRPr="000B094B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9F26C7" w14:textId="17CAEFEE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133E0A4" w14:textId="6FBEBDA7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B094B">
        <w:rPr>
          <w:rFonts w:ascii="Book Antiqua" w:eastAsia="宋体" w:hAnsi="Book Antiqua"/>
          <w:bCs/>
        </w:rPr>
        <w:t>The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EGG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of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children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with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benign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epilepsy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and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centrotemporal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spikes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has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characteristic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changes,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and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therapeutic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effects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are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affected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by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the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age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and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attack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frequency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at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the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time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of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onset.</w:t>
      </w:r>
    </w:p>
    <w:p w14:paraId="3C5EAB29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D90FE0" w14:textId="2D227BDD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 w:rsidRPr="000B094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2D6E1BE" w14:textId="14A9AECD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</w:rPr>
      </w:pPr>
      <w:r w:rsidRPr="000B094B">
        <w:rPr>
          <w:rFonts w:ascii="Book Antiqua" w:eastAsia="宋体" w:hAnsi="Book Antiqua"/>
          <w:bCs/>
        </w:rPr>
        <w:t>Further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research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expanding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the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sample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size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and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extending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follow-up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time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is</w:t>
      </w:r>
      <w:r w:rsidR="00A26300" w:rsidRPr="000B094B">
        <w:rPr>
          <w:rFonts w:ascii="Book Antiqua" w:eastAsia="宋体" w:hAnsi="Book Antiqua"/>
          <w:bCs/>
        </w:rPr>
        <w:t xml:space="preserve"> </w:t>
      </w:r>
      <w:r w:rsidRPr="000B094B">
        <w:rPr>
          <w:rFonts w:ascii="Book Antiqua" w:eastAsia="宋体" w:hAnsi="Book Antiqua"/>
          <w:bCs/>
        </w:rPr>
        <w:t>needed.</w:t>
      </w:r>
    </w:p>
    <w:p w14:paraId="3BA22BB6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73BAC2" w14:textId="1E81D5F9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96E4744" w14:textId="2F35F53E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Serafini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A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Gerard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Genton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Crespel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Gelisse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Treatment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Juvenile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Myoclonic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Patients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Child-Bearing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Potential.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CNS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Drugs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33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195-208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30747367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10.1007/s40263-018-00602-2]</w:t>
      </w:r>
    </w:p>
    <w:p w14:paraId="56B0CB93" w14:textId="4B3AD392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2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Stowe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RC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Glaze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DG.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Electroencephalographic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Patterns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During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Routine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Polysomnography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Association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Future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Diagnosis.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J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Clin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Sleep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15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553-562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30952213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10.5664/jcsm.7712]</w:t>
      </w:r>
    </w:p>
    <w:p w14:paraId="577EB85E" w14:textId="148F4D7A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Pearl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PL</w:t>
      </w:r>
      <w:r w:rsidRPr="000B094B">
        <w:rPr>
          <w:rFonts w:ascii="Book Antiqua" w:hAnsi="Book Antiqua"/>
        </w:rPr>
        <w:t>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Syndromes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Continuum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(Minneap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Minn)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2018;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24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186-209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29432243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10.1212/CON.0000000000000568]</w:t>
      </w:r>
    </w:p>
    <w:p w14:paraId="3373D28E" w14:textId="5FBAF557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4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van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Win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OA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Barnes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Ferrier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CF,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Booth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Prasad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Kasteleijn-Nolst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Trenite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DGA.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study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the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significance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photoparoxysmal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responses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spontaneous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epileptiform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discharges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the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Epilepsy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Behav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107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107046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32304987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10.1016/j.yebeh.2020.107046]</w:t>
      </w:r>
    </w:p>
    <w:p w14:paraId="7D615458" w14:textId="15D31F6D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Piro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E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Nardello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Gennaro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Fontana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Taglialatela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Donato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Mangano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Corsello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Mangano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novel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mutation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KCNQ3-related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benign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familial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neonatal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electroclinical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features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neurodevelopmental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outcome.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Epileptic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Disord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21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87-91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bookmarkStart w:id="5" w:name="OLE_LINK2"/>
      <w:r w:rsidRPr="000B094B">
        <w:rPr>
          <w:rFonts w:ascii="Book Antiqua" w:hAnsi="Book Antiqua"/>
        </w:rPr>
        <w:t>30782577</w:t>
      </w:r>
      <w:bookmarkEnd w:id="5"/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10.1684/epd.2019.1030]</w:t>
      </w:r>
    </w:p>
    <w:p w14:paraId="19EDAE1B" w14:textId="45B73DF3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6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Sathyanarayana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A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Atrache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Jackson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Alter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AS,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Mandl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KD,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Loddenkemper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Bosl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WJ.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Nonlinear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Analysis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Visually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Normal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Differentiate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Benign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Centrotemporal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Spikes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(BECTS).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Sci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Rep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10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8419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32439999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10.1038/s41598-020-65112-y]</w:t>
      </w:r>
    </w:p>
    <w:p w14:paraId="4E3CF848" w14:textId="62B2302D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Nardello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R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Mangano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GD,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Miceli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Fontana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Piro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Salpietro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V.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Benign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familial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infantile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associated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KCNQ3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mutation: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rare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occurrence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underestimated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event?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Epileptic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Disord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22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807-810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33337327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10.1684/epd.2020.1221]</w:t>
      </w:r>
    </w:p>
    <w:p w14:paraId="140DBE05" w14:textId="3CF2EA9B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Elhady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M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Elattar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RS,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Elaidy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AMA,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Abdallah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Elmalt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HA.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Role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inflammation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ADHD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comorbidity.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Appl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Neuropsychol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Child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1-6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32841085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10.1080/21622965.2020.1807982]</w:t>
      </w:r>
    </w:p>
    <w:p w14:paraId="6E3F93D0" w14:textId="3E5F3743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lastRenderedPageBreak/>
        <w:t>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Aaberg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KM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Bakken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IJ,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Lossius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MI,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Lund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Søraas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Håberg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Stoltenberg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Surén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Comorbidity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Nationwide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Registry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Study.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Pediatrics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2016;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138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27482059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10.1542/peds.2016-0921]</w:t>
      </w:r>
    </w:p>
    <w:p w14:paraId="18169624" w14:textId="4530B8EF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10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Curnow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SR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Vogrin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SJ,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Barton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Bailey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Harvey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Focal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cortical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hypermetabolism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atypical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benign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rolandic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Epilepsy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Res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161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106288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32086099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10.1016/j.eplepsyres.2020.106288]</w:t>
      </w:r>
    </w:p>
    <w:p w14:paraId="358A950E" w14:textId="2A47B570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Zhang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J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Zhou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Zhang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X,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Sun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Electroencephalographic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abnormalities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correlated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cognitive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deficits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benign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centrotemporal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spikes: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clinical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study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61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cases.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Epilepsy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Behav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2020;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106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107012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32179505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10.1016/j.yebeh.2020.107012]</w:t>
      </w:r>
    </w:p>
    <w:p w14:paraId="208519D9" w14:textId="62B67846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12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Michel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CM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source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localization.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Handb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Clin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Neurol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160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85-101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31277878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10.1016/B978-0-444-64032-1.00006-0]</w:t>
      </w:r>
    </w:p>
    <w:p w14:paraId="2D3D528E" w14:textId="2B77FB2F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Emmady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PD,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Murr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Triphasic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Waves.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Treasure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Island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(FL)</w:t>
      </w:r>
      <w:r w:rsidR="00712638"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="00712638" w:rsidRPr="000B094B">
        <w:rPr>
          <w:rFonts w:ascii="Book Antiqua" w:hAnsi="Book Antiqua"/>
        </w:rPr>
        <w:t>StatPearls</w:t>
      </w:r>
      <w:r w:rsidR="00A26300" w:rsidRPr="000B094B">
        <w:rPr>
          <w:rFonts w:ascii="Book Antiqua" w:hAnsi="Book Antiqua"/>
        </w:rPr>
        <w:t xml:space="preserve"> </w:t>
      </w:r>
      <w:r w:rsidR="00712638" w:rsidRPr="000B094B">
        <w:rPr>
          <w:rFonts w:ascii="Book Antiqua" w:hAnsi="Book Antiqua"/>
        </w:rPr>
        <w:t>Publishing</w:t>
      </w:r>
      <w:r w:rsidR="00A26300" w:rsidRPr="000B094B">
        <w:rPr>
          <w:rFonts w:ascii="Book Antiqua" w:hAnsi="Book Antiqua"/>
        </w:rPr>
        <w:t xml:space="preserve"> </w:t>
      </w:r>
      <w:r w:rsidR="00712638" w:rsidRPr="000B094B">
        <w:rPr>
          <w:rFonts w:ascii="Book Antiqua" w:hAnsi="Book Antiqua"/>
        </w:rPr>
        <w:t>LLC,</w:t>
      </w:r>
      <w:r w:rsidR="00A26300" w:rsidRPr="000B094B">
        <w:rPr>
          <w:rFonts w:ascii="Book Antiqua" w:hAnsi="Book Antiqua"/>
        </w:rPr>
        <w:t xml:space="preserve"> </w:t>
      </w:r>
      <w:r w:rsidR="00712638" w:rsidRPr="000B094B">
        <w:rPr>
          <w:rFonts w:ascii="Book Antiqua" w:hAnsi="Book Antiqua"/>
        </w:rPr>
        <w:t>2021</w:t>
      </w:r>
    </w:p>
    <w:p w14:paraId="2494D852" w14:textId="13A09477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14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Ahmed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S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Alam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Rahman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MM,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Akhter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Clinical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Profile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Early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Cross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Sectional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Study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Tertiary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Care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Hospital.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Mymensingh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Med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J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2016;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25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96-101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26931257]</w:t>
      </w:r>
    </w:p>
    <w:p w14:paraId="7D3B873F" w14:textId="4C7F89EA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Ticci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C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Luongo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Valvo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Ferrari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AR,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Brovedani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Masi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Pellacani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Sicca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Clinical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electroencephalographic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correlates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psychiatric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features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frontal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lobe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Epilepsy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Behav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92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283-289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30731294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10.1016/j.yebeh.2019.01.008]</w:t>
      </w:r>
    </w:p>
    <w:p w14:paraId="6FC06456" w14:textId="4B2C4CCD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16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Hsu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DA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Rayer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Jackson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Stafstrom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Hsu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Ferrazzano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Dabbs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Worrell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Jones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JE,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Hermann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BP.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Correlation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neuropsychological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status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Clin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Neurophysiol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2016;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127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1196-1205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26337841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10.1016/j.clinph.2015.07.027]</w:t>
      </w:r>
    </w:p>
    <w:p w14:paraId="42D6192C" w14:textId="2219D2F5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Ouyang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CS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CT,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Yang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LC.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Quantitative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EEG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findings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response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to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treatment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antiepileptic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medications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Brain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Dev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2018;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40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26-35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28757110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10.1016/j.braindev.2017.07.004]</w:t>
      </w:r>
    </w:p>
    <w:p w14:paraId="2A909669" w14:textId="6A2309FE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lastRenderedPageBreak/>
        <w:t>18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Kessler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SK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Shinnar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Cnaan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Dlugos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Conry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Hirtz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DG,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Hu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Liu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Mizrahi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EM,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Moshé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SL,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Clark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Glauser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TA;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Absence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Study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Group.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Pretreatment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seizure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semiology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childhood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absence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Neurology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2017;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89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673-679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28724582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10.1212/WNL.0000000000004226]</w:t>
      </w:r>
    </w:p>
    <w:p w14:paraId="07E7036E" w14:textId="15523F88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19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Lee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SY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Park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JH,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Park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SJ,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Kim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Y,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Lee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KY.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Cognitive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Function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Neuropsychological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Comorbidities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Newly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Diagnosed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Idiopathic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J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Korean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Med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Sci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2018;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33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e17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29215804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10.3346/jkms.2018.33.e17]</w:t>
      </w:r>
    </w:p>
    <w:p w14:paraId="447B38CD" w14:textId="3681EE58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B094B">
        <w:rPr>
          <w:rFonts w:ascii="Book Antiqua" w:hAnsi="Book Antiqua"/>
        </w:rPr>
        <w:t>20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Zhou</w:t>
      </w:r>
      <w:r w:rsidR="00A26300" w:rsidRPr="000B094B">
        <w:rPr>
          <w:rFonts w:ascii="Book Antiqua" w:hAnsi="Book Antiqua"/>
          <w:b/>
          <w:bCs/>
        </w:rPr>
        <w:t xml:space="preserve"> </w:t>
      </w:r>
      <w:r w:rsidRPr="000B094B">
        <w:rPr>
          <w:rFonts w:ascii="Book Antiqua" w:hAnsi="Book Antiqua"/>
          <w:b/>
          <w:bCs/>
        </w:rPr>
        <w:t>S</w:t>
      </w:r>
      <w:r w:rsidRPr="000B094B">
        <w:rPr>
          <w:rFonts w:ascii="Book Antiqua" w:hAnsi="Book Antiqua"/>
        </w:rPr>
        <w:t>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Zhan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Q,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Wu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X.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Effect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of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Levetiracetam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Cognitive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Function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and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Clonic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Seizure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Frequency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in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Children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with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Epilepsy.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i/>
          <w:iCs/>
        </w:rPr>
        <w:t>Curr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Mol</w:t>
      </w:r>
      <w:r w:rsidR="00A26300" w:rsidRPr="000B094B">
        <w:rPr>
          <w:rFonts w:ascii="Book Antiqua" w:hAnsi="Book Antiqua"/>
          <w:i/>
          <w:iCs/>
        </w:rPr>
        <w:t xml:space="preserve"> </w:t>
      </w:r>
      <w:r w:rsidRPr="000B094B">
        <w:rPr>
          <w:rFonts w:ascii="Book Antiqua" w:hAnsi="Book Antiqua"/>
          <w:i/>
          <w:iCs/>
        </w:rPr>
        <w:t>Med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2019;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  <w:b/>
          <w:bCs/>
        </w:rPr>
        <w:t>19</w:t>
      </w:r>
      <w:r w:rsidRPr="000B094B">
        <w:rPr>
          <w:rFonts w:ascii="Book Antiqua" w:hAnsi="Book Antiqua"/>
        </w:rPr>
        <w:t>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699-703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[PMID: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31362674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DOI:</w:t>
      </w:r>
      <w:r w:rsidR="00A26300" w:rsidRPr="000B094B">
        <w:rPr>
          <w:rFonts w:ascii="Book Antiqua" w:hAnsi="Book Antiqua"/>
        </w:rPr>
        <w:t xml:space="preserve"> </w:t>
      </w:r>
      <w:r w:rsidRPr="000B094B">
        <w:rPr>
          <w:rFonts w:ascii="Book Antiqua" w:hAnsi="Book Antiqua"/>
        </w:rPr>
        <w:t>10.2174/1566524019666190729113321]</w:t>
      </w:r>
    </w:p>
    <w:p w14:paraId="75FA842D" w14:textId="77777777" w:rsidR="00F409B1" w:rsidRPr="000B094B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4CB3B0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0B094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61CF6" w14:textId="7777777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9E1E1C9" w14:textId="76EBB4A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approved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Ganzhou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Maternal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Health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Hospital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Medical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Ethics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Committee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.</w:t>
      </w:r>
    </w:p>
    <w:p w14:paraId="599F9C62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2C5B9B" w14:textId="075BAB16" w:rsidR="006032BA" w:rsidRPr="000B094B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All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participants,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their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legal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guardian,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provided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informed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written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consent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prior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study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66C2EE1A" w14:textId="77777777" w:rsidR="00EA24FC" w:rsidRPr="000B094B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B3F3690" w14:textId="6207D492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conflict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interest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 w:rsidR="006032BA" w:rsidRPr="000B094B">
        <w:rPr>
          <w:rFonts w:ascii="Book Antiqua" w:eastAsia="Book Antiqua" w:hAnsi="Book Antiqua" w:cs="Book Antiqua"/>
          <w:color w:val="000000" w:themeColor="text1"/>
        </w:rPr>
        <w:t>.</w:t>
      </w:r>
    </w:p>
    <w:p w14:paraId="231D1FC9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5923F5" w14:textId="42B503E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A26300"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A26300"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26300"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26300"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available.</w:t>
      </w:r>
    </w:p>
    <w:p w14:paraId="09C541DA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7C057C" w14:textId="1A05F6B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26300" w:rsidRPr="000B094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article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open-access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article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that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was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selected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in-house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editor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fully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peer-reviewed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external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reviewers.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distributed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accordance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with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Creative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Commons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Attribution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NonCommercial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(CC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BY-NC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4.0)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license,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which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permits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others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to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distribute,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remix,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adapt,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build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upon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work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license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their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derivative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works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on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different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terms,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provided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original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work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properly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cited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and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the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use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is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non-commercial.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See: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3EB5638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0B7065" w14:textId="570CEC6B" w:rsidR="00A77B3E" w:rsidRDefault="000B094B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Unsolicited article; Externally peer reviewed</w:t>
      </w:r>
      <w:r w:rsidR="002E4EBC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5FC5A07A" w14:textId="77777777" w:rsidR="000B094B" w:rsidRPr="000B094B" w:rsidRDefault="000B094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E39959" w14:textId="186F4AF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July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6,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2021</w:t>
      </w:r>
    </w:p>
    <w:p w14:paraId="6A7ED02F" w14:textId="2F44D591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July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26,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2021</w:t>
      </w:r>
    </w:p>
    <w:p w14:paraId="0DD3D343" w14:textId="77777777" w:rsidR="00C4624E" w:rsidRPr="000B094B" w:rsidRDefault="0037186A" w:rsidP="00C4624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4624E" w:rsidRPr="000B094B">
        <w:rPr>
          <w:rFonts w:ascii="Book Antiqua" w:eastAsia="宋体" w:hAnsi="Book Antiqua" w:hint="eastAsia"/>
          <w:color w:val="000000" w:themeColor="text1"/>
        </w:rPr>
        <w:t>Au</w:t>
      </w:r>
      <w:r w:rsidR="00C4624E" w:rsidRPr="000B094B">
        <w:rPr>
          <w:rFonts w:ascii="Book Antiqua" w:eastAsia="宋体" w:hAnsi="Book Antiqua"/>
          <w:color w:val="000000" w:themeColor="text1"/>
        </w:rPr>
        <w:t>gust 27, 2021</w:t>
      </w:r>
    </w:p>
    <w:p w14:paraId="5531A659" w14:textId="125C740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C78344" w14:textId="561BF983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Clinical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n</w:t>
      </w:r>
      <w:r w:rsidRPr="000B094B">
        <w:rPr>
          <w:rFonts w:ascii="Book Antiqua" w:eastAsia="Book Antiqua" w:hAnsi="Book Antiqua" w:cs="Book Antiqua"/>
          <w:color w:val="000000" w:themeColor="text1"/>
        </w:rPr>
        <w:t>eurology</w:t>
      </w:r>
    </w:p>
    <w:p w14:paraId="3D03A6DD" w14:textId="3AC23D83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China</w:t>
      </w:r>
    </w:p>
    <w:p w14:paraId="50253A23" w14:textId="6AE0F937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F341FFD" w14:textId="4F9456EE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Grade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(Excellent):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</w:t>
      </w:r>
    </w:p>
    <w:p w14:paraId="4DBC0D7E" w14:textId="5484CD96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B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(Very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good):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</w:t>
      </w:r>
    </w:p>
    <w:p w14:paraId="425E79C8" w14:textId="5251D580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Grade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(Good):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C</w:t>
      </w:r>
    </w:p>
    <w:p w14:paraId="3D72D3C9" w14:textId="1FCC86A8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Grade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D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(Fair):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</w:t>
      </w:r>
    </w:p>
    <w:p w14:paraId="79338F99" w14:textId="0D22E62B" w:rsidR="00A77B3E" w:rsidRPr="000B094B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B094B">
        <w:rPr>
          <w:rFonts w:ascii="Book Antiqua" w:eastAsia="Book Antiqua" w:hAnsi="Book Antiqua" w:cs="Book Antiqua"/>
          <w:color w:val="000000" w:themeColor="text1"/>
        </w:rPr>
        <w:t>Grade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E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(Poor):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0</w:t>
      </w:r>
    </w:p>
    <w:p w14:paraId="4A18C8A8" w14:textId="77777777" w:rsidR="00A77B3E" w:rsidRPr="000B094B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D6BA69" w14:textId="6C4DB147" w:rsidR="00A77B3E" w:rsidRPr="000B094B" w:rsidRDefault="0037186A" w:rsidP="006F6B7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0B094B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Kuczynska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J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A24FC" w:rsidRPr="000B094B">
        <w:rPr>
          <w:rFonts w:ascii="Book Antiqua" w:eastAsia="Book Antiqua" w:hAnsi="Book Antiqua" w:cs="Book Antiqua"/>
          <w:color w:val="000000" w:themeColor="text1"/>
        </w:rPr>
        <w:t>Wang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24FC" w:rsidRPr="000B094B">
        <w:rPr>
          <w:rFonts w:ascii="Book Antiqua" w:eastAsia="Book Antiqua" w:hAnsi="Book Antiqua" w:cs="Book Antiqua"/>
          <w:color w:val="000000" w:themeColor="text1"/>
        </w:rPr>
        <w:t>JL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55A06" w:rsidRPr="000B094B">
        <w:rPr>
          <w:rFonts w:ascii="Book Antiqua" w:eastAsia="Book Antiqua" w:hAnsi="Book Antiqua" w:cs="Book Antiqua"/>
          <w:color w:val="000000" w:themeColor="text1"/>
        </w:rPr>
        <w:t>Wang TQ</w:t>
      </w:r>
      <w:r w:rsidR="00F55A06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26300" w:rsidRPr="000B094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D5CED" w:rsidRPr="000B094B">
        <w:rPr>
          <w:rFonts w:ascii="Book Antiqua" w:eastAsia="Book Antiqua" w:hAnsi="Book Antiqua" w:cs="Book Antiqua"/>
          <w:bCs/>
          <w:color w:val="000000"/>
        </w:rPr>
        <w:t>Wang LYT</w:t>
      </w:r>
    </w:p>
    <w:p w14:paraId="4FFE282F" w14:textId="64587501" w:rsidR="00EA24FC" w:rsidRPr="000B094B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08D90B7" w14:textId="25D0C25F" w:rsidR="00EA24FC" w:rsidRPr="000B094B" w:rsidRDefault="009D0823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0B094B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EA24FC" w:rsidRPr="000B094B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A26300" w:rsidRPr="000B094B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EA24FC" w:rsidRPr="000B094B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593B65B4" w14:textId="14C715F1" w:rsidR="00EA24FC" w:rsidRPr="000B094B" w:rsidRDefault="00EA24FC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34A1691C" w14:textId="2511F5EE" w:rsidR="00EA24FC" w:rsidRPr="000B094B" w:rsidRDefault="00921EA9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0B094B">
        <w:rPr>
          <w:rFonts w:ascii="Book Antiqua" w:hAnsi="Book Antiqua"/>
          <w:noProof/>
          <w:lang w:eastAsia="zh-CN"/>
        </w:rPr>
        <w:drawing>
          <wp:inline distT="0" distB="0" distL="0" distR="0" wp14:anchorId="3D146216" wp14:editId="509A87D2">
            <wp:extent cx="5943600" cy="2937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914D" w14:textId="3A669033" w:rsidR="00EA24FC" w:rsidRPr="000B094B" w:rsidRDefault="00EA24FC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0B094B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A26300" w:rsidRPr="000B094B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0B094B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A26300" w:rsidRPr="000B094B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0B094B">
        <w:rPr>
          <w:rFonts w:ascii="Book Antiqua" w:hAnsi="Book Antiqua"/>
          <w:b/>
          <w:bCs/>
          <w:color w:val="000000" w:themeColor="text1"/>
          <w:lang w:eastAsia="zh-CN"/>
        </w:rPr>
        <w:t>Correlation</w:t>
      </w:r>
      <w:r w:rsidR="00A26300" w:rsidRPr="000B094B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0B094B">
        <w:rPr>
          <w:rFonts w:ascii="Book Antiqua" w:hAnsi="Book Antiqua"/>
          <w:b/>
          <w:bCs/>
          <w:color w:val="000000" w:themeColor="text1"/>
          <w:lang w:eastAsia="zh-CN"/>
        </w:rPr>
        <w:t>analysis.</w:t>
      </w:r>
      <w:r w:rsidR="00A26300" w:rsidRPr="000B094B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="00B5649E" w:rsidRPr="000B094B">
        <w:rPr>
          <w:rFonts w:ascii="Book Antiqua" w:hAnsi="Book Antiqua"/>
          <w:color w:val="000000" w:themeColor="text1"/>
          <w:lang w:eastAsia="zh-CN"/>
        </w:rPr>
        <w:t>A:</w:t>
      </w:r>
      <w:r w:rsidR="00A26300" w:rsidRPr="000B094B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0B094B">
        <w:rPr>
          <w:rFonts w:ascii="Book Antiqua" w:hAnsi="Book Antiqua"/>
          <w:color w:val="000000" w:themeColor="text1"/>
          <w:lang w:eastAsia="zh-CN"/>
        </w:rPr>
        <w:t>Fine</w:t>
      </w:r>
      <w:r w:rsidR="00A26300" w:rsidRPr="000B094B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0B094B">
        <w:rPr>
          <w:rFonts w:ascii="Book Antiqua" w:hAnsi="Book Antiqua"/>
          <w:color w:val="000000" w:themeColor="text1"/>
          <w:lang w:eastAsia="zh-CN"/>
        </w:rPr>
        <w:t>motion;</w:t>
      </w:r>
      <w:r w:rsidR="00A26300" w:rsidRPr="000B094B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0B094B">
        <w:rPr>
          <w:rFonts w:ascii="Book Antiqua" w:hAnsi="Book Antiqua"/>
          <w:color w:val="000000" w:themeColor="text1"/>
          <w:lang w:eastAsia="zh-CN"/>
        </w:rPr>
        <w:t>B:</w:t>
      </w:r>
      <w:r w:rsidR="00A26300" w:rsidRPr="000B094B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0B094B">
        <w:rPr>
          <w:rFonts w:ascii="Book Antiqua" w:hAnsi="Book Antiqua"/>
          <w:color w:val="000000" w:themeColor="text1"/>
          <w:lang w:eastAsia="zh-CN"/>
        </w:rPr>
        <w:t>Language.</w:t>
      </w:r>
    </w:p>
    <w:p w14:paraId="42A27419" w14:textId="49B3DE1F" w:rsidR="0011672D" w:rsidRPr="000B094B" w:rsidRDefault="00921EA9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0B094B">
        <w:rPr>
          <w:rFonts w:ascii="Book Antiqua" w:hAnsi="Book Antiqua"/>
          <w:color w:val="000000" w:themeColor="text1"/>
          <w:lang w:eastAsia="zh-CN"/>
        </w:rPr>
        <w:br w:type="page"/>
      </w:r>
      <w:r w:rsidR="0011672D" w:rsidRPr="000B094B">
        <w:rPr>
          <w:rFonts w:ascii="Book Antiqua" w:eastAsia="宋体" w:hAnsi="Book Antiqua"/>
          <w:b/>
          <w:bCs/>
        </w:rPr>
        <w:lastRenderedPageBreak/>
        <w:t>Table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11672D" w:rsidRPr="000B094B">
        <w:rPr>
          <w:rFonts w:ascii="Book Antiqua" w:eastAsia="宋体" w:hAnsi="Book Antiqua"/>
          <w:b/>
          <w:bCs/>
        </w:rPr>
        <w:t>1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11672D" w:rsidRPr="000B094B">
        <w:rPr>
          <w:rFonts w:ascii="Book Antiqua" w:eastAsia="宋体" w:hAnsi="Book Antiqua"/>
          <w:b/>
          <w:bCs/>
        </w:rPr>
        <w:t>Electroencephalogram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11672D" w:rsidRPr="000B094B">
        <w:rPr>
          <w:rFonts w:ascii="Book Antiqua" w:eastAsia="宋体" w:hAnsi="Book Antiqua"/>
          <w:b/>
          <w:bCs/>
        </w:rPr>
        <w:t>characteristics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11672D"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11672D" w:rsidRPr="000B094B">
        <w:rPr>
          <w:rFonts w:ascii="Book Antiqua" w:eastAsia="宋体" w:hAnsi="Book Antiqua"/>
          <w:b/>
          <w:bCs/>
        </w:rPr>
        <w:t>children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611"/>
        <w:gridCol w:w="2706"/>
      </w:tblGrid>
      <w:tr w:rsidR="0011672D" w:rsidRPr="000B094B" w14:paraId="34D80C78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4CB726" w14:textId="0BB6C4A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</w:rPr>
              <w:t>Electroencephalogram</w:t>
            </w:r>
            <w:r w:rsidR="00A26300" w:rsidRPr="000B094B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</w:rPr>
              <w:t>characteristic</w:t>
            </w:r>
          </w:p>
        </w:tc>
        <w:tc>
          <w:tcPr>
            <w:tcW w:w="1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B255E" w14:textId="319C39F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Number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of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cases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544AA" w14:textId="233BDB7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Proportion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</w:tr>
      <w:tr w:rsidR="0011672D" w:rsidRPr="000B094B" w14:paraId="7637C0AA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6321D9" w14:textId="455E0D5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65BE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D046C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11672D" w:rsidRPr="000B094B" w14:paraId="51B8D3E0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E73670" w14:textId="34B1F927" w:rsidR="0011672D" w:rsidRPr="000B094B" w:rsidRDefault="00F55A06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 xml:space="preserve">Awake </w:t>
            </w:r>
            <w:r w:rsidR="0011672D" w:rsidRPr="000B094B">
              <w:rPr>
                <w:rFonts w:ascii="Book Antiqua" w:eastAsia="宋体" w:hAnsi="Book Antiqua"/>
              </w:rPr>
              <w:t>and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</w:rPr>
              <w:t>sleep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</w:rPr>
              <w:t>period</w:t>
            </w:r>
            <w:r w:rsidRPr="000B094B">
              <w:rPr>
                <w:rFonts w:ascii="Book Antiqua" w:eastAsia="宋体" w:hAnsi="Book Antiqua"/>
              </w:rPr>
              <w:t>s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04A1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83C29" w14:textId="73CA2B9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66.04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0B094B" w14:paraId="2FEA1933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A51031" w14:textId="658891E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Sleep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AFD2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36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E4A02" w14:textId="6167A6E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33.96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0B094B" w14:paraId="19F267FF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D597A3" w14:textId="7F77F64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Spine/spike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discharge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7277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13B7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11672D" w:rsidRPr="000B094B" w14:paraId="316CC6BC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8C647A" w14:textId="2AB01D58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Unilateral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750B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F953B" w14:textId="2DB69EA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81.13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0B094B" w14:paraId="41C49505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510ED05" w14:textId="41627A15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Bilateral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1A0AC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DC7BD" w14:textId="2463629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18.87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0B094B" w14:paraId="44A625C9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95C84B" w14:textId="206A877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generalization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1B92A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96AE2" w14:textId="2CD58A8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31.13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</w:tbl>
    <w:p w14:paraId="35046703" w14:textId="77777777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04F0B383" w14:textId="40AD0E06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0B094B">
        <w:rPr>
          <w:rFonts w:ascii="Book Antiqua" w:eastAsia="宋体" w:hAnsi="Book Antiqua"/>
          <w:b/>
          <w:bCs/>
        </w:rPr>
        <w:t>Table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2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Comparison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electroencephalogram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characteristics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children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different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sexes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and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ages</w:t>
      </w:r>
    </w:p>
    <w:tbl>
      <w:tblPr>
        <w:tblW w:w="9399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276"/>
        <w:gridCol w:w="2262"/>
        <w:gridCol w:w="2231"/>
        <w:gridCol w:w="1886"/>
      </w:tblGrid>
      <w:tr w:rsidR="0011672D" w:rsidRPr="000B094B" w14:paraId="15A41561" w14:textId="77777777" w:rsidTr="00552157">
        <w:trPr>
          <w:trHeight w:val="288"/>
          <w:jc w:val="center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35EC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74531" w14:textId="79F24B8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Number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of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cases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64748" w14:textId="55C922C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Awake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and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sleep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9973B" w14:textId="524C0C0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Spike/sharp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wave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unilateral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B98DB" w14:textId="4576189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generalization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</w:tr>
      <w:tr w:rsidR="007F7086" w:rsidRPr="000B094B" w14:paraId="1D724A0B" w14:textId="77777777" w:rsidTr="00552157">
        <w:trPr>
          <w:trHeight w:val="288"/>
          <w:jc w:val="center"/>
        </w:trPr>
        <w:tc>
          <w:tcPr>
            <w:tcW w:w="9399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A63C4" w14:textId="330F7DBC" w:rsidR="007F7086" w:rsidRPr="000B094B" w:rsidRDefault="007F70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Gender</w:t>
            </w:r>
          </w:p>
        </w:tc>
      </w:tr>
      <w:tr w:rsidR="0011672D" w:rsidRPr="000B094B" w14:paraId="61DA1EEA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F5ACB" w14:textId="1EAE777E" w:rsidR="0011672D" w:rsidRPr="000B094B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Man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AEC9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66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27A2D" w14:textId="3A0AD64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42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63.64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5E1B9" w14:textId="2341492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55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83.33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133BA" w14:textId="21316CA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28.79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0B094B" w14:paraId="47CA3476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0E7A1" w14:textId="57C567E8" w:rsidR="0011672D" w:rsidRPr="000B094B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Woman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2BF30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40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D7B05" w14:textId="59D1CF9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70.00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5157A" w14:textId="41C8212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77.50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5DF09" w14:textId="27CC02D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35.00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0B094B" w14:paraId="2FD96184" w14:textId="77777777" w:rsidTr="00552157">
        <w:trPr>
          <w:trHeight w:val="312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B64B1" w14:textId="31EEE462" w:rsidR="0011672D" w:rsidRPr="000B094B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  <w:color w:val="000000"/>
              </w:rPr>
              <w:t>χ</w:t>
            </w:r>
            <w:r w:rsidRPr="000B094B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29B4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B45AF" w14:textId="145F4C1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0.450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D3D96" w14:textId="52517F8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0.554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09CB9" w14:textId="72CA072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0.448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0B094B" w14:paraId="1E2F7A60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EC59E" w14:textId="1FF2BD1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color w:val="000000"/>
              </w:rPr>
              <w:t>P</w:t>
            </w:r>
            <w:r w:rsidR="00A26300" w:rsidRPr="000B094B">
              <w:rPr>
                <w:rFonts w:ascii="Book Antiqua" w:eastAsia="宋体" w:hAnsi="Book Antiqua"/>
                <w:i/>
                <w:color w:val="000000"/>
              </w:rPr>
              <w:t xml:space="preserve"> </w:t>
            </w:r>
            <w:r w:rsidR="00DA2FB2" w:rsidRPr="000B094B">
              <w:rPr>
                <w:rFonts w:ascii="Book Antiqua" w:eastAsia="宋体" w:hAnsi="Book Antiqua"/>
                <w:iCs/>
                <w:color w:val="000000"/>
              </w:rPr>
              <w:t>value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700ED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75DFF" w14:textId="7EFE594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0.502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DE970" w14:textId="7487C7B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0.457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13372" w14:textId="3BE96A9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0.503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7F7086" w:rsidRPr="000B094B" w14:paraId="5BC4AD16" w14:textId="77777777" w:rsidTr="00552157">
        <w:trPr>
          <w:trHeight w:val="288"/>
          <w:jc w:val="center"/>
        </w:trPr>
        <w:tc>
          <w:tcPr>
            <w:tcW w:w="9399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A8B0A" w14:textId="546F5451" w:rsidR="007F7086" w:rsidRPr="000B094B" w:rsidRDefault="007F70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Age</w:t>
            </w:r>
          </w:p>
        </w:tc>
      </w:tr>
      <w:tr w:rsidR="0011672D" w:rsidRPr="000B094B" w14:paraId="14DCE2A2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11683" w14:textId="1D1108B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≤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F7086" w:rsidRPr="000B094B">
              <w:rPr>
                <w:rFonts w:ascii="Book Antiqua" w:eastAsia="宋体" w:hAnsi="Book Antiqua"/>
                <w:color w:val="000000"/>
              </w:rPr>
              <w:t>yr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95A2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34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59891" w14:textId="7568273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73.53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A9DD5" w14:textId="2E24CF9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76.47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85E631" w14:textId="1B12E47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32.35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0B094B" w14:paraId="6F8AAD9C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F2C00" w14:textId="5F2101D2" w:rsidR="0011672D" w:rsidRPr="000B094B" w:rsidRDefault="007F70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 w:hint="eastAsia"/>
                <w:color w:val="000000"/>
                <w:lang w:eastAsia="zh-CN"/>
              </w:rPr>
              <w:t>&gt;</w:t>
            </w:r>
            <w:r w:rsidR="00A26300" w:rsidRPr="000B094B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  <w:color w:val="000000"/>
              </w:rPr>
              <w:t>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yr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8035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72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43C6D" w14:textId="5EC7369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45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62.50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F010F" w14:textId="7EAE218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83.33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85FA9" w14:textId="083C236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30.56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0B094B" w14:paraId="51886FF0" w14:textId="77777777" w:rsidTr="00552157">
        <w:trPr>
          <w:trHeight w:val="312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323FF" w14:textId="28F70899" w:rsidR="0011672D" w:rsidRPr="000B094B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  <w:color w:val="000000"/>
              </w:rPr>
              <w:t>χ</w:t>
            </w:r>
            <w:r w:rsidRPr="000B094B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8BDE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9758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1.253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F4BA8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0.711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6571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0.035</w:t>
            </w:r>
          </w:p>
        </w:tc>
      </w:tr>
      <w:tr w:rsidR="0011672D" w:rsidRPr="000B094B" w14:paraId="7871B66A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B2ED0" w14:textId="467D88C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color w:val="000000"/>
              </w:rPr>
              <w:t>P</w:t>
            </w:r>
            <w:r w:rsidR="00A26300" w:rsidRPr="000B094B">
              <w:rPr>
                <w:rFonts w:ascii="Book Antiqua" w:eastAsia="宋体" w:hAnsi="Book Antiqua"/>
                <w:i/>
                <w:color w:val="000000"/>
              </w:rPr>
              <w:t xml:space="preserve"> </w:t>
            </w:r>
            <w:r w:rsidR="00AB2F65" w:rsidRPr="000B094B">
              <w:rPr>
                <w:rFonts w:ascii="Book Antiqua" w:eastAsia="宋体" w:hAnsi="Book Antiqua"/>
                <w:iCs/>
                <w:color w:val="000000"/>
              </w:rPr>
              <w:t>value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FDF9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191C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0.263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244A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0.399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1825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0.852</w:t>
            </w:r>
          </w:p>
        </w:tc>
      </w:tr>
    </w:tbl>
    <w:p w14:paraId="3D7001E9" w14:textId="77777777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0D0615CC" w14:textId="2C6C08D9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0B094B">
        <w:rPr>
          <w:rFonts w:ascii="Book Antiqua" w:eastAsia="宋体" w:hAnsi="Book Antiqua"/>
          <w:b/>
          <w:bCs/>
        </w:rPr>
        <w:br w:type="page"/>
      </w:r>
      <w:r w:rsidRPr="000B094B">
        <w:rPr>
          <w:rFonts w:ascii="Book Antiqua" w:eastAsia="宋体" w:hAnsi="Book Antiqua"/>
          <w:b/>
          <w:bCs/>
        </w:rPr>
        <w:lastRenderedPageBreak/>
        <w:t>Table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3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Comparison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clinical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data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children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with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and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without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effective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treatment</w:t>
      </w:r>
      <w:r w:rsidR="00307475" w:rsidRPr="000B094B">
        <w:rPr>
          <w:rFonts w:ascii="Book Antiqua" w:eastAsia="宋体" w:hAnsi="Book Antiqua"/>
          <w:b/>
          <w:bCs/>
        </w:rPr>
        <w:t>,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307475" w:rsidRPr="000B094B">
        <w:rPr>
          <w:rFonts w:ascii="Book Antiqua" w:eastAsia="宋体" w:hAnsi="Book Antiqua"/>
          <w:b/>
          <w:bCs/>
          <w:i/>
          <w:iCs/>
        </w:rPr>
        <w:t>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="00307475" w:rsidRPr="000B094B">
        <w:rPr>
          <w:rFonts w:ascii="Book Antiqua" w:eastAsia="宋体" w:hAnsi="Book Antiqua"/>
          <w:b/>
          <w:bCs/>
        </w:rPr>
        <w:t>(%)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708"/>
        <w:gridCol w:w="1751"/>
        <w:gridCol w:w="1304"/>
        <w:gridCol w:w="1175"/>
      </w:tblGrid>
      <w:tr w:rsidR="009A4F33" w:rsidRPr="000B094B" w14:paraId="2167F543" w14:textId="77777777" w:rsidTr="0056793C">
        <w:trPr>
          <w:trHeight w:val="576"/>
          <w:jc w:val="center"/>
        </w:trPr>
        <w:tc>
          <w:tcPr>
            <w:tcW w:w="18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7EF7E5" w14:textId="516CC4DD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</w:rPr>
              <w:t>Clinical</w:t>
            </w:r>
            <w:r w:rsidR="00A26300" w:rsidRPr="000B094B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  <w:b/>
                <w:bCs/>
              </w:rPr>
              <w:t>data</w:t>
            </w:r>
          </w:p>
        </w:tc>
        <w:tc>
          <w:tcPr>
            <w:tcW w:w="9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8DC4A" w14:textId="1AA35D4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ineffective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20)</w:t>
            </w: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27E364" w14:textId="02EE1C9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effective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86)</w:t>
            </w: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B4B5F" w14:textId="253DF9C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t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/</w:t>
            </w:r>
            <w:r w:rsidR="00106486"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χ</w:t>
            </w:r>
            <w:r w:rsidR="00106486" w:rsidRPr="000B094B">
              <w:rPr>
                <w:rFonts w:ascii="Book Antiqua" w:eastAsia="宋体" w:hAnsi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73F66" w14:textId="2C8F020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106486" w:rsidRPr="000B094B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9A4F33" w:rsidRPr="000B094B" w14:paraId="43C2E931" w14:textId="77777777" w:rsidTr="0056793C">
        <w:trPr>
          <w:trHeight w:val="288"/>
          <w:jc w:val="center"/>
        </w:trPr>
        <w:tc>
          <w:tcPr>
            <w:tcW w:w="183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38D093" w14:textId="41CDD26E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Gender</w:t>
            </w:r>
          </w:p>
        </w:tc>
        <w:tc>
          <w:tcPr>
            <w:tcW w:w="910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66AF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1B40E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57DBD" w14:textId="79CEDDC8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0.554</w:t>
            </w:r>
          </w:p>
        </w:tc>
        <w:tc>
          <w:tcPr>
            <w:tcW w:w="62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590DB" w14:textId="66EE8738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0.457</w:t>
            </w:r>
          </w:p>
        </w:tc>
      </w:tr>
      <w:tr w:rsidR="009A4F33" w:rsidRPr="000B094B" w14:paraId="456C0FAC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78C928" w14:textId="1A85CCC3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Man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9BA87" w14:textId="0A4590E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55.00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5B352" w14:textId="44AD9C6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55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63.95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D284E" w14:textId="699AFC5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0182B" w14:textId="6DC62E6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68B397F1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A22275" w14:textId="00E53E86" w:rsidR="0011672D" w:rsidRPr="000B094B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Woman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0CEB4" w14:textId="15C6A6D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45.00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68DF6" w14:textId="5E4DC7B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36.05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0BD2E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66AF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36AC4170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D8FA8D" w14:textId="597E42A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</w:t>
            </w:r>
            <w:r w:rsidR="00106486" w:rsidRPr="000B094B">
              <w:rPr>
                <w:rFonts w:ascii="Book Antiqua" w:eastAsia="宋体" w:hAnsi="Book Antiqua"/>
              </w:rPr>
              <w:t>yr</w:t>
            </w:r>
            <w:r w:rsidRPr="000B094B">
              <w:rPr>
                <w:rFonts w:ascii="Book Antiqua" w:eastAsia="宋体" w:hAnsi="Book Antiqua"/>
              </w:rPr>
              <w:t>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0D2AF" w14:textId="5D7EB57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7.15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1.98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F46CA" w14:textId="31EC99D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7.15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1.80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B643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13C1E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1.000</w:t>
            </w:r>
          </w:p>
        </w:tc>
      </w:tr>
      <w:tr w:rsidR="009A4F33" w:rsidRPr="000B094B" w14:paraId="2501F39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5726CE" w14:textId="2539149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85A6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098F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88E67" w14:textId="2E3480AD" w:rsidR="0011672D" w:rsidRPr="000B094B" w:rsidRDefault="00222F1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0.883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BBD17" w14:textId="368391C7" w:rsidR="0011672D" w:rsidRPr="000B094B" w:rsidRDefault="00222F1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0.347</w:t>
            </w:r>
          </w:p>
        </w:tc>
      </w:tr>
      <w:tr w:rsidR="009A4F33" w:rsidRPr="000B094B" w14:paraId="0282D6E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EBF38D" w14:textId="406C567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Awake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and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sleep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periods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B4B6E" w14:textId="347927E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98152" w14:textId="488075A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55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63.95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2EFC6" w14:textId="005A95E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D52F41" w14:textId="1960ED7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2639879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7A891F" w14:textId="3E7808D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Sleep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B4F1F" w14:textId="63A8FF5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25.00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70F30" w14:textId="7A7ECEA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36.05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E5D6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F1543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3A2505D5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14A1FA" w14:textId="21DD04E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Spike/sharp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wave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discharge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6A4A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3844C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48960" w14:textId="626A5456" w:rsidR="0011672D" w:rsidRPr="000B094B" w:rsidRDefault="008E688E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2.081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6E8FE" w14:textId="493D0635" w:rsidR="0011672D" w:rsidRPr="000B094B" w:rsidRDefault="008E688E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0.149</w:t>
            </w:r>
          </w:p>
        </w:tc>
      </w:tr>
      <w:tr w:rsidR="009A4F33" w:rsidRPr="000B094B" w14:paraId="1255E1CC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5D80A4" w14:textId="5F49247B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Unilateral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CD943" w14:textId="1C6FDCB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95.00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7B656" w14:textId="24F91FD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77.91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AB04C" w14:textId="731E09C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A3025" w14:textId="5A9CB79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2C70B613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C4073C" w14:textId="14096ECF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Bilateral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63E26" w14:textId="5B209C3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5.00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AF7DF" w14:textId="1EEDC5E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22.09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3E51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8EE0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2D367398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05BDEE" w14:textId="6888AD7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generalization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45B28" w14:textId="7A44748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9E593" w14:textId="1A42959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29.07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8FC4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0.904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36C1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0.342</w:t>
            </w:r>
          </w:p>
        </w:tc>
      </w:tr>
      <w:tr w:rsidR="009A4F33" w:rsidRPr="000B094B" w14:paraId="67F2EB5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FD46E8" w14:textId="375D063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Low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onset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(&lt;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5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D668FF" w:rsidRPr="000B094B">
              <w:rPr>
                <w:rFonts w:ascii="Book Antiqua" w:eastAsia="宋体" w:hAnsi="Book Antiqua"/>
              </w:rPr>
              <w:t>yr</w:t>
            </w:r>
            <w:r w:rsidRPr="000B094B">
              <w:rPr>
                <w:rFonts w:ascii="Book Antiqua" w:eastAsia="宋体" w:hAnsi="Book Antiqua"/>
              </w:rPr>
              <w:t>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5E259" w14:textId="0D44EA4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94B09" w14:textId="3B7BD47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6.98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05A3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12.690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1771A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</w:p>
        </w:tc>
      </w:tr>
      <w:tr w:rsidR="009A4F33" w:rsidRPr="000B094B" w14:paraId="4B4D0B0B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3C8DED" w14:textId="5EE1337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Seizure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frequency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DA4F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DCED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4589B" w14:textId="74D6CAC2" w:rsidR="0011672D" w:rsidRPr="000B094B" w:rsidRDefault="00F52272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9.582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C817FC" w14:textId="53035BB3" w:rsidR="0011672D" w:rsidRPr="000B094B" w:rsidRDefault="00F52272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0.002</w:t>
            </w:r>
          </w:p>
        </w:tc>
      </w:tr>
      <w:tr w:rsidR="009A4F33" w:rsidRPr="000B094B" w14:paraId="36C5A060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5AD7F6F" w14:textId="4F90D35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&gt;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3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times/half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year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EA861" w14:textId="745ED99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60.00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E7007" w14:textId="39B1BE7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24.42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6C6768" w14:textId="6990D8B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7B05B" w14:textId="70F06FF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268FBAA2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A64C87" w14:textId="2BEC1E7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≤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3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times/half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year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2C616" w14:textId="0FBEC39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61B2C" w14:textId="4F1D6B4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color w:val="000000"/>
              </w:rPr>
              <w:t>75.58</w:t>
            </w:r>
            <w:r w:rsidR="00EC409A" w:rsidRPr="000B094B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4D5761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DE96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7EE7C24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F7A4C0" w14:textId="4D19B84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index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85A08" w14:textId="32A7982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65.05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7.74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2972F" w14:textId="2A1AE14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73.28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9.17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EBB58" w14:textId="4A44864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-3.714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5ED92" w14:textId="2EABD6F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0B094B" w14:paraId="5716FC4A" w14:textId="5FCCADCC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EF3D7F" w14:textId="1D4DBC90" w:rsidR="009A4F33" w:rsidRPr="000B094B" w:rsidRDefault="009A4F33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Gesell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scale</w:t>
            </w:r>
          </w:p>
        </w:tc>
        <w:tc>
          <w:tcPr>
            <w:tcW w:w="910" w:type="pct"/>
            <w:shd w:val="clear" w:color="auto" w:fill="auto"/>
          </w:tcPr>
          <w:p w14:paraId="4378F68D" w14:textId="77777777" w:rsidR="009A4F33" w:rsidRPr="000B094B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</w:tcPr>
          <w:p w14:paraId="3A4B920D" w14:textId="77777777" w:rsidR="009A4F33" w:rsidRPr="000B094B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14:paraId="0F8A5B45" w14:textId="77777777" w:rsidR="009A4F33" w:rsidRPr="000B094B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14:paraId="4A344506" w14:textId="77777777" w:rsidR="009A4F33" w:rsidRPr="000B094B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0B094B" w14:paraId="15FD1C6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D983D8" w14:textId="39D32BB1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Gross motor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3AA97" w14:textId="7920464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85.70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6.62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45ABE" w14:textId="1587370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7.29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9F67A" w14:textId="414B12B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0.236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17CC9" w14:textId="05A0B27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0.814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0B094B" w14:paraId="7BA13522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36D510" w14:textId="7540082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Fine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F55A06" w:rsidRPr="000B094B">
              <w:rPr>
                <w:rFonts w:ascii="Book Antiqua" w:eastAsia="宋体" w:hAnsi="Book Antiqua"/>
              </w:rPr>
              <w:t>motor 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88B26" w14:textId="2FD9014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88.60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EFD75" w14:textId="435E370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86.62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8.00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E4460" w14:textId="6A92A59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1.040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1ECAC" w14:textId="21E26A0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0.301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0B094B" w14:paraId="0B401325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805175" w14:textId="15F6399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Adaptability</w:t>
            </w:r>
            <w:r w:rsidR="00F55A06" w:rsidRPr="000B094B">
              <w:rPr>
                <w:rFonts w:ascii="Book Antiqua" w:eastAsia="宋体" w:hAnsi="Book Antiqua"/>
              </w:rPr>
              <w:t xml:space="preserve"> 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1FC4D" w14:textId="6578FDF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87.60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7.02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F8E720" w14:textId="75FFAE7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86.08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7.20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75F3C" w14:textId="4D200B9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0.854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D6BDF" w14:textId="448618B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0.395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0B094B" w14:paraId="71ACAFFB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2B30B5" w14:textId="50ED4B7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Language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F8676B" w14:textId="0B3F60E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7.13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A461A5" w14:textId="0973CA5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86.33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7.92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2AE77" w14:textId="01BD5E2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0.942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BD590" w14:textId="09FEA0D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0.348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0B094B" w14:paraId="6CCF6189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E812A5" w14:textId="0F82C86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Individual-social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ability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FEB21" w14:textId="61AD09D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85.40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8.61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C2AC1" w14:textId="33DA8B4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85.99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8.22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0F8D1" w14:textId="0FC55F6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-0.287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64770" w14:textId="1198669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0.775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</w:tbl>
    <w:p w14:paraId="6ADDBA68" w14:textId="77777777" w:rsidR="0011672D" w:rsidRPr="000B094B" w:rsidRDefault="0011672D" w:rsidP="0011672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宋体" w:hAnsi="Book Antiqua"/>
        </w:rPr>
      </w:pPr>
    </w:p>
    <w:p w14:paraId="57450883" w14:textId="6CD9B37C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0B094B">
        <w:rPr>
          <w:rFonts w:ascii="Book Antiqua" w:eastAsia="宋体" w:hAnsi="Book Antiqua"/>
          <w:b/>
          <w:bCs/>
        </w:rPr>
        <w:lastRenderedPageBreak/>
        <w:t>Table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4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Results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correlation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analysis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864"/>
        <w:gridCol w:w="2693"/>
      </w:tblGrid>
      <w:tr w:rsidR="0011672D" w:rsidRPr="000B094B" w14:paraId="73CB50A7" w14:textId="77777777" w:rsidTr="00257EB4">
        <w:trPr>
          <w:trHeight w:val="288"/>
          <w:jc w:val="center"/>
        </w:trPr>
        <w:tc>
          <w:tcPr>
            <w:tcW w:w="203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272387" w14:textId="61CAE01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</w:rPr>
              <w:t>Gesell</w:t>
            </w:r>
            <w:r w:rsidR="00A26300" w:rsidRPr="000B094B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</w:rPr>
              <w:t>scale</w:t>
            </w:r>
          </w:p>
        </w:tc>
        <w:tc>
          <w:tcPr>
            <w:tcW w:w="2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AB840" w14:textId="358BA12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index</w:t>
            </w:r>
          </w:p>
        </w:tc>
      </w:tr>
      <w:tr w:rsidR="0011672D" w:rsidRPr="000B094B" w14:paraId="55CE9DA2" w14:textId="77777777" w:rsidTr="00257EB4">
        <w:trPr>
          <w:trHeight w:val="288"/>
          <w:jc w:val="center"/>
        </w:trPr>
        <w:tc>
          <w:tcPr>
            <w:tcW w:w="203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E21BF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7B1F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r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32567" w14:textId="15F949E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257EB4" w:rsidRPr="000B094B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11672D" w:rsidRPr="000B094B" w14:paraId="104C6D80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82390C" w14:textId="2638AF61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Gross motor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D3827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-0.014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0C18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0.887</w:t>
            </w:r>
          </w:p>
        </w:tc>
      </w:tr>
      <w:tr w:rsidR="0011672D" w:rsidRPr="000B094B" w14:paraId="7EEEF411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116FBC" w14:textId="67ACDF26" w:rsidR="0011672D" w:rsidRPr="000B094B" w:rsidRDefault="0011672D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Fine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F55A06" w:rsidRPr="000B094B">
              <w:rPr>
                <w:rFonts w:ascii="Book Antiqua" w:eastAsia="宋体" w:hAnsi="Book Antiqua"/>
              </w:rPr>
              <w:t>motor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86DE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-0.274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9CA190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0.005</w:t>
            </w:r>
          </w:p>
        </w:tc>
      </w:tr>
      <w:tr w:rsidR="0011672D" w:rsidRPr="000B094B" w14:paraId="05698158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161974" w14:textId="311E11B6" w:rsidR="0011672D" w:rsidRPr="000B094B" w:rsidRDefault="00242ECF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Adaptability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B328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-0.068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F735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0.488</w:t>
            </w:r>
          </w:p>
        </w:tc>
      </w:tr>
      <w:tr w:rsidR="0011672D" w:rsidRPr="000B094B" w14:paraId="2088220D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93B62E" w14:textId="32C5FB45" w:rsidR="0011672D" w:rsidRPr="000B094B" w:rsidRDefault="00242ECF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Language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0D8CE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-0.247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4A255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0.011</w:t>
            </w:r>
          </w:p>
        </w:tc>
      </w:tr>
      <w:tr w:rsidR="0011672D" w:rsidRPr="000B094B" w14:paraId="285AEA7F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8F084B" w14:textId="3E497CC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Individual-social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ability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3DE83C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0.098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3081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0.316</w:t>
            </w:r>
          </w:p>
        </w:tc>
      </w:tr>
    </w:tbl>
    <w:p w14:paraId="13B2D21E" w14:textId="2350DDD8" w:rsidR="0011672D" w:rsidRPr="000B094B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705B679B" w14:textId="77777777" w:rsidR="00AB440C" w:rsidRPr="000B094B" w:rsidRDefault="00AB440C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4E338DE8" w14:textId="66DBEF71" w:rsidR="0011672D" w:rsidRPr="000B094B" w:rsidRDefault="0011672D" w:rsidP="004934A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0B094B">
        <w:rPr>
          <w:rFonts w:ascii="Book Antiqua" w:eastAsia="宋体" w:hAnsi="Book Antiqua"/>
          <w:b/>
          <w:bCs/>
        </w:rPr>
        <w:t>Table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5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Results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of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multivariate</w:t>
      </w:r>
      <w:r w:rsidR="00A26300" w:rsidRPr="000B094B">
        <w:rPr>
          <w:rFonts w:ascii="Book Antiqua" w:eastAsia="宋体" w:hAnsi="Book Antiqua"/>
          <w:b/>
          <w:bCs/>
        </w:rPr>
        <w:t xml:space="preserve"> </w:t>
      </w:r>
      <w:r w:rsidRPr="000B094B">
        <w:rPr>
          <w:rFonts w:ascii="Book Antiqua" w:eastAsia="宋体" w:hAnsi="Book Antiqua"/>
          <w:b/>
          <w:bCs/>
        </w:rPr>
        <w:t>analysis</w:t>
      </w:r>
    </w:p>
    <w:tbl>
      <w:tblPr>
        <w:tblStyle w:val="a7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250"/>
        <w:gridCol w:w="1129"/>
        <w:gridCol w:w="1228"/>
        <w:gridCol w:w="997"/>
        <w:gridCol w:w="2588"/>
      </w:tblGrid>
      <w:tr w:rsidR="0011672D" w:rsidRPr="000B094B" w14:paraId="53DF1149" w14:textId="77777777" w:rsidTr="005C0E79">
        <w:trPr>
          <w:trHeight w:val="421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2AD7E249" w14:textId="26E22E0E" w:rsidR="0011672D" w:rsidRPr="000B094B" w:rsidRDefault="0004387C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B094B">
              <w:rPr>
                <w:rFonts w:ascii="Book Antiqua" w:hAnsi="Book Antiqua"/>
                <w:b/>
                <w:bCs/>
              </w:rPr>
              <w:t>Index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710DEAA" w14:textId="63494C4B" w:rsidR="0011672D" w:rsidRPr="000B094B" w:rsidRDefault="00D70F60" w:rsidP="0011672D">
            <w:pPr>
              <w:widowControl/>
              <w:adjustRightInd w:val="0"/>
              <w:snapToGrid w:val="0"/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0B094B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β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3AF8ED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B094B">
              <w:rPr>
                <w:rFonts w:ascii="Book Antiqua" w:hAnsi="Book Antiqua"/>
                <w:b/>
                <w:bCs/>
              </w:rPr>
              <w:t>SE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A6C556A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B094B">
              <w:rPr>
                <w:rFonts w:ascii="Book Antiqua" w:hAnsi="Book Antiqua"/>
                <w:b/>
                <w:bCs/>
              </w:rPr>
              <w:t>Wals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915C1FD" w14:textId="560B71E4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B094B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A26300" w:rsidRPr="000B094B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4934AA" w:rsidRPr="000B094B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42BFD1C4" w14:textId="4A5D6F33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B094B">
              <w:rPr>
                <w:rFonts w:ascii="Book Antiqua" w:hAnsi="Book Antiqua"/>
                <w:b/>
                <w:bCs/>
              </w:rPr>
              <w:t>OR</w:t>
            </w:r>
            <w:r w:rsidR="00A26300" w:rsidRPr="000B094B">
              <w:rPr>
                <w:rFonts w:ascii="Book Antiqua" w:hAnsi="Book Antiqua"/>
                <w:b/>
                <w:bCs/>
              </w:rPr>
              <w:t xml:space="preserve"> </w:t>
            </w:r>
            <w:r w:rsidR="00EC409A" w:rsidRPr="000B094B">
              <w:rPr>
                <w:rFonts w:ascii="Book Antiqua" w:hAnsi="Book Antiqua"/>
                <w:b/>
                <w:bCs/>
              </w:rPr>
              <w:t>(</w:t>
            </w:r>
            <w:r w:rsidRPr="000B094B">
              <w:rPr>
                <w:rFonts w:ascii="Book Antiqua" w:hAnsi="Book Antiqua"/>
                <w:b/>
                <w:bCs/>
              </w:rPr>
              <w:t>95%CI</w:t>
            </w:r>
            <w:r w:rsidR="00EC409A" w:rsidRPr="000B094B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11672D" w:rsidRPr="000B094B" w14:paraId="2885959C" w14:textId="77777777" w:rsidTr="005C0E79">
        <w:trPr>
          <w:trHeight w:val="288"/>
        </w:trPr>
        <w:tc>
          <w:tcPr>
            <w:tcW w:w="2108" w:type="dxa"/>
            <w:tcBorders>
              <w:top w:val="single" w:sz="4" w:space="0" w:color="auto"/>
            </w:tcBorders>
          </w:tcPr>
          <w:p w14:paraId="2FA7097E" w14:textId="7870E09D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Incidence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at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a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young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age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(&lt;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5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="004934AA" w:rsidRPr="000B094B">
              <w:rPr>
                <w:rFonts w:ascii="Book Antiqua" w:hAnsi="Book Antiqua"/>
              </w:rPr>
              <w:t>yr</w:t>
            </w:r>
            <w:r w:rsidRPr="000B094B">
              <w:rPr>
                <w:rFonts w:ascii="Book Antiqua" w:hAnsi="Book Antiq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3623F6CC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2.425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CBFC9A7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0.696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4A7C178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12.131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2B5DC1B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0.000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05C9C48A" w14:textId="6895EA3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11.304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="00EC409A" w:rsidRPr="000B094B">
              <w:rPr>
                <w:rFonts w:ascii="Book Antiqua" w:hAnsi="Book Antiqua"/>
              </w:rPr>
              <w:t>(</w:t>
            </w:r>
            <w:r w:rsidRPr="000B094B">
              <w:rPr>
                <w:rFonts w:ascii="Book Antiqua" w:hAnsi="Book Antiqua"/>
              </w:rPr>
              <w:t>2.888</w:t>
            </w:r>
            <w:r w:rsidR="00FD4EA3" w:rsidRPr="000B094B">
              <w:rPr>
                <w:rFonts w:ascii="Book Antiqua" w:hAnsi="Book Antiqua" w:hint="eastAsia"/>
              </w:rPr>
              <w:t>-</w:t>
            </w:r>
            <w:r w:rsidRPr="000B094B">
              <w:rPr>
                <w:rFonts w:ascii="Book Antiqua" w:hAnsi="Book Antiqua"/>
              </w:rPr>
              <w:t>44.251</w:t>
            </w:r>
            <w:r w:rsidR="00EC409A" w:rsidRPr="000B094B">
              <w:rPr>
                <w:rFonts w:ascii="Book Antiqua" w:hAnsi="Book Antiqua"/>
              </w:rPr>
              <w:t>)</w:t>
            </w:r>
          </w:p>
        </w:tc>
      </w:tr>
      <w:tr w:rsidR="0011672D" w:rsidRPr="000B094B" w14:paraId="30109734" w14:textId="77777777" w:rsidTr="005C0E79">
        <w:trPr>
          <w:trHeight w:val="302"/>
        </w:trPr>
        <w:tc>
          <w:tcPr>
            <w:tcW w:w="2108" w:type="dxa"/>
          </w:tcPr>
          <w:p w14:paraId="27C95358" w14:textId="79E94314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Attack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Pr="000B094B">
              <w:rPr>
                <w:rFonts w:ascii="Book Antiqua" w:hAnsi="Book Antiqua"/>
              </w:rPr>
              <w:t>frequency</w:t>
            </w:r>
          </w:p>
        </w:tc>
        <w:tc>
          <w:tcPr>
            <w:tcW w:w="1250" w:type="dxa"/>
          </w:tcPr>
          <w:p w14:paraId="718F305B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1.755</w:t>
            </w:r>
          </w:p>
        </w:tc>
        <w:tc>
          <w:tcPr>
            <w:tcW w:w="1129" w:type="dxa"/>
          </w:tcPr>
          <w:p w14:paraId="1D3F07A6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0.593</w:t>
            </w:r>
          </w:p>
        </w:tc>
        <w:tc>
          <w:tcPr>
            <w:tcW w:w="1228" w:type="dxa"/>
          </w:tcPr>
          <w:p w14:paraId="1615370F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8.760</w:t>
            </w:r>
          </w:p>
        </w:tc>
        <w:tc>
          <w:tcPr>
            <w:tcW w:w="997" w:type="dxa"/>
          </w:tcPr>
          <w:p w14:paraId="46EE066D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0.003</w:t>
            </w:r>
          </w:p>
        </w:tc>
        <w:tc>
          <w:tcPr>
            <w:tcW w:w="2588" w:type="dxa"/>
          </w:tcPr>
          <w:p w14:paraId="3479647B" w14:textId="3CD7DA95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5.784</w:t>
            </w:r>
            <w:r w:rsidR="00A26300" w:rsidRPr="000B094B">
              <w:rPr>
                <w:rFonts w:ascii="Book Antiqua" w:hAnsi="Book Antiqua"/>
              </w:rPr>
              <w:t xml:space="preserve"> </w:t>
            </w:r>
            <w:r w:rsidR="00EC409A" w:rsidRPr="000B094B">
              <w:rPr>
                <w:rFonts w:ascii="Book Antiqua" w:hAnsi="Book Antiqua"/>
              </w:rPr>
              <w:t>(</w:t>
            </w:r>
            <w:r w:rsidRPr="000B094B">
              <w:rPr>
                <w:rFonts w:ascii="Book Antiqua" w:hAnsi="Book Antiqua"/>
              </w:rPr>
              <w:t>1.809</w:t>
            </w:r>
            <w:r w:rsidR="00FD4EA3" w:rsidRPr="000B094B">
              <w:rPr>
                <w:rFonts w:ascii="Book Antiqua" w:hAnsi="Book Antiqua" w:hint="eastAsia"/>
              </w:rPr>
              <w:t>-</w:t>
            </w:r>
            <w:r w:rsidRPr="000B094B">
              <w:rPr>
                <w:rFonts w:ascii="Book Antiqua" w:hAnsi="Book Antiqua"/>
              </w:rPr>
              <w:t>18.490</w:t>
            </w:r>
            <w:r w:rsidR="00EC409A" w:rsidRPr="000B094B">
              <w:rPr>
                <w:rFonts w:ascii="Book Antiqua" w:hAnsi="Book Antiqua"/>
              </w:rPr>
              <w:t>)</w:t>
            </w:r>
          </w:p>
        </w:tc>
      </w:tr>
      <w:tr w:rsidR="0011672D" w:rsidRPr="000B094B" w14:paraId="534168DB" w14:textId="77777777" w:rsidTr="005C0E79">
        <w:trPr>
          <w:trHeight w:val="256"/>
        </w:trPr>
        <w:tc>
          <w:tcPr>
            <w:tcW w:w="2108" w:type="dxa"/>
            <w:tcBorders>
              <w:bottom w:val="single" w:sz="4" w:space="0" w:color="auto"/>
            </w:tcBorders>
          </w:tcPr>
          <w:p w14:paraId="07857B8A" w14:textId="1B0FF409" w:rsidR="0011672D" w:rsidRPr="000B094B" w:rsidRDefault="00F55A06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 xml:space="preserve">Constant </w:t>
            </w:r>
            <w:r w:rsidR="0011672D" w:rsidRPr="000B094B">
              <w:rPr>
                <w:rFonts w:ascii="Book Antiqua" w:hAnsi="Book Antiqua"/>
              </w:rPr>
              <w:t>term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6E101D9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-2.686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110BBD3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0.480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A0246E6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31.254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6466B6B3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0.000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37BE65D" w14:textId="77777777" w:rsidR="0011672D" w:rsidRPr="000B094B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B094B">
              <w:rPr>
                <w:rFonts w:ascii="Book Antiqua" w:hAnsi="Book Antiqua"/>
              </w:rPr>
              <w:t>-</w:t>
            </w:r>
          </w:p>
        </w:tc>
      </w:tr>
    </w:tbl>
    <w:p w14:paraId="0F60890E" w14:textId="4E11CC05" w:rsidR="0011672D" w:rsidRPr="000B094B" w:rsidRDefault="004934AA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0B094B">
        <w:rPr>
          <w:rFonts w:ascii="Book Antiqua" w:eastAsia="宋体" w:hAnsi="Book Antiqua"/>
          <w:lang w:eastAsia="zh-CN"/>
        </w:rPr>
        <w:t>OR:</w:t>
      </w:r>
      <w:r w:rsidR="00A26300" w:rsidRPr="000B094B">
        <w:rPr>
          <w:rFonts w:ascii="Book Antiqua" w:eastAsia="宋体" w:hAnsi="Book Antiqua"/>
          <w:lang w:eastAsia="zh-CN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Odds</w:t>
      </w:r>
      <w:r w:rsidR="00A26300" w:rsidRPr="000B094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94B">
        <w:rPr>
          <w:rFonts w:ascii="Book Antiqua" w:eastAsia="Book Antiqua" w:hAnsi="Book Antiqua" w:cs="Book Antiqua"/>
          <w:color w:val="000000" w:themeColor="text1"/>
        </w:rPr>
        <w:t>ratio.</w:t>
      </w:r>
    </w:p>
    <w:p w14:paraId="5C29282D" w14:textId="77777777" w:rsidR="004934AA" w:rsidRPr="000B094B" w:rsidRDefault="004934AA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</w:p>
    <w:p w14:paraId="05769C5B" w14:textId="03ADAC74" w:rsidR="0011672D" w:rsidRPr="000B094B" w:rsidRDefault="00AB440C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 w:rsidRPr="000B094B">
        <w:rPr>
          <w:rFonts w:ascii="Book Antiqua" w:eastAsia="宋体" w:hAnsi="Book Antiqua"/>
          <w:bCs/>
        </w:rPr>
        <w:br w:type="page"/>
      </w:r>
      <w:r w:rsidR="0011672D" w:rsidRPr="000B094B">
        <w:rPr>
          <w:rFonts w:ascii="Book Antiqua" w:eastAsia="宋体" w:hAnsi="Book Antiqua"/>
          <w:b/>
        </w:rPr>
        <w:lastRenderedPageBreak/>
        <w:t>Table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6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Comparison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of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discharge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index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and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Gesell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scale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537436" w:rsidRPr="000B094B">
        <w:rPr>
          <w:rFonts w:ascii="Book Antiqua" w:eastAsia="宋体" w:hAnsi="Book Antiqua"/>
          <w:b/>
        </w:rPr>
        <w:t xml:space="preserve">scores </w:t>
      </w:r>
      <w:r w:rsidR="0011672D" w:rsidRPr="000B094B">
        <w:rPr>
          <w:rFonts w:ascii="Book Antiqua" w:eastAsia="宋体" w:hAnsi="Book Antiqua"/>
          <w:b/>
        </w:rPr>
        <w:t>between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treatment-effective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and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treatment-ineffective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children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before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and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after</w:t>
      </w:r>
      <w:r w:rsidR="00A26300" w:rsidRPr="000B094B">
        <w:rPr>
          <w:rFonts w:ascii="Book Antiqua" w:eastAsia="宋体" w:hAnsi="Book Antiqua"/>
          <w:b/>
        </w:rPr>
        <w:t xml:space="preserve"> </w:t>
      </w:r>
      <w:r w:rsidR="0011672D" w:rsidRPr="000B094B">
        <w:rPr>
          <w:rFonts w:ascii="Book Antiqua" w:eastAsia="宋体" w:hAnsi="Book Antiqua"/>
          <w:b/>
        </w:rPr>
        <w:t>treatment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1877"/>
        <w:gridCol w:w="2096"/>
        <w:gridCol w:w="935"/>
        <w:gridCol w:w="1237"/>
      </w:tblGrid>
      <w:tr w:rsidR="00362BB4" w:rsidRPr="000B094B" w14:paraId="262855B4" w14:textId="77777777" w:rsidTr="00452A5C">
        <w:trPr>
          <w:trHeight w:val="273"/>
          <w:jc w:val="center"/>
        </w:trPr>
        <w:tc>
          <w:tcPr>
            <w:tcW w:w="17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59005D" w14:textId="40FD8BA1" w:rsidR="0011672D" w:rsidRPr="000B094B" w:rsidRDefault="00DC7237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</w:rPr>
              <w:t>Index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6FB732" w14:textId="5E9B735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ineffective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20</w:t>
            </w:r>
            <w:r w:rsidR="00EC409A" w:rsidRPr="000B094B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11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D3B09D" w14:textId="773E5FF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effective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="00EC409A" w:rsidRPr="000B094B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 w:rsidRPr="000B094B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b/>
                <w:bCs/>
                <w:color w:val="000000"/>
              </w:rPr>
              <w:t>86</w:t>
            </w:r>
            <w:r w:rsidR="00EC409A" w:rsidRPr="000B094B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B3A6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6C19D8" w14:textId="7B1C34C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 w:rsidRPr="000B094B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362BB4" w:rsidRPr="000B094B" w14:paraId="1EFE2677" w14:textId="77777777" w:rsidTr="00452A5C">
        <w:trPr>
          <w:trHeight w:val="288"/>
          <w:jc w:val="center"/>
        </w:trPr>
        <w:tc>
          <w:tcPr>
            <w:tcW w:w="172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6C92E2" w14:textId="2907E87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Discharge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index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BE6A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C8CE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74E6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73A8D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3D648FC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1664CC" w14:textId="2CE7EE7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5971D" w14:textId="266F706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65.05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7.74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23056F" w14:textId="60C517E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73.28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9.17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43B42" w14:textId="257A027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-3.714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214D6" w14:textId="075CA53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4416B7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BAAD1C" w14:textId="3099239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FE28A" w14:textId="661BA76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40.15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5.36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29A08" w14:textId="00DACDD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34.47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10.02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BECD7" w14:textId="4CB142D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2.449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89B5F8" w14:textId="13DF788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0.016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693398DD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9C8CD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iCs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51071" w14:textId="00CD228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11.828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49931" w14:textId="433CFC9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26.498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5B3F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69374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5582E5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7C3A50" w14:textId="70B275C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5FBB5" w14:textId="7A6DC67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63748" w14:textId="1410383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0.000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23878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3B6C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0EF15D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F57F1E" w14:textId="0089F124" w:rsidR="0011672D" w:rsidRPr="000B094B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Gross motor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11672D"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A636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39D5C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8CEE1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55C4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7959592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AEAE96" w14:textId="0F049B3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C92E0" w14:textId="77710F8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85.70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6.62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B61CF" w14:textId="17816B5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85.28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7.29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41226" w14:textId="77E018B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0.236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90E61" w14:textId="0CE0847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0.814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4218A99A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3BE3D07" w14:textId="7E273C6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82C27" w14:textId="5F6A299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85.90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5.47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2C2B0" w14:textId="5735A3D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86.20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6.47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3B0B5" w14:textId="525ABBD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-0.192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ED045" w14:textId="7998548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0.848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3D9358C2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72F5E2C" w14:textId="3950C18D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3CA708" w14:textId="603A8E3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-0.104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0D112" w14:textId="2F5F2469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-0.875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C1806C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883C1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8FA334C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8C0D58E" w14:textId="7B84768A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D8292" w14:textId="437FB110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0.918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72102" w14:textId="05E1E0E3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0.383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A413D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859035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70EF5F3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8EAF9E" w14:textId="33E4BE96" w:rsidR="0011672D" w:rsidRPr="000B094B" w:rsidRDefault="0011672D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Fine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="00F55A06" w:rsidRPr="000B094B">
              <w:rPr>
                <w:rFonts w:ascii="Book Antiqua" w:eastAsia="宋体" w:hAnsi="Book Antiqua"/>
              </w:rPr>
              <w:t xml:space="preserve">motor </w:t>
            </w:r>
            <w:r w:rsidRPr="000B094B">
              <w:rPr>
                <w:rFonts w:ascii="Book Antiqua" w:eastAsia="宋体" w:hAnsi="Book Antiqua"/>
              </w:rPr>
              <w:t>(</w:t>
            </w:r>
            <w:r w:rsidR="00F55A06" w:rsidRPr="000B094B">
              <w:rPr>
                <w:rFonts w:ascii="Book Antiqua" w:eastAsia="宋体" w:hAnsi="Book Antiqua"/>
              </w:rPr>
              <w:t>points</w:t>
            </w:r>
            <w:r w:rsidRPr="000B094B">
              <w:rPr>
                <w:rFonts w:ascii="Book Antiqua" w:eastAsia="宋体" w:hAnsi="Book Antiqua"/>
              </w:rPr>
              <w:t>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42568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BB48F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AD17A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231528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4384F3FD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24D052" w14:textId="7E978E58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89FB2" w14:textId="44208D0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88.60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35B90" w14:textId="4D86575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86.62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8.00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C6C5E" w14:textId="1C32341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1.040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62FCF" w14:textId="79EEFC9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0.301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5C512305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90F7F1" w14:textId="5A04D99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4B9E1" w14:textId="51711B4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91.20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2.69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DBEB11" w14:textId="5B86AF9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89.24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5.29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D5CE9C" w14:textId="4761B6BF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1.605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3EB92" w14:textId="1818D5E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0.111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571DA5B7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B94EA2" w14:textId="62DCDC23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A7231" w14:textId="55C0E9D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-1.771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BBDBB" w14:textId="1EEBAE33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-2.533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A998F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21C8B6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4670989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6B2EC8" w14:textId="0F502A8C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E6534" w14:textId="019E3F19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0.085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D5EB9" w14:textId="7CAD366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0.012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7A916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8E94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BF91209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9A7DA5" w14:textId="3AAC9B9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Adaptability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303E7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96A0A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5F98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22EC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333425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35AE45" w14:textId="6B81201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B8673" w14:textId="2F89ACD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87.60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7.02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1CD83" w14:textId="08D5372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86.08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7.20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05C513" w14:textId="7A91391A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0.854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6435F" w14:textId="6B2B320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0.395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03EFDD4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84F199" w14:textId="495084F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56D4D" w14:textId="01A3E28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88.50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5.04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AED9F8" w14:textId="7D12B61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88.26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5.38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CE560" w14:textId="561B6E5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0.182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8451A" w14:textId="5BCE4AC9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0.856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766C8A1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079BD2" w14:textId="3C2125CB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18A46" w14:textId="75FF8FE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-0.466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2881B" w14:textId="6BB6468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-2.249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C4421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0E9B67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52BC80DE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FAA617" w14:textId="1EFDE319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2A56E" w14:textId="044F009E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0.644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516E70" w14:textId="10B539AF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0.026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693BB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E4CFF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6B24FA0B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A8A143" w14:textId="69704A4B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Language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</w:t>
            </w:r>
            <w:r w:rsidR="00F55A06" w:rsidRPr="000B094B">
              <w:rPr>
                <w:rFonts w:ascii="Book Antiqua" w:eastAsia="宋体" w:hAnsi="Book Antiqua"/>
              </w:rPr>
              <w:t>points</w:t>
            </w:r>
            <w:r w:rsidRPr="000B094B">
              <w:rPr>
                <w:rFonts w:ascii="Book Antiqua" w:eastAsia="宋体" w:hAnsi="Book Antiqua"/>
              </w:rPr>
              <w:t>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F4E4B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B93F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893B2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6DE25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635EFEC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997894" w14:textId="0B3D67C2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36D8E" w14:textId="7B792B0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88.15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7.13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EA560" w14:textId="30FE7D55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86.33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7.92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AFD9C" w14:textId="5C750BA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0.942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02A2E" w14:textId="4F99F3B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0.348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2BDBA27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5FF5FF" w14:textId="5A6D755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D2734" w14:textId="7C90E24E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89.35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6.02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5E17D" w14:textId="1D8DD03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88.55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84BF4" w14:textId="0CD3C6C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0.537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6BDCA" w14:textId="5B1D411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0.592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27BA97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3F44590" w14:textId="6CAFB57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lastRenderedPageBreak/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1D5DBB" w14:textId="6893E2CB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-0.575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1C686" w14:textId="51C4647C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-2.073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9B242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874ED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344C2D3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64BFD7" w14:textId="700DAC71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05E2C" w14:textId="496299D0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0.569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960E6" w14:textId="14BB41A2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0.040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74A1E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36527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1E73AAD3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6F3241" w14:textId="1DF7B2A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Personal-social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ability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7DCF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4415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BE2D3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D99D49" w14:textId="77777777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44D51869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6D280F" w14:textId="6CA88B91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Before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6A543" w14:textId="16D96826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85.40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8.61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EBEB3" w14:textId="03075A03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85.99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8.22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6BE2E" w14:textId="551E775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-0.287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ACCF2" w14:textId="05EA28E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0.775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6C0BE14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164C56" w14:textId="010CB24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</w:rPr>
              <w:t>After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7B5110" w14:textId="5B47609C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86.95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6.78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1BA24" w14:textId="27FCD5C4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87.91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 w:rsidRPr="000B094B">
              <w:rPr>
                <w:rFonts w:ascii="Book Antiqua" w:eastAsia="宋体" w:hAnsi="Book Antiqua"/>
                <w:color w:val="000000"/>
              </w:rPr>
              <w:t>±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0B094B">
              <w:rPr>
                <w:rFonts w:ascii="Book Antiqua" w:eastAsia="宋体" w:hAnsi="Book Antiqua"/>
                <w:color w:val="000000"/>
              </w:rPr>
              <w:t>6.27</w:t>
            </w:r>
          </w:p>
        </w:tc>
        <w:tc>
          <w:tcPr>
            <w:tcW w:w="49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AEBD23" w14:textId="3332DCA0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-0.607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ABB30" w14:textId="4E4B65ED" w:rsidR="0011672D" w:rsidRPr="000B094B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0.545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0B094B" w14:paraId="7A28759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CD32A9" w14:textId="3EDF9650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D5224" w14:textId="262EAC0D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-0.633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4F344" w14:textId="651B119B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-1.722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5366C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581FB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0B094B" w14:paraId="420460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3401E9" w14:textId="5EED60BC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0B094B">
              <w:rPr>
                <w:rFonts w:ascii="Book Antiqua" w:eastAsia="宋体" w:hAnsi="Book Antiqua"/>
                <w:i/>
                <w:iCs/>
              </w:rPr>
              <w:t>P</w:t>
            </w:r>
            <w:r w:rsidR="00A26300" w:rsidRPr="000B094B">
              <w:rPr>
                <w:rFonts w:ascii="Book Antiqua" w:eastAsia="宋体" w:hAnsi="Book Antiqua"/>
              </w:rPr>
              <w:t xml:space="preserve"> </w:t>
            </w:r>
            <w:r w:rsidRPr="000B094B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A42C0" w14:textId="794890EF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0.531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FAA60" w14:textId="760AA772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0B094B">
              <w:rPr>
                <w:rFonts w:ascii="Book Antiqua" w:eastAsia="宋体" w:hAnsi="Book Antiqua"/>
                <w:color w:val="000000"/>
              </w:rPr>
              <w:t>0.087</w:t>
            </w:r>
            <w:r w:rsidR="00A26300" w:rsidRPr="000B094B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7EA90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E46F1" w14:textId="77777777" w:rsidR="0070755D" w:rsidRPr="000B094B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</w:tbl>
    <w:p w14:paraId="6F04D03D" w14:textId="27F69041" w:rsidR="000173C1" w:rsidRPr="000B094B" w:rsidRDefault="000173C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908DB2A" w14:textId="77777777" w:rsidR="000173C1" w:rsidRPr="000B094B" w:rsidRDefault="000173C1">
      <w:pPr>
        <w:rPr>
          <w:rFonts w:ascii="Book Antiqua" w:hAnsi="Book Antiqua"/>
          <w:color w:val="000000" w:themeColor="text1"/>
          <w:lang w:eastAsia="zh-CN"/>
        </w:rPr>
      </w:pPr>
      <w:r w:rsidRPr="000B094B">
        <w:rPr>
          <w:rFonts w:ascii="Book Antiqua" w:hAnsi="Book Antiqua"/>
          <w:color w:val="000000" w:themeColor="text1"/>
          <w:lang w:eastAsia="zh-CN"/>
        </w:rPr>
        <w:br w:type="page"/>
      </w:r>
    </w:p>
    <w:p w14:paraId="384B5C09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3E1696DE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03A69513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28B1A5E3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4235C0D8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2333EDF8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  <w:r w:rsidRPr="000B094B">
        <w:rPr>
          <w:rFonts w:ascii="Book Antiqua" w:hAnsi="Book Antiqua"/>
          <w:noProof/>
          <w:lang w:eastAsia="zh-CN"/>
        </w:rPr>
        <w:drawing>
          <wp:inline distT="0" distB="0" distL="0" distR="0" wp14:anchorId="56764D4B" wp14:editId="1380164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1238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33F0C0FE" w14:textId="77777777" w:rsidR="000173C1" w:rsidRPr="000B094B" w:rsidRDefault="000173C1" w:rsidP="000173C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B094B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0B094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628912A" w14:textId="77777777" w:rsidR="000173C1" w:rsidRPr="000B094B" w:rsidRDefault="000173C1" w:rsidP="000173C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B094B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D55B746" w14:textId="77777777" w:rsidR="000173C1" w:rsidRPr="000B094B" w:rsidRDefault="000173C1" w:rsidP="000173C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B094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B094B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64C90D" w14:textId="77777777" w:rsidR="000173C1" w:rsidRPr="000B094B" w:rsidRDefault="000173C1" w:rsidP="000173C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B094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B094B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81E2A5" w14:textId="77777777" w:rsidR="000173C1" w:rsidRPr="000B094B" w:rsidRDefault="000173C1" w:rsidP="000173C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B094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B094B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EE0B593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  <w:r w:rsidRPr="000B094B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DA295F4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515F8B67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5973DF7C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4D51758F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  <w:r w:rsidRPr="000B094B">
        <w:rPr>
          <w:rFonts w:ascii="Book Antiqua" w:hAnsi="Book Antiqua"/>
          <w:noProof/>
          <w:lang w:eastAsia="zh-CN"/>
        </w:rPr>
        <w:drawing>
          <wp:inline distT="0" distB="0" distL="0" distR="0" wp14:anchorId="33E482EE" wp14:editId="607FC11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BCCD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2EB2D3C0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1D7226F9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3F4DD71A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2841E693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03375EFC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7E43AB41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050DE849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0194F2BE" w14:textId="77777777" w:rsidR="000173C1" w:rsidRPr="000B094B" w:rsidRDefault="000173C1" w:rsidP="000173C1">
      <w:pPr>
        <w:jc w:val="center"/>
        <w:rPr>
          <w:rFonts w:ascii="Book Antiqua" w:hAnsi="Book Antiqua"/>
          <w:lang w:eastAsia="zh-CN"/>
        </w:rPr>
      </w:pPr>
    </w:p>
    <w:p w14:paraId="4A311BAB" w14:textId="77777777" w:rsidR="000173C1" w:rsidRPr="000B094B" w:rsidRDefault="000173C1" w:rsidP="000173C1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8FF5540" w14:textId="77777777" w:rsidR="000173C1" w:rsidRPr="00763D22" w:rsidRDefault="000173C1" w:rsidP="000173C1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0B094B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0B094B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0B094B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0B094B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414C521A" w14:textId="77777777" w:rsidR="00921EA9" w:rsidRPr="000173C1" w:rsidRDefault="00921EA9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921EA9" w:rsidRPr="0001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23A1" w14:textId="77777777" w:rsidR="0096523C" w:rsidRDefault="0096523C" w:rsidP="001D2471">
      <w:r>
        <w:separator/>
      </w:r>
    </w:p>
  </w:endnote>
  <w:endnote w:type="continuationSeparator" w:id="0">
    <w:p w14:paraId="7D4A7A28" w14:textId="77777777" w:rsidR="0096523C" w:rsidRDefault="0096523C" w:rsidP="001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30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83C18" w14:textId="07C81FEB" w:rsidR="00D54B87" w:rsidRDefault="00D54B8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B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BC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6EB64" w14:textId="77777777" w:rsidR="00D54B87" w:rsidRDefault="00D54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7C27" w14:textId="77777777" w:rsidR="0096523C" w:rsidRDefault="0096523C" w:rsidP="001D2471">
      <w:r>
        <w:separator/>
      </w:r>
    </w:p>
  </w:footnote>
  <w:footnote w:type="continuationSeparator" w:id="0">
    <w:p w14:paraId="79FC6067" w14:textId="77777777" w:rsidR="0096523C" w:rsidRDefault="0096523C" w:rsidP="001D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7A3"/>
    <w:multiLevelType w:val="hybridMultilevel"/>
    <w:tmpl w:val="B19C2C32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6B92"/>
    <w:rsid w:val="000173C1"/>
    <w:rsid w:val="0004387C"/>
    <w:rsid w:val="0004648D"/>
    <w:rsid w:val="00061CAB"/>
    <w:rsid w:val="00095B12"/>
    <w:rsid w:val="000B094B"/>
    <w:rsid w:val="000D38CC"/>
    <w:rsid w:val="000E6D29"/>
    <w:rsid w:val="00106486"/>
    <w:rsid w:val="0011672D"/>
    <w:rsid w:val="00137DB9"/>
    <w:rsid w:val="0014176F"/>
    <w:rsid w:val="001478CA"/>
    <w:rsid w:val="001534A5"/>
    <w:rsid w:val="00172D9F"/>
    <w:rsid w:val="001B3448"/>
    <w:rsid w:val="001D2471"/>
    <w:rsid w:val="00203601"/>
    <w:rsid w:val="00222F16"/>
    <w:rsid w:val="00242ECF"/>
    <w:rsid w:val="00250826"/>
    <w:rsid w:val="00257EB4"/>
    <w:rsid w:val="00275145"/>
    <w:rsid w:val="002D5CED"/>
    <w:rsid w:val="002E4EBC"/>
    <w:rsid w:val="0030192D"/>
    <w:rsid w:val="00307475"/>
    <w:rsid w:val="0032109A"/>
    <w:rsid w:val="00362BB4"/>
    <w:rsid w:val="0037186A"/>
    <w:rsid w:val="003942BD"/>
    <w:rsid w:val="004042A4"/>
    <w:rsid w:val="00452A5C"/>
    <w:rsid w:val="00491709"/>
    <w:rsid w:val="004934AA"/>
    <w:rsid w:val="004D7904"/>
    <w:rsid w:val="00502097"/>
    <w:rsid w:val="005133C2"/>
    <w:rsid w:val="00520012"/>
    <w:rsid w:val="00537436"/>
    <w:rsid w:val="005453E2"/>
    <w:rsid w:val="00552157"/>
    <w:rsid w:val="0056793C"/>
    <w:rsid w:val="005C0E79"/>
    <w:rsid w:val="005F05BE"/>
    <w:rsid w:val="006032BA"/>
    <w:rsid w:val="0061142E"/>
    <w:rsid w:val="006401AA"/>
    <w:rsid w:val="006F6B70"/>
    <w:rsid w:val="00704F02"/>
    <w:rsid w:val="0070755D"/>
    <w:rsid w:val="00712638"/>
    <w:rsid w:val="00725BF6"/>
    <w:rsid w:val="00743D18"/>
    <w:rsid w:val="00743F1F"/>
    <w:rsid w:val="00755737"/>
    <w:rsid w:val="0079704B"/>
    <w:rsid w:val="007C66EB"/>
    <w:rsid w:val="007E3924"/>
    <w:rsid w:val="007F7086"/>
    <w:rsid w:val="00804450"/>
    <w:rsid w:val="008445D0"/>
    <w:rsid w:val="00845BD5"/>
    <w:rsid w:val="00851E71"/>
    <w:rsid w:val="00867412"/>
    <w:rsid w:val="00896C7E"/>
    <w:rsid w:val="008A0045"/>
    <w:rsid w:val="008D306C"/>
    <w:rsid w:val="008E688E"/>
    <w:rsid w:val="009020A5"/>
    <w:rsid w:val="00921EA9"/>
    <w:rsid w:val="00930A5F"/>
    <w:rsid w:val="00931F6D"/>
    <w:rsid w:val="009602E9"/>
    <w:rsid w:val="0096523C"/>
    <w:rsid w:val="00975C5B"/>
    <w:rsid w:val="009A4F33"/>
    <w:rsid w:val="009C684C"/>
    <w:rsid w:val="009D0823"/>
    <w:rsid w:val="009D7AAC"/>
    <w:rsid w:val="009F2AF0"/>
    <w:rsid w:val="00A0760F"/>
    <w:rsid w:val="00A26300"/>
    <w:rsid w:val="00A77B3E"/>
    <w:rsid w:val="00AA4414"/>
    <w:rsid w:val="00AB2F65"/>
    <w:rsid w:val="00AB440C"/>
    <w:rsid w:val="00B21C00"/>
    <w:rsid w:val="00B5649E"/>
    <w:rsid w:val="00B73006"/>
    <w:rsid w:val="00BA2E43"/>
    <w:rsid w:val="00BA449F"/>
    <w:rsid w:val="00C4624E"/>
    <w:rsid w:val="00CA2A55"/>
    <w:rsid w:val="00CB05B0"/>
    <w:rsid w:val="00CD3DDF"/>
    <w:rsid w:val="00D13B34"/>
    <w:rsid w:val="00D54B87"/>
    <w:rsid w:val="00D668FF"/>
    <w:rsid w:val="00D70F60"/>
    <w:rsid w:val="00D83EC3"/>
    <w:rsid w:val="00DA2FB2"/>
    <w:rsid w:val="00DC2DA6"/>
    <w:rsid w:val="00DC6512"/>
    <w:rsid w:val="00DC7237"/>
    <w:rsid w:val="00E00568"/>
    <w:rsid w:val="00E148AE"/>
    <w:rsid w:val="00E30079"/>
    <w:rsid w:val="00E33745"/>
    <w:rsid w:val="00E95BBC"/>
    <w:rsid w:val="00EA24FC"/>
    <w:rsid w:val="00EA446F"/>
    <w:rsid w:val="00EC409A"/>
    <w:rsid w:val="00F3673D"/>
    <w:rsid w:val="00F409B1"/>
    <w:rsid w:val="00F52272"/>
    <w:rsid w:val="00F55A06"/>
    <w:rsid w:val="00F723D2"/>
    <w:rsid w:val="00FB37DF"/>
    <w:rsid w:val="00FD4EA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B3021"/>
  <w15:docId w15:val="{25F3218C-DBB3-43CD-8C82-32AC3E1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4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471"/>
    <w:rPr>
      <w:sz w:val="18"/>
      <w:szCs w:val="18"/>
    </w:rPr>
  </w:style>
  <w:style w:type="table" w:styleId="a7">
    <w:name w:val="Table Grid"/>
    <w:basedOn w:val="a1"/>
    <w:uiPriority w:val="59"/>
    <w:qFormat/>
    <w:rsid w:val="0011672D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54B87"/>
    <w:rPr>
      <w:sz w:val="18"/>
      <w:szCs w:val="18"/>
    </w:rPr>
  </w:style>
  <w:style w:type="character" w:customStyle="1" w:styleId="a9">
    <w:name w:val="批注框文本 字符"/>
    <w:basedOn w:val="a0"/>
    <w:link w:val="a8"/>
    <w:rsid w:val="00D54B87"/>
    <w:rPr>
      <w:sz w:val="18"/>
      <w:szCs w:val="18"/>
    </w:rPr>
  </w:style>
  <w:style w:type="paragraph" w:styleId="aa">
    <w:name w:val="Revision"/>
    <w:hidden/>
    <w:uiPriority w:val="99"/>
    <w:semiHidden/>
    <w:rsid w:val="00CD3D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Wang, Linyutong</cp:lastModifiedBy>
  <cp:revision>38</cp:revision>
  <dcterms:created xsi:type="dcterms:W3CDTF">2021-09-18T10:22:00Z</dcterms:created>
  <dcterms:modified xsi:type="dcterms:W3CDTF">2021-11-30T14:14:00Z</dcterms:modified>
</cp:coreProperties>
</file>