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23E2DE" w14:textId="77777777" w:rsidR="00A77B3E" w:rsidRDefault="005513F1" w:rsidP="00CA3946">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Cases</w:t>
      </w:r>
    </w:p>
    <w:p w14:paraId="33C317AC" w14:textId="77777777" w:rsidR="00A77B3E" w:rsidRDefault="005513F1" w:rsidP="00CA3946">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67383</w:t>
      </w:r>
    </w:p>
    <w:p w14:paraId="5E6FDDBA" w14:textId="77777777" w:rsidR="00A77B3E" w:rsidRDefault="005513F1" w:rsidP="00CA3946">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ORIGINAL ARTICLE</w:t>
      </w:r>
    </w:p>
    <w:p w14:paraId="049A03E9" w14:textId="77777777" w:rsidR="00A77B3E" w:rsidRDefault="00A77B3E" w:rsidP="00CA3946">
      <w:pPr>
        <w:spacing w:line="360" w:lineRule="auto"/>
        <w:jc w:val="both"/>
      </w:pPr>
    </w:p>
    <w:p w14:paraId="2394C53B" w14:textId="77777777" w:rsidR="00A77B3E" w:rsidRDefault="005513F1" w:rsidP="00CA3946">
      <w:pPr>
        <w:spacing w:line="360" w:lineRule="auto"/>
        <w:jc w:val="both"/>
      </w:pPr>
      <w:bookmarkStart w:id="0" w:name="OLE_LINK208"/>
      <w:bookmarkStart w:id="1" w:name="OLE_LINK209"/>
      <w:r>
        <w:rPr>
          <w:rFonts w:ascii="Book Antiqua" w:eastAsia="Book Antiqua" w:hAnsi="Book Antiqua" w:cs="Book Antiqua"/>
          <w:b/>
          <w:i/>
          <w:color w:val="000000"/>
        </w:rPr>
        <w:t>Observational Study</w:t>
      </w:r>
    </w:p>
    <w:bookmarkEnd w:id="0"/>
    <w:bookmarkEnd w:id="1"/>
    <w:p w14:paraId="1D5F3C22" w14:textId="77777777" w:rsidR="00A77B3E" w:rsidRDefault="005513F1" w:rsidP="00CA3946">
      <w:pPr>
        <w:spacing w:line="360" w:lineRule="auto"/>
        <w:jc w:val="both"/>
      </w:pPr>
      <w:r>
        <w:rPr>
          <w:rFonts w:ascii="Book Antiqua" w:eastAsia="Book Antiqua" w:hAnsi="Book Antiqua" w:cs="Book Antiqua"/>
          <w:b/>
          <w:bCs/>
          <w:color w:val="000000"/>
        </w:rPr>
        <w:t>Real-world data on the infliximab biosimilar CT-P13 (</w:t>
      </w:r>
      <w:proofErr w:type="spellStart"/>
      <w:r>
        <w:rPr>
          <w:rFonts w:ascii="Book Antiqua" w:eastAsia="Book Antiqua" w:hAnsi="Book Antiqua" w:cs="Book Antiqua"/>
          <w:b/>
          <w:bCs/>
          <w:color w:val="000000"/>
        </w:rPr>
        <w:t>Remsima</w:t>
      </w:r>
      <w:proofErr w:type="spellEnd"/>
      <w:r>
        <w:rPr>
          <w:rFonts w:ascii="Book Antiqua" w:eastAsia="Book Antiqua" w:hAnsi="Book Antiqua" w:cs="Book Antiqua"/>
          <w:b/>
          <w:bCs/>
          <w:color w:val="000000"/>
          <w:szCs w:val="30"/>
          <w:vertAlign w:val="superscript"/>
        </w:rPr>
        <w:t>®</w:t>
      </w:r>
      <w:r>
        <w:rPr>
          <w:rFonts w:ascii="Book Antiqua" w:eastAsia="Book Antiqua" w:hAnsi="Book Antiqua" w:cs="Book Antiqua"/>
          <w:b/>
          <w:bCs/>
          <w:color w:val="000000"/>
        </w:rPr>
        <w:t>) in inflammatory bowel disease</w:t>
      </w:r>
    </w:p>
    <w:p w14:paraId="699293B4" w14:textId="77777777" w:rsidR="00A77B3E" w:rsidRDefault="00A77B3E" w:rsidP="00CA3946">
      <w:pPr>
        <w:spacing w:line="360" w:lineRule="auto"/>
        <w:jc w:val="both"/>
      </w:pPr>
    </w:p>
    <w:p w14:paraId="373958CD" w14:textId="77777777" w:rsidR="00A77B3E" w:rsidRDefault="00A83EC2" w:rsidP="00CA3946">
      <w:pPr>
        <w:spacing w:line="360" w:lineRule="auto"/>
        <w:jc w:val="both"/>
      </w:pPr>
      <w:proofErr w:type="spellStart"/>
      <w:r>
        <w:rPr>
          <w:rFonts w:ascii="Book Antiqua" w:eastAsia="Book Antiqua" w:hAnsi="Book Antiqua" w:cs="Book Antiqua"/>
          <w:color w:val="000000"/>
        </w:rPr>
        <w:t>Huguet</w:t>
      </w:r>
      <w:proofErr w:type="spellEnd"/>
      <w:r>
        <w:rPr>
          <w:rFonts w:ascii="Book Antiqua" w:eastAsia="Book Antiqua" w:hAnsi="Book Antiqua" w:cs="Book Antiqua"/>
          <w:color w:val="000000"/>
        </w:rPr>
        <w:t xml:space="preserve"> </w:t>
      </w:r>
      <w:r>
        <w:rPr>
          <w:rFonts w:ascii="Book Antiqua" w:hAnsi="Book Antiqua" w:cs="Book Antiqua" w:hint="eastAsia"/>
          <w:color w:val="000000"/>
          <w:lang w:eastAsia="zh-CN"/>
        </w:rPr>
        <w:t xml:space="preserve">JM </w:t>
      </w:r>
      <w:r w:rsidRPr="00A83EC2">
        <w:rPr>
          <w:rFonts w:ascii="Book Antiqua" w:hAnsi="Book Antiqua" w:cs="Book Antiqua" w:hint="eastAsia"/>
          <w:i/>
          <w:color w:val="000000"/>
          <w:lang w:eastAsia="zh-CN"/>
        </w:rPr>
        <w:t>et al</w:t>
      </w:r>
      <w:r>
        <w:rPr>
          <w:rFonts w:ascii="Book Antiqua" w:hAnsi="Book Antiqua" w:cs="Book Antiqua" w:hint="eastAsia"/>
          <w:color w:val="000000"/>
          <w:lang w:eastAsia="zh-CN"/>
        </w:rPr>
        <w:t xml:space="preserve">. </w:t>
      </w:r>
      <w:r w:rsidR="005513F1">
        <w:rPr>
          <w:rFonts w:ascii="Book Antiqua" w:eastAsia="Book Antiqua" w:hAnsi="Book Antiqua" w:cs="Book Antiqua"/>
          <w:color w:val="000000"/>
        </w:rPr>
        <w:t>CT-P13 infliximab biosimilar for IBD treatment</w:t>
      </w:r>
    </w:p>
    <w:p w14:paraId="2E108658" w14:textId="77777777" w:rsidR="00A77B3E" w:rsidRDefault="00A77B3E" w:rsidP="00CA3946">
      <w:pPr>
        <w:spacing w:line="360" w:lineRule="auto"/>
        <w:jc w:val="both"/>
      </w:pPr>
    </w:p>
    <w:p w14:paraId="4AFE9797" w14:textId="332AC79B" w:rsidR="00A77B3E" w:rsidRPr="00841D16" w:rsidRDefault="005513F1" w:rsidP="00CA3946">
      <w:pPr>
        <w:spacing w:line="360" w:lineRule="auto"/>
        <w:jc w:val="both"/>
        <w:rPr>
          <w:lang w:val="es-ES"/>
        </w:rPr>
      </w:pPr>
      <w:r w:rsidRPr="00841D16">
        <w:rPr>
          <w:rFonts w:ascii="Book Antiqua" w:eastAsia="Book Antiqua" w:hAnsi="Book Antiqua" w:cs="Book Antiqua"/>
          <w:color w:val="000000"/>
          <w:lang w:val="es-ES"/>
        </w:rPr>
        <w:t xml:space="preserve">Jose María Huguet, Xavier Cortés, Marta Maia </w:t>
      </w:r>
      <w:bookmarkStart w:id="2" w:name="OLE_LINK202"/>
      <w:bookmarkStart w:id="3" w:name="OLE_LINK203"/>
      <w:r w:rsidR="00841D16" w:rsidRPr="00841D16">
        <w:rPr>
          <w:rFonts w:ascii="Book Antiqua" w:eastAsia="Book Antiqua" w:hAnsi="Book Antiqua" w:cs="Book Antiqua"/>
          <w:color w:val="000000"/>
          <w:lang w:val="es-ES"/>
        </w:rPr>
        <w:t>Bosca-Watts</w:t>
      </w:r>
      <w:bookmarkEnd w:id="2"/>
      <w:bookmarkEnd w:id="3"/>
      <w:r w:rsidRPr="00841D16">
        <w:rPr>
          <w:rFonts w:ascii="Book Antiqua" w:eastAsia="Book Antiqua" w:hAnsi="Book Antiqua" w:cs="Book Antiqua"/>
          <w:color w:val="000000"/>
          <w:lang w:val="es-ES"/>
        </w:rPr>
        <w:t>, Marian Aguas, Nuria Maroto, Lidia Martí, Cirilo Amorós, Jose María Paredes</w:t>
      </w:r>
    </w:p>
    <w:p w14:paraId="240A497C" w14:textId="77777777" w:rsidR="00A77B3E" w:rsidRPr="00841D16" w:rsidRDefault="00A77B3E" w:rsidP="00CA3946">
      <w:pPr>
        <w:spacing w:line="360" w:lineRule="auto"/>
        <w:jc w:val="both"/>
        <w:rPr>
          <w:lang w:val="es-ES"/>
        </w:rPr>
      </w:pPr>
    </w:p>
    <w:p w14:paraId="39B1D46B" w14:textId="77777777" w:rsidR="00A77B3E" w:rsidRDefault="005513F1" w:rsidP="00CA3946">
      <w:pPr>
        <w:spacing w:line="360" w:lineRule="auto"/>
        <w:jc w:val="both"/>
      </w:pPr>
      <w:r>
        <w:rPr>
          <w:rFonts w:ascii="Book Antiqua" w:eastAsia="Book Antiqua" w:hAnsi="Book Antiqua" w:cs="Book Antiqua"/>
          <w:b/>
          <w:bCs/>
          <w:color w:val="000000"/>
        </w:rPr>
        <w:t xml:space="preserve">Jose </w:t>
      </w:r>
      <w:proofErr w:type="spellStart"/>
      <w:r>
        <w:rPr>
          <w:rFonts w:ascii="Book Antiqua" w:eastAsia="Book Antiqua" w:hAnsi="Book Antiqua" w:cs="Book Antiqua"/>
          <w:b/>
          <w:bCs/>
          <w:color w:val="000000"/>
        </w:rPr>
        <w:t>María</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Huguet</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Department of Gastroenterology, General University Hospital of Valencia, Valencia 46014, Spain</w:t>
      </w:r>
    </w:p>
    <w:p w14:paraId="762ED373" w14:textId="77777777" w:rsidR="00A77B3E" w:rsidRDefault="00A77B3E" w:rsidP="00CA3946">
      <w:pPr>
        <w:spacing w:line="360" w:lineRule="auto"/>
        <w:jc w:val="both"/>
      </w:pPr>
    </w:p>
    <w:p w14:paraId="7D72E706" w14:textId="77777777" w:rsidR="00A77B3E" w:rsidRDefault="005513F1" w:rsidP="00CA3946">
      <w:pPr>
        <w:spacing w:line="360" w:lineRule="auto"/>
        <w:jc w:val="both"/>
      </w:pPr>
      <w:r>
        <w:rPr>
          <w:rFonts w:ascii="Book Antiqua" w:eastAsia="Book Antiqua" w:hAnsi="Book Antiqua" w:cs="Book Antiqua"/>
          <w:b/>
          <w:bCs/>
          <w:color w:val="000000"/>
        </w:rPr>
        <w:t xml:space="preserve">Xavier Cortés, </w:t>
      </w:r>
      <w:r>
        <w:rPr>
          <w:rFonts w:ascii="Book Antiqua" w:eastAsia="Book Antiqua" w:hAnsi="Book Antiqua" w:cs="Book Antiqua"/>
          <w:color w:val="000000"/>
        </w:rPr>
        <w:t xml:space="preserve">Department of Gastroenterology, Hospital de Sagunto, Sagunto 46520, </w:t>
      </w:r>
      <w:bookmarkStart w:id="4" w:name="OLE_LINK206"/>
      <w:bookmarkStart w:id="5" w:name="OLE_LINK207"/>
      <w:r>
        <w:rPr>
          <w:rFonts w:ascii="Book Antiqua" w:eastAsia="Book Antiqua" w:hAnsi="Book Antiqua" w:cs="Book Antiqua"/>
          <w:color w:val="000000"/>
        </w:rPr>
        <w:t>Spain</w:t>
      </w:r>
      <w:bookmarkEnd w:id="4"/>
      <w:bookmarkEnd w:id="5"/>
    </w:p>
    <w:p w14:paraId="3C15C1F3" w14:textId="77777777" w:rsidR="00A77B3E" w:rsidRDefault="00A77B3E" w:rsidP="00CA3946">
      <w:pPr>
        <w:spacing w:line="360" w:lineRule="auto"/>
        <w:jc w:val="both"/>
      </w:pPr>
    </w:p>
    <w:p w14:paraId="29BE48FE" w14:textId="0B384A52" w:rsidR="00A77B3E" w:rsidRDefault="005513F1" w:rsidP="00CA3946">
      <w:pPr>
        <w:spacing w:line="360" w:lineRule="auto"/>
        <w:jc w:val="both"/>
      </w:pPr>
      <w:r>
        <w:rPr>
          <w:rFonts w:ascii="Book Antiqua" w:eastAsia="Book Antiqua" w:hAnsi="Book Antiqua" w:cs="Book Antiqua"/>
          <w:b/>
          <w:bCs/>
          <w:color w:val="000000"/>
        </w:rPr>
        <w:t xml:space="preserve">Marta Maia </w:t>
      </w:r>
      <w:proofErr w:type="spellStart"/>
      <w:r w:rsidR="00841D16" w:rsidRPr="00841D16">
        <w:rPr>
          <w:rFonts w:ascii="Book Antiqua" w:eastAsia="Book Antiqua" w:hAnsi="Book Antiqua" w:cs="Book Antiqua"/>
          <w:b/>
          <w:bCs/>
          <w:color w:val="000000"/>
        </w:rPr>
        <w:t>Bosca</w:t>
      </w:r>
      <w:proofErr w:type="spellEnd"/>
      <w:r w:rsidR="00841D16" w:rsidRPr="00841D16">
        <w:rPr>
          <w:rFonts w:ascii="Book Antiqua" w:eastAsia="Book Antiqua" w:hAnsi="Book Antiqua" w:cs="Book Antiqua"/>
          <w:b/>
          <w:bCs/>
          <w:color w:val="000000"/>
        </w:rPr>
        <w:t>-Watts</w:t>
      </w:r>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Department of Gastroenterology, Hospital </w:t>
      </w:r>
      <w:proofErr w:type="spellStart"/>
      <w:r>
        <w:rPr>
          <w:rFonts w:ascii="Book Antiqua" w:eastAsia="Book Antiqua" w:hAnsi="Book Antiqua" w:cs="Book Antiqua"/>
          <w:color w:val="000000"/>
        </w:rPr>
        <w:t>Clinico</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Universitario</w:t>
      </w:r>
      <w:proofErr w:type="spellEnd"/>
      <w:r>
        <w:rPr>
          <w:rFonts w:ascii="Book Antiqua" w:eastAsia="Book Antiqua" w:hAnsi="Book Antiqua" w:cs="Book Antiqua"/>
          <w:color w:val="000000"/>
        </w:rPr>
        <w:t xml:space="preserve"> de Valencia, Valencia 46010, Spain</w:t>
      </w:r>
    </w:p>
    <w:p w14:paraId="0402F738" w14:textId="77777777" w:rsidR="00A77B3E" w:rsidRDefault="00A77B3E" w:rsidP="00CA3946">
      <w:pPr>
        <w:spacing w:line="360" w:lineRule="auto"/>
        <w:jc w:val="both"/>
      </w:pPr>
    </w:p>
    <w:p w14:paraId="00D2C2A4" w14:textId="77777777" w:rsidR="00A77B3E" w:rsidRPr="00841D16" w:rsidRDefault="005513F1" w:rsidP="00CA3946">
      <w:pPr>
        <w:spacing w:line="360" w:lineRule="auto"/>
        <w:jc w:val="both"/>
        <w:rPr>
          <w:lang w:val="es-ES"/>
        </w:rPr>
      </w:pPr>
      <w:r w:rsidRPr="00841D16">
        <w:rPr>
          <w:rFonts w:ascii="Book Antiqua" w:eastAsia="Book Antiqua" w:hAnsi="Book Antiqua" w:cs="Book Antiqua"/>
          <w:b/>
          <w:bCs/>
          <w:color w:val="000000"/>
          <w:lang w:val="es-ES"/>
        </w:rPr>
        <w:t xml:space="preserve">Marian Aguas, </w:t>
      </w:r>
      <w:r w:rsidRPr="00841D16">
        <w:rPr>
          <w:rFonts w:ascii="Book Antiqua" w:eastAsia="Book Antiqua" w:hAnsi="Book Antiqua" w:cs="Book Antiqua"/>
          <w:color w:val="000000"/>
          <w:lang w:val="es-ES"/>
        </w:rPr>
        <w:t>Department of Gastroenterology, Hospital Universitario y Politecnico la Fe de Valencia, Valencia 46026, Spain</w:t>
      </w:r>
    </w:p>
    <w:p w14:paraId="3081AFE6" w14:textId="77777777" w:rsidR="00A77B3E" w:rsidRPr="00841D16" w:rsidRDefault="00A77B3E" w:rsidP="00CA3946">
      <w:pPr>
        <w:spacing w:line="360" w:lineRule="auto"/>
        <w:jc w:val="both"/>
        <w:rPr>
          <w:lang w:val="es-ES"/>
        </w:rPr>
      </w:pPr>
    </w:p>
    <w:p w14:paraId="7A45C55F" w14:textId="77777777" w:rsidR="00A77B3E" w:rsidRDefault="005513F1" w:rsidP="00CA3946">
      <w:pPr>
        <w:spacing w:line="360" w:lineRule="auto"/>
        <w:jc w:val="both"/>
      </w:pPr>
      <w:proofErr w:type="spellStart"/>
      <w:r>
        <w:rPr>
          <w:rFonts w:ascii="Book Antiqua" w:eastAsia="Book Antiqua" w:hAnsi="Book Antiqua" w:cs="Book Antiqua"/>
          <w:b/>
          <w:bCs/>
          <w:color w:val="000000"/>
        </w:rPr>
        <w:t>Nuria</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Maroto</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Department of Gastroenterology, Hospital de </w:t>
      </w:r>
      <w:proofErr w:type="spellStart"/>
      <w:r>
        <w:rPr>
          <w:rFonts w:ascii="Book Antiqua" w:eastAsia="Book Antiqua" w:hAnsi="Book Antiqua" w:cs="Book Antiqua"/>
          <w:color w:val="000000"/>
        </w:rPr>
        <w:t>Manises</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Manises</w:t>
      </w:r>
      <w:proofErr w:type="spellEnd"/>
      <w:r>
        <w:rPr>
          <w:rFonts w:ascii="Book Antiqua" w:eastAsia="Book Antiqua" w:hAnsi="Book Antiqua" w:cs="Book Antiqua"/>
          <w:color w:val="000000"/>
        </w:rPr>
        <w:t xml:space="preserve"> 46940, Spain</w:t>
      </w:r>
    </w:p>
    <w:p w14:paraId="61B1C967" w14:textId="77777777" w:rsidR="00A77B3E" w:rsidRDefault="00A77B3E" w:rsidP="00CA3946">
      <w:pPr>
        <w:spacing w:line="360" w:lineRule="auto"/>
        <w:jc w:val="both"/>
      </w:pPr>
    </w:p>
    <w:p w14:paraId="7C886E9F" w14:textId="0987EA6F" w:rsidR="00A77B3E" w:rsidRPr="00CE7110" w:rsidRDefault="005513F1" w:rsidP="00CA3946">
      <w:pPr>
        <w:spacing w:line="360" w:lineRule="auto"/>
        <w:jc w:val="both"/>
        <w:rPr>
          <w:lang w:val="pt-BR"/>
        </w:rPr>
      </w:pPr>
      <w:r w:rsidRPr="00CE7110">
        <w:rPr>
          <w:rFonts w:ascii="Book Antiqua" w:eastAsia="Book Antiqua" w:hAnsi="Book Antiqua" w:cs="Book Antiqua"/>
          <w:b/>
          <w:bCs/>
          <w:color w:val="000000"/>
          <w:lang w:val="pt-BR"/>
        </w:rPr>
        <w:t xml:space="preserve">Lidia Martí, </w:t>
      </w:r>
      <w:r w:rsidRPr="00CE7110">
        <w:rPr>
          <w:rFonts w:ascii="Book Antiqua" w:eastAsia="Book Antiqua" w:hAnsi="Book Antiqua" w:cs="Book Antiqua"/>
          <w:color w:val="000000"/>
          <w:lang w:val="pt-BR"/>
        </w:rPr>
        <w:t>Department of Gastroenterology, Hospital Comarcal Francesc de Borja, Gandia 46702, Spain</w:t>
      </w:r>
    </w:p>
    <w:p w14:paraId="1908D3C8" w14:textId="77777777" w:rsidR="00A77B3E" w:rsidRPr="00CE7110" w:rsidRDefault="00A77B3E" w:rsidP="00CA3946">
      <w:pPr>
        <w:spacing w:line="360" w:lineRule="auto"/>
        <w:jc w:val="both"/>
        <w:rPr>
          <w:lang w:val="pt-BR"/>
        </w:rPr>
      </w:pPr>
    </w:p>
    <w:p w14:paraId="02B1699D" w14:textId="77777777" w:rsidR="00A77B3E" w:rsidRPr="00CE7110" w:rsidRDefault="005513F1" w:rsidP="00CA3946">
      <w:pPr>
        <w:spacing w:line="360" w:lineRule="auto"/>
        <w:jc w:val="both"/>
        <w:rPr>
          <w:lang w:val="pt-BR"/>
        </w:rPr>
      </w:pPr>
      <w:r w:rsidRPr="00CE7110">
        <w:rPr>
          <w:rFonts w:ascii="Book Antiqua" w:eastAsia="Book Antiqua" w:hAnsi="Book Antiqua" w:cs="Book Antiqua"/>
          <w:b/>
          <w:bCs/>
          <w:color w:val="000000"/>
          <w:lang w:val="pt-BR"/>
        </w:rPr>
        <w:t xml:space="preserve">Cirilo Amorós, </w:t>
      </w:r>
      <w:r w:rsidRPr="00CE7110">
        <w:rPr>
          <w:rFonts w:ascii="Book Antiqua" w:eastAsia="Book Antiqua" w:hAnsi="Book Antiqua" w:cs="Book Antiqua"/>
          <w:color w:val="000000"/>
          <w:lang w:val="pt-BR"/>
        </w:rPr>
        <w:t>Department of Gastroenterology, Hospital Arnau de Vilanova de Valencia, Valencia 46015, Spain</w:t>
      </w:r>
    </w:p>
    <w:p w14:paraId="6B2D6A39" w14:textId="77777777" w:rsidR="00A77B3E" w:rsidRPr="00CE7110" w:rsidRDefault="00A77B3E" w:rsidP="00CA3946">
      <w:pPr>
        <w:spacing w:line="360" w:lineRule="auto"/>
        <w:jc w:val="both"/>
        <w:rPr>
          <w:lang w:val="pt-BR"/>
        </w:rPr>
      </w:pPr>
    </w:p>
    <w:p w14:paraId="485103C5" w14:textId="77777777" w:rsidR="00A77B3E" w:rsidRDefault="005513F1" w:rsidP="00CA3946">
      <w:pPr>
        <w:spacing w:line="360" w:lineRule="auto"/>
        <w:jc w:val="both"/>
      </w:pPr>
      <w:r>
        <w:rPr>
          <w:rFonts w:ascii="Book Antiqua" w:eastAsia="Book Antiqua" w:hAnsi="Book Antiqua" w:cs="Book Antiqua"/>
          <w:b/>
          <w:bCs/>
          <w:color w:val="000000"/>
        </w:rPr>
        <w:t xml:space="preserve">Jose María Paredes, </w:t>
      </w:r>
      <w:r>
        <w:rPr>
          <w:rFonts w:ascii="Book Antiqua" w:eastAsia="Book Antiqua" w:hAnsi="Book Antiqua" w:cs="Book Antiqua"/>
          <w:color w:val="000000"/>
        </w:rPr>
        <w:t xml:space="preserve">Department of Gastroenterology, Hospital </w:t>
      </w:r>
      <w:proofErr w:type="spellStart"/>
      <w:r>
        <w:rPr>
          <w:rFonts w:ascii="Book Antiqua" w:eastAsia="Book Antiqua" w:hAnsi="Book Antiqua" w:cs="Book Antiqua"/>
          <w:color w:val="000000"/>
        </w:rPr>
        <w:t>Universitario</w:t>
      </w:r>
      <w:proofErr w:type="spellEnd"/>
      <w:r>
        <w:rPr>
          <w:rFonts w:ascii="Book Antiqua" w:eastAsia="Book Antiqua" w:hAnsi="Book Antiqua" w:cs="Book Antiqua"/>
          <w:color w:val="000000"/>
        </w:rPr>
        <w:t xml:space="preserve"> Doctor </w:t>
      </w:r>
      <w:proofErr w:type="spellStart"/>
      <w:r>
        <w:rPr>
          <w:rFonts w:ascii="Book Antiqua" w:eastAsia="Book Antiqua" w:hAnsi="Book Antiqua" w:cs="Book Antiqua"/>
          <w:color w:val="000000"/>
        </w:rPr>
        <w:t>Peset</w:t>
      </w:r>
      <w:proofErr w:type="spellEnd"/>
      <w:r>
        <w:rPr>
          <w:rFonts w:ascii="Book Antiqua" w:eastAsia="Book Antiqua" w:hAnsi="Book Antiqua" w:cs="Book Antiqua"/>
          <w:color w:val="000000"/>
        </w:rPr>
        <w:t xml:space="preserve"> de Valencia, Valencia 46017, Spain</w:t>
      </w:r>
    </w:p>
    <w:p w14:paraId="670A7F18" w14:textId="77777777" w:rsidR="00A77B3E" w:rsidRDefault="00A77B3E" w:rsidP="00CA3946">
      <w:pPr>
        <w:spacing w:line="360" w:lineRule="auto"/>
        <w:jc w:val="both"/>
      </w:pPr>
    </w:p>
    <w:p w14:paraId="18BAB674" w14:textId="7CE0438B" w:rsidR="00A77B3E" w:rsidRDefault="005513F1" w:rsidP="00CA3946">
      <w:pPr>
        <w:spacing w:line="360" w:lineRule="auto"/>
        <w:jc w:val="both"/>
      </w:pPr>
      <w:r>
        <w:rPr>
          <w:rFonts w:ascii="Book Antiqua" w:eastAsia="Book Antiqua" w:hAnsi="Book Antiqua" w:cs="Book Antiqua"/>
          <w:b/>
          <w:bCs/>
          <w:color w:val="000000"/>
        </w:rPr>
        <w:t xml:space="preserve">Author contributions: </w:t>
      </w:r>
      <w:proofErr w:type="spellStart"/>
      <w:r>
        <w:rPr>
          <w:rFonts w:ascii="Book Antiqua" w:eastAsia="Book Antiqua" w:hAnsi="Book Antiqua" w:cs="Book Antiqua"/>
          <w:color w:val="000000"/>
        </w:rPr>
        <w:t>Huguet</w:t>
      </w:r>
      <w:proofErr w:type="spellEnd"/>
      <w:r>
        <w:rPr>
          <w:rFonts w:ascii="Book Antiqua" w:eastAsia="Book Antiqua" w:hAnsi="Book Antiqua" w:cs="Book Antiqua"/>
          <w:color w:val="000000"/>
        </w:rPr>
        <w:t xml:space="preserve"> JM contributed to conceptualization, data curation, formal analysis, methodology, visualization, and writing of the original draft; </w:t>
      </w:r>
      <w:r w:rsidR="003E4A41">
        <w:rPr>
          <w:rFonts w:ascii="Book Antiqua" w:eastAsia="Book Antiqua" w:hAnsi="Book Antiqua" w:cs="Book Antiqua"/>
          <w:color w:val="000000"/>
        </w:rPr>
        <w:t>a</w:t>
      </w:r>
      <w:r>
        <w:rPr>
          <w:rFonts w:ascii="Book Antiqua" w:eastAsia="Book Antiqua" w:hAnsi="Book Antiqua" w:cs="Book Antiqua"/>
          <w:color w:val="000000"/>
        </w:rPr>
        <w:t>ll authors shared the responsibility for acquiring funding, as well as writing, review</w:t>
      </w:r>
      <w:r w:rsidR="003E4A41">
        <w:rPr>
          <w:rFonts w:ascii="Book Antiqua" w:eastAsia="Book Antiqua" w:hAnsi="Book Antiqua" w:cs="Book Antiqua"/>
          <w:color w:val="000000"/>
        </w:rPr>
        <w:t>ing</w:t>
      </w:r>
      <w:r>
        <w:rPr>
          <w:rFonts w:ascii="Book Antiqua" w:eastAsia="Book Antiqua" w:hAnsi="Book Antiqua" w:cs="Book Antiqua"/>
          <w:color w:val="000000"/>
        </w:rPr>
        <w:t>, editing, and approval of the final manuscript.</w:t>
      </w:r>
    </w:p>
    <w:p w14:paraId="4DF647D9" w14:textId="77777777" w:rsidR="00A77B3E" w:rsidRDefault="00A77B3E" w:rsidP="00CA3946">
      <w:pPr>
        <w:spacing w:line="360" w:lineRule="auto"/>
        <w:jc w:val="both"/>
      </w:pPr>
    </w:p>
    <w:p w14:paraId="7C2F2326" w14:textId="77777777" w:rsidR="00A77B3E" w:rsidRDefault="005513F1" w:rsidP="00CA3946">
      <w:pPr>
        <w:spacing w:line="360" w:lineRule="auto"/>
        <w:jc w:val="both"/>
      </w:pPr>
      <w:r>
        <w:rPr>
          <w:rFonts w:ascii="Book Antiqua" w:eastAsia="Book Antiqua" w:hAnsi="Book Antiqua" w:cs="Book Antiqua"/>
          <w:b/>
          <w:bCs/>
          <w:color w:val="000000"/>
        </w:rPr>
        <w:t xml:space="preserve">Corresponding author: Jose </w:t>
      </w:r>
      <w:proofErr w:type="spellStart"/>
      <w:r>
        <w:rPr>
          <w:rFonts w:ascii="Book Antiqua" w:eastAsia="Book Antiqua" w:hAnsi="Book Antiqua" w:cs="Book Antiqua"/>
          <w:b/>
          <w:bCs/>
          <w:color w:val="000000"/>
        </w:rPr>
        <w:t>María</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Huguet</w:t>
      </w:r>
      <w:proofErr w:type="spellEnd"/>
      <w:r>
        <w:rPr>
          <w:rFonts w:ascii="Book Antiqua" w:eastAsia="Book Antiqua" w:hAnsi="Book Antiqua" w:cs="Book Antiqua"/>
          <w:b/>
          <w:bCs/>
          <w:color w:val="000000"/>
        </w:rPr>
        <w:t xml:space="preserve">, MD, Reader (Associate Professor), </w:t>
      </w:r>
      <w:r>
        <w:rPr>
          <w:rFonts w:ascii="Book Antiqua" w:eastAsia="Book Antiqua" w:hAnsi="Book Antiqua" w:cs="Book Antiqua"/>
          <w:color w:val="000000"/>
        </w:rPr>
        <w:t>Department of Gastroenterology, General University Hospital of Valencia, Av Tres cruces, Valencia 46014, Spain. josemahuguet@gmail.com</w:t>
      </w:r>
    </w:p>
    <w:p w14:paraId="37646869" w14:textId="77777777" w:rsidR="00A77B3E" w:rsidRDefault="00A77B3E" w:rsidP="00CA3946">
      <w:pPr>
        <w:spacing w:line="360" w:lineRule="auto"/>
        <w:jc w:val="both"/>
      </w:pPr>
    </w:p>
    <w:p w14:paraId="22064483" w14:textId="77777777" w:rsidR="00A77B3E" w:rsidRDefault="005513F1" w:rsidP="00CA3946">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April 22, 2021</w:t>
      </w:r>
    </w:p>
    <w:p w14:paraId="657F0A30" w14:textId="77777777" w:rsidR="00A77B3E" w:rsidRDefault="005513F1" w:rsidP="00CA3946">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June 4, 2021</w:t>
      </w:r>
    </w:p>
    <w:p w14:paraId="55B6C0E8" w14:textId="60F140B7" w:rsidR="00A77B3E" w:rsidRDefault="005513F1" w:rsidP="00CA3946">
      <w:pPr>
        <w:spacing w:line="360" w:lineRule="auto"/>
        <w:jc w:val="both"/>
      </w:pPr>
      <w:r>
        <w:rPr>
          <w:rFonts w:ascii="Book Antiqua" w:eastAsia="Book Antiqua" w:hAnsi="Book Antiqua" w:cs="Book Antiqua"/>
          <w:b/>
          <w:bCs/>
          <w:color w:val="000000"/>
        </w:rPr>
        <w:t xml:space="preserve">Accepted: </w:t>
      </w:r>
      <w:r w:rsidR="00FE73EC" w:rsidRPr="00666304">
        <w:rPr>
          <w:rFonts w:ascii="Book Antiqua" w:eastAsia="Book Antiqua" w:hAnsi="Book Antiqua" w:cs="Book Antiqua"/>
          <w:bCs/>
          <w:color w:val="000000"/>
        </w:rPr>
        <w:t>July 2, 2021</w:t>
      </w:r>
    </w:p>
    <w:p w14:paraId="5F136C94" w14:textId="2AFE913C" w:rsidR="00A77B3E" w:rsidRDefault="005513F1" w:rsidP="00CA3946">
      <w:pPr>
        <w:spacing w:line="360" w:lineRule="auto"/>
        <w:jc w:val="both"/>
      </w:pPr>
      <w:r>
        <w:rPr>
          <w:rFonts w:ascii="Book Antiqua" w:eastAsia="Book Antiqua" w:hAnsi="Book Antiqua" w:cs="Book Antiqua"/>
          <w:b/>
          <w:bCs/>
          <w:color w:val="000000"/>
        </w:rPr>
        <w:t xml:space="preserve">Published online: </w:t>
      </w:r>
      <w:r w:rsidR="00CE7110">
        <w:rPr>
          <w:rFonts w:ascii="Book Antiqua" w:hAnsi="Book Antiqua"/>
          <w:color w:val="000000"/>
          <w:shd w:val="clear" w:color="auto" w:fill="FFFFFF"/>
        </w:rPr>
        <w:t>December 26, 2021</w:t>
      </w:r>
    </w:p>
    <w:p w14:paraId="073963FA" w14:textId="77777777" w:rsidR="00A77B3E" w:rsidRDefault="00A77B3E" w:rsidP="00CA3946">
      <w:pPr>
        <w:spacing w:line="360" w:lineRule="auto"/>
        <w:jc w:val="both"/>
        <w:sectPr w:rsidR="00A77B3E">
          <w:footerReference w:type="default" r:id="rId8"/>
          <w:pgSz w:w="12240" w:h="15840"/>
          <w:pgMar w:top="1440" w:right="1440" w:bottom="1440" w:left="1440" w:header="720" w:footer="720" w:gutter="0"/>
          <w:cols w:space="720"/>
          <w:docGrid w:linePitch="360"/>
        </w:sectPr>
      </w:pPr>
    </w:p>
    <w:p w14:paraId="3FBD2B1D" w14:textId="77777777" w:rsidR="00A77B3E" w:rsidRDefault="005513F1" w:rsidP="00CA3946">
      <w:pPr>
        <w:spacing w:line="360" w:lineRule="auto"/>
        <w:jc w:val="both"/>
      </w:pPr>
      <w:r>
        <w:rPr>
          <w:rFonts w:ascii="Book Antiqua" w:eastAsia="Book Antiqua" w:hAnsi="Book Antiqua" w:cs="Book Antiqua"/>
          <w:b/>
          <w:color w:val="000000"/>
        </w:rPr>
        <w:lastRenderedPageBreak/>
        <w:t>Abstract</w:t>
      </w:r>
    </w:p>
    <w:p w14:paraId="572BC157" w14:textId="77777777" w:rsidR="00A77B3E" w:rsidRDefault="005513F1" w:rsidP="00CA3946">
      <w:pPr>
        <w:spacing w:line="360" w:lineRule="auto"/>
        <w:jc w:val="both"/>
      </w:pPr>
      <w:r>
        <w:rPr>
          <w:rFonts w:ascii="Book Antiqua" w:eastAsia="Book Antiqua" w:hAnsi="Book Antiqua" w:cs="Book Antiqua"/>
          <w:color w:val="000000"/>
        </w:rPr>
        <w:t>BACKGROUND</w:t>
      </w:r>
    </w:p>
    <w:p w14:paraId="44A4FD39" w14:textId="654BFF47" w:rsidR="00A77B3E" w:rsidRDefault="005513F1" w:rsidP="00CA3946">
      <w:pPr>
        <w:spacing w:line="360" w:lineRule="auto"/>
        <w:jc w:val="both"/>
      </w:pPr>
      <w:r>
        <w:rPr>
          <w:rFonts w:ascii="Book Antiqua" w:eastAsia="Book Antiqua" w:hAnsi="Book Antiqua" w:cs="Book Antiqua"/>
          <w:color w:val="000000"/>
        </w:rPr>
        <w:t>In recent years, biological therapies have revolutionized the management of inflammatory bowel disease (IBD)</w:t>
      </w:r>
      <w:r w:rsidR="008270A3">
        <w:rPr>
          <w:rFonts w:ascii="Book Antiqua" w:eastAsia="Book Antiqua" w:hAnsi="Book Antiqua" w:cs="Book Antiqua"/>
          <w:color w:val="000000"/>
        </w:rPr>
        <w:t>; however</w:t>
      </w:r>
      <w:r>
        <w:rPr>
          <w:rFonts w:ascii="Book Antiqua" w:eastAsia="Book Antiqua" w:hAnsi="Book Antiqua" w:cs="Book Antiqua"/>
          <w:color w:val="000000"/>
        </w:rPr>
        <w:t xml:space="preserve">, they are expensive. The development of biosimilar products has allowed us to reduce healthcare costs and improve patients’ access to these treatments. Although various studies support the similarity between infliximab and its biosimilar CT-P13 in terms of efficacy and safety, there are unmet needs regarding research </w:t>
      </w:r>
      <w:r w:rsidR="008270A3">
        <w:rPr>
          <w:rFonts w:ascii="Book Antiqua" w:eastAsia="Book Antiqua" w:hAnsi="Book Antiqua" w:cs="Book Antiqua"/>
          <w:color w:val="000000"/>
        </w:rPr>
        <w:t>on</w:t>
      </w:r>
      <w:r>
        <w:rPr>
          <w:rFonts w:ascii="Book Antiqua" w:eastAsia="Book Antiqua" w:hAnsi="Book Antiqua" w:cs="Book Antiqua"/>
          <w:color w:val="000000"/>
        </w:rPr>
        <w:t xml:space="preserve"> these agents in the context of IBD. </w:t>
      </w:r>
    </w:p>
    <w:p w14:paraId="08934CA7" w14:textId="77777777" w:rsidR="00A77B3E" w:rsidRDefault="00A77B3E" w:rsidP="00CA3946">
      <w:pPr>
        <w:spacing w:line="360" w:lineRule="auto"/>
        <w:jc w:val="both"/>
      </w:pPr>
    </w:p>
    <w:p w14:paraId="15F04716" w14:textId="77777777" w:rsidR="00A77B3E" w:rsidRDefault="005513F1" w:rsidP="00CA3946">
      <w:pPr>
        <w:spacing w:line="360" w:lineRule="auto"/>
        <w:jc w:val="both"/>
      </w:pPr>
      <w:r>
        <w:rPr>
          <w:rFonts w:ascii="Book Antiqua" w:eastAsia="Book Antiqua" w:hAnsi="Book Antiqua" w:cs="Book Antiqua"/>
          <w:color w:val="000000"/>
        </w:rPr>
        <w:t>AIM</w:t>
      </w:r>
    </w:p>
    <w:p w14:paraId="3DE3D51C" w14:textId="77777777" w:rsidR="00A77B3E" w:rsidRDefault="005513F1" w:rsidP="00CA3946">
      <w:pPr>
        <w:spacing w:line="360" w:lineRule="auto"/>
        <w:jc w:val="both"/>
      </w:pPr>
      <w:r>
        <w:rPr>
          <w:rFonts w:ascii="Book Antiqua" w:eastAsia="Book Antiqua" w:hAnsi="Book Antiqua" w:cs="Book Antiqua"/>
          <w:color w:val="000000"/>
        </w:rPr>
        <w:t xml:space="preserve">To analyze clinical response rates to CT-P13 and adverse events in IBD patients treated in real-life practice. </w:t>
      </w:r>
    </w:p>
    <w:p w14:paraId="68735CE6" w14:textId="77777777" w:rsidR="00A77B3E" w:rsidRDefault="00A77B3E" w:rsidP="00CA3946">
      <w:pPr>
        <w:spacing w:line="360" w:lineRule="auto"/>
        <w:jc w:val="both"/>
      </w:pPr>
    </w:p>
    <w:p w14:paraId="2CBFD991" w14:textId="77777777" w:rsidR="00A77B3E" w:rsidRDefault="005513F1" w:rsidP="00CA3946">
      <w:pPr>
        <w:spacing w:line="360" w:lineRule="auto"/>
        <w:jc w:val="both"/>
      </w:pPr>
      <w:r>
        <w:rPr>
          <w:rFonts w:ascii="Book Antiqua" w:eastAsia="Book Antiqua" w:hAnsi="Book Antiqua" w:cs="Book Antiqua"/>
          <w:color w:val="000000"/>
        </w:rPr>
        <w:t>METHODS</w:t>
      </w:r>
    </w:p>
    <w:p w14:paraId="570A6CBC" w14:textId="1AA9D818" w:rsidR="00A77B3E" w:rsidRDefault="008270A3" w:rsidP="00CA3946">
      <w:pPr>
        <w:spacing w:line="360" w:lineRule="auto"/>
        <w:jc w:val="both"/>
      </w:pPr>
      <w:r>
        <w:rPr>
          <w:rFonts w:ascii="Book Antiqua" w:eastAsia="Book Antiqua" w:hAnsi="Book Antiqua" w:cs="Book Antiqua"/>
          <w:color w:val="000000"/>
        </w:rPr>
        <w:t>An o</w:t>
      </w:r>
      <w:r w:rsidR="005513F1">
        <w:rPr>
          <w:rFonts w:ascii="Book Antiqua" w:eastAsia="Book Antiqua" w:hAnsi="Book Antiqua" w:cs="Book Antiqua"/>
          <w:color w:val="000000"/>
        </w:rPr>
        <w:t xml:space="preserve">bservational, prospective, multicenter study </w:t>
      </w:r>
      <w:r>
        <w:rPr>
          <w:rFonts w:ascii="Book Antiqua" w:eastAsia="Book Antiqua" w:hAnsi="Book Antiqua" w:cs="Book Antiqua"/>
          <w:color w:val="000000"/>
        </w:rPr>
        <w:t xml:space="preserve">of </w:t>
      </w:r>
      <w:r w:rsidR="005513F1">
        <w:rPr>
          <w:rFonts w:ascii="Book Antiqua" w:eastAsia="Book Antiqua" w:hAnsi="Book Antiqua" w:cs="Book Antiqua"/>
          <w:color w:val="000000"/>
        </w:rPr>
        <w:t>IBD patients treated with CT-P13 in clinical practice who were naïve to biological treatments or failed to respond to other anti-</w:t>
      </w:r>
      <w:r>
        <w:rPr>
          <w:rFonts w:ascii="Book Antiqua" w:eastAsia="Book Antiqua" w:hAnsi="Book Antiqua" w:cs="Book Antiqua"/>
          <w:color w:val="000000"/>
        </w:rPr>
        <w:t>tumor necrosis factor</w:t>
      </w:r>
      <w:r w:rsidR="005513F1">
        <w:rPr>
          <w:rFonts w:ascii="Book Antiqua" w:eastAsia="Book Antiqua" w:hAnsi="Book Antiqua" w:cs="Book Antiqua"/>
          <w:color w:val="000000"/>
        </w:rPr>
        <w:t xml:space="preserve"> drugs or had switched from infliximab originator</w:t>
      </w:r>
      <w:r>
        <w:rPr>
          <w:rFonts w:ascii="Book Antiqua" w:eastAsia="Book Antiqua" w:hAnsi="Book Antiqua" w:cs="Book Antiqua"/>
          <w:color w:val="000000"/>
        </w:rPr>
        <w:t xml:space="preserve"> was carried out</w:t>
      </w:r>
      <w:r w:rsidR="005513F1">
        <w:rPr>
          <w:rFonts w:ascii="Book Antiqua" w:eastAsia="Book Antiqua" w:hAnsi="Book Antiqua" w:cs="Book Antiqua"/>
          <w:color w:val="000000"/>
        </w:rPr>
        <w:t>. No diagnostic or follow-up interventions were conducted on patients outside usual clinical practice. The primary endpoint</w:t>
      </w:r>
      <w:r>
        <w:rPr>
          <w:rFonts w:ascii="Book Antiqua" w:eastAsia="Book Antiqua" w:hAnsi="Book Antiqua" w:cs="Book Antiqua"/>
          <w:color w:val="000000"/>
        </w:rPr>
        <w:t>s were</w:t>
      </w:r>
      <w:r w:rsidR="005513F1">
        <w:rPr>
          <w:rFonts w:ascii="Book Antiqua" w:eastAsia="Book Antiqua" w:hAnsi="Book Antiqua" w:cs="Book Antiqua"/>
          <w:color w:val="000000"/>
        </w:rPr>
        <w:t xml:space="preserve"> clinical response rates and number of adverse events. The primary efficacy variable was the proportion of patients who were in clinical remission and/or had a clinical response at 3, 6, 9, and 12 mo. </w:t>
      </w:r>
    </w:p>
    <w:p w14:paraId="45FA5910" w14:textId="77777777" w:rsidR="00A77B3E" w:rsidRDefault="00A77B3E" w:rsidP="00CA3946">
      <w:pPr>
        <w:spacing w:line="360" w:lineRule="auto"/>
        <w:jc w:val="both"/>
      </w:pPr>
    </w:p>
    <w:p w14:paraId="3037A2D0" w14:textId="77777777" w:rsidR="00A77B3E" w:rsidRDefault="005513F1" w:rsidP="00CA3946">
      <w:pPr>
        <w:spacing w:line="360" w:lineRule="auto"/>
        <w:jc w:val="both"/>
      </w:pPr>
      <w:r>
        <w:rPr>
          <w:rFonts w:ascii="Book Antiqua" w:eastAsia="Book Antiqua" w:hAnsi="Book Antiqua" w:cs="Book Antiqua"/>
          <w:color w:val="000000"/>
        </w:rPr>
        <w:t>RESULTS</w:t>
      </w:r>
    </w:p>
    <w:p w14:paraId="616DE3E5" w14:textId="00D3D3EF" w:rsidR="00A77B3E" w:rsidRDefault="005513F1" w:rsidP="00CA3946">
      <w:pPr>
        <w:spacing w:line="360" w:lineRule="auto"/>
        <w:jc w:val="both"/>
      </w:pPr>
      <w:r>
        <w:rPr>
          <w:rFonts w:ascii="Book Antiqua" w:eastAsia="Book Antiqua" w:hAnsi="Book Antiqua" w:cs="Book Antiqua"/>
          <w:color w:val="000000"/>
        </w:rPr>
        <w:t>A total of 220 IBD patients treated with CT-P13 (</w:t>
      </w:r>
      <w:proofErr w:type="spellStart"/>
      <w:r>
        <w:rPr>
          <w:rFonts w:ascii="Book Antiqua" w:eastAsia="Book Antiqua" w:hAnsi="Book Antiqua" w:cs="Book Antiqua"/>
          <w:color w:val="000000"/>
        </w:rPr>
        <w:t>Remsima</w:t>
      </w:r>
      <w:proofErr w:type="spellEnd"/>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were included in the study: 87 (40%) with ulcerative colitis and 133 (60%) with Crohn’s disease. Mean age </w:t>
      </w:r>
      <w:r w:rsidR="008270A3">
        <w:rPr>
          <w:rFonts w:ascii="Book Antiqua" w:eastAsia="Book Antiqua" w:hAnsi="Book Antiqua" w:cs="Book Antiqua"/>
          <w:color w:val="000000"/>
        </w:rPr>
        <w:t xml:space="preserve">of the patients </w:t>
      </w:r>
      <w:r>
        <w:rPr>
          <w:rFonts w:ascii="Book Antiqua" w:eastAsia="Book Antiqua" w:hAnsi="Book Antiqua" w:cs="Book Antiqua"/>
          <w:color w:val="000000"/>
        </w:rPr>
        <w:t>was 41.47 (SD 15.74)</w:t>
      </w:r>
      <w:r w:rsidR="008270A3">
        <w:rPr>
          <w:rFonts w:ascii="Book Antiqua" w:eastAsia="Book Antiqua" w:hAnsi="Book Antiqua" w:cs="Book Antiqua"/>
          <w:color w:val="000000"/>
        </w:rPr>
        <w:t xml:space="preserve"> years</w:t>
      </w:r>
      <w:r>
        <w:rPr>
          <w:rFonts w:ascii="Book Antiqua" w:eastAsia="Book Antiqua" w:hAnsi="Book Antiqua" w:cs="Book Antiqua"/>
          <w:color w:val="000000"/>
        </w:rPr>
        <w:t>, and 58% were female. Nineteen (9%) patients started treatment with CT-P13 after switching from infliximab. Of the remaining 201 patients, 142 (65%) were naïve to biologic agents. At baseline, 68.6% (</w:t>
      </w:r>
      <w:r>
        <w:rPr>
          <w:rFonts w:ascii="Book Antiqua" w:eastAsia="Book Antiqua" w:hAnsi="Book Antiqua" w:cs="Book Antiqua"/>
          <w:i/>
          <w:iCs/>
          <w:color w:val="000000"/>
        </w:rPr>
        <w:t>n</w:t>
      </w:r>
      <w:r>
        <w:rPr>
          <w:rFonts w:ascii="Book Antiqua" w:eastAsia="Book Antiqua" w:hAnsi="Book Antiqua" w:cs="Book Antiqua"/>
          <w:color w:val="000000"/>
        </w:rPr>
        <w:t xml:space="preserve"> = 138/201) of patients presented with active disease. After 12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of treatment, 14.8% (</w:t>
      </w:r>
      <w:r>
        <w:rPr>
          <w:rFonts w:ascii="Book Antiqua" w:eastAsia="Book Antiqua" w:hAnsi="Book Antiqua" w:cs="Book Antiqua"/>
          <w:i/>
          <w:iCs/>
          <w:color w:val="000000"/>
        </w:rPr>
        <w:t>n</w:t>
      </w:r>
      <w:r>
        <w:rPr>
          <w:rFonts w:ascii="Book Antiqua" w:eastAsia="Book Antiqua" w:hAnsi="Book Antiqua" w:cs="Book Antiqua"/>
          <w:color w:val="000000"/>
        </w:rPr>
        <w:t xml:space="preserve"> = 12/81) </w:t>
      </w:r>
      <w:r>
        <w:rPr>
          <w:rFonts w:ascii="Book Antiqua" w:eastAsia="Book Antiqua" w:hAnsi="Book Antiqua" w:cs="Book Antiqua"/>
          <w:color w:val="000000"/>
        </w:rPr>
        <w:lastRenderedPageBreak/>
        <w:t>presented with active disease, and 64.2% (</w:t>
      </w:r>
      <w:r>
        <w:rPr>
          <w:rFonts w:ascii="Book Antiqua" w:eastAsia="Book Antiqua" w:hAnsi="Book Antiqua" w:cs="Book Antiqua"/>
          <w:i/>
          <w:iCs/>
          <w:color w:val="000000"/>
        </w:rPr>
        <w:t>n</w:t>
      </w:r>
      <w:r>
        <w:rPr>
          <w:rFonts w:ascii="Book Antiqua" w:eastAsia="Book Antiqua" w:hAnsi="Book Antiqua" w:cs="Book Antiqua"/>
          <w:color w:val="000000"/>
        </w:rPr>
        <w:t xml:space="preserve"> = 52/81) were in clinical remission without corticosteroids. After 3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75.5% (</w:t>
      </w:r>
      <w:r>
        <w:rPr>
          <w:rFonts w:ascii="Book Antiqua" w:eastAsia="Book Antiqua" w:hAnsi="Book Antiqua" w:cs="Book Antiqua"/>
          <w:i/>
          <w:iCs/>
          <w:color w:val="000000"/>
        </w:rPr>
        <w:t>n</w:t>
      </w:r>
      <w:r>
        <w:rPr>
          <w:rFonts w:ascii="Book Antiqua" w:eastAsia="Book Antiqua" w:hAnsi="Book Antiqua" w:cs="Book Antiqua"/>
          <w:color w:val="000000"/>
        </w:rPr>
        <w:t xml:space="preserve"> = 115/152) had a clinical response or achieved clinical remission, which was sustained for 12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(85.2%; </w:t>
      </w:r>
      <w:r>
        <w:rPr>
          <w:rFonts w:ascii="Book Antiqua" w:eastAsia="Book Antiqua" w:hAnsi="Book Antiqua" w:cs="Book Antiqua"/>
          <w:i/>
          <w:iCs/>
          <w:color w:val="000000"/>
        </w:rPr>
        <w:t>n</w:t>
      </w:r>
      <w:r>
        <w:rPr>
          <w:rFonts w:ascii="Book Antiqua" w:eastAsia="Book Antiqua" w:hAnsi="Book Antiqua" w:cs="Book Antiqua"/>
          <w:color w:val="000000"/>
        </w:rPr>
        <w:t xml:space="preserve"> = 69/81). There was a decrease in specific IBD ind</w:t>
      </w:r>
      <w:r w:rsidR="008270A3">
        <w:rPr>
          <w:rFonts w:ascii="Book Antiqua" w:eastAsia="Book Antiqua" w:hAnsi="Book Antiqua" w:cs="Book Antiqua"/>
          <w:color w:val="000000"/>
        </w:rPr>
        <w:t>ic</w:t>
      </w:r>
      <w:r>
        <w:rPr>
          <w:rFonts w:ascii="Book Antiqua" w:eastAsia="Book Antiqua" w:hAnsi="Book Antiqua" w:cs="Book Antiqua"/>
          <w:color w:val="000000"/>
        </w:rPr>
        <w:t xml:space="preserve">es at 3, 6, 9, and 12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w:t>
      </w:r>
      <w:r>
        <w:rPr>
          <w:rFonts w:ascii="Book Antiqua" w:eastAsia="Book Antiqua" w:hAnsi="Book Antiqua" w:cs="Book Antiqua"/>
          <w:i/>
          <w:iCs/>
          <w:caps/>
          <w:color w:val="000000"/>
        </w:rPr>
        <w:t>p</w:t>
      </w:r>
      <w:r>
        <w:rPr>
          <w:rFonts w:ascii="Book Antiqua" w:eastAsia="Book Antiqua" w:hAnsi="Book Antiqua" w:cs="Book Antiqua"/>
          <w:i/>
          <w:iCs/>
          <w:color w:val="000000"/>
        </w:rPr>
        <w:t xml:space="preserve"> </w:t>
      </w:r>
      <w:r>
        <w:rPr>
          <w:rFonts w:ascii="Book Antiqua" w:eastAsia="Book Antiqua" w:hAnsi="Book Antiqua" w:cs="Book Antiqua"/>
          <w:color w:val="000000"/>
        </w:rPr>
        <w:t>&lt; 0.001). A total of 34 adverse events were reported by 27 (12.3%) patients, 9 (26.5%) of which were serious.</w:t>
      </w:r>
    </w:p>
    <w:p w14:paraId="4FCCBC54" w14:textId="77777777" w:rsidR="00A77B3E" w:rsidRDefault="00A77B3E" w:rsidP="00CA3946">
      <w:pPr>
        <w:spacing w:line="360" w:lineRule="auto"/>
        <w:jc w:val="both"/>
      </w:pPr>
    </w:p>
    <w:p w14:paraId="7C61D12E" w14:textId="77777777" w:rsidR="00A77B3E" w:rsidRDefault="005513F1" w:rsidP="00CA3946">
      <w:pPr>
        <w:spacing w:line="360" w:lineRule="auto"/>
        <w:jc w:val="both"/>
      </w:pPr>
      <w:r>
        <w:rPr>
          <w:rFonts w:ascii="Book Antiqua" w:eastAsia="Book Antiqua" w:hAnsi="Book Antiqua" w:cs="Book Antiqua"/>
          <w:color w:val="000000"/>
        </w:rPr>
        <w:t>CONCLUSION</w:t>
      </w:r>
    </w:p>
    <w:p w14:paraId="4FA2DCC7" w14:textId="77777777" w:rsidR="00A77B3E" w:rsidRDefault="005513F1" w:rsidP="00CA3946">
      <w:pPr>
        <w:spacing w:line="360" w:lineRule="auto"/>
        <w:jc w:val="both"/>
      </w:pPr>
      <w:r>
        <w:rPr>
          <w:rFonts w:ascii="Book Antiqua" w:eastAsia="Book Antiqua" w:hAnsi="Book Antiqua" w:cs="Book Antiqua"/>
          <w:color w:val="000000"/>
        </w:rPr>
        <w:t>CT-P13 is an effective and safe infliximab biosimilar for the treatment of IBD in real-life practice and may be a valid and attractive alternative for the treatment of IBD.</w:t>
      </w:r>
    </w:p>
    <w:p w14:paraId="35FC9CEE" w14:textId="77777777" w:rsidR="00A77B3E" w:rsidRDefault="00A77B3E" w:rsidP="00CA3946">
      <w:pPr>
        <w:spacing w:line="360" w:lineRule="auto"/>
        <w:jc w:val="both"/>
      </w:pPr>
    </w:p>
    <w:p w14:paraId="371D19BF" w14:textId="77777777" w:rsidR="00A77B3E" w:rsidRDefault="005513F1" w:rsidP="00CA3946">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Crohn’s disease; Ulcerative colitis; Inflammatory bowel disease; Infliximab; Biosimilar; CT-P13</w:t>
      </w:r>
    </w:p>
    <w:p w14:paraId="7902113A" w14:textId="77777777" w:rsidR="00E915ED" w:rsidRDefault="00E915ED" w:rsidP="00E915ED">
      <w:pPr>
        <w:spacing w:line="360" w:lineRule="auto"/>
        <w:jc w:val="both"/>
        <w:rPr>
          <w:lang w:eastAsia="zh-CN"/>
        </w:rPr>
      </w:pPr>
    </w:p>
    <w:p w14:paraId="5F5BDF2C" w14:textId="77777777" w:rsidR="00E915ED" w:rsidRPr="00026CB8" w:rsidRDefault="00E915ED" w:rsidP="00E915ED">
      <w:pPr>
        <w:spacing w:line="360" w:lineRule="auto"/>
        <w:jc w:val="both"/>
        <w:rPr>
          <w:rFonts w:ascii="Book Antiqua" w:eastAsia="Book Antiqua" w:hAnsi="Book Antiqua" w:cs="Book Antiqua"/>
          <w:color w:val="000000"/>
        </w:rPr>
      </w:pPr>
      <w:proofErr w:type="gramStart"/>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Author(s) 2021.</w:t>
      </w:r>
      <w:proofErr w:type="gramEnd"/>
      <w:r w:rsidRPr="00F9718F">
        <w:rPr>
          <w:rFonts w:ascii="Book Antiqua" w:eastAsia="Book Antiqua" w:hAnsi="Book Antiqua" w:cs="Book Antiqua"/>
          <w:b/>
          <w:color w:val="000000"/>
        </w:rPr>
        <w:t xml:space="preserve"> </w:t>
      </w:r>
      <w:proofErr w:type="gramStart"/>
      <w:r w:rsidRPr="00026CB8">
        <w:rPr>
          <w:rFonts w:ascii="Book Antiqua" w:eastAsia="Book Antiqua" w:hAnsi="Book Antiqua" w:cs="Book Antiqua"/>
          <w:color w:val="000000"/>
        </w:rPr>
        <w:t xml:space="preserve">Published by </w:t>
      </w:r>
      <w:proofErr w:type="spellStart"/>
      <w:r w:rsidRPr="00026CB8">
        <w:rPr>
          <w:rFonts w:ascii="Book Antiqua" w:eastAsia="Book Antiqua" w:hAnsi="Book Antiqua" w:cs="Book Antiqua"/>
          <w:color w:val="000000"/>
        </w:rPr>
        <w:t>Baishideng</w:t>
      </w:r>
      <w:proofErr w:type="spellEnd"/>
      <w:r w:rsidRPr="00026CB8">
        <w:rPr>
          <w:rFonts w:ascii="Book Antiqua" w:eastAsia="Book Antiqua" w:hAnsi="Book Antiqua" w:cs="Book Antiqua"/>
          <w:color w:val="000000"/>
        </w:rPr>
        <w:t xml:space="preserve"> Publishing Group Inc.</w:t>
      </w:r>
      <w:proofErr w:type="gramEnd"/>
      <w:r w:rsidRPr="00026CB8">
        <w:rPr>
          <w:rFonts w:ascii="Book Antiqua" w:eastAsia="Book Antiqua" w:hAnsi="Book Antiqua" w:cs="Book Antiqua"/>
          <w:color w:val="000000"/>
        </w:rPr>
        <w:t xml:space="preserve"> All rights reserved. </w:t>
      </w:r>
    </w:p>
    <w:p w14:paraId="72719292" w14:textId="77777777" w:rsidR="00A77B3E" w:rsidRDefault="00A77B3E" w:rsidP="00CA3946">
      <w:pPr>
        <w:spacing w:line="360" w:lineRule="auto"/>
        <w:jc w:val="both"/>
      </w:pPr>
    </w:p>
    <w:p w14:paraId="0CECFA12" w14:textId="18F4AEFE" w:rsidR="000A61A6" w:rsidRDefault="000A61A6" w:rsidP="00CA3946">
      <w:pPr>
        <w:spacing w:line="360" w:lineRule="auto"/>
        <w:jc w:val="both"/>
        <w:rPr>
          <w:rFonts w:ascii="Book Antiqua" w:hAnsi="Book Antiqua" w:cs="Book Antiqua" w:hint="eastAsia"/>
          <w:color w:val="000000"/>
          <w:lang w:eastAsia="zh-CN"/>
        </w:rPr>
      </w:pPr>
      <w:r w:rsidRPr="000A61A6">
        <w:rPr>
          <w:rFonts w:ascii="Book Antiqua" w:hAnsi="Book Antiqua" w:cs="Book Antiqua" w:hint="eastAsia"/>
          <w:b/>
          <w:color w:val="000000"/>
          <w:lang w:val="pt-BR" w:eastAsia="zh-CN"/>
        </w:rPr>
        <w:t>Citation:</w:t>
      </w:r>
      <w:r>
        <w:rPr>
          <w:rFonts w:ascii="Book Antiqua" w:hAnsi="Book Antiqua" w:cs="Book Antiqua" w:hint="eastAsia"/>
          <w:color w:val="000000"/>
          <w:lang w:val="pt-BR" w:eastAsia="zh-CN"/>
        </w:rPr>
        <w:t xml:space="preserve"> </w:t>
      </w:r>
      <w:r w:rsidR="005513F1" w:rsidRPr="00CE7110">
        <w:rPr>
          <w:rFonts w:ascii="Book Antiqua" w:eastAsia="Book Antiqua" w:hAnsi="Book Antiqua" w:cs="Book Antiqua"/>
          <w:color w:val="000000"/>
          <w:lang w:val="pt-BR"/>
        </w:rPr>
        <w:t xml:space="preserve">Huguet JM, Cortés X, </w:t>
      </w:r>
      <w:r w:rsidR="00841D16" w:rsidRPr="00CE7110">
        <w:rPr>
          <w:rFonts w:ascii="Book Antiqua" w:eastAsia="Book Antiqua" w:hAnsi="Book Antiqua" w:cs="Book Antiqua"/>
          <w:color w:val="000000"/>
          <w:lang w:val="pt-BR"/>
        </w:rPr>
        <w:t>Bosca-Watts</w:t>
      </w:r>
      <w:r w:rsidR="005513F1" w:rsidRPr="00CE7110">
        <w:rPr>
          <w:rFonts w:ascii="Book Antiqua" w:eastAsia="Book Antiqua" w:hAnsi="Book Antiqua" w:cs="Book Antiqua"/>
          <w:color w:val="000000"/>
          <w:lang w:val="pt-BR"/>
        </w:rPr>
        <w:t xml:space="preserve"> MM, Aguas M, Maroto N, Martí L, Amorós C, Paredes JM. </w:t>
      </w:r>
      <w:r w:rsidR="005513F1">
        <w:rPr>
          <w:rFonts w:ascii="Book Antiqua" w:eastAsia="Book Antiqua" w:hAnsi="Book Antiqua" w:cs="Book Antiqua"/>
          <w:color w:val="000000"/>
        </w:rPr>
        <w:t>Real-world data on the infliximab biosimilar CT-P13 (</w:t>
      </w:r>
      <w:proofErr w:type="spellStart"/>
      <w:r w:rsidR="005513F1">
        <w:rPr>
          <w:rFonts w:ascii="Book Antiqua" w:eastAsia="Book Antiqua" w:hAnsi="Book Antiqua" w:cs="Book Antiqua"/>
          <w:color w:val="000000"/>
        </w:rPr>
        <w:t>Remsima</w:t>
      </w:r>
      <w:proofErr w:type="spellEnd"/>
      <w:r w:rsidR="005513F1">
        <w:rPr>
          <w:rFonts w:ascii="Book Antiqua" w:eastAsia="Book Antiqua" w:hAnsi="Book Antiqua" w:cs="Book Antiqua"/>
          <w:color w:val="000000"/>
        </w:rPr>
        <w:t xml:space="preserve">®) in inflammatory bowel disease. </w:t>
      </w:r>
      <w:r w:rsidR="005513F1">
        <w:rPr>
          <w:rFonts w:ascii="Book Antiqua" w:eastAsia="Book Antiqua" w:hAnsi="Book Antiqua" w:cs="Book Antiqua"/>
          <w:i/>
          <w:iCs/>
          <w:color w:val="000000"/>
        </w:rPr>
        <w:t>World J Clin Cases</w:t>
      </w:r>
      <w:r w:rsidR="005513F1">
        <w:rPr>
          <w:rFonts w:ascii="Book Antiqua" w:eastAsia="Book Antiqua" w:hAnsi="Book Antiqua" w:cs="Book Antiqua"/>
          <w:color w:val="000000"/>
        </w:rPr>
        <w:t xml:space="preserve"> 2021;</w:t>
      </w:r>
      <w:bookmarkStart w:id="6" w:name="_Hlk89184171"/>
      <w:r w:rsidR="005513F1">
        <w:rPr>
          <w:rFonts w:ascii="Book Antiqua" w:eastAsia="Book Antiqua" w:hAnsi="Book Antiqua" w:cs="Book Antiqua"/>
          <w:color w:val="000000"/>
        </w:rPr>
        <w:t xml:space="preserve"> </w:t>
      </w:r>
      <w:r w:rsidR="00D963D7" w:rsidRPr="00D963D7">
        <w:rPr>
          <w:rFonts w:ascii="Book Antiqua" w:eastAsia="Book Antiqua" w:hAnsi="Book Antiqua" w:cs="Book Antiqua"/>
          <w:color w:val="000000"/>
        </w:rPr>
        <w:t>9(</w:t>
      </w:r>
      <w:r w:rsidR="00D963D7">
        <w:rPr>
          <w:rFonts w:ascii="Book Antiqua" w:eastAsia="Book Antiqua" w:hAnsi="Book Antiqua" w:cs="Book Antiqua"/>
          <w:color w:val="000000"/>
        </w:rPr>
        <w:t>36</w:t>
      </w:r>
      <w:r w:rsidR="00D963D7" w:rsidRPr="00D963D7">
        <w:rPr>
          <w:rFonts w:ascii="Book Antiqua" w:eastAsia="Book Antiqua" w:hAnsi="Book Antiqua" w:cs="Book Antiqua"/>
          <w:color w:val="000000"/>
        </w:rPr>
        <w:t xml:space="preserve">): </w:t>
      </w:r>
      <w:r w:rsidRPr="000A61A6">
        <w:rPr>
          <w:rFonts w:ascii="Book Antiqua" w:eastAsia="Book Antiqua" w:hAnsi="Book Antiqua" w:cs="Book Antiqua"/>
          <w:color w:val="000000"/>
        </w:rPr>
        <w:t>11285-11299</w:t>
      </w:r>
      <w:r w:rsidR="00D963D7" w:rsidRPr="00D963D7">
        <w:rPr>
          <w:rFonts w:ascii="Book Antiqua" w:eastAsia="Book Antiqua" w:hAnsi="Book Antiqua" w:cs="Book Antiqua"/>
          <w:color w:val="000000"/>
        </w:rPr>
        <w:t xml:space="preserve">  </w:t>
      </w:r>
    </w:p>
    <w:p w14:paraId="57EA9474" w14:textId="77777777" w:rsidR="000A61A6" w:rsidRDefault="00D963D7" w:rsidP="00CA3946">
      <w:pPr>
        <w:spacing w:line="360" w:lineRule="auto"/>
        <w:jc w:val="both"/>
        <w:rPr>
          <w:rFonts w:ascii="Book Antiqua" w:hAnsi="Book Antiqua" w:cs="Book Antiqua" w:hint="eastAsia"/>
          <w:color w:val="000000"/>
          <w:lang w:eastAsia="zh-CN"/>
        </w:rPr>
      </w:pPr>
      <w:r w:rsidRPr="00D963D7">
        <w:rPr>
          <w:rFonts w:ascii="Book Antiqua" w:eastAsia="Book Antiqua" w:hAnsi="Book Antiqua" w:cs="Book Antiqua"/>
          <w:color w:val="000000"/>
        </w:rPr>
        <w:t>URL: https://www.wjgnet.com/2307-8960/full/v9/i</w:t>
      </w:r>
      <w:r>
        <w:rPr>
          <w:rFonts w:ascii="Book Antiqua" w:eastAsia="Book Antiqua" w:hAnsi="Book Antiqua" w:cs="Book Antiqua"/>
          <w:color w:val="000000"/>
        </w:rPr>
        <w:t>36</w:t>
      </w:r>
      <w:r w:rsidRPr="00D963D7">
        <w:rPr>
          <w:rFonts w:ascii="Book Antiqua" w:eastAsia="Book Antiqua" w:hAnsi="Book Antiqua" w:cs="Book Antiqua"/>
          <w:color w:val="000000"/>
        </w:rPr>
        <w:t>/</w:t>
      </w:r>
      <w:r w:rsidR="000A61A6" w:rsidRPr="000A61A6">
        <w:rPr>
          <w:rFonts w:ascii="Book Antiqua" w:eastAsia="Book Antiqua" w:hAnsi="Book Antiqua" w:cs="Book Antiqua"/>
          <w:color w:val="000000"/>
        </w:rPr>
        <w:t>11285</w:t>
      </w:r>
      <w:r w:rsidRPr="00D963D7">
        <w:rPr>
          <w:rFonts w:ascii="Book Antiqua" w:eastAsia="Book Antiqua" w:hAnsi="Book Antiqua" w:cs="Book Antiqua"/>
          <w:color w:val="000000"/>
        </w:rPr>
        <w:t xml:space="preserve">.htm  </w:t>
      </w:r>
    </w:p>
    <w:p w14:paraId="0A10D13F" w14:textId="5D4E0EAA" w:rsidR="00A77B3E" w:rsidRDefault="00D963D7" w:rsidP="00CA3946">
      <w:pPr>
        <w:spacing w:line="360" w:lineRule="auto"/>
        <w:jc w:val="both"/>
      </w:pPr>
      <w:r w:rsidRPr="00D963D7">
        <w:rPr>
          <w:rFonts w:ascii="Book Antiqua" w:eastAsia="Book Antiqua" w:hAnsi="Book Antiqua" w:cs="Book Antiqua"/>
          <w:color w:val="000000"/>
        </w:rPr>
        <w:t>DOI: https://dx.doi.org/10.12998/wjcc.v9.i</w:t>
      </w:r>
      <w:r>
        <w:rPr>
          <w:rFonts w:ascii="Book Antiqua" w:eastAsia="Book Antiqua" w:hAnsi="Book Antiqua" w:cs="Book Antiqua"/>
          <w:color w:val="000000"/>
        </w:rPr>
        <w:t>36</w:t>
      </w:r>
      <w:r w:rsidRPr="00D963D7">
        <w:rPr>
          <w:rFonts w:ascii="Book Antiqua" w:eastAsia="Book Antiqua" w:hAnsi="Book Antiqua" w:cs="Book Antiqua"/>
          <w:color w:val="000000"/>
        </w:rPr>
        <w:t>.</w:t>
      </w:r>
      <w:r w:rsidR="000A61A6" w:rsidRPr="000A61A6">
        <w:rPr>
          <w:rFonts w:ascii="Book Antiqua" w:eastAsia="Book Antiqua" w:hAnsi="Book Antiqua" w:cs="Book Antiqua"/>
          <w:color w:val="000000"/>
        </w:rPr>
        <w:t>11285</w:t>
      </w:r>
    </w:p>
    <w:bookmarkEnd w:id="6"/>
    <w:p w14:paraId="42380812" w14:textId="77777777" w:rsidR="00A77B3E" w:rsidRDefault="00A77B3E" w:rsidP="00880BE9">
      <w:pPr>
        <w:spacing w:line="360" w:lineRule="auto"/>
        <w:jc w:val="both"/>
        <w:rPr>
          <w:lang w:eastAsia="zh-CN"/>
        </w:rPr>
      </w:pPr>
    </w:p>
    <w:p w14:paraId="7A9A7E7D" w14:textId="05856097" w:rsidR="00A77B3E" w:rsidRDefault="005513F1" w:rsidP="00CA3946">
      <w:pPr>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 xml:space="preserve">In this </w:t>
      </w:r>
      <w:r w:rsidR="008270A3">
        <w:rPr>
          <w:rFonts w:ascii="Book Antiqua" w:eastAsia="Book Antiqua" w:hAnsi="Book Antiqua" w:cs="Book Antiqua"/>
          <w:color w:val="000000"/>
        </w:rPr>
        <w:t>study</w:t>
      </w:r>
      <w:r>
        <w:rPr>
          <w:rFonts w:ascii="Book Antiqua" w:eastAsia="Book Antiqua" w:hAnsi="Book Antiqua" w:cs="Book Antiqua"/>
          <w:color w:val="000000"/>
        </w:rPr>
        <w:t>, the effectiveness and safety of the infliximab biosimilar CT-P13 in the treatment of inflammatory bowel disease (IBD) in real-life practice</w:t>
      </w:r>
      <w:r w:rsidR="008270A3" w:rsidRPr="008270A3">
        <w:rPr>
          <w:rFonts w:ascii="Book Antiqua" w:eastAsia="Book Antiqua" w:hAnsi="Book Antiqua" w:cs="Book Antiqua"/>
          <w:color w:val="000000"/>
        </w:rPr>
        <w:t xml:space="preserve"> </w:t>
      </w:r>
      <w:r w:rsidR="008270A3">
        <w:rPr>
          <w:rFonts w:ascii="Book Antiqua" w:eastAsia="Book Antiqua" w:hAnsi="Book Antiqua" w:cs="Book Antiqua"/>
          <w:color w:val="000000"/>
        </w:rPr>
        <w:t>w</w:t>
      </w:r>
      <w:r w:rsidR="0083055D">
        <w:rPr>
          <w:rFonts w:ascii="Book Antiqua" w:eastAsia="Book Antiqua" w:hAnsi="Book Antiqua" w:cs="Book Antiqua"/>
          <w:color w:val="000000"/>
        </w:rPr>
        <w:t>ere</w:t>
      </w:r>
      <w:r w:rsidR="008270A3">
        <w:rPr>
          <w:rFonts w:ascii="Book Antiqua" w:eastAsia="Book Antiqua" w:hAnsi="Book Antiqua" w:cs="Book Antiqua"/>
          <w:color w:val="000000"/>
        </w:rPr>
        <w:t xml:space="preserve"> analyzed</w:t>
      </w:r>
      <w:r>
        <w:rPr>
          <w:rFonts w:ascii="Book Antiqua" w:eastAsia="Book Antiqua" w:hAnsi="Book Antiqua" w:cs="Book Antiqua"/>
          <w:color w:val="000000"/>
        </w:rPr>
        <w:t xml:space="preserve">. Our results show that CT-P13 is an effective and safe biosimilar of infliximab, </w:t>
      </w:r>
      <w:r w:rsidR="008270A3">
        <w:rPr>
          <w:rFonts w:ascii="Book Antiqua" w:eastAsia="Book Antiqua" w:hAnsi="Book Antiqua" w:cs="Book Antiqua"/>
          <w:color w:val="000000"/>
        </w:rPr>
        <w:t>and is</w:t>
      </w:r>
      <w:r>
        <w:rPr>
          <w:rFonts w:ascii="Book Antiqua" w:eastAsia="Book Antiqua" w:hAnsi="Book Antiqua" w:cs="Book Antiqua"/>
          <w:color w:val="000000"/>
        </w:rPr>
        <w:t xml:space="preserve"> a valid and attractive alternative for the treatment of IBD </w:t>
      </w:r>
      <w:r w:rsidR="008270A3">
        <w:rPr>
          <w:rFonts w:ascii="Book Antiqua" w:eastAsia="Book Antiqua" w:hAnsi="Book Antiqua" w:cs="Book Antiqua"/>
          <w:color w:val="000000"/>
        </w:rPr>
        <w:t>as</w:t>
      </w:r>
      <w:r>
        <w:rPr>
          <w:rFonts w:ascii="Book Antiqua" w:eastAsia="Book Antiqua" w:hAnsi="Book Antiqua" w:cs="Book Antiqua"/>
          <w:color w:val="000000"/>
        </w:rPr>
        <w:t xml:space="preserve"> it allows for a reduction of healthcare costs and facilitates access to biological treatments for more patients.</w:t>
      </w:r>
    </w:p>
    <w:p w14:paraId="13F38D74" w14:textId="77777777" w:rsidR="00A77B3E" w:rsidRDefault="00A77B3E" w:rsidP="00CA3946">
      <w:pPr>
        <w:spacing w:line="360" w:lineRule="auto"/>
        <w:jc w:val="both"/>
      </w:pPr>
    </w:p>
    <w:p w14:paraId="0186615A" w14:textId="77777777" w:rsidR="00A77B3E" w:rsidRDefault="005513F1" w:rsidP="00CA3946">
      <w:pPr>
        <w:spacing w:line="360" w:lineRule="auto"/>
        <w:jc w:val="both"/>
      </w:pPr>
      <w:r>
        <w:rPr>
          <w:rFonts w:ascii="Book Antiqua" w:eastAsia="Book Antiqua" w:hAnsi="Book Antiqua" w:cs="Book Antiqua"/>
          <w:b/>
          <w:caps/>
          <w:color w:val="000000"/>
          <w:u w:val="single"/>
        </w:rPr>
        <w:t>INTRODUCTION</w:t>
      </w:r>
    </w:p>
    <w:p w14:paraId="1B5174BE" w14:textId="015D6490" w:rsidR="00A77B3E" w:rsidRDefault="005513F1" w:rsidP="00CA3946">
      <w:pPr>
        <w:spacing w:line="360" w:lineRule="auto"/>
        <w:jc w:val="both"/>
      </w:pPr>
      <w:r>
        <w:rPr>
          <w:rFonts w:ascii="Book Antiqua" w:eastAsia="Book Antiqua" w:hAnsi="Book Antiqua" w:cs="Book Antiqua"/>
          <w:color w:val="000000"/>
        </w:rPr>
        <w:lastRenderedPageBreak/>
        <w:t xml:space="preserve">Crohn’s disease (CD) and ulcerative colitis (UC) are the two main conditions of inflammatory bowel disease (IBD). CD is characterized by chronic inflammation of any part of the gastrointestinal tract, has a progressive and destructive course, and is increasing in incidence worldwide. UC is a chronic IBD of unknown etiology affecting the colon and rectum. Multiple factors, such as genetic background, environmental and luminal factors, and mucosal immune dysregulation, have been suggested to contribute to its </w:t>
      </w:r>
      <w:proofErr w:type="gramStart"/>
      <w:r>
        <w:rPr>
          <w:rFonts w:ascii="Book Antiqua" w:eastAsia="Book Antiqua" w:hAnsi="Book Antiqua" w:cs="Book Antiqua"/>
          <w:color w:val="000000"/>
        </w:rPr>
        <w:t>pathogenesis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1,2]</w:t>
      </w:r>
      <w:r>
        <w:rPr>
          <w:rFonts w:ascii="Book Antiqua" w:eastAsia="Book Antiqua" w:hAnsi="Book Antiqua" w:cs="Book Antiqua"/>
          <w:color w:val="000000"/>
        </w:rPr>
        <w:t xml:space="preserve">. Both chronic diseases are associated with high morbidity and strongly affect quality of </w:t>
      </w:r>
      <w:proofErr w:type="gramStart"/>
      <w:r>
        <w:rPr>
          <w:rFonts w:ascii="Book Antiqua" w:eastAsia="Book Antiqua" w:hAnsi="Book Antiqua" w:cs="Book Antiqua"/>
          <w:color w:val="000000"/>
        </w:rPr>
        <w:t>life</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3-8]</w:t>
      </w:r>
      <w:r>
        <w:rPr>
          <w:rFonts w:ascii="Book Antiqua" w:eastAsia="Book Antiqua" w:hAnsi="Book Antiqua" w:cs="Book Antiqua"/>
          <w:color w:val="000000"/>
        </w:rPr>
        <w:t>. In the last two decades, biological therapies have revolutionized the management of these diseases. Seven biologic agents are currently approved by the United States Food and Drug Administration (FDA) for IBD treatment, although only five are approved by the European Medicines Agency (EMA): three anti-tumor necrosis factor (TNF) agents (infliximab, adalimumab, and golimumab), one anti-IL12/23 (</w:t>
      </w:r>
      <w:proofErr w:type="spellStart"/>
      <w:r>
        <w:rPr>
          <w:rFonts w:ascii="Book Antiqua" w:eastAsia="Book Antiqua" w:hAnsi="Book Antiqua" w:cs="Book Antiqua"/>
          <w:color w:val="000000"/>
        </w:rPr>
        <w:t>ustekinumab</w:t>
      </w:r>
      <w:proofErr w:type="spellEnd"/>
      <w:r>
        <w:rPr>
          <w:rFonts w:ascii="Book Antiqua" w:eastAsia="Book Antiqua" w:hAnsi="Book Antiqua" w:cs="Book Antiqua"/>
          <w:color w:val="000000"/>
        </w:rPr>
        <w:t>), and one anti-integrin agent (vedolizumab</w:t>
      </w:r>
      <w:proofErr w:type="gramStart"/>
      <w:r>
        <w:rPr>
          <w:rFonts w:ascii="Book Antiqua" w:eastAsia="Book Antiqua" w:hAnsi="Book Antiqua" w:cs="Book Antiqua"/>
          <w:color w:val="000000"/>
        </w:rPr>
        <w:t>)</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9]</w:t>
      </w:r>
      <w:r>
        <w:rPr>
          <w:rFonts w:ascii="Book Antiqua" w:eastAsia="Book Antiqua" w:hAnsi="Book Antiqua" w:cs="Book Antiqua"/>
          <w:color w:val="000000"/>
        </w:rPr>
        <w:t xml:space="preserve">. These biological treatments induce mucosal healing, prolong periods of remission, and improve patients’ quality of life, leading to a reduction in hospitalizations and surgical </w:t>
      </w:r>
      <w:proofErr w:type="gramStart"/>
      <w:r>
        <w:rPr>
          <w:rFonts w:ascii="Book Antiqua" w:eastAsia="Book Antiqua" w:hAnsi="Book Antiqua" w:cs="Book Antiqua"/>
          <w:color w:val="000000"/>
        </w:rPr>
        <w:t>procedures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5,9-15]</w:t>
      </w:r>
      <w:r>
        <w:rPr>
          <w:rFonts w:ascii="Book Antiqua" w:eastAsia="Book Antiqua" w:hAnsi="Book Antiqua" w:cs="Book Antiqua"/>
          <w:color w:val="000000"/>
        </w:rPr>
        <w:t xml:space="preserve">. However, they are expensive; consequently, their high costs have become a burden for healthcare systems worldwide and access is restricted for many </w:t>
      </w:r>
      <w:proofErr w:type="gramStart"/>
      <w:r>
        <w:rPr>
          <w:rFonts w:ascii="Book Antiqua" w:eastAsia="Book Antiqua" w:hAnsi="Book Antiqua" w:cs="Book Antiqua"/>
          <w:color w:val="000000"/>
        </w:rPr>
        <w:t>patients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9,10,16-18]</w:t>
      </w:r>
      <w:r>
        <w:rPr>
          <w:rFonts w:ascii="Book Antiqua" w:eastAsia="Book Antiqua" w:hAnsi="Book Antiqua" w:cs="Book Antiqua"/>
          <w:color w:val="000000"/>
        </w:rPr>
        <w:t xml:space="preserve">. </w:t>
      </w:r>
    </w:p>
    <w:p w14:paraId="1EF85599" w14:textId="76E795DE" w:rsidR="00A77B3E" w:rsidRDefault="005513F1" w:rsidP="00CA3946">
      <w:pPr>
        <w:spacing w:line="360" w:lineRule="auto"/>
        <w:ind w:firstLine="708"/>
        <w:jc w:val="both"/>
      </w:pPr>
      <w:r>
        <w:rPr>
          <w:rFonts w:ascii="Book Antiqua" w:eastAsia="Book Antiqua" w:hAnsi="Book Antiqua" w:cs="Book Antiqua"/>
          <w:color w:val="000000"/>
        </w:rPr>
        <w:t xml:space="preserve">The expiry of patents for some biologics has led to the development of biosimilar products with two main goals: reducing healthcare costs and improving patients’ access to these </w:t>
      </w:r>
      <w:proofErr w:type="gramStart"/>
      <w:r>
        <w:rPr>
          <w:rFonts w:ascii="Book Antiqua" w:eastAsia="Book Antiqua" w:hAnsi="Book Antiqua" w:cs="Book Antiqua"/>
          <w:color w:val="000000"/>
        </w:rPr>
        <w:t>treatments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10,16,19]</w:t>
      </w:r>
      <w:r>
        <w:rPr>
          <w:rFonts w:ascii="Book Antiqua" w:eastAsia="Book Antiqua" w:hAnsi="Book Antiqua" w:cs="Book Antiqua"/>
          <w:color w:val="000000"/>
        </w:rPr>
        <w:t xml:space="preserve">. According to the World Health Organization (WHO), a biosimilar is a biotherapeutic product similar in terms of quality, safety, and efficacy to an already licensed reference biotherapeutic </w:t>
      </w:r>
      <w:proofErr w:type="gramStart"/>
      <w:r>
        <w:rPr>
          <w:rFonts w:ascii="Book Antiqua" w:eastAsia="Book Antiqua" w:hAnsi="Book Antiqua" w:cs="Book Antiqua"/>
          <w:color w:val="000000"/>
        </w:rPr>
        <w:t>product</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10,20]</w:t>
      </w:r>
      <w:r>
        <w:rPr>
          <w:rFonts w:ascii="Book Antiqua" w:eastAsia="Book Antiqua" w:hAnsi="Book Antiqua" w:cs="Book Antiqua"/>
          <w:color w:val="000000"/>
        </w:rPr>
        <w:t>. Although a biosimilar and its reference drug are mostly the same product, there may be differences between them due to the use of living organisms in their manufactur</w:t>
      </w:r>
      <w:r w:rsidR="00F06224">
        <w:rPr>
          <w:rFonts w:ascii="Book Antiqua" w:eastAsia="Book Antiqua" w:hAnsi="Book Antiqua" w:cs="Book Antiqua"/>
          <w:color w:val="000000"/>
        </w:rPr>
        <w:t>e</w:t>
      </w:r>
      <w:r>
        <w:rPr>
          <w:rFonts w:ascii="Book Antiqua" w:eastAsia="Book Antiqua" w:hAnsi="Book Antiqua" w:cs="Book Antiqua"/>
          <w:color w:val="000000"/>
        </w:rPr>
        <w:t xml:space="preserve">. Therefore, it is necessary to prove the clinical effectiveness and safety of the </w:t>
      </w:r>
      <w:proofErr w:type="gramStart"/>
      <w:r>
        <w:rPr>
          <w:rFonts w:ascii="Book Antiqua" w:eastAsia="Book Antiqua" w:hAnsi="Book Antiqua" w:cs="Book Antiqua"/>
          <w:color w:val="000000"/>
        </w:rPr>
        <w:t>biosimilar</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10,19,21,22]</w:t>
      </w:r>
      <w:r>
        <w:rPr>
          <w:rFonts w:ascii="Book Antiqua" w:eastAsia="Book Antiqua" w:hAnsi="Book Antiqua" w:cs="Book Antiqua"/>
          <w:color w:val="000000"/>
        </w:rPr>
        <w:t>. The first infliximab biosimilar, CT-P13, was approved by the EMA in 2013 and came onto the market in 2016</w:t>
      </w:r>
      <w:r>
        <w:rPr>
          <w:rFonts w:ascii="Book Antiqua" w:eastAsia="Book Antiqua" w:hAnsi="Book Antiqua" w:cs="Book Antiqua"/>
          <w:color w:val="000000"/>
          <w:szCs w:val="20"/>
          <w:vertAlign w:val="superscript"/>
        </w:rPr>
        <w:t>[10,21]</w:t>
      </w:r>
      <w:r>
        <w:rPr>
          <w:rFonts w:ascii="Book Antiqua" w:eastAsia="Book Antiqua" w:hAnsi="Book Antiqua" w:cs="Book Antiqua"/>
          <w:color w:val="000000"/>
        </w:rPr>
        <w:t xml:space="preserve">. </w:t>
      </w:r>
    </w:p>
    <w:p w14:paraId="37F892E1" w14:textId="2D6D5046" w:rsidR="00A77B3E" w:rsidRDefault="005513F1" w:rsidP="00CA3946">
      <w:pPr>
        <w:spacing w:line="360" w:lineRule="auto"/>
        <w:ind w:firstLine="708"/>
        <w:jc w:val="both"/>
      </w:pPr>
      <w:r>
        <w:rPr>
          <w:rFonts w:ascii="Book Antiqua" w:eastAsia="Book Antiqua" w:hAnsi="Book Antiqua" w:cs="Book Antiqua"/>
          <w:color w:val="000000"/>
        </w:rPr>
        <w:t xml:space="preserve">Although various studies support the similarity between CT-P13 and infliximab in terms of efficacy and safety, there are unmet needs regarding research </w:t>
      </w:r>
      <w:r w:rsidR="00F06224">
        <w:rPr>
          <w:rFonts w:ascii="Book Antiqua" w:eastAsia="Book Antiqua" w:hAnsi="Book Antiqua" w:cs="Book Antiqua"/>
          <w:color w:val="000000"/>
        </w:rPr>
        <w:t>on</w:t>
      </w:r>
      <w:r>
        <w:rPr>
          <w:rFonts w:ascii="Book Antiqua" w:eastAsia="Book Antiqua" w:hAnsi="Book Antiqua" w:cs="Book Antiqua"/>
          <w:color w:val="000000"/>
        </w:rPr>
        <w:t xml:space="preserve"> these </w:t>
      </w:r>
      <w:r>
        <w:rPr>
          <w:rFonts w:ascii="Book Antiqua" w:eastAsia="Book Antiqua" w:hAnsi="Book Antiqua" w:cs="Book Antiqua"/>
          <w:color w:val="000000"/>
        </w:rPr>
        <w:lastRenderedPageBreak/>
        <w:t xml:space="preserve">agents in the context of IBD. Due to this fact and limited evidence in real-life practice, many physicians are still reluctant to prescribe </w:t>
      </w:r>
      <w:proofErr w:type="gramStart"/>
      <w:r>
        <w:rPr>
          <w:rFonts w:ascii="Book Antiqua" w:eastAsia="Book Antiqua" w:hAnsi="Book Antiqua" w:cs="Book Antiqua"/>
          <w:color w:val="000000"/>
        </w:rPr>
        <w:t>biosimilars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10]</w:t>
      </w:r>
      <w:r>
        <w:rPr>
          <w:rFonts w:ascii="Book Antiqua" w:eastAsia="Book Antiqua" w:hAnsi="Book Antiqua" w:cs="Book Antiqua"/>
          <w:color w:val="000000"/>
        </w:rPr>
        <w:t xml:space="preserve">. Most observational trials that have evaluated CT-P13 in patients who were naïve to biological treatment or had switched from infliximab had a retrospective design and limited sample </w:t>
      </w:r>
      <w:proofErr w:type="gramStart"/>
      <w:r>
        <w:rPr>
          <w:rFonts w:ascii="Book Antiqua" w:eastAsia="Book Antiqua" w:hAnsi="Book Antiqua" w:cs="Book Antiqua"/>
          <w:color w:val="000000"/>
        </w:rPr>
        <w:t>size</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23,24]</w:t>
      </w:r>
      <w:r>
        <w:rPr>
          <w:rFonts w:ascii="Book Antiqua" w:eastAsia="Book Antiqua" w:hAnsi="Book Antiqua" w:cs="Book Antiqua"/>
          <w:color w:val="000000"/>
        </w:rPr>
        <w:t>, with few exceptions</w:t>
      </w:r>
      <w:r>
        <w:rPr>
          <w:rFonts w:ascii="Book Antiqua" w:eastAsia="Book Antiqua" w:hAnsi="Book Antiqua" w:cs="Book Antiqua"/>
          <w:color w:val="000000"/>
          <w:szCs w:val="20"/>
          <w:vertAlign w:val="superscript"/>
        </w:rPr>
        <w:t>[25,26]</w:t>
      </w:r>
      <w:r>
        <w:rPr>
          <w:rFonts w:ascii="Book Antiqua" w:eastAsia="Book Antiqua" w:hAnsi="Book Antiqua" w:cs="Book Antiqua"/>
          <w:color w:val="000000"/>
        </w:rPr>
        <w:t xml:space="preserve">. Furthermore, prospective trials had follow-up periods of less than one year and/or study samples of less than 100 </w:t>
      </w:r>
      <w:proofErr w:type="gramStart"/>
      <w:r>
        <w:rPr>
          <w:rFonts w:ascii="Book Antiqua" w:eastAsia="Book Antiqua" w:hAnsi="Book Antiqua" w:cs="Book Antiqua"/>
          <w:color w:val="000000"/>
        </w:rPr>
        <w:t>patients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27-32]</w:t>
      </w:r>
      <w:r>
        <w:rPr>
          <w:rFonts w:ascii="Book Antiqua" w:eastAsia="Book Antiqua" w:hAnsi="Book Antiqua" w:cs="Book Antiqua"/>
          <w:color w:val="000000"/>
        </w:rPr>
        <w:t xml:space="preserve">, with the exception of the studies by Kolar </w:t>
      </w:r>
      <w:r>
        <w:rPr>
          <w:rFonts w:ascii="Book Antiqua" w:eastAsia="Book Antiqua" w:hAnsi="Book Antiqua" w:cs="Book Antiqua"/>
          <w:i/>
          <w:iCs/>
          <w:color w:val="000000"/>
        </w:rPr>
        <w:t>et al</w:t>
      </w:r>
      <w:r>
        <w:rPr>
          <w:rFonts w:ascii="Book Antiqua" w:eastAsia="Book Antiqua" w:hAnsi="Book Antiqua" w:cs="Book Antiqua"/>
          <w:color w:val="000000"/>
          <w:szCs w:val="20"/>
          <w:vertAlign w:val="superscript"/>
        </w:rPr>
        <w:t>[33]</w:t>
      </w:r>
      <w:r>
        <w:rPr>
          <w:rFonts w:ascii="Book Antiqua" w:eastAsia="Book Antiqua" w:hAnsi="Book Antiqua" w:cs="Book Antiqua"/>
          <w:color w:val="000000"/>
        </w:rPr>
        <w:t xml:space="preserve">, Jung </w:t>
      </w:r>
      <w:r>
        <w:rPr>
          <w:rFonts w:ascii="Book Antiqua" w:eastAsia="Book Antiqua" w:hAnsi="Book Antiqua" w:cs="Book Antiqua"/>
          <w:i/>
          <w:iCs/>
          <w:color w:val="000000"/>
        </w:rPr>
        <w:t>et al</w:t>
      </w:r>
      <w:r>
        <w:rPr>
          <w:rFonts w:ascii="Book Antiqua" w:eastAsia="Book Antiqua" w:hAnsi="Book Antiqua" w:cs="Book Antiqua"/>
          <w:color w:val="000000"/>
          <w:szCs w:val="20"/>
          <w:vertAlign w:val="superscript"/>
        </w:rPr>
        <w:t>[26]</w:t>
      </w:r>
      <w:r>
        <w:rPr>
          <w:rFonts w:ascii="Book Antiqua" w:eastAsia="Book Antiqua" w:hAnsi="Book Antiqua" w:cs="Book Antiqua"/>
          <w:color w:val="000000"/>
        </w:rPr>
        <w:t>,</w:t>
      </w:r>
      <w:r>
        <w:rPr>
          <w:rFonts w:ascii="Book Antiqua" w:eastAsia="Book Antiqua" w:hAnsi="Book Antiqua" w:cs="Book Antiqua"/>
          <w:color w:val="000000"/>
          <w:szCs w:val="20"/>
          <w:vertAlign w:val="superscript"/>
        </w:rPr>
        <w:t xml:space="preserve"> </w:t>
      </w:r>
      <w:r>
        <w:rPr>
          <w:rFonts w:ascii="Book Antiqua" w:eastAsia="Book Antiqua" w:hAnsi="Book Antiqua" w:cs="Book Antiqua"/>
          <w:color w:val="000000"/>
        </w:rPr>
        <w:t xml:space="preserve">and Bergqvist </w:t>
      </w:r>
      <w:r>
        <w:rPr>
          <w:rFonts w:ascii="Book Antiqua" w:eastAsia="Book Antiqua" w:hAnsi="Book Antiqua" w:cs="Book Antiqua"/>
          <w:i/>
          <w:iCs/>
          <w:color w:val="000000"/>
        </w:rPr>
        <w:t>et al</w:t>
      </w:r>
      <w:r>
        <w:rPr>
          <w:rFonts w:ascii="Book Antiqua" w:eastAsia="Book Antiqua" w:hAnsi="Book Antiqua" w:cs="Book Antiqua"/>
          <w:color w:val="000000"/>
          <w:szCs w:val="20"/>
          <w:vertAlign w:val="superscript"/>
        </w:rPr>
        <w:t>[34]</w:t>
      </w:r>
      <w:r>
        <w:rPr>
          <w:rFonts w:ascii="Book Antiqua" w:eastAsia="Book Antiqua" w:hAnsi="Book Antiqua" w:cs="Book Antiqua"/>
          <w:color w:val="000000"/>
        </w:rPr>
        <w:t xml:space="preserve">. Up to now, only one randomized controlled trial has compared infliximab with CT-P13 in IBD </w:t>
      </w:r>
      <w:proofErr w:type="gramStart"/>
      <w:r>
        <w:rPr>
          <w:rFonts w:ascii="Book Antiqua" w:eastAsia="Book Antiqua" w:hAnsi="Book Antiqua" w:cs="Book Antiqua"/>
          <w:color w:val="000000"/>
        </w:rPr>
        <w:t>patients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35]</w:t>
      </w:r>
      <w:r>
        <w:rPr>
          <w:rFonts w:ascii="Book Antiqua" w:eastAsia="Book Antiqua" w:hAnsi="Book Antiqua" w:cs="Book Antiqua"/>
          <w:color w:val="000000"/>
        </w:rPr>
        <w:t xml:space="preserve">. Furthermore, most studies included patients who were either naïve to biologic agents or had switched from infliximab to CT-P13, although little is known regarding patients switching from other biologic agents, such as </w:t>
      </w:r>
      <w:proofErr w:type="gramStart"/>
      <w:r>
        <w:rPr>
          <w:rFonts w:ascii="Book Antiqua" w:eastAsia="Book Antiqua" w:hAnsi="Book Antiqua" w:cs="Book Antiqua"/>
          <w:color w:val="000000"/>
        </w:rPr>
        <w:t>adalimumab</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10,36]</w:t>
      </w:r>
      <w:r>
        <w:rPr>
          <w:rFonts w:ascii="Book Antiqua" w:eastAsia="Book Antiqua" w:hAnsi="Book Antiqua" w:cs="Book Antiqua"/>
          <w:color w:val="000000"/>
        </w:rPr>
        <w:t xml:space="preserve">. </w:t>
      </w:r>
    </w:p>
    <w:p w14:paraId="56279E16" w14:textId="77777777" w:rsidR="00A77B3E" w:rsidRDefault="005513F1" w:rsidP="00CA3946">
      <w:pPr>
        <w:spacing w:line="360" w:lineRule="auto"/>
        <w:ind w:firstLine="708"/>
        <w:jc w:val="both"/>
      </w:pPr>
      <w:r>
        <w:rPr>
          <w:rFonts w:ascii="Book Antiqua" w:eastAsia="Book Antiqua" w:hAnsi="Book Antiqua" w:cs="Book Antiqua"/>
          <w:color w:val="000000"/>
        </w:rPr>
        <w:t xml:space="preserve">In this study, we aimed to analyze clinical response rates to CT-P13, marketed under the trade name of </w:t>
      </w:r>
      <w:proofErr w:type="spellStart"/>
      <w:r>
        <w:rPr>
          <w:rFonts w:ascii="Book Antiqua" w:eastAsia="Book Antiqua" w:hAnsi="Book Antiqua" w:cs="Book Antiqua"/>
          <w:color w:val="000000"/>
        </w:rPr>
        <w:t>Remsima</w:t>
      </w:r>
      <w:proofErr w:type="spellEnd"/>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and adverse events in patients with IBD treated in real-life practice. </w:t>
      </w:r>
    </w:p>
    <w:p w14:paraId="48E89A24" w14:textId="77777777" w:rsidR="00A77B3E" w:rsidRDefault="00A77B3E" w:rsidP="00CA3946">
      <w:pPr>
        <w:spacing w:line="360" w:lineRule="auto"/>
        <w:ind w:firstLine="708"/>
        <w:jc w:val="both"/>
      </w:pPr>
    </w:p>
    <w:p w14:paraId="1E6E435A" w14:textId="77777777" w:rsidR="00A77B3E" w:rsidRDefault="005513F1" w:rsidP="00CA3946">
      <w:pPr>
        <w:spacing w:line="360" w:lineRule="auto"/>
        <w:jc w:val="both"/>
      </w:pPr>
      <w:r>
        <w:rPr>
          <w:rFonts w:ascii="Book Antiqua" w:eastAsia="Book Antiqua" w:hAnsi="Book Antiqua" w:cs="Book Antiqua"/>
          <w:b/>
          <w:caps/>
          <w:color w:val="000000"/>
          <w:u w:val="single"/>
        </w:rPr>
        <w:t>MATERIALS AND METHODS</w:t>
      </w:r>
    </w:p>
    <w:p w14:paraId="071A993C" w14:textId="77777777" w:rsidR="00A77B3E" w:rsidRDefault="005513F1" w:rsidP="00CA3946">
      <w:pPr>
        <w:spacing w:line="360" w:lineRule="auto"/>
        <w:jc w:val="both"/>
      </w:pPr>
      <w:r>
        <w:rPr>
          <w:rFonts w:ascii="Book Antiqua" w:eastAsia="Book Antiqua" w:hAnsi="Book Antiqua" w:cs="Book Antiqua"/>
          <w:b/>
          <w:bCs/>
          <w:i/>
          <w:iCs/>
          <w:color w:val="000000"/>
        </w:rPr>
        <w:t>Study design</w:t>
      </w:r>
    </w:p>
    <w:p w14:paraId="2275357E" w14:textId="77777777" w:rsidR="00A77B3E" w:rsidRDefault="005513F1" w:rsidP="00CA3946">
      <w:pPr>
        <w:spacing w:line="360" w:lineRule="auto"/>
        <w:jc w:val="both"/>
      </w:pPr>
      <w:r>
        <w:rPr>
          <w:rFonts w:ascii="Book Antiqua" w:eastAsia="Book Antiqua" w:hAnsi="Book Antiqua" w:cs="Book Antiqua"/>
          <w:color w:val="000000"/>
        </w:rPr>
        <w:t xml:space="preserve">This observational, prospective, multicenter study was conducted at eight Spanish hospitals: Hospital General Universitario de Valencia, Hospital de Sagunto, Hospital Universitario Dr. </w:t>
      </w:r>
      <w:proofErr w:type="spellStart"/>
      <w:r>
        <w:rPr>
          <w:rFonts w:ascii="Book Antiqua" w:eastAsia="Book Antiqua" w:hAnsi="Book Antiqua" w:cs="Book Antiqua"/>
          <w:color w:val="000000"/>
        </w:rPr>
        <w:t>Peset</w:t>
      </w:r>
      <w:proofErr w:type="spellEnd"/>
      <w:r>
        <w:rPr>
          <w:rFonts w:ascii="Book Antiqua" w:eastAsia="Book Antiqua" w:hAnsi="Book Antiqua" w:cs="Book Antiqua"/>
          <w:color w:val="000000"/>
        </w:rPr>
        <w:t xml:space="preserve">, Hospital </w:t>
      </w:r>
      <w:proofErr w:type="spellStart"/>
      <w:r>
        <w:rPr>
          <w:rFonts w:ascii="Book Antiqua" w:eastAsia="Book Antiqua" w:hAnsi="Book Antiqua" w:cs="Book Antiqua"/>
          <w:color w:val="000000"/>
        </w:rPr>
        <w:t>Arnau</w:t>
      </w:r>
      <w:proofErr w:type="spellEnd"/>
      <w:r>
        <w:rPr>
          <w:rFonts w:ascii="Book Antiqua" w:eastAsia="Book Antiqua" w:hAnsi="Book Antiqua" w:cs="Book Antiqua"/>
          <w:color w:val="000000"/>
        </w:rPr>
        <w:t xml:space="preserve"> de </w:t>
      </w:r>
      <w:proofErr w:type="spellStart"/>
      <w:r>
        <w:rPr>
          <w:rFonts w:ascii="Book Antiqua" w:eastAsia="Book Antiqua" w:hAnsi="Book Antiqua" w:cs="Book Antiqua"/>
          <w:color w:val="000000"/>
        </w:rPr>
        <w:t>Vilanova</w:t>
      </w:r>
      <w:proofErr w:type="spellEnd"/>
      <w:r>
        <w:rPr>
          <w:rFonts w:ascii="Book Antiqua" w:eastAsia="Book Antiqua" w:hAnsi="Book Antiqua" w:cs="Book Antiqua"/>
          <w:color w:val="000000"/>
        </w:rPr>
        <w:t xml:space="preserve"> de Valencia, Hospital </w:t>
      </w:r>
      <w:proofErr w:type="spellStart"/>
      <w:r>
        <w:rPr>
          <w:rFonts w:ascii="Book Antiqua" w:eastAsia="Book Antiqua" w:hAnsi="Book Antiqua" w:cs="Book Antiqua"/>
          <w:color w:val="000000"/>
        </w:rPr>
        <w:t>Universitari</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i</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Politecnic</w:t>
      </w:r>
      <w:proofErr w:type="spellEnd"/>
      <w:r>
        <w:rPr>
          <w:rFonts w:ascii="Book Antiqua" w:eastAsia="Book Antiqua" w:hAnsi="Book Antiqua" w:cs="Book Antiqua"/>
          <w:color w:val="000000"/>
        </w:rPr>
        <w:t xml:space="preserve"> la Fe, Hospital </w:t>
      </w:r>
      <w:proofErr w:type="spellStart"/>
      <w:r>
        <w:rPr>
          <w:rFonts w:ascii="Book Antiqua" w:eastAsia="Book Antiqua" w:hAnsi="Book Antiqua" w:cs="Book Antiqua"/>
          <w:color w:val="000000"/>
        </w:rPr>
        <w:t>Clínico</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Universitario</w:t>
      </w:r>
      <w:proofErr w:type="spellEnd"/>
      <w:r>
        <w:rPr>
          <w:rFonts w:ascii="Book Antiqua" w:eastAsia="Book Antiqua" w:hAnsi="Book Antiqua" w:cs="Book Antiqua"/>
          <w:color w:val="000000"/>
        </w:rPr>
        <w:t xml:space="preserve"> de Valencia, Hospital </w:t>
      </w:r>
      <w:proofErr w:type="spellStart"/>
      <w:r>
        <w:rPr>
          <w:rFonts w:ascii="Book Antiqua" w:eastAsia="Book Antiqua" w:hAnsi="Book Antiqua" w:cs="Book Antiqua"/>
          <w:color w:val="000000"/>
        </w:rPr>
        <w:t>Francesc</w:t>
      </w:r>
      <w:proofErr w:type="spellEnd"/>
      <w:r>
        <w:rPr>
          <w:rFonts w:ascii="Book Antiqua" w:eastAsia="Book Antiqua" w:hAnsi="Book Antiqua" w:cs="Book Antiqua"/>
          <w:color w:val="000000"/>
        </w:rPr>
        <w:t xml:space="preserve"> de Borja de </w:t>
      </w:r>
      <w:proofErr w:type="spellStart"/>
      <w:r>
        <w:rPr>
          <w:rFonts w:ascii="Book Antiqua" w:eastAsia="Book Antiqua" w:hAnsi="Book Antiqua" w:cs="Book Antiqua"/>
          <w:color w:val="000000"/>
        </w:rPr>
        <w:t>Gandia</w:t>
      </w:r>
      <w:proofErr w:type="spellEnd"/>
      <w:r>
        <w:rPr>
          <w:rFonts w:ascii="Book Antiqua" w:eastAsia="Book Antiqua" w:hAnsi="Book Antiqua" w:cs="Book Antiqua"/>
          <w:color w:val="000000"/>
        </w:rPr>
        <w:t xml:space="preserve">, and Hospital de </w:t>
      </w:r>
      <w:proofErr w:type="spellStart"/>
      <w:r>
        <w:rPr>
          <w:rFonts w:ascii="Book Antiqua" w:eastAsia="Book Antiqua" w:hAnsi="Book Antiqua" w:cs="Book Antiqua"/>
          <w:color w:val="000000"/>
        </w:rPr>
        <w:t>Manises</w:t>
      </w:r>
      <w:proofErr w:type="spellEnd"/>
      <w:r>
        <w:rPr>
          <w:rFonts w:ascii="Book Antiqua" w:eastAsia="Book Antiqua" w:hAnsi="Book Antiqua" w:cs="Book Antiqua"/>
          <w:color w:val="000000"/>
        </w:rPr>
        <w:t>, Valencia.</w:t>
      </w:r>
    </w:p>
    <w:p w14:paraId="0591DA13" w14:textId="77777777" w:rsidR="00A77B3E" w:rsidRDefault="005513F1" w:rsidP="00CA3946">
      <w:pPr>
        <w:spacing w:line="360" w:lineRule="auto"/>
        <w:ind w:firstLine="708"/>
        <w:jc w:val="both"/>
      </w:pPr>
      <w:r>
        <w:rPr>
          <w:rFonts w:ascii="Book Antiqua" w:eastAsia="Book Antiqua" w:hAnsi="Book Antiqua" w:cs="Book Antiqua"/>
          <w:color w:val="000000"/>
        </w:rPr>
        <w:t>Patients’ assignment to a specific therapeutic strategy was determined as in daily clinical practice. Thus, the decision to prescribe a drug was clearly dissociated from the decision to include a patient in the study. No diagnostic or follow-up interventions were conducted on patients outside usual clinical practice, and all data were collected in a case report form (CRF) for the epidemiological analysis by the attending physician.</w:t>
      </w:r>
    </w:p>
    <w:p w14:paraId="4767C053" w14:textId="77777777" w:rsidR="00A77B3E" w:rsidRDefault="005513F1" w:rsidP="00CA3946">
      <w:pPr>
        <w:spacing w:line="360" w:lineRule="auto"/>
        <w:ind w:firstLine="708"/>
        <w:jc w:val="both"/>
      </w:pPr>
      <w:r>
        <w:rPr>
          <w:rFonts w:ascii="Book Antiqua" w:eastAsia="Book Antiqua" w:hAnsi="Book Antiqua" w:cs="Book Antiqua"/>
          <w:color w:val="000000"/>
        </w:rPr>
        <w:t>The duration of the study was at least one year. Study variables were recorded in patients’ clinical histories and in an electronic database (Excel).</w:t>
      </w:r>
    </w:p>
    <w:p w14:paraId="724A1D8B" w14:textId="77777777" w:rsidR="00A77B3E" w:rsidRDefault="005513F1" w:rsidP="00CA3946">
      <w:pPr>
        <w:spacing w:line="360" w:lineRule="auto"/>
        <w:ind w:firstLine="708"/>
        <w:jc w:val="both"/>
      </w:pPr>
      <w:r>
        <w:rPr>
          <w:rFonts w:ascii="Book Antiqua" w:eastAsia="Book Antiqua" w:hAnsi="Book Antiqua" w:cs="Book Antiqua"/>
          <w:color w:val="000000"/>
        </w:rPr>
        <w:lastRenderedPageBreak/>
        <w:t>The study was conducted following the principles outlined in the current revised version of the Declaration of Helsinki and in compliance with Good Clinical Practice (GCP) and all applicable laws and regulatory requirements in Spain. The study was approved by the Hospital General Universitario de Valencia Ethics Committee, and all patients signed an informed consent.</w:t>
      </w:r>
    </w:p>
    <w:p w14:paraId="205C6532" w14:textId="77777777" w:rsidR="00A77B3E" w:rsidRDefault="00A77B3E" w:rsidP="00CA3946">
      <w:pPr>
        <w:spacing w:line="360" w:lineRule="auto"/>
        <w:ind w:firstLine="708"/>
        <w:jc w:val="both"/>
      </w:pPr>
    </w:p>
    <w:p w14:paraId="13A2E0D8" w14:textId="77777777" w:rsidR="00A77B3E" w:rsidRDefault="005513F1" w:rsidP="00CA3946">
      <w:pPr>
        <w:spacing w:line="360" w:lineRule="auto"/>
        <w:jc w:val="both"/>
      </w:pPr>
      <w:r>
        <w:rPr>
          <w:rFonts w:ascii="Book Antiqua" w:eastAsia="Book Antiqua" w:hAnsi="Book Antiqua" w:cs="Book Antiqua"/>
          <w:b/>
          <w:bCs/>
          <w:i/>
          <w:iCs/>
          <w:color w:val="000000"/>
        </w:rPr>
        <w:t>Usual clinical practice</w:t>
      </w:r>
    </w:p>
    <w:p w14:paraId="6A98825A" w14:textId="77777777" w:rsidR="00A77B3E" w:rsidRDefault="005513F1" w:rsidP="00CA3946">
      <w:pPr>
        <w:spacing w:line="360" w:lineRule="auto"/>
        <w:jc w:val="both"/>
      </w:pPr>
      <w:r>
        <w:rPr>
          <w:rFonts w:ascii="Book Antiqua" w:eastAsia="Book Antiqua" w:hAnsi="Book Antiqua" w:cs="Book Antiqua"/>
          <w:color w:val="000000"/>
        </w:rPr>
        <w:t>Based on the ECCO guidelines, patients start biological treatment for CD or UC with moderate to severe activity when they have presented an inadequate response to conventional treatment, which includes corticosteroids and immunomodulators (IMM), such as 6-mercaptopurine (6-MP) or azathioprine (AZA), or when they are intolerant or have medical contraindications to such treatments. Biological treatment is also started in active, fistulizing CD that has not responded despite a complete and adequate course of conventional treatment (including antibiotics, drainage, and immunosuppressive therapy</w:t>
      </w:r>
      <w:proofErr w:type="gramStart"/>
      <w:r>
        <w:rPr>
          <w:rFonts w:ascii="Book Antiqua" w:eastAsia="Book Antiqua" w:hAnsi="Book Antiqua" w:cs="Book Antiqua"/>
          <w:color w:val="000000"/>
        </w:rPr>
        <w:t>)</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37,38]</w:t>
      </w:r>
      <w:r>
        <w:rPr>
          <w:rFonts w:ascii="Book Antiqua" w:eastAsia="Book Antiqua" w:hAnsi="Book Antiqua" w:cs="Book Antiqua"/>
          <w:color w:val="000000"/>
        </w:rPr>
        <w:t>.</w:t>
      </w:r>
    </w:p>
    <w:p w14:paraId="77CDA643" w14:textId="77777777" w:rsidR="00A77B3E" w:rsidRDefault="00A77B3E" w:rsidP="00CA3946">
      <w:pPr>
        <w:spacing w:line="360" w:lineRule="auto"/>
        <w:jc w:val="both"/>
      </w:pPr>
    </w:p>
    <w:p w14:paraId="277043F0" w14:textId="77777777" w:rsidR="00A77B3E" w:rsidRDefault="005513F1" w:rsidP="00CA3946">
      <w:pPr>
        <w:spacing w:line="360" w:lineRule="auto"/>
        <w:jc w:val="both"/>
      </w:pPr>
      <w:r>
        <w:rPr>
          <w:rFonts w:ascii="Book Antiqua" w:eastAsia="Book Antiqua" w:hAnsi="Book Antiqua" w:cs="Book Antiqua"/>
          <w:b/>
          <w:bCs/>
          <w:i/>
          <w:iCs/>
          <w:color w:val="000000"/>
        </w:rPr>
        <w:t>Subjects</w:t>
      </w:r>
    </w:p>
    <w:p w14:paraId="18EB21BC" w14:textId="77777777" w:rsidR="00A77B3E" w:rsidRDefault="005513F1" w:rsidP="00CA3946">
      <w:pPr>
        <w:spacing w:line="360" w:lineRule="auto"/>
        <w:jc w:val="both"/>
      </w:pPr>
      <w:r>
        <w:rPr>
          <w:rFonts w:ascii="Book Antiqua" w:eastAsia="Book Antiqua" w:hAnsi="Book Antiqua" w:cs="Book Antiqua"/>
          <w:color w:val="000000"/>
        </w:rPr>
        <w:t xml:space="preserve">The study included IBD patients treated with </w:t>
      </w:r>
      <w:proofErr w:type="spellStart"/>
      <w:r>
        <w:rPr>
          <w:rFonts w:ascii="Book Antiqua" w:eastAsia="Book Antiqua" w:hAnsi="Book Antiqua" w:cs="Book Antiqua"/>
          <w:color w:val="000000"/>
        </w:rPr>
        <w:t>Remsima</w:t>
      </w:r>
      <w:proofErr w:type="spellEnd"/>
      <w:r>
        <w:rPr>
          <w:rFonts w:ascii="Book Antiqua" w:eastAsia="Book Antiqua" w:hAnsi="Book Antiqua" w:cs="Book Antiqua"/>
          <w:color w:val="000000"/>
          <w:szCs w:val="20"/>
          <w:vertAlign w:val="superscript"/>
        </w:rPr>
        <w:t xml:space="preserve">® </w:t>
      </w:r>
      <w:r>
        <w:rPr>
          <w:rFonts w:ascii="Book Antiqua" w:eastAsia="Book Antiqua" w:hAnsi="Book Antiqua" w:cs="Book Antiqua"/>
          <w:color w:val="000000"/>
        </w:rPr>
        <w:t>(infliximab biosimilar, CT-P13, Kern Pharma, Spain) in clinical practice who were naïve to biological treatments, or had failed to respond to other anti-TNF drugs, or had switched from infliximab originator (Remicade</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Patients who were unresponsive to infliximab or allergic or intolerant to infliximab or its excipients or had a contraindication to infliximab were excluded. CT-P13 (</w:t>
      </w:r>
      <w:proofErr w:type="spellStart"/>
      <w:r>
        <w:rPr>
          <w:rFonts w:ascii="Book Antiqua" w:eastAsia="Book Antiqua" w:hAnsi="Book Antiqua" w:cs="Book Antiqua"/>
          <w:color w:val="000000"/>
        </w:rPr>
        <w:t>Remsima</w:t>
      </w:r>
      <w:proofErr w:type="spellEnd"/>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was administered at a standard dose of 5 mg/kg </w:t>
      </w:r>
      <w:r>
        <w:rPr>
          <w:rFonts w:ascii="Book Antiqua" w:eastAsia="Book Antiqua" w:hAnsi="Book Antiqua" w:cs="Book Antiqua"/>
          <w:i/>
          <w:iCs/>
          <w:color w:val="000000"/>
        </w:rPr>
        <w:t>via</w:t>
      </w:r>
      <w:r>
        <w:rPr>
          <w:rFonts w:ascii="Book Antiqua" w:eastAsia="Book Antiqua" w:hAnsi="Book Antiqua" w:cs="Book Antiqua"/>
          <w:color w:val="000000"/>
        </w:rPr>
        <w:t xml:space="preserve"> a 2-h intravenous infusion. Patients were invited to take part and were included in the study if they agreed to participate and their eligibility was confirmed.</w:t>
      </w:r>
    </w:p>
    <w:p w14:paraId="0F79F115" w14:textId="77777777" w:rsidR="00A77B3E" w:rsidRDefault="00A77B3E" w:rsidP="00CA3946">
      <w:pPr>
        <w:spacing w:line="360" w:lineRule="auto"/>
        <w:jc w:val="both"/>
      </w:pPr>
    </w:p>
    <w:p w14:paraId="5422668E" w14:textId="77777777" w:rsidR="00A77B3E" w:rsidRDefault="005513F1" w:rsidP="00CA3946">
      <w:pPr>
        <w:spacing w:line="360" w:lineRule="auto"/>
        <w:jc w:val="both"/>
      </w:pPr>
      <w:r>
        <w:rPr>
          <w:rFonts w:ascii="Book Antiqua" w:eastAsia="Book Antiqua" w:hAnsi="Book Antiqua" w:cs="Book Antiqua"/>
          <w:b/>
          <w:bCs/>
          <w:i/>
          <w:iCs/>
          <w:color w:val="000000"/>
        </w:rPr>
        <w:t>Variables and endpoints</w:t>
      </w:r>
    </w:p>
    <w:p w14:paraId="46C52AB4" w14:textId="771222BD" w:rsidR="00A77B3E" w:rsidRDefault="005513F1" w:rsidP="00CA3946">
      <w:pPr>
        <w:spacing w:line="360" w:lineRule="auto"/>
        <w:jc w:val="both"/>
      </w:pPr>
      <w:r>
        <w:rPr>
          <w:rFonts w:ascii="Book Antiqua" w:eastAsia="Book Antiqua" w:hAnsi="Book Antiqua" w:cs="Book Antiqua"/>
          <w:color w:val="000000"/>
        </w:rPr>
        <w:t>The primary endpoint</w:t>
      </w:r>
      <w:r w:rsidR="00500E10">
        <w:rPr>
          <w:rFonts w:ascii="Book Antiqua" w:eastAsia="Book Antiqua" w:hAnsi="Book Antiqua" w:cs="Book Antiqua"/>
          <w:color w:val="000000"/>
        </w:rPr>
        <w:t>s were</w:t>
      </w:r>
      <w:r>
        <w:rPr>
          <w:rFonts w:ascii="Book Antiqua" w:eastAsia="Book Antiqua" w:hAnsi="Book Antiqua" w:cs="Book Antiqua"/>
          <w:color w:val="000000"/>
        </w:rPr>
        <w:t xml:space="preserve"> clinical response rate and number of adverse events in IBD patients treated with CT-P13 (</w:t>
      </w:r>
      <w:proofErr w:type="spellStart"/>
      <w:r>
        <w:rPr>
          <w:rFonts w:ascii="Book Antiqua" w:eastAsia="Book Antiqua" w:hAnsi="Book Antiqua" w:cs="Book Antiqua"/>
          <w:color w:val="000000"/>
        </w:rPr>
        <w:t>Remsima</w:t>
      </w:r>
      <w:proofErr w:type="spellEnd"/>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in real-life practice. Variables were collected </w:t>
      </w:r>
      <w:r>
        <w:rPr>
          <w:rFonts w:ascii="Book Antiqua" w:eastAsia="Book Antiqua" w:hAnsi="Book Antiqua" w:cs="Book Antiqua"/>
          <w:color w:val="000000"/>
        </w:rPr>
        <w:lastRenderedPageBreak/>
        <w:t xml:space="preserve">at baseline and every three months during </w:t>
      </w:r>
      <w:r w:rsidR="00500E10">
        <w:rPr>
          <w:rFonts w:ascii="Book Antiqua" w:eastAsia="Book Antiqua" w:hAnsi="Book Antiqua" w:cs="Book Antiqua"/>
          <w:color w:val="000000"/>
        </w:rPr>
        <w:t xml:space="preserve">the </w:t>
      </w:r>
      <w:r>
        <w:rPr>
          <w:rFonts w:ascii="Book Antiqua" w:eastAsia="Book Antiqua" w:hAnsi="Book Antiqua" w:cs="Book Antiqua"/>
          <w:color w:val="000000"/>
        </w:rPr>
        <w:t xml:space="preserve">12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follow-up </w:t>
      </w:r>
      <w:r w:rsidR="00500E10">
        <w:rPr>
          <w:rFonts w:ascii="Book Antiqua" w:eastAsia="Book Antiqua" w:hAnsi="Book Antiqua" w:cs="Book Antiqua"/>
          <w:color w:val="000000"/>
        </w:rPr>
        <w:t xml:space="preserve">period </w:t>
      </w:r>
      <w:r>
        <w:rPr>
          <w:rFonts w:ascii="Book Antiqua" w:eastAsia="Book Antiqua" w:hAnsi="Book Antiqua" w:cs="Book Antiqua"/>
          <w:color w:val="000000"/>
        </w:rPr>
        <w:t>(Table 1). CT-P13 (</w:t>
      </w:r>
      <w:proofErr w:type="spellStart"/>
      <w:r>
        <w:rPr>
          <w:rFonts w:ascii="Book Antiqua" w:eastAsia="Book Antiqua" w:hAnsi="Book Antiqua" w:cs="Book Antiqua"/>
          <w:color w:val="000000"/>
        </w:rPr>
        <w:t>Remsima</w:t>
      </w:r>
      <w:proofErr w:type="spellEnd"/>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trough levels and anti-drug antibodies were determined according to clinical practice before each infusion. The primary efficacy variable was the proportion of patients who were in clinical remission and/or had a clinical response at each visit.</w:t>
      </w:r>
    </w:p>
    <w:p w14:paraId="1504226C" w14:textId="77777777" w:rsidR="00A77B3E" w:rsidRDefault="005513F1" w:rsidP="00CA3946">
      <w:pPr>
        <w:spacing w:line="360" w:lineRule="auto"/>
        <w:ind w:firstLine="708"/>
        <w:jc w:val="both"/>
      </w:pPr>
      <w:r>
        <w:rPr>
          <w:rFonts w:ascii="Book Antiqua" w:eastAsia="Book Antiqua" w:hAnsi="Book Antiqua" w:cs="Book Antiqua"/>
          <w:color w:val="000000"/>
        </w:rPr>
        <w:t>Clinical disease was considered active when the HBI (Harvey-Bradshaw Index) was &gt; 4 (CD) or PMS (Partial Mayo Score) was &gt; 2 (UC) or the patient had an active perianal fistula in CD. A fistula was considered active if it presented suppuration spontaneously or with digital pressure, and inactive if there was no suppuration. Clinical remission was defined as HBI ≤ 4 (CD) or PMS ≤ 2 (UC), without corticosteroids, or an inactive perianal fistula. A clinical response was defined as a decrease of at least 2 points in the HBI or PMS or improvement of the perianal fistula. The disease was considered stable when HBI was ≤ 4 (CD) or PMS was ≤ 2 (UC) and C-reactive protein (CRP) was &lt; 5 mg/L for at least 6 mo. Relapse or exacerbation was defined as the need to scale the dosage of CT-P13 (</w:t>
      </w:r>
      <w:proofErr w:type="spellStart"/>
      <w:r>
        <w:rPr>
          <w:rFonts w:ascii="Book Antiqua" w:eastAsia="Book Antiqua" w:hAnsi="Book Antiqua" w:cs="Book Antiqua"/>
          <w:color w:val="000000"/>
        </w:rPr>
        <w:t>Remsima</w:t>
      </w:r>
      <w:proofErr w:type="spellEnd"/>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(shorten interval and/or increase doses), the addition of corticosteroids, or switching to another biologic agent based on the physician's decision. Loss of response was defined as active disease after a primary response following at least the first four infusions of the biologic drug.</w:t>
      </w:r>
    </w:p>
    <w:p w14:paraId="5AA93358" w14:textId="0DCB97BC" w:rsidR="00A77B3E" w:rsidRDefault="005513F1" w:rsidP="00CA3946">
      <w:pPr>
        <w:spacing w:line="360" w:lineRule="auto"/>
        <w:ind w:firstLine="708"/>
        <w:jc w:val="both"/>
      </w:pPr>
      <w:r>
        <w:rPr>
          <w:rFonts w:ascii="Book Antiqua" w:eastAsia="Book Antiqua" w:hAnsi="Book Antiqua" w:cs="Book Antiqua"/>
          <w:color w:val="000000"/>
        </w:rPr>
        <w:t>The CD</w:t>
      </w:r>
      <w:r w:rsidR="00500E10">
        <w:rPr>
          <w:rFonts w:ascii="Book Antiqua" w:eastAsia="Book Antiqua" w:hAnsi="Book Antiqua" w:cs="Book Antiqua"/>
          <w:color w:val="000000"/>
        </w:rPr>
        <w:t xml:space="preserve"> activity</w:t>
      </w:r>
      <w:r>
        <w:rPr>
          <w:rFonts w:ascii="Book Antiqua" w:eastAsia="Book Antiqua" w:hAnsi="Book Antiqua" w:cs="Book Antiqua"/>
          <w:color w:val="000000"/>
        </w:rPr>
        <w:t xml:space="preserve"> index </w:t>
      </w:r>
      <w:r w:rsidR="00500E10">
        <w:rPr>
          <w:rFonts w:ascii="Book Antiqua" w:eastAsia="Book Antiqua" w:hAnsi="Book Antiqua" w:cs="Book Antiqua"/>
          <w:color w:val="000000"/>
        </w:rPr>
        <w:t xml:space="preserve">(CDAI) </w:t>
      </w:r>
      <w:r>
        <w:rPr>
          <w:rFonts w:ascii="Book Antiqua" w:eastAsia="Book Antiqua" w:hAnsi="Book Antiqua" w:cs="Book Antiqua"/>
          <w:color w:val="000000"/>
        </w:rPr>
        <w:t>was determined in patients with Crohn's disease at baseline and at each of the evaluations. The Truelove-Witts index was used in patients with UC.</w:t>
      </w:r>
    </w:p>
    <w:p w14:paraId="282393F5" w14:textId="77777777" w:rsidR="00A77B3E" w:rsidRDefault="00A77B3E" w:rsidP="00CA3946">
      <w:pPr>
        <w:spacing w:line="360" w:lineRule="auto"/>
        <w:ind w:firstLine="708"/>
        <w:jc w:val="both"/>
      </w:pPr>
    </w:p>
    <w:p w14:paraId="77EFE170" w14:textId="77777777" w:rsidR="00A77B3E" w:rsidRDefault="005513F1" w:rsidP="00CA3946">
      <w:pPr>
        <w:spacing w:line="360" w:lineRule="auto"/>
        <w:jc w:val="both"/>
      </w:pPr>
      <w:r>
        <w:rPr>
          <w:rFonts w:ascii="Book Antiqua" w:eastAsia="Book Antiqua" w:hAnsi="Book Antiqua" w:cs="Book Antiqua"/>
          <w:b/>
          <w:bCs/>
          <w:i/>
          <w:iCs/>
          <w:color w:val="000000"/>
        </w:rPr>
        <w:t>Safety measures</w:t>
      </w:r>
    </w:p>
    <w:p w14:paraId="48A871CF" w14:textId="77777777" w:rsidR="00A77B3E" w:rsidRDefault="005513F1" w:rsidP="00CA3946">
      <w:pPr>
        <w:spacing w:line="360" w:lineRule="auto"/>
        <w:jc w:val="both"/>
      </w:pPr>
      <w:r>
        <w:rPr>
          <w:rFonts w:ascii="Book Antiqua" w:eastAsia="Book Antiqua" w:hAnsi="Book Antiqua" w:cs="Book Antiqua"/>
          <w:color w:val="000000"/>
        </w:rPr>
        <w:t>The safety variable was the number of adverse effects described in the follow-up.</w:t>
      </w:r>
    </w:p>
    <w:p w14:paraId="7F69188B" w14:textId="77777777" w:rsidR="00C848CC" w:rsidRDefault="00C848CC" w:rsidP="00C848CC">
      <w:pPr>
        <w:spacing w:line="360" w:lineRule="auto"/>
        <w:jc w:val="both"/>
        <w:rPr>
          <w:rFonts w:ascii="Book Antiqua" w:eastAsia="Book Antiqua" w:hAnsi="Book Antiqua" w:cs="Book Antiqua"/>
          <w:b/>
          <w:bCs/>
          <w:color w:val="000000"/>
        </w:rPr>
      </w:pPr>
    </w:p>
    <w:p w14:paraId="0122F03D" w14:textId="5688D080" w:rsidR="00A77B3E" w:rsidRDefault="005513F1" w:rsidP="00C848CC">
      <w:pPr>
        <w:spacing w:line="360" w:lineRule="auto"/>
        <w:jc w:val="both"/>
      </w:pPr>
      <w:r>
        <w:rPr>
          <w:rFonts w:ascii="Book Antiqua" w:eastAsia="Book Antiqua" w:hAnsi="Book Antiqua" w:cs="Book Antiqua"/>
          <w:b/>
          <w:bCs/>
          <w:color w:val="000000"/>
        </w:rPr>
        <w:t>Adverse events:</w:t>
      </w:r>
      <w:r>
        <w:rPr>
          <w:rFonts w:ascii="Book Antiqua" w:eastAsia="Book Antiqua" w:hAnsi="Book Antiqua" w:cs="Book Antiqua"/>
          <w:color w:val="000000"/>
        </w:rPr>
        <w:t xml:space="preserve"> type, severity (low, mild, severe), whether they were related </w:t>
      </w:r>
      <w:r w:rsidR="00500E10">
        <w:rPr>
          <w:rFonts w:ascii="Book Antiqua" w:eastAsia="Book Antiqua" w:hAnsi="Book Antiqua" w:cs="Book Antiqua"/>
          <w:color w:val="000000"/>
        </w:rPr>
        <w:t>to</w:t>
      </w:r>
      <w:r>
        <w:rPr>
          <w:rFonts w:ascii="Book Antiqua" w:eastAsia="Book Antiqua" w:hAnsi="Book Antiqua" w:cs="Book Antiqua"/>
          <w:color w:val="000000"/>
        </w:rPr>
        <w:t xml:space="preserve"> CT-P13 (</w:t>
      </w:r>
      <w:proofErr w:type="spellStart"/>
      <w:r>
        <w:rPr>
          <w:rFonts w:ascii="Book Antiqua" w:eastAsia="Book Antiqua" w:hAnsi="Book Antiqua" w:cs="Book Antiqua"/>
          <w:color w:val="000000"/>
        </w:rPr>
        <w:t>Remsima</w:t>
      </w:r>
      <w:proofErr w:type="spellEnd"/>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or not, duration (days), hospitalization (yes or no), and need for surgery (if yes, the reasons for surgery). Variables were collected in a CRF every three months.</w:t>
      </w:r>
    </w:p>
    <w:p w14:paraId="34670610" w14:textId="77777777" w:rsidR="00A77B3E" w:rsidRDefault="00A77B3E" w:rsidP="00CA3946">
      <w:pPr>
        <w:spacing w:line="360" w:lineRule="auto"/>
        <w:ind w:firstLine="708"/>
        <w:jc w:val="both"/>
      </w:pPr>
    </w:p>
    <w:p w14:paraId="6F606C9A" w14:textId="77777777" w:rsidR="00A77B3E" w:rsidRDefault="005513F1" w:rsidP="00CA3946">
      <w:pPr>
        <w:spacing w:line="360" w:lineRule="auto"/>
        <w:jc w:val="both"/>
      </w:pPr>
      <w:r>
        <w:rPr>
          <w:rFonts w:ascii="Book Antiqua" w:eastAsia="Book Antiqua" w:hAnsi="Book Antiqua" w:cs="Book Antiqua"/>
          <w:b/>
          <w:bCs/>
          <w:i/>
          <w:iCs/>
          <w:color w:val="000000"/>
        </w:rPr>
        <w:t>Statistical analysis</w:t>
      </w:r>
    </w:p>
    <w:p w14:paraId="61333EA6" w14:textId="4E686C45" w:rsidR="00A77B3E" w:rsidRDefault="005513F1" w:rsidP="00CA3946">
      <w:pPr>
        <w:spacing w:line="360" w:lineRule="auto"/>
        <w:jc w:val="both"/>
      </w:pPr>
      <w:r>
        <w:rPr>
          <w:rFonts w:ascii="Book Antiqua" w:eastAsia="Book Antiqua" w:hAnsi="Book Antiqua" w:cs="Book Antiqua"/>
          <w:color w:val="000000"/>
        </w:rPr>
        <w:lastRenderedPageBreak/>
        <w:t xml:space="preserve">The statistical analyses </w:t>
      </w:r>
      <w:r w:rsidR="00500E10">
        <w:rPr>
          <w:rFonts w:ascii="Book Antiqua" w:eastAsia="Book Antiqua" w:hAnsi="Book Antiqua" w:cs="Book Antiqua"/>
          <w:color w:val="000000"/>
        </w:rPr>
        <w:t>in</w:t>
      </w:r>
      <w:r>
        <w:rPr>
          <w:rFonts w:ascii="Book Antiqua" w:eastAsia="Book Antiqua" w:hAnsi="Book Antiqua" w:cs="Book Antiqua"/>
          <w:color w:val="000000"/>
        </w:rPr>
        <w:t xml:space="preserve"> this study were performed by Joaquin Peña </w:t>
      </w:r>
      <w:proofErr w:type="spellStart"/>
      <w:r>
        <w:rPr>
          <w:rFonts w:ascii="Book Antiqua" w:eastAsia="Book Antiqua" w:hAnsi="Book Antiqua" w:cs="Book Antiqua"/>
          <w:color w:val="000000"/>
        </w:rPr>
        <w:t>Siles</w:t>
      </w:r>
      <w:proofErr w:type="spellEnd"/>
      <w:r>
        <w:rPr>
          <w:rFonts w:ascii="Book Antiqua" w:eastAsia="Book Antiqua" w:hAnsi="Book Antiqua" w:cs="Book Antiqua"/>
          <w:color w:val="000000"/>
        </w:rPr>
        <w:t xml:space="preserve"> and Jose Antonio Parejo </w:t>
      </w:r>
      <w:proofErr w:type="spellStart"/>
      <w:r>
        <w:rPr>
          <w:rFonts w:ascii="Book Antiqua" w:eastAsia="Book Antiqua" w:hAnsi="Book Antiqua" w:cs="Book Antiqua"/>
          <w:color w:val="000000"/>
        </w:rPr>
        <w:t>Maestre</w:t>
      </w:r>
      <w:proofErr w:type="spellEnd"/>
      <w:r>
        <w:rPr>
          <w:rFonts w:ascii="Book Antiqua" w:eastAsia="Book Antiqua" w:hAnsi="Book Antiqua" w:cs="Book Antiqua"/>
          <w:color w:val="000000"/>
        </w:rPr>
        <w:t xml:space="preserve"> from </w:t>
      </w:r>
      <w:r w:rsidR="00500E10">
        <w:rPr>
          <w:rFonts w:ascii="Book Antiqua" w:eastAsia="Book Antiqua" w:hAnsi="Book Antiqua" w:cs="Book Antiqua"/>
          <w:color w:val="000000"/>
        </w:rPr>
        <w:t xml:space="preserve">the </w:t>
      </w:r>
      <w:r>
        <w:rPr>
          <w:rFonts w:ascii="Book Antiqua" w:eastAsia="Book Antiqua" w:hAnsi="Book Antiqua" w:cs="Book Antiqua"/>
          <w:color w:val="000000"/>
        </w:rPr>
        <w:t xml:space="preserve">University of Seville. Sample size was not defined. The choice of treatment was based on usual clinical practice. A descriptive analysis of all the variables of interest was made. The results of continuous variables </w:t>
      </w:r>
      <w:r w:rsidR="00500E10">
        <w:rPr>
          <w:rFonts w:ascii="Book Antiqua" w:eastAsia="Book Antiqua" w:hAnsi="Book Antiqua" w:cs="Book Antiqua"/>
          <w:color w:val="000000"/>
        </w:rPr>
        <w:t>are</w:t>
      </w:r>
      <w:r>
        <w:rPr>
          <w:rFonts w:ascii="Book Antiqua" w:eastAsia="Book Antiqua" w:hAnsi="Book Antiqua" w:cs="Book Antiqua"/>
          <w:color w:val="000000"/>
        </w:rPr>
        <w:t xml:space="preserve"> presented as mean ± SD. The results for categorical variables </w:t>
      </w:r>
      <w:r w:rsidR="00500E10">
        <w:rPr>
          <w:rFonts w:ascii="Book Antiqua" w:eastAsia="Book Antiqua" w:hAnsi="Book Antiqua" w:cs="Book Antiqua"/>
          <w:color w:val="000000"/>
        </w:rPr>
        <w:t>are</w:t>
      </w:r>
      <w:r>
        <w:rPr>
          <w:rFonts w:ascii="Book Antiqua" w:eastAsia="Book Antiqua" w:hAnsi="Book Antiqua" w:cs="Book Antiqua"/>
          <w:color w:val="000000"/>
        </w:rPr>
        <w:t xml:space="preserve"> presented as frequencies and percentages. The statistical analysis included appropriate measures for statistical significance (Student’s paired two-sample </w:t>
      </w:r>
      <w:r>
        <w:rPr>
          <w:rFonts w:ascii="Book Antiqua" w:eastAsia="Book Antiqua" w:hAnsi="Book Antiqua" w:cs="Book Antiqua"/>
          <w:i/>
          <w:iCs/>
          <w:color w:val="000000"/>
        </w:rPr>
        <w:t>t</w:t>
      </w:r>
      <w:r>
        <w:rPr>
          <w:rFonts w:ascii="Book Antiqua" w:eastAsia="Book Antiqua" w:hAnsi="Book Antiqua" w:cs="Book Antiqua"/>
          <w:color w:val="000000"/>
        </w:rPr>
        <w:t xml:space="preserve">-test) using the standard cutoff for significance of </w:t>
      </w:r>
      <w:r>
        <w:rPr>
          <w:rFonts w:ascii="Book Antiqua" w:eastAsia="Book Antiqua" w:hAnsi="Book Antiqua" w:cs="Book Antiqua"/>
          <w:i/>
          <w:iCs/>
          <w:caps/>
          <w:color w:val="000000"/>
        </w:rPr>
        <w:t>p</w:t>
      </w:r>
      <w:r>
        <w:rPr>
          <w:rFonts w:ascii="Book Antiqua" w:eastAsia="Book Antiqua" w:hAnsi="Book Antiqua" w:cs="Book Antiqua"/>
          <w:i/>
          <w:iCs/>
          <w:color w:val="000000"/>
        </w:rPr>
        <w:t xml:space="preserve"> &lt; </w:t>
      </w:r>
      <w:r>
        <w:rPr>
          <w:rFonts w:ascii="Book Antiqua" w:eastAsia="Book Antiqua" w:hAnsi="Book Antiqua" w:cs="Book Antiqua"/>
          <w:color w:val="000000"/>
        </w:rPr>
        <w:t>0.05</w:t>
      </w:r>
      <w:r>
        <w:rPr>
          <w:rFonts w:ascii="Book Antiqua" w:eastAsia="Book Antiqua" w:hAnsi="Book Antiqua" w:cs="Book Antiqua"/>
          <w:i/>
          <w:iCs/>
          <w:color w:val="000000"/>
        </w:rPr>
        <w:t xml:space="preserve"> via</w:t>
      </w:r>
      <w:r>
        <w:rPr>
          <w:rFonts w:ascii="Book Antiqua" w:eastAsia="Book Antiqua" w:hAnsi="Book Antiqua" w:cs="Book Antiqua"/>
          <w:color w:val="000000"/>
        </w:rPr>
        <w:t xml:space="preserve"> Microsoft Excel.</w:t>
      </w:r>
    </w:p>
    <w:p w14:paraId="05F761B7" w14:textId="77777777" w:rsidR="00A77B3E" w:rsidRDefault="00A77B3E" w:rsidP="00CA3946">
      <w:pPr>
        <w:spacing w:line="360" w:lineRule="auto"/>
        <w:jc w:val="both"/>
      </w:pPr>
    </w:p>
    <w:p w14:paraId="7E6C632C" w14:textId="77777777" w:rsidR="00A77B3E" w:rsidRDefault="005513F1" w:rsidP="00CA3946">
      <w:pPr>
        <w:spacing w:line="360" w:lineRule="auto"/>
        <w:jc w:val="both"/>
      </w:pPr>
      <w:r>
        <w:rPr>
          <w:rFonts w:ascii="Book Antiqua" w:eastAsia="Book Antiqua" w:hAnsi="Book Antiqua" w:cs="Book Antiqua"/>
          <w:b/>
          <w:caps/>
          <w:color w:val="000000"/>
          <w:u w:val="single"/>
        </w:rPr>
        <w:t>RESULTS</w:t>
      </w:r>
    </w:p>
    <w:p w14:paraId="1F2589F2" w14:textId="77777777" w:rsidR="00A77B3E" w:rsidRDefault="005513F1" w:rsidP="00CA3946">
      <w:pPr>
        <w:spacing w:line="360" w:lineRule="auto"/>
        <w:jc w:val="both"/>
      </w:pPr>
      <w:r>
        <w:rPr>
          <w:rFonts w:ascii="Book Antiqua" w:eastAsia="Book Antiqua" w:hAnsi="Book Antiqua" w:cs="Book Antiqua"/>
          <w:b/>
          <w:bCs/>
          <w:i/>
          <w:iCs/>
          <w:color w:val="000000"/>
        </w:rPr>
        <w:t>Patient characteristics</w:t>
      </w:r>
    </w:p>
    <w:p w14:paraId="7E29BF3C" w14:textId="26B38C4C" w:rsidR="00A77B3E" w:rsidRDefault="005513F1" w:rsidP="00CA3946">
      <w:pPr>
        <w:spacing w:line="360" w:lineRule="auto"/>
        <w:jc w:val="both"/>
      </w:pPr>
      <w:r>
        <w:rPr>
          <w:rFonts w:ascii="Book Antiqua" w:eastAsia="Book Antiqua" w:hAnsi="Book Antiqua" w:cs="Book Antiqua"/>
          <w:color w:val="000000"/>
        </w:rPr>
        <w:t>A total of 220 IBD patients treated with CT-P13 (</w:t>
      </w:r>
      <w:proofErr w:type="spellStart"/>
      <w:r>
        <w:rPr>
          <w:rFonts w:ascii="Book Antiqua" w:eastAsia="Book Antiqua" w:hAnsi="Book Antiqua" w:cs="Book Antiqua"/>
          <w:color w:val="000000"/>
        </w:rPr>
        <w:t>Remsima</w:t>
      </w:r>
      <w:proofErr w:type="spellEnd"/>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were included in the study: 87 (40%) with UC and 133 (60%) with CD. At the time of starting CT-P13 (</w:t>
      </w:r>
      <w:proofErr w:type="spellStart"/>
      <w:r>
        <w:rPr>
          <w:rFonts w:ascii="Book Antiqua" w:eastAsia="Book Antiqua" w:hAnsi="Book Antiqua" w:cs="Book Antiqua"/>
          <w:color w:val="000000"/>
        </w:rPr>
        <w:t>Remsima</w:t>
      </w:r>
      <w:proofErr w:type="spellEnd"/>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treatment, the mean age was 41.47 (SD 15.74)</w:t>
      </w:r>
      <w:r w:rsidR="000E3782">
        <w:rPr>
          <w:rFonts w:ascii="Book Antiqua" w:eastAsia="Book Antiqua" w:hAnsi="Book Antiqua" w:cs="Book Antiqua"/>
          <w:color w:val="000000"/>
        </w:rPr>
        <w:t xml:space="preserve"> years</w:t>
      </w:r>
      <w:r>
        <w:rPr>
          <w:rFonts w:ascii="Book Antiqua" w:eastAsia="Book Antiqua" w:hAnsi="Book Antiqua" w:cs="Book Antiqua"/>
          <w:color w:val="000000"/>
        </w:rPr>
        <w:t xml:space="preserve">. Patients were evenly distributed by sex: 42% were male and 58% were female. Most patients (140, 63.6%) were non-smokers, 37 (16.8%) were smokers, and 28 (12.8%) were former smokers. </w:t>
      </w:r>
    </w:p>
    <w:p w14:paraId="229A5516" w14:textId="511A0F08" w:rsidR="00A77B3E" w:rsidRDefault="005513F1" w:rsidP="00CA3946">
      <w:pPr>
        <w:spacing w:line="360" w:lineRule="auto"/>
        <w:ind w:firstLine="708"/>
        <w:jc w:val="both"/>
      </w:pPr>
      <w:r>
        <w:rPr>
          <w:rFonts w:ascii="Book Antiqua" w:eastAsia="Book Antiqua" w:hAnsi="Book Antiqua" w:cs="Book Antiqua"/>
          <w:color w:val="000000"/>
        </w:rPr>
        <w:t xml:space="preserve">Table 2 shows the clinical characteristics of </w:t>
      </w:r>
      <w:r w:rsidR="000E3782">
        <w:rPr>
          <w:rFonts w:ascii="Book Antiqua" w:eastAsia="Book Antiqua" w:hAnsi="Book Antiqua" w:cs="Book Antiqua"/>
          <w:color w:val="000000"/>
        </w:rPr>
        <w:t xml:space="preserve">the </w:t>
      </w:r>
      <w:r>
        <w:rPr>
          <w:rFonts w:ascii="Book Antiqua" w:eastAsia="Book Antiqua" w:hAnsi="Book Antiqua" w:cs="Book Antiqua"/>
          <w:color w:val="000000"/>
        </w:rPr>
        <w:t xml:space="preserve">study patients at baseline, including previous and current treatments. Before their inclusion in the study, some of the patients had previously been treated with biologic agents: 35 patients (21 with CD and 14 with UC) had received treatment with infliximab, and 22 (15 with CD and seven with UC) with adalimumab. At the time of the study, 74 (35%) patients were concomitantly treated with corticosteroids. The disease phenotypes of CD and UC according to the Montreal </w:t>
      </w:r>
      <w:proofErr w:type="gramStart"/>
      <w:r>
        <w:rPr>
          <w:rFonts w:ascii="Book Antiqua" w:eastAsia="Book Antiqua" w:hAnsi="Book Antiqua" w:cs="Book Antiqua"/>
          <w:color w:val="000000"/>
        </w:rPr>
        <w:t>classification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39]</w:t>
      </w:r>
      <w:r>
        <w:rPr>
          <w:rFonts w:ascii="Book Antiqua" w:eastAsia="Book Antiqua" w:hAnsi="Book Antiqua" w:cs="Book Antiqua"/>
          <w:color w:val="000000"/>
        </w:rPr>
        <w:t xml:space="preserve"> are shown in Table 3.</w:t>
      </w:r>
    </w:p>
    <w:p w14:paraId="15BF033D" w14:textId="77777777" w:rsidR="00A77B3E" w:rsidRDefault="005513F1" w:rsidP="00CA3946">
      <w:pPr>
        <w:spacing w:line="360" w:lineRule="auto"/>
        <w:ind w:firstLine="708"/>
        <w:jc w:val="both"/>
      </w:pPr>
      <w:r>
        <w:rPr>
          <w:rFonts w:ascii="Book Antiqua" w:eastAsia="Book Antiqua" w:hAnsi="Book Antiqua" w:cs="Book Antiqua"/>
          <w:color w:val="000000"/>
        </w:rPr>
        <w:t>Only 19 (9%) patients started treatment with CT-P13 (</w:t>
      </w:r>
      <w:proofErr w:type="spellStart"/>
      <w:r>
        <w:rPr>
          <w:rFonts w:ascii="Book Antiqua" w:eastAsia="Book Antiqua" w:hAnsi="Book Antiqua" w:cs="Book Antiqua"/>
          <w:color w:val="000000"/>
        </w:rPr>
        <w:t>Remsima</w:t>
      </w:r>
      <w:proofErr w:type="spellEnd"/>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after switching from infliximab. Of the remaining 201 patients, 142 (65%) were naïve to biologic agents; 25 (11%) started treatment with CT-P13 due to failure to respond to previous biological treatments [21 (84%) to adalimumab, 1 (4%) to certolizumab, 1 (4%) to vedolizumab, and 2 (8%) unspecified]; 20 (9%) had been treated with </w:t>
      </w:r>
      <w:proofErr w:type="spellStart"/>
      <w:r>
        <w:rPr>
          <w:rFonts w:ascii="Book Antiqua" w:eastAsia="Book Antiqua" w:hAnsi="Book Antiqua" w:cs="Book Antiqua"/>
          <w:color w:val="000000"/>
        </w:rPr>
        <w:t>Inflectra</w:t>
      </w:r>
      <w:proofErr w:type="spellEnd"/>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another commercial name for CT-P13; and in 14 (6%) cases, treatment was not specified. These patients had </w:t>
      </w:r>
      <w:r>
        <w:rPr>
          <w:rFonts w:ascii="Book Antiqua" w:eastAsia="Book Antiqua" w:hAnsi="Book Antiqua" w:cs="Book Antiqua"/>
          <w:color w:val="000000"/>
        </w:rPr>
        <w:lastRenderedPageBreak/>
        <w:t>pharmacological and clinical reasons for starting CT-P13 (</w:t>
      </w:r>
      <w:proofErr w:type="spellStart"/>
      <w:r>
        <w:rPr>
          <w:rFonts w:ascii="Book Antiqua" w:eastAsia="Book Antiqua" w:hAnsi="Book Antiqua" w:cs="Book Antiqua"/>
          <w:color w:val="000000"/>
        </w:rPr>
        <w:t>Remsima</w:t>
      </w:r>
      <w:proofErr w:type="spellEnd"/>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Among the pharmacological reasons, we found dependence on or resistance to corticosteroids, intolerance or resistance to IMM, and combinations of these reasons. The most frequent reasons were resistance to IMM (15%), dependence on corticosteroids (12%), and intolerance to IMM (10%). The main clinical reason for starting CT-P13 (</w:t>
      </w:r>
      <w:proofErr w:type="spellStart"/>
      <w:r>
        <w:rPr>
          <w:rFonts w:ascii="Book Antiqua" w:eastAsia="Book Antiqua" w:hAnsi="Book Antiqua" w:cs="Book Antiqua"/>
          <w:color w:val="000000"/>
        </w:rPr>
        <w:t>Remsima</w:t>
      </w:r>
      <w:proofErr w:type="spellEnd"/>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was moderate exacerbation (42%). Other clinical reasons included severe exacerbation (12%), mild exacerbation (5%), perianal disease (5%), extraintestinal manifestations (1%), and combinations of some of these reasons.</w:t>
      </w:r>
    </w:p>
    <w:p w14:paraId="5BEBF142" w14:textId="77777777" w:rsidR="00A77B3E" w:rsidRDefault="00A77B3E" w:rsidP="00CA3946">
      <w:pPr>
        <w:spacing w:line="360" w:lineRule="auto"/>
        <w:ind w:firstLine="708"/>
        <w:jc w:val="both"/>
      </w:pPr>
    </w:p>
    <w:p w14:paraId="0593505D" w14:textId="77777777" w:rsidR="00A77B3E" w:rsidRDefault="005513F1" w:rsidP="00CA3946">
      <w:pPr>
        <w:spacing w:line="360" w:lineRule="auto"/>
        <w:jc w:val="both"/>
      </w:pPr>
      <w:r>
        <w:rPr>
          <w:rFonts w:ascii="Book Antiqua" w:eastAsia="Book Antiqua" w:hAnsi="Book Antiqua" w:cs="Book Antiqua"/>
          <w:b/>
          <w:bCs/>
          <w:i/>
          <w:iCs/>
          <w:color w:val="000000"/>
        </w:rPr>
        <w:t>Clinical course</w:t>
      </w:r>
    </w:p>
    <w:p w14:paraId="7F7EBC06" w14:textId="77777777" w:rsidR="00A77B3E" w:rsidRDefault="005513F1" w:rsidP="00CA3946">
      <w:pPr>
        <w:spacing w:line="360" w:lineRule="auto"/>
        <w:jc w:val="both"/>
      </w:pPr>
      <w:r>
        <w:rPr>
          <w:rFonts w:ascii="Book Antiqua" w:eastAsia="Book Antiqua" w:hAnsi="Book Antiqua" w:cs="Book Antiqua"/>
          <w:color w:val="000000"/>
        </w:rPr>
        <w:t>Of the 19 patients who switched from infliximab original (Remicade</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12 had already completed 12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of follow-up at the time of the study. Of these, 10 patients (83.3%) remained in remission.</w:t>
      </w:r>
    </w:p>
    <w:p w14:paraId="3C0033E2" w14:textId="458C7D59" w:rsidR="00A77B3E" w:rsidRPr="00CA3946" w:rsidRDefault="005513F1" w:rsidP="00CA3946">
      <w:pPr>
        <w:spacing w:line="360" w:lineRule="auto"/>
        <w:ind w:firstLine="480"/>
        <w:jc w:val="both"/>
        <w:rPr>
          <w:lang w:eastAsia="zh-CN"/>
        </w:rPr>
      </w:pPr>
      <w:r>
        <w:rPr>
          <w:rFonts w:ascii="Book Antiqua" w:eastAsia="Book Antiqua" w:hAnsi="Book Antiqua" w:cs="Book Antiqua"/>
          <w:color w:val="000000"/>
        </w:rPr>
        <w:t xml:space="preserve">Of the remaining 201 patients, 81 had already completed 12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of follow-up at the time of the study. At baseline, 68.6% (</w:t>
      </w:r>
      <w:r>
        <w:rPr>
          <w:rFonts w:ascii="Book Antiqua" w:eastAsia="Book Antiqua" w:hAnsi="Book Antiqua" w:cs="Book Antiqua"/>
          <w:i/>
          <w:iCs/>
          <w:color w:val="000000"/>
        </w:rPr>
        <w:t>n</w:t>
      </w:r>
      <w:r>
        <w:rPr>
          <w:rFonts w:ascii="Book Antiqua" w:eastAsia="Book Antiqua" w:hAnsi="Book Antiqua" w:cs="Book Antiqua"/>
          <w:color w:val="000000"/>
        </w:rPr>
        <w:t xml:space="preserve"> = 138/201) of patients presented with active disease; the remainder were in remission after having started treatment with corticosteroids (see </w:t>
      </w:r>
      <w:r>
        <w:rPr>
          <w:rFonts w:ascii="Book Antiqua" w:eastAsia="Book Antiqua" w:hAnsi="Book Antiqua" w:cs="Book Antiqua"/>
          <w:caps/>
          <w:color w:val="000000"/>
        </w:rPr>
        <w:t>t</w:t>
      </w:r>
      <w:r>
        <w:rPr>
          <w:rFonts w:ascii="Book Antiqua" w:eastAsia="Book Antiqua" w:hAnsi="Book Antiqua" w:cs="Book Antiqua"/>
          <w:color w:val="000000"/>
        </w:rPr>
        <w:t>able 2, concomitant treatments). After one year of treatment with CT-P13 (</w:t>
      </w:r>
      <w:proofErr w:type="spellStart"/>
      <w:r>
        <w:rPr>
          <w:rFonts w:ascii="Book Antiqua" w:eastAsia="Book Antiqua" w:hAnsi="Book Antiqua" w:cs="Book Antiqua"/>
          <w:color w:val="000000"/>
        </w:rPr>
        <w:t>Remsima</w:t>
      </w:r>
      <w:proofErr w:type="spellEnd"/>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the proportion of patients with active disease was 14.8% (</w:t>
      </w:r>
      <w:r>
        <w:rPr>
          <w:rFonts w:ascii="Book Antiqua" w:eastAsia="Book Antiqua" w:hAnsi="Book Antiqua" w:cs="Book Antiqua"/>
          <w:i/>
          <w:iCs/>
          <w:color w:val="000000"/>
        </w:rPr>
        <w:t>n</w:t>
      </w:r>
      <w:r>
        <w:rPr>
          <w:rFonts w:ascii="Book Antiqua" w:eastAsia="Book Antiqua" w:hAnsi="Book Antiqua" w:cs="Book Antiqua"/>
          <w:color w:val="000000"/>
        </w:rPr>
        <w:t xml:space="preserve"> = 12/81), and the proportion of patients who achieved clinical remission (without corticosteroids) was 64.2% (</w:t>
      </w:r>
      <w:r>
        <w:rPr>
          <w:rFonts w:ascii="Book Antiqua" w:eastAsia="Book Antiqua" w:hAnsi="Book Antiqua" w:cs="Book Antiqua"/>
          <w:i/>
          <w:iCs/>
          <w:color w:val="000000"/>
        </w:rPr>
        <w:t>n</w:t>
      </w:r>
      <w:r>
        <w:rPr>
          <w:rFonts w:ascii="Book Antiqua" w:eastAsia="Book Antiqua" w:hAnsi="Book Antiqua" w:cs="Book Antiqua"/>
          <w:color w:val="000000"/>
        </w:rPr>
        <w:t xml:space="preserve"> = 52/81) (Table 4). At the time of the study, 152 patients had completed 3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of follow-up. As early as 3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75.5% (</w:t>
      </w:r>
      <w:r>
        <w:rPr>
          <w:rFonts w:ascii="Book Antiqua" w:eastAsia="Book Antiqua" w:hAnsi="Book Antiqua" w:cs="Book Antiqua"/>
          <w:i/>
          <w:iCs/>
          <w:color w:val="000000"/>
        </w:rPr>
        <w:t>n</w:t>
      </w:r>
      <w:r>
        <w:rPr>
          <w:rFonts w:ascii="Book Antiqua" w:eastAsia="Book Antiqua" w:hAnsi="Book Antiqua" w:cs="Book Antiqua"/>
          <w:color w:val="000000"/>
        </w:rPr>
        <w:t xml:space="preserve"> = 115/152) of patients treated with CT-P13 (</w:t>
      </w:r>
      <w:proofErr w:type="spellStart"/>
      <w:r>
        <w:rPr>
          <w:rFonts w:ascii="Book Antiqua" w:eastAsia="Book Antiqua" w:hAnsi="Book Antiqua" w:cs="Book Antiqua"/>
          <w:color w:val="000000"/>
        </w:rPr>
        <w:t>Remsima</w:t>
      </w:r>
      <w:proofErr w:type="spellEnd"/>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had a clinical response or achieved clinical remission, which was sustained during one year of treatment (85.2%; </w:t>
      </w:r>
      <w:r>
        <w:rPr>
          <w:rFonts w:ascii="Book Antiqua" w:eastAsia="Book Antiqua" w:hAnsi="Book Antiqua" w:cs="Book Antiqua"/>
          <w:i/>
          <w:iCs/>
          <w:color w:val="000000"/>
        </w:rPr>
        <w:t>n</w:t>
      </w:r>
      <w:r>
        <w:rPr>
          <w:rFonts w:ascii="Book Antiqua" w:eastAsia="Book Antiqua" w:hAnsi="Book Antiqua" w:cs="Book Antiqua"/>
          <w:color w:val="000000"/>
        </w:rPr>
        <w:t xml:space="preserve"> = 69/81) (Table 4). A statistically significant decrease was observed in specific CD and UC ind</w:t>
      </w:r>
      <w:r w:rsidR="000E3782">
        <w:rPr>
          <w:rFonts w:ascii="Book Antiqua" w:eastAsia="Book Antiqua" w:hAnsi="Book Antiqua" w:cs="Book Antiqua"/>
          <w:color w:val="000000"/>
        </w:rPr>
        <w:t>ic</w:t>
      </w:r>
      <w:r>
        <w:rPr>
          <w:rFonts w:ascii="Book Antiqua" w:eastAsia="Book Antiqua" w:hAnsi="Book Antiqua" w:cs="Book Antiqua"/>
          <w:color w:val="000000"/>
        </w:rPr>
        <w:t xml:space="preserve">es [HBI and CDAI for CD and PMS for UC] after 3, 6, 9, and 12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of treatment with CT-P13 (</w:t>
      </w:r>
      <w:proofErr w:type="spellStart"/>
      <w:r>
        <w:rPr>
          <w:rFonts w:ascii="Book Antiqua" w:eastAsia="Book Antiqua" w:hAnsi="Book Antiqua" w:cs="Book Antiqua"/>
          <w:color w:val="000000"/>
        </w:rPr>
        <w:t>Remsima</w:t>
      </w:r>
      <w:proofErr w:type="spellEnd"/>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w:t>
      </w:r>
      <w:r>
        <w:rPr>
          <w:rFonts w:ascii="Book Antiqua" w:eastAsia="Book Antiqua" w:hAnsi="Book Antiqua" w:cs="Book Antiqua"/>
          <w:i/>
          <w:iCs/>
          <w:caps/>
          <w:color w:val="000000"/>
        </w:rPr>
        <w:t xml:space="preserve">p </w:t>
      </w:r>
      <w:r>
        <w:rPr>
          <w:rFonts w:ascii="Book Antiqua" w:eastAsia="Book Antiqua" w:hAnsi="Book Antiqua" w:cs="Book Antiqua"/>
          <w:color w:val="000000"/>
        </w:rPr>
        <w:t>&lt; 0.001) (Figure 1). As shown in Fig</w:t>
      </w:r>
      <w:r w:rsidR="000E3782">
        <w:rPr>
          <w:rFonts w:ascii="Book Antiqua" w:eastAsia="Book Antiqua" w:hAnsi="Book Antiqua" w:cs="Book Antiqua"/>
          <w:color w:val="000000"/>
        </w:rPr>
        <w:t>ure</w:t>
      </w:r>
      <w:r>
        <w:rPr>
          <w:rFonts w:ascii="Book Antiqua" w:eastAsia="Book Antiqua" w:hAnsi="Book Antiqua" w:cs="Book Antiqua"/>
          <w:color w:val="000000"/>
        </w:rPr>
        <w:t xml:space="preserve"> 1B, according to the Truelove-Witts index, the number of patients with moderate UC decreased after three months of treatment, which was sustained for 12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the number of patients with mild disease increased consistently.</w:t>
      </w:r>
    </w:p>
    <w:p w14:paraId="6ED328C2" w14:textId="77777777" w:rsidR="00A77B3E" w:rsidRDefault="005513F1" w:rsidP="00CA3946">
      <w:pPr>
        <w:spacing w:line="360" w:lineRule="auto"/>
        <w:ind w:firstLine="708"/>
        <w:jc w:val="both"/>
      </w:pPr>
      <w:r>
        <w:rPr>
          <w:rFonts w:ascii="Book Antiqua" w:eastAsia="Book Antiqua" w:hAnsi="Book Antiqua" w:cs="Book Antiqua"/>
          <w:color w:val="000000"/>
        </w:rPr>
        <w:lastRenderedPageBreak/>
        <w:t xml:space="preserve">General inflammatory blood biomarkers decreased after 12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of CT-P13 (</w:t>
      </w:r>
      <w:proofErr w:type="spellStart"/>
      <w:r>
        <w:rPr>
          <w:rFonts w:ascii="Book Antiqua" w:eastAsia="Book Antiqua" w:hAnsi="Book Antiqua" w:cs="Book Antiqua"/>
          <w:color w:val="000000"/>
        </w:rPr>
        <w:t>Remsima</w:t>
      </w:r>
      <w:proofErr w:type="spellEnd"/>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treatment in CD and UC patients. In CD patients, blood CRP levels decreased from 14.51 mg/L (SD 20.78; </w:t>
      </w:r>
      <w:r>
        <w:rPr>
          <w:rFonts w:ascii="Book Antiqua" w:eastAsia="Book Antiqua" w:hAnsi="Book Antiqua" w:cs="Book Antiqua"/>
          <w:i/>
          <w:iCs/>
          <w:color w:val="000000"/>
        </w:rPr>
        <w:t>n</w:t>
      </w:r>
      <w:r>
        <w:rPr>
          <w:rFonts w:ascii="Book Antiqua" w:eastAsia="Book Antiqua" w:hAnsi="Book Antiqua" w:cs="Book Antiqua"/>
          <w:color w:val="000000"/>
        </w:rPr>
        <w:t xml:space="preserve"> = 108) at baseline to 4.17 mg/L (SD 5.80; </w:t>
      </w:r>
      <w:r>
        <w:rPr>
          <w:rFonts w:ascii="Book Antiqua" w:eastAsia="Book Antiqua" w:hAnsi="Book Antiqua" w:cs="Book Antiqua"/>
          <w:i/>
          <w:iCs/>
          <w:color w:val="000000"/>
        </w:rPr>
        <w:t>n</w:t>
      </w:r>
      <w:r>
        <w:rPr>
          <w:rFonts w:ascii="Book Antiqua" w:eastAsia="Book Antiqua" w:hAnsi="Book Antiqua" w:cs="Book Antiqua"/>
          <w:color w:val="000000"/>
        </w:rPr>
        <w:t xml:space="preserve"> = 50) (</w:t>
      </w:r>
      <w:r>
        <w:rPr>
          <w:rFonts w:ascii="Book Antiqua" w:eastAsia="Book Antiqua" w:hAnsi="Book Antiqua" w:cs="Book Antiqua"/>
          <w:i/>
          <w:iCs/>
          <w:caps/>
          <w:color w:val="000000"/>
        </w:rPr>
        <w:t>p</w:t>
      </w:r>
      <w:r>
        <w:rPr>
          <w:rFonts w:ascii="Book Antiqua" w:eastAsia="Book Antiqua" w:hAnsi="Book Antiqua" w:cs="Book Antiqua"/>
          <w:color w:val="000000"/>
        </w:rPr>
        <w:t xml:space="preserve"> &lt; 0.001); fecal calprotectin levels decreased from 638.99 µg/g (SD 584.32; </w:t>
      </w:r>
      <w:r>
        <w:rPr>
          <w:rFonts w:ascii="Book Antiqua" w:eastAsia="Book Antiqua" w:hAnsi="Book Antiqua" w:cs="Book Antiqua"/>
          <w:i/>
          <w:iCs/>
          <w:color w:val="000000"/>
        </w:rPr>
        <w:t>n</w:t>
      </w:r>
      <w:r>
        <w:rPr>
          <w:rFonts w:ascii="Book Antiqua" w:eastAsia="Book Antiqua" w:hAnsi="Book Antiqua" w:cs="Book Antiqua"/>
          <w:color w:val="000000"/>
        </w:rPr>
        <w:t xml:space="preserve"> = 57) to 268.58 µg/g (SD 354.65; </w:t>
      </w:r>
      <w:r>
        <w:rPr>
          <w:rFonts w:ascii="Book Antiqua" w:eastAsia="Book Antiqua" w:hAnsi="Book Antiqua" w:cs="Book Antiqua"/>
          <w:i/>
          <w:iCs/>
          <w:color w:val="000000"/>
        </w:rPr>
        <w:t>n</w:t>
      </w:r>
      <w:r>
        <w:rPr>
          <w:rFonts w:ascii="Book Antiqua" w:eastAsia="Book Antiqua" w:hAnsi="Book Antiqua" w:cs="Book Antiqua"/>
          <w:color w:val="000000"/>
        </w:rPr>
        <w:t xml:space="preserve"> = 31) (</w:t>
      </w:r>
      <w:r>
        <w:rPr>
          <w:rFonts w:ascii="Book Antiqua" w:eastAsia="Book Antiqua" w:hAnsi="Book Antiqua" w:cs="Book Antiqua"/>
          <w:i/>
          <w:iCs/>
          <w:caps/>
          <w:color w:val="000000"/>
        </w:rPr>
        <w:t xml:space="preserve">p = </w:t>
      </w:r>
      <w:r>
        <w:rPr>
          <w:rFonts w:ascii="Book Antiqua" w:eastAsia="Book Antiqua" w:hAnsi="Book Antiqua" w:cs="Book Antiqua"/>
          <w:color w:val="000000"/>
        </w:rPr>
        <w:t xml:space="preserve">0.0018); and the erythrocyte sedimentation rate (ESR) decreased from 20.65 mm/h (SD 16.91; </w:t>
      </w:r>
      <w:r>
        <w:rPr>
          <w:rFonts w:ascii="Book Antiqua" w:eastAsia="Book Antiqua" w:hAnsi="Book Antiqua" w:cs="Book Antiqua"/>
          <w:i/>
          <w:iCs/>
          <w:color w:val="000000"/>
        </w:rPr>
        <w:t>n</w:t>
      </w:r>
      <w:r>
        <w:rPr>
          <w:rFonts w:ascii="Book Antiqua" w:eastAsia="Book Antiqua" w:hAnsi="Book Antiqua" w:cs="Book Antiqua"/>
          <w:color w:val="000000"/>
        </w:rPr>
        <w:t xml:space="preserve"> = 49) to 11.97 mm/h (SD 8.16; </w:t>
      </w:r>
      <w:r>
        <w:rPr>
          <w:rFonts w:ascii="Book Antiqua" w:eastAsia="Book Antiqua" w:hAnsi="Book Antiqua" w:cs="Book Antiqua"/>
          <w:i/>
          <w:iCs/>
          <w:color w:val="000000"/>
        </w:rPr>
        <w:t>n</w:t>
      </w:r>
      <w:r>
        <w:rPr>
          <w:rFonts w:ascii="Book Antiqua" w:eastAsia="Book Antiqua" w:hAnsi="Book Antiqua" w:cs="Book Antiqua"/>
          <w:color w:val="000000"/>
        </w:rPr>
        <w:t xml:space="preserve"> = 30) (</w:t>
      </w:r>
      <w:r>
        <w:rPr>
          <w:rFonts w:ascii="Book Antiqua" w:eastAsia="Book Antiqua" w:hAnsi="Book Antiqua" w:cs="Book Antiqua"/>
          <w:i/>
          <w:iCs/>
          <w:caps/>
          <w:color w:val="000000"/>
        </w:rPr>
        <w:t xml:space="preserve">p = </w:t>
      </w:r>
      <w:r>
        <w:rPr>
          <w:rFonts w:ascii="Book Antiqua" w:eastAsia="Book Antiqua" w:hAnsi="Book Antiqua" w:cs="Book Antiqua"/>
          <w:color w:val="000000"/>
        </w:rPr>
        <w:t xml:space="preserve">0.010) (Figure 2A). In UC patients, CRP decreased from 14.20 mg/L (SD 22.56; </w:t>
      </w:r>
      <w:r>
        <w:rPr>
          <w:rFonts w:ascii="Book Antiqua" w:eastAsia="Book Antiqua" w:hAnsi="Book Antiqua" w:cs="Book Antiqua"/>
          <w:i/>
          <w:iCs/>
          <w:color w:val="000000"/>
        </w:rPr>
        <w:t>n</w:t>
      </w:r>
      <w:r>
        <w:rPr>
          <w:rFonts w:ascii="Book Antiqua" w:eastAsia="Book Antiqua" w:hAnsi="Book Antiqua" w:cs="Book Antiqua"/>
          <w:color w:val="000000"/>
        </w:rPr>
        <w:t xml:space="preserve"> = 62) at baseline to 2.64 mg/L (SD 4.31; </w:t>
      </w:r>
      <w:r>
        <w:rPr>
          <w:rFonts w:ascii="Book Antiqua" w:eastAsia="Book Antiqua" w:hAnsi="Book Antiqua" w:cs="Book Antiqua"/>
          <w:i/>
          <w:iCs/>
          <w:color w:val="000000"/>
        </w:rPr>
        <w:t>n</w:t>
      </w:r>
      <w:r>
        <w:rPr>
          <w:rFonts w:ascii="Book Antiqua" w:eastAsia="Book Antiqua" w:hAnsi="Book Antiqua" w:cs="Book Antiqua"/>
          <w:color w:val="000000"/>
        </w:rPr>
        <w:t xml:space="preserve"> = 33) (</w:t>
      </w:r>
      <w:r>
        <w:rPr>
          <w:rFonts w:ascii="Book Antiqua" w:eastAsia="Book Antiqua" w:hAnsi="Book Antiqua" w:cs="Book Antiqua"/>
          <w:i/>
          <w:iCs/>
          <w:caps/>
          <w:color w:val="000000"/>
        </w:rPr>
        <w:t xml:space="preserve">p = </w:t>
      </w:r>
      <w:r>
        <w:rPr>
          <w:rFonts w:ascii="Book Antiqua" w:eastAsia="Book Antiqua" w:hAnsi="Book Antiqua" w:cs="Book Antiqua"/>
          <w:color w:val="000000"/>
        </w:rPr>
        <w:t xml:space="preserve">0.0045); fecal calprotectin levels decreased from 990.112 µg/g (SD 755.46; </w:t>
      </w:r>
      <w:r>
        <w:rPr>
          <w:rFonts w:ascii="Book Antiqua" w:eastAsia="Book Antiqua" w:hAnsi="Book Antiqua" w:cs="Book Antiqua"/>
          <w:i/>
          <w:iCs/>
          <w:color w:val="000000"/>
        </w:rPr>
        <w:t>n</w:t>
      </w:r>
      <w:r>
        <w:rPr>
          <w:rFonts w:ascii="Book Antiqua" w:eastAsia="Book Antiqua" w:hAnsi="Book Antiqua" w:cs="Book Antiqua"/>
          <w:color w:val="000000"/>
        </w:rPr>
        <w:t xml:space="preserve"> = 43) to 121.67 µg/g (SD 157.58; </w:t>
      </w:r>
      <w:r>
        <w:rPr>
          <w:rFonts w:ascii="Book Antiqua" w:eastAsia="Book Antiqua" w:hAnsi="Book Antiqua" w:cs="Book Antiqua"/>
          <w:i/>
          <w:iCs/>
          <w:color w:val="000000"/>
        </w:rPr>
        <w:t>n</w:t>
      </w:r>
      <w:r>
        <w:rPr>
          <w:rFonts w:ascii="Book Antiqua" w:eastAsia="Book Antiqua" w:hAnsi="Book Antiqua" w:cs="Book Antiqua"/>
          <w:color w:val="000000"/>
        </w:rPr>
        <w:t xml:space="preserve"> = 18) (</w:t>
      </w:r>
      <w:r>
        <w:rPr>
          <w:rFonts w:ascii="Book Antiqua" w:eastAsia="Book Antiqua" w:hAnsi="Book Antiqua" w:cs="Book Antiqua"/>
          <w:i/>
          <w:iCs/>
          <w:caps/>
          <w:color w:val="000000"/>
        </w:rPr>
        <w:t>p</w:t>
      </w:r>
      <w:r>
        <w:rPr>
          <w:rFonts w:ascii="Book Antiqua" w:eastAsia="Book Antiqua" w:hAnsi="Book Antiqua" w:cs="Book Antiqua"/>
          <w:i/>
          <w:iCs/>
          <w:color w:val="000000"/>
        </w:rPr>
        <w:t xml:space="preserve"> </w:t>
      </w:r>
      <w:r>
        <w:rPr>
          <w:rFonts w:ascii="Book Antiqua" w:eastAsia="Book Antiqua" w:hAnsi="Book Antiqua" w:cs="Book Antiqua"/>
          <w:color w:val="000000"/>
        </w:rPr>
        <w:t xml:space="preserve">&lt; 0.001); and ESR decreased from 23.00 mm/h (SD 24.50; </w:t>
      </w:r>
      <w:r>
        <w:rPr>
          <w:rFonts w:ascii="Book Antiqua" w:eastAsia="Book Antiqua" w:hAnsi="Book Antiqua" w:cs="Book Antiqua"/>
          <w:i/>
          <w:iCs/>
          <w:color w:val="000000"/>
        </w:rPr>
        <w:t>n</w:t>
      </w:r>
      <w:r>
        <w:rPr>
          <w:rFonts w:ascii="Book Antiqua" w:eastAsia="Book Antiqua" w:hAnsi="Book Antiqua" w:cs="Book Antiqua"/>
          <w:color w:val="000000"/>
        </w:rPr>
        <w:t xml:space="preserve"> = 17) to 6.83 mm/h (SD 5.95; </w:t>
      </w:r>
      <w:r>
        <w:rPr>
          <w:rFonts w:ascii="Book Antiqua" w:eastAsia="Book Antiqua" w:hAnsi="Book Antiqua" w:cs="Book Antiqua"/>
          <w:i/>
          <w:iCs/>
          <w:color w:val="000000"/>
        </w:rPr>
        <w:t>n</w:t>
      </w:r>
      <w:r>
        <w:rPr>
          <w:rFonts w:ascii="Book Antiqua" w:eastAsia="Book Antiqua" w:hAnsi="Book Antiqua" w:cs="Book Antiqua"/>
          <w:color w:val="000000"/>
        </w:rPr>
        <w:t xml:space="preserve"> = 12) (</w:t>
      </w:r>
      <w:r>
        <w:rPr>
          <w:rFonts w:ascii="Book Antiqua" w:eastAsia="Book Antiqua" w:hAnsi="Book Antiqua" w:cs="Book Antiqua"/>
          <w:i/>
          <w:iCs/>
          <w:caps/>
          <w:color w:val="000000"/>
        </w:rPr>
        <w:t xml:space="preserve">p = </w:t>
      </w:r>
      <w:r>
        <w:rPr>
          <w:rFonts w:ascii="Book Antiqua" w:eastAsia="Book Antiqua" w:hAnsi="Book Antiqua" w:cs="Book Antiqua"/>
          <w:color w:val="000000"/>
        </w:rPr>
        <w:t>0.0344) (Figure 2B).</w:t>
      </w:r>
    </w:p>
    <w:p w14:paraId="35CF9B81" w14:textId="77777777" w:rsidR="00A77B3E" w:rsidRDefault="005513F1" w:rsidP="00CA3946">
      <w:pPr>
        <w:spacing w:line="360" w:lineRule="auto"/>
        <w:ind w:firstLine="708"/>
        <w:jc w:val="both"/>
      </w:pPr>
      <w:r>
        <w:rPr>
          <w:rFonts w:ascii="Book Antiqua" w:eastAsia="Book Antiqua" w:hAnsi="Book Antiqua" w:cs="Book Antiqua"/>
          <w:color w:val="000000"/>
        </w:rPr>
        <w:t>At the beginning of the study, 11 patients had active perianal disease (5.4%) and had started treatment for this reason. Perianal disease remained active after one year of follow-up in 3 patients (3.7%, 3/81). The low number of patients with active perianal disease did not allow us to draw conclusions from the analysis.</w:t>
      </w:r>
    </w:p>
    <w:p w14:paraId="788D759B" w14:textId="77777777" w:rsidR="00A77B3E" w:rsidRDefault="00A77B3E" w:rsidP="00CA3946">
      <w:pPr>
        <w:spacing w:line="360" w:lineRule="auto"/>
        <w:ind w:firstLine="708"/>
        <w:jc w:val="both"/>
      </w:pPr>
    </w:p>
    <w:p w14:paraId="65E5C207" w14:textId="77777777" w:rsidR="00A77B3E" w:rsidRDefault="005513F1" w:rsidP="00CA3946">
      <w:pPr>
        <w:spacing w:line="360" w:lineRule="auto"/>
        <w:jc w:val="both"/>
      </w:pPr>
      <w:r>
        <w:rPr>
          <w:rFonts w:ascii="Book Antiqua" w:eastAsia="Book Antiqua" w:hAnsi="Book Antiqua" w:cs="Book Antiqua"/>
          <w:b/>
          <w:bCs/>
          <w:i/>
          <w:iCs/>
          <w:color w:val="000000"/>
        </w:rPr>
        <w:t>Immunogenicity</w:t>
      </w:r>
    </w:p>
    <w:p w14:paraId="3A517729" w14:textId="77777777" w:rsidR="00A77B3E" w:rsidRDefault="005513F1" w:rsidP="00CA3946">
      <w:pPr>
        <w:spacing w:line="360" w:lineRule="auto"/>
        <w:jc w:val="both"/>
      </w:pPr>
      <w:r>
        <w:rPr>
          <w:rFonts w:ascii="Book Antiqua" w:eastAsia="Book Antiqua" w:hAnsi="Book Antiqua" w:cs="Book Antiqua"/>
          <w:color w:val="000000"/>
        </w:rPr>
        <w:t xml:space="preserve">Considering patients who switched and those who did not, antibodies to CT-P13 were measured in 22.2% (38/171), 17.9% (25/139), 15.3% (15/98), and 24.7% (23/93) of patients at 3, 6, 9, and 12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respectively. At three months, four (10.5%) patients had detectable antibodies, one (4%) at six months, one (6.7%) at nine months, and six (26.1%) at 12 mo. </w:t>
      </w:r>
    </w:p>
    <w:p w14:paraId="625539F5" w14:textId="4A3B5692" w:rsidR="00A77B3E" w:rsidRDefault="005513F1" w:rsidP="00CA3946">
      <w:pPr>
        <w:spacing w:line="360" w:lineRule="auto"/>
        <w:ind w:firstLine="708"/>
        <w:jc w:val="both"/>
      </w:pPr>
      <w:r>
        <w:rPr>
          <w:rFonts w:ascii="Book Antiqua" w:eastAsia="Book Antiqua" w:hAnsi="Book Antiqua" w:cs="Book Antiqua"/>
          <w:color w:val="000000"/>
        </w:rPr>
        <w:t>Mean CT-P13 trough levels were 5.74 µg/mL (SD 3.64</w:t>
      </w:r>
      <w:r>
        <w:rPr>
          <w:rFonts w:ascii="Book Antiqua" w:eastAsia="Book Antiqua" w:hAnsi="Book Antiqua" w:cs="Book Antiqua"/>
          <w:strike/>
          <w:color w:val="000000"/>
        </w:rPr>
        <w:t>)</w:t>
      </w:r>
      <w:r>
        <w:rPr>
          <w:rFonts w:ascii="Book Antiqua" w:eastAsia="Book Antiqua" w:hAnsi="Book Antiqua" w:cs="Book Antiqua"/>
          <w:color w:val="000000"/>
        </w:rPr>
        <w:t xml:space="preserve">, 5.26 µg/mL (SD 3.74), 3.83 µg/mL (SD 3.46), and 3.45 µg/mL (SD 3.63) at 3, 6, 9, and 12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respectively. At 3, 6, and 9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the CT-P13 </w:t>
      </w:r>
      <w:r w:rsidR="000E3782">
        <w:rPr>
          <w:rFonts w:ascii="Book Antiqua" w:eastAsia="Book Antiqua" w:hAnsi="Book Antiqua" w:cs="Book Antiqua"/>
          <w:color w:val="000000"/>
        </w:rPr>
        <w:t>l</w:t>
      </w:r>
      <w:r>
        <w:rPr>
          <w:rFonts w:ascii="Book Antiqua" w:eastAsia="Book Antiqua" w:hAnsi="Book Antiqua" w:cs="Book Antiqua"/>
          <w:color w:val="000000"/>
        </w:rPr>
        <w:t xml:space="preserve">evel was 0 µg/mL in those patients with detectable antibodies. At 12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five (83.3%) patients with detectable antibodies had CT-P13 </w:t>
      </w:r>
      <w:r w:rsidR="000E3782">
        <w:rPr>
          <w:rFonts w:ascii="Book Antiqua" w:eastAsia="Book Antiqua" w:hAnsi="Book Antiqua" w:cs="Book Antiqua"/>
          <w:color w:val="000000"/>
        </w:rPr>
        <w:t>l</w:t>
      </w:r>
      <w:r>
        <w:rPr>
          <w:rFonts w:ascii="Book Antiqua" w:eastAsia="Book Antiqua" w:hAnsi="Book Antiqua" w:cs="Book Antiqua"/>
          <w:color w:val="000000"/>
        </w:rPr>
        <w:t>evels</w:t>
      </w:r>
      <w:r w:rsidR="000E3782">
        <w:rPr>
          <w:rFonts w:ascii="Book Antiqua" w:eastAsia="Book Antiqua" w:hAnsi="Book Antiqua" w:cs="Book Antiqua"/>
          <w:color w:val="000000"/>
        </w:rPr>
        <w:t xml:space="preserve"> of 0 µg/mL</w:t>
      </w:r>
      <w:r>
        <w:rPr>
          <w:rFonts w:ascii="Book Antiqua" w:eastAsia="Book Antiqua" w:hAnsi="Book Antiqua" w:cs="Book Antiqua"/>
          <w:color w:val="000000"/>
        </w:rPr>
        <w:t xml:space="preserve">, and one (26.7%) had </w:t>
      </w:r>
      <w:r w:rsidR="000E3782">
        <w:rPr>
          <w:rFonts w:ascii="Book Antiqua" w:eastAsia="Book Antiqua" w:hAnsi="Book Antiqua" w:cs="Book Antiqua"/>
          <w:color w:val="000000"/>
        </w:rPr>
        <w:t xml:space="preserve">a </w:t>
      </w:r>
      <w:r>
        <w:rPr>
          <w:rFonts w:ascii="Book Antiqua" w:eastAsia="Book Antiqua" w:hAnsi="Book Antiqua" w:cs="Book Antiqua"/>
          <w:color w:val="000000"/>
        </w:rPr>
        <w:t xml:space="preserve">CT-P13 </w:t>
      </w:r>
      <w:r w:rsidR="000E3782">
        <w:rPr>
          <w:rFonts w:ascii="Book Antiqua" w:eastAsia="Book Antiqua" w:hAnsi="Book Antiqua" w:cs="Book Antiqua"/>
          <w:color w:val="000000"/>
        </w:rPr>
        <w:t>l</w:t>
      </w:r>
      <w:r>
        <w:rPr>
          <w:rFonts w:ascii="Book Antiqua" w:eastAsia="Book Antiqua" w:hAnsi="Book Antiqua" w:cs="Book Antiqua"/>
          <w:color w:val="000000"/>
        </w:rPr>
        <w:t>evel</w:t>
      </w:r>
      <w:r w:rsidR="000E3782">
        <w:rPr>
          <w:rFonts w:ascii="Book Antiqua" w:eastAsia="Book Antiqua" w:hAnsi="Book Antiqua" w:cs="Book Antiqua"/>
          <w:color w:val="000000"/>
        </w:rPr>
        <w:t xml:space="preserve"> of 2 µg/</w:t>
      </w:r>
      <w:proofErr w:type="spellStart"/>
      <w:r w:rsidR="000E3782">
        <w:rPr>
          <w:rFonts w:ascii="Book Antiqua" w:eastAsia="Book Antiqua" w:hAnsi="Book Antiqua" w:cs="Book Antiqua"/>
          <w:color w:val="000000"/>
        </w:rPr>
        <w:t>mL</w:t>
      </w:r>
      <w:r>
        <w:rPr>
          <w:rFonts w:ascii="Book Antiqua" w:eastAsia="Book Antiqua" w:hAnsi="Book Antiqua" w:cs="Book Antiqua"/>
          <w:color w:val="000000"/>
        </w:rPr>
        <w:t>.</w:t>
      </w:r>
      <w:proofErr w:type="spellEnd"/>
    </w:p>
    <w:p w14:paraId="7A9D5294" w14:textId="77777777" w:rsidR="00A77B3E" w:rsidRDefault="00A77B3E" w:rsidP="00CA3946">
      <w:pPr>
        <w:spacing w:line="360" w:lineRule="auto"/>
        <w:ind w:firstLine="708"/>
        <w:jc w:val="both"/>
      </w:pPr>
    </w:p>
    <w:p w14:paraId="0075EB29" w14:textId="77777777" w:rsidR="00A77B3E" w:rsidRDefault="005513F1" w:rsidP="00CA3946">
      <w:pPr>
        <w:spacing w:line="360" w:lineRule="auto"/>
        <w:jc w:val="both"/>
      </w:pPr>
      <w:r>
        <w:rPr>
          <w:rFonts w:ascii="Book Antiqua" w:eastAsia="Book Antiqua" w:hAnsi="Book Antiqua" w:cs="Book Antiqua"/>
          <w:b/>
          <w:bCs/>
          <w:i/>
          <w:iCs/>
          <w:color w:val="000000"/>
        </w:rPr>
        <w:t>Safety</w:t>
      </w:r>
    </w:p>
    <w:p w14:paraId="46CB2CE1" w14:textId="6174FE1F" w:rsidR="00A77B3E" w:rsidRDefault="005513F1" w:rsidP="00CA3946">
      <w:pPr>
        <w:spacing w:line="360" w:lineRule="auto"/>
        <w:jc w:val="both"/>
      </w:pPr>
      <w:r>
        <w:rPr>
          <w:rFonts w:ascii="Book Antiqua" w:eastAsia="Book Antiqua" w:hAnsi="Book Antiqua" w:cs="Book Antiqua"/>
          <w:color w:val="000000"/>
        </w:rPr>
        <w:lastRenderedPageBreak/>
        <w:t xml:space="preserve">A total of 34 (15.45%) adverse events (AEs) were reported by 27 patients; of these, nine (26.5%) were serious. Of all the AEs reported, 19 (55.9%) were probably associated with treatment, five (14.7%) were possibly associated with treatment, one (2.9%) was probably not associated with treatment, and one (2.9%) was not related to treatment. Ten (29.4%) of the 34 adverse events reported required hospitalization (they were all flares of the disease). The most frequent AEs were due to infections (23.5%) (mainly urinary and upper respiratory tract) and mild acute infusion-related reactions (26.5%) (Table 5). No patient discontinued treatment due to an </w:t>
      </w:r>
      <w:r w:rsidR="000E3782">
        <w:rPr>
          <w:rFonts w:ascii="Book Antiqua" w:eastAsia="Book Antiqua" w:hAnsi="Book Antiqua" w:cs="Book Antiqua"/>
          <w:color w:val="000000"/>
        </w:rPr>
        <w:t>AE</w:t>
      </w:r>
      <w:r>
        <w:rPr>
          <w:rFonts w:ascii="Book Antiqua" w:eastAsia="Book Antiqua" w:hAnsi="Book Antiqua" w:cs="Book Antiqua"/>
          <w:color w:val="000000"/>
        </w:rPr>
        <w:t>. No patient required surgery during the study.</w:t>
      </w:r>
    </w:p>
    <w:p w14:paraId="7B859B49" w14:textId="77777777" w:rsidR="00A77B3E" w:rsidRDefault="00A77B3E" w:rsidP="00CA3946">
      <w:pPr>
        <w:spacing w:line="360" w:lineRule="auto"/>
        <w:jc w:val="both"/>
      </w:pPr>
    </w:p>
    <w:p w14:paraId="4FA34C3C" w14:textId="77777777" w:rsidR="00A77B3E" w:rsidRDefault="005513F1" w:rsidP="00CA3946">
      <w:pPr>
        <w:spacing w:line="360" w:lineRule="auto"/>
        <w:jc w:val="both"/>
      </w:pPr>
      <w:r>
        <w:rPr>
          <w:rFonts w:ascii="Book Antiqua" w:eastAsia="Book Antiqua" w:hAnsi="Book Antiqua" w:cs="Book Antiqua"/>
          <w:b/>
          <w:caps/>
          <w:color w:val="000000"/>
          <w:u w:val="single"/>
        </w:rPr>
        <w:t>DISCUSSION</w:t>
      </w:r>
    </w:p>
    <w:p w14:paraId="46B0786E" w14:textId="728A06E1" w:rsidR="00A77B3E" w:rsidRDefault="005513F1" w:rsidP="00CA3946">
      <w:pPr>
        <w:spacing w:line="360" w:lineRule="auto"/>
        <w:jc w:val="both"/>
      </w:pPr>
      <w:r>
        <w:rPr>
          <w:rFonts w:ascii="Book Antiqua" w:eastAsia="Book Antiqua" w:hAnsi="Book Antiqua" w:cs="Book Antiqua"/>
          <w:color w:val="000000"/>
        </w:rPr>
        <w:t>In this real-life practice study, we analyzed the efficacy and safety of infliximab biosimilar, CT-P13 (</w:t>
      </w:r>
      <w:proofErr w:type="spellStart"/>
      <w:r>
        <w:rPr>
          <w:rFonts w:ascii="Book Antiqua" w:eastAsia="Book Antiqua" w:hAnsi="Book Antiqua" w:cs="Book Antiqua"/>
          <w:color w:val="000000"/>
        </w:rPr>
        <w:t>Remsima</w:t>
      </w:r>
      <w:proofErr w:type="spellEnd"/>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for the treatment of patients with IBD. At 12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of treatment, the proportion of patients with active disease was only 14.8%. Similarly, the proportion of patients in clinical remission or with a clinical response was 85.2% after one year of treatment. Moreover, the decrease in the number of patients with active disease and the increase in clinical remission rates were already observed as early as </w:t>
      </w:r>
      <w:r w:rsidR="004B521A">
        <w:rPr>
          <w:rFonts w:ascii="Book Antiqua" w:eastAsia="Book Antiqua" w:hAnsi="Book Antiqua" w:cs="Book Antiqua"/>
          <w:color w:val="000000"/>
        </w:rPr>
        <w:t xml:space="preserve">after </w:t>
      </w:r>
      <w:r>
        <w:rPr>
          <w:rFonts w:ascii="Book Antiqua" w:eastAsia="Book Antiqua" w:hAnsi="Book Antiqua" w:cs="Book Antiqua"/>
          <w:color w:val="000000"/>
        </w:rPr>
        <w:t>three months of treatment with CT-P13 (</w:t>
      </w:r>
      <w:proofErr w:type="spellStart"/>
      <w:r>
        <w:rPr>
          <w:rFonts w:ascii="Book Antiqua" w:eastAsia="Book Antiqua" w:hAnsi="Book Antiqua" w:cs="Book Antiqua"/>
          <w:color w:val="000000"/>
        </w:rPr>
        <w:t>Remsima</w:t>
      </w:r>
      <w:proofErr w:type="spellEnd"/>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Thus, this biosimilar can be considered to have an acceptable safety profile, </w:t>
      </w:r>
      <w:r w:rsidR="004B521A">
        <w:rPr>
          <w:rFonts w:ascii="Book Antiqua" w:eastAsia="Book Antiqua" w:hAnsi="Book Antiqua" w:cs="Book Antiqua"/>
          <w:color w:val="000000"/>
        </w:rPr>
        <w:t>as</w:t>
      </w:r>
      <w:r>
        <w:rPr>
          <w:rFonts w:ascii="Book Antiqua" w:eastAsia="Book Antiqua" w:hAnsi="Book Antiqua" w:cs="Book Antiqua"/>
          <w:color w:val="000000"/>
        </w:rPr>
        <w:t xml:space="preserve"> no serious AEs proved to be treatment-related.</w:t>
      </w:r>
    </w:p>
    <w:p w14:paraId="7B08FD9B" w14:textId="77777777" w:rsidR="00A77B3E" w:rsidRDefault="005513F1" w:rsidP="00CA3946">
      <w:pPr>
        <w:spacing w:line="360" w:lineRule="auto"/>
        <w:ind w:firstLine="480"/>
        <w:jc w:val="both"/>
      </w:pPr>
      <w:r>
        <w:rPr>
          <w:rFonts w:ascii="Book Antiqua" w:eastAsia="Book Antiqua" w:hAnsi="Book Antiqua" w:cs="Book Antiqua"/>
          <w:color w:val="000000"/>
        </w:rPr>
        <w:t>As this was a real-life practice study, not all patients had active disease when CT-P13 (</w:t>
      </w:r>
      <w:proofErr w:type="spellStart"/>
      <w:r>
        <w:rPr>
          <w:rFonts w:ascii="Book Antiqua" w:eastAsia="Book Antiqua" w:hAnsi="Book Antiqua" w:cs="Book Antiqua"/>
          <w:color w:val="000000"/>
        </w:rPr>
        <w:t>Remsima</w:t>
      </w:r>
      <w:proofErr w:type="spellEnd"/>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was started. This is due to the fact that a percentage of patients had started other treatments (for example corticosteroids) to induce remission immediately before initiation of </w:t>
      </w:r>
      <w:proofErr w:type="spellStart"/>
      <w:r>
        <w:rPr>
          <w:rFonts w:ascii="Book Antiqua" w:eastAsia="Book Antiqua" w:hAnsi="Book Antiqua" w:cs="Book Antiqua"/>
          <w:color w:val="000000"/>
        </w:rPr>
        <w:t>Remsima</w:t>
      </w:r>
      <w:proofErr w:type="spellEnd"/>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(sometimes initiation is delayed due to lack of a Mantoux result for example). Another example of this situation would be a corticosteroid-dependent patient with no response to immunosuppressants starting infliximab who is probably in remission due to concomitant treatment with corticosteroids. It is for this reason that at baseline, only 68.6% of the patients had active disease and not 100%.</w:t>
      </w:r>
    </w:p>
    <w:p w14:paraId="22F627DC" w14:textId="3436CE30" w:rsidR="00A77B3E" w:rsidRDefault="005513F1" w:rsidP="00CA3946">
      <w:pPr>
        <w:spacing w:line="360" w:lineRule="auto"/>
        <w:ind w:firstLine="708"/>
        <w:jc w:val="both"/>
      </w:pPr>
      <w:r>
        <w:rPr>
          <w:rFonts w:ascii="Book Antiqua" w:eastAsia="Book Antiqua" w:hAnsi="Book Antiqua" w:cs="Book Antiqua"/>
          <w:color w:val="000000"/>
        </w:rPr>
        <w:lastRenderedPageBreak/>
        <w:t>Remission rates in our study var</w:t>
      </w:r>
      <w:r w:rsidR="004B521A">
        <w:rPr>
          <w:rFonts w:ascii="Book Antiqua" w:eastAsia="Book Antiqua" w:hAnsi="Book Antiqua" w:cs="Book Antiqua"/>
          <w:color w:val="000000"/>
        </w:rPr>
        <w:t>ied</w:t>
      </w:r>
      <w:r>
        <w:rPr>
          <w:rFonts w:ascii="Book Antiqua" w:eastAsia="Book Antiqua" w:hAnsi="Book Antiqua" w:cs="Book Antiqua"/>
          <w:color w:val="000000"/>
        </w:rPr>
        <w:t xml:space="preserve"> from 64.2% (observed at 12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to 53%</w:t>
      </w:r>
      <w:r w:rsidR="004B521A">
        <w:rPr>
          <w:rFonts w:ascii="Book Antiqua" w:eastAsia="Book Antiqua" w:hAnsi="Book Antiqua" w:cs="Book Antiqua"/>
          <w:color w:val="000000"/>
        </w:rPr>
        <w:t xml:space="preserve"> </w:t>
      </w:r>
      <w:r>
        <w:rPr>
          <w:rFonts w:ascii="Book Antiqua" w:eastAsia="Book Antiqua" w:hAnsi="Book Antiqua" w:cs="Book Antiqua"/>
          <w:color w:val="000000"/>
        </w:rPr>
        <w:t>(at three months), which are similar to those reported in other studies (remission rates ranging from 32% to 56%</w:t>
      </w:r>
      <w:proofErr w:type="gramStart"/>
      <w:r>
        <w:rPr>
          <w:rFonts w:ascii="Book Antiqua" w:eastAsia="Book Antiqua" w:hAnsi="Book Antiqua" w:cs="Book Antiqua"/>
          <w:color w:val="000000"/>
        </w:rPr>
        <w:t>)</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26,36,40-46]</w:t>
      </w:r>
      <w:r>
        <w:rPr>
          <w:rFonts w:ascii="Book Antiqua" w:eastAsia="Book Antiqua" w:hAnsi="Book Antiqua" w:cs="Book Antiqua"/>
          <w:color w:val="000000"/>
        </w:rPr>
        <w:t xml:space="preserve">. Some studies found much higher remission rates, such as the randomized NOR-SWITCH study, in which a 52-wk remission rate of 65% and 93% for CD and UC, respectively, was </w:t>
      </w:r>
      <w:proofErr w:type="gramStart"/>
      <w:r>
        <w:rPr>
          <w:rFonts w:ascii="Book Antiqua" w:eastAsia="Book Antiqua" w:hAnsi="Book Antiqua" w:cs="Book Antiqua"/>
          <w:color w:val="000000"/>
        </w:rPr>
        <w:t>observed</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35]</w:t>
      </w:r>
      <w:r>
        <w:rPr>
          <w:rFonts w:ascii="Book Antiqua" w:eastAsia="Book Antiqua" w:hAnsi="Book Antiqua" w:cs="Book Antiqua"/>
          <w:color w:val="000000"/>
        </w:rPr>
        <w:t>.</w:t>
      </w:r>
    </w:p>
    <w:p w14:paraId="5863E2D6" w14:textId="134FE4C2" w:rsidR="00A77B3E" w:rsidRDefault="005513F1" w:rsidP="00CA3946">
      <w:pPr>
        <w:spacing w:line="360" w:lineRule="auto"/>
        <w:ind w:firstLine="708"/>
        <w:jc w:val="both"/>
      </w:pPr>
      <w:r>
        <w:rPr>
          <w:rFonts w:ascii="Book Antiqua" w:eastAsia="Book Antiqua" w:hAnsi="Book Antiqua" w:cs="Book Antiqua"/>
          <w:color w:val="000000"/>
        </w:rPr>
        <w:t xml:space="preserve">This study has the advantages of a real-life-practice study in that the patients </w:t>
      </w:r>
      <w:r w:rsidR="004B521A">
        <w:rPr>
          <w:rFonts w:ascii="Book Antiqua" w:eastAsia="Book Antiqua" w:hAnsi="Book Antiqua" w:cs="Book Antiqua"/>
          <w:color w:val="000000"/>
        </w:rPr>
        <w:t>were</w:t>
      </w:r>
      <w:r>
        <w:rPr>
          <w:rFonts w:ascii="Book Antiqua" w:eastAsia="Book Antiqua" w:hAnsi="Book Antiqua" w:cs="Book Antiqua"/>
          <w:color w:val="000000"/>
        </w:rPr>
        <w:t xml:space="preserve"> similar to those clinicians find in medical settings; thus, they are more heterogeneous and present with more comorbidities than the patients usually studied in clinical </w:t>
      </w:r>
      <w:proofErr w:type="gramStart"/>
      <w:r>
        <w:rPr>
          <w:rFonts w:ascii="Book Antiqua" w:eastAsia="Book Antiqua" w:hAnsi="Book Antiqua" w:cs="Book Antiqua"/>
          <w:color w:val="000000"/>
        </w:rPr>
        <w:t>trials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47]</w:t>
      </w:r>
      <w:r>
        <w:rPr>
          <w:rFonts w:ascii="Book Antiqua" w:eastAsia="Book Antiqua" w:hAnsi="Book Antiqua" w:cs="Book Antiqua"/>
          <w:color w:val="000000"/>
        </w:rPr>
        <w:t>. In real life, some hospitals change the brand name of CT-P13 (</w:t>
      </w:r>
      <w:proofErr w:type="spellStart"/>
      <w:r>
        <w:rPr>
          <w:rFonts w:ascii="Book Antiqua" w:eastAsia="Book Antiqua" w:hAnsi="Book Antiqua" w:cs="Book Antiqua"/>
          <w:color w:val="000000"/>
        </w:rPr>
        <w:t>Remsima</w:t>
      </w:r>
      <w:proofErr w:type="spellEnd"/>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for </w:t>
      </w:r>
      <w:proofErr w:type="spellStart"/>
      <w:r>
        <w:rPr>
          <w:rFonts w:ascii="Book Antiqua" w:eastAsia="Book Antiqua" w:hAnsi="Book Antiqua" w:cs="Book Antiqua"/>
          <w:color w:val="000000"/>
        </w:rPr>
        <w:t>Inflectra</w:t>
      </w:r>
      <w:proofErr w:type="spellEnd"/>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and </w:t>
      </w:r>
      <w:r w:rsidRPr="00AC06C5">
        <w:rPr>
          <w:rFonts w:ascii="Book Antiqua" w:eastAsia="Book Antiqua" w:hAnsi="Book Antiqua" w:cs="Book Antiqua"/>
          <w:i/>
          <w:color w:val="000000"/>
        </w:rPr>
        <w:t>vice versa</w:t>
      </w:r>
      <w:r>
        <w:rPr>
          <w:rFonts w:ascii="Book Antiqua" w:eastAsia="Book Antiqua" w:hAnsi="Book Antiqua" w:cs="Book Antiqua"/>
          <w:color w:val="000000"/>
        </w:rPr>
        <w:t xml:space="preserve">), and this situation is reflected in our study. Similarly, this work shows the limitations of a real-life study: </w:t>
      </w:r>
      <w:r w:rsidR="004B521A">
        <w:rPr>
          <w:rFonts w:ascii="Book Antiqua" w:eastAsia="Book Antiqua" w:hAnsi="Book Antiqua" w:cs="Book Antiqua"/>
          <w:color w:val="000000"/>
        </w:rPr>
        <w:t>as the</w:t>
      </w:r>
      <w:r>
        <w:rPr>
          <w:rFonts w:ascii="Book Antiqua" w:eastAsia="Book Antiqua" w:hAnsi="Book Antiqua" w:cs="Book Antiqua"/>
          <w:color w:val="000000"/>
        </w:rPr>
        <w:t xml:space="preserve"> patients were not assigned beforehand to any therapeutic strategy, it makes the interpretation of results difficult. A reflection of this is the change in the CT-P13 brand that the patients take when they leave some hospitals. In this sense, it would have been interesting to compare results from patients who started treatment with CT-P13 (</w:t>
      </w:r>
      <w:proofErr w:type="spellStart"/>
      <w:r>
        <w:rPr>
          <w:rFonts w:ascii="Book Antiqua" w:eastAsia="Book Antiqua" w:hAnsi="Book Antiqua" w:cs="Book Antiqua"/>
          <w:color w:val="000000"/>
        </w:rPr>
        <w:t>Remsima</w:t>
      </w:r>
      <w:proofErr w:type="spellEnd"/>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after switching from Remicade</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with those who were naïve to biological treatment. However, the number of patients in each group was unequal</w:t>
      </w:r>
      <w:r w:rsidR="00451C0F">
        <w:rPr>
          <w:rFonts w:ascii="Book Antiqua" w:eastAsia="Book Antiqua" w:hAnsi="Book Antiqua" w:cs="Book Antiqua"/>
          <w:color w:val="000000"/>
        </w:rPr>
        <w:t xml:space="preserve"> </w:t>
      </w:r>
      <w:r>
        <w:rPr>
          <w:rFonts w:ascii="Book Antiqua" w:eastAsia="Book Antiqua" w:hAnsi="Book Antiqua" w:cs="Book Antiqua"/>
          <w:color w:val="000000"/>
        </w:rPr>
        <w:t>—</w:t>
      </w:r>
      <w:r w:rsidR="00451C0F">
        <w:rPr>
          <w:rFonts w:ascii="Book Antiqua" w:eastAsia="Book Antiqua" w:hAnsi="Book Antiqua" w:cs="Book Antiqua"/>
          <w:color w:val="000000"/>
        </w:rPr>
        <w:t xml:space="preserve"> </w:t>
      </w:r>
      <w:r>
        <w:rPr>
          <w:rFonts w:ascii="Book Antiqua" w:eastAsia="Book Antiqua" w:hAnsi="Book Antiqua" w:cs="Book Antiqua"/>
          <w:color w:val="000000"/>
        </w:rPr>
        <w:t>only 19 (9%) patients included in the study had switched from adalimumab, and 142 (65%) were naïve to biological treatment</w:t>
      </w:r>
      <w:r w:rsidR="00451C0F">
        <w:rPr>
          <w:rFonts w:ascii="Book Antiqua" w:eastAsia="Book Antiqua" w:hAnsi="Book Antiqua" w:cs="Book Antiqua"/>
          <w:color w:val="000000"/>
        </w:rPr>
        <w:t xml:space="preserve"> </w:t>
      </w:r>
      <w:r>
        <w:rPr>
          <w:rFonts w:ascii="Book Antiqua" w:eastAsia="Book Antiqua" w:hAnsi="Book Antiqua" w:cs="Book Antiqua"/>
          <w:color w:val="000000"/>
        </w:rPr>
        <w:t>—</w:t>
      </w:r>
      <w:r w:rsidR="00451C0F">
        <w:rPr>
          <w:rFonts w:ascii="Book Antiqua" w:eastAsia="Book Antiqua" w:hAnsi="Book Antiqua" w:cs="Book Antiqua"/>
          <w:color w:val="000000"/>
        </w:rPr>
        <w:t xml:space="preserve"> </w:t>
      </w:r>
      <w:r>
        <w:rPr>
          <w:rFonts w:ascii="Book Antiqua" w:eastAsia="Book Antiqua" w:hAnsi="Book Antiqua" w:cs="Book Antiqua"/>
          <w:color w:val="000000"/>
        </w:rPr>
        <w:t xml:space="preserve">thus making the comparison between groups difficult. </w:t>
      </w:r>
    </w:p>
    <w:p w14:paraId="0B020343" w14:textId="77777777" w:rsidR="00A77B3E" w:rsidRDefault="005513F1" w:rsidP="00CA3946">
      <w:pPr>
        <w:spacing w:line="360" w:lineRule="auto"/>
        <w:ind w:firstLine="708"/>
        <w:jc w:val="both"/>
      </w:pPr>
      <w:r>
        <w:rPr>
          <w:rFonts w:ascii="Book Antiqua" w:eastAsia="Book Antiqua" w:hAnsi="Book Antiqua" w:cs="Book Antiqua"/>
          <w:color w:val="000000"/>
        </w:rPr>
        <w:t xml:space="preserve">In 2018, Bergqvist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34]</w:t>
      </w:r>
      <w:r>
        <w:rPr>
          <w:rFonts w:ascii="Book Antiqua" w:eastAsia="Book Antiqua" w:hAnsi="Book Antiqua" w:cs="Book Antiqua"/>
          <w:color w:val="000000"/>
        </w:rPr>
        <w:t xml:space="preserve"> published a large series on switched IBD patients and demonstrated that Remicade</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can be switched to CT-P13 with preserved therapeutic efficacy and safety in both CD and UC. </w:t>
      </w:r>
    </w:p>
    <w:p w14:paraId="6743DACF" w14:textId="7B07B107" w:rsidR="00A77B3E" w:rsidRDefault="005513F1" w:rsidP="00CA3946">
      <w:pPr>
        <w:spacing w:line="360" w:lineRule="auto"/>
        <w:ind w:firstLine="708"/>
        <w:jc w:val="both"/>
      </w:pPr>
      <w:r>
        <w:rPr>
          <w:rFonts w:ascii="Book Antiqua" w:eastAsia="Book Antiqua" w:hAnsi="Book Antiqua" w:cs="Book Antiqua"/>
          <w:color w:val="000000"/>
        </w:rPr>
        <w:t xml:space="preserve">Another limitation was that available data were heterogeneous across visits; moreover, some parameters could not be included because they had not been measured in routine practice (for example endoscopy or ultrasound). CT-P13 has been shown to achieve mucosal healing both in patients with UC and in those with </w:t>
      </w:r>
      <w:proofErr w:type="gramStart"/>
      <w:r>
        <w:rPr>
          <w:rFonts w:ascii="Book Antiqua" w:eastAsia="Book Antiqua" w:hAnsi="Book Antiqua" w:cs="Book Antiqua"/>
          <w:color w:val="000000"/>
        </w:rPr>
        <w:t>CD</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48,49]</w:t>
      </w:r>
      <w:r>
        <w:rPr>
          <w:rFonts w:ascii="Book Antiqua" w:eastAsia="Book Antiqua" w:hAnsi="Book Antiqua" w:cs="Book Antiqua"/>
          <w:color w:val="000000"/>
        </w:rPr>
        <w:t xml:space="preserve">. However, in our real-world study, not all patients were evaluated by endoscopy if mucosal healing was observed. </w:t>
      </w:r>
    </w:p>
    <w:p w14:paraId="312E1D41" w14:textId="5938F7C6" w:rsidR="00A77B3E" w:rsidRDefault="005513F1" w:rsidP="00CA3946">
      <w:pPr>
        <w:spacing w:line="360" w:lineRule="auto"/>
        <w:ind w:firstLine="708"/>
        <w:jc w:val="both"/>
      </w:pPr>
      <w:r>
        <w:rPr>
          <w:rFonts w:ascii="Book Antiqua" w:eastAsia="Book Antiqua" w:hAnsi="Book Antiqua" w:cs="Book Antiqua"/>
          <w:color w:val="000000"/>
        </w:rPr>
        <w:lastRenderedPageBreak/>
        <w:t xml:space="preserve">In a systematic review published in 2018, </w:t>
      </w:r>
      <w:proofErr w:type="spellStart"/>
      <w:r>
        <w:rPr>
          <w:rFonts w:ascii="Book Antiqua" w:eastAsia="Book Antiqua" w:hAnsi="Book Antiqua" w:cs="Book Antiqua"/>
          <w:color w:val="000000"/>
        </w:rPr>
        <w:t>Gisbert</w:t>
      </w:r>
      <w:proofErr w:type="spellEnd"/>
      <w:r>
        <w:rPr>
          <w:rFonts w:ascii="Book Antiqua" w:eastAsia="Book Antiqua" w:hAnsi="Book Antiqua" w:cs="Book Antiqua"/>
          <w:color w:val="000000"/>
        </w:rPr>
        <w:t xml:space="preserve"> </w:t>
      </w:r>
      <w:r w:rsidR="004B521A">
        <w:rPr>
          <w:rFonts w:ascii="Book Antiqua" w:eastAsia="Book Antiqua" w:hAnsi="Book Antiqua" w:cs="Book Antiqua"/>
          <w:color w:val="000000"/>
        </w:rPr>
        <w:t>and</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Chaparro</w:t>
      </w:r>
      <w:proofErr w:type="spellEnd"/>
      <w:r>
        <w:rPr>
          <w:rFonts w:ascii="Book Antiqua" w:eastAsia="Book Antiqua" w:hAnsi="Book Antiqua" w:cs="Book Antiqua"/>
          <w:color w:val="000000"/>
        </w:rPr>
        <w:t xml:space="preserve"> pointed out, as a limitation of most of studies, that the effectiveness of CT-P13 had been evaluated through clinical assessments, or sometimes using additional biological parameters, although most authors did not perform endoscopic evaluations</w:t>
      </w:r>
      <w:r>
        <w:rPr>
          <w:rFonts w:ascii="Book Antiqua" w:eastAsia="Book Antiqua" w:hAnsi="Book Antiqua" w:cs="Book Antiqua"/>
          <w:color w:val="000000"/>
          <w:szCs w:val="20"/>
          <w:vertAlign w:val="superscript"/>
        </w:rPr>
        <w:t>[10]</w:t>
      </w:r>
      <w:r>
        <w:rPr>
          <w:rFonts w:ascii="Book Antiqua" w:eastAsia="Book Antiqua" w:hAnsi="Book Antiqua" w:cs="Book Antiqua"/>
          <w:color w:val="000000"/>
        </w:rPr>
        <w:t>. In our study, we used disease-specific ind</w:t>
      </w:r>
      <w:r w:rsidR="004B521A">
        <w:rPr>
          <w:rFonts w:ascii="Book Antiqua" w:eastAsia="Book Antiqua" w:hAnsi="Book Antiqua" w:cs="Book Antiqua"/>
          <w:color w:val="000000"/>
        </w:rPr>
        <w:t>ic</w:t>
      </w:r>
      <w:r>
        <w:rPr>
          <w:rFonts w:ascii="Book Antiqua" w:eastAsia="Book Antiqua" w:hAnsi="Book Antiqua" w:cs="Book Antiqua"/>
          <w:color w:val="000000"/>
        </w:rPr>
        <w:t xml:space="preserve">es (HBI and CDAI for CD, and PMS and Truelove for UC) and measured biological parameters indicative of inflammation, such as CRP, fecal calprotectin, and ESR. </w:t>
      </w:r>
    </w:p>
    <w:p w14:paraId="51250939" w14:textId="79865BE4" w:rsidR="00A77B3E" w:rsidRDefault="005513F1" w:rsidP="00CA3946">
      <w:pPr>
        <w:spacing w:line="360" w:lineRule="auto"/>
        <w:ind w:firstLine="708"/>
        <w:jc w:val="both"/>
      </w:pPr>
      <w:r>
        <w:rPr>
          <w:rFonts w:ascii="Book Antiqua" w:eastAsia="Book Antiqua" w:hAnsi="Book Antiqua" w:cs="Book Antiqua"/>
          <w:color w:val="000000"/>
        </w:rPr>
        <w:t xml:space="preserve">Safety data with original and biosimilar infliximab have been variable, sometimes due to different definitions. Our finding of 15.45% for </w:t>
      </w:r>
      <w:r w:rsidR="004B521A">
        <w:rPr>
          <w:rFonts w:ascii="Book Antiqua" w:eastAsia="Book Antiqua" w:hAnsi="Book Antiqua" w:cs="Book Antiqua"/>
          <w:color w:val="000000"/>
        </w:rPr>
        <w:t>AE</w:t>
      </w:r>
      <w:r>
        <w:rPr>
          <w:rFonts w:ascii="Book Antiqua" w:eastAsia="Book Antiqua" w:hAnsi="Book Antiqua" w:cs="Book Antiqua"/>
          <w:color w:val="000000"/>
        </w:rPr>
        <w:t xml:space="preserve">s is similar to that reported in other clinical practice </w:t>
      </w:r>
      <w:proofErr w:type="gramStart"/>
      <w:r>
        <w:rPr>
          <w:rFonts w:ascii="Book Antiqua" w:eastAsia="Book Antiqua" w:hAnsi="Book Antiqua" w:cs="Book Antiqua"/>
          <w:color w:val="000000"/>
        </w:rPr>
        <w:t>series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50]</w:t>
      </w:r>
      <w:r>
        <w:rPr>
          <w:rFonts w:ascii="Book Antiqua" w:eastAsia="Book Antiqua" w:hAnsi="Book Antiqua" w:cs="Book Antiqua"/>
          <w:color w:val="000000"/>
        </w:rPr>
        <w:t>.</w:t>
      </w:r>
    </w:p>
    <w:p w14:paraId="14DFBBE8" w14:textId="799B94F7" w:rsidR="00A77B3E" w:rsidRDefault="005513F1" w:rsidP="00CA3946">
      <w:pPr>
        <w:spacing w:line="360" w:lineRule="auto"/>
        <w:ind w:firstLine="708"/>
        <w:jc w:val="both"/>
      </w:pPr>
      <w:r>
        <w:rPr>
          <w:rFonts w:ascii="Book Antiqua" w:eastAsia="Book Antiqua" w:hAnsi="Book Antiqua" w:cs="Book Antiqua"/>
          <w:color w:val="000000"/>
        </w:rPr>
        <w:t xml:space="preserve">Finally, immunogenicity is also a main concern when switching patients from a reference product to its biosimilar. The development of antibodies against the drug is one of the main factors that can cause loss of response to a biological agent. We observed a correlation between the presence of anti-drug antibodies and low CT-P13 trough levels. In those patients with detectable anti-drug antibodies, drug levels were 0 µg/mL, </w:t>
      </w:r>
      <w:r w:rsidR="004B521A">
        <w:rPr>
          <w:rFonts w:ascii="Book Antiqua" w:eastAsia="Book Antiqua" w:hAnsi="Book Antiqua" w:cs="Book Antiqua"/>
          <w:color w:val="000000"/>
        </w:rPr>
        <w:t xml:space="preserve">with the </w:t>
      </w:r>
      <w:r>
        <w:rPr>
          <w:rFonts w:ascii="Book Antiqua" w:eastAsia="Book Antiqua" w:hAnsi="Book Antiqua" w:cs="Book Antiqua"/>
          <w:color w:val="000000"/>
        </w:rPr>
        <w:t>except</w:t>
      </w:r>
      <w:r w:rsidR="004B521A">
        <w:rPr>
          <w:rFonts w:ascii="Book Antiqua" w:eastAsia="Book Antiqua" w:hAnsi="Book Antiqua" w:cs="Book Antiqua"/>
          <w:color w:val="000000"/>
        </w:rPr>
        <w:t>ion of</w:t>
      </w:r>
      <w:r>
        <w:rPr>
          <w:rFonts w:ascii="Book Antiqua" w:eastAsia="Book Antiqua" w:hAnsi="Book Antiqua" w:cs="Book Antiqua"/>
          <w:color w:val="000000"/>
        </w:rPr>
        <w:t xml:space="preserve"> one patient. However, the CT-P13 trough level </w:t>
      </w:r>
      <w:r w:rsidR="004B521A">
        <w:rPr>
          <w:rFonts w:ascii="Book Antiqua" w:eastAsia="Book Antiqua" w:hAnsi="Book Antiqua" w:cs="Book Antiqua"/>
          <w:color w:val="000000"/>
        </w:rPr>
        <w:t>in</w:t>
      </w:r>
      <w:r>
        <w:rPr>
          <w:rFonts w:ascii="Book Antiqua" w:eastAsia="Book Antiqua" w:hAnsi="Book Antiqua" w:cs="Book Antiqua"/>
          <w:color w:val="000000"/>
        </w:rPr>
        <w:t xml:space="preserve"> this patient at 12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was lower than the mean level at that time point (2 µg/mL </w:t>
      </w:r>
      <w:r>
        <w:rPr>
          <w:rFonts w:ascii="Book Antiqua" w:eastAsia="Book Antiqua" w:hAnsi="Book Antiqua" w:cs="Book Antiqua"/>
          <w:i/>
          <w:iCs/>
          <w:color w:val="000000"/>
        </w:rPr>
        <w:t>vs</w:t>
      </w:r>
      <w:r>
        <w:rPr>
          <w:rFonts w:ascii="Book Antiqua" w:eastAsia="Book Antiqua" w:hAnsi="Book Antiqua" w:cs="Book Antiqua"/>
          <w:color w:val="000000"/>
        </w:rPr>
        <w:t xml:space="preserve"> 3.63 µg/mL).</w:t>
      </w:r>
    </w:p>
    <w:p w14:paraId="663871D8" w14:textId="77777777" w:rsidR="00A77B3E" w:rsidRDefault="005513F1" w:rsidP="00CA3946">
      <w:pPr>
        <w:spacing w:line="360" w:lineRule="auto"/>
        <w:ind w:firstLine="708"/>
        <w:jc w:val="both"/>
      </w:pPr>
      <w:r>
        <w:rPr>
          <w:rFonts w:ascii="Book Antiqua" w:eastAsia="Book Antiqua" w:hAnsi="Book Antiqua" w:cs="Book Antiqua"/>
          <w:color w:val="000000"/>
        </w:rPr>
        <w:t>It is important to note that the physicians had no incentive to switch from original to biosimilar or to start a biosimilar in naive patients. In our area, physicians had total freedom of prescription in relation to reference biological drugs and biosimilars, although there was a guideline to start infliximab-naive patients with biosimilars.</w:t>
      </w:r>
    </w:p>
    <w:p w14:paraId="1E745F03" w14:textId="77777777" w:rsidR="00A77B3E" w:rsidRDefault="00A77B3E" w:rsidP="00CA3946">
      <w:pPr>
        <w:spacing w:line="360" w:lineRule="auto"/>
        <w:ind w:firstLine="708"/>
        <w:jc w:val="both"/>
      </w:pPr>
    </w:p>
    <w:p w14:paraId="716DAD02" w14:textId="77777777" w:rsidR="00A77B3E" w:rsidRDefault="005513F1" w:rsidP="00CA3946">
      <w:pPr>
        <w:spacing w:line="360" w:lineRule="auto"/>
        <w:jc w:val="both"/>
      </w:pPr>
      <w:r>
        <w:rPr>
          <w:rFonts w:ascii="Book Antiqua" w:eastAsia="Book Antiqua" w:hAnsi="Book Antiqua" w:cs="Book Antiqua"/>
          <w:b/>
          <w:caps/>
          <w:color w:val="000000"/>
          <w:u w:val="single"/>
        </w:rPr>
        <w:t>CONCLUSION</w:t>
      </w:r>
    </w:p>
    <w:p w14:paraId="17932B67" w14:textId="60AED0D9" w:rsidR="00A77B3E" w:rsidRDefault="005513F1" w:rsidP="00CA3946">
      <w:pPr>
        <w:spacing w:line="360" w:lineRule="auto"/>
        <w:jc w:val="both"/>
      </w:pPr>
      <w:r>
        <w:rPr>
          <w:rFonts w:ascii="Book Antiqua" w:eastAsia="Book Antiqua" w:hAnsi="Book Antiqua" w:cs="Book Antiqua"/>
          <w:color w:val="000000"/>
        </w:rPr>
        <w:t>In summary, CT-P13 (</w:t>
      </w:r>
      <w:proofErr w:type="spellStart"/>
      <w:r>
        <w:rPr>
          <w:rFonts w:ascii="Book Antiqua" w:eastAsia="Book Antiqua" w:hAnsi="Book Antiqua" w:cs="Book Antiqua"/>
          <w:color w:val="000000"/>
        </w:rPr>
        <w:t>Remsima</w:t>
      </w:r>
      <w:proofErr w:type="spellEnd"/>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is an effective and safe biosimilar of infliximab for the treatment of CD and UC in real-life practice. It is a valid and attractive alternative for the treatment of IBD, </w:t>
      </w:r>
      <w:r w:rsidR="009F2FAC">
        <w:rPr>
          <w:rFonts w:ascii="Book Antiqua" w:eastAsia="Book Antiqua" w:hAnsi="Book Antiqua" w:cs="Book Antiqua"/>
          <w:color w:val="000000"/>
        </w:rPr>
        <w:t>as</w:t>
      </w:r>
      <w:r>
        <w:rPr>
          <w:rFonts w:ascii="Book Antiqua" w:eastAsia="Book Antiqua" w:hAnsi="Book Antiqua" w:cs="Book Antiqua"/>
          <w:color w:val="000000"/>
        </w:rPr>
        <w:t xml:space="preserve"> it reduces healthcare costs and facilitates access to biological treatments for more patients.</w:t>
      </w:r>
    </w:p>
    <w:p w14:paraId="03F4C3B2" w14:textId="77777777" w:rsidR="00A77B3E" w:rsidRDefault="00A77B3E" w:rsidP="00CA3946">
      <w:pPr>
        <w:spacing w:line="360" w:lineRule="auto"/>
        <w:jc w:val="both"/>
      </w:pPr>
    </w:p>
    <w:p w14:paraId="60043CC2" w14:textId="77777777" w:rsidR="00A77B3E" w:rsidRDefault="005513F1" w:rsidP="00CA3946">
      <w:pPr>
        <w:spacing w:line="360" w:lineRule="auto"/>
        <w:jc w:val="both"/>
      </w:pPr>
      <w:r>
        <w:rPr>
          <w:rFonts w:ascii="Book Antiqua" w:eastAsia="Book Antiqua" w:hAnsi="Book Antiqua" w:cs="Book Antiqua"/>
          <w:b/>
          <w:caps/>
          <w:color w:val="000000"/>
          <w:u w:val="single"/>
        </w:rPr>
        <w:t>ARTICLE HIGHLIGHTS</w:t>
      </w:r>
    </w:p>
    <w:p w14:paraId="1D9BC80E" w14:textId="77777777" w:rsidR="00A77B3E" w:rsidRDefault="005513F1" w:rsidP="00CA3946">
      <w:pPr>
        <w:spacing w:line="360" w:lineRule="auto"/>
        <w:jc w:val="both"/>
      </w:pPr>
      <w:r>
        <w:rPr>
          <w:rFonts w:ascii="Book Antiqua" w:eastAsia="Book Antiqua" w:hAnsi="Book Antiqua" w:cs="Book Antiqua"/>
          <w:b/>
          <w:i/>
          <w:color w:val="000000"/>
        </w:rPr>
        <w:t>Research background</w:t>
      </w:r>
    </w:p>
    <w:p w14:paraId="7C5671F0" w14:textId="2D8EFE1C" w:rsidR="00A77B3E" w:rsidRDefault="005513F1" w:rsidP="00CA3946">
      <w:pPr>
        <w:spacing w:line="360" w:lineRule="auto"/>
        <w:jc w:val="both"/>
      </w:pPr>
      <w:r>
        <w:rPr>
          <w:rFonts w:ascii="Book Antiqua" w:eastAsia="Book Antiqua" w:hAnsi="Book Antiqua" w:cs="Book Antiqua"/>
          <w:color w:val="000000"/>
        </w:rPr>
        <w:t xml:space="preserve">Authorization of infliximab biosimilars has revolutionized </w:t>
      </w:r>
      <w:r w:rsidR="009F2FAC">
        <w:rPr>
          <w:rFonts w:ascii="Book Antiqua" w:eastAsia="Book Antiqua" w:hAnsi="Book Antiqua" w:cs="Book Antiqua"/>
          <w:color w:val="000000"/>
        </w:rPr>
        <w:t xml:space="preserve">the </w:t>
      </w:r>
      <w:r>
        <w:rPr>
          <w:rFonts w:ascii="Book Antiqua" w:eastAsia="Book Antiqua" w:hAnsi="Book Antiqua" w:cs="Book Antiqua"/>
          <w:color w:val="000000"/>
        </w:rPr>
        <w:t xml:space="preserve">treatment of inflammatory bowel disease (IBD), in terms of both clinical practice and cost reduction. </w:t>
      </w:r>
      <w:r w:rsidR="009F2FAC">
        <w:rPr>
          <w:rFonts w:ascii="Book Antiqua" w:eastAsia="Book Antiqua" w:hAnsi="Book Antiqua" w:cs="Book Antiqua"/>
          <w:color w:val="000000"/>
        </w:rPr>
        <w:t>Although</w:t>
      </w:r>
      <w:r>
        <w:rPr>
          <w:rFonts w:ascii="Book Antiqua" w:eastAsia="Book Antiqua" w:hAnsi="Book Antiqua" w:cs="Book Antiqua"/>
          <w:color w:val="000000"/>
        </w:rPr>
        <w:t xml:space="preserve"> several studies have evaluated the safety and efficacy of infliximab biosimilar, some have retrospective designs and small study populations.</w:t>
      </w:r>
    </w:p>
    <w:p w14:paraId="1B5DEE83" w14:textId="77777777" w:rsidR="00A77B3E" w:rsidRDefault="00A77B3E" w:rsidP="00CA3946">
      <w:pPr>
        <w:spacing w:line="360" w:lineRule="auto"/>
        <w:jc w:val="both"/>
      </w:pPr>
    </w:p>
    <w:p w14:paraId="7D93E7D6" w14:textId="77777777" w:rsidR="00A77B3E" w:rsidRDefault="005513F1" w:rsidP="00CA3946">
      <w:pPr>
        <w:spacing w:line="360" w:lineRule="auto"/>
        <w:jc w:val="both"/>
      </w:pPr>
      <w:r>
        <w:rPr>
          <w:rFonts w:ascii="Book Antiqua" w:eastAsia="Book Antiqua" w:hAnsi="Book Antiqua" w:cs="Book Antiqua"/>
          <w:b/>
          <w:i/>
          <w:color w:val="000000"/>
        </w:rPr>
        <w:t>Research motivation</w:t>
      </w:r>
    </w:p>
    <w:p w14:paraId="2E31EB30" w14:textId="77777777" w:rsidR="00A77B3E" w:rsidRDefault="005513F1" w:rsidP="00CA3946">
      <w:pPr>
        <w:spacing w:line="360" w:lineRule="auto"/>
        <w:jc w:val="both"/>
      </w:pPr>
      <w:r>
        <w:rPr>
          <w:rFonts w:ascii="Book Antiqua" w:eastAsia="Book Antiqua" w:hAnsi="Book Antiqua" w:cs="Book Antiqua"/>
          <w:color w:val="000000"/>
        </w:rPr>
        <w:t>There is a need to evaluate the effectiveness and safety of these drugs in daily clinical practice in patients with IBD.</w:t>
      </w:r>
    </w:p>
    <w:p w14:paraId="4C186063" w14:textId="77777777" w:rsidR="00A77B3E" w:rsidRDefault="00A77B3E" w:rsidP="00CA3946">
      <w:pPr>
        <w:spacing w:line="360" w:lineRule="auto"/>
        <w:jc w:val="both"/>
      </w:pPr>
    </w:p>
    <w:p w14:paraId="5E368889" w14:textId="77777777" w:rsidR="00A77B3E" w:rsidRDefault="005513F1" w:rsidP="00CA3946">
      <w:pPr>
        <w:spacing w:line="360" w:lineRule="auto"/>
        <w:jc w:val="both"/>
      </w:pPr>
      <w:r>
        <w:rPr>
          <w:rFonts w:ascii="Book Antiqua" w:eastAsia="Book Antiqua" w:hAnsi="Book Antiqua" w:cs="Book Antiqua"/>
          <w:b/>
          <w:i/>
          <w:color w:val="000000"/>
        </w:rPr>
        <w:t>Research objectives</w:t>
      </w:r>
    </w:p>
    <w:p w14:paraId="6D20D00D" w14:textId="77777777" w:rsidR="00A77B3E" w:rsidRDefault="005513F1" w:rsidP="00CA3946">
      <w:pPr>
        <w:spacing w:line="360" w:lineRule="auto"/>
        <w:jc w:val="both"/>
      </w:pPr>
      <w:r>
        <w:rPr>
          <w:rFonts w:ascii="Book Antiqua" w:eastAsia="Book Antiqua" w:hAnsi="Book Antiqua" w:cs="Book Antiqua"/>
          <w:color w:val="000000"/>
        </w:rPr>
        <w:t>The objective of the present study was to evaluate the efficacy and safety of infliximab biosimilar in real-world practice.</w:t>
      </w:r>
    </w:p>
    <w:p w14:paraId="1EDA6C39" w14:textId="77777777" w:rsidR="00A77B3E" w:rsidRDefault="00A77B3E" w:rsidP="00CA3946">
      <w:pPr>
        <w:spacing w:line="360" w:lineRule="auto"/>
        <w:jc w:val="both"/>
      </w:pPr>
    </w:p>
    <w:p w14:paraId="3C7696F5" w14:textId="77777777" w:rsidR="00A77B3E" w:rsidRDefault="005513F1" w:rsidP="00CA3946">
      <w:pPr>
        <w:spacing w:line="360" w:lineRule="auto"/>
        <w:jc w:val="both"/>
      </w:pPr>
      <w:r>
        <w:rPr>
          <w:rFonts w:ascii="Book Antiqua" w:eastAsia="Book Antiqua" w:hAnsi="Book Antiqua" w:cs="Book Antiqua"/>
          <w:b/>
          <w:i/>
          <w:color w:val="000000"/>
        </w:rPr>
        <w:t>Research methods</w:t>
      </w:r>
    </w:p>
    <w:p w14:paraId="2C89FD16" w14:textId="77777777" w:rsidR="00A77B3E" w:rsidRDefault="005513F1" w:rsidP="00CA3946">
      <w:pPr>
        <w:spacing w:line="360" w:lineRule="auto"/>
        <w:jc w:val="both"/>
      </w:pPr>
      <w:r>
        <w:rPr>
          <w:rFonts w:ascii="Book Antiqua" w:eastAsia="Book Antiqua" w:hAnsi="Book Antiqua" w:cs="Book Antiqua"/>
          <w:color w:val="000000"/>
        </w:rPr>
        <w:t>The authors performed a multicenter, observational, prospective study in Spanish hospitals based on the real-world clinical practice of the participating physicians.</w:t>
      </w:r>
    </w:p>
    <w:p w14:paraId="44BF04CA" w14:textId="77777777" w:rsidR="00A77B3E" w:rsidRDefault="00A77B3E" w:rsidP="00CA3946">
      <w:pPr>
        <w:spacing w:line="360" w:lineRule="auto"/>
        <w:jc w:val="both"/>
      </w:pPr>
    </w:p>
    <w:p w14:paraId="6F27A461" w14:textId="77777777" w:rsidR="00A77B3E" w:rsidRDefault="005513F1" w:rsidP="00CA3946">
      <w:pPr>
        <w:spacing w:line="360" w:lineRule="auto"/>
        <w:jc w:val="both"/>
      </w:pPr>
      <w:r>
        <w:rPr>
          <w:rFonts w:ascii="Book Antiqua" w:eastAsia="Book Antiqua" w:hAnsi="Book Antiqua" w:cs="Book Antiqua"/>
          <w:b/>
          <w:i/>
          <w:color w:val="000000"/>
        </w:rPr>
        <w:t>Research results</w:t>
      </w:r>
    </w:p>
    <w:p w14:paraId="5EDA05C3" w14:textId="61B73383" w:rsidR="00A77B3E" w:rsidRDefault="005513F1" w:rsidP="00CA3946">
      <w:pPr>
        <w:spacing w:line="360" w:lineRule="auto"/>
        <w:jc w:val="both"/>
      </w:pPr>
      <w:r>
        <w:rPr>
          <w:rFonts w:ascii="Book Antiqua" w:eastAsia="Book Antiqua" w:hAnsi="Book Antiqua" w:cs="Book Antiqua"/>
          <w:color w:val="000000"/>
        </w:rPr>
        <w:t xml:space="preserve">After 12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of treatment, 64.2% (</w:t>
      </w:r>
      <w:r>
        <w:rPr>
          <w:rFonts w:ascii="Book Antiqua" w:eastAsia="Book Antiqua" w:hAnsi="Book Antiqua" w:cs="Book Antiqua"/>
          <w:i/>
          <w:iCs/>
          <w:color w:val="000000"/>
        </w:rPr>
        <w:t>n</w:t>
      </w:r>
      <w:r>
        <w:rPr>
          <w:rFonts w:ascii="Book Antiqua" w:eastAsia="Book Antiqua" w:hAnsi="Book Antiqua" w:cs="Book Antiqua"/>
          <w:color w:val="000000"/>
        </w:rPr>
        <w:t xml:space="preserve"> = 52/81) of patients were in clinical remission without corticosteroids. After 3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75.5% (</w:t>
      </w:r>
      <w:r>
        <w:rPr>
          <w:rFonts w:ascii="Book Antiqua" w:eastAsia="Book Antiqua" w:hAnsi="Book Antiqua" w:cs="Book Antiqua"/>
          <w:i/>
          <w:iCs/>
          <w:color w:val="000000"/>
        </w:rPr>
        <w:t>n</w:t>
      </w:r>
      <w:r>
        <w:rPr>
          <w:rFonts w:ascii="Book Antiqua" w:eastAsia="Book Antiqua" w:hAnsi="Book Antiqua" w:cs="Book Antiqua"/>
          <w:color w:val="000000"/>
        </w:rPr>
        <w:t xml:space="preserve"> = 115/152) had achieved a clinical response or clinical remission, which was sustained for 12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(85.2%; </w:t>
      </w:r>
      <w:r>
        <w:rPr>
          <w:rFonts w:ascii="Book Antiqua" w:eastAsia="Book Antiqua" w:hAnsi="Book Antiqua" w:cs="Book Antiqua"/>
          <w:i/>
          <w:iCs/>
          <w:color w:val="000000"/>
        </w:rPr>
        <w:t>n</w:t>
      </w:r>
      <w:r>
        <w:rPr>
          <w:rFonts w:ascii="Book Antiqua" w:eastAsia="Book Antiqua" w:hAnsi="Book Antiqua" w:cs="Book Antiqua"/>
          <w:color w:val="000000"/>
        </w:rPr>
        <w:t xml:space="preserve"> = 69/81). There was a decrease in specific IBD ind</w:t>
      </w:r>
      <w:r w:rsidR="009F2FAC">
        <w:rPr>
          <w:rFonts w:ascii="Book Antiqua" w:eastAsia="Book Antiqua" w:hAnsi="Book Antiqua" w:cs="Book Antiqua"/>
          <w:color w:val="000000"/>
        </w:rPr>
        <w:t>ic</w:t>
      </w:r>
      <w:r>
        <w:rPr>
          <w:rFonts w:ascii="Book Antiqua" w:eastAsia="Book Antiqua" w:hAnsi="Book Antiqua" w:cs="Book Antiqua"/>
          <w:color w:val="000000"/>
        </w:rPr>
        <w:t xml:space="preserve">es at 3, 6, 9, and 12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w:t>
      </w:r>
      <w:r>
        <w:rPr>
          <w:rFonts w:ascii="Book Antiqua" w:eastAsia="Book Antiqua" w:hAnsi="Book Antiqua" w:cs="Book Antiqua"/>
          <w:i/>
          <w:iCs/>
          <w:caps/>
          <w:color w:val="000000"/>
        </w:rPr>
        <w:t>p</w:t>
      </w:r>
      <w:r>
        <w:rPr>
          <w:rFonts w:ascii="Book Antiqua" w:eastAsia="Book Antiqua" w:hAnsi="Book Antiqua" w:cs="Book Antiqua"/>
          <w:color w:val="000000"/>
        </w:rPr>
        <w:t xml:space="preserve"> &lt; 0.001). A total of 34 adverse events were reported by 27 (12.3%) patients; of these, nine (26.5%) were serious.</w:t>
      </w:r>
    </w:p>
    <w:p w14:paraId="6D1BF2A9" w14:textId="77777777" w:rsidR="00A77B3E" w:rsidRDefault="00A77B3E" w:rsidP="00CA3946">
      <w:pPr>
        <w:spacing w:line="360" w:lineRule="auto"/>
        <w:jc w:val="both"/>
      </w:pPr>
    </w:p>
    <w:p w14:paraId="64394204" w14:textId="77777777" w:rsidR="00A77B3E" w:rsidRDefault="005513F1" w:rsidP="00CA3946">
      <w:pPr>
        <w:spacing w:line="360" w:lineRule="auto"/>
        <w:jc w:val="both"/>
      </w:pPr>
      <w:r>
        <w:rPr>
          <w:rFonts w:ascii="Book Antiqua" w:eastAsia="Book Antiqua" w:hAnsi="Book Antiqua" w:cs="Book Antiqua"/>
          <w:b/>
          <w:i/>
          <w:color w:val="000000"/>
        </w:rPr>
        <w:t>Research conclusions</w:t>
      </w:r>
    </w:p>
    <w:p w14:paraId="03A680C7" w14:textId="4C402366" w:rsidR="00A77B3E" w:rsidRDefault="005513F1" w:rsidP="00CA3946">
      <w:pPr>
        <w:spacing w:line="360" w:lineRule="auto"/>
        <w:jc w:val="both"/>
      </w:pPr>
      <w:r>
        <w:rPr>
          <w:rFonts w:ascii="Book Antiqua" w:eastAsia="Book Antiqua" w:hAnsi="Book Antiqua" w:cs="Book Antiqua"/>
          <w:color w:val="000000"/>
        </w:rPr>
        <w:lastRenderedPageBreak/>
        <w:t>CT-P13 (</w:t>
      </w:r>
      <w:proofErr w:type="spellStart"/>
      <w:r>
        <w:rPr>
          <w:rFonts w:ascii="Book Antiqua" w:eastAsia="Book Antiqua" w:hAnsi="Book Antiqua" w:cs="Book Antiqua"/>
          <w:color w:val="000000"/>
        </w:rPr>
        <w:t>Remsima</w:t>
      </w:r>
      <w:proofErr w:type="spellEnd"/>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is an effective and safe infliximab biosimilar for the treatment of Crohn´s disease and ulcerative colitis in real-life practice. It is a valid and attractive alternative for the treatment of IBD, </w:t>
      </w:r>
      <w:r w:rsidR="009F2FAC">
        <w:rPr>
          <w:rFonts w:ascii="Book Antiqua" w:eastAsia="Book Antiqua" w:hAnsi="Book Antiqua" w:cs="Book Antiqua"/>
          <w:color w:val="000000"/>
        </w:rPr>
        <w:t>as</w:t>
      </w:r>
      <w:r>
        <w:rPr>
          <w:rFonts w:ascii="Book Antiqua" w:eastAsia="Book Antiqua" w:hAnsi="Book Antiqua" w:cs="Book Antiqua"/>
          <w:color w:val="000000"/>
        </w:rPr>
        <w:t xml:space="preserve"> it reduces healthcare costs and facilitates access to biological treatments for more patients.</w:t>
      </w:r>
    </w:p>
    <w:p w14:paraId="25A7064C" w14:textId="77777777" w:rsidR="00A77B3E" w:rsidRDefault="00A77B3E" w:rsidP="00CA3946">
      <w:pPr>
        <w:spacing w:line="360" w:lineRule="auto"/>
        <w:jc w:val="both"/>
      </w:pPr>
    </w:p>
    <w:p w14:paraId="13A94756" w14:textId="77777777" w:rsidR="00A77B3E" w:rsidRDefault="005513F1" w:rsidP="00CA3946">
      <w:pPr>
        <w:spacing w:line="360" w:lineRule="auto"/>
        <w:jc w:val="both"/>
      </w:pPr>
      <w:r>
        <w:rPr>
          <w:rFonts w:ascii="Book Antiqua" w:eastAsia="Book Antiqua" w:hAnsi="Book Antiqua" w:cs="Book Antiqua"/>
          <w:b/>
          <w:i/>
          <w:color w:val="000000"/>
        </w:rPr>
        <w:t>Research perspectives</w:t>
      </w:r>
    </w:p>
    <w:p w14:paraId="60226AC8" w14:textId="53BE48CF" w:rsidR="00A77B3E" w:rsidRDefault="005513F1" w:rsidP="00CA3946">
      <w:pPr>
        <w:spacing w:line="360" w:lineRule="auto"/>
        <w:jc w:val="both"/>
      </w:pPr>
      <w:r>
        <w:rPr>
          <w:rFonts w:ascii="Book Antiqua" w:eastAsia="Book Antiqua" w:hAnsi="Book Antiqua" w:cs="Book Antiqua"/>
          <w:color w:val="000000"/>
        </w:rPr>
        <w:t xml:space="preserve">New studies will be necessary to provide more in-depth information on </w:t>
      </w:r>
      <w:r w:rsidR="009F2FAC">
        <w:rPr>
          <w:rFonts w:ascii="Book Antiqua" w:eastAsia="Book Antiqua" w:hAnsi="Book Antiqua" w:cs="Book Antiqua"/>
          <w:color w:val="000000"/>
        </w:rPr>
        <w:t xml:space="preserve">the </w:t>
      </w:r>
      <w:r>
        <w:rPr>
          <w:rFonts w:ascii="Book Antiqua" w:eastAsia="Book Antiqua" w:hAnsi="Book Antiqua" w:cs="Book Antiqua"/>
          <w:color w:val="000000"/>
        </w:rPr>
        <w:t>management of IBD with infliximab biosimilar in clinical practice.</w:t>
      </w:r>
    </w:p>
    <w:p w14:paraId="236771DF" w14:textId="77777777" w:rsidR="00A77B3E" w:rsidRDefault="00A77B3E" w:rsidP="00CA3946">
      <w:pPr>
        <w:spacing w:line="360" w:lineRule="auto"/>
        <w:jc w:val="both"/>
      </w:pPr>
    </w:p>
    <w:p w14:paraId="52882B1D" w14:textId="77777777" w:rsidR="00A77B3E" w:rsidRDefault="005513F1" w:rsidP="00CA3946">
      <w:pPr>
        <w:spacing w:line="360" w:lineRule="auto"/>
        <w:jc w:val="both"/>
      </w:pPr>
      <w:r>
        <w:rPr>
          <w:rFonts w:ascii="Book Antiqua" w:eastAsia="Book Antiqua" w:hAnsi="Book Antiqua" w:cs="Book Antiqua"/>
          <w:b/>
          <w:caps/>
          <w:color w:val="000000"/>
          <w:u w:val="single"/>
        </w:rPr>
        <w:t>ACKNOWLEDGEMENTS</w:t>
      </w:r>
    </w:p>
    <w:p w14:paraId="4CEACCBA" w14:textId="77777777" w:rsidR="00A77B3E" w:rsidRDefault="005513F1" w:rsidP="00CA3946">
      <w:pPr>
        <w:spacing w:line="360" w:lineRule="auto"/>
        <w:jc w:val="both"/>
      </w:pPr>
      <w:r>
        <w:rPr>
          <w:rFonts w:ascii="Book Antiqua" w:eastAsia="Book Antiqua" w:hAnsi="Book Antiqua" w:cs="Book Antiqua"/>
          <w:color w:val="000000"/>
        </w:rPr>
        <w:t xml:space="preserve">Medical writing assistance was provided by Dr. Paloma </w:t>
      </w:r>
      <w:proofErr w:type="spellStart"/>
      <w:r>
        <w:rPr>
          <w:rFonts w:ascii="Book Antiqua" w:eastAsia="Book Antiqua" w:hAnsi="Book Antiqua" w:cs="Book Antiqua"/>
          <w:color w:val="000000"/>
        </w:rPr>
        <w:t>Goñi</w:t>
      </w:r>
      <w:proofErr w:type="spellEnd"/>
      <w:r>
        <w:rPr>
          <w:rFonts w:ascii="Book Antiqua" w:eastAsia="Book Antiqua" w:hAnsi="Book Antiqua" w:cs="Book Antiqua"/>
          <w:color w:val="000000"/>
        </w:rPr>
        <w:t xml:space="preserve"> Oliver and Dr. Pablo Rivas on behalf of Springer Healthcare Communications with the support of Kern Pharma Laboratories.</w:t>
      </w:r>
    </w:p>
    <w:p w14:paraId="66BCE990" w14:textId="77777777" w:rsidR="00A77B3E" w:rsidRDefault="00A77B3E" w:rsidP="00CA3946">
      <w:pPr>
        <w:spacing w:line="360" w:lineRule="auto"/>
        <w:jc w:val="both"/>
      </w:pPr>
    </w:p>
    <w:p w14:paraId="78592C06" w14:textId="77777777" w:rsidR="00A77B3E" w:rsidRDefault="005513F1" w:rsidP="00CA3946">
      <w:pPr>
        <w:spacing w:line="360" w:lineRule="auto"/>
        <w:jc w:val="both"/>
      </w:pPr>
      <w:r>
        <w:rPr>
          <w:rFonts w:ascii="Book Antiqua" w:eastAsia="Book Antiqua" w:hAnsi="Book Antiqua" w:cs="Book Antiqua"/>
          <w:b/>
          <w:color w:val="000000"/>
        </w:rPr>
        <w:t>REFERENCES</w:t>
      </w:r>
    </w:p>
    <w:p w14:paraId="0FFAE5E8" w14:textId="77777777" w:rsidR="00A77B3E" w:rsidRDefault="005513F1" w:rsidP="00CA3946">
      <w:pPr>
        <w:spacing w:line="360" w:lineRule="auto"/>
        <w:jc w:val="both"/>
      </w:pPr>
      <w:r>
        <w:rPr>
          <w:rFonts w:ascii="Book Antiqua" w:eastAsia="Book Antiqua" w:hAnsi="Book Antiqua" w:cs="Book Antiqua"/>
          <w:color w:val="000000"/>
        </w:rPr>
        <w:t xml:space="preserve">1 </w:t>
      </w:r>
      <w:proofErr w:type="spellStart"/>
      <w:r>
        <w:rPr>
          <w:rFonts w:ascii="Book Antiqua" w:eastAsia="Book Antiqua" w:hAnsi="Book Antiqua" w:cs="Book Antiqua"/>
          <w:b/>
          <w:bCs/>
          <w:color w:val="000000"/>
        </w:rPr>
        <w:t>Roda</w:t>
      </w:r>
      <w:proofErr w:type="spellEnd"/>
      <w:r>
        <w:rPr>
          <w:rFonts w:ascii="Book Antiqua" w:eastAsia="Book Antiqua" w:hAnsi="Book Antiqua" w:cs="Book Antiqua"/>
          <w:b/>
          <w:bCs/>
          <w:color w:val="000000"/>
        </w:rPr>
        <w:t xml:space="preserve"> G</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Chien</w:t>
      </w:r>
      <w:proofErr w:type="spellEnd"/>
      <w:r>
        <w:rPr>
          <w:rFonts w:ascii="Book Antiqua" w:eastAsia="Book Antiqua" w:hAnsi="Book Antiqua" w:cs="Book Antiqua"/>
          <w:color w:val="000000"/>
        </w:rPr>
        <w:t xml:space="preserve"> Ng S, </w:t>
      </w:r>
      <w:proofErr w:type="spellStart"/>
      <w:r>
        <w:rPr>
          <w:rFonts w:ascii="Book Antiqua" w:eastAsia="Book Antiqua" w:hAnsi="Book Antiqua" w:cs="Book Antiqua"/>
          <w:color w:val="000000"/>
        </w:rPr>
        <w:t>Kotze</w:t>
      </w:r>
      <w:proofErr w:type="spellEnd"/>
      <w:r>
        <w:rPr>
          <w:rFonts w:ascii="Book Antiqua" w:eastAsia="Book Antiqua" w:hAnsi="Book Antiqua" w:cs="Book Antiqua"/>
          <w:color w:val="000000"/>
        </w:rPr>
        <w:t xml:space="preserve"> PG, </w:t>
      </w:r>
      <w:proofErr w:type="spellStart"/>
      <w:r>
        <w:rPr>
          <w:rFonts w:ascii="Book Antiqua" w:eastAsia="Book Antiqua" w:hAnsi="Book Antiqua" w:cs="Book Antiqua"/>
          <w:color w:val="000000"/>
        </w:rPr>
        <w:t>Argollo</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Panaccione</w:t>
      </w:r>
      <w:proofErr w:type="spellEnd"/>
      <w:r>
        <w:rPr>
          <w:rFonts w:ascii="Book Antiqua" w:eastAsia="Book Antiqua" w:hAnsi="Book Antiqua" w:cs="Book Antiqua"/>
          <w:color w:val="000000"/>
        </w:rPr>
        <w:t xml:space="preserve"> R, Spinelli A, </w:t>
      </w:r>
      <w:proofErr w:type="spellStart"/>
      <w:r>
        <w:rPr>
          <w:rFonts w:ascii="Book Antiqua" w:eastAsia="Book Antiqua" w:hAnsi="Book Antiqua" w:cs="Book Antiqua"/>
          <w:color w:val="000000"/>
        </w:rPr>
        <w:t>Kaser</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Peyrin-Biroulet</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Danese</w:t>
      </w:r>
      <w:proofErr w:type="spellEnd"/>
      <w:r>
        <w:rPr>
          <w:rFonts w:ascii="Book Antiqua" w:eastAsia="Book Antiqua" w:hAnsi="Book Antiqua" w:cs="Book Antiqua"/>
          <w:color w:val="000000"/>
        </w:rPr>
        <w:t xml:space="preserve"> S. Crohn's disease. </w:t>
      </w:r>
      <w:r>
        <w:rPr>
          <w:rFonts w:ascii="Book Antiqua" w:eastAsia="Book Antiqua" w:hAnsi="Book Antiqua" w:cs="Book Antiqua"/>
          <w:i/>
          <w:iCs/>
          <w:color w:val="000000"/>
        </w:rPr>
        <w:t>Nat Rev Dis Primers</w:t>
      </w:r>
      <w:r>
        <w:rPr>
          <w:rFonts w:ascii="Book Antiqua" w:eastAsia="Book Antiqua" w:hAnsi="Book Antiqua" w:cs="Book Antiqua"/>
          <w:color w:val="000000"/>
        </w:rPr>
        <w:t xml:space="preserve"> 2020; </w:t>
      </w:r>
      <w:r>
        <w:rPr>
          <w:rFonts w:ascii="Book Antiqua" w:eastAsia="Book Antiqua" w:hAnsi="Book Antiqua" w:cs="Book Antiqua"/>
          <w:b/>
          <w:bCs/>
          <w:color w:val="000000"/>
        </w:rPr>
        <w:t>6</w:t>
      </w:r>
      <w:r>
        <w:rPr>
          <w:rFonts w:ascii="Book Antiqua" w:eastAsia="Book Antiqua" w:hAnsi="Book Antiqua" w:cs="Book Antiqua"/>
          <w:color w:val="000000"/>
        </w:rPr>
        <w:t>: 22 [PMID: 32242028 DOI: 10.1038/s41572-020-0156-2]</w:t>
      </w:r>
    </w:p>
    <w:p w14:paraId="2752B559" w14:textId="77777777" w:rsidR="00A77B3E" w:rsidRDefault="005513F1" w:rsidP="00CA3946">
      <w:pPr>
        <w:spacing w:line="360" w:lineRule="auto"/>
        <w:jc w:val="both"/>
      </w:pPr>
      <w:r>
        <w:rPr>
          <w:rFonts w:ascii="Book Antiqua" w:eastAsia="Book Antiqua" w:hAnsi="Book Antiqua" w:cs="Book Antiqua"/>
          <w:color w:val="000000"/>
        </w:rPr>
        <w:t xml:space="preserve">2 </w:t>
      </w:r>
      <w:r>
        <w:rPr>
          <w:rFonts w:ascii="Book Antiqua" w:eastAsia="Book Antiqua" w:hAnsi="Book Antiqua" w:cs="Book Antiqua"/>
          <w:b/>
          <w:bCs/>
          <w:color w:val="000000"/>
        </w:rPr>
        <w:t>Kobayashi 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Siegmund</w:t>
      </w:r>
      <w:proofErr w:type="spellEnd"/>
      <w:r>
        <w:rPr>
          <w:rFonts w:ascii="Book Antiqua" w:eastAsia="Book Antiqua" w:hAnsi="Book Antiqua" w:cs="Book Antiqua"/>
          <w:color w:val="000000"/>
        </w:rPr>
        <w:t xml:space="preserve"> B, Le </w:t>
      </w:r>
      <w:proofErr w:type="spellStart"/>
      <w:r>
        <w:rPr>
          <w:rFonts w:ascii="Book Antiqua" w:eastAsia="Book Antiqua" w:hAnsi="Book Antiqua" w:cs="Book Antiqua"/>
          <w:color w:val="000000"/>
        </w:rPr>
        <w:t>Berre</w:t>
      </w:r>
      <w:proofErr w:type="spellEnd"/>
      <w:r>
        <w:rPr>
          <w:rFonts w:ascii="Book Antiqua" w:eastAsia="Book Antiqua" w:hAnsi="Book Antiqua" w:cs="Book Antiqua"/>
          <w:color w:val="000000"/>
        </w:rPr>
        <w:t xml:space="preserve"> C, Wei SC, Ferrante M, Shen B, Bernstein CN, </w:t>
      </w:r>
      <w:proofErr w:type="spellStart"/>
      <w:r>
        <w:rPr>
          <w:rFonts w:ascii="Book Antiqua" w:eastAsia="Book Antiqua" w:hAnsi="Book Antiqua" w:cs="Book Antiqua"/>
          <w:color w:val="000000"/>
        </w:rPr>
        <w:t>Danese</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Peyrin-Biroulet</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Hibi</w:t>
      </w:r>
      <w:proofErr w:type="spellEnd"/>
      <w:r>
        <w:rPr>
          <w:rFonts w:ascii="Book Antiqua" w:eastAsia="Book Antiqua" w:hAnsi="Book Antiqua" w:cs="Book Antiqua"/>
          <w:color w:val="000000"/>
        </w:rPr>
        <w:t xml:space="preserve"> T. Ulcerative colitis. </w:t>
      </w:r>
      <w:r>
        <w:rPr>
          <w:rFonts w:ascii="Book Antiqua" w:eastAsia="Book Antiqua" w:hAnsi="Book Antiqua" w:cs="Book Antiqua"/>
          <w:i/>
          <w:iCs/>
          <w:color w:val="000000"/>
        </w:rPr>
        <w:t>Nat Rev Dis Primers</w:t>
      </w:r>
      <w:r>
        <w:rPr>
          <w:rFonts w:ascii="Book Antiqua" w:eastAsia="Book Antiqua" w:hAnsi="Book Antiqua" w:cs="Book Antiqua"/>
          <w:color w:val="000000"/>
        </w:rPr>
        <w:t xml:space="preserve"> 2020; </w:t>
      </w:r>
      <w:r>
        <w:rPr>
          <w:rFonts w:ascii="Book Antiqua" w:eastAsia="Book Antiqua" w:hAnsi="Book Antiqua" w:cs="Book Antiqua"/>
          <w:b/>
          <w:bCs/>
          <w:color w:val="000000"/>
        </w:rPr>
        <w:t>6</w:t>
      </w:r>
      <w:r>
        <w:rPr>
          <w:rFonts w:ascii="Book Antiqua" w:eastAsia="Book Antiqua" w:hAnsi="Book Antiqua" w:cs="Book Antiqua"/>
          <w:color w:val="000000"/>
        </w:rPr>
        <w:t>: 74 [PMID: 32913180 DOI: 10.1038/s41572-020-0205-x]</w:t>
      </w:r>
    </w:p>
    <w:p w14:paraId="2B03D66C" w14:textId="77777777" w:rsidR="00A77B3E" w:rsidRDefault="005513F1" w:rsidP="00CA3946">
      <w:pPr>
        <w:spacing w:line="360" w:lineRule="auto"/>
        <w:jc w:val="both"/>
      </w:pPr>
      <w:r>
        <w:rPr>
          <w:rFonts w:ascii="Book Antiqua" w:eastAsia="Book Antiqua" w:hAnsi="Book Antiqua" w:cs="Book Antiqua"/>
          <w:color w:val="000000"/>
        </w:rPr>
        <w:t xml:space="preserve">3 </w:t>
      </w:r>
      <w:r>
        <w:rPr>
          <w:rFonts w:ascii="Book Antiqua" w:eastAsia="Book Antiqua" w:hAnsi="Book Antiqua" w:cs="Book Antiqua"/>
          <w:b/>
          <w:bCs/>
          <w:color w:val="000000"/>
        </w:rPr>
        <w:t>Keller 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Mazurak</w:t>
      </w:r>
      <w:proofErr w:type="spellEnd"/>
      <w:r>
        <w:rPr>
          <w:rFonts w:ascii="Book Antiqua" w:eastAsia="Book Antiqua" w:hAnsi="Book Antiqua" w:cs="Book Antiqua"/>
          <w:color w:val="000000"/>
        </w:rPr>
        <w:t xml:space="preserve"> N, Fantasia L, Fusco S, </w:t>
      </w:r>
      <w:proofErr w:type="spellStart"/>
      <w:r>
        <w:rPr>
          <w:rFonts w:ascii="Book Antiqua" w:eastAsia="Book Antiqua" w:hAnsi="Book Antiqua" w:cs="Book Antiqua"/>
          <w:color w:val="000000"/>
        </w:rPr>
        <w:t>Malek</w:t>
      </w:r>
      <w:proofErr w:type="spellEnd"/>
      <w:r>
        <w:rPr>
          <w:rFonts w:ascii="Book Antiqua" w:eastAsia="Book Antiqua" w:hAnsi="Book Antiqua" w:cs="Book Antiqua"/>
          <w:color w:val="000000"/>
        </w:rPr>
        <w:t xml:space="preserve"> NP, </w:t>
      </w:r>
      <w:proofErr w:type="spellStart"/>
      <w:r>
        <w:rPr>
          <w:rFonts w:ascii="Book Antiqua" w:eastAsia="Book Antiqua" w:hAnsi="Book Antiqua" w:cs="Book Antiqua"/>
          <w:color w:val="000000"/>
        </w:rPr>
        <w:t>Wehkamp</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Enck</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Klag</w:t>
      </w:r>
      <w:proofErr w:type="spellEnd"/>
      <w:r>
        <w:rPr>
          <w:rFonts w:ascii="Book Antiqua" w:eastAsia="Book Antiqua" w:hAnsi="Book Antiqua" w:cs="Book Antiqua"/>
          <w:color w:val="000000"/>
        </w:rPr>
        <w:t xml:space="preserve"> T. Quality of life in inflammatory bowel diseases: it is not all about the bowel. </w:t>
      </w:r>
      <w:proofErr w:type="spellStart"/>
      <w:r>
        <w:rPr>
          <w:rFonts w:ascii="Book Antiqua" w:eastAsia="Book Antiqua" w:hAnsi="Book Antiqua" w:cs="Book Antiqua"/>
          <w:i/>
          <w:iCs/>
          <w:color w:val="000000"/>
        </w:rPr>
        <w:t>Intest</w:t>
      </w:r>
      <w:proofErr w:type="spellEnd"/>
      <w:r>
        <w:rPr>
          <w:rFonts w:ascii="Book Antiqua" w:eastAsia="Book Antiqua" w:hAnsi="Book Antiqua" w:cs="Book Antiqua"/>
          <w:i/>
          <w:iCs/>
          <w:color w:val="000000"/>
        </w:rPr>
        <w:t xml:space="preserve"> Res</w:t>
      </w:r>
      <w:r>
        <w:rPr>
          <w:rFonts w:ascii="Book Antiqua" w:eastAsia="Book Antiqua" w:hAnsi="Book Antiqua" w:cs="Book Antiqua"/>
          <w:color w:val="000000"/>
        </w:rPr>
        <w:t xml:space="preserve"> 2021; </w:t>
      </w:r>
      <w:r>
        <w:rPr>
          <w:rFonts w:ascii="Book Antiqua" w:eastAsia="Book Antiqua" w:hAnsi="Book Antiqua" w:cs="Book Antiqua"/>
          <w:b/>
          <w:bCs/>
          <w:color w:val="000000"/>
        </w:rPr>
        <w:t>19</w:t>
      </w:r>
      <w:r>
        <w:rPr>
          <w:rFonts w:ascii="Book Antiqua" w:eastAsia="Book Antiqua" w:hAnsi="Book Antiqua" w:cs="Book Antiqua"/>
          <w:color w:val="000000"/>
        </w:rPr>
        <w:t>: 45-52 [PMID: 32093437 DOI: 10.5217/ir.2019.00135]</w:t>
      </w:r>
    </w:p>
    <w:p w14:paraId="4D45C4D3" w14:textId="77777777" w:rsidR="00A77B3E" w:rsidRDefault="005513F1" w:rsidP="00CA3946">
      <w:pPr>
        <w:spacing w:line="360" w:lineRule="auto"/>
        <w:jc w:val="both"/>
      </w:pPr>
      <w:r>
        <w:rPr>
          <w:rFonts w:ascii="Book Antiqua" w:eastAsia="Book Antiqua" w:hAnsi="Book Antiqua" w:cs="Book Antiqua"/>
          <w:color w:val="000000"/>
        </w:rPr>
        <w:t xml:space="preserve">4 </w:t>
      </w:r>
      <w:r>
        <w:rPr>
          <w:rFonts w:ascii="Book Antiqua" w:eastAsia="Book Antiqua" w:hAnsi="Book Antiqua" w:cs="Book Antiqua"/>
          <w:b/>
          <w:bCs/>
          <w:color w:val="000000"/>
        </w:rPr>
        <w:t>Parra RS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Chebli</w:t>
      </w:r>
      <w:proofErr w:type="spellEnd"/>
      <w:r>
        <w:rPr>
          <w:rFonts w:ascii="Book Antiqua" w:eastAsia="Book Antiqua" w:hAnsi="Book Antiqua" w:cs="Book Antiqua"/>
          <w:color w:val="000000"/>
        </w:rPr>
        <w:t xml:space="preserve"> JMF, </w:t>
      </w:r>
      <w:proofErr w:type="spellStart"/>
      <w:r>
        <w:rPr>
          <w:rFonts w:ascii="Book Antiqua" w:eastAsia="Book Antiqua" w:hAnsi="Book Antiqua" w:cs="Book Antiqua"/>
          <w:color w:val="000000"/>
        </w:rPr>
        <w:t>Amarante</w:t>
      </w:r>
      <w:proofErr w:type="spellEnd"/>
      <w:r>
        <w:rPr>
          <w:rFonts w:ascii="Book Antiqua" w:eastAsia="Book Antiqua" w:hAnsi="Book Antiqua" w:cs="Book Antiqua"/>
          <w:color w:val="000000"/>
        </w:rPr>
        <w:t xml:space="preserve"> HMBS, Flores C, </w:t>
      </w:r>
      <w:proofErr w:type="spellStart"/>
      <w:r>
        <w:rPr>
          <w:rFonts w:ascii="Book Antiqua" w:eastAsia="Book Antiqua" w:hAnsi="Book Antiqua" w:cs="Book Antiqua"/>
          <w:color w:val="000000"/>
        </w:rPr>
        <w:t>Parente</w:t>
      </w:r>
      <w:proofErr w:type="spellEnd"/>
      <w:r>
        <w:rPr>
          <w:rFonts w:ascii="Book Antiqua" w:eastAsia="Book Antiqua" w:hAnsi="Book Antiqua" w:cs="Book Antiqua"/>
          <w:color w:val="000000"/>
        </w:rPr>
        <w:t xml:space="preserve"> JML, Ramos O, Fernandes M, Rocha JJR, </w:t>
      </w:r>
      <w:proofErr w:type="spellStart"/>
      <w:r>
        <w:rPr>
          <w:rFonts w:ascii="Book Antiqua" w:eastAsia="Book Antiqua" w:hAnsi="Book Antiqua" w:cs="Book Antiqua"/>
          <w:color w:val="000000"/>
        </w:rPr>
        <w:t>Feitosa</w:t>
      </w:r>
      <w:proofErr w:type="spellEnd"/>
      <w:r>
        <w:rPr>
          <w:rFonts w:ascii="Book Antiqua" w:eastAsia="Book Antiqua" w:hAnsi="Book Antiqua" w:cs="Book Antiqua"/>
          <w:color w:val="000000"/>
        </w:rPr>
        <w:t xml:space="preserve"> MR, </w:t>
      </w:r>
      <w:proofErr w:type="spellStart"/>
      <w:r>
        <w:rPr>
          <w:rFonts w:ascii="Book Antiqua" w:eastAsia="Book Antiqua" w:hAnsi="Book Antiqua" w:cs="Book Antiqua"/>
          <w:color w:val="000000"/>
        </w:rPr>
        <w:t>Feres</w:t>
      </w:r>
      <w:proofErr w:type="spellEnd"/>
      <w:r>
        <w:rPr>
          <w:rFonts w:ascii="Book Antiqua" w:eastAsia="Book Antiqua" w:hAnsi="Book Antiqua" w:cs="Book Antiqua"/>
          <w:color w:val="000000"/>
        </w:rPr>
        <w:t xml:space="preserve"> O, </w:t>
      </w:r>
      <w:proofErr w:type="spellStart"/>
      <w:r>
        <w:rPr>
          <w:rFonts w:ascii="Book Antiqua" w:eastAsia="Book Antiqua" w:hAnsi="Book Antiqua" w:cs="Book Antiqua"/>
          <w:color w:val="000000"/>
        </w:rPr>
        <w:t>Scotton</w:t>
      </w:r>
      <w:proofErr w:type="spellEnd"/>
      <w:r>
        <w:rPr>
          <w:rFonts w:ascii="Book Antiqua" w:eastAsia="Book Antiqua" w:hAnsi="Book Antiqua" w:cs="Book Antiqua"/>
          <w:color w:val="000000"/>
        </w:rPr>
        <w:t xml:space="preserve"> AS, </w:t>
      </w:r>
      <w:proofErr w:type="spellStart"/>
      <w:r>
        <w:rPr>
          <w:rFonts w:ascii="Book Antiqua" w:eastAsia="Book Antiqua" w:hAnsi="Book Antiqua" w:cs="Book Antiqua"/>
          <w:color w:val="000000"/>
        </w:rPr>
        <w:t>Nones</w:t>
      </w:r>
      <w:proofErr w:type="spellEnd"/>
      <w:r>
        <w:rPr>
          <w:rFonts w:ascii="Book Antiqua" w:eastAsia="Book Antiqua" w:hAnsi="Book Antiqua" w:cs="Book Antiqua"/>
          <w:color w:val="000000"/>
        </w:rPr>
        <w:t xml:space="preserve"> RB, Lima MM, </w:t>
      </w:r>
      <w:proofErr w:type="spellStart"/>
      <w:r>
        <w:rPr>
          <w:rFonts w:ascii="Book Antiqua" w:eastAsia="Book Antiqua" w:hAnsi="Book Antiqua" w:cs="Book Antiqua"/>
          <w:color w:val="000000"/>
        </w:rPr>
        <w:t>Zaltman</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Goncalves</w:t>
      </w:r>
      <w:proofErr w:type="spellEnd"/>
      <w:r>
        <w:rPr>
          <w:rFonts w:ascii="Book Antiqua" w:eastAsia="Book Antiqua" w:hAnsi="Book Antiqua" w:cs="Book Antiqua"/>
          <w:color w:val="000000"/>
        </w:rPr>
        <w:t xml:space="preserve"> CD, Guimaraes IM, Santana GO, </w:t>
      </w:r>
      <w:proofErr w:type="spellStart"/>
      <w:r>
        <w:rPr>
          <w:rFonts w:ascii="Book Antiqua" w:eastAsia="Book Antiqua" w:hAnsi="Book Antiqua" w:cs="Book Antiqua"/>
          <w:color w:val="000000"/>
        </w:rPr>
        <w:t>Sassaki</w:t>
      </w:r>
      <w:proofErr w:type="spellEnd"/>
      <w:r>
        <w:rPr>
          <w:rFonts w:ascii="Book Antiqua" w:eastAsia="Book Antiqua" w:hAnsi="Book Antiqua" w:cs="Book Antiqua"/>
          <w:color w:val="000000"/>
        </w:rPr>
        <w:t xml:space="preserve"> LY, </w:t>
      </w:r>
      <w:proofErr w:type="spellStart"/>
      <w:r>
        <w:rPr>
          <w:rFonts w:ascii="Book Antiqua" w:eastAsia="Book Antiqua" w:hAnsi="Book Antiqua" w:cs="Book Antiqua"/>
          <w:color w:val="000000"/>
        </w:rPr>
        <w:t>Hossne</w:t>
      </w:r>
      <w:proofErr w:type="spellEnd"/>
      <w:r>
        <w:rPr>
          <w:rFonts w:ascii="Book Antiqua" w:eastAsia="Book Antiqua" w:hAnsi="Book Antiqua" w:cs="Book Antiqua"/>
          <w:color w:val="000000"/>
        </w:rPr>
        <w:t xml:space="preserve"> RS, </w:t>
      </w:r>
      <w:proofErr w:type="spellStart"/>
      <w:r>
        <w:rPr>
          <w:rFonts w:ascii="Book Antiqua" w:eastAsia="Book Antiqua" w:hAnsi="Book Antiqua" w:cs="Book Antiqua"/>
          <w:color w:val="000000"/>
        </w:rPr>
        <w:t>Bafutto</w:t>
      </w:r>
      <w:proofErr w:type="spellEnd"/>
      <w:r>
        <w:rPr>
          <w:rFonts w:ascii="Book Antiqua" w:eastAsia="Book Antiqua" w:hAnsi="Book Antiqua" w:cs="Book Antiqua"/>
          <w:color w:val="000000"/>
        </w:rPr>
        <w:t xml:space="preserve"> M, Junior RLK, </w:t>
      </w:r>
      <w:proofErr w:type="spellStart"/>
      <w:r>
        <w:rPr>
          <w:rFonts w:ascii="Book Antiqua" w:eastAsia="Book Antiqua" w:hAnsi="Book Antiqua" w:cs="Book Antiqua"/>
          <w:color w:val="000000"/>
        </w:rPr>
        <w:t>Faria</w:t>
      </w:r>
      <w:proofErr w:type="spellEnd"/>
      <w:r>
        <w:rPr>
          <w:rFonts w:ascii="Book Antiqua" w:eastAsia="Book Antiqua" w:hAnsi="Book Antiqua" w:cs="Book Antiqua"/>
          <w:color w:val="000000"/>
        </w:rPr>
        <w:t xml:space="preserve"> MAG, </w:t>
      </w:r>
      <w:proofErr w:type="spellStart"/>
      <w:r>
        <w:rPr>
          <w:rFonts w:ascii="Book Antiqua" w:eastAsia="Book Antiqua" w:hAnsi="Book Antiqua" w:cs="Book Antiqua"/>
          <w:color w:val="000000"/>
        </w:rPr>
        <w:t>Miszputen</w:t>
      </w:r>
      <w:proofErr w:type="spellEnd"/>
      <w:r>
        <w:rPr>
          <w:rFonts w:ascii="Book Antiqua" w:eastAsia="Book Antiqua" w:hAnsi="Book Antiqua" w:cs="Book Antiqua"/>
          <w:color w:val="000000"/>
        </w:rPr>
        <w:t xml:space="preserve"> SJ, Gomes TNF, </w:t>
      </w:r>
      <w:proofErr w:type="spellStart"/>
      <w:r>
        <w:rPr>
          <w:rFonts w:ascii="Book Antiqua" w:eastAsia="Book Antiqua" w:hAnsi="Book Antiqua" w:cs="Book Antiqua"/>
          <w:color w:val="000000"/>
        </w:rPr>
        <w:t>Catapani</w:t>
      </w:r>
      <w:proofErr w:type="spellEnd"/>
      <w:r>
        <w:rPr>
          <w:rFonts w:ascii="Book Antiqua" w:eastAsia="Book Antiqua" w:hAnsi="Book Antiqua" w:cs="Book Antiqua"/>
          <w:color w:val="000000"/>
        </w:rPr>
        <w:t xml:space="preserve"> WR, </w:t>
      </w:r>
      <w:proofErr w:type="spellStart"/>
      <w:r>
        <w:rPr>
          <w:rFonts w:ascii="Book Antiqua" w:eastAsia="Book Antiqua" w:hAnsi="Book Antiqua" w:cs="Book Antiqua"/>
          <w:color w:val="000000"/>
        </w:rPr>
        <w:t>Faria</w:t>
      </w:r>
      <w:proofErr w:type="spellEnd"/>
      <w:r>
        <w:rPr>
          <w:rFonts w:ascii="Book Antiqua" w:eastAsia="Book Antiqua" w:hAnsi="Book Antiqua" w:cs="Book Antiqua"/>
          <w:color w:val="000000"/>
        </w:rPr>
        <w:t xml:space="preserve"> AA, Souza SCS, </w:t>
      </w:r>
      <w:proofErr w:type="spellStart"/>
      <w:r>
        <w:rPr>
          <w:rFonts w:ascii="Book Antiqua" w:eastAsia="Book Antiqua" w:hAnsi="Book Antiqua" w:cs="Book Antiqua"/>
          <w:color w:val="000000"/>
        </w:rPr>
        <w:t>Caratin</w:t>
      </w:r>
      <w:proofErr w:type="spellEnd"/>
      <w:r>
        <w:rPr>
          <w:rFonts w:ascii="Book Antiqua" w:eastAsia="Book Antiqua" w:hAnsi="Book Antiqua" w:cs="Book Antiqua"/>
          <w:color w:val="000000"/>
        </w:rPr>
        <w:t xml:space="preserve"> RF, </w:t>
      </w:r>
      <w:proofErr w:type="spellStart"/>
      <w:r>
        <w:rPr>
          <w:rFonts w:ascii="Book Antiqua" w:eastAsia="Book Antiqua" w:hAnsi="Book Antiqua" w:cs="Book Antiqua"/>
          <w:color w:val="000000"/>
        </w:rPr>
        <w:t>Senra</w:t>
      </w:r>
      <w:proofErr w:type="spellEnd"/>
      <w:r>
        <w:rPr>
          <w:rFonts w:ascii="Book Antiqua" w:eastAsia="Book Antiqua" w:hAnsi="Book Antiqua" w:cs="Book Antiqua"/>
          <w:color w:val="000000"/>
        </w:rPr>
        <w:t xml:space="preserve"> JT, Ferrari MLA. Quality of life, work productivity impairment and </w:t>
      </w:r>
      <w:r>
        <w:rPr>
          <w:rFonts w:ascii="Book Antiqua" w:eastAsia="Book Antiqua" w:hAnsi="Book Antiqua" w:cs="Book Antiqua"/>
          <w:color w:val="000000"/>
        </w:rPr>
        <w:lastRenderedPageBreak/>
        <w:t xml:space="preserve">healthcare resources in inflammatory bowel diseases in Brazil.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2019; </w:t>
      </w:r>
      <w:r>
        <w:rPr>
          <w:rFonts w:ascii="Book Antiqua" w:eastAsia="Book Antiqua" w:hAnsi="Book Antiqua" w:cs="Book Antiqua"/>
          <w:b/>
          <w:bCs/>
          <w:color w:val="000000"/>
        </w:rPr>
        <w:t>25</w:t>
      </w:r>
      <w:r>
        <w:rPr>
          <w:rFonts w:ascii="Book Antiqua" w:eastAsia="Book Antiqua" w:hAnsi="Book Antiqua" w:cs="Book Antiqua"/>
          <w:color w:val="000000"/>
        </w:rPr>
        <w:t>: 5862-5882 [PMID: 31636478 DOI: 10.3748/wjg.v25.i38.5862]</w:t>
      </w:r>
    </w:p>
    <w:p w14:paraId="089CB975" w14:textId="77777777" w:rsidR="00A77B3E" w:rsidRDefault="005513F1" w:rsidP="00CA3946">
      <w:pPr>
        <w:spacing w:line="360" w:lineRule="auto"/>
        <w:jc w:val="both"/>
      </w:pPr>
      <w:r w:rsidRPr="00D42AC1">
        <w:rPr>
          <w:rFonts w:ascii="Book Antiqua" w:eastAsia="Book Antiqua" w:hAnsi="Book Antiqua" w:cs="Book Antiqua"/>
          <w:color w:val="000000"/>
        </w:rPr>
        <w:t xml:space="preserve">5 </w:t>
      </w:r>
      <w:proofErr w:type="spellStart"/>
      <w:r w:rsidRPr="00D42AC1">
        <w:rPr>
          <w:rFonts w:ascii="Book Antiqua" w:eastAsia="Book Antiqua" w:hAnsi="Book Antiqua" w:cs="Book Antiqua"/>
          <w:b/>
          <w:bCs/>
          <w:color w:val="000000"/>
        </w:rPr>
        <w:t>Pineton</w:t>
      </w:r>
      <w:proofErr w:type="spellEnd"/>
      <w:r w:rsidRPr="00D42AC1">
        <w:rPr>
          <w:rFonts w:ascii="Book Antiqua" w:eastAsia="Book Antiqua" w:hAnsi="Book Antiqua" w:cs="Book Antiqua"/>
          <w:b/>
          <w:bCs/>
          <w:color w:val="000000"/>
        </w:rPr>
        <w:t xml:space="preserve"> de </w:t>
      </w:r>
      <w:proofErr w:type="spellStart"/>
      <w:r w:rsidRPr="00D42AC1">
        <w:rPr>
          <w:rFonts w:ascii="Book Antiqua" w:eastAsia="Book Antiqua" w:hAnsi="Book Antiqua" w:cs="Book Antiqua"/>
          <w:b/>
          <w:bCs/>
          <w:color w:val="000000"/>
        </w:rPr>
        <w:t>Chambrun</w:t>
      </w:r>
      <w:proofErr w:type="spellEnd"/>
      <w:r w:rsidRPr="00D42AC1">
        <w:rPr>
          <w:rFonts w:ascii="Book Antiqua" w:eastAsia="Book Antiqua" w:hAnsi="Book Antiqua" w:cs="Book Antiqua"/>
          <w:b/>
          <w:bCs/>
          <w:color w:val="000000"/>
        </w:rPr>
        <w:t xml:space="preserve"> G</w:t>
      </w:r>
      <w:r w:rsidRPr="00D42AC1">
        <w:rPr>
          <w:rFonts w:ascii="Book Antiqua" w:eastAsia="Book Antiqua" w:hAnsi="Book Antiqua" w:cs="Book Antiqua"/>
          <w:color w:val="000000"/>
        </w:rPr>
        <w:t xml:space="preserve">, </w:t>
      </w:r>
      <w:proofErr w:type="spellStart"/>
      <w:r w:rsidRPr="00D42AC1">
        <w:rPr>
          <w:rFonts w:ascii="Book Antiqua" w:eastAsia="Book Antiqua" w:hAnsi="Book Antiqua" w:cs="Book Antiqua"/>
          <w:color w:val="000000"/>
        </w:rPr>
        <w:t>Peyrin-Biroulet</w:t>
      </w:r>
      <w:proofErr w:type="spellEnd"/>
      <w:r w:rsidRPr="00D42AC1">
        <w:rPr>
          <w:rFonts w:ascii="Book Antiqua" w:eastAsia="Book Antiqua" w:hAnsi="Book Antiqua" w:cs="Book Antiqua"/>
          <w:color w:val="000000"/>
        </w:rPr>
        <w:t xml:space="preserve"> L, </w:t>
      </w:r>
      <w:proofErr w:type="spellStart"/>
      <w:r w:rsidRPr="00D42AC1">
        <w:rPr>
          <w:rFonts w:ascii="Book Antiqua" w:eastAsia="Book Antiqua" w:hAnsi="Book Antiqua" w:cs="Book Antiqua"/>
          <w:color w:val="000000"/>
        </w:rPr>
        <w:t>Lémann</w:t>
      </w:r>
      <w:proofErr w:type="spellEnd"/>
      <w:r w:rsidRPr="00D42AC1">
        <w:rPr>
          <w:rFonts w:ascii="Book Antiqua" w:eastAsia="Book Antiqua" w:hAnsi="Book Antiqua" w:cs="Book Antiqua"/>
          <w:color w:val="000000"/>
        </w:rPr>
        <w:t xml:space="preserve"> M, </w:t>
      </w:r>
      <w:proofErr w:type="spellStart"/>
      <w:r w:rsidRPr="00D42AC1">
        <w:rPr>
          <w:rFonts w:ascii="Book Antiqua" w:eastAsia="Book Antiqua" w:hAnsi="Book Antiqua" w:cs="Book Antiqua"/>
          <w:color w:val="000000"/>
        </w:rPr>
        <w:t>Colombel</w:t>
      </w:r>
      <w:proofErr w:type="spellEnd"/>
      <w:r w:rsidRPr="00D42AC1">
        <w:rPr>
          <w:rFonts w:ascii="Book Antiqua" w:eastAsia="Book Antiqua" w:hAnsi="Book Antiqua" w:cs="Book Antiqua"/>
          <w:color w:val="000000"/>
        </w:rPr>
        <w:t xml:space="preserve"> JF. </w:t>
      </w:r>
      <w:r>
        <w:rPr>
          <w:rFonts w:ascii="Book Antiqua" w:eastAsia="Book Antiqua" w:hAnsi="Book Antiqua" w:cs="Book Antiqua"/>
          <w:color w:val="000000"/>
        </w:rPr>
        <w:t xml:space="preserve">Clinical implications of mucosal healing for the management of IBD. </w:t>
      </w:r>
      <w:r>
        <w:rPr>
          <w:rFonts w:ascii="Book Antiqua" w:eastAsia="Book Antiqua" w:hAnsi="Book Antiqua" w:cs="Book Antiqua"/>
          <w:i/>
          <w:iCs/>
          <w:color w:val="000000"/>
        </w:rPr>
        <w:t>Nat Rev Gastroenterol Hepatol</w:t>
      </w:r>
      <w:r>
        <w:rPr>
          <w:rFonts w:ascii="Book Antiqua" w:eastAsia="Book Antiqua" w:hAnsi="Book Antiqua" w:cs="Book Antiqua"/>
          <w:color w:val="000000"/>
        </w:rPr>
        <w:t xml:space="preserve"> 2010; </w:t>
      </w:r>
      <w:r>
        <w:rPr>
          <w:rFonts w:ascii="Book Antiqua" w:eastAsia="Book Antiqua" w:hAnsi="Book Antiqua" w:cs="Book Antiqua"/>
          <w:b/>
          <w:bCs/>
          <w:color w:val="000000"/>
        </w:rPr>
        <w:t>7</w:t>
      </w:r>
      <w:r>
        <w:rPr>
          <w:rFonts w:ascii="Book Antiqua" w:eastAsia="Book Antiqua" w:hAnsi="Book Antiqua" w:cs="Book Antiqua"/>
          <w:color w:val="000000"/>
        </w:rPr>
        <w:t>: 15-29 [PMID: 19949430 DOI: 10.1038/nrgastro.2009.203]</w:t>
      </w:r>
    </w:p>
    <w:p w14:paraId="7F837911" w14:textId="77777777" w:rsidR="00A77B3E" w:rsidRDefault="005513F1" w:rsidP="00CA3946">
      <w:pPr>
        <w:spacing w:line="360" w:lineRule="auto"/>
        <w:jc w:val="both"/>
      </w:pPr>
      <w:r>
        <w:rPr>
          <w:rFonts w:ascii="Book Antiqua" w:eastAsia="Book Antiqua" w:hAnsi="Book Antiqua" w:cs="Book Antiqua"/>
          <w:color w:val="000000"/>
        </w:rPr>
        <w:t xml:space="preserve">6 </w:t>
      </w:r>
      <w:proofErr w:type="spellStart"/>
      <w:r>
        <w:rPr>
          <w:rFonts w:ascii="Book Antiqua" w:eastAsia="Book Antiqua" w:hAnsi="Book Antiqua" w:cs="Book Antiqua"/>
          <w:b/>
          <w:bCs/>
          <w:color w:val="000000"/>
        </w:rPr>
        <w:t>Podolsky</w:t>
      </w:r>
      <w:proofErr w:type="spellEnd"/>
      <w:r>
        <w:rPr>
          <w:rFonts w:ascii="Book Antiqua" w:eastAsia="Book Antiqua" w:hAnsi="Book Antiqua" w:cs="Book Antiqua"/>
          <w:b/>
          <w:bCs/>
          <w:color w:val="000000"/>
        </w:rPr>
        <w:t xml:space="preserve"> DK</w:t>
      </w:r>
      <w:r>
        <w:rPr>
          <w:rFonts w:ascii="Book Antiqua" w:eastAsia="Book Antiqua" w:hAnsi="Book Antiqua" w:cs="Book Antiqua"/>
          <w:color w:val="000000"/>
        </w:rPr>
        <w:t xml:space="preserve">. Inflammatory bowel </w:t>
      </w:r>
      <w:proofErr w:type="gramStart"/>
      <w:r>
        <w:rPr>
          <w:rFonts w:ascii="Book Antiqua" w:eastAsia="Book Antiqua" w:hAnsi="Book Antiqua" w:cs="Book Antiqua"/>
          <w:color w:val="000000"/>
        </w:rPr>
        <w:t>disease</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N </w:t>
      </w:r>
      <w:proofErr w:type="spellStart"/>
      <w:r>
        <w:rPr>
          <w:rFonts w:ascii="Book Antiqua" w:eastAsia="Book Antiqua" w:hAnsi="Book Antiqua" w:cs="Book Antiqua"/>
          <w:i/>
          <w:iCs/>
          <w:color w:val="000000"/>
        </w:rPr>
        <w:t>Engl</w:t>
      </w:r>
      <w:proofErr w:type="spellEnd"/>
      <w:r>
        <w:rPr>
          <w:rFonts w:ascii="Book Antiqua" w:eastAsia="Book Antiqua" w:hAnsi="Book Antiqua" w:cs="Book Antiqua"/>
          <w:i/>
          <w:iCs/>
          <w:color w:val="000000"/>
        </w:rPr>
        <w:t xml:space="preserve"> J Med</w:t>
      </w:r>
      <w:r>
        <w:rPr>
          <w:rFonts w:ascii="Book Antiqua" w:eastAsia="Book Antiqua" w:hAnsi="Book Antiqua" w:cs="Book Antiqua"/>
          <w:color w:val="000000"/>
        </w:rPr>
        <w:t xml:space="preserve"> 2002; </w:t>
      </w:r>
      <w:r>
        <w:rPr>
          <w:rFonts w:ascii="Book Antiqua" w:eastAsia="Book Antiqua" w:hAnsi="Book Antiqua" w:cs="Book Antiqua"/>
          <w:b/>
          <w:bCs/>
          <w:color w:val="000000"/>
        </w:rPr>
        <w:t>347</w:t>
      </w:r>
      <w:r>
        <w:rPr>
          <w:rFonts w:ascii="Book Antiqua" w:eastAsia="Book Antiqua" w:hAnsi="Book Antiqua" w:cs="Book Antiqua"/>
          <w:color w:val="000000"/>
        </w:rPr>
        <w:t>: 417-429 [PMID: 12167685 DOI: 10.1056/NEJMra020831]</w:t>
      </w:r>
    </w:p>
    <w:p w14:paraId="71C890E3" w14:textId="77777777" w:rsidR="00A77B3E" w:rsidRDefault="005513F1" w:rsidP="00CA3946">
      <w:pPr>
        <w:spacing w:line="360" w:lineRule="auto"/>
        <w:jc w:val="both"/>
      </w:pPr>
      <w:r>
        <w:rPr>
          <w:rFonts w:ascii="Book Antiqua" w:eastAsia="Book Antiqua" w:hAnsi="Book Antiqua" w:cs="Book Antiqua"/>
          <w:color w:val="000000"/>
        </w:rPr>
        <w:t xml:space="preserve">7 </w:t>
      </w:r>
      <w:proofErr w:type="spellStart"/>
      <w:r>
        <w:rPr>
          <w:rFonts w:ascii="Book Antiqua" w:eastAsia="Book Antiqua" w:hAnsi="Book Antiqua" w:cs="Book Antiqua"/>
          <w:b/>
          <w:bCs/>
          <w:color w:val="000000"/>
        </w:rPr>
        <w:t>Argollo</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Fiorino</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Hindryckx</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Peyrin-Biroulet</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Danese</w:t>
      </w:r>
      <w:proofErr w:type="spellEnd"/>
      <w:r>
        <w:rPr>
          <w:rFonts w:ascii="Book Antiqua" w:eastAsia="Book Antiqua" w:hAnsi="Book Antiqua" w:cs="Book Antiqua"/>
          <w:color w:val="000000"/>
        </w:rPr>
        <w:t xml:space="preserve"> S. Novel therapeutic targets for inflammatory bowel disease.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Autoimmun</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85</w:t>
      </w:r>
      <w:r>
        <w:rPr>
          <w:rFonts w:ascii="Book Antiqua" w:eastAsia="Book Antiqua" w:hAnsi="Book Antiqua" w:cs="Book Antiqua"/>
          <w:color w:val="000000"/>
        </w:rPr>
        <w:t>: 103-116 [PMID: 28711286 DOI: 10.1016/j.jaut.2017.07.004]</w:t>
      </w:r>
    </w:p>
    <w:p w14:paraId="366B3D4A" w14:textId="77777777" w:rsidR="00A77B3E" w:rsidRDefault="005513F1" w:rsidP="00CA3946">
      <w:pPr>
        <w:spacing w:line="360" w:lineRule="auto"/>
        <w:jc w:val="both"/>
      </w:pPr>
      <w:r>
        <w:rPr>
          <w:rFonts w:ascii="Book Antiqua" w:eastAsia="Book Antiqua" w:hAnsi="Book Antiqua" w:cs="Book Antiqua"/>
          <w:color w:val="000000"/>
        </w:rPr>
        <w:t xml:space="preserve">8 </w:t>
      </w:r>
      <w:proofErr w:type="spellStart"/>
      <w:r>
        <w:rPr>
          <w:rFonts w:ascii="Book Antiqua" w:eastAsia="Book Antiqua" w:hAnsi="Book Antiqua" w:cs="Book Antiqua"/>
          <w:b/>
          <w:bCs/>
          <w:color w:val="000000"/>
        </w:rPr>
        <w:t>Baert</w:t>
      </w:r>
      <w:proofErr w:type="spellEnd"/>
      <w:r>
        <w:rPr>
          <w:rFonts w:ascii="Book Antiqua" w:eastAsia="Book Antiqua" w:hAnsi="Book Antiqua" w:cs="Book Antiqua"/>
          <w:b/>
          <w:bCs/>
          <w:color w:val="000000"/>
        </w:rPr>
        <w:t xml:space="preserve"> F</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Moortgat</w:t>
      </w:r>
      <w:proofErr w:type="spellEnd"/>
      <w:r>
        <w:rPr>
          <w:rFonts w:ascii="Book Antiqua" w:eastAsia="Book Antiqua" w:hAnsi="Book Antiqua" w:cs="Book Antiqua"/>
          <w:color w:val="000000"/>
        </w:rPr>
        <w:t xml:space="preserve"> L, Van </w:t>
      </w:r>
      <w:proofErr w:type="spellStart"/>
      <w:r>
        <w:rPr>
          <w:rFonts w:ascii="Book Antiqua" w:eastAsia="Book Antiqua" w:hAnsi="Book Antiqua" w:cs="Book Antiqua"/>
          <w:color w:val="000000"/>
        </w:rPr>
        <w:t>Assche</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Caenepeel</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Vergauwe</w:t>
      </w:r>
      <w:proofErr w:type="spellEnd"/>
      <w:r>
        <w:rPr>
          <w:rFonts w:ascii="Book Antiqua" w:eastAsia="Book Antiqua" w:hAnsi="Book Antiqua" w:cs="Book Antiqua"/>
          <w:color w:val="000000"/>
        </w:rPr>
        <w:t xml:space="preserve"> P, De </w:t>
      </w:r>
      <w:proofErr w:type="spellStart"/>
      <w:r>
        <w:rPr>
          <w:rFonts w:ascii="Book Antiqua" w:eastAsia="Book Antiqua" w:hAnsi="Book Antiqua" w:cs="Book Antiqua"/>
          <w:color w:val="000000"/>
        </w:rPr>
        <w:t>Vos</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Stokkers</w:t>
      </w:r>
      <w:proofErr w:type="spellEnd"/>
      <w:r>
        <w:rPr>
          <w:rFonts w:ascii="Book Antiqua" w:eastAsia="Book Antiqua" w:hAnsi="Book Antiqua" w:cs="Book Antiqua"/>
          <w:color w:val="000000"/>
        </w:rPr>
        <w:t xml:space="preserve"> P, Hommes D, </w:t>
      </w:r>
      <w:proofErr w:type="spellStart"/>
      <w:r>
        <w:rPr>
          <w:rFonts w:ascii="Book Antiqua" w:eastAsia="Book Antiqua" w:hAnsi="Book Antiqua" w:cs="Book Antiqua"/>
          <w:color w:val="000000"/>
        </w:rPr>
        <w:t>Rutgeerts</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Vermeire</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D'Haens</w:t>
      </w:r>
      <w:proofErr w:type="spellEnd"/>
      <w:r>
        <w:rPr>
          <w:rFonts w:ascii="Book Antiqua" w:eastAsia="Book Antiqua" w:hAnsi="Book Antiqua" w:cs="Book Antiqua"/>
          <w:color w:val="000000"/>
        </w:rPr>
        <w:t xml:space="preserve"> G; Belgian Inflammatory Bowel Disease Research Group; North-Holland Gut Club. Mucosal healing predicts sustained clinical remission in patients with early-stage Crohn's disease.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2010; </w:t>
      </w:r>
      <w:r>
        <w:rPr>
          <w:rFonts w:ascii="Book Antiqua" w:eastAsia="Book Antiqua" w:hAnsi="Book Antiqua" w:cs="Book Antiqua"/>
          <w:b/>
          <w:bCs/>
          <w:color w:val="000000"/>
        </w:rPr>
        <w:t>138</w:t>
      </w:r>
      <w:r>
        <w:rPr>
          <w:rFonts w:ascii="Book Antiqua" w:eastAsia="Book Antiqua" w:hAnsi="Book Antiqua" w:cs="Book Antiqua"/>
          <w:color w:val="000000"/>
        </w:rPr>
        <w:t>: 463-8; quiz e10-1 [PMID: 19818785 DOI: 10.1053/j.gastro.2009.09.056]</w:t>
      </w:r>
    </w:p>
    <w:p w14:paraId="4B1B1E38" w14:textId="77777777" w:rsidR="00A77B3E" w:rsidRDefault="005513F1" w:rsidP="00CA3946">
      <w:pPr>
        <w:spacing w:line="360" w:lineRule="auto"/>
        <w:jc w:val="both"/>
      </w:pPr>
      <w:r>
        <w:rPr>
          <w:rFonts w:ascii="Book Antiqua" w:eastAsia="Book Antiqua" w:hAnsi="Book Antiqua" w:cs="Book Antiqua"/>
          <w:color w:val="000000"/>
        </w:rPr>
        <w:t xml:space="preserve">9 </w:t>
      </w:r>
      <w:proofErr w:type="spellStart"/>
      <w:r>
        <w:rPr>
          <w:rFonts w:ascii="Book Antiqua" w:eastAsia="Book Antiqua" w:hAnsi="Book Antiqua" w:cs="Book Antiqua"/>
          <w:b/>
          <w:bCs/>
          <w:color w:val="000000"/>
        </w:rPr>
        <w:t>Danese</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Vuitton L, </w:t>
      </w:r>
      <w:proofErr w:type="spellStart"/>
      <w:r>
        <w:rPr>
          <w:rFonts w:ascii="Book Antiqua" w:eastAsia="Book Antiqua" w:hAnsi="Book Antiqua" w:cs="Book Antiqua"/>
          <w:color w:val="000000"/>
        </w:rPr>
        <w:t>Peyrin-Biroulet</w:t>
      </w:r>
      <w:proofErr w:type="spellEnd"/>
      <w:r>
        <w:rPr>
          <w:rFonts w:ascii="Book Antiqua" w:eastAsia="Book Antiqua" w:hAnsi="Book Antiqua" w:cs="Book Antiqua"/>
          <w:color w:val="000000"/>
        </w:rPr>
        <w:t xml:space="preserve"> L. Biologic agents for IBD: practical insights. </w:t>
      </w:r>
      <w:r>
        <w:rPr>
          <w:rFonts w:ascii="Book Antiqua" w:eastAsia="Book Antiqua" w:hAnsi="Book Antiqua" w:cs="Book Antiqua"/>
          <w:i/>
          <w:iCs/>
          <w:color w:val="000000"/>
        </w:rPr>
        <w:t>Nat Rev Gastroenterol Hepatol</w:t>
      </w:r>
      <w:r>
        <w:rPr>
          <w:rFonts w:ascii="Book Antiqua" w:eastAsia="Book Antiqua" w:hAnsi="Book Antiqua" w:cs="Book Antiqua"/>
          <w:color w:val="000000"/>
        </w:rPr>
        <w:t xml:space="preserve"> 2015; </w:t>
      </w:r>
      <w:r>
        <w:rPr>
          <w:rFonts w:ascii="Book Antiqua" w:eastAsia="Book Antiqua" w:hAnsi="Book Antiqua" w:cs="Book Antiqua"/>
          <w:b/>
          <w:bCs/>
          <w:color w:val="000000"/>
        </w:rPr>
        <w:t>12</w:t>
      </w:r>
      <w:r>
        <w:rPr>
          <w:rFonts w:ascii="Book Antiqua" w:eastAsia="Book Antiqua" w:hAnsi="Book Antiqua" w:cs="Book Antiqua"/>
          <w:color w:val="000000"/>
        </w:rPr>
        <w:t>: 537-545 [PMID: 26284562 DOI: 10.1038/nrgastro.2015.135]</w:t>
      </w:r>
    </w:p>
    <w:p w14:paraId="6A63181E" w14:textId="77777777" w:rsidR="00A77B3E" w:rsidRDefault="005513F1" w:rsidP="00CA3946">
      <w:pPr>
        <w:spacing w:line="360" w:lineRule="auto"/>
        <w:jc w:val="both"/>
      </w:pPr>
      <w:r>
        <w:rPr>
          <w:rFonts w:ascii="Book Antiqua" w:eastAsia="Book Antiqua" w:hAnsi="Book Antiqua" w:cs="Book Antiqua"/>
          <w:color w:val="000000"/>
        </w:rPr>
        <w:t xml:space="preserve">10 </w:t>
      </w:r>
      <w:proofErr w:type="spellStart"/>
      <w:r>
        <w:rPr>
          <w:rFonts w:ascii="Book Antiqua" w:eastAsia="Book Antiqua" w:hAnsi="Book Antiqua" w:cs="Book Antiqua"/>
          <w:b/>
          <w:bCs/>
          <w:color w:val="000000"/>
        </w:rPr>
        <w:t>Gisbert</w:t>
      </w:r>
      <w:proofErr w:type="spellEnd"/>
      <w:r>
        <w:rPr>
          <w:rFonts w:ascii="Book Antiqua" w:eastAsia="Book Antiqua" w:hAnsi="Book Antiqua" w:cs="Book Antiqua"/>
          <w:b/>
          <w:bCs/>
          <w:color w:val="000000"/>
        </w:rPr>
        <w:t xml:space="preserve"> JP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Chaparro</w:t>
      </w:r>
      <w:proofErr w:type="spellEnd"/>
      <w:r>
        <w:rPr>
          <w:rFonts w:ascii="Book Antiqua" w:eastAsia="Book Antiqua" w:hAnsi="Book Antiqua" w:cs="Book Antiqua"/>
          <w:color w:val="000000"/>
        </w:rPr>
        <w:t xml:space="preserve"> M. Switching from an originator anti-TNF to a biosimilar in patients with inflammatory bowel disease: Can it be recommended? A systematic review. </w:t>
      </w:r>
      <w:r>
        <w:rPr>
          <w:rFonts w:ascii="Book Antiqua" w:eastAsia="Book Antiqua" w:hAnsi="Book Antiqua" w:cs="Book Antiqua"/>
          <w:i/>
          <w:iCs/>
          <w:color w:val="000000"/>
        </w:rPr>
        <w:t>Gastroenterol Hepatol</w:t>
      </w:r>
      <w:r>
        <w:rPr>
          <w:rFonts w:ascii="Book Antiqua" w:eastAsia="Book Antiqua" w:hAnsi="Book Antiqua" w:cs="Book Antiqua"/>
          <w:color w:val="000000"/>
        </w:rPr>
        <w:t xml:space="preserve"> 2018; </w:t>
      </w:r>
      <w:r>
        <w:rPr>
          <w:rFonts w:ascii="Book Antiqua" w:eastAsia="Book Antiqua" w:hAnsi="Book Antiqua" w:cs="Book Antiqua"/>
          <w:b/>
          <w:bCs/>
          <w:color w:val="000000"/>
        </w:rPr>
        <w:t>41</w:t>
      </w:r>
      <w:r>
        <w:rPr>
          <w:rFonts w:ascii="Book Antiqua" w:eastAsia="Book Antiqua" w:hAnsi="Book Antiqua" w:cs="Book Antiqua"/>
          <w:color w:val="000000"/>
        </w:rPr>
        <w:t>: 389-405 [PMID: 29753532 DOI: 10.1016/j.gastrohep.2018.04.005]</w:t>
      </w:r>
    </w:p>
    <w:p w14:paraId="76A12591" w14:textId="77777777" w:rsidR="00A77B3E" w:rsidRDefault="005513F1" w:rsidP="00CA3946">
      <w:pPr>
        <w:spacing w:line="360" w:lineRule="auto"/>
        <w:jc w:val="both"/>
      </w:pPr>
      <w:r>
        <w:rPr>
          <w:rFonts w:ascii="Book Antiqua" w:eastAsia="Book Antiqua" w:hAnsi="Book Antiqua" w:cs="Book Antiqua"/>
          <w:color w:val="000000"/>
        </w:rPr>
        <w:t xml:space="preserve">11 </w:t>
      </w:r>
      <w:r>
        <w:rPr>
          <w:rFonts w:ascii="Book Antiqua" w:eastAsia="Book Antiqua" w:hAnsi="Book Antiqua" w:cs="Book Antiqua"/>
          <w:b/>
          <w:bCs/>
          <w:color w:val="000000"/>
        </w:rPr>
        <w:t>Lichtenstein GR</w:t>
      </w:r>
      <w:r>
        <w:rPr>
          <w:rFonts w:ascii="Book Antiqua" w:eastAsia="Book Antiqua" w:hAnsi="Book Antiqua" w:cs="Book Antiqua"/>
          <w:color w:val="000000"/>
        </w:rPr>
        <w:t xml:space="preserve">, Yan S, </w:t>
      </w:r>
      <w:proofErr w:type="spellStart"/>
      <w:r>
        <w:rPr>
          <w:rFonts w:ascii="Book Antiqua" w:eastAsia="Book Antiqua" w:hAnsi="Book Antiqua" w:cs="Book Antiqua"/>
          <w:color w:val="000000"/>
        </w:rPr>
        <w:t>Bala</w:t>
      </w:r>
      <w:proofErr w:type="spellEnd"/>
      <w:r>
        <w:rPr>
          <w:rFonts w:ascii="Book Antiqua" w:eastAsia="Book Antiqua" w:hAnsi="Book Antiqua" w:cs="Book Antiqua"/>
          <w:color w:val="000000"/>
        </w:rPr>
        <w:t xml:space="preserve"> M, Blank M, Sands BE. Infliximab maintenance treatment reduces hospitalizations, surgeries, and procedures in fistulizing Crohn's disease.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2005; </w:t>
      </w:r>
      <w:r>
        <w:rPr>
          <w:rFonts w:ascii="Book Antiqua" w:eastAsia="Book Antiqua" w:hAnsi="Book Antiqua" w:cs="Book Antiqua"/>
          <w:b/>
          <w:bCs/>
          <w:color w:val="000000"/>
        </w:rPr>
        <w:t>128</w:t>
      </w:r>
      <w:r>
        <w:rPr>
          <w:rFonts w:ascii="Book Antiqua" w:eastAsia="Book Antiqua" w:hAnsi="Book Antiqua" w:cs="Book Antiqua"/>
          <w:color w:val="000000"/>
        </w:rPr>
        <w:t>: 862-869 [PMID: 15825070 DOI: 10.1053/j.gastro.2005.01.048]</w:t>
      </w:r>
    </w:p>
    <w:p w14:paraId="1F2B1062" w14:textId="77777777" w:rsidR="00A77B3E" w:rsidRDefault="005513F1" w:rsidP="00CA3946">
      <w:pPr>
        <w:spacing w:line="360" w:lineRule="auto"/>
        <w:jc w:val="both"/>
      </w:pPr>
      <w:r>
        <w:rPr>
          <w:rFonts w:ascii="Book Antiqua" w:eastAsia="Book Antiqua" w:hAnsi="Book Antiqua" w:cs="Book Antiqua"/>
          <w:color w:val="000000"/>
        </w:rPr>
        <w:t xml:space="preserve">12 </w:t>
      </w:r>
      <w:proofErr w:type="spellStart"/>
      <w:r>
        <w:rPr>
          <w:rFonts w:ascii="Book Antiqua" w:eastAsia="Book Antiqua" w:hAnsi="Book Antiqua" w:cs="Book Antiqua"/>
          <w:b/>
          <w:bCs/>
          <w:color w:val="000000"/>
        </w:rPr>
        <w:t>Kuek</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Hazleman</w:t>
      </w:r>
      <w:proofErr w:type="spellEnd"/>
      <w:r>
        <w:rPr>
          <w:rFonts w:ascii="Book Antiqua" w:eastAsia="Book Antiqua" w:hAnsi="Book Antiqua" w:cs="Book Antiqua"/>
          <w:color w:val="000000"/>
        </w:rPr>
        <w:t xml:space="preserve"> BL, </w:t>
      </w:r>
      <w:proofErr w:type="spellStart"/>
      <w:r>
        <w:rPr>
          <w:rFonts w:ascii="Book Antiqua" w:eastAsia="Book Antiqua" w:hAnsi="Book Antiqua" w:cs="Book Antiqua"/>
          <w:color w:val="000000"/>
        </w:rPr>
        <w:t>Ostör</w:t>
      </w:r>
      <w:proofErr w:type="spellEnd"/>
      <w:r>
        <w:rPr>
          <w:rFonts w:ascii="Book Antiqua" w:eastAsia="Book Antiqua" w:hAnsi="Book Antiqua" w:cs="Book Antiqua"/>
          <w:color w:val="000000"/>
        </w:rPr>
        <w:t xml:space="preserve"> AJ. Immune-mediated inflammatory diseases (IMIDs) and biologic therapy: a medical revolution. </w:t>
      </w:r>
      <w:r>
        <w:rPr>
          <w:rFonts w:ascii="Book Antiqua" w:eastAsia="Book Antiqua" w:hAnsi="Book Antiqua" w:cs="Book Antiqua"/>
          <w:i/>
          <w:iCs/>
          <w:color w:val="000000"/>
        </w:rPr>
        <w:t>Postgrad Med J</w:t>
      </w:r>
      <w:r>
        <w:rPr>
          <w:rFonts w:ascii="Book Antiqua" w:eastAsia="Book Antiqua" w:hAnsi="Book Antiqua" w:cs="Book Antiqua"/>
          <w:color w:val="000000"/>
        </w:rPr>
        <w:t xml:space="preserve"> 2007; </w:t>
      </w:r>
      <w:r>
        <w:rPr>
          <w:rFonts w:ascii="Book Antiqua" w:eastAsia="Book Antiqua" w:hAnsi="Book Antiqua" w:cs="Book Antiqua"/>
          <w:b/>
          <w:bCs/>
          <w:color w:val="000000"/>
        </w:rPr>
        <w:t>83</w:t>
      </w:r>
      <w:r>
        <w:rPr>
          <w:rFonts w:ascii="Book Antiqua" w:eastAsia="Book Antiqua" w:hAnsi="Book Antiqua" w:cs="Book Antiqua"/>
          <w:color w:val="000000"/>
        </w:rPr>
        <w:t>: 251-260 [PMID: 17403952 DOI: 10.1136/pgmj.2006.052688]</w:t>
      </w:r>
    </w:p>
    <w:p w14:paraId="522037DF" w14:textId="77777777" w:rsidR="00A77B3E" w:rsidRDefault="005513F1" w:rsidP="00CA3946">
      <w:pPr>
        <w:spacing w:line="360" w:lineRule="auto"/>
        <w:jc w:val="both"/>
      </w:pPr>
      <w:r>
        <w:rPr>
          <w:rFonts w:ascii="Book Antiqua" w:eastAsia="Book Antiqua" w:hAnsi="Book Antiqua" w:cs="Book Antiqua"/>
          <w:color w:val="000000"/>
        </w:rPr>
        <w:lastRenderedPageBreak/>
        <w:t xml:space="preserve">13 </w:t>
      </w:r>
      <w:r>
        <w:rPr>
          <w:rFonts w:ascii="Book Antiqua" w:eastAsia="Book Antiqua" w:hAnsi="Book Antiqua" w:cs="Book Antiqua"/>
          <w:b/>
          <w:bCs/>
          <w:color w:val="000000"/>
        </w:rPr>
        <w:t>Schnitzler F</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Fidder</w:t>
      </w:r>
      <w:proofErr w:type="spellEnd"/>
      <w:r>
        <w:rPr>
          <w:rFonts w:ascii="Book Antiqua" w:eastAsia="Book Antiqua" w:hAnsi="Book Antiqua" w:cs="Book Antiqua"/>
          <w:color w:val="000000"/>
        </w:rPr>
        <w:t xml:space="preserve"> H, Ferrante M, Noman M, </w:t>
      </w:r>
      <w:proofErr w:type="spellStart"/>
      <w:r>
        <w:rPr>
          <w:rFonts w:ascii="Book Antiqua" w:eastAsia="Book Antiqua" w:hAnsi="Book Antiqua" w:cs="Book Antiqua"/>
          <w:color w:val="000000"/>
        </w:rPr>
        <w:t>Arijs</w:t>
      </w:r>
      <w:proofErr w:type="spellEnd"/>
      <w:r>
        <w:rPr>
          <w:rFonts w:ascii="Book Antiqua" w:eastAsia="Book Antiqua" w:hAnsi="Book Antiqua" w:cs="Book Antiqua"/>
          <w:color w:val="000000"/>
        </w:rPr>
        <w:t xml:space="preserve"> I, Van </w:t>
      </w:r>
      <w:proofErr w:type="spellStart"/>
      <w:r>
        <w:rPr>
          <w:rFonts w:ascii="Book Antiqua" w:eastAsia="Book Antiqua" w:hAnsi="Book Antiqua" w:cs="Book Antiqua"/>
          <w:color w:val="000000"/>
        </w:rPr>
        <w:t>Assche</w:t>
      </w:r>
      <w:proofErr w:type="spellEnd"/>
      <w:r>
        <w:rPr>
          <w:rFonts w:ascii="Book Antiqua" w:eastAsia="Book Antiqua" w:hAnsi="Book Antiqua" w:cs="Book Antiqua"/>
          <w:color w:val="000000"/>
        </w:rPr>
        <w:t xml:space="preserve"> G, Hoffman I, Van Steen K, </w:t>
      </w:r>
      <w:proofErr w:type="spellStart"/>
      <w:r>
        <w:rPr>
          <w:rFonts w:ascii="Book Antiqua" w:eastAsia="Book Antiqua" w:hAnsi="Book Antiqua" w:cs="Book Antiqua"/>
          <w:color w:val="000000"/>
        </w:rPr>
        <w:t>Vermeire</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Rutgeerts</w:t>
      </w:r>
      <w:proofErr w:type="spellEnd"/>
      <w:r>
        <w:rPr>
          <w:rFonts w:ascii="Book Antiqua" w:eastAsia="Book Antiqua" w:hAnsi="Book Antiqua" w:cs="Book Antiqua"/>
          <w:color w:val="000000"/>
        </w:rPr>
        <w:t xml:space="preserve"> P. Mucosal healing predicts long-term outcome of maintenance therapy with infliximab in Crohn's disease. </w:t>
      </w:r>
      <w:proofErr w:type="spellStart"/>
      <w:r>
        <w:rPr>
          <w:rFonts w:ascii="Book Antiqua" w:eastAsia="Book Antiqua" w:hAnsi="Book Antiqua" w:cs="Book Antiqua"/>
          <w:i/>
          <w:iCs/>
          <w:color w:val="000000"/>
        </w:rPr>
        <w:t>Inflamm</w:t>
      </w:r>
      <w:proofErr w:type="spellEnd"/>
      <w:r>
        <w:rPr>
          <w:rFonts w:ascii="Book Antiqua" w:eastAsia="Book Antiqua" w:hAnsi="Book Antiqua" w:cs="Book Antiqua"/>
          <w:i/>
          <w:iCs/>
          <w:color w:val="000000"/>
        </w:rPr>
        <w:t xml:space="preserve"> Bowel Dis</w:t>
      </w:r>
      <w:r>
        <w:rPr>
          <w:rFonts w:ascii="Book Antiqua" w:eastAsia="Book Antiqua" w:hAnsi="Book Antiqua" w:cs="Book Antiqua"/>
          <w:color w:val="000000"/>
        </w:rPr>
        <w:t xml:space="preserve"> 2009; </w:t>
      </w:r>
      <w:r>
        <w:rPr>
          <w:rFonts w:ascii="Book Antiqua" w:eastAsia="Book Antiqua" w:hAnsi="Book Antiqua" w:cs="Book Antiqua"/>
          <w:b/>
          <w:bCs/>
          <w:color w:val="000000"/>
        </w:rPr>
        <w:t>15</w:t>
      </w:r>
      <w:r>
        <w:rPr>
          <w:rFonts w:ascii="Book Antiqua" w:eastAsia="Book Antiqua" w:hAnsi="Book Antiqua" w:cs="Book Antiqua"/>
          <w:color w:val="000000"/>
        </w:rPr>
        <w:t>: 1295-1301 [PMID: 19340881 DOI: 10.1002/ibd.20927]</w:t>
      </w:r>
    </w:p>
    <w:p w14:paraId="390C4FA9" w14:textId="77777777" w:rsidR="00A77B3E" w:rsidRDefault="005513F1" w:rsidP="00CA3946">
      <w:pPr>
        <w:spacing w:line="360" w:lineRule="auto"/>
        <w:jc w:val="both"/>
      </w:pPr>
      <w:r>
        <w:rPr>
          <w:rFonts w:ascii="Book Antiqua" w:eastAsia="Book Antiqua" w:hAnsi="Book Antiqua" w:cs="Book Antiqua"/>
          <w:color w:val="000000"/>
        </w:rPr>
        <w:t xml:space="preserve">14 </w:t>
      </w:r>
      <w:r>
        <w:rPr>
          <w:rFonts w:ascii="Book Antiqua" w:eastAsia="Book Antiqua" w:hAnsi="Book Antiqua" w:cs="Book Antiqua"/>
          <w:b/>
          <w:bCs/>
          <w:color w:val="000000"/>
        </w:rPr>
        <w:t>Ford AC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Sandborn</w:t>
      </w:r>
      <w:proofErr w:type="spellEnd"/>
      <w:r>
        <w:rPr>
          <w:rFonts w:ascii="Book Antiqua" w:eastAsia="Book Antiqua" w:hAnsi="Book Antiqua" w:cs="Book Antiqua"/>
          <w:color w:val="000000"/>
        </w:rPr>
        <w:t xml:space="preserve"> WJ, Khan KJ, </w:t>
      </w:r>
      <w:proofErr w:type="spellStart"/>
      <w:r>
        <w:rPr>
          <w:rFonts w:ascii="Book Antiqua" w:eastAsia="Book Antiqua" w:hAnsi="Book Antiqua" w:cs="Book Antiqua"/>
          <w:color w:val="000000"/>
        </w:rPr>
        <w:t>Hanauer</w:t>
      </w:r>
      <w:proofErr w:type="spellEnd"/>
      <w:r>
        <w:rPr>
          <w:rFonts w:ascii="Book Antiqua" w:eastAsia="Book Antiqua" w:hAnsi="Book Antiqua" w:cs="Book Antiqua"/>
          <w:color w:val="000000"/>
        </w:rPr>
        <w:t xml:space="preserve"> SB, Talley NJ, </w:t>
      </w:r>
      <w:proofErr w:type="spellStart"/>
      <w:r>
        <w:rPr>
          <w:rFonts w:ascii="Book Antiqua" w:eastAsia="Book Antiqua" w:hAnsi="Book Antiqua" w:cs="Book Antiqua"/>
          <w:color w:val="000000"/>
        </w:rPr>
        <w:t>Moayyedi</w:t>
      </w:r>
      <w:proofErr w:type="spellEnd"/>
      <w:r>
        <w:rPr>
          <w:rFonts w:ascii="Book Antiqua" w:eastAsia="Book Antiqua" w:hAnsi="Book Antiqua" w:cs="Book Antiqua"/>
          <w:color w:val="000000"/>
        </w:rPr>
        <w:t xml:space="preserve"> P. Efficacy of biological therapies in inflammatory bowel disease: systematic review and meta-analysis. </w:t>
      </w:r>
      <w:r>
        <w:rPr>
          <w:rFonts w:ascii="Book Antiqua" w:eastAsia="Book Antiqua" w:hAnsi="Book Antiqua" w:cs="Book Antiqua"/>
          <w:i/>
          <w:iCs/>
          <w:color w:val="000000"/>
        </w:rPr>
        <w:t>Am J Gastroenterol</w:t>
      </w:r>
      <w:r>
        <w:rPr>
          <w:rFonts w:ascii="Book Antiqua" w:eastAsia="Book Antiqua" w:hAnsi="Book Antiqua" w:cs="Book Antiqua"/>
          <w:color w:val="000000"/>
        </w:rPr>
        <w:t xml:space="preserve"> 2011; </w:t>
      </w:r>
      <w:r>
        <w:rPr>
          <w:rFonts w:ascii="Book Antiqua" w:eastAsia="Book Antiqua" w:hAnsi="Book Antiqua" w:cs="Book Antiqua"/>
          <w:b/>
          <w:bCs/>
          <w:color w:val="000000"/>
        </w:rPr>
        <w:t>106</w:t>
      </w:r>
      <w:r>
        <w:rPr>
          <w:rFonts w:ascii="Book Antiqua" w:eastAsia="Book Antiqua" w:hAnsi="Book Antiqua" w:cs="Book Antiqua"/>
          <w:color w:val="000000"/>
        </w:rPr>
        <w:t>: 644-659, quiz 660 [PMID: 21407183 DOI: 10.1038/ajg.2011.73]</w:t>
      </w:r>
    </w:p>
    <w:p w14:paraId="2858E495" w14:textId="77777777" w:rsidR="00A77B3E" w:rsidRDefault="005513F1" w:rsidP="00CA3946">
      <w:pPr>
        <w:spacing w:line="360" w:lineRule="auto"/>
        <w:jc w:val="both"/>
      </w:pPr>
      <w:r>
        <w:rPr>
          <w:rFonts w:ascii="Book Antiqua" w:eastAsia="Book Antiqua" w:hAnsi="Book Antiqua" w:cs="Book Antiqua"/>
          <w:color w:val="000000"/>
        </w:rPr>
        <w:t xml:space="preserve">15 </w:t>
      </w:r>
      <w:proofErr w:type="spellStart"/>
      <w:r>
        <w:rPr>
          <w:rFonts w:ascii="Book Antiqua" w:eastAsia="Book Antiqua" w:hAnsi="Book Antiqua" w:cs="Book Antiqua"/>
          <w:b/>
          <w:bCs/>
          <w:color w:val="000000"/>
        </w:rPr>
        <w:t>Annese</w:t>
      </w:r>
      <w:proofErr w:type="spellEnd"/>
      <w:r>
        <w:rPr>
          <w:rFonts w:ascii="Book Antiqua" w:eastAsia="Book Antiqua" w:hAnsi="Book Antiqua" w:cs="Book Antiqua"/>
          <w:b/>
          <w:bCs/>
          <w:color w:val="000000"/>
        </w:rPr>
        <w:t xml:space="preserve"> V</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Duricova</w:t>
      </w:r>
      <w:proofErr w:type="spellEnd"/>
      <w:r>
        <w:rPr>
          <w:rFonts w:ascii="Book Antiqua" w:eastAsia="Book Antiqua" w:hAnsi="Book Antiqua" w:cs="Book Antiqua"/>
          <w:color w:val="000000"/>
        </w:rPr>
        <w:t xml:space="preserve"> D, Gower-Rousseau C, Jess T, </w:t>
      </w:r>
      <w:proofErr w:type="spellStart"/>
      <w:r>
        <w:rPr>
          <w:rFonts w:ascii="Book Antiqua" w:eastAsia="Book Antiqua" w:hAnsi="Book Antiqua" w:cs="Book Antiqua"/>
          <w:color w:val="000000"/>
        </w:rPr>
        <w:t>Langholz</w:t>
      </w:r>
      <w:proofErr w:type="spellEnd"/>
      <w:r>
        <w:rPr>
          <w:rFonts w:ascii="Book Antiqua" w:eastAsia="Book Antiqua" w:hAnsi="Book Antiqua" w:cs="Book Antiqua"/>
          <w:color w:val="000000"/>
        </w:rPr>
        <w:t xml:space="preserve"> E. Impact of New Treatments on </w:t>
      </w:r>
      <w:proofErr w:type="spellStart"/>
      <w:r>
        <w:rPr>
          <w:rFonts w:ascii="Book Antiqua" w:eastAsia="Book Antiqua" w:hAnsi="Book Antiqua" w:cs="Book Antiqua"/>
          <w:color w:val="000000"/>
        </w:rPr>
        <w:t>Hospitalisation</w:t>
      </w:r>
      <w:proofErr w:type="spellEnd"/>
      <w:r>
        <w:rPr>
          <w:rFonts w:ascii="Book Antiqua" w:eastAsia="Book Antiqua" w:hAnsi="Book Antiqua" w:cs="Book Antiqua"/>
          <w:color w:val="000000"/>
        </w:rPr>
        <w:t xml:space="preserve">, Surgery, Infection, and Mortality in IBD: a Focus Paper by the Epidemiology Committee of ECCO.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Crohns</w:t>
      </w:r>
      <w:proofErr w:type="spellEnd"/>
      <w:r>
        <w:rPr>
          <w:rFonts w:ascii="Book Antiqua" w:eastAsia="Book Antiqua" w:hAnsi="Book Antiqua" w:cs="Book Antiqua"/>
          <w:i/>
          <w:iCs/>
          <w:color w:val="000000"/>
        </w:rPr>
        <w:t xml:space="preserve"> Colitis</w:t>
      </w:r>
      <w:r>
        <w:rPr>
          <w:rFonts w:ascii="Book Antiqua" w:eastAsia="Book Antiqua" w:hAnsi="Book Antiqua" w:cs="Book Antiqua"/>
          <w:color w:val="000000"/>
        </w:rPr>
        <w:t xml:space="preserve"> 2016; </w:t>
      </w:r>
      <w:r>
        <w:rPr>
          <w:rFonts w:ascii="Book Antiqua" w:eastAsia="Book Antiqua" w:hAnsi="Book Antiqua" w:cs="Book Antiqua"/>
          <w:b/>
          <w:bCs/>
          <w:color w:val="000000"/>
        </w:rPr>
        <w:t>10</w:t>
      </w:r>
      <w:r>
        <w:rPr>
          <w:rFonts w:ascii="Book Antiqua" w:eastAsia="Book Antiqua" w:hAnsi="Book Antiqua" w:cs="Book Antiqua"/>
          <w:color w:val="000000"/>
        </w:rPr>
        <w:t>: 216-225 [PMID: 26520163 DOI: 10.1093/</w:t>
      </w:r>
      <w:proofErr w:type="spellStart"/>
      <w:r>
        <w:rPr>
          <w:rFonts w:ascii="Book Antiqua" w:eastAsia="Book Antiqua" w:hAnsi="Book Antiqua" w:cs="Book Antiqua"/>
          <w:color w:val="000000"/>
        </w:rPr>
        <w:t>ecco-jcc</w:t>
      </w:r>
      <w:proofErr w:type="spellEnd"/>
      <w:r>
        <w:rPr>
          <w:rFonts w:ascii="Book Antiqua" w:eastAsia="Book Antiqua" w:hAnsi="Book Antiqua" w:cs="Book Antiqua"/>
          <w:color w:val="000000"/>
        </w:rPr>
        <w:t>/jjv190]</w:t>
      </w:r>
    </w:p>
    <w:p w14:paraId="7545E7F7" w14:textId="77777777" w:rsidR="00A77B3E" w:rsidRDefault="005513F1" w:rsidP="00CA3946">
      <w:pPr>
        <w:spacing w:line="360" w:lineRule="auto"/>
        <w:jc w:val="both"/>
      </w:pPr>
      <w:r>
        <w:rPr>
          <w:rFonts w:ascii="Book Antiqua" w:eastAsia="Book Antiqua" w:hAnsi="Book Antiqua" w:cs="Book Antiqua"/>
          <w:color w:val="000000"/>
        </w:rPr>
        <w:t xml:space="preserve">16 </w:t>
      </w:r>
      <w:r>
        <w:rPr>
          <w:rFonts w:ascii="Book Antiqua" w:eastAsia="Book Antiqua" w:hAnsi="Book Antiqua" w:cs="Book Antiqua"/>
          <w:b/>
          <w:bCs/>
          <w:color w:val="000000"/>
        </w:rPr>
        <w:t>Jha A</w:t>
      </w:r>
      <w:r>
        <w:rPr>
          <w:rFonts w:ascii="Book Antiqua" w:eastAsia="Book Antiqua" w:hAnsi="Book Antiqua" w:cs="Book Antiqua"/>
          <w:color w:val="000000"/>
        </w:rPr>
        <w:t xml:space="preserve">, Upton A, Dunlop WC, </w:t>
      </w:r>
      <w:proofErr w:type="spellStart"/>
      <w:r>
        <w:rPr>
          <w:rFonts w:ascii="Book Antiqua" w:eastAsia="Book Antiqua" w:hAnsi="Book Antiqua" w:cs="Book Antiqua"/>
          <w:color w:val="000000"/>
        </w:rPr>
        <w:t>Akehurst</w:t>
      </w:r>
      <w:proofErr w:type="spellEnd"/>
      <w:r>
        <w:rPr>
          <w:rFonts w:ascii="Book Antiqua" w:eastAsia="Book Antiqua" w:hAnsi="Book Antiqua" w:cs="Book Antiqua"/>
          <w:color w:val="000000"/>
        </w:rPr>
        <w:t xml:space="preserve"> R. The Budget Impact of Biosimilar Infliximab (</w:t>
      </w:r>
      <w:proofErr w:type="spellStart"/>
      <w:r>
        <w:rPr>
          <w:rFonts w:ascii="Book Antiqua" w:eastAsia="Book Antiqua" w:hAnsi="Book Antiqua" w:cs="Book Antiqua"/>
          <w:color w:val="000000"/>
        </w:rPr>
        <w:t>Remsima</w:t>
      </w:r>
      <w:proofErr w:type="spellEnd"/>
      <w:r>
        <w:rPr>
          <w:rFonts w:ascii="Book Antiqua" w:eastAsia="Book Antiqua" w:hAnsi="Book Antiqua" w:cs="Book Antiqua"/>
          <w:color w:val="000000"/>
        </w:rPr>
        <w:t xml:space="preserve">®) for the Treatment of Autoimmune Diseases in Five European Countries. </w:t>
      </w:r>
      <w:proofErr w:type="spellStart"/>
      <w:r>
        <w:rPr>
          <w:rFonts w:ascii="Book Antiqua" w:eastAsia="Book Antiqua" w:hAnsi="Book Antiqua" w:cs="Book Antiqua"/>
          <w:i/>
          <w:iCs/>
          <w:color w:val="000000"/>
        </w:rPr>
        <w:t>Adv</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color w:val="000000"/>
        </w:rPr>
        <w:t xml:space="preserve"> 2015; </w:t>
      </w:r>
      <w:r>
        <w:rPr>
          <w:rFonts w:ascii="Book Antiqua" w:eastAsia="Book Antiqua" w:hAnsi="Book Antiqua" w:cs="Book Antiqua"/>
          <w:b/>
          <w:bCs/>
          <w:color w:val="000000"/>
        </w:rPr>
        <w:t>32</w:t>
      </w:r>
      <w:r>
        <w:rPr>
          <w:rFonts w:ascii="Book Antiqua" w:eastAsia="Book Antiqua" w:hAnsi="Book Antiqua" w:cs="Book Antiqua"/>
          <w:color w:val="000000"/>
        </w:rPr>
        <w:t>: 742-756 [PMID: 26343027 DOI: 10.1007/s12325-015-0233-1]</w:t>
      </w:r>
    </w:p>
    <w:p w14:paraId="15E0E5A5" w14:textId="77777777" w:rsidR="00A77B3E" w:rsidRDefault="005513F1" w:rsidP="00CA3946">
      <w:pPr>
        <w:spacing w:line="360" w:lineRule="auto"/>
        <w:jc w:val="both"/>
      </w:pPr>
      <w:r>
        <w:rPr>
          <w:rFonts w:ascii="Book Antiqua" w:eastAsia="Book Antiqua" w:hAnsi="Book Antiqua" w:cs="Book Antiqua"/>
          <w:color w:val="000000"/>
        </w:rPr>
        <w:t xml:space="preserve">17 </w:t>
      </w:r>
      <w:r>
        <w:rPr>
          <w:rFonts w:ascii="Book Antiqua" w:eastAsia="Book Antiqua" w:hAnsi="Book Antiqua" w:cs="Book Antiqua"/>
          <w:b/>
          <w:bCs/>
          <w:color w:val="000000"/>
        </w:rPr>
        <w:t>Cohen RD</w:t>
      </w:r>
      <w:r>
        <w:rPr>
          <w:rFonts w:ascii="Book Antiqua" w:eastAsia="Book Antiqua" w:hAnsi="Book Antiqua" w:cs="Book Antiqua"/>
          <w:color w:val="000000"/>
        </w:rPr>
        <w:t xml:space="preserve">, Thomas T. Economics of the use of biologics in the treatment of inflammatory bowel disease. </w:t>
      </w:r>
      <w:r>
        <w:rPr>
          <w:rFonts w:ascii="Book Antiqua" w:eastAsia="Book Antiqua" w:hAnsi="Book Antiqua" w:cs="Book Antiqua"/>
          <w:i/>
          <w:iCs/>
          <w:color w:val="000000"/>
        </w:rPr>
        <w:t>Gastroenterol Clin North Am</w:t>
      </w:r>
      <w:r>
        <w:rPr>
          <w:rFonts w:ascii="Book Antiqua" w:eastAsia="Book Antiqua" w:hAnsi="Book Antiqua" w:cs="Book Antiqua"/>
          <w:color w:val="000000"/>
        </w:rPr>
        <w:t xml:space="preserve"> 2006; </w:t>
      </w:r>
      <w:r>
        <w:rPr>
          <w:rFonts w:ascii="Book Antiqua" w:eastAsia="Book Antiqua" w:hAnsi="Book Antiqua" w:cs="Book Antiqua"/>
          <w:b/>
          <w:bCs/>
          <w:color w:val="000000"/>
        </w:rPr>
        <w:t>35</w:t>
      </w:r>
      <w:r>
        <w:rPr>
          <w:rFonts w:ascii="Book Antiqua" w:eastAsia="Book Antiqua" w:hAnsi="Book Antiqua" w:cs="Book Antiqua"/>
          <w:color w:val="000000"/>
        </w:rPr>
        <w:t>: 867-882 [PMID: 17129818 DOI: 10.1016/j.gtc.2006.09.004]</w:t>
      </w:r>
    </w:p>
    <w:p w14:paraId="6FD6A89B" w14:textId="77777777" w:rsidR="00A77B3E" w:rsidRDefault="005513F1" w:rsidP="00CA3946">
      <w:pPr>
        <w:spacing w:line="360" w:lineRule="auto"/>
        <w:jc w:val="both"/>
      </w:pPr>
      <w:r>
        <w:rPr>
          <w:rFonts w:ascii="Book Antiqua" w:eastAsia="Book Antiqua" w:hAnsi="Book Antiqua" w:cs="Book Antiqua"/>
          <w:color w:val="000000"/>
        </w:rPr>
        <w:t xml:space="preserve">18 </w:t>
      </w:r>
      <w:r>
        <w:rPr>
          <w:rFonts w:ascii="Book Antiqua" w:eastAsia="Book Antiqua" w:hAnsi="Book Antiqua" w:cs="Book Antiqua"/>
          <w:b/>
          <w:bCs/>
          <w:color w:val="000000"/>
        </w:rPr>
        <w:t xml:space="preserve">van der </w:t>
      </w:r>
      <w:proofErr w:type="spellStart"/>
      <w:r>
        <w:rPr>
          <w:rFonts w:ascii="Book Antiqua" w:eastAsia="Book Antiqua" w:hAnsi="Book Antiqua" w:cs="Book Antiqua"/>
          <w:b/>
          <w:bCs/>
          <w:color w:val="000000"/>
        </w:rPr>
        <w:t>Valk</w:t>
      </w:r>
      <w:proofErr w:type="spellEnd"/>
      <w:r>
        <w:rPr>
          <w:rFonts w:ascii="Book Antiqua" w:eastAsia="Book Antiqua" w:hAnsi="Book Antiqua" w:cs="Book Antiqua"/>
          <w:b/>
          <w:bCs/>
          <w:color w:val="000000"/>
        </w:rPr>
        <w:t xml:space="preserve"> ME</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Mangen</w:t>
      </w:r>
      <w:proofErr w:type="spellEnd"/>
      <w:r>
        <w:rPr>
          <w:rFonts w:ascii="Book Antiqua" w:eastAsia="Book Antiqua" w:hAnsi="Book Antiqua" w:cs="Book Antiqua"/>
          <w:color w:val="000000"/>
        </w:rPr>
        <w:t xml:space="preserve"> MJ, </w:t>
      </w:r>
      <w:proofErr w:type="spellStart"/>
      <w:r>
        <w:rPr>
          <w:rFonts w:ascii="Book Antiqua" w:eastAsia="Book Antiqua" w:hAnsi="Book Antiqua" w:cs="Book Antiqua"/>
          <w:color w:val="000000"/>
        </w:rPr>
        <w:t>Leenders</w:t>
      </w:r>
      <w:proofErr w:type="spellEnd"/>
      <w:r>
        <w:rPr>
          <w:rFonts w:ascii="Book Antiqua" w:eastAsia="Book Antiqua" w:hAnsi="Book Antiqua" w:cs="Book Antiqua"/>
          <w:color w:val="000000"/>
        </w:rPr>
        <w:t xml:space="preserve"> M, Dijkstra G, van </w:t>
      </w:r>
      <w:proofErr w:type="spellStart"/>
      <w:r>
        <w:rPr>
          <w:rFonts w:ascii="Book Antiqua" w:eastAsia="Book Antiqua" w:hAnsi="Book Antiqua" w:cs="Book Antiqua"/>
          <w:color w:val="000000"/>
        </w:rPr>
        <w:t>Bodegraven</w:t>
      </w:r>
      <w:proofErr w:type="spellEnd"/>
      <w:r>
        <w:rPr>
          <w:rFonts w:ascii="Book Antiqua" w:eastAsia="Book Antiqua" w:hAnsi="Book Antiqua" w:cs="Book Antiqua"/>
          <w:color w:val="000000"/>
        </w:rPr>
        <w:t xml:space="preserve"> AA, </w:t>
      </w:r>
      <w:proofErr w:type="spellStart"/>
      <w:r>
        <w:rPr>
          <w:rFonts w:ascii="Book Antiqua" w:eastAsia="Book Antiqua" w:hAnsi="Book Antiqua" w:cs="Book Antiqua"/>
          <w:color w:val="000000"/>
        </w:rPr>
        <w:t>Fidder</w:t>
      </w:r>
      <w:proofErr w:type="spellEnd"/>
      <w:r>
        <w:rPr>
          <w:rFonts w:ascii="Book Antiqua" w:eastAsia="Book Antiqua" w:hAnsi="Book Antiqua" w:cs="Book Antiqua"/>
          <w:color w:val="000000"/>
        </w:rPr>
        <w:t xml:space="preserve"> HH, de Jong DJ, </w:t>
      </w:r>
      <w:proofErr w:type="spellStart"/>
      <w:r>
        <w:rPr>
          <w:rFonts w:ascii="Book Antiqua" w:eastAsia="Book Antiqua" w:hAnsi="Book Antiqua" w:cs="Book Antiqua"/>
          <w:color w:val="000000"/>
        </w:rPr>
        <w:t>Pierik</w:t>
      </w:r>
      <w:proofErr w:type="spellEnd"/>
      <w:r>
        <w:rPr>
          <w:rFonts w:ascii="Book Antiqua" w:eastAsia="Book Antiqua" w:hAnsi="Book Antiqua" w:cs="Book Antiqua"/>
          <w:color w:val="000000"/>
        </w:rPr>
        <w:t xml:space="preserve"> M, van der </w:t>
      </w:r>
      <w:proofErr w:type="spellStart"/>
      <w:r>
        <w:rPr>
          <w:rFonts w:ascii="Book Antiqua" w:eastAsia="Book Antiqua" w:hAnsi="Book Antiqua" w:cs="Book Antiqua"/>
          <w:color w:val="000000"/>
        </w:rPr>
        <w:t>Woude</w:t>
      </w:r>
      <w:proofErr w:type="spellEnd"/>
      <w:r>
        <w:rPr>
          <w:rFonts w:ascii="Book Antiqua" w:eastAsia="Book Antiqua" w:hAnsi="Book Antiqua" w:cs="Book Antiqua"/>
          <w:color w:val="000000"/>
        </w:rPr>
        <w:t xml:space="preserve"> CJ, Romberg-Camps MJ, Clemens CH, Jansen JM, </w:t>
      </w:r>
      <w:proofErr w:type="spellStart"/>
      <w:r>
        <w:rPr>
          <w:rFonts w:ascii="Book Antiqua" w:eastAsia="Book Antiqua" w:hAnsi="Book Antiqua" w:cs="Book Antiqua"/>
          <w:color w:val="000000"/>
        </w:rPr>
        <w:t>Mahmmod</w:t>
      </w:r>
      <w:proofErr w:type="spellEnd"/>
      <w:r>
        <w:rPr>
          <w:rFonts w:ascii="Book Antiqua" w:eastAsia="Book Antiqua" w:hAnsi="Book Antiqua" w:cs="Book Antiqua"/>
          <w:color w:val="000000"/>
        </w:rPr>
        <w:t xml:space="preserve"> N, van de </w:t>
      </w:r>
      <w:proofErr w:type="spellStart"/>
      <w:r>
        <w:rPr>
          <w:rFonts w:ascii="Book Antiqua" w:eastAsia="Book Antiqua" w:hAnsi="Book Antiqua" w:cs="Book Antiqua"/>
          <w:color w:val="000000"/>
        </w:rPr>
        <w:t>Meeberg</w:t>
      </w:r>
      <w:proofErr w:type="spellEnd"/>
      <w:r>
        <w:rPr>
          <w:rFonts w:ascii="Book Antiqua" w:eastAsia="Book Antiqua" w:hAnsi="Book Antiqua" w:cs="Book Antiqua"/>
          <w:color w:val="000000"/>
        </w:rPr>
        <w:t xml:space="preserve"> PC, van der </w:t>
      </w:r>
      <w:proofErr w:type="spellStart"/>
      <w:r>
        <w:rPr>
          <w:rFonts w:ascii="Book Antiqua" w:eastAsia="Book Antiqua" w:hAnsi="Book Antiqua" w:cs="Book Antiqua"/>
          <w:color w:val="000000"/>
        </w:rPr>
        <w:t>Meulen</w:t>
      </w:r>
      <w:proofErr w:type="spellEnd"/>
      <w:r>
        <w:rPr>
          <w:rFonts w:ascii="Book Antiqua" w:eastAsia="Book Antiqua" w:hAnsi="Book Antiqua" w:cs="Book Antiqua"/>
          <w:color w:val="000000"/>
        </w:rPr>
        <w:t xml:space="preserve">-de Jong AE, </w:t>
      </w:r>
      <w:proofErr w:type="spellStart"/>
      <w:r>
        <w:rPr>
          <w:rFonts w:ascii="Book Antiqua" w:eastAsia="Book Antiqua" w:hAnsi="Book Antiqua" w:cs="Book Antiqua"/>
          <w:color w:val="000000"/>
        </w:rPr>
        <w:t>Ponsioen</w:t>
      </w:r>
      <w:proofErr w:type="spellEnd"/>
      <w:r>
        <w:rPr>
          <w:rFonts w:ascii="Book Antiqua" w:eastAsia="Book Antiqua" w:hAnsi="Book Antiqua" w:cs="Book Antiqua"/>
          <w:color w:val="000000"/>
        </w:rPr>
        <w:t xml:space="preserve"> CY, </w:t>
      </w:r>
      <w:proofErr w:type="spellStart"/>
      <w:r>
        <w:rPr>
          <w:rFonts w:ascii="Book Antiqua" w:eastAsia="Book Antiqua" w:hAnsi="Book Antiqua" w:cs="Book Antiqua"/>
          <w:color w:val="000000"/>
        </w:rPr>
        <w:t>Bolwerk</w:t>
      </w:r>
      <w:proofErr w:type="spellEnd"/>
      <w:r>
        <w:rPr>
          <w:rFonts w:ascii="Book Antiqua" w:eastAsia="Book Antiqua" w:hAnsi="Book Antiqua" w:cs="Book Antiqua"/>
          <w:color w:val="000000"/>
        </w:rPr>
        <w:t xml:space="preserve"> CJ, </w:t>
      </w:r>
      <w:proofErr w:type="spellStart"/>
      <w:r>
        <w:rPr>
          <w:rFonts w:ascii="Book Antiqua" w:eastAsia="Book Antiqua" w:hAnsi="Book Antiqua" w:cs="Book Antiqua"/>
          <w:color w:val="000000"/>
        </w:rPr>
        <w:t>Vermeijden</w:t>
      </w:r>
      <w:proofErr w:type="spellEnd"/>
      <w:r>
        <w:rPr>
          <w:rFonts w:ascii="Book Antiqua" w:eastAsia="Book Antiqua" w:hAnsi="Book Antiqua" w:cs="Book Antiqua"/>
          <w:color w:val="000000"/>
        </w:rPr>
        <w:t xml:space="preserve"> JR, </w:t>
      </w:r>
      <w:proofErr w:type="spellStart"/>
      <w:r>
        <w:rPr>
          <w:rFonts w:ascii="Book Antiqua" w:eastAsia="Book Antiqua" w:hAnsi="Book Antiqua" w:cs="Book Antiqua"/>
          <w:color w:val="000000"/>
        </w:rPr>
        <w:t>Siersema</w:t>
      </w:r>
      <w:proofErr w:type="spellEnd"/>
      <w:r>
        <w:rPr>
          <w:rFonts w:ascii="Book Antiqua" w:eastAsia="Book Antiqua" w:hAnsi="Book Antiqua" w:cs="Book Antiqua"/>
          <w:color w:val="000000"/>
        </w:rPr>
        <w:t xml:space="preserve"> PD, van </w:t>
      </w:r>
      <w:proofErr w:type="spellStart"/>
      <w:r>
        <w:rPr>
          <w:rFonts w:ascii="Book Antiqua" w:eastAsia="Book Antiqua" w:hAnsi="Book Antiqua" w:cs="Book Antiqua"/>
          <w:color w:val="000000"/>
        </w:rPr>
        <w:t>Oijen</w:t>
      </w:r>
      <w:proofErr w:type="spellEnd"/>
      <w:r>
        <w:rPr>
          <w:rFonts w:ascii="Book Antiqua" w:eastAsia="Book Antiqua" w:hAnsi="Book Antiqua" w:cs="Book Antiqua"/>
          <w:color w:val="000000"/>
        </w:rPr>
        <w:t xml:space="preserve"> MG, Oldenburg B; COIN study group and the Dutch Initiative on Crohn and Colitis. Healthcare costs of inflammatory bowel disease have shifted from </w:t>
      </w:r>
      <w:proofErr w:type="spellStart"/>
      <w:r>
        <w:rPr>
          <w:rFonts w:ascii="Book Antiqua" w:eastAsia="Book Antiqua" w:hAnsi="Book Antiqua" w:cs="Book Antiqua"/>
          <w:color w:val="000000"/>
        </w:rPr>
        <w:t>hospitalisation</w:t>
      </w:r>
      <w:proofErr w:type="spellEnd"/>
      <w:r>
        <w:rPr>
          <w:rFonts w:ascii="Book Antiqua" w:eastAsia="Book Antiqua" w:hAnsi="Book Antiqua" w:cs="Book Antiqua"/>
          <w:color w:val="000000"/>
        </w:rPr>
        <w:t xml:space="preserve"> and surgery towards anti-TNFα therapy: results from the COIN study. </w:t>
      </w:r>
      <w:r>
        <w:rPr>
          <w:rFonts w:ascii="Book Antiqua" w:eastAsia="Book Antiqua" w:hAnsi="Book Antiqua" w:cs="Book Antiqua"/>
          <w:i/>
          <w:iCs/>
          <w:color w:val="000000"/>
        </w:rPr>
        <w:t>Gut</w:t>
      </w:r>
      <w:r>
        <w:rPr>
          <w:rFonts w:ascii="Book Antiqua" w:eastAsia="Book Antiqua" w:hAnsi="Book Antiqua" w:cs="Book Antiqua"/>
          <w:color w:val="000000"/>
        </w:rPr>
        <w:t xml:space="preserve"> 2014; </w:t>
      </w:r>
      <w:r>
        <w:rPr>
          <w:rFonts w:ascii="Book Antiqua" w:eastAsia="Book Antiqua" w:hAnsi="Book Antiqua" w:cs="Book Antiqua"/>
          <w:b/>
          <w:bCs/>
          <w:color w:val="000000"/>
        </w:rPr>
        <w:t>63</w:t>
      </w:r>
      <w:r>
        <w:rPr>
          <w:rFonts w:ascii="Book Antiqua" w:eastAsia="Book Antiqua" w:hAnsi="Book Antiqua" w:cs="Book Antiqua"/>
          <w:color w:val="000000"/>
        </w:rPr>
        <w:t>: 72-79 [PMID: 23135759 DOI: 10.1136/gutjnl-2012-303376]</w:t>
      </w:r>
    </w:p>
    <w:p w14:paraId="190F2EF5" w14:textId="77777777" w:rsidR="00A77B3E" w:rsidRDefault="005513F1" w:rsidP="00CA3946">
      <w:pPr>
        <w:spacing w:line="360" w:lineRule="auto"/>
        <w:jc w:val="both"/>
      </w:pPr>
      <w:r>
        <w:rPr>
          <w:rFonts w:ascii="Book Antiqua" w:eastAsia="Book Antiqua" w:hAnsi="Book Antiqua" w:cs="Book Antiqua"/>
          <w:color w:val="000000"/>
        </w:rPr>
        <w:t xml:space="preserve">19 </w:t>
      </w:r>
      <w:proofErr w:type="spellStart"/>
      <w:r>
        <w:rPr>
          <w:rFonts w:ascii="Book Antiqua" w:eastAsia="Book Antiqua" w:hAnsi="Book Antiqua" w:cs="Book Antiqua"/>
          <w:b/>
          <w:bCs/>
          <w:color w:val="000000"/>
        </w:rPr>
        <w:t>Scheinberg</w:t>
      </w:r>
      <w:proofErr w:type="spellEnd"/>
      <w:r>
        <w:rPr>
          <w:rFonts w:ascii="Book Antiqua" w:eastAsia="Book Antiqua" w:hAnsi="Book Antiqua" w:cs="Book Antiqua"/>
          <w:b/>
          <w:bCs/>
          <w:color w:val="000000"/>
        </w:rPr>
        <w:t xml:space="preserve"> MA</w:t>
      </w:r>
      <w:r>
        <w:rPr>
          <w:rFonts w:ascii="Book Antiqua" w:eastAsia="Book Antiqua" w:hAnsi="Book Antiqua" w:cs="Book Antiqua"/>
          <w:color w:val="000000"/>
        </w:rPr>
        <w:t xml:space="preserve">, Kay J. The advent of biosimilar therapies in rheumatology--"O brave new world". </w:t>
      </w:r>
      <w:r>
        <w:rPr>
          <w:rFonts w:ascii="Book Antiqua" w:eastAsia="Book Antiqua" w:hAnsi="Book Antiqua" w:cs="Book Antiqua"/>
          <w:i/>
          <w:iCs/>
          <w:color w:val="000000"/>
        </w:rPr>
        <w:t xml:space="preserve">Nat Rev </w:t>
      </w:r>
      <w:proofErr w:type="spellStart"/>
      <w:r>
        <w:rPr>
          <w:rFonts w:ascii="Book Antiqua" w:eastAsia="Book Antiqua" w:hAnsi="Book Antiqua" w:cs="Book Antiqua"/>
          <w:i/>
          <w:iCs/>
          <w:color w:val="000000"/>
        </w:rPr>
        <w:t>Rheumatol</w:t>
      </w:r>
      <w:proofErr w:type="spellEnd"/>
      <w:r>
        <w:rPr>
          <w:rFonts w:ascii="Book Antiqua" w:eastAsia="Book Antiqua" w:hAnsi="Book Antiqua" w:cs="Book Antiqua"/>
          <w:color w:val="000000"/>
        </w:rPr>
        <w:t xml:space="preserve"> 2012; </w:t>
      </w:r>
      <w:r>
        <w:rPr>
          <w:rFonts w:ascii="Book Antiqua" w:eastAsia="Book Antiqua" w:hAnsi="Book Antiqua" w:cs="Book Antiqua"/>
          <w:b/>
          <w:bCs/>
          <w:color w:val="000000"/>
        </w:rPr>
        <w:t>8</w:t>
      </w:r>
      <w:r>
        <w:rPr>
          <w:rFonts w:ascii="Book Antiqua" w:eastAsia="Book Antiqua" w:hAnsi="Book Antiqua" w:cs="Book Antiqua"/>
          <w:color w:val="000000"/>
        </w:rPr>
        <w:t>: 430-436 [PMID: 22664834 DOI: 10.1038/nrrheum.2012.84]</w:t>
      </w:r>
    </w:p>
    <w:p w14:paraId="76892F2A" w14:textId="77777777" w:rsidR="00A77B3E" w:rsidRDefault="005513F1" w:rsidP="00CA3946">
      <w:pPr>
        <w:spacing w:line="360" w:lineRule="auto"/>
        <w:jc w:val="both"/>
      </w:pPr>
      <w:r>
        <w:rPr>
          <w:rFonts w:ascii="Book Antiqua" w:eastAsia="Book Antiqua" w:hAnsi="Book Antiqua" w:cs="Book Antiqua"/>
          <w:color w:val="000000"/>
        </w:rPr>
        <w:lastRenderedPageBreak/>
        <w:t xml:space="preserve">20 </w:t>
      </w:r>
      <w:r w:rsidRPr="00B17B8C">
        <w:rPr>
          <w:rFonts w:ascii="Book Antiqua" w:eastAsia="Book Antiqua" w:hAnsi="Book Antiqua" w:cs="Book Antiqua"/>
          <w:b/>
          <w:bCs/>
          <w:color w:val="000000"/>
        </w:rPr>
        <w:t>World Health Organization.</w:t>
      </w:r>
      <w:r>
        <w:rPr>
          <w:rFonts w:ascii="Book Antiqua" w:eastAsia="Book Antiqua" w:hAnsi="Book Antiqua" w:cs="Book Antiqua"/>
          <w:color w:val="000000"/>
        </w:rPr>
        <w:t xml:space="preserve"> Expert Committee on Biological Standardization: guidelines on evaluation of similar biotherapeutic products (SBPs). [cited 31 August 2019] Available from: https://www.who.int/biologicals/areas/biological_therapeutics/BIOTHERAPEUTICS_FOR_WEB_22APRIL2010.pdf. 2009</w:t>
      </w:r>
    </w:p>
    <w:p w14:paraId="07E34703" w14:textId="77777777" w:rsidR="00A77B3E" w:rsidRDefault="005513F1" w:rsidP="00CA3946">
      <w:pPr>
        <w:spacing w:line="360" w:lineRule="auto"/>
        <w:jc w:val="both"/>
      </w:pPr>
      <w:r>
        <w:rPr>
          <w:rFonts w:ascii="Book Antiqua" w:eastAsia="Book Antiqua" w:hAnsi="Book Antiqua" w:cs="Book Antiqua"/>
          <w:color w:val="000000"/>
        </w:rPr>
        <w:t xml:space="preserve">21 </w:t>
      </w:r>
      <w:proofErr w:type="spellStart"/>
      <w:r>
        <w:rPr>
          <w:rFonts w:ascii="Book Antiqua" w:eastAsia="Book Antiqua" w:hAnsi="Book Antiqua" w:cs="Book Antiqua"/>
          <w:b/>
          <w:bCs/>
          <w:color w:val="000000"/>
        </w:rPr>
        <w:t>Danese</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Bonovas</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Peyrin-Biroulet</w:t>
      </w:r>
      <w:proofErr w:type="spellEnd"/>
      <w:r>
        <w:rPr>
          <w:rFonts w:ascii="Book Antiqua" w:eastAsia="Book Antiqua" w:hAnsi="Book Antiqua" w:cs="Book Antiqua"/>
          <w:color w:val="000000"/>
        </w:rPr>
        <w:t xml:space="preserve"> L. Biosimilars in IBD: from theory to practice. </w:t>
      </w:r>
      <w:r>
        <w:rPr>
          <w:rFonts w:ascii="Book Antiqua" w:eastAsia="Book Antiqua" w:hAnsi="Book Antiqua" w:cs="Book Antiqua"/>
          <w:i/>
          <w:iCs/>
          <w:color w:val="000000"/>
        </w:rPr>
        <w:t>Nat Rev Gastroenterol Hepatol</w:t>
      </w:r>
      <w:r>
        <w:rPr>
          <w:rFonts w:ascii="Book Antiqua" w:eastAsia="Book Antiqua" w:hAnsi="Book Antiqua" w:cs="Book Antiqua"/>
          <w:color w:val="000000"/>
        </w:rPr>
        <w:t xml:space="preserve"> 2017; </w:t>
      </w:r>
      <w:r>
        <w:rPr>
          <w:rFonts w:ascii="Book Antiqua" w:eastAsia="Book Antiqua" w:hAnsi="Book Antiqua" w:cs="Book Antiqua"/>
          <w:b/>
          <w:bCs/>
          <w:color w:val="000000"/>
        </w:rPr>
        <w:t>14</w:t>
      </w:r>
      <w:r>
        <w:rPr>
          <w:rFonts w:ascii="Book Antiqua" w:eastAsia="Book Antiqua" w:hAnsi="Book Antiqua" w:cs="Book Antiqua"/>
          <w:color w:val="000000"/>
        </w:rPr>
        <w:t>: 22-31 [PMID: 27729659 DOI: 10.1038/nrgastro.2016.155]</w:t>
      </w:r>
    </w:p>
    <w:p w14:paraId="3527EF2B" w14:textId="77777777" w:rsidR="00A77B3E" w:rsidRDefault="005513F1" w:rsidP="00CA3946">
      <w:pPr>
        <w:spacing w:line="360" w:lineRule="auto"/>
        <w:jc w:val="both"/>
      </w:pPr>
      <w:r>
        <w:rPr>
          <w:rFonts w:ascii="Book Antiqua" w:eastAsia="Book Antiqua" w:hAnsi="Book Antiqua" w:cs="Book Antiqua"/>
          <w:color w:val="000000"/>
        </w:rPr>
        <w:t xml:space="preserve">22 </w:t>
      </w:r>
      <w:proofErr w:type="spellStart"/>
      <w:r>
        <w:rPr>
          <w:rFonts w:ascii="Book Antiqua" w:eastAsia="Book Antiqua" w:hAnsi="Book Antiqua" w:cs="Book Antiqua"/>
          <w:b/>
          <w:bCs/>
          <w:color w:val="000000"/>
        </w:rPr>
        <w:t>Danese</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Fiorino</w:t>
      </w:r>
      <w:proofErr w:type="spellEnd"/>
      <w:r>
        <w:rPr>
          <w:rFonts w:ascii="Book Antiqua" w:eastAsia="Book Antiqua" w:hAnsi="Book Antiqua" w:cs="Book Antiqua"/>
          <w:color w:val="000000"/>
        </w:rPr>
        <w:t xml:space="preserve"> G, Raine T, Ferrante M, Kemp K, </w:t>
      </w:r>
      <w:proofErr w:type="spellStart"/>
      <w:r>
        <w:rPr>
          <w:rFonts w:ascii="Book Antiqua" w:eastAsia="Book Antiqua" w:hAnsi="Book Antiqua" w:cs="Book Antiqua"/>
          <w:color w:val="000000"/>
        </w:rPr>
        <w:t>Kierkus</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Lakatos</w:t>
      </w:r>
      <w:proofErr w:type="spellEnd"/>
      <w:r>
        <w:rPr>
          <w:rFonts w:ascii="Book Antiqua" w:eastAsia="Book Antiqua" w:hAnsi="Book Antiqua" w:cs="Book Antiqua"/>
          <w:color w:val="000000"/>
        </w:rPr>
        <w:t xml:space="preserve"> PL, </w:t>
      </w:r>
      <w:proofErr w:type="spellStart"/>
      <w:r>
        <w:rPr>
          <w:rFonts w:ascii="Book Antiqua" w:eastAsia="Book Antiqua" w:hAnsi="Book Antiqua" w:cs="Book Antiqua"/>
          <w:color w:val="000000"/>
        </w:rPr>
        <w:t>Mantzaris</w:t>
      </w:r>
      <w:proofErr w:type="spellEnd"/>
      <w:r>
        <w:rPr>
          <w:rFonts w:ascii="Book Antiqua" w:eastAsia="Book Antiqua" w:hAnsi="Book Antiqua" w:cs="Book Antiqua"/>
          <w:color w:val="000000"/>
        </w:rPr>
        <w:t xml:space="preserve"> G, van der </w:t>
      </w:r>
      <w:proofErr w:type="spellStart"/>
      <w:r>
        <w:rPr>
          <w:rFonts w:ascii="Book Antiqua" w:eastAsia="Book Antiqua" w:hAnsi="Book Antiqua" w:cs="Book Antiqua"/>
          <w:color w:val="000000"/>
        </w:rPr>
        <w:t>Woude</w:t>
      </w:r>
      <w:proofErr w:type="spellEnd"/>
      <w:r>
        <w:rPr>
          <w:rFonts w:ascii="Book Antiqua" w:eastAsia="Book Antiqua" w:hAnsi="Book Antiqua" w:cs="Book Antiqua"/>
          <w:color w:val="000000"/>
        </w:rPr>
        <w:t xml:space="preserve"> J, Panes J, </w:t>
      </w:r>
      <w:proofErr w:type="spellStart"/>
      <w:r>
        <w:rPr>
          <w:rFonts w:ascii="Book Antiqua" w:eastAsia="Book Antiqua" w:hAnsi="Book Antiqua" w:cs="Book Antiqua"/>
          <w:color w:val="000000"/>
        </w:rPr>
        <w:t>Peyrin-Biroulet</w:t>
      </w:r>
      <w:proofErr w:type="spellEnd"/>
      <w:r>
        <w:rPr>
          <w:rFonts w:ascii="Book Antiqua" w:eastAsia="Book Antiqua" w:hAnsi="Book Antiqua" w:cs="Book Antiqua"/>
          <w:color w:val="000000"/>
        </w:rPr>
        <w:t xml:space="preserve"> L. ECCO Position Statement on the Use of Biosimilars for Inflammatory Bowel Disease-An Update.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Crohns</w:t>
      </w:r>
      <w:proofErr w:type="spellEnd"/>
      <w:r>
        <w:rPr>
          <w:rFonts w:ascii="Book Antiqua" w:eastAsia="Book Antiqua" w:hAnsi="Book Antiqua" w:cs="Book Antiqua"/>
          <w:i/>
          <w:iCs/>
          <w:color w:val="000000"/>
        </w:rPr>
        <w:t xml:space="preserve"> Colitis</w:t>
      </w:r>
      <w:r>
        <w:rPr>
          <w:rFonts w:ascii="Book Antiqua" w:eastAsia="Book Antiqua" w:hAnsi="Book Antiqua" w:cs="Book Antiqua"/>
          <w:color w:val="000000"/>
        </w:rPr>
        <w:t xml:space="preserve"> 2017; </w:t>
      </w:r>
      <w:r>
        <w:rPr>
          <w:rFonts w:ascii="Book Antiqua" w:eastAsia="Book Antiqua" w:hAnsi="Book Antiqua" w:cs="Book Antiqua"/>
          <w:b/>
          <w:bCs/>
          <w:color w:val="000000"/>
        </w:rPr>
        <w:t>11</w:t>
      </w:r>
      <w:r>
        <w:rPr>
          <w:rFonts w:ascii="Book Antiqua" w:eastAsia="Book Antiqua" w:hAnsi="Book Antiqua" w:cs="Book Antiqua"/>
          <w:color w:val="000000"/>
        </w:rPr>
        <w:t>: 26-34 [PMID: 27927718 DOI: 10.1093/</w:t>
      </w:r>
      <w:proofErr w:type="spellStart"/>
      <w:r>
        <w:rPr>
          <w:rFonts w:ascii="Book Antiqua" w:eastAsia="Book Antiqua" w:hAnsi="Book Antiqua" w:cs="Book Antiqua"/>
          <w:color w:val="000000"/>
        </w:rPr>
        <w:t>ecco-jcc</w:t>
      </w:r>
      <w:proofErr w:type="spellEnd"/>
      <w:r>
        <w:rPr>
          <w:rFonts w:ascii="Book Antiqua" w:eastAsia="Book Antiqua" w:hAnsi="Book Antiqua" w:cs="Book Antiqua"/>
          <w:color w:val="000000"/>
        </w:rPr>
        <w:t>/jjw198]</w:t>
      </w:r>
    </w:p>
    <w:p w14:paraId="580F1D7C" w14:textId="77777777" w:rsidR="00A77B3E" w:rsidRDefault="005513F1" w:rsidP="00CA3946">
      <w:pPr>
        <w:spacing w:line="360" w:lineRule="auto"/>
        <w:jc w:val="both"/>
      </w:pPr>
      <w:r>
        <w:rPr>
          <w:rFonts w:ascii="Book Antiqua" w:eastAsia="Book Antiqua" w:hAnsi="Book Antiqua" w:cs="Book Antiqua"/>
          <w:color w:val="000000"/>
        </w:rPr>
        <w:t xml:space="preserve">23 </w:t>
      </w:r>
      <w:r>
        <w:rPr>
          <w:rFonts w:ascii="Book Antiqua" w:eastAsia="Book Antiqua" w:hAnsi="Book Antiqua" w:cs="Book Antiqua"/>
          <w:b/>
          <w:bCs/>
          <w:color w:val="000000"/>
        </w:rPr>
        <w:t>Rodríguez Gonzalez GE,</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Arranz</w:t>
      </w:r>
      <w:proofErr w:type="spellEnd"/>
      <w:r>
        <w:rPr>
          <w:rFonts w:ascii="Book Antiqua" w:eastAsia="Book Antiqua" w:hAnsi="Book Antiqua" w:cs="Book Antiqua"/>
          <w:color w:val="000000"/>
        </w:rPr>
        <w:t xml:space="preserve"> Hernández L, Vela González M, Rodríguez Días CY, Pérez Hernández F, </w:t>
      </w:r>
      <w:proofErr w:type="spellStart"/>
      <w:r>
        <w:rPr>
          <w:rFonts w:ascii="Book Antiqua" w:eastAsia="Book Antiqua" w:hAnsi="Book Antiqua" w:cs="Book Antiqua"/>
          <w:color w:val="000000"/>
        </w:rPr>
        <w:t>Diáz</w:t>
      </w:r>
      <w:proofErr w:type="spellEnd"/>
      <w:r>
        <w:rPr>
          <w:rFonts w:ascii="Book Antiqua" w:eastAsia="Book Antiqua" w:hAnsi="Book Antiqua" w:cs="Book Antiqua"/>
          <w:color w:val="000000"/>
        </w:rPr>
        <w:t xml:space="preserve"> Hernández L, Morales Barrios JA, </w:t>
      </w:r>
      <w:proofErr w:type="spellStart"/>
      <w:r>
        <w:rPr>
          <w:rFonts w:ascii="Book Antiqua" w:eastAsia="Book Antiqua" w:hAnsi="Book Antiqua" w:cs="Book Antiqua"/>
          <w:color w:val="000000"/>
        </w:rPr>
        <w:t>Tardillo</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Marín</w:t>
      </w:r>
      <w:proofErr w:type="spellEnd"/>
      <w:r>
        <w:rPr>
          <w:rFonts w:ascii="Book Antiqua" w:eastAsia="Book Antiqua" w:hAnsi="Book Antiqua" w:cs="Book Antiqua"/>
          <w:color w:val="000000"/>
        </w:rPr>
        <w:t xml:space="preserve"> CA, Hernández </w:t>
      </w:r>
      <w:proofErr w:type="spellStart"/>
      <w:r>
        <w:rPr>
          <w:rFonts w:ascii="Book Antiqua" w:eastAsia="Book Antiqua" w:hAnsi="Book Antiqua" w:cs="Book Antiqua"/>
          <w:color w:val="000000"/>
        </w:rPr>
        <w:t>Camba</w:t>
      </w:r>
      <w:proofErr w:type="spellEnd"/>
      <w:r>
        <w:rPr>
          <w:rFonts w:ascii="Book Antiqua" w:eastAsia="Book Antiqua" w:hAnsi="Book Antiqua" w:cs="Book Antiqua"/>
          <w:color w:val="000000"/>
        </w:rPr>
        <w:t xml:space="preserve"> A, Merino Alonso FJ, </w:t>
      </w:r>
      <w:proofErr w:type="spellStart"/>
      <w:r>
        <w:rPr>
          <w:rFonts w:ascii="Book Antiqua" w:eastAsia="Book Antiqua" w:hAnsi="Book Antiqua" w:cs="Book Antiqua"/>
          <w:color w:val="000000"/>
        </w:rPr>
        <w:t>Viña</w:t>
      </w:r>
      <w:proofErr w:type="spellEnd"/>
      <w:r>
        <w:rPr>
          <w:rFonts w:ascii="Book Antiqua" w:eastAsia="Book Antiqua" w:hAnsi="Book Antiqua" w:cs="Book Antiqua"/>
          <w:color w:val="000000"/>
        </w:rPr>
        <w:t xml:space="preserve"> Romero MM. P629 Efficacy, safety and economic impact of the switch to biosimilar of infliximab in inflammatory bowel disease patients in clinical practice: results of one year. </w:t>
      </w:r>
      <w:r w:rsidRPr="00B17B8C">
        <w:rPr>
          <w:rFonts w:ascii="Book Antiqua" w:eastAsia="Book Antiqua" w:hAnsi="Book Antiqua" w:cs="Book Antiqua"/>
          <w:i/>
          <w:iCs/>
          <w:color w:val="000000"/>
        </w:rPr>
        <w:t>J Crohn’s Colitis</w:t>
      </w:r>
      <w:r>
        <w:rPr>
          <w:rFonts w:ascii="Book Antiqua" w:eastAsia="Book Antiqua" w:hAnsi="Book Antiqua" w:cs="Book Antiqua"/>
          <w:color w:val="000000"/>
        </w:rPr>
        <w:t xml:space="preserve"> 2017; </w:t>
      </w:r>
      <w:r w:rsidRPr="00B17B8C">
        <w:rPr>
          <w:rFonts w:ascii="Book Antiqua" w:eastAsia="Book Antiqua" w:hAnsi="Book Antiqua" w:cs="Book Antiqua"/>
          <w:b/>
          <w:bCs/>
          <w:color w:val="000000"/>
        </w:rPr>
        <w:t>11</w:t>
      </w:r>
      <w:r>
        <w:rPr>
          <w:rFonts w:ascii="Book Antiqua" w:eastAsia="Book Antiqua" w:hAnsi="Book Antiqua" w:cs="Book Antiqua"/>
          <w:color w:val="000000"/>
        </w:rPr>
        <w:t>: S402-S402 [PMID: 28175196 DOI: 10.1093/</w:t>
      </w:r>
      <w:proofErr w:type="spellStart"/>
      <w:r>
        <w:rPr>
          <w:rFonts w:ascii="Book Antiqua" w:eastAsia="Book Antiqua" w:hAnsi="Book Antiqua" w:cs="Book Antiqua"/>
          <w:color w:val="000000"/>
        </w:rPr>
        <w:t>ecco-jcc</w:t>
      </w:r>
      <w:proofErr w:type="spellEnd"/>
      <w:r>
        <w:rPr>
          <w:rFonts w:ascii="Book Antiqua" w:eastAsia="Book Antiqua" w:hAnsi="Book Antiqua" w:cs="Book Antiqua"/>
          <w:color w:val="000000"/>
        </w:rPr>
        <w:t>/jjx002.753]</w:t>
      </w:r>
    </w:p>
    <w:p w14:paraId="56EB0838" w14:textId="77777777" w:rsidR="00A77B3E" w:rsidRDefault="005513F1" w:rsidP="00CA3946">
      <w:pPr>
        <w:spacing w:line="360" w:lineRule="auto"/>
        <w:jc w:val="both"/>
      </w:pPr>
      <w:r>
        <w:rPr>
          <w:rFonts w:ascii="Book Antiqua" w:eastAsia="Book Antiqua" w:hAnsi="Book Antiqua" w:cs="Book Antiqua"/>
          <w:color w:val="000000"/>
        </w:rPr>
        <w:t xml:space="preserve">24 </w:t>
      </w:r>
      <w:proofErr w:type="spellStart"/>
      <w:r>
        <w:rPr>
          <w:rFonts w:ascii="Book Antiqua" w:eastAsia="Book Antiqua" w:hAnsi="Book Antiqua" w:cs="Book Antiqua"/>
          <w:b/>
          <w:bCs/>
          <w:color w:val="000000"/>
        </w:rPr>
        <w:t>Sieczkowska</w:t>
      </w:r>
      <w:proofErr w:type="spellEnd"/>
      <w:r>
        <w:rPr>
          <w:rFonts w:ascii="Book Antiqua" w:eastAsia="Book Antiqua" w:hAnsi="Book Antiqua" w:cs="Book Antiqua"/>
          <w:b/>
          <w:bCs/>
          <w:color w:val="000000"/>
        </w:rPr>
        <w:t xml:space="preserve"> 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Jarzębicka</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Banaszkiewicz</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Plocek</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Gawronska</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Toporowska-Kowalska</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Oracz</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Meglicka</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Kierkus</w:t>
      </w:r>
      <w:proofErr w:type="spellEnd"/>
      <w:r>
        <w:rPr>
          <w:rFonts w:ascii="Book Antiqua" w:eastAsia="Book Antiqua" w:hAnsi="Book Antiqua" w:cs="Book Antiqua"/>
          <w:color w:val="000000"/>
        </w:rPr>
        <w:t xml:space="preserve"> J. Switching Between Infliximab Originator and Biosimilar in </w:t>
      </w:r>
      <w:proofErr w:type="spellStart"/>
      <w:r>
        <w:rPr>
          <w:rFonts w:ascii="Book Antiqua" w:eastAsia="Book Antiqua" w:hAnsi="Book Antiqua" w:cs="Book Antiqua"/>
          <w:color w:val="000000"/>
        </w:rPr>
        <w:t>Paediatric</w:t>
      </w:r>
      <w:proofErr w:type="spellEnd"/>
      <w:r>
        <w:rPr>
          <w:rFonts w:ascii="Book Antiqua" w:eastAsia="Book Antiqua" w:hAnsi="Book Antiqua" w:cs="Book Antiqua"/>
          <w:color w:val="000000"/>
        </w:rPr>
        <w:t xml:space="preserve"> Patients with Inflammatory Bowel Disease. Preliminary Observations.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Crohns</w:t>
      </w:r>
      <w:proofErr w:type="spellEnd"/>
      <w:r>
        <w:rPr>
          <w:rFonts w:ascii="Book Antiqua" w:eastAsia="Book Antiqua" w:hAnsi="Book Antiqua" w:cs="Book Antiqua"/>
          <w:i/>
          <w:iCs/>
          <w:color w:val="000000"/>
        </w:rPr>
        <w:t xml:space="preserve"> Colitis</w:t>
      </w:r>
      <w:r>
        <w:rPr>
          <w:rFonts w:ascii="Book Antiqua" w:eastAsia="Book Antiqua" w:hAnsi="Book Antiqua" w:cs="Book Antiqua"/>
          <w:color w:val="000000"/>
        </w:rPr>
        <w:t xml:space="preserve"> 2016; </w:t>
      </w:r>
      <w:r>
        <w:rPr>
          <w:rFonts w:ascii="Book Antiqua" w:eastAsia="Book Antiqua" w:hAnsi="Book Antiqua" w:cs="Book Antiqua"/>
          <w:b/>
          <w:bCs/>
          <w:color w:val="000000"/>
        </w:rPr>
        <w:t>10</w:t>
      </w:r>
      <w:r>
        <w:rPr>
          <w:rFonts w:ascii="Book Antiqua" w:eastAsia="Book Antiqua" w:hAnsi="Book Antiqua" w:cs="Book Antiqua"/>
          <w:color w:val="000000"/>
        </w:rPr>
        <w:t>: 127-132 [PMID: 26721942 DOI: 10.1093/</w:t>
      </w:r>
      <w:proofErr w:type="spellStart"/>
      <w:r>
        <w:rPr>
          <w:rFonts w:ascii="Book Antiqua" w:eastAsia="Book Antiqua" w:hAnsi="Book Antiqua" w:cs="Book Antiqua"/>
          <w:color w:val="000000"/>
        </w:rPr>
        <w:t>ecco-jcc</w:t>
      </w:r>
      <w:proofErr w:type="spellEnd"/>
      <w:r>
        <w:rPr>
          <w:rFonts w:ascii="Book Antiqua" w:eastAsia="Book Antiqua" w:hAnsi="Book Antiqua" w:cs="Book Antiqua"/>
          <w:color w:val="000000"/>
        </w:rPr>
        <w:t>/jjv233]</w:t>
      </w:r>
    </w:p>
    <w:p w14:paraId="11A734F2" w14:textId="77777777" w:rsidR="00A77B3E" w:rsidRDefault="005513F1" w:rsidP="00CA3946">
      <w:pPr>
        <w:spacing w:line="360" w:lineRule="auto"/>
        <w:jc w:val="both"/>
      </w:pPr>
      <w:r>
        <w:rPr>
          <w:rFonts w:ascii="Book Antiqua" w:eastAsia="Book Antiqua" w:hAnsi="Book Antiqua" w:cs="Book Antiqua"/>
          <w:color w:val="000000"/>
        </w:rPr>
        <w:t xml:space="preserve">25 </w:t>
      </w:r>
      <w:r>
        <w:rPr>
          <w:rFonts w:ascii="Book Antiqua" w:eastAsia="Book Antiqua" w:hAnsi="Book Antiqua" w:cs="Book Antiqua"/>
          <w:b/>
          <w:bCs/>
          <w:color w:val="000000"/>
        </w:rPr>
        <w:t>Park KY</w:t>
      </w:r>
      <w:r>
        <w:rPr>
          <w:rFonts w:ascii="Book Antiqua" w:eastAsia="Book Antiqua" w:hAnsi="Book Antiqua" w:cs="Book Antiqua"/>
          <w:color w:val="000000"/>
        </w:rPr>
        <w:t xml:space="preserve">, Ko EJ, Kim BJ, Kim MN, Hong CK, Chang SE, Won CH, Lee YW. A multicenter, randomized, double-blind clinical study to evaluate the efficacy and safety of PP-501-B in correction of nasolabial folds. </w:t>
      </w:r>
      <w:r>
        <w:rPr>
          <w:rFonts w:ascii="Book Antiqua" w:eastAsia="Book Antiqua" w:hAnsi="Book Antiqua" w:cs="Book Antiqua"/>
          <w:i/>
          <w:iCs/>
          <w:color w:val="000000"/>
        </w:rPr>
        <w:t>Dermatol Surg</w:t>
      </w:r>
      <w:r>
        <w:rPr>
          <w:rFonts w:ascii="Book Antiqua" w:eastAsia="Book Antiqua" w:hAnsi="Book Antiqua" w:cs="Book Antiqua"/>
          <w:color w:val="000000"/>
        </w:rPr>
        <w:t xml:space="preserve"> 2015; </w:t>
      </w:r>
      <w:r>
        <w:rPr>
          <w:rFonts w:ascii="Book Antiqua" w:eastAsia="Book Antiqua" w:hAnsi="Book Antiqua" w:cs="Book Antiqua"/>
          <w:b/>
          <w:bCs/>
          <w:color w:val="000000"/>
        </w:rPr>
        <w:t>41</w:t>
      </w:r>
      <w:r>
        <w:rPr>
          <w:rFonts w:ascii="Book Antiqua" w:eastAsia="Book Antiqua" w:hAnsi="Book Antiqua" w:cs="Book Antiqua"/>
          <w:color w:val="000000"/>
        </w:rPr>
        <w:t>: 113-120 [PMID: 25521103 DOI: 10.1097/DSS.0000000000000203]</w:t>
      </w:r>
    </w:p>
    <w:p w14:paraId="56A6F145" w14:textId="77777777" w:rsidR="00A77B3E" w:rsidRDefault="005513F1" w:rsidP="00CA3946">
      <w:pPr>
        <w:spacing w:line="360" w:lineRule="auto"/>
        <w:jc w:val="both"/>
      </w:pPr>
      <w:r>
        <w:rPr>
          <w:rFonts w:ascii="Book Antiqua" w:eastAsia="Book Antiqua" w:hAnsi="Book Antiqua" w:cs="Book Antiqua"/>
          <w:color w:val="000000"/>
        </w:rPr>
        <w:t xml:space="preserve">26 </w:t>
      </w:r>
      <w:r>
        <w:rPr>
          <w:rFonts w:ascii="Book Antiqua" w:eastAsia="Book Antiqua" w:hAnsi="Book Antiqua" w:cs="Book Antiqua"/>
          <w:b/>
          <w:bCs/>
          <w:color w:val="000000"/>
        </w:rPr>
        <w:t>Jung YS</w:t>
      </w:r>
      <w:r>
        <w:rPr>
          <w:rFonts w:ascii="Book Antiqua" w:eastAsia="Book Antiqua" w:hAnsi="Book Antiqua" w:cs="Book Antiqua"/>
          <w:color w:val="000000"/>
        </w:rPr>
        <w:t xml:space="preserve">, Park DI, Kim YH, Lee JH, </w:t>
      </w:r>
      <w:proofErr w:type="spellStart"/>
      <w:r>
        <w:rPr>
          <w:rFonts w:ascii="Book Antiqua" w:eastAsia="Book Antiqua" w:hAnsi="Book Antiqua" w:cs="Book Antiqua"/>
          <w:color w:val="000000"/>
        </w:rPr>
        <w:t>Seo</w:t>
      </w:r>
      <w:proofErr w:type="spellEnd"/>
      <w:r>
        <w:rPr>
          <w:rFonts w:ascii="Book Antiqua" w:eastAsia="Book Antiqua" w:hAnsi="Book Antiqua" w:cs="Book Antiqua"/>
          <w:color w:val="000000"/>
        </w:rPr>
        <w:t xml:space="preserve"> PJ, </w:t>
      </w:r>
      <w:proofErr w:type="spellStart"/>
      <w:r>
        <w:rPr>
          <w:rFonts w:ascii="Book Antiqua" w:eastAsia="Book Antiqua" w:hAnsi="Book Antiqua" w:cs="Book Antiqua"/>
          <w:color w:val="000000"/>
        </w:rPr>
        <w:t>Cheon</w:t>
      </w:r>
      <w:proofErr w:type="spellEnd"/>
      <w:r>
        <w:rPr>
          <w:rFonts w:ascii="Book Antiqua" w:eastAsia="Book Antiqua" w:hAnsi="Book Antiqua" w:cs="Book Antiqua"/>
          <w:color w:val="000000"/>
        </w:rPr>
        <w:t xml:space="preserve"> JH, Kang HW, Kim JW. Efficacy and safety of CT-P13, a biosimilar of infliximab, in patients with inflammatory bowel </w:t>
      </w:r>
      <w:r>
        <w:rPr>
          <w:rFonts w:ascii="Book Antiqua" w:eastAsia="Book Antiqua" w:hAnsi="Book Antiqua" w:cs="Book Antiqua"/>
          <w:color w:val="000000"/>
        </w:rPr>
        <w:lastRenderedPageBreak/>
        <w:t xml:space="preserve">disease: A retrospective multicenter study. </w:t>
      </w:r>
      <w:r>
        <w:rPr>
          <w:rFonts w:ascii="Book Antiqua" w:eastAsia="Book Antiqua" w:hAnsi="Book Antiqua" w:cs="Book Antiqua"/>
          <w:i/>
          <w:iCs/>
          <w:color w:val="000000"/>
        </w:rPr>
        <w:t>J Gastroenterol Hepatol</w:t>
      </w:r>
      <w:r>
        <w:rPr>
          <w:rFonts w:ascii="Book Antiqua" w:eastAsia="Book Antiqua" w:hAnsi="Book Antiqua" w:cs="Book Antiqua"/>
          <w:color w:val="000000"/>
        </w:rPr>
        <w:t xml:space="preserve"> 2015; </w:t>
      </w:r>
      <w:r>
        <w:rPr>
          <w:rFonts w:ascii="Book Antiqua" w:eastAsia="Book Antiqua" w:hAnsi="Book Antiqua" w:cs="Book Antiqua"/>
          <w:b/>
          <w:bCs/>
          <w:color w:val="000000"/>
        </w:rPr>
        <w:t>30</w:t>
      </w:r>
      <w:r>
        <w:rPr>
          <w:rFonts w:ascii="Book Antiqua" w:eastAsia="Book Antiqua" w:hAnsi="Book Antiqua" w:cs="Book Antiqua"/>
          <w:color w:val="000000"/>
        </w:rPr>
        <w:t>: 1705-1712 [PMID: 25974251 DOI: 10.1111/jgh.12997]</w:t>
      </w:r>
    </w:p>
    <w:p w14:paraId="5D82B73C" w14:textId="77777777" w:rsidR="00A77B3E" w:rsidRDefault="005513F1" w:rsidP="00CA3946">
      <w:pPr>
        <w:spacing w:line="360" w:lineRule="auto"/>
        <w:jc w:val="both"/>
      </w:pPr>
      <w:r>
        <w:rPr>
          <w:rFonts w:ascii="Book Antiqua" w:eastAsia="Book Antiqua" w:hAnsi="Book Antiqua" w:cs="Book Antiqua"/>
          <w:color w:val="000000"/>
        </w:rPr>
        <w:t xml:space="preserve">27 </w:t>
      </w:r>
      <w:r>
        <w:rPr>
          <w:rFonts w:ascii="Book Antiqua" w:eastAsia="Book Antiqua" w:hAnsi="Book Antiqua" w:cs="Book Antiqua"/>
          <w:b/>
          <w:bCs/>
          <w:color w:val="000000"/>
        </w:rPr>
        <w:t>Kang B</w:t>
      </w:r>
      <w:r>
        <w:rPr>
          <w:rFonts w:ascii="Book Antiqua" w:eastAsia="Book Antiqua" w:hAnsi="Book Antiqua" w:cs="Book Antiqua"/>
          <w:color w:val="000000"/>
        </w:rPr>
        <w:t xml:space="preserve">, Lee Y, Lee K, Choi YO, Choe YH. Long-term Outcomes After Switching to CT-P13 in Pediatric-Onset Inflammatory Bowel Disease: A Single-Center Prospective Observational Study. </w:t>
      </w:r>
      <w:proofErr w:type="spellStart"/>
      <w:r>
        <w:rPr>
          <w:rFonts w:ascii="Book Antiqua" w:eastAsia="Book Antiqua" w:hAnsi="Book Antiqua" w:cs="Book Antiqua"/>
          <w:i/>
          <w:iCs/>
          <w:color w:val="000000"/>
        </w:rPr>
        <w:t>Inflamm</w:t>
      </w:r>
      <w:proofErr w:type="spellEnd"/>
      <w:r>
        <w:rPr>
          <w:rFonts w:ascii="Book Antiqua" w:eastAsia="Book Antiqua" w:hAnsi="Book Antiqua" w:cs="Book Antiqua"/>
          <w:i/>
          <w:iCs/>
          <w:color w:val="000000"/>
        </w:rPr>
        <w:t xml:space="preserve"> Bowel Dis</w:t>
      </w:r>
      <w:r>
        <w:rPr>
          <w:rFonts w:ascii="Book Antiqua" w:eastAsia="Book Antiqua" w:hAnsi="Book Antiqua" w:cs="Book Antiqua"/>
          <w:color w:val="000000"/>
        </w:rPr>
        <w:t xml:space="preserve"> 2018; </w:t>
      </w:r>
      <w:r>
        <w:rPr>
          <w:rFonts w:ascii="Book Antiqua" w:eastAsia="Book Antiqua" w:hAnsi="Book Antiqua" w:cs="Book Antiqua"/>
          <w:b/>
          <w:bCs/>
          <w:color w:val="000000"/>
        </w:rPr>
        <w:t>24</w:t>
      </w:r>
      <w:r>
        <w:rPr>
          <w:rFonts w:ascii="Book Antiqua" w:eastAsia="Book Antiqua" w:hAnsi="Book Antiqua" w:cs="Book Antiqua"/>
          <w:color w:val="000000"/>
        </w:rPr>
        <w:t>: 607-616 [PMID: 29390113 DOI: 10.1093/</w:t>
      </w:r>
      <w:proofErr w:type="spellStart"/>
      <w:r>
        <w:rPr>
          <w:rFonts w:ascii="Book Antiqua" w:eastAsia="Book Antiqua" w:hAnsi="Book Antiqua" w:cs="Book Antiqua"/>
          <w:color w:val="000000"/>
        </w:rPr>
        <w:t>ibd</w:t>
      </w:r>
      <w:proofErr w:type="spellEnd"/>
      <w:r>
        <w:rPr>
          <w:rFonts w:ascii="Book Antiqua" w:eastAsia="Book Antiqua" w:hAnsi="Book Antiqua" w:cs="Book Antiqua"/>
          <w:color w:val="000000"/>
        </w:rPr>
        <w:t>/izx047]</w:t>
      </w:r>
    </w:p>
    <w:p w14:paraId="7ABC6A76" w14:textId="77777777" w:rsidR="00A77B3E" w:rsidRDefault="005513F1" w:rsidP="00CA3946">
      <w:pPr>
        <w:spacing w:line="360" w:lineRule="auto"/>
        <w:jc w:val="both"/>
      </w:pPr>
      <w:r>
        <w:rPr>
          <w:rFonts w:ascii="Book Antiqua" w:eastAsia="Book Antiqua" w:hAnsi="Book Antiqua" w:cs="Book Antiqua"/>
          <w:color w:val="000000"/>
        </w:rPr>
        <w:t xml:space="preserve">28 </w:t>
      </w:r>
      <w:r>
        <w:rPr>
          <w:rFonts w:ascii="Book Antiqua" w:eastAsia="Book Antiqua" w:hAnsi="Book Antiqua" w:cs="Book Antiqua"/>
          <w:b/>
          <w:bCs/>
          <w:color w:val="000000"/>
        </w:rPr>
        <w:t>Nugent S,</w:t>
      </w:r>
      <w:r>
        <w:rPr>
          <w:rFonts w:ascii="Book Antiqua" w:eastAsia="Book Antiqua" w:hAnsi="Book Antiqua" w:cs="Book Antiqua"/>
          <w:color w:val="000000"/>
        </w:rPr>
        <w:t xml:space="preserve"> Nugent M, Mullane D, Kelly C. P430 </w:t>
      </w:r>
      <w:proofErr w:type="spellStart"/>
      <w:r>
        <w:rPr>
          <w:rFonts w:ascii="Book Antiqua" w:eastAsia="Book Antiqua" w:hAnsi="Book Antiqua" w:cs="Book Antiqua"/>
          <w:color w:val="000000"/>
        </w:rPr>
        <w:t>EirSwitch</w:t>
      </w:r>
      <w:proofErr w:type="spellEnd"/>
      <w:r>
        <w:rPr>
          <w:rFonts w:ascii="Book Antiqua" w:eastAsia="Book Antiqua" w:hAnsi="Book Antiqua" w:cs="Book Antiqua"/>
          <w:color w:val="000000"/>
        </w:rPr>
        <w:t xml:space="preserve"> echoes of </w:t>
      </w:r>
      <w:proofErr w:type="spellStart"/>
      <w:r>
        <w:rPr>
          <w:rFonts w:ascii="Book Antiqua" w:eastAsia="Book Antiqua" w:hAnsi="Book Antiqua" w:cs="Book Antiqua"/>
          <w:color w:val="000000"/>
        </w:rPr>
        <w:t>NorSwitch</w:t>
      </w:r>
      <w:proofErr w:type="spellEnd"/>
      <w:r>
        <w:rPr>
          <w:rFonts w:ascii="Book Antiqua" w:eastAsia="Book Antiqua" w:hAnsi="Book Antiqua" w:cs="Book Antiqua"/>
          <w:color w:val="000000"/>
        </w:rPr>
        <w:t xml:space="preserve">: switching biosimilar therapy in an IBD cohort an Irish experience. J </w:t>
      </w:r>
      <w:proofErr w:type="spellStart"/>
      <w:r>
        <w:rPr>
          <w:rFonts w:ascii="Book Antiqua" w:eastAsia="Book Antiqua" w:hAnsi="Book Antiqua" w:cs="Book Antiqua"/>
          <w:color w:val="000000"/>
        </w:rPr>
        <w:t>Crohns</w:t>
      </w:r>
      <w:proofErr w:type="spellEnd"/>
      <w:r>
        <w:rPr>
          <w:rFonts w:ascii="Book Antiqua" w:eastAsia="Book Antiqua" w:hAnsi="Book Antiqua" w:cs="Book Antiqua"/>
          <w:color w:val="000000"/>
        </w:rPr>
        <w:t xml:space="preserve"> Colitis 2017; 11(suppl_1): S295-S295 [DOI: 10.1093/</w:t>
      </w:r>
      <w:proofErr w:type="spellStart"/>
      <w:r>
        <w:rPr>
          <w:rFonts w:ascii="Book Antiqua" w:eastAsia="Book Antiqua" w:hAnsi="Book Antiqua" w:cs="Book Antiqua"/>
          <w:color w:val="000000"/>
        </w:rPr>
        <w:t>ecco-jcc</w:t>
      </w:r>
      <w:proofErr w:type="spellEnd"/>
      <w:r>
        <w:rPr>
          <w:rFonts w:ascii="Book Antiqua" w:eastAsia="Book Antiqua" w:hAnsi="Book Antiqua" w:cs="Book Antiqua"/>
          <w:color w:val="000000"/>
        </w:rPr>
        <w:t>/jjx002.555]</w:t>
      </w:r>
    </w:p>
    <w:p w14:paraId="294D1FC3" w14:textId="77777777" w:rsidR="00A77B3E" w:rsidRDefault="005513F1" w:rsidP="00CA3946">
      <w:pPr>
        <w:spacing w:line="360" w:lineRule="auto"/>
        <w:jc w:val="both"/>
      </w:pPr>
      <w:r>
        <w:rPr>
          <w:rFonts w:ascii="Book Antiqua" w:eastAsia="Book Antiqua" w:hAnsi="Book Antiqua" w:cs="Book Antiqua"/>
          <w:color w:val="000000"/>
        </w:rPr>
        <w:t xml:space="preserve">29 </w:t>
      </w:r>
      <w:r>
        <w:rPr>
          <w:rFonts w:ascii="Book Antiqua" w:eastAsia="Book Antiqua" w:hAnsi="Book Antiqua" w:cs="Book Antiqua"/>
          <w:b/>
          <w:bCs/>
          <w:color w:val="000000"/>
        </w:rPr>
        <w:t>Smits LJT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Grelack</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Derikx</w:t>
      </w:r>
      <w:proofErr w:type="spellEnd"/>
      <w:r>
        <w:rPr>
          <w:rFonts w:ascii="Book Antiqua" w:eastAsia="Book Antiqua" w:hAnsi="Book Antiqua" w:cs="Book Antiqua"/>
          <w:color w:val="000000"/>
        </w:rPr>
        <w:t xml:space="preserve"> LAAP, de Jong DJ, van </w:t>
      </w:r>
      <w:proofErr w:type="spellStart"/>
      <w:r>
        <w:rPr>
          <w:rFonts w:ascii="Book Antiqua" w:eastAsia="Book Antiqua" w:hAnsi="Book Antiqua" w:cs="Book Antiqua"/>
          <w:color w:val="000000"/>
        </w:rPr>
        <w:t>Esch</w:t>
      </w:r>
      <w:proofErr w:type="spellEnd"/>
      <w:r>
        <w:rPr>
          <w:rFonts w:ascii="Book Antiqua" w:eastAsia="Book Antiqua" w:hAnsi="Book Antiqua" w:cs="Book Antiqua"/>
          <w:color w:val="000000"/>
        </w:rPr>
        <w:t xml:space="preserve"> AAJ, </w:t>
      </w:r>
      <w:proofErr w:type="spellStart"/>
      <w:r>
        <w:rPr>
          <w:rFonts w:ascii="Book Antiqua" w:eastAsia="Book Antiqua" w:hAnsi="Book Antiqua" w:cs="Book Antiqua"/>
          <w:color w:val="000000"/>
        </w:rPr>
        <w:t>Boshuizen</w:t>
      </w:r>
      <w:proofErr w:type="spellEnd"/>
      <w:r>
        <w:rPr>
          <w:rFonts w:ascii="Book Antiqua" w:eastAsia="Book Antiqua" w:hAnsi="Book Antiqua" w:cs="Book Antiqua"/>
          <w:color w:val="000000"/>
        </w:rPr>
        <w:t xml:space="preserve"> RS, </w:t>
      </w:r>
      <w:proofErr w:type="spellStart"/>
      <w:r>
        <w:rPr>
          <w:rFonts w:ascii="Book Antiqua" w:eastAsia="Book Antiqua" w:hAnsi="Book Antiqua" w:cs="Book Antiqua"/>
          <w:color w:val="000000"/>
        </w:rPr>
        <w:t>Drenth</w:t>
      </w:r>
      <w:proofErr w:type="spellEnd"/>
      <w:r>
        <w:rPr>
          <w:rFonts w:ascii="Book Antiqua" w:eastAsia="Book Antiqua" w:hAnsi="Book Antiqua" w:cs="Book Antiqua"/>
          <w:color w:val="000000"/>
        </w:rPr>
        <w:t xml:space="preserve"> JPH, </w:t>
      </w:r>
      <w:proofErr w:type="spellStart"/>
      <w:r>
        <w:rPr>
          <w:rFonts w:ascii="Book Antiqua" w:eastAsia="Book Antiqua" w:hAnsi="Book Antiqua" w:cs="Book Antiqua"/>
          <w:color w:val="000000"/>
        </w:rPr>
        <w:t>Hoentjen</w:t>
      </w:r>
      <w:proofErr w:type="spellEnd"/>
      <w:r>
        <w:rPr>
          <w:rFonts w:ascii="Book Antiqua" w:eastAsia="Book Antiqua" w:hAnsi="Book Antiqua" w:cs="Book Antiqua"/>
          <w:color w:val="000000"/>
        </w:rPr>
        <w:t xml:space="preserve"> F. Long-Term Clinical Outcomes After Switching from Remicade</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to Biosimilar CT-P13 in Inflammatory Bowel Disease. </w:t>
      </w:r>
      <w:r>
        <w:rPr>
          <w:rFonts w:ascii="Book Antiqua" w:eastAsia="Book Antiqua" w:hAnsi="Book Antiqua" w:cs="Book Antiqua"/>
          <w:i/>
          <w:iCs/>
          <w:color w:val="000000"/>
        </w:rPr>
        <w:t>Dig Dis Sci</w:t>
      </w:r>
      <w:r>
        <w:rPr>
          <w:rFonts w:ascii="Book Antiqua" w:eastAsia="Book Antiqua" w:hAnsi="Book Antiqua" w:cs="Book Antiqua"/>
          <w:color w:val="000000"/>
        </w:rPr>
        <w:t xml:space="preserve"> 2017; </w:t>
      </w:r>
      <w:r>
        <w:rPr>
          <w:rFonts w:ascii="Book Antiqua" w:eastAsia="Book Antiqua" w:hAnsi="Book Antiqua" w:cs="Book Antiqua"/>
          <w:b/>
          <w:bCs/>
          <w:color w:val="000000"/>
        </w:rPr>
        <w:t>62</w:t>
      </w:r>
      <w:r>
        <w:rPr>
          <w:rFonts w:ascii="Book Antiqua" w:eastAsia="Book Antiqua" w:hAnsi="Book Antiqua" w:cs="Book Antiqua"/>
          <w:color w:val="000000"/>
        </w:rPr>
        <w:t>: 3117-3122 [PMID: 28667429 DOI: 10.1007/s10620-017-4661-4]</w:t>
      </w:r>
    </w:p>
    <w:p w14:paraId="0EC84F17" w14:textId="77777777" w:rsidR="00A77B3E" w:rsidRDefault="005513F1" w:rsidP="00CA3946">
      <w:pPr>
        <w:spacing w:line="360" w:lineRule="auto"/>
        <w:jc w:val="both"/>
      </w:pPr>
      <w:r>
        <w:rPr>
          <w:rFonts w:ascii="Book Antiqua" w:eastAsia="Book Antiqua" w:hAnsi="Book Antiqua" w:cs="Book Antiqua"/>
          <w:color w:val="000000"/>
        </w:rPr>
        <w:t xml:space="preserve">30 </w:t>
      </w:r>
      <w:r>
        <w:rPr>
          <w:rFonts w:ascii="Book Antiqua" w:eastAsia="Book Antiqua" w:hAnsi="Book Antiqua" w:cs="Book Antiqua"/>
          <w:b/>
          <w:bCs/>
          <w:color w:val="000000"/>
        </w:rPr>
        <w:t>Smits LJT</w:t>
      </w:r>
      <w:r>
        <w:rPr>
          <w:rFonts w:ascii="Book Antiqua" w:eastAsia="Book Antiqua" w:hAnsi="Book Antiqua" w:cs="Book Antiqua"/>
          <w:color w:val="000000"/>
        </w:rPr>
        <w:t xml:space="preserve">, van </w:t>
      </w:r>
      <w:proofErr w:type="spellStart"/>
      <w:r>
        <w:rPr>
          <w:rFonts w:ascii="Book Antiqua" w:eastAsia="Book Antiqua" w:hAnsi="Book Antiqua" w:cs="Book Antiqua"/>
          <w:color w:val="000000"/>
        </w:rPr>
        <w:t>Esch</w:t>
      </w:r>
      <w:proofErr w:type="spellEnd"/>
      <w:r>
        <w:rPr>
          <w:rFonts w:ascii="Book Antiqua" w:eastAsia="Book Antiqua" w:hAnsi="Book Antiqua" w:cs="Book Antiqua"/>
          <w:color w:val="000000"/>
        </w:rPr>
        <w:t xml:space="preserve"> AAJ, </w:t>
      </w:r>
      <w:proofErr w:type="spellStart"/>
      <w:r>
        <w:rPr>
          <w:rFonts w:ascii="Book Antiqua" w:eastAsia="Book Antiqua" w:hAnsi="Book Antiqua" w:cs="Book Antiqua"/>
          <w:color w:val="000000"/>
        </w:rPr>
        <w:t>Derikx</w:t>
      </w:r>
      <w:proofErr w:type="spellEnd"/>
      <w:r>
        <w:rPr>
          <w:rFonts w:ascii="Book Antiqua" w:eastAsia="Book Antiqua" w:hAnsi="Book Antiqua" w:cs="Book Antiqua"/>
          <w:color w:val="000000"/>
        </w:rPr>
        <w:t xml:space="preserve"> LAAP, </w:t>
      </w:r>
      <w:proofErr w:type="spellStart"/>
      <w:r>
        <w:rPr>
          <w:rFonts w:ascii="Book Antiqua" w:eastAsia="Book Antiqua" w:hAnsi="Book Antiqua" w:cs="Book Antiqua"/>
          <w:color w:val="000000"/>
        </w:rPr>
        <w:t>Boshuizen</w:t>
      </w:r>
      <w:proofErr w:type="spellEnd"/>
      <w:r>
        <w:rPr>
          <w:rFonts w:ascii="Book Antiqua" w:eastAsia="Book Antiqua" w:hAnsi="Book Antiqua" w:cs="Book Antiqua"/>
          <w:color w:val="000000"/>
        </w:rPr>
        <w:t xml:space="preserve"> R, de Jong DJ, </w:t>
      </w:r>
      <w:proofErr w:type="spellStart"/>
      <w:r>
        <w:rPr>
          <w:rFonts w:ascii="Book Antiqua" w:eastAsia="Book Antiqua" w:hAnsi="Book Antiqua" w:cs="Book Antiqua"/>
          <w:color w:val="000000"/>
        </w:rPr>
        <w:t>Drenth</w:t>
      </w:r>
      <w:proofErr w:type="spellEnd"/>
      <w:r>
        <w:rPr>
          <w:rFonts w:ascii="Book Antiqua" w:eastAsia="Book Antiqua" w:hAnsi="Book Antiqua" w:cs="Book Antiqua"/>
          <w:color w:val="000000"/>
        </w:rPr>
        <w:t xml:space="preserve"> JPH, </w:t>
      </w:r>
      <w:proofErr w:type="spellStart"/>
      <w:r>
        <w:rPr>
          <w:rFonts w:ascii="Book Antiqua" w:eastAsia="Book Antiqua" w:hAnsi="Book Antiqua" w:cs="Book Antiqua"/>
          <w:color w:val="000000"/>
        </w:rPr>
        <w:t>Hoentjen</w:t>
      </w:r>
      <w:proofErr w:type="spellEnd"/>
      <w:r>
        <w:rPr>
          <w:rFonts w:ascii="Book Antiqua" w:eastAsia="Book Antiqua" w:hAnsi="Book Antiqua" w:cs="Book Antiqua"/>
          <w:color w:val="000000"/>
        </w:rPr>
        <w:t xml:space="preserve"> F. Drug Survival and Immunogenicity </w:t>
      </w:r>
      <w:proofErr w:type="gramStart"/>
      <w:r>
        <w:rPr>
          <w:rFonts w:ascii="Book Antiqua" w:eastAsia="Book Antiqua" w:hAnsi="Book Antiqua" w:cs="Book Antiqua"/>
          <w:color w:val="000000"/>
        </w:rPr>
        <w:t>After Switching From</w:t>
      </w:r>
      <w:proofErr w:type="gramEnd"/>
      <w:r>
        <w:rPr>
          <w:rFonts w:ascii="Book Antiqua" w:eastAsia="Book Antiqua" w:hAnsi="Book Antiqua" w:cs="Book Antiqua"/>
          <w:color w:val="000000"/>
        </w:rPr>
        <w:t xml:space="preserve"> Remicade to Biosimilar CT-P13 in Inflammatory Bowel Disease Patients: Two-year Follow-up of a Prospective Observational Cohort Study. </w:t>
      </w:r>
      <w:proofErr w:type="spellStart"/>
      <w:r>
        <w:rPr>
          <w:rFonts w:ascii="Book Antiqua" w:eastAsia="Book Antiqua" w:hAnsi="Book Antiqua" w:cs="Book Antiqua"/>
          <w:i/>
          <w:iCs/>
          <w:color w:val="000000"/>
        </w:rPr>
        <w:t>Inflamm</w:t>
      </w:r>
      <w:proofErr w:type="spellEnd"/>
      <w:r>
        <w:rPr>
          <w:rFonts w:ascii="Book Antiqua" w:eastAsia="Book Antiqua" w:hAnsi="Book Antiqua" w:cs="Book Antiqua"/>
          <w:i/>
          <w:iCs/>
          <w:color w:val="000000"/>
        </w:rPr>
        <w:t xml:space="preserve"> Bowel Dis</w:t>
      </w:r>
      <w:r>
        <w:rPr>
          <w:rFonts w:ascii="Book Antiqua" w:eastAsia="Book Antiqua" w:hAnsi="Book Antiqua" w:cs="Book Antiqua"/>
          <w:color w:val="000000"/>
        </w:rPr>
        <w:t xml:space="preserve"> 2019; </w:t>
      </w:r>
      <w:r>
        <w:rPr>
          <w:rFonts w:ascii="Book Antiqua" w:eastAsia="Book Antiqua" w:hAnsi="Book Antiqua" w:cs="Book Antiqua"/>
          <w:b/>
          <w:bCs/>
          <w:color w:val="000000"/>
        </w:rPr>
        <w:t>25</w:t>
      </w:r>
      <w:r>
        <w:rPr>
          <w:rFonts w:ascii="Book Antiqua" w:eastAsia="Book Antiqua" w:hAnsi="Book Antiqua" w:cs="Book Antiqua"/>
          <w:color w:val="000000"/>
        </w:rPr>
        <w:t>: 172-179 [PMID: 29947795 DOI: 10.1093/</w:t>
      </w:r>
      <w:proofErr w:type="spellStart"/>
      <w:r>
        <w:rPr>
          <w:rFonts w:ascii="Book Antiqua" w:eastAsia="Book Antiqua" w:hAnsi="Book Antiqua" w:cs="Book Antiqua"/>
          <w:color w:val="000000"/>
        </w:rPr>
        <w:t>ibd</w:t>
      </w:r>
      <w:proofErr w:type="spellEnd"/>
      <w:r>
        <w:rPr>
          <w:rFonts w:ascii="Book Antiqua" w:eastAsia="Book Antiqua" w:hAnsi="Book Antiqua" w:cs="Book Antiqua"/>
          <w:color w:val="000000"/>
        </w:rPr>
        <w:t>/izy227]</w:t>
      </w:r>
    </w:p>
    <w:p w14:paraId="358ED144" w14:textId="77777777" w:rsidR="00A77B3E" w:rsidRDefault="005513F1" w:rsidP="00CA3946">
      <w:pPr>
        <w:spacing w:line="360" w:lineRule="auto"/>
        <w:jc w:val="both"/>
      </w:pPr>
      <w:r>
        <w:rPr>
          <w:rFonts w:ascii="Book Antiqua" w:eastAsia="Book Antiqua" w:hAnsi="Book Antiqua" w:cs="Book Antiqua"/>
          <w:color w:val="000000"/>
        </w:rPr>
        <w:t xml:space="preserve">31 </w:t>
      </w:r>
      <w:r>
        <w:rPr>
          <w:rFonts w:ascii="Book Antiqua" w:eastAsia="Book Antiqua" w:hAnsi="Book Antiqua" w:cs="Book Antiqua"/>
          <w:b/>
          <w:bCs/>
          <w:color w:val="000000"/>
        </w:rPr>
        <w:t>Argüelles-Arias F</w:t>
      </w:r>
      <w:r>
        <w:rPr>
          <w:rFonts w:ascii="Book Antiqua" w:eastAsia="Book Antiqua" w:hAnsi="Book Antiqua" w:cs="Book Antiqua"/>
          <w:color w:val="000000"/>
        </w:rPr>
        <w:t xml:space="preserve">, Guerra </w:t>
      </w:r>
      <w:proofErr w:type="spellStart"/>
      <w:r>
        <w:rPr>
          <w:rFonts w:ascii="Book Antiqua" w:eastAsia="Book Antiqua" w:hAnsi="Book Antiqua" w:cs="Book Antiqua"/>
          <w:color w:val="000000"/>
        </w:rPr>
        <w:t>Veloz</w:t>
      </w:r>
      <w:proofErr w:type="spellEnd"/>
      <w:r>
        <w:rPr>
          <w:rFonts w:ascii="Book Antiqua" w:eastAsia="Book Antiqua" w:hAnsi="Book Antiqua" w:cs="Book Antiqua"/>
          <w:color w:val="000000"/>
        </w:rPr>
        <w:t xml:space="preserve"> MF, </w:t>
      </w:r>
      <w:proofErr w:type="spellStart"/>
      <w:r>
        <w:rPr>
          <w:rFonts w:ascii="Book Antiqua" w:eastAsia="Book Antiqua" w:hAnsi="Book Antiqua" w:cs="Book Antiqua"/>
          <w:color w:val="000000"/>
        </w:rPr>
        <w:t>Perea</w:t>
      </w:r>
      <w:proofErr w:type="spellEnd"/>
      <w:r>
        <w:rPr>
          <w:rFonts w:ascii="Book Antiqua" w:eastAsia="Book Antiqua" w:hAnsi="Book Antiqua" w:cs="Book Antiqua"/>
          <w:color w:val="000000"/>
        </w:rPr>
        <w:t xml:space="preserve"> Amarillo R, </w:t>
      </w:r>
      <w:proofErr w:type="spellStart"/>
      <w:r>
        <w:rPr>
          <w:rFonts w:ascii="Book Antiqua" w:eastAsia="Book Antiqua" w:hAnsi="Book Antiqua" w:cs="Book Antiqua"/>
          <w:color w:val="000000"/>
        </w:rPr>
        <w:t>Vilches</w:t>
      </w:r>
      <w:proofErr w:type="spellEnd"/>
      <w:r>
        <w:rPr>
          <w:rFonts w:ascii="Book Antiqua" w:eastAsia="Book Antiqua" w:hAnsi="Book Antiqua" w:cs="Book Antiqua"/>
          <w:color w:val="000000"/>
        </w:rPr>
        <w:t xml:space="preserve">-Arenas A, Castro </w:t>
      </w:r>
      <w:proofErr w:type="spellStart"/>
      <w:r>
        <w:rPr>
          <w:rFonts w:ascii="Book Antiqua" w:eastAsia="Book Antiqua" w:hAnsi="Book Antiqua" w:cs="Book Antiqua"/>
          <w:color w:val="000000"/>
        </w:rPr>
        <w:t>Laria</w:t>
      </w:r>
      <w:proofErr w:type="spellEnd"/>
      <w:r>
        <w:rPr>
          <w:rFonts w:ascii="Book Antiqua" w:eastAsia="Book Antiqua" w:hAnsi="Book Antiqua" w:cs="Book Antiqua"/>
          <w:color w:val="000000"/>
        </w:rPr>
        <w:t xml:space="preserve"> L, Maldonado Pérez B, </w:t>
      </w:r>
      <w:proofErr w:type="spellStart"/>
      <w:r>
        <w:rPr>
          <w:rFonts w:ascii="Book Antiqua" w:eastAsia="Book Antiqua" w:hAnsi="Book Antiqua" w:cs="Book Antiqua"/>
          <w:color w:val="000000"/>
        </w:rPr>
        <w:t>Chaaro</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Benallal</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Benítez</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Roldán</w:t>
      </w:r>
      <w:proofErr w:type="spellEnd"/>
      <w:r>
        <w:rPr>
          <w:rFonts w:ascii="Book Antiqua" w:eastAsia="Book Antiqua" w:hAnsi="Book Antiqua" w:cs="Book Antiqua"/>
          <w:color w:val="000000"/>
        </w:rPr>
        <w:t xml:space="preserve"> A, Merino V, Ramirez G, </w:t>
      </w:r>
      <w:proofErr w:type="spellStart"/>
      <w:r>
        <w:rPr>
          <w:rFonts w:ascii="Book Antiqua" w:eastAsia="Book Antiqua" w:hAnsi="Book Antiqua" w:cs="Book Antiqua"/>
          <w:color w:val="000000"/>
        </w:rPr>
        <w:t>Calleja</w:t>
      </w:r>
      <w:proofErr w:type="spellEnd"/>
      <w:r>
        <w:rPr>
          <w:rFonts w:ascii="Book Antiqua" w:eastAsia="Book Antiqua" w:hAnsi="Book Antiqua" w:cs="Book Antiqua"/>
          <w:color w:val="000000"/>
        </w:rPr>
        <w:t xml:space="preserve">-Hernández MA, </w:t>
      </w:r>
      <w:proofErr w:type="spellStart"/>
      <w:r>
        <w:rPr>
          <w:rFonts w:ascii="Book Antiqua" w:eastAsia="Book Antiqua" w:hAnsi="Book Antiqua" w:cs="Book Antiqua"/>
          <w:color w:val="000000"/>
        </w:rPr>
        <w:t>Caunedo</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Álvarez</w:t>
      </w:r>
      <w:proofErr w:type="spellEnd"/>
      <w:r>
        <w:rPr>
          <w:rFonts w:ascii="Book Antiqua" w:eastAsia="Book Antiqua" w:hAnsi="Book Antiqua" w:cs="Book Antiqua"/>
          <w:color w:val="000000"/>
        </w:rPr>
        <w:t xml:space="preserve"> A, Romero Gómez M. Switching from reference infliximab to CT-P13 in patients with inflammatory bowel disease: 12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results. </w:t>
      </w:r>
      <w:r>
        <w:rPr>
          <w:rFonts w:ascii="Book Antiqua" w:eastAsia="Book Antiqua" w:hAnsi="Book Antiqua" w:cs="Book Antiqua"/>
          <w:i/>
          <w:iCs/>
          <w:color w:val="000000"/>
        </w:rPr>
        <w:t>Eur J Gastroenterol Hepatol</w:t>
      </w:r>
      <w:r>
        <w:rPr>
          <w:rFonts w:ascii="Book Antiqua" w:eastAsia="Book Antiqua" w:hAnsi="Book Antiqua" w:cs="Book Antiqua"/>
          <w:color w:val="000000"/>
        </w:rPr>
        <w:t xml:space="preserve"> 2017; </w:t>
      </w:r>
      <w:r>
        <w:rPr>
          <w:rFonts w:ascii="Book Antiqua" w:eastAsia="Book Antiqua" w:hAnsi="Book Antiqua" w:cs="Book Antiqua"/>
          <w:b/>
          <w:bCs/>
          <w:color w:val="000000"/>
        </w:rPr>
        <w:t>29</w:t>
      </w:r>
      <w:r>
        <w:rPr>
          <w:rFonts w:ascii="Book Antiqua" w:eastAsia="Book Antiqua" w:hAnsi="Book Antiqua" w:cs="Book Antiqua"/>
          <w:color w:val="000000"/>
        </w:rPr>
        <w:t>: 1290-1295 [PMID: 28902041 DOI: 10.1097/MEG.0000000000000953]</w:t>
      </w:r>
    </w:p>
    <w:p w14:paraId="42FEE21D" w14:textId="77777777" w:rsidR="00A77B3E" w:rsidRDefault="005513F1" w:rsidP="00CA3946">
      <w:pPr>
        <w:spacing w:line="360" w:lineRule="auto"/>
        <w:jc w:val="both"/>
      </w:pPr>
      <w:r>
        <w:rPr>
          <w:rFonts w:ascii="Book Antiqua" w:eastAsia="Book Antiqua" w:hAnsi="Book Antiqua" w:cs="Book Antiqua"/>
          <w:color w:val="000000"/>
        </w:rPr>
        <w:t xml:space="preserve">32 </w:t>
      </w:r>
      <w:r>
        <w:rPr>
          <w:rFonts w:ascii="Book Antiqua" w:eastAsia="Book Antiqua" w:hAnsi="Book Antiqua" w:cs="Book Antiqua"/>
          <w:b/>
          <w:bCs/>
          <w:color w:val="000000"/>
        </w:rPr>
        <w:t>Argüelles-Arias F</w:t>
      </w:r>
      <w:r>
        <w:rPr>
          <w:rFonts w:ascii="Book Antiqua" w:eastAsia="Book Antiqua" w:hAnsi="Book Antiqua" w:cs="Book Antiqua"/>
          <w:color w:val="000000"/>
        </w:rPr>
        <w:t xml:space="preserve">, Guerra </w:t>
      </w:r>
      <w:proofErr w:type="spellStart"/>
      <w:r>
        <w:rPr>
          <w:rFonts w:ascii="Book Antiqua" w:eastAsia="Book Antiqua" w:hAnsi="Book Antiqua" w:cs="Book Antiqua"/>
          <w:color w:val="000000"/>
        </w:rPr>
        <w:t>Veloz</w:t>
      </w:r>
      <w:proofErr w:type="spellEnd"/>
      <w:r>
        <w:rPr>
          <w:rFonts w:ascii="Book Antiqua" w:eastAsia="Book Antiqua" w:hAnsi="Book Antiqua" w:cs="Book Antiqua"/>
          <w:color w:val="000000"/>
        </w:rPr>
        <w:t xml:space="preserve"> MF, </w:t>
      </w:r>
      <w:proofErr w:type="spellStart"/>
      <w:r>
        <w:rPr>
          <w:rFonts w:ascii="Book Antiqua" w:eastAsia="Book Antiqua" w:hAnsi="Book Antiqua" w:cs="Book Antiqua"/>
          <w:color w:val="000000"/>
        </w:rPr>
        <w:t>Perea</w:t>
      </w:r>
      <w:proofErr w:type="spellEnd"/>
      <w:r>
        <w:rPr>
          <w:rFonts w:ascii="Book Antiqua" w:eastAsia="Book Antiqua" w:hAnsi="Book Antiqua" w:cs="Book Antiqua"/>
          <w:color w:val="000000"/>
        </w:rPr>
        <w:t xml:space="preserve"> Amarillo R, </w:t>
      </w:r>
      <w:proofErr w:type="spellStart"/>
      <w:r>
        <w:rPr>
          <w:rFonts w:ascii="Book Antiqua" w:eastAsia="Book Antiqua" w:hAnsi="Book Antiqua" w:cs="Book Antiqua"/>
          <w:color w:val="000000"/>
        </w:rPr>
        <w:t>Vilches</w:t>
      </w:r>
      <w:proofErr w:type="spellEnd"/>
      <w:r>
        <w:rPr>
          <w:rFonts w:ascii="Book Antiqua" w:eastAsia="Book Antiqua" w:hAnsi="Book Antiqua" w:cs="Book Antiqua"/>
          <w:color w:val="000000"/>
        </w:rPr>
        <w:t xml:space="preserve">-Arenas A, Castro </w:t>
      </w:r>
      <w:proofErr w:type="spellStart"/>
      <w:r>
        <w:rPr>
          <w:rFonts w:ascii="Book Antiqua" w:eastAsia="Book Antiqua" w:hAnsi="Book Antiqua" w:cs="Book Antiqua"/>
          <w:color w:val="000000"/>
        </w:rPr>
        <w:t>Laria</w:t>
      </w:r>
      <w:proofErr w:type="spellEnd"/>
      <w:r>
        <w:rPr>
          <w:rFonts w:ascii="Book Antiqua" w:eastAsia="Book Antiqua" w:hAnsi="Book Antiqua" w:cs="Book Antiqua"/>
          <w:color w:val="000000"/>
        </w:rPr>
        <w:t xml:space="preserve"> L, Maldonado Pérez B, </w:t>
      </w:r>
      <w:proofErr w:type="spellStart"/>
      <w:r>
        <w:rPr>
          <w:rFonts w:ascii="Book Antiqua" w:eastAsia="Book Antiqua" w:hAnsi="Book Antiqua" w:cs="Book Antiqua"/>
          <w:color w:val="000000"/>
        </w:rPr>
        <w:t>Chaaro</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Benítez</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Roldán</w:t>
      </w:r>
      <w:proofErr w:type="spellEnd"/>
      <w:r>
        <w:rPr>
          <w:rFonts w:ascii="Book Antiqua" w:eastAsia="Book Antiqua" w:hAnsi="Book Antiqua" w:cs="Book Antiqua"/>
          <w:color w:val="000000"/>
        </w:rPr>
        <w:t xml:space="preserve"> A, Merino V, </w:t>
      </w:r>
      <w:proofErr w:type="spellStart"/>
      <w:r>
        <w:rPr>
          <w:rFonts w:ascii="Book Antiqua" w:eastAsia="Book Antiqua" w:hAnsi="Book Antiqua" w:cs="Book Antiqua"/>
          <w:color w:val="000000"/>
        </w:rPr>
        <w:t>Ramírez</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Caunedo</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Álvarez</w:t>
      </w:r>
      <w:proofErr w:type="spellEnd"/>
      <w:r>
        <w:rPr>
          <w:rFonts w:ascii="Book Antiqua" w:eastAsia="Book Antiqua" w:hAnsi="Book Antiqua" w:cs="Book Antiqua"/>
          <w:color w:val="000000"/>
        </w:rPr>
        <w:t xml:space="preserve"> A, Romero Gómez M. Effectiveness and Safety of CT-P13 (Biosimilar Infliximab) in Patients with Inflammatory Bowel Disease in Real Life at 6 Months. </w:t>
      </w:r>
      <w:r>
        <w:rPr>
          <w:rFonts w:ascii="Book Antiqua" w:eastAsia="Book Antiqua" w:hAnsi="Book Antiqua" w:cs="Book Antiqua"/>
          <w:i/>
          <w:iCs/>
          <w:color w:val="000000"/>
        </w:rPr>
        <w:t>Dig Dis Sci</w:t>
      </w:r>
      <w:r>
        <w:rPr>
          <w:rFonts w:ascii="Book Antiqua" w:eastAsia="Book Antiqua" w:hAnsi="Book Antiqua" w:cs="Book Antiqua"/>
          <w:color w:val="000000"/>
        </w:rPr>
        <w:t xml:space="preserve"> 2017; </w:t>
      </w:r>
      <w:r>
        <w:rPr>
          <w:rFonts w:ascii="Book Antiqua" w:eastAsia="Book Antiqua" w:hAnsi="Book Antiqua" w:cs="Book Antiqua"/>
          <w:b/>
          <w:bCs/>
          <w:color w:val="000000"/>
        </w:rPr>
        <w:t>62</w:t>
      </w:r>
      <w:r>
        <w:rPr>
          <w:rFonts w:ascii="Book Antiqua" w:eastAsia="Book Antiqua" w:hAnsi="Book Antiqua" w:cs="Book Antiqua"/>
          <w:color w:val="000000"/>
        </w:rPr>
        <w:t>: 1305-1312 [PMID: 28281165 DOI: 10.1007/s10620-017-4511-4]</w:t>
      </w:r>
    </w:p>
    <w:p w14:paraId="47354628" w14:textId="77777777" w:rsidR="00A77B3E" w:rsidRDefault="005513F1" w:rsidP="00CA3946">
      <w:pPr>
        <w:spacing w:line="360" w:lineRule="auto"/>
        <w:jc w:val="both"/>
      </w:pPr>
      <w:r>
        <w:rPr>
          <w:rFonts w:ascii="Book Antiqua" w:eastAsia="Book Antiqua" w:hAnsi="Book Antiqua" w:cs="Book Antiqua"/>
          <w:color w:val="000000"/>
        </w:rPr>
        <w:lastRenderedPageBreak/>
        <w:t xml:space="preserve">33 </w:t>
      </w:r>
      <w:r>
        <w:rPr>
          <w:rFonts w:ascii="Book Antiqua" w:eastAsia="Book Antiqua" w:hAnsi="Book Antiqua" w:cs="Book Antiqua"/>
          <w:b/>
          <w:bCs/>
          <w:color w:val="000000"/>
        </w:rPr>
        <w:t>Kolar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Duricova</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Bortlik</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Hruba</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Machkova</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Mitrova</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Malickova</w:t>
      </w:r>
      <w:proofErr w:type="spellEnd"/>
      <w:r>
        <w:rPr>
          <w:rFonts w:ascii="Book Antiqua" w:eastAsia="Book Antiqua" w:hAnsi="Book Antiqua" w:cs="Book Antiqua"/>
          <w:color w:val="000000"/>
        </w:rPr>
        <w:t xml:space="preserve"> K, Lukas M Jr, Lukas M. Infliximab Biosimilar (</w:t>
      </w:r>
      <w:proofErr w:type="spellStart"/>
      <w:r>
        <w:rPr>
          <w:rFonts w:ascii="Book Antiqua" w:eastAsia="Book Antiqua" w:hAnsi="Book Antiqua" w:cs="Book Antiqua"/>
          <w:color w:val="000000"/>
        </w:rPr>
        <w:t>Remsima</w:t>
      </w:r>
      <w:proofErr w:type="spellEnd"/>
      <w:r>
        <w:rPr>
          <w:rFonts w:ascii="Book Antiqua" w:eastAsia="Book Antiqua" w:hAnsi="Book Antiqua" w:cs="Book Antiqua"/>
          <w:color w:val="000000"/>
        </w:rPr>
        <w:t xml:space="preserve">™) in Therapy of Inflammatory Bowel Diseases Patients: Experience from One Tertiary Inflammatory Bowel Diseases Centre. </w:t>
      </w:r>
      <w:r>
        <w:rPr>
          <w:rFonts w:ascii="Book Antiqua" w:eastAsia="Book Antiqua" w:hAnsi="Book Antiqua" w:cs="Book Antiqua"/>
          <w:i/>
          <w:iCs/>
          <w:color w:val="000000"/>
        </w:rPr>
        <w:t>Dig Dis</w:t>
      </w:r>
      <w:r>
        <w:rPr>
          <w:rFonts w:ascii="Book Antiqua" w:eastAsia="Book Antiqua" w:hAnsi="Book Antiqua" w:cs="Book Antiqua"/>
          <w:color w:val="000000"/>
        </w:rPr>
        <w:t xml:space="preserve"> 2017; </w:t>
      </w:r>
      <w:r>
        <w:rPr>
          <w:rFonts w:ascii="Book Antiqua" w:eastAsia="Book Antiqua" w:hAnsi="Book Antiqua" w:cs="Book Antiqua"/>
          <w:b/>
          <w:bCs/>
          <w:color w:val="000000"/>
        </w:rPr>
        <w:t>35</w:t>
      </w:r>
      <w:r>
        <w:rPr>
          <w:rFonts w:ascii="Book Antiqua" w:eastAsia="Book Antiqua" w:hAnsi="Book Antiqua" w:cs="Book Antiqua"/>
          <w:color w:val="000000"/>
        </w:rPr>
        <w:t>: 91-100 [PMID: 28147356 DOI: 10.1159/000453343]</w:t>
      </w:r>
    </w:p>
    <w:p w14:paraId="61D13B47" w14:textId="77777777" w:rsidR="00A77B3E" w:rsidRDefault="005513F1" w:rsidP="00CA3946">
      <w:pPr>
        <w:spacing w:line="360" w:lineRule="auto"/>
        <w:jc w:val="both"/>
      </w:pPr>
      <w:r>
        <w:rPr>
          <w:rFonts w:ascii="Book Antiqua" w:eastAsia="Book Antiqua" w:hAnsi="Book Antiqua" w:cs="Book Antiqua"/>
          <w:color w:val="000000"/>
        </w:rPr>
        <w:t xml:space="preserve">34 </w:t>
      </w:r>
      <w:r>
        <w:rPr>
          <w:rFonts w:ascii="Book Antiqua" w:eastAsia="Book Antiqua" w:hAnsi="Book Antiqua" w:cs="Book Antiqua"/>
          <w:b/>
          <w:bCs/>
          <w:color w:val="000000"/>
        </w:rPr>
        <w:t>Bergqvist V</w:t>
      </w:r>
      <w:r>
        <w:rPr>
          <w:rFonts w:ascii="Book Antiqua" w:eastAsia="Book Antiqua" w:hAnsi="Book Antiqua" w:cs="Book Antiqua"/>
          <w:color w:val="000000"/>
        </w:rPr>
        <w:t xml:space="preserve">, Kadivar M, Molin D, </w:t>
      </w:r>
      <w:proofErr w:type="spellStart"/>
      <w:r>
        <w:rPr>
          <w:rFonts w:ascii="Book Antiqua" w:eastAsia="Book Antiqua" w:hAnsi="Book Antiqua" w:cs="Book Antiqua"/>
          <w:color w:val="000000"/>
        </w:rPr>
        <w:t>Angelison</w:t>
      </w:r>
      <w:proofErr w:type="spellEnd"/>
      <w:r>
        <w:rPr>
          <w:rFonts w:ascii="Book Antiqua" w:eastAsia="Book Antiqua" w:hAnsi="Book Antiqua" w:cs="Book Antiqua"/>
          <w:color w:val="000000"/>
        </w:rPr>
        <w:t xml:space="preserve"> L, Hammarlund P, Olin M, Torp J, Grip O, </w:t>
      </w:r>
      <w:proofErr w:type="spellStart"/>
      <w:r>
        <w:rPr>
          <w:rFonts w:ascii="Book Antiqua" w:eastAsia="Book Antiqua" w:hAnsi="Book Antiqua" w:cs="Book Antiqua"/>
          <w:color w:val="000000"/>
        </w:rPr>
        <w:t>Nilson</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Hertervig</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Lillienau</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Marsal</w:t>
      </w:r>
      <w:proofErr w:type="spellEnd"/>
      <w:r>
        <w:rPr>
          <w:rFonts w:ascii="Book Antiqua" w:eastAsia="Book Antiqua" w:hAnsi="Book Antiqua" w:cs="Book Antiqua"/>
          <w:color w:val="000000"/>
        </w:rPr>
        <w:t xml:space="preserve"> J. Switching from originator infliximab to the biosimilar CT-P13 in 313 patients with inflammatory bowel disease. </w:t>
      </w:r>
      <w:proofErr w:type="spellStart"/>
      <w:r>
        <w:rPr>
          <w:rFonts w:ascii="Book Antiqua" w:eastAsia="Book Antiqua" w:hAnsi="Book Antiqua" w:cs="Book Antiqua"/>
          <w:i/>
          <w:iCs/>
          <w:color w:val="000000"/>
        </w:rPr>
        <w:t>Therap</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Adv</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Gastroenterol</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11</w:t>
      </w:r>
      <w:r>
        <w:rPr>
          <w:rFonts w:ascii="Book Antiqua" w:eastAsia="Book Antiqua" w:hAnsi="Book Antiqua" w:cs="Book Antiqua"/>
          <w:color w:val="000000"/>
        </w:rPr>
        <w:t>: 1756284818801244 [PMID: 30344642 DOI: 10.1177/1756284818801244]</w:t>
      </w:r>
    </w:p>
    <w:p w14:paraId="32DC0F53" w14:textId="77777777" w:rsidR="00A77B3E" w:rsidRPr="00D42AC1" w:rsidRDefault="005513F1" w:rsidP="00CA3946">
      <w:pPr>
        <w:spacing w:line="360" w:lineRule="auto"/>
        <w:jc w:val="both"/>
        <w:rPr>
          <w:lang w:val="pt-BR"/>
        </w:rPr>
      </w:pPr>
      <w:r>
        <w:rPr>
          <w:rFonts w:ascii="Book Antiqua" w:eastAsia="Book Antiqua" w:hAnsi="Book Antiqua" w:cs="Book Antiqua"/>
          <w:color w:val="000000"/>
        </w:rPr>
        <w:t xml:space="preserve">35 </w:t>
      </w:r>
      <w:proofErr w:type="spellStart"/>
      <w:r>
        <w:rPr>
          <w:rFonts w:ascii="Book Antiqua" w:eastAsia="Book Antiqua" w:hAnsi="Book Antiqua" w:cs="Book Antiqua"/>
          <w:b/>
          <w:bCs/>
          <w:color w:val="000000"/>
        </w:rPr>
        <w:t>Jørgensen</w:t>
      </w:r>
      <w:proofErr w:type="spellEnd"/>
      <w:r>
        <w:rPr>
          <w:rFonts w:ascii="Book Antiqua" w:eastAsia="Book Antiqua" w:hAnsi="Book Antiqua" w:cs="Book Antiqua"/>
          <w:b/>
          <w:bCs/>
          <w:color w:val="000000"/>
        </w:rPr>
        <w:t xml:space="preserve"> KK</w:t>
      </w:r>
      <w:r>
        <w:rPr>
          <w:rFonts w:ascii="Book Antiqua" w:eastAsia="Book Antiqua" w:hAnsi="Book Antiqua" w:cs="Book Antiqua"/>
          <w:color w:val="000000"/>
        </w:rPr>
        <w:t xml:space="preserve">, Olsen IC, </w:t>
      </w:r>
      <w:proofErr w:type="spellStart"/>
      <w:r>
        <w:rPr>
          <w:rFonts w:ascii="Book Antiqua" w:eastAsia="Book Antiqua" w:hAnsi="Book Antiqua" w:cs="Book Antiqua"/>
          <w:color w:val="000000"/>
        </w:rPr>
        <w:t>Goll</w:t>
      </w:r>
      <w:proofErr w:type="spellEnd"/>
      <w:r>
        <w:rPr>
          <w:rFonts w:ascii="Book Antiqua" w:eastAsia="Book Antiqua" w:hAnsi="Book Antiqua" w:cs="Book Antiqua"/>
          <w:color w:val="000000"/>
        </w:rPr>
        <w:t xml:space="preserve"> GL, </w:t>
      </w:r>
      <w:proofErr w:type="spellStart"/>
      <w:r>
        <w:rPr>
          <w:rFonts w:ascii="Book Antiqua" w:eastAsia="Book Antiqua" w:hAnsi="Book Antiqua" w:cs="Book Antiqua"/>
          <w:color w:val="000000"/>
        </w:rPr>
        <w:t>Lorentzen</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Bolstad</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Haavardsholm</w:t>
      </w:r>
      <w:proofErr w:type="spellEnd"/>
      <w:r>
        <w:rPr>
          <w:rFonts w:ascii="Book Antiqua" w:eastAsia="Book Antiqua" w:hAnsi="Book Antiqua" w:cs="Book Antiqua"/>
          <w:color w:val="000000"/>
        </w:rPr>
        <w:t xml:space="preserve"> EA, Lundin KEA, </w:t>
      </w:r>
      <w:proofErr w:type="spellStart"/>
      <w:r>
        <w:rPr>
          <w:rFonts w:ascii="Book Antiqua" w:eastAsia="Book Antiqua" w:hAnsi="Book Antiqua" w:cs="Book Antiqua"/>
          <w:color w:val="000000"/>
        </w:rPr>
        <w:t>Mørk</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Jahnsen</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Kvien</w:t>
      </w:r>
      <w:proofErr w:type="spellEnd"/>
      <w:r>
        <w:rPr>
          <w:rFonts w:ascii="Book Antiqua" w:eastAsia="Book Antiqua" w:hAnsi="Book Antiqua" w:cs="Book Antiqua"/>
          <w:color w:val="000000"/>
        </w:rPr>
        <w:t xml:space="preserve"> TK; NOR-SWITCH study group. Switching from originator infliximab to biosimilar CT-P13 compared with maintained treatment with originator infliximab (NOR-SWITCH): a 52-week, </w:t>
      </w:r>
      <w:proofErr w:type="spellStart"/>
      <w:r>
        <w:rPr>
          <w:rFonts w:ascii="Book Antiqua" w:eastAsia="Book Antiqua" w:hAnsi="Book Antiqua" w:cs="Book Antiqua"/>
          <w:color w:val="000000"/>
        </w:rPr>
        <w:t>randomised</w:t>
      </w:r>
      <w:proofErr w:type="spellEnd"/>
      <w:r>
        <w:rPr>
          <w:rFonts w:ascii="Book Antiqua" w:eastAsia="Book Antiqua" w:hAnsi="Book Antiqua" w:cs="Book Antiqua"/>
          <w:color w:val="000000"/>
        </w:rPr>
        <w:t xml:space="preserve">, double-blind, non-inferiority trial. </w:t>
      </w:r>
      <w:r w:rsidRPr="00D42AC1">
        <w:rPr>
          <w:rFonts w:ascii="Book Antiqua" w:eastAsia="Book Antiqua" w:hAnsi="Book Antiqua" w:cs="Book Antiqua"/>
          <w:i/>
          <w:iCs/>
          <w:color w:val="000000"/>
          <w:lang w:val="pt-BR"/>
        </w:rPr>
        <w:t>Lancet</w:t>
      </w:r>
      <w:r w:rsidRPr="00D42AC1">
        <w:rPr>
          <w:rFonts w:ascii="Book Antiqua" w:eastAsia="Book Antiqua" w:hAnsi="Book Antiqua" w:cs="Book Antiqua"/>
          <w:color w:val="000000"/>
          <w:lang w:val="pt-BR"/>
        </w:rPr>
        <w:t xml:space="preserve"> 2017; </w:t>
      </w:r>
      <w:r w:rsidRPr="00D42AC1">
        <w:rPr>
          <w:rFonts w:ascii="Book Antiqua" w:eastAsia="Book Antiqua" w:hAnsi="Book Antiqua" w:cs="Book Antiqua"/>
          <w:b/>
          <w:bCs/>
          <w:color w:val="000000"/>
          <w:lang w:val="pt-BR"/>
        </w:rPr>
        <w:t>389</w:t>
      </w:r>
      <w:r w:rsidRPr="00D42AC1">
        <w:rPr>
          <w:rFonts w:ascii="Book Antiqua" w:eastAsia="Book Antiqua" w:hAnsi="Book Antiqua" w:cs="Book Antiqua"/>
          <w:color w:val="000000"/>
          <w:lang w:val="pt-BR"/>
        </w:rPr>
        <w:t>: 2304-2316 [PMID: 28502609 DOI: 10.1016/S0140-6736(17)30068-5]</w:t>
      </w:r>
    </w:p>
    <w:p w14:paraId="3F44B8A5" w14:textId="77777777" w:rsidR="00A77B3E" w:rsidRDefault="005513F1" w:rsidP="00CA3946">
      <w:pPr>
        <w:spacing w:line="360" w:lineRule="auto"/>
        <w:jc w:val="both"/>
      </w:pPr>
      <w:r w:rsidRPr="00CE7110">
        <w:rPr>
          <w:rFonts w:ascii="Book Antiqua" w:eastAsia="Book Antiqua" w:hAnsi="Book Antiqua" w:cs="Book Antiqua"/>
          <w:color w:val="000000"/>
          <w:lang w:val="pt-BR"/>
        </w:rPr>
        <w:t xml:space="preserve">36 </w:t>
      </w:r>
      <w:r w:rsidRPr="00CE7110">
        <w:rPr>
          <w:rFonts w:ascii="Book Antiqua" w:eastAsia="Book Antiqua" w:hAnsi="Book Antiqua" w:cs="Book Antiqua"/>
          <w:b/>
          <w:bCs/>
          <w:color w:val="000000"/>
          <w:lang w:val="pt-BR"/>
        </w:rPr>
        <w:t>Ilias A</w:t>
      </w:r>
      <w:r w:rsidRPr="00CE7110">
        <w:rPr>
          <w:rFonts w:ascii="Book Antiqua" w:eastAsia="Book Antiqua" w:hAnsi="Book Antiqua" w:cs="Book Antiqua"/>
          <w:color w:val="000000"/>
          <w:lang w:val="pt-BR"/>
        </w:rPr>
        <w:t xml:space="preserve">, Gonczi L, Kurti Z, Lakatos PL. </w:t>
      </w:r>
      <w:r>
        <w:rPr>
          <w:rFonts w:ascii="Book Antiqua" w:eastAsia="Book Antiqua" w:hAnsi="Book Antiqua" w:cs="Book Antiqua"/>
          <w:color w:val="000000"/>
        </w:rPr>
        <w:t xml:space="preserve">Biosimilars in ulcerative colitis: When and for who? </w:t>
      </w:r>
      <w:r>
        <w:rPr>
          <w:rFonts w:ascii="Book Antiqua" w:eastAsia="Book Antiqua" w:hAnsi="Book Antiqua" w:cs="Book Antiqua"/>
          <w:i/>
          <w:iCs/>
          <w:color w:val="000000"/>
        </w:rPr>
        <w:t xml:space="preserve">Best </w:t>
      </w:r>
      <w:proofErr w:type="spellStart"/>
      <w:r>
        <w:rPr>
          <w:rFonts w:ascii="Book Antiqua" w:eastAsia="Book Antiqua" w:hAnsi="Book Antiqua" w:cs="Book Antiqua"/>
          <w:i/>
          <w:iCs/>
          <w:color w:val="000000"/>
        </w:rPr>
        <w:t>Pract</w:t>
      </w:r>
      <w:proofErr w:type="spellEnd"/>
      <w:r>
        <w:rPr>
          <w:rFonts w:ascii="Book Antiqua" w:eastAsia="Book Antiqua" w:hAnsi="Book Antiqua" w:cs="Book Antiqua"/>
          <w:i/>
          <w:iCs/>
          <w:color w:val="000000"/>
        </w:rPr>
        <w:t xml:space="preserve"> Res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Gastroenterol</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32-33</w:t>
      </w:r>
      <w:r>
        <w:rPr>
          <w:rFonts w:ascii="Book Antiqua" w:eastAsia="Book Antiqua" w:hAnsi="Book Antiqua" w:cs="Book Antiqua"/>
          <w:color w:val="000000"/>
        </w:rPr>
        <w:t>: 35-42 [PMID: 30060937 DOI: 10.1016/j.bpg.2018.05.003]</w:t>
      </w:r>
    </w:p>
    <w:p w14:paraId="4A6C7572" w14:textId="77777777" w:rsidR="00A77B3E" w:rsidRDefault="005513F1" w:rsidP="00CA3946">
      <w:pPr>
        <w:spacing w:line="360" w:lineRule="auto"/>
        <w:jc w:val="both"/>
      </w:pPr>
      <w:r>
        <w:rPr>
          <w:rFonts w:ascii="Book Antiqua" w:eastAsia="Book Antiqua" w:hAnsi="Book Antiqua" w:cs="Book Antiqua"/>
          <w:color w:val="000000"/>
        </w:rPr>
        <w:t xml:space="preserve">37 </w:t>
      </w:r>
      <w:proofErr w:type="spellStart"/>
      <w:r>
        <w:rPr>
          <w:rFonts w:ascii="Book Antiqua" w:eastAsia="Book Antiqua" w:hAnsi="Book Antiqua" w:cs="Book Antiqua"/>
          <w:b/>
          <w:bCs/>
          <w:color w:val="000000"/>
        </w:rPr>
        <w:t>Gomollón</w:t>
      </w:r>
      <w:proofErr w:type="spellEnd"/>
      <w:r>
        <w:rPr>
          <w:rFonts w:ascii="Book Antiqua" w:eastAsia="Book Antiqua" w:hAnsi="Book Antiqua" w:cs="Book Antiqua"/>
          <w:b/>
          <w:bCs/>
          <w:color w:val="000000"/>
        </w:rPr>
        <w:t xml:space="preserve"> F</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Dignass</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Annese</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Tilg</w:t>
      </w:r>
      <w:proofErr w:type="spellEnd"/>
      <w:r>
        <w:rPr>
          <w:rFonts w:ascii="Book Antiqua" w:eastAsia="Book Antiqua" w:hAnsi="Book Antiqua" w:cs="Book Antiqua"/>
          <w:color w:val="000000"/>
        </w:rPr>
        <w:t xml:space="preserve"> H, Van </w:t>
      </w:r>
      <w:proofErr w:type="spellStart"/>
      <w:r>
        <w:rPr>
          <w:rFonts w:ascii="Book Antiqua" w:eastAsia="Book Antiqua" w:hAnsi="Book Antiqua" w:cs="Book Antiqua"/>
          <w:color w:val="000000"/>
        </w:rPr>
        <w:t>Assche</w:t>
      </w:r>
      <w:proofErr w:type="spellEnd"/>
      <w:r>
        <w:rPr>
          <w:rFonts w:ascii="Book Antiqua" w:eastAsia="Book Antiqua" w:hAnsi="Book Antiqua" w:cs="Book Antiqua"/>
          <w:color w:val="000000"/>
        </w:rPr>
        <w:t xml:space="preserve"> G, Lindsay JO, </w:t>
      </w:r>
      <w:proofErr w:type="spellStart"/>
      <w:r>
        <w:rPr>
          <w:rFonts w:ascii="Book Antiqua" w:eastAsia="Book Antiqua" w:hAnsi="Book Antiqua" w:cs="Book Antiqua"/>
          <w:color w:val="000000"/>
        </w:rPr>
        <w:t>Peyrin-Biroulet</w:t>
      </w:r>
      <w:proofErr w:type="spellEnd"/>
      <w:r>
        <w:rPr>
          <w:rFonts w:ascii="Book Antiqua" w:eastAsia="Book Antiqua" w:hAnsi="Book Antiqua" w:cs="Book Antiqua"/>
          <w:color w:val="000000"/>
        </w:rPr>
        <w:t xml:space="preserve"> L, Cullen GJ, </w:t>
      </w:r>
      <w:proofErr w:type="spellStart"/>
      <w:r>
        <w:rPr>
          <w:rFonts w:ascii="Book Antiqua" w:eastAsia="Book Antiqua" w:hAnsi="Book Antiqua" w:cs="Book Antiqua"/>
          <w:color w:val="000000"/>
        </w:rPr>
        <w:t>Daperno</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Kucharzik</w:t>
      </w:r>
      <w:proofErr w:type="spellEnd"/>
      <w:r>
        <w:rPr>
          <w:rFonts w:ascii="Book Antiqua" w:eastAsia="Book Antiqua" w:hAnsi="Book Antiqua" w:cs="Book Antiqua"/>
          <w:color w:val="000000"/>
        </w:rPr>
        <w:t xml:space="preserve"> T, Rieder F, </w:t>
      </w:r>
      <w:proofErr w:type="spellStart"/>
      <w:r>
        <w:rPr>
          <w:rFonts w:ascii="Book Antiqua" w:eastAsia="Book Antiqua" w:hAnsi="Book Antiqua" w:cs="Book Antiqua"/>
          <w:color w:val="000000"/>
        </w:rPr>
        <w:t>Almer</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Armuzzi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Harbord</w:t>
      </w:r>
      <w:proofErr w:type="spellEnd"/>
      <w:r>
        <w:rPr>
          <w:rFonts w:ascii="Book Antiqua" w:eastAsia="Book Antiqua" w:hAnsi="Book Antiqua" w:cs="Book Antiqua"/>
          <w:color w:val="000000"/>
        </w:rPr>
        <w:t xml:space="preserve"> M, Langhorst J, Sans M, </w:t>
      </w:r>
      <w:proofErr w:type="spellStart"/>
      <w:r>
        <w:rPr>
          <w:rFonts w:ascii="Book Antiqua" w:eastAsia="Book Antiqua" w:hAnsi="Book Antiqua" w:cs="Book Antiqua"/>
          <w:color w:val="000000"/>
        </w:rPr>
        <w:t>Chowers</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Fiorino</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Juillerat</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Mantzaris</w:t>
      </w:r>
      <w:proofErr w:type="spellEnd"/>
      <w:r>
        <w:rPr>
          <w:rFonts w:ascii="Book Antiqua" w:eastAsia="Book Antiqua" w:hAnsi="Book Antiqua" w:cs="Book Antiqua"/>
          <w:color w:val="000000"/>
        </w:rPr>
        <w:t xml:space="preserve"> GJ, </w:t>
      </w:r>
      <w:proofErr w:type="spellStart"/>
      <w:r>
        <w:rPr>
          <w:rFonts w:ascii="Book Antiqua" w:eastAsia="Book Antiqua" w:hAnsi="Book Antiqua" w:cs="Book Antiqua"/>
          <w:color w:val="000000"/>
        </w:rPr>
        <w:t>Rizzello</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Vavricka</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Gionchetti</w:t>
      </w:r>
      <w:proofErr w:type="spellEnd"/>
      <w:r>
        <w:rPr>
          <w:rFonts w:ascii="Book Antiqua" w:eastAsia="Book Antiqua" w:hAnsi="Book Antiqua" w:cs="Book Antiqua"/>
          <w:color w:val="000000"/>
        </w:rPr>
        <w:t xml:space="preserve"> P; ECCO. 3rd European Evidence-based Consensus on the Diagnosis and Management of Crohn's Disease 2016: Part 1: Diagnosis and Medical Management.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Crohns</w:t>
      </w:r>
      <w:proofErr w:type="spellEnd"/>
      <w:r>
        <w:rPr>
          <w:rFonts w:ascii="Book Antiqua" w:eastAsia="Book Antiqua" w:hAnsi="Book Antiqua" w:cs="Book Antiqua"/>
          <w:i/>
          <w:iCs/>
          <w:color w:val="000000"/>
        </w:rPr>
        <w:t xml:space="preserve"> Colitis</w:t>
      </w:r>
      <w:r>
        <w:rPr>
          <w:rFonts w:ascii="Book Antiqua" w:eastAsia="Book Antiqua" w:hAnsi="Book Antiqua" w:cs="Book Antiqua"/>
          <w:color w:val="000000"/>
        </w:rPr>
        <w:t xml:space="preserve"> 2017; </w:t>
      </w:r>
      <w:r>
        <w:rPr>
          <w:rFonts w:ascii="Book Antiqua" w:eastAsia="Book Antiqua" w:hAnsi="Book Antiqua" w:cs="Book Antiqua"/>
          <w:b/>
          <w:bCs/>
          <w:color w:val="000000"/>
        </w:rPr>
        <w:t>11</w:t>
      </w:r>
      <w:r>
        <w:rPr>
          <w:rFonts w:ascii="Book Antiqua" w:eastAsia="Book Antiqua" w:hAnsi="Book Antiqua" w:cs="Book Antiqua"/>
          <w:color w:val="000000"/>
        </w:rPr>
        <w:t>: 3-25 [PMID: 27660341 DOI: 10.1093/</w:t>
      </w:r>
      <w:proofErr w:type="spellStart"/>
      <w:r>
        <w:rPr>
          <w:rFonts w:ascii="Book Antiqua" w:eastAsia="Book Antiqua" w:hAnsi="Book Antiqua" w:cs="Book Antiqua"/>
          <w:color w:val="000000"/>
        </w:rPr>
        <w:t>ecco-jcc</w:t>
      </w:r>
      <w:proofErr w:type="spellEnd"/>
      <w:r>
        <w:rPr>
          <w:rFonts w:ascii="Book Antiqua" w:eastAsia="Book Antiqua" w:hAnsi="Book Antiqua" w:cs="Book Antiqua"/>
          <w:color w:val="000000"/>
        </w:rPr>
        <w:t>/jjw168]</w:t>
      </w:r>
    </w:p>
    <w:p w14:paraId="3DE278A5" w14:textId="77777777" w:rsidR="00A77B3E" w:rsidRDefault="005513F1" w:rsidP="00CA3946">
      <w:pPr>
        <w:spacing w:line="360" w:lineRule="auto"/>
        <w:jc w:val="both"/>
      </w:pPr>
      <w:r>
        <w:rPr>
          <w:rFonts w:ascii="Book Antiqua" w:eastAsia="Book Antiqua" w:hAnsi="Book Antiqua" w:cs="Book Antiqua"/>
          <w:color w:val="000000"/>
        </w:rPr>
        <w:t xml:space="preserve">38 </w:t>
      </w:r>
      <w:r>
        <w:rPr>
          <w:rFonts w:ascii="Book Antiqua" w:eastAsia="Book Antiqua" w:hAnsi="Book Antiqua" w:cs="Book Antiqua"/>
          <w:b/>
          <w:bCs/>
          <w:color w:val="000000"/>
        </w:rPr>
        <w:t>Harbord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Eliakim</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Bettenworth</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Karmiris</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Katsanos</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Kopylov</w:t>
      </w:r>
      <w:proofErr w:type="spellEnd"/>
      <w:r>
        <w:rPr>
          <w:rFonts w:ascii="Book Antiqua" w:eastAsia="Book Antiqua" w:hAnsi="Book Antiqua" w:cs="Book Antiqua"/>
          <w:color w:val="000000"/>
        </w:rPr>
        <w:t xml:space="preserve"> U, </w:t>
      </w:r>
      <w:proofErr w:type="spellStart"/>
      <w:r>
        <w:rPr>
          <w:rFonts w:ascii="Book Antiqua" w:eastAsia="Book Antiqua" w:hAnsi="Book Antiqua" w:cs="Book Antiqua"/>
          <w:color w:val="000000"/>
        </w:rPr>
        <w:t>Kucharzik</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Molnár</w:t>
      </w:r>
      <w:proofErr w:type="spellEnd"/>
      <w:r>
        <w:rPr>
          <w:rFonts w:ascii="Book Antiqua" w:eastAsia="Book Antiqua" w:hAnsi="Book Antiqua" w:cs="Book Antiqua"/>
          <w:color w:val="000000"/>
        </w:rPr>
        <w:t xml:space="preserve"> T, Raine T, Sebastian S, de Sousa HT, </w:t>
      </w:r>
      <w:proofErr w:type="spellStart"/>
      <w:r>
        <w:rPr>
          <w:rFonts w:ascii="Book Antiqua" w:eastAsia="Book Antiqua" w:hAnsi="Book Antiqua" w:cs="Book Antiqua"/>
          <w:color w:val="000000"/>
        </w:rPr>
        <w:t>Dignass</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Carbonnel</w:t>
      </w:r>
      <w:proofErr w:type="spellEnd"/>
      <w:r>
        <w:rPr>
          <w:rFonts w:ascii="Book Antiqua" w:eastAsia="Book Antiqua" w:hAnsi="Book Antiqua" w:cs="Book Antiqua"/>
          <w:color w:val="000000"/>
        </w:rPr>
        <w:t xml:space="preserve"> F; European Crohn’s and Colitis </w:t>
      </w:r>
      <w:proofErr w:type="spellStart"/>
      <w:r>
        <w:rPr>
          <w:rFonts w:ascii="Book Antiqua" w:eastAsia="Book Antiqua" w:hAnsi="Book Antiqua" w:cs="Book Antiqua"/>
          <w:color w:val="000000"/>
        </w:rPr>
        <w:t>Organisation</w:t>
      </w:r>
      <w:proofErr w:type="spellEnd"/>
      <w:r>
        <w:rPr>
          <w:rFonts w:ascii="Book Antiqua" w:eastAsia="Book Antiqua" w:hAnsi="Book Antiqua" w:cs="Book Antiqua"/>
          <w:color w:val="000000"/>
        </w:rPr>
        <w:t xml:space="preserve"> [ECCO]. Third European Evidence-based Consensus on Diagnosis and Management of Ulcerative Colitis. Part 2: Current </w:t>
      </w:r>
      <w:r>
        <w:rPr>
          <w:rFonts w:ascii="Book Antiqua" w:eastAsia="Book Antiqua" w:hAnsi="Book Antiqua" w:cs="Book Antiqua"/>
          <w:color w:val="000000"/>
        </w:rPr>
        <w:lastRenderedPageBreak/>
        <w:t xml:space="preserve">Management.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Crohns</w:t>
      </w:r>
      <w:proofErr w:type="spellEnd"/>
      <w:r>
        <w:rPr>
          <w:rFonts w:ascii="Book Antiqua" w:eastAsia="Book Antiqua" w:hAnsi="Book Antiqua" w:cs="Book Antiqua"/>
          <w:i/>
          <w:iCs/>
          <w:color w:val="000000"/>
        </w:rPr>
        <w:t xml:space="preserve"> Colitis</w:t>
      </w:r>
      <w:r>
        <w:rPr>
          <w:rFonts w:ascii="Book Antiqua" w:eastAsia="Book Antiqua" w:hAnsi="Book Antiqua" w:cs="Book Antiqua"/>
          <w:color w:val="000000"/>
        </w:rPr>
        <w:t xml:space="preserve"> 2017; </w:t>
      </w:r>
      <w:r>
        <w:rPr>
          <w:rFonts w:ascii="Book Antiqua" w:eastAsia="Book Antiqua" w:hAnsi="Book Antiqua" w:cs="Book Antiqua"/>
          <w:b/>
          <w:bCs/>
          <w:color w:val="000000"/>
        </w:rPr>
        <w:t>11</w:t>
      </w:r>
      <w:r>
        <w:rPr>
          <w:rFonts w:ascii="Book Antiqua" w:eastAsia="Book Antiqua" w:hAnsi="Book Antiqua" w:cs="Book Antiqua"/>
          <w:color w:val="000000"/>
        </w:rPr>
        <w:t>: 769-784 [PMID: 28513805 DOI: 10.1093/</w:t>
      </w:r>
      <w:proofErr w:type="spellStart"/>
      <w:r>
        <w:rPr>
          <w:rFonts w:ascii="Book Antiqua" w:eastAsia="Book Antiqua" w:hAnsi="Book Antiqua" w:cs="Book Antiqua"/>
          <w:color w:val="000000"/>
        </w:rPr>
        <w:t>ecco-jcc</w:t>
      </w:r>
      <w:proofErr w:type="spellEnd"/>
      <w:r>
        <w:rPr>
          <w:rFonts w:ascii="Book Antiqua" w:eastAsia="Book Antiqua" w:hAnsi="Book Antiqua" w:cs="Book Antiqua"/>
          <w:color w:val="000000"/>
        </w:rPr>
        <w:t>/jjx009]</w:t>
      </w:r>
    </w:p>
    <w:p w14:paraId="343B30CD" w14:textId="77777777" w:rsidR="00A77B3E" w:rsidRDefault="005513F1" w:rsidP="00CA3946">
      <w:pPr>
        <w:spacing w:line="360" w:lineRule="auto"/>
        <w:jc w:val="both"/>
      </w:pPr>
      <w:r>
        <w:rPr>
          <w:rFonts w:ascii="Book Antiqua" w:eastAsia="Book Antiqua" w:hAnsi="Book Antiqua" w:cs="Book Antiqua"/>
          <w:color w:val="000000"/>
        </w:rPr>
        <w:t xml:space="preserve">39 </w:t>
      </w:r>
      <w:proofErr w:type="spellStart"/>
      <w:r>
        <w:rPr>
          <w:rFonts w:ascii="Book Antiqua" w:eastAsia="Book Antiqua" w:hAnsi="Book Antiqua" w:cs="Book Antiqua"/>
          <w:b/>
          <w:bCs/>
          <w:color w:val="000000"/>
        </w:rPr>
        <w:t>Satsangi</w:t>
      </w:r>
      <w:proofErr w:type="spellEnd"/>
      <w:r>
        <w:rPr>
          <w:rFonts w:ascii="Book Antiqua" w:eastAsia="Book Antiqua" w:hAnsi="Book Antiqua" w:cs="Book Antiqua"/>
          <w:b/>
          <w:bCs/>
          <w:color w:val="000000"/>
        </w:rPr>
        <w:t xml:space="preserve"> J</w:t>
      </w:r>
      <w:r>
        <w:rPr>
          <w:rFonts w:ascii="Book Antiqua" w:eastAsia="Book Antiqua" w:hAnsi="Book Antiqua" w:cs="Book Antiqua"/>
          <w:color w:val="000000"/>
        </w:rPr>
        <w:t xml:space="preserve">, Silverberg MS, </w:t>
      </w:r>
      <w:proofErr w:type="spellStart"/>
      <w:r>
        <w:rPr>
          <w:rFonts w:ascii="Book Antiqua" w:eastAsia="Book Antiqua" w:hAnsi="Book Antiqua" w:cs="Book Antiqua"/>
          <w:color w:val="000000"/>
        </w:rPr>
        <w:t>Vermeire</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Colombel</w:t>
      </w:r>
      <w:proofErr w:type="spellEnd"/>
      <w:r>
        <w:rPr>
          <w:rFonts w:ascii="Book Antiqua" w:eastAsia="Book Antiqua" w:hAnsi="Book Antiqua" w:cs="Book Antiqua"/>
          <w:color w:val="000000"/>
        </w:rPr>
        <w:t xml:space="preserve"> JF. The Montreal classification of inflammatory bowel disease: controversies, consensus, and implications. </w:t>
      </w:r>
      <w:r>
        <w:rPr>
          <w:rFonts w:ascii="Book Antiqua" w:eastAsia="Book Antiqua" w:hAnsi="Book Antiqua" w:cs="Book Antiqua"/>
          <w:i/>
          <w:iCs/>
          <w:color w:val="000000"/>
        </w:rPr>
        <w:t>Gut</w:t>
      </w:r>
      <w:r>
        <w:rPr>
          <w:rFonts w:ascii="Book Antiqua" w:eastAsia="Book Antiqua" w:hAnsi="Book Antiqua" w:cs="Book Antiqua"/>
          <w:color w:val="000000"/>
        </w:rPr>
        <w:t xml:space="preserve"> 2006; </w:t>
      </w:r>
      <w:r>
        <w:rPr>
          <w:rFonts w:ascii="Book Antiqua" w:eastAsia="Book Antiqua" w:hAnsi="Book Antiqua" w:cs="Book Antiqua"/>
          <w:b/>
          <w:bCs/>
          <w:color w:val="000000"/>
        </w:rPr>
        <w:t>55</w:t>
      </w:r>
      <w:r>
        <w:rPr>
          <w:rFonts w:ascii="Book Antiqua" w:eastAsia="Book Antiqua" w:hAnsi="Book Antiqua" w:cs="Book Antiqua"/>
          <w:color w:val="000000"/>
        </w:rPr>
        <w:t>: 749-753 [PMID: 16698746 DOI: 10.1136/gut.2005.082909]</w:t>
      </w:r>
    </w:p>
    <w:p w14:paraId="5DCC00A9" w14:textId="77777777" w:rsidR="00A77B3E" w:rsidRDefault="005513F1" w:rsidP="00CA3946">
      <w:pPr>
        <w:spacing w:line="360" w:lineRule="auto"/>
        <w:jc w:val="both"/>
      </w:pPr>
      <w:r>
        <w:rPr>
          <w:rFonts w:ascii="Book Antiqua" w:eastAsia="Book Antiqua" w:hAnsi="Book Antiqua" w:cs="Book Antiqua"/>
          <w:color w:val="000000"/>
        </w:rPr>
        <w:t xml:space="preserve">40 </w:t>
      </w:r>
      <w:r>
        <w:rPr>
          <w:rFonts w:ascii="Book Antiqua" w:eastAsia="Book Antiqua" w:hAnsi="Book Antiqua" w:cs="Book Antiqua"/>
          <w:b/>
          <w:bCs/>
          <w:color w:val="000000"/>
        </w:rPr>
        <w:t>Komaki Y</w:t>
      </w:r>
      <w:r>
        <w:rPr>
          <w:rFonts w:ascii="Book Antiqua" w:eastAsia="Book Antiqua" w:hAnsi="Book Antiqua" w:cs="Book Antiqua"/>
          <w:color w:val="000000"/>
        </w:rPr>
        <w:t xml:space="preserve">, Yamada A, Komaki F, </w:t>
      </w:r>
      <w:proofErr w:type="spellStart"/>
      <w:r>
        <w:rPr>
          <w:rFonts w:ascii="Book Antiqua" w:eastAsia="Book Antiqua" w:hAnsi="Book Antiqua" w:cs="Book Antiqua"/>
          <w:color w:val="000000"/>
        </w:rPr>
        <w:t>Micic</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Ido</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Sakuraba</w:t>
      </w:r>
      <w:proofErr w:type="spellEnd"/>
      <w:r>
        <w:rPr>
          <w:rFonts w:ascii="Book Antiqua" w:eastAsia="Book Antiqua" w:hAnsi="Book Antiqua" w:cs="Book Antiqua"/>
          <w:color w:val="000000"/>
        </w:rPr>
        <w:t xml:space="preserve"> A. Systematic review with meta-analysis: the efficacy and safety of CT-P13, a biosimilar of anti-</w:t>
      </w:r>
      <w:proofErr w:type="spellStart"/>
      <w:r>
        <w:rPr>
          <w:rFonts w:ascii="Book Antiqua" w:eastAsia="Book Antiqua" w:hAnsi="Book Antiqua" w:cs="Book Antiqua"/>
          <w:color w:val="000000"/>
        </w:rPr>
        <w:t>tumour</w:t>
      </w:r>
      <w:proofErr w:type="spellEnd"/>
      <w:r>
        <w:rPr>
          <w:rFonts w:ascii="Book Antiqua" w:eastAsia="Book Antiqua" w:hAnsi="Book Antiqua" w:cs="Book Antiqua"/>
          <w:color w:val="000000"/>
        </w:rPr>
        <w:t xml:space="preserve"> necrosis factor-α agent (infliximab), in inflammatory bowel diseases. </w:t>
      </w:r>
      <w:r>
        <w:rPr>
          <w:rFonts w:ascii="Book Antiqua" w:eastAsia="Book Antiqua" w:hAnsi="Book Antiqua" w:cs="Book Antiqua"/>
          <w:i/>
          <w:iCs/>
          <w:color w:val="000000"/>
        </w:rPr>
        <w:t xml:space="preserve">Aliment </w:t>
      </w:r>
      <w:proofErr w:type="spellStart"/>
      <w:r>
        <w:rPr>
          <w:rFonts w:ascii="Book Antiqua" w:eastAsia="Book Antiqua" w:hAnsi="Book Antiqua" w:cs="Book Antiqua"/>
          <w:i/>
          <w:iCs/>
          <w:color w:val="000000"/>
        </w:rPr>
        <w:t>Pharmacol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45</w:t>
      </w:r>
      <w:r>
        <w:rPr>
          <w:rFonts w:ascii="Book Antiqua" w:eastAsia="Book Antiqua" w:hAnsi="Book Antiqua" w:cs="Book Antiqua"/>
          <w:color w:val="000000"/>
        </w:rPr>
        <w:t>: 1043-1057 [PMID: 28239873 DOI: 10.1111/apt.13990]</w:t>
      </w:r>
    </w:p>
    <w:p w14:paraId="76424B94" w14:textId="77777777" w:rsidR="00A77B3E" w:rsidRDefault="005513F1" w:rsidP="00CA3946">
      <w:pPr>
        <w:spacing w:line="360" w:lineRule="auto"/>
        <w:jc w:val="both"/>
      </w:pPr>
      <w:r>
        <w:rPr>
          <w:rFonts w:ascii="Book Antiqua" w:eastAsia="Book Antiqua" w:hAnsi="Book Antiqua" w:cs="Book Antiqua"/>
          <w:color w:val="000000"/>
        </w:rPr>
        <w:t xml:space="preserve">41 </w:t>
      </w:r>
      <w:proofErr w:type="spellStart"/>
      <w:r>
        <w:rPr>
          <w:rFonts w:ascii="Book Antiqua" w:eastAsia="Book Antiqua" w:hAnsi="Book Antiqua" w:cs="Book Antiqua"/>
          <w:b/>
          <w:bCs/>
          <w:color w:val="000000"/>
        </w:rPr>
        <w:t>Fiorino</w:t>
      </w:r>
      <w:proofErr w:type="spellEnd"/>
      <w:r>
        <w:rPr>
          <w:rFonts w:ascii="Book Antiqua" w:eastAsia="Book Antiqua" w:hAnsi="Book Antiqua" w:cs="Book Antiqua"/>
          <w:b/>
          <w:bCs/>
          <w:color w:val="000000"/>
        </w:rPr>
        <w:t xml:space="preserve"> G</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Manetti</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Armuzzi</w:t>
      </w:r>
      <w:proofErr w:type="spellEnd"/>
      <w:r>
        <w:rPr>
          <w:rFonts w:ascii="Book Antiqua" w:eastAsia="Book Antiqua" w:hAnsi="Book Antiqua" w:cs="Book Antiqua"/>
          <w:color w:val="000000"/>
        </w:rPr>
        <w:t xml:space="preserve"> A, Orlando A, </w:t>
      </w:r>
      <w:proofErr w:type="spellStart"/>
      <w:r>
        <w:rPr>
          <w:rFonts w:ascii="Book Antiqua" w:eastAsia="Book Antiqua" w:hAnsi="Book Antiqua" w:cs="Book Antiqua"/>
          <w:color w:val="000000"/>
        </w:rPr>
        <w:t>Variola</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Bonovas</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Bossa</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Maconi</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DʼIncà</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Lionetti</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Cantoro</w:t>
      </w:r>
      <w:proofErr w:type="spellEnd"/>
      <w:r>
        <w:rPr>
          <w:rFonts w:ascii="Book Antiqua" w:eastAsia="Book Antiqua" w:hAnsi="Book Antiqua" w:cs="Book Antiqua"/>
          <w:color w:val="000000"/>
        </w:rPr>
        <w:t xml:space="preserve"> L, Fries W, Annunziata ML, Costa F, </w:t>
      </w:r>
      <w:proofErr w:type="spellStart"/>
      <w:r>
        <w:rPr>
          <w:rFonts w:ascii="Book Antiqua" w:eastAsia="Book Antiqua" w:hAnsi="Book Antiqua" w:cs="Book Antiqua"/>
          <w:color w:val="000000"/>
        </w:rPr>
        <w:t>Terpin</w:t>
      </w:r>
      <w:proofErr w:type="spellEnd"/>
      <w:r>
        <w:rPr>
          <w:rFonts w:ascii="Book Antiqua" w:eastAsia="Book Antiqua" w:hAnsi="Book Antiqua" w:cs="Book Antiqua"/>
          <w:color w:val="000000"/>
        </w:rPr>
        <w:t xml:space="preserve"> MM, </w:t>
      </w:r>
      <w:proofErr w:type="spellStart"/>
      <w:r>
        <w:rPr>
          <w:rFonts w:ascii="Book Antiqua" w:eastAsia="Book Antiqua" w:hAnsi="Book Antiqua" w:cs="Book Antiqua"/>
          <w:color w:val="000000"/>
        </w:rPr>
        <w:t>Biancone</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Cortelezzi</w:t>
      </w:r>
      <w:proofErr w:type="spellEnd"/>
      <w:r>
        <w:rPr>
          <w:rFonts w:ascii="Book Antiqua" w:eastAsia="Book Antiqua" w:hAnsi="Book Antiqua" w:cs="Book Antiqua"/>
          <w:color w:val="000000"/>
        </w:rPr>
        <w:t xml:space="preserve"> CC, Amato A, </w:t>
      </w:r>
      <w:proofErr w:type="spellStart"/>
      <w:r>
        <w:rPr>
          <w:rFonts w:ascii="Book Antiqua" w:eastAsia="Book Antiqua" w:hAnsi="Book Antiqua" w:cs="Book Antiqua"/>
          <w:color w:val="000000"/>
        </w:rPr>
        <w:t>Ardizzone</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Danese</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Guidi</w:t>
      </w:r>
      <w:proofErr w:type="spellEnd"/>
      <w:r>
        <w:rPr>
          <w:rFonts w:ascii="Book Antiqua" w:eastAsia="Book Antiqua" w:hAnsi="Book Antiqua" w:cs="Book Antiqua"/>
          <w:color w:val="000000"/>
        </w:rPr>
        <w:t xml:space="preserve"> L, Rizzuto G, </w:t>
      </w:r>
      <w:proofErr w:type="spellStart"/>
      <w:r>
        <w:rPr>
          <w:rFonts w:ascii="Book Antiqua" w:eastAsia="Book Antiqua" w:hAnsi="Book Antiqua" w:cs="Book Antiqua"/>
          <w:color w:val="000000"/>
        </w:rPr>
        <w:t>Massella</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Andriulli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Massari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Lorenzon</w:t>
      </w:r>
      <w:proofErr w:type="spellEnd"/>
      <w:r>
        <w:rPr>
          <w:rFonts w:ascii="Book Antiqua" w:eastAsia="Book Antiqua" w:hAnsi="Book Antiqua" w:cs="Book Antiqua"/>
          <w:color w:val="000000"/>
        </w:rPr>
        <w:t xml:space="preserve"> G, Ghione S, Kohn A, Ventra A, </w:t>
      </w:r>
      <w:proofErr w:type="spellStart"/>
      <w:r>
        <w:rPr>
          <w:rFonts w:ascii="Book Antiqua" w:eastAsia="Book Antiqua" w:hAnsi="Book Antiqua" w:cs="Book Antiqua"/>
          <w:color w:val="000000"/>
        </w:rPr>
        <w:t>Annese</w:t>
      </w:r>
      <w:proofErr w:type="spellEnd"/>
      <w:r>
        <w:rPr>
          <w:rFonts w:ascii="Book Antiqua" w:eastAsia="Book Antiqua" w:hAnsi="Book Antiqua" w:cs="Book Antiqua"/>
          <w:color w:val="000000"/>
        </w:rPr>
        <w:t xml:space="preserve"> V; PROSIT-BIO Cohort. The PROSIT-BIO Cohort: A Prospective Observational Study of Patients with Inflammatory Bowel Disease Treated with Infliximab Biosimilar. </w:t>
      </w:r>
      <w:proofErr w:type="spellStart"/>
      <w:r>
        <w:rPr>
          <w:rFonts w:ascii="Book Antiqua" w:eastAsia="Book Antiqua" w:hAnsi="Book Antiqua" w:cs="Book Antiqua"/>
          <w:i/>
          <w:iCs/>
          <w:color w:val="000000"/>
        </w:rPr>
        <w:t>Inflamm</w:t>
      </w:r>
      <w:proofErr w:type="spellEnd"/>
      <w:r>
        <w:rPr>
          <w:rFonts w:ascii="Book Antiqua" w:eastAsia="Book Antiqua" w:hAnsi="Book Antiqua" w:cs="Book Antiqua"/>
          <w:i/>
          <w:iCs/>
          <w:color w:val="000000"/>
        </w:rPr>
        <w:t xml:space="preserve"> Bowel Dis</w:t>
      </w:r>
      <w:r>
        <w:rPr>
          <w:rFonts w:ascii="Book Antiqua" w:eastAsia="Book Antiqua" w:hAnsi="Book Antiqua" w:cs="Book Antiqua"/>
          <w:color w:val="000000"/>
        </w:rPr>
        <w:t xml:space="preserve"> 2017; </w:t>
      </w:r>
      <w:r>
        <w:rPr>
          <w:rFonts w:ascii="Book Antiqua" w:eastAsia="Book Antiqua" w:hAnsi="Book Antiqua" w:cs="Book Antiqua"/>
          <w:b/>
          <w:bCs/>
          <w:color w:val="000000"/>
        </w:rPr>
        <w:t>23</w:t>
      </w:r>
      <w:r>
        <w:rPr>
          <w:rFonts w:ascii="Book Antiqua" w:eastAsia="Book Antiqua" w:hAnsi="Book Antiqua" w:cs="Book Antiqua"/>
          <w:color w:val="000000"/>
        </w:rPr>
        <w:t>: 233-243 [PMID: 28092307 DOI: 10.1097/MIB.0000000000000995]</w:t>
      </w:r>
    </w:p>
    <w:p w14:paraId="685A5417" w14:textId="77777777" w:rsidR="00A77B3E" w:rsidRDefault="005513F1" w:rsidP="00CA3946">
      <w:pPr>
        <w:spacing w:line="360" w:lineRule="auto"/>
        <w:jc w:val="both"/>
      </w:pPr>
      <w:r>
        <w:rPr>
          <w:rFonts w:ascii="Book Antiqua" w:eastAsia="Book Antiqua" w:hAnsi="Book Antiqua" w:cs="Book Antiqua"/>
          <w:color w:val="000000"/>
        </w:rPr>
        <w:t xml:space="preserve">42 </w:t>
      </w:r>
      <w:proofErr w:type="spellStart"/>
      <w:r>
        <w:rPr>
          <w:rFonts w:ascii="Book Antiqua" w:eastAsia="Book Antiqua" w:hAnsi="Book Antiqua" w:cs="Book Antiqua"/>
          <w:b/>
          <w:bCs/>
          <w:color w:val="000000"/>
        </w:rPr>
        <w:t>Gonczi</w:t>
      </w:r>
      <w:proofErr w:type="spellEnd"/>
      <w:r>
        <w:rPr>
          <w:rFonts w:ascii="Book Antiqua" w:eastAsia="Book Antiqua" w:hAnsi="Book Antiqua" w:cs="Book Antiqua"/>
          <w:b/>
          <w:bCs/>
          <w:color w:val="000000"/>
        </w:rPr>
        <w:t xml:space="preserve"> L</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Gecse</w:t>
      </w:r>
      <w:proofErr w:type="spellEnd"/>
      <w:r>
        <w:rPr>
          <w:rFonts w:ascii="Book Antiqua" w:eastAsia="Book Antiqua" w:hAnsi="Book Antiqua" w:cs="Book Antiqua"/>
          <w:color w:val="000000"/>
        </w:rPr>
        <w:t xml:space="preserve"> KB, </w:t>
      </w:r>
      <w:proofErr w:type="spellStart"/>
      <w:r>
        <w:rPr>
          <w:rFonts w:ascii="Book Antiqua" w:eastAsia="Book Antiqua" w:hAnsi="Book Antiqua" w:cs="Book Antiqua"/>
          <w:color w:val="000000"/>
        </w:rPr>
        <w:t>Vegh</w:t>
      </w:r>
      <w:proofErr w:type="spellEnd"/>
      <w:r>
        <w:rPr>
          <w:rFonts w:ascii="Book Antiqua" w:eastAsia="Book Antiqua" w:hAnsi="Book Antiqua" w:cs="Book Antiqua"/>
          <w:color w:val="000000"/>
        </w:rPr>
        <w:t xml:space="preserve"> Z, </w:t>
      </w:r>
      <w:proofErr w:type="spellStart"/>
      <w:r>
        <w:rPr>
          <w:rFonts w:ascii="Book Antiqua" w:eastAsia="Book Antiqua" w:hAnsi="Book Antiqua" w:cs="Book Antiqua"/>
          <w:color w:val="000000"/>
        </w:rPr>
        <w:t>Kurti</w:t>
      </w:r>
      <w:proofErr w:type="spellEnd"/>
      <w:r>
        <w:rPr>
          <w:rFonts w:ascii="Book Antiqua" w:eastAsia="Book Antiqua" w:hAnsi="Book Antiqua" w:cs="Book Antiqua"/>
          <w:color w:val="000000"/>
        </w:rPr>
        <w:t xml:space="preserve"> Z, </w:t>
      </w:r>
      <w:proofErr w:type="spellStart"/>
      <w:r>
        <w:rPr>
          <w:rFonts w:ascii="Book Antiqua" w:eastAsia="Book Antiqua" w:hAnsi="Book Antiqua" w:cs="Book Antiqua"/>
          <w:color w:val="000000"/>
        </w:rPr>
        <w:t>Rutka</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Farkas</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Golovics</w:t>
      </w:r>
      <w:proofErr w:type="spellEnd"/>
      <w:r>
        <w:rPr>
          <w:rFonts w:ascii="Book Antiqua" w:eastAsia="Book Antiqua" w:hAnsi="Book Antiqua" w:cs="Book Antiqua"/>
          <w:color w:val="000000"/>
        </w:rPr>
        <w:t xml:space="preserve"> PA, </w:t>
      </w:r>
      <w:proofErr w:type="spellStart"/>
      <w:r>
        <w:rPr>
          <w:rFonts w:ascii="Book Antiqua" w:eastAsia="Book Antiqua" w:hAnsi="Book Antiqua" w:cs="Book Antiqua"/>
          <w:color w:val="000000"/>
        </w:rPr>
        <w:t>Lovasz</w:t>
      </w:r>
      <w:proofErr w:type="spellEnd"/>
      <w:r>
        <w:rPr>
          <w:rFonts w:ascii="Book Antiqua" w:eastAsia="Book Antiqua" w:hAnsi="Book Antiqua" w:cs="Book Antiqua"/>
          <w:color w:val="000000"/>
        </w:rPr>
        <w:t xml:space="preserve"> BD, </w:t>
      </w:r>
      <w:proofErr w:type="spellStart"/>
      <w:r>
        <w:rPr>
          <w:rFonts w:ascii="Book Antiqua" w:eastAsia="Book Antiqua" w:hAnsi="Book Antiqua" w:cs="Book Antiqua"/>
          <w:color w:val="000000"/>
        </w:rPr>
        <w:t>Banai</w:t>
      </w:r>
      <w:proofErr w:type="spellEnd"/>
      <w:r>
        <w:rPr>
          <w:rFonts w:ascii="Book Antiqua" w:eastAsia="Book Antiqua" w:hAnsi="Book Antiqua" w:cs="Book Antiqua"/>
          <w:color w:val="000000"/>
        </w:rPr>
        <w:t xml:space="preserve"> J, Bene L, </w:t>
      </w:r>
      <w:proofErr w:type="spellStart"/>
      <w:r>
        <w:rPr>
          <w:rFonts w:ascii="Book Antiqua" w:eastAsia="Book Antiqua" w:hAnsi="Book Antiqua" w:cs="Book Antiqua"/>
          <w:color w:val="000000"/>
        </w:rPr>
        <w:t>Gasztonyi</w:t>
      </w:r>
      <w:proofErr w:type="spellEnd"/>
      <w:r>
        <w:rPr>
          <w:rFonts w:ascii="Book Antiqua" w:eastAsia="Book Antiqua" w:hAnsi="Book Antiqua" w:cs="Book Antiqua"/>
          <w:color w:val="000000"/>
        </w:rPr>
        <w:t xml:space="preserve"> B, Kristof T, </w:t>
      </w:r>
      <w:proofErr w:type="spellStart"/>
      <w:r>
        <w:rPr>
          <w:rFonts w:ascii="Book Antiqua" w:eastAsia="Book Antiqua" w:hAnsi="Book Antiqua" w:cs="Book Antiqua"/>
          <w:color w:val="000000"/>
        </w:rPr>
        <w:t>Lakatos</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Miheller</w:t>
      </w:r>
      <w:proofErr w:type="spellEnd"/>
      <w:r>
        <w:rPr>
          <w:rFonts w:ascii="Book Antiqua" w:eastAsia="Book Antiqua" w:hAnsi="Book Antiqua" w:cs="Book Antiqua"/>
          <w:color w:val="000000"/>
        </w:rPr>
        <w:t xml:space="preserve"> P, Nagy F, Palatka K, Papp M, </w:t>
      </w:r>
      <w:proofErr w:type="spellStart"/>
      <w:r>
        <w:rPr>
          <w:rFonts w:ascii="Book Antiqua" w:eastAsia="Book Antiqua" w:hAnsi="Book Antiqua" w:cs="Book Antiqua"/>
          <w:color w:val="000000"/>
        </w:rPr>
        <w:t>Patai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Salamon</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Szamosi</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Szepes</w:t>
      </w:r>
      <w:proofErr w:type="spellEnd"/>
      <w:r>
        <w:rPr>
          <w:rFonts w:ascii="Book Antiqua" w:eastAsia="Book Antiqua" w:hAnsi="Book Antiqua" w:cs="Book Antiqua"/>
          <w:color w:val="000000"/>
        </w:rPr>
        <w:t xml:space="preserve"> Z, </w:t>
      </w:r>
      <w:proofErr w:type="spellStart"/>
      <w:r>
        <w:rPr>
          <w:rFonts w:ascii="Book Antiqua" w:eastAsia="Book Antiqua" w:hAnsi="Book Antiqua" w:cs="Book Antiqua"/>
          <w:color w:val="000000"/>
        </w:rPr>
        <w:t>Toth</w:t>
      </w:r>
      <w:proofErr w:type="spellEnd"/>
      <w:r>
        <w:rPr>
          <w:rFonts w:ascii="Book Antiqua" w:eastAsia="Book Antiqua" w:hAnsi="Book Antiqua" w:cs="Book Antiqua"/>
          <w:color w:val="000000"/>
        </w:rPr>
        <w:t xml:space="preserve"> GT, </w:t>
      </w:r>
      <w:proofErr w:type="spellStart"/>
      <w:r>
        <w:rPr>
          <w:rFonts w:ascii="Book Antiqua" w:eastAsia="Book Antiqua" w:hAnsi="Book Antiqua" w:cs="Book Antiqua"/>
          <w:color w:val="000000"/>
        </w:rPr>
        <w:t>Vincze</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Szalay</w:t>
      </w:r>
      <w:proofErr w:type="spellEnd"/>
      <w:r>
        <w:rPr>
          <w:rFonts w:ascii="Book Antiqua" w:eastAsia="Book Antiqua" w:hAnsi="Book Antiqua" w:cs="Book Antiqua"/>
          <w:color w:val="000000"/>
        </w:rPr>
        <w:t xml:space="preserve"> B, Molnar T, Lakatos PL. Long-term Efficacy, Safety, and Immunogenicity of Biosimilar Infliximab After One Year in a Prospective Nationwide Cohort. </w:t>
      </w:r>
      <w:proofErr w:type="spellStart"/>
      <w:r>
        <w:rPr>
          <w:rFonts w:ascii="Book Antiqua" w:eastAsia="Book Antiqua" w:hAnsi="Book Antiqua" w:cs="Book Antiqua"/>
          <w:i/>
          <w:iCs/>
          <w:color w:val="000000"/>
        </w:rPr>
        <w:t>Inflamm</w:t>
      </w:r>
      <w:proofErr w:type="spellEnd"/>
      <w:r>
        <w:rPr>
          <w:rFonts w:ascii="Book Antiqua" w:eastAsia="Book Antiqua" w:hAnsi="Book Antiqua" w:cs="Book Antiqua"/>
          <w:i/>
          <w:iCs/>
          <w:color w:val="000000"/>
        </w:rPr>
        <w:t xml:space="preserve"> Bowel Dis</w:t>
      </w:r>
      <w:r>
        <w:rPr>
          <w:rFonts w:ascii="Book Antiqua" w:eastAsia="Book Antiqua" w:hAnsi="Book Antiqua" w:cs="Book Antiqua"/>
          <w:color w:val="000000"/>
        </w:rPr>
        <w:t xml:space="preserve"> 2017; </w:t>
      </w:r>
      <w:r>
        <w:rPr>
          <w:rFonts w:ascii="Book Antiqua" w:eastAsia="Book Antiqua" w:hAnsi="Book Antiqua" w:cs="Book Antiqua"/>
          <w:b/>
          <w:bCs/>
          <w:color w:val="000000"/>
        </w:rPr>
        <w:t>23</w:t>
      </w:r>
      <w:r>
        <w:rPr>
          <w:rFonts w:ascii="Book Antiqua" w:eastAsia="Book Antiqua" w:hAnsi="Book Antiqua" w:cs="Book Antiqua"/>
          <w:color w:val="000000"/>
        </w:rPr>
        <w:t>: 1908-1915 [PMID: 28922253 DOI: 10.1097/MIB.0000000000001237]</w:t>
      </w:r>
    </w:p>
    <w:p w14:paraId="6C58E2C6" w14:textId="77777777" w:rsidR="00A77B3E" w:rsidRDefault="005513F1" w:rsidP="00CA3946">
      <w:pPr>
        <w:spacing w:line="360" w:lineRule="auto"/>
        <w:jc w:val="both"/>
      </w:pPr>
      <w:r>
        <w:rPr>
          <w:rFonts w:ascii="Book Antiqua" w:eastAsia="Book Antiqua" w:hAnsi="Book Antiqua" w:cs="Book Antiqua"/>
          <w:color w:val="000000"/>
        </w:rPr>
        <w:t xml:space="preserve">43 </w:t>
      </w:r>
      <w:proofErr w:type="spellStart"/>
      <w:r>
        <w:rPr>
          <w:rFonts w:ascii="Book Antiqua" w:eastAsia="Book Antiqua" w:hAnsi="Book Antiqua" w:cs="Book Antiqua"/>
          <w:b/>
          <w:bCs/>
          <w:color w:val="000000"/>
        </w:rPr>
        <w:t>Jahnsen</w:t>
      </w:r>
      <w:proofErr w:type="spellEnd"/>
      <w:r>
        <w:rPr>
          <w:rFonts w:ascii="Book Antiqua" w:eastAsia="Book Antiqua" w:hAnsi="Book Antiqua" w:cs="Book Antiqua"/>
          <w:b/>
          <w:bCs/>
          <w:color w:val="000000"/>
        </w:rPr>
        <w:t xml:space="preserve"> 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Detlie</w:t>
      </w:r>
      <w:proofErr w:type="spellEnd"/>
      <w:r>
        <w:rPr>
          <w:rFonts w:ascii="Book Antiqua" w:eastAsia="Book Antiqua" w:hAnsi="Book Antiqua" w:cs="Book Antiqua"/>
          <w:color w:val="000000"/>
        </w:rPr>
        <w:t xml:space="preserve"> TE, </w:t>
      </w:r>
      <w:proofErr w:type="spellStart"/>
      <w:r>
        <w:rPr>
          <w:rFonts w:ascii="Book Antiqua" w:eastAsia="Book Antiqua" w:hAnsi="Book Antiqua" w:cs="Book Antiqua"/>
          <w:color w:val="000000"/>
        </w:rPr>
        <w:t>Vatn</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Ricanek</w:t>
      </w:r>
      <w:proofErr w:type="spellEnd"/>
      <w:r>
        <w:rPr>
          <w:rFonts w:ascii="Book Antiqua" w:eastAsia="Book Antiqua" w:hAnsi="Book Antiqua" w:cs="Book Antiqua"/>
          <w:color w:val="000000"/>
        </w:rPr>
        <w:t xml:space="preserve"> P. Biosimilar infliximab (CT-P13) in the treatment of inflammatory bowel disease: A Norwegian observational study. </w:t>
      </w:r>
      <w:r>
        <w:rPr>
          <w:rFonts w:ascii="Book Antiqua" w:eastAsia="Book Antiqua" w:hAnsi="Book Antiqua" w:cs="Book Antiqua"/>
          <w:i/>
          <w:iCs/>
          <w:color w:val="000000"/>
        </w:rPr>
        <w:t>Expert Rev Gastroenterol Hepatol</w:t>
      </w:r>
      <w:r>
        <w:rPr>
          <w:rFonts w:ascii="Book Antiqua" w:eastAsia="Book Antiqua" w:hAnsi="Book Antiqua" w:cs="Book Antiqua"/>
          <w:color w:val="000000"/>
        </w:rPr>
        <w:t xml:space="preserve"> 2015; </w:t>
      </w:r>
      <w:r>
        <w:rPr>
          <w:rFonts w:ascii="Book Antiqua" w:eastAsia="Book Antiqua" w:hAnsi="Book Antiqua" w:cs="Book Antiqua"/>
          <w:b/>
          <w:bCs/>
          <w:color w:val="000000"/>
        </w:rPr>
        <w:t>9 Suppl 1</w:t>
      </w:r>
      <w:r>
        <w:rPr>
          <w:rFonts w:ascii="Book Antiqua" w:eastAsia="Book Antiqua" w:hAnsi="Book Antiqua" w:cs="Book Antiqua"/>
          <w:color w:val="000000"/>
        </w:rPr>
        <w:t>: 45-52 [PMID: 26395534 DOI: 10.1586/17474124.2015.1091308]</w:t>
      </w:r>
    </w:p>
    <w:p w14:paraId="2900BFC4" w14:textId="77777777" w:rsidR="00A77B3E" w:rsidRDefault="005513F1" w:rsidP="00CA3946">
      <w:pPr>
        <w:spacing w:line="360" w:lineRule="auto"/>
        <w:jc w:val="both"/>
      </w:pPr>
      <w:r>
        <w:rPr>
          <w:rFonts w:ascii="Book Antiqua" w:eastAsia="Book Antiqua" w:hAnsi="Book Antiqua" w:cs="Book Antiqua"/>
          <w:color w:val="000000"/>
        </w:rPr>
        <w:t xml:space="preserve">44 </w:t>
      </w:r>
      <w:proofErr w:type="spellStart"/>
      <w:r>
        <w:rPr>
          <w:rFonts w:ascii="Book Antiqua" w:eastAsia="Book Antiqua" w:hAnsi="Book Antiqua" w:cs="Book Antiqua"/>
          <w:b/>
          <w:bCs/>
          <w:color w:val="000000"/>
        </w:rPr>
        <w:t>Kaniewska</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Moniuszko</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Rydzewska</w:t>
      </w:r>
      <w:proofErr w:type="spellEnd"/>
      <w:r>
        <w:rPr>
          <w:rFonts w:ascii="Book Antiqua" w:eastAsia="Book Antiqua" w:hAnsi="Book Antiqua" w:cs="Book Antiqua"/>
          <w:color w:val="000000"/>
        </w:rPr>
        <w:t xml:space="preserve"> G. The efficacy and safety of the biosimilar product (</w:t>
      </w:r>
      <w:proofErr w:type="spellStart"/>
      <w:r>
        <w:rPr>
          <w:rFonts w:ascii="Book Antiqua" w:eastAsia="Book Antiqua" w:hAnsi="Book Antiqua" w:cs="Book Antiqua"/>
          <w:color w:val="000000"/>
        </w:rPr>
        <w:t>Inflectra</w:t>
      </w:r>
      <w:proofErr w:type="spellEnd"/>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compared to the reference drug (Remicade</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in rescue therapy in </w:t>
      </w:r>
      <w:r>
        <w:rPr>
          <w:rFonts w:ascii="Book Antiqua" w:eastAsia="Book Antiqua" w:hAnsi="Book Antiqua" w:cs="Book Antiqua"/>
          <w:color w:val="000000"/>
        </w:rPr>
        <w:lastRenderedPageBreak/>
        <w:t xml:space="preserve">adult patients with ulcerative colitis. </w:t>
      </w:r>
      <w:proofErr w:type="spellStart"/>
      <w:r>
        <w:rPr>
          <w:rFonts w:ascii="Book Antiqua" w:eastAsia="Book Antiqua" w:hAnsi="Book Antiqua" w:cs="Book Antiqua"/>
          <w:i/>
          <w:iCs/>
          <w:color w:val="000000"/>
        </w:rPr>
        <w:t>Prz</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Gastroenterol</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12</w:t>
      </w:r>
      <w:r>
        <w:rPr>
          <w:rFonts w:ascii="Book Antiqua" w:eastAsia="Book Antiqua" w:hAnsi="Book Antiqua" w:cs="Book Antiqua"/>
          <w:color w:val="000000"/>
        </w:rPr>
        <w:t>: 169-174 [PMID: 29123576 DOI: 10.5114/pg.2017.70468]</w:t>
      </w:r>
    </w:p>
    <w:p w14:paraId="1CC9832B" w14:textId="77777777" w:rsidR="00A77B3E" w:rsidRDefault="005513F1" w:rsidP="00CA3946">
      <w:pPr>
        <w:spacing w:line="360" w:lineRule="auto"/>
        <w:jc w:val="both"/>
      </w:pPr>
      <w:r>
        <w:rPr>
          <w:rFonts w:ascii="Book Antiqua" w:eastAsia="Book Antiqua" w:hAnsi="Book Antiqua" w:cs="Book Antiqua"/>
          <w:color w:val="000000"/>
        </w:rPr>
        <w:t xml:space="preserve">45 </w:t>
      </w:r>
      <w:proofErr w:type="spellStart"/>
      <w:r>
        <w:rPr>
          <w:rFonts w:ascii="Book Antiqua" w:eastAsia="Book Antiqua" w:hAnsi="Book Antiqua" w:cs="Book Antiqua"/>
          <w:b/>
          <w:bCs/>
          <w:color w:val="000000"/>
        </w:rPr>
        <w:t>Keil</w:t>
      </w:r>
      <w:proofErr w:type="spellEnd"/>
      <w:r>
        <w:rPr>
          <w:rFonts w:ascii="Book Antiqua" w:eastAsia="Book Antiqua" w:hAnsi="Book Antiqua" w:cs="Book Antiqua"/>
          <w:b/>
          <w:bCs/>
          <w:color w:val="000000"/>
        </w:rPr>
        <w:t xml:space="preserve"> 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Wasserbauer</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Zádorová</w:t>
      </w:r>
      <w:proofErr w:type="spellEnd"/>
      <w:r>
        <w:rPr>
          <w:rFonts w:ascii="Book Antiqua" w:eastAsia="Book Antiqua" w:hAnsi="Book Antiqua" w:cs="Book Antiqua"/>
          <w:color w:val="000000"/>
        </w:rPr>
        <w:t xml:space="preserve"> Z, </w:t>
      </w:r>
      <w:proofErr w:type="spellStart"/>
      <w:r>
        <w:rPr>
          <w:rFonts w:ascii="Book Antiqua" w:eastAsia="Book Antiqua" w:hAnsi="Book Antiqua" w:cs="Book Antiqua"/>
          <w:color w:val="000000"/>
        </w:rPr>
        <w:t>Hajer</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Drastich</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Wohl</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Beneš</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Bojková</w:t>
      </w:r>
      <w:proofErr w:type="spellEnd"/>
      <w:r>
        <w:rPr>
          <w:rFonts w:ascii="Book Antiqua" w:eastAsia="Book Antiqua" w:hAnsi="Book Antiqua" w:cs="Book Antiqua"/>
          <w:color w:val="000000"/>
        </w:rPr>
        <w:t xml:space="preserve"> M, Svoboda P, </w:t>
      </w:r>
      <w:proofErr w:type="spellStart"/>
      <w:r>
        <w:rPr>
          <w:rFonts w:ascii="Book Antiqua" w:eastAsia="Book Antiqua" w:hAnsi="Book Antiqua" w:cs="Book Antiqua"/>
          <w:color w:val="000000"/>
        </w:rPr>
        <w:t>Konečný</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Falt</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Vaňásek</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Pešta</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Pešek</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Bouchner</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Koželuhová</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Novotný</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Bartůsková</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Špičák</w:t>
      </w:r>
      <w:proofErr w:type="spellEnd"/>
      <w:r>
        <w:rPr>
          <w:rFonts w:ascii="Book Antiqua" w:eastAsia="Book Antiqua" w:hAnsi="Book Antiqua" w:cs="Book Antiqua"/>
          <w:color w:val="000000"/>
        </w:rPr>
        <w:t xml:space="preserve"> J. Clinical monitoring: infliximab biosimilar CT-P13 in the treatment of Crohn's disease and ulcerative colitis. </w:t>
      </w:r>
      <w:proofErr w:type="spellStart"/>
      <w:r>
        <w:rPr>
          <w:rFonts w:ascii="Book Antiqua" w:eastAsia="Book Antiqua" w:hAnsi="Book Antiqua" w:cs="Book Antiqua"/>
          <w:i/>
          <w:iCs/>
          <w:color w:val="000000"/>
        </w:rPr>
        <w:t>Scand</w:t>
      </w:r>
      <w:proofErr w:type="spellEnd"/>
      <w:r>
        <w:rPr>
          <w:rFonts w:ascii="Book Antiqua" w:eastAsia="Book Antiqua" w:hAnsi="Book Antiqua" w:cs="Book Antiqua"/>
          <w:i/>
          <w:iCs/>
          <w:color w:val="000000"/>
        </w:rPr>
        <w:t xml:space="preserve"> J </w:t>
      </w:r>
      <w:proofErr w:type="spellStart"/>
      <w:r>
        <w:rPr>
          <w:rFonts w:ascii="Book Antiqua" w:eastAsia="Book Antiqua" w:hAnsi="Book Antiqua" w:cs="Book Antiqua"/>
          <w:i/>
          <w:iCs/>
          <w:color w:val="000000"/>
        </w:rPr>
        <w:t>Gastroenterol</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51</w:t>
      </w:r>
      <w:r>
        <w:rPr>
          <w:rFonts w:ascii="Book Antiqua" w:eastAsia="Book Antiqua" w:hAnsi="Book Antiqua" w:cs="Book Antiqua"/>
          <w:color w:val="000000"/>
        </w:rPr>
        <w:t>: 1062-1068 [PMID: 27002981 DOI: 10.3109/00365521.2016.1149883]</w:t>
      </w:r>
    </w:p>
    <w:p w14:paraId="79B9CE9A" w14:textId="77777777" w:rsidR="00A77B3E" w:rsidRDefault="005513F1" w:rsidP="00CA3946">
      <w:pPr>
        <w:spacing w:line="360" w:lineRule="auto"/>
        <w:jc w:val="both"/>
      </w:pPr>
      <w:r>
        <w:rPr>
          <w:rFonts w:ascii="Book Antiqua" w:eastAsia="Book Antiqua" w:hAnsi="Book Antiqua" w:cs="Book Antiqua"/>
          <w:color w:val="000000"/>
        </w:rPr>
        <w:t xml:space="preserve">46 </w:t>
      </w:r>
      <w:r>
        <w:rPr>
          <w:rFonts w:ascii="Book Antiqua" w:eastAsia="Book Antiqua" w:hAnsi="Book Antiqua" w:cs="Book Antiqua"/>
          <w:b/>
          <w:bCs/>
          <w:color w:val="000000"/>
        </w:rPr>
        <w:t>Park SH</w:t>
      </w:r>
      <w:r>
        <w:rPr>
          <w:rFonts w:ascii="Book Antiqua" w:eastAsia="Book Antiqua" w:hAnsi="Book Antiqua" w:cs="Book Antiqua"/>
          <w:color w:val="000000"/>
        </w:rPr>
        <w:t xml:space="preserve">, Kim YH, Lee JH, Kwon HJ, Lee SH, Park DI, Kim HK, </w:t>
      </w:r>
      <w:proofErr w:type="spellStart"/>
      <w:r>
        <w:rPr>
          <w:rFonts w:ascii="Book Antiqua" w:eastAsia="Book Antiqua" w:hAnsi="Book Antiqua" w:cs="Book Antiqua"/>
          <w:color w:val="000000"/>
        </w:rPr>
        <w:t>Cheon</w:t>
      </w:r>
      <w:proofErr w:type="spellEnd"/>
      <w:r>
        <w:rPr>
          <w:rFonts w:ascii="Book Antiqua" w:eastAsia="Book Antiqua" w:hAnsi="Book Antiqua" w:cs="Book Antiqua"/>
          <w:color w:val="000000"/>
        </w:rPr>
        <w:t xml:space="preserve"> JH, </w:t>
      </w:r>
      <w:proofErr w:type="spellStart"/>
      <w:r>
        <w:rPr>
          <w:rFonts w:ascii="Book Antiqua" w:eastAsia="Book Antiqua" w:hAnsi="Book Antiqua" w:cs="Book Antiqua"/>
          <w:color w:val="000000"/>
        </w:rPr>
        <w:t>Im</w:t>
      </w:r>
      <w:proofErr w:type="spellEnd"/>
      <w:r>
        <w:rPr>
          <w:rFonts w:ascii="Book Antiqua" w:eastAsia="Book Antiqua" w:hAnsi="Book Antiqua" w:cs="Book Antiqua"/>
          <w:color w:val="000000"/>
        </w:rPr>
        <w:t xml:space="preserve"> JP, Kim YS, Lee SY, Lee SJ. Post-marketing study of biosimilar infliximab (CT-P13) to evaluate its safety and efficacy in Korea. </w:t>
      </w:r>
      <w:r>
        <w:rPr>
          <w:rFonts w:ascii="Book Antiqua" w:eastAsia="Book Antiqua" w:hAnsi="Book Antiqua" w:cs="Book Antiqua"/>
          <w:i/>
          <w:iCs/>
          <w:color w:val="000000"/>
        </w:rPr>
        <w:t>Expert Rev Gastroenterol Hepatol</w:t>
      </w:r>
      <w:r>
        <w:rPr>
          <w:rFonts w:ascii="Book Antiqua" w:eastAsia="Book Antiqua" w:hAnsi="Book Antiqua" w:cs="Book Antiqua"/>
          <w:color w:val="000000"/>
        </w:rPr>
        <w:t xml:space="preserve"> 2015; </w:t>
      </w:r>
      <w:r>
        <w:rPr>
          <w:rFonts w:ascii="Book Antiqua" w:eastAsia="Book Antiqua" w:hAnsi="Book Antiqua" w:cs="Book Antiqua"/>
          <w:b/>
          <w:bCs/>
          <w:color w:val="000000"/>
        </w:rPr>
        <w:t>9 Suppl 1</w:t>
      </w:r>
      <w:r>
        <w:rPr>
          <w:rFonts w:ascii="Book Antiqua" w:eastAsia="Book Antiqua" w:hAnsi="Book Antiqua" w:cs="Book Antiqua"/>
          <w:color w:val="000000"/>
        </w:rPr>
        <w:t>: 35-44 [PMID: 26395533 DOI: 10.1586/17474124.2015.1091309]</w:t>
      </w:r>
    </w:p>
    <w:p w14:paraId="6837DCCF" w14:textId="77777777" w:rsidR="00A77B3E" w:rsidRDefault="005513F1" w:rsidP="00CA3946">
      <w:pPr>
        <w:spacing w:line="360" w:lineRule="auto"/>
        <w:jc w:val="both"/>
      </w:pPr>
      <w:r>
        <w:rPr>
          <w:rFonts w:ascii="Book Antiqua" w:eastAsia="Book Antiqua" w:hAnsi="Book Antiqua" w:cs="Book Antiqua"/>
          <w:color w:val="000000"/>
        </w:rPr>
        <w:t xml:space="preserve">47 </w:t>
      </w:r>
      <w:r>
        <w:rPr>
          <w:rFonts w:ascii="Book Antiqua" w:eastAsia="Book Antiqua" w:hAnsi="Book Antiqua" w:cs="Book Antiqua"/>
          <w:b/>
          <w:bCs/>
          <w:color w:val="000000"/>
        </w:rPr>
        <w:t>Blonde L</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Khunti</w:t>
      </w:r>
      <w:proofErr w:type="spellEnd"/>
      <w:r>
        <w:rPr>
          <w:rFonts w:ascii="Book Antiqua" w:eastAsia="Book Antiqua" w:hAnsi="Book Antiqua" w:cs="Book Antiqua"/>
          <w:color w:val="000000"/>
        </w:rPr>
        <w:t xml:space="preserve"> K, Harris SB, </w:t>
      </w:r>
      <w:proofErr w:type="spellStart"/>
      <w:r>
        <w:rPr>
          <w:rFonts w:ascii="Book Antiqua" w:eastAsia="Book Antiqua" w:hAnsi="Book Antiqua" w:cs="Book Antiqua"/>
          <w:color w:val="000000"/>
        </w:rPr>
        <w:t>Meizinger</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Skolnik</w:t>
      </w:r>
      <w:proofErr w:type="spellEnd"/>
      <w:r>
        <w:rPr>
          <w:rFonts w:ascii="Book Antiqua" w:eastAsia="Book Antiqua" w:hAnsi="Book Antiqua" w:cs="Book Antiqua"/>
          <w:color w:val="000000"/>
        </w:rPr>
        <w:t xml:space="preserve"> NS. Interpretation and Impact of Real-World Clinical Data for the Practicing Clinician. </w:t>
      </w:r>
      <w:proofErr w:type="spellStart"/>
      <w:r>
        <w:rPr>
          <w:rFonts w:ascii="Book Antiqua" w:eastAsia="Book Antiqua" w:hAnsi="Book Antiqua" w:cs="Book Antiqua"/>
          <w:i/>
          <w:iCs/>
          <w:color w:val="000000"/>
        </w:rPr>
        <w:t>Adv</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35</w:t>
      </w:r>
      <w:r>
        <w:rPr>
          <w:rFonts w:ascii="Book Antiqua" w:eastAsia="Book Antiqua" w:hAnsi="Book Antiqua" w:cs="Book Antiqua"/>
          <w:color w:val="000000"/>
        </w:rPr>
        <w:t>: 1763-1774 [PMID: 30357570 DOI: 10.1007/s12325-018-0805-y]</w:t>
      </w:r>
    </w:p>
    <w:p w14:paraId="421EDC92" w14:textId="77777777" w:rsidR="00A77B3E" w:rsidRDefault="005513F1" w:rsidP="00CA3946">
      <w:pPr>
        <w:spacing w:line="360" w:lineRule="auto"/>
        <w:jc w:val="both"/>
      </w:pPr>
      <w:r>
        <w:rPr>
          <w:rFonts w:ascii="Book Antiqua" w:eastAsia="Book Antiqua" w:hAnsi="Book Antiqua" w:cs="Book Antiqua"/>
          <w:color w:val="000000"/>
        </w:rPr>
        <w:t xml:space="preserve">48 </w:t>
      </w:r>
      <w:proofErr w:type="spellStart"/>
      <w:r>
        <w:rPr>
          <w:rFonts w:ascii="Book Antiqua" w:eastAsia="Book Antiqua" w:hAnsi="Book Antiqua" w:cs="Book Antiqua"/>
          <w:b/>
          <w:bCs/>
          <w:color w:val="000000"/>
        </w:rPr>
        <w:t>Farkas</w:t>
      </w:r>
      <w:proofErr w:type="spellEnd"/>
      <w:r>
        <w:rPr>
          <w:rFonts w:ascii="Book Antiqua" w:eastAsia="Book Antiqua" w:hAnsi="Book Antiqua" w:cs="Book Antiqua"/>
          <w:b/>
          <w:bCs/>
          <w:color w:val="000000"/>
        </w:rPr>
        <w:t xml:space="preserve"> K</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Rutka</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Golovics</w:t>
      </w:r>
      <w:proofErr w:type="spellEnd"/>
      <w:r>
        <w:rPr>
          <w:rFonts w:ascii="Book Antiqua" w:eastAsia="Book Antiqua" w:hAnsi="Book Antiqua" w:cs="Book Antiqua"/>
          <w:color w:val="000000"/>
        </w:rPr>
        <w:t xml:space="preserve"> PA, </w:t>
      </w:r>
      <w:proofErr w:type="spellStart"/>
      <w:r>
        <w:rPr>
          <w:rFonts w:ascii="Book Antiqua" w:eastAsia="Book Antiqua" w:hAnsi="Book Antiqua" w:cs="Book Antiqua"/>
          <w:color w:val="000000"/>
        </w:rPr>
        <w:t>Végh</w:t>
      </w:r>
      <w:proofErr w:type="spellEnd"/>
      <w:r>
        <w:rPr>
          <w:rFonts w:ascii="Book Antiqua" w:eastAsia="Book Antiqua" w:hAnsi="Book Antiqua" w:cs="Book Antiqua"/>
          <w:color w:val="000000"/>
        </w:rPr>
        <w:t xml:space="preserve"> Z, </w:t>
      </w:r>
      <w:proofErr w:type="spellStart"/>
      <w:r>
        <w:rPr>
          <w:rFonts w:ascii="Book Antiqua" w:eastAsia="Book Antiqua" w:hAnsi="Book Antiqua" w:cs="Book Antiqua"/>
          <w:color w:val="000000"/>
        </w:rPr>
        <w:t>Lovász</w:t>
      </w:r>
      <w:proofErr w:type="spellEnd"/>
      <w:r>
        <w:rPr>
          <w:rFonts w:ascii="Book Antiqua" w:eastAsia="Book Antiqua" w:hAnsi="Book Antiqua" w:cs="Book Antiqua"/>
          <w:color w:val="000000"/>
        </w:rPr>
        <w:t xml:space="preserve"> BD, </w:t>
      </w:r>
      <w:proofErr w:type="spellStart"/>
      <w:r>
        <w:rPr>
          <w:rFonts w:ascii="Book Antiqua" w:eastAsia="Book Antiqua" w:hAnsi="Book Antiqua" w:cs="Book Antiqua"/>
          <w:color w:val="000000"/>
        </w:rPr>
        <w:t>Nyári</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Gecse</w:t>
      </w:r>
      <w:proofErr w:type="spellEnd"/>
      <w:r>
        <w:rPr>
          <w:rFonts w:ascii="Book Antiqua" w:eastAsia="Book Antiqua" w:hAnsi="Book Antiqua" w:cs="Book Antiqua"/>
          <w:color w:val="000000"/>
        </w:rPr>
        <w:t xml:space="preserve"> KB, Kolar M, </w:t>
      </w:r>
      <w:proofErr w:type="spellStart"/>
      <w:r>
        <w:rPr>
          <w:rFonts w:ascii="Book Antiqua" w:eastAsia="Book Antiqua" w:hAnsi="Book Antiqua" w:cs="Book Antiqua"/>
          <w:color w:val="000000"/>
        </w:rPr>
        <w:t>Bortlik</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Duricova</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Machkova</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Hruba</w:t>
      </w:r>
      <w:proofErr w:type="spellEnd"/>
      <w:r>
        <w:rPr>
          <w:rFonts w:ascii="Book Antiqua" w:eastAsia="Book Antiqua" w:hAnsi="Book Antiqua" w:cs="Book Antiqua"/>
          <w:color w:val="000000"/>
        </w:rPr>
        <w:t xml:space="preserve"> V, Lukas M, </w:t>
      </w:r>
      <w:proofErr w:type="spellStart"/>
      <w:r>
        <w:rPr>
          <w:rFonts w:ascii="Book Antiqua" w:eastAsia="Book Antiqua" w:hAnsi="Book Antiqua" w:cs="Book Antiqua"/>
          <w:color w:val="000000"/>
        </w:rPr>
        <w:t>Mitrova</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Malickova</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Bálint</w:t>
      </w:r>
      <w:proofErr w:type="spellEnd"/>
      <w:r>
        <w:rPr>
          <w:rFonts w:ascii="Book Antiqua" w:eastAsia="Book Antiqua" w:hAnsi="Book Antiqua" w:cs="Book Antiqua"/>
          <w:color w:val="000000"/>
        </w:rPr>
        <w:t xml:space="preserve"> A, Nagy F, </w:t>
      </w:r>
      <w:proofErr w:type="spellStart"/>
      <w:r>
        <w:rPr>
          <w:rFonts w:ascii="Book Antiqua" w:eastAsia="Book Antiqua" w:hAnsi="Book Antiqua" w:cs="Book Antiqua"/>
          <w:color w:val="000000"/>
        </w:rPr>
        <w:t>Bor</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Milassin</w:t>
      </w:r>
      <w:proofErr w:type="spellEnd"/>
      <w:r>
        <w:rPr>
          <w:rFonts w:ascii="Book Antiqua" w:eastAsia="Book Antiqua" w:hAnsi="Book Antiqua" w:cs="Book Antiqua"/>
          <w:color w:val="000000"/>
        </w:rPr>
        <w:t xml:space="preserve"> Á, </w:t>
      </w:r>
      <w:proofErr w:type="spellStart"/>
      <w:r>
        <w:rPr>
          <w:rFonts w:ascii="Book Antiqua" w:eastAsia="Book Antiqua" w:hAnsi="Book Antiqua" w:cs="Book Antiqua"/>
          <w:color w:val="000000"/>
        </w:rPr>
        <w:t>Szepes</w:t>
      </w:r>
      <w:proofErr w:type="spellEnd"/>
      <w:r>
        <w:rPr>
          <w:rFonts w:ascii="Book Antiqua" w:eastAsia="Book Antiqua" w:hAnsi="Book Antiqua" w:cs="Book Antiqua"/>
          <w:color w:val="000000"/>
        </w:rPr>
        <w:t xml:space="preserve"> Z, Palatka K, Lakatos PL, Lukas M, </w:t>
      </w:r>
      <w:proofErr w:type="spellStart"/>
      <w:r>
        <w:rPr>
          <w:rFonts w:ascii="Book Antiqua" w:eastAsia="Book Antiqua" w:hAnsi="Book Antiqua" w:cs="Book Antiqua"/>
          <w:color w:val="000000"/>
        </w:rPr>
        <w:t>Molnár</w:t>
      </w:r>
      <w:proofErr w:type="spellEnd"/>
      <w:r>
        <w:rPr>
          <w:rFonts w:ascii="Book Antiqua" w:eastAsia="Book Antiqua" w:hAnsi="Book Antiqua" w:cs="Book Antiqua"/>
          <w:color w:val="000000"/>
        </w:rPr>
        <w:t xml:space="preserve"> T. Efficacy of Infliximab Biosimilar CT-P13 Induction Therapy on Mucosal Healing in Ulcerative Colitis.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Crohns</w:t>
      </w:r>
      <w:proofErr w:type="spellEnd"/>
      <w:r>
        <w:rPr>
          <w:rFonts w:ascii="Book Antiqua" w:eastAsia="Book Antiqua" w:hAnsi="Book Antiqua" w:cs="Book Antiqua"/>
          <w:i/>
          <w:iCs/>
          <w:color w:val="000000"/>
        </w:rPr>
        <w:t xml:space="preserve"> Colitis</w:t>
      </w:r>
      <w:r>
        <w:rPr>
          <w:rFonts w:ascii="Book Antiqua" w:eastAsia="Book Antiqua" w:hAnsi="Book Antiqua" w:cs="Book Antiqua"/>
          <w:color w:val="000000"/>
        </w:rPr>
        <w:t xml:space="preserve"> 2016; </w:t>
      </w:r>
      <w:r>
        <w:rPr>
          <w:rFonts w:ascii="Book Antiqua" w:eastAsia="Book Antiqua" w:hAnsi="Book Antiqua" w:cs="Book Antiqua"/>
          <w:b/>
          <w:bCs/>
          <w:color w:val="000000"/>
        </w:rPr>
        <w:t>10</w:t>
      </w:r>
      <w:r>
        <w:rPr>
          <w:rFonts w:ascii="Book Antiqua" w:eastAsia="Book Antiqua" w:hAnsi="Book Antiqua" w:cs="Book Antiqua"/>
          <w:color w:val="000000"/>
        </w:rPr>
        <w:t>: 1273-1278 [PMID: 27106537 DOI: 10.1093/</w:t>
      </w:r>
      <w:proofErr w:type="spellStart"/>
      <w:r>
        <w:rPr>
          <w:rFonts w:ascii="Book Antiqua" w:eastAsia="Book Antiqua" w:hAnsi="Book Antiqua" w:cs="Book Antiqua"/>
          <w:color w:val="000000"/>
        </w:rPr>
        <w:t>ecco-jcc</w:t>
      </w:r>
      <w:proofErr w:type="spellEnd"/>
      <w:r>
        <w:rPr>
          <w:rFonts w:ascii="Book Antiqua" w:eastAsia="Book Antiqua" w:hAnsi="Book Antiqua" w:cs="Book Antiqua"/>
          <w:color w:val="000000"/>
        </w:rPr>
        <w:t>/jjw085]</w:t>
      </w:r>
    </w:p>
    <w:p w14:paraId="3500B20B" w14:textId="77777777" w:rsidR="00A77B3E" w:rsidRDefault="005513F1" w:rsidP="00CA3946">
      <w:pPr>
        <w:spacing w:line="360" w:lineRule="auto"/>
        <w:jc w:val="both"/>
      </w:pPr>
      <w:r>
        <w:rPr>
          <w:rFonts w:ascii="Book Antiqua" w:eastAsia="Book Antiqua" w:hAnsi="Book Antiqua" w:cs="Book Antiqua"/>
          <w:color w:val="000000"/>
        </w:rPr>
        <w:t xml:space="preserve">49 </w:t>
      </w:r>
      <w:proofErr w:type="spellStart"/>
      <w:r>
        <w:rPr>
          <w:rFonts w:ascii="Book Antiqua" w:eastAsia="Book Antiqua" w:hAnsi="Book Antiqua" w:cs="Book Antiqua"/>
          <w:b/>
          <w:bCs/>
          <w:color w:val="000000"/>
        </w:rPr>
        <w:t>Tursi</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Mocci G, </w:t>
      </w:r>
      <w:proofErr w:type="spellStart"/>
      <w:r>
        <w:rPr>
          <w:rFonts w:ascii="Book Antiqua" w:eastAsia="Book Antiqua" w:hAnsi="Book Antiqua" w:cs="Book Antiqua"/>
          <w:color w:val="000000"/>
        </w:rPr>
        <w:t>Faggiani</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Allegretta</w:t>
      </w:r>
      <w:proofErr w:type="spellEnd"/>
      <w:r>
        <w:rPr>
          <w:rFonts w:ascii="Book Antiqua" w:eastAsia="Book Antiqua" w:hAnsi="Book Antiqua" w:cs="Book Antiqua"/>
          <w:color w:val="000000"/>
        </w:rPr>
        <w:t xml:space="preserve"> L, Valle ND, </w:t>
      </w:r>
      <w:proofErr w:type="spellStart"/>
      <w:r>
        <w:rPr>
          <w:rFonts w:ascii="Book Antiqua" w:eastAsia="Book Antiqua" w:hAnsi="Book Antiqua" w:cs="Book Antiqua"/>
          <w:color w:val="000000"/>
        </w:rPr>
        <w:t>Forti</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Franceschi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Ferronato</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Gallina</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Larussa</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Luzza</w:t>
      </w:r>
      <w:proofErr w:type="spellEnd"/>
      <w:r>
        <w:rPr>
          <w:rFonts w:ascii="Book Antiqua" w:eastAsia="Book Antiqua" w:hAnsi="Book Antiqua" w:cs="Book Antiqua"/>
          <w:color w:val="000000"/>
        </w:rPr>
        <w:t xml:space="preserve"> F, Lorenzetti R, Penna A, </w:t>
      </w:r>
      <w:proofErr w:type="spellStart"/>
      <w:r>
        <w:rPr>
          <w:rFonts w:ascii="Book Antiqua" w:eastAsia="Book Antiqua" w:hAnsi="Book Antiqua" w:cs="Book Antiqua"/>
          <w:color w:val="000000"/>
        </w:rPr>
        <w:t>Rodino</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Sebkova</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Lauria</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Piergallini</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Pranzo</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Ricciardelli</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Zampaletta</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Elisei</w:t>
      </w:r>
      <w:proofErr w:type="spellEnd"/>
      <w:r>
        <w:rPr>
          <w:rFonts w:ascii="Book Antiqua" w:eastAsia="Book Antiqua" w:hAnsi="Book Antiqua" w:cs="Book Antiqua"/>
          <w:color w:val="000000"/>
        </w:rPr>
        <w:t xml:space="preserve"> W, </w:t>
      </w:r>
      <w:proofErr w:type="spellStart"/>
      <w:r>
        <w:rPr>
          <w:rFonts w:ascii="Book Antiqua" w:eastAsia="Book Antiqua" w:hAnsi="Book Antiqua" w:cs="Book Antiqua"/>
          <w:color w:val="000000"/>
        </w:rPr>
        <w:t>Picchio</w:t>
      </w:r>
      <w:proofErr w:type="spellEnd"/>
      <w:r>
        <w:rPr>
          <w:rFonts w:ascii="Book Antiqua" w:eastAsia="Book Antiqua" w:hAnsi="Book Antiqua" w:cs="Book Antiqua"/>
          <w:color w:val="000000"/>
        </w:rPr>
        <w:t xml:space="preserve"> M. Infliximab biosimilar CT-P13 is effective and safe in treating inflammatory bowel diseases: a real-life multicenter, observational study in Italian primary inflammatory bowel disease centers. </w:t>
      </w:r>
      <w:r>
        <w:rPr>
          <w:rFonts w:ascii="Book Antiqua" w:eastAsia="Book Antiqua" w:hAnsi="Book Antiqua" w:cs="Book Antiqua"/>
          <w:i/>
          <w:iCs/>
          <w:color w:val="000000"/>
        </w:rPr>
        <w:t>Ann Gastroenterol</w:t>
      </w:r>
      <w:r>
        <w:rPr>
          <w:rFonts w:ascii="Book Antiqua" w:eastAsia="Book Antiqua" w:hAnsi="Book Antiqua" w:cs="Book Antiqua"/>
          <w:color w:val="000000"/>
        </w:rPr>
        <w:t xml:space="preserve"> 2019; </w:t>
      </w:r>
      <w:r>
        <w:rPr>
          <w:rFonts w:ascii="Book Antiqua" w:eastAsia="Book Antiqua" w:hAnsi="Book Antiqua" w:cs="Book Antiqua"/>
          <w:b/>
          <w:bCs/>
          <w:color w:val="000000"/>
        </w:rPr>
        <w:t>32</w:t>
      </w:r>
      <w:r>
        <w:rPr>
          <w:rFonts w:ascii="Book Antiqua" w:eastAsia="Book Antiqua" w:hAnsi="Book Antiqua" w:cs="Book Antiqua"/>
          <w:color w:val="000000"/>
        </w:rPr>
        <w:t>: 392-399 [PMID: 31263362 DOI: 10.20524/aog.2019.0377]</w:t>
      </w:r>
    </w:p>
    <w:p w14:paraId="76BB2423" w14:textId="77777777" w:rsidR="00A77B3E" w:rsidRDefault="005513F1" w:rsidP="00CA3946">
      <w:pPr>
        <w:spacing w:line="360" w:lineRule="auto"/>
        <w:jc w:val="both"/>
      </w:pPr>
      <w:r>
        <w:rPr>
          <w:rFonts w:ascii="Book Antiqua" w:eastAsia="Book Antiqua" w:hAnsi="Book Antiqua" w:cs="Book Antiqua"/>
          <w:color w:val="000000"/>
        </w:rPr>
        <w:t xml:space="preserve">50 </w:t>
      </w:r>
      <w:r>
        <w:rPr>
          <w:rFonts w:ascii="Book Antiqua" w:eastAsia="Book Antiqua" w:hAnsi="Book Antiqua" w:cs="Book Antiqua"/>
          <w:b/>
          <w:bCs/>
          <w:color w:val="000000"/>
        </w:rPr>
        <w:t>Ye BD</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Pesegova</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Alexeeva</w:t>
      </w:r>
      <w:proofErr w:type="spellEnd"/>
      <w:r>
        <w:rPr>
          <w:rFonts w:ascii="Book Antiqua" w:eastAsia="Book Antiqua" w:hAnsi="Book Antiqua" w:cs="Book Antiqua"/>
          <w:color w:val="000000"/>
        </w:rPr>
        <w:t xml:space="preserve"> O, </w:t>
      </w:r>
      <w:proofErr w:type="spellStart"/>
      <w:r>
        <w:rPr>
          <w:rFonts w:ascii="Book Antiqua" w:eastAsia="Book Antiqua" w:hAnsi="Book Antiqua" w:cs="Book Antiqua"/>
          <w:color w:val="000000"/>
        </w:rPr>
        <w:t>Osipenko</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Lahat</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Dorofeyev</w:t>
      </w:r>
      <w:proofErr w:type="spellEnd"/>
      <w:r>
        <w:rPr>
          <w:rFonts w:ascii="Book Antiqua" w:eastAsia="Book Antiqua" w:hAnsi="Book Antiqua" w:cs="Book Antiqua"/>
          <w:color w:val="000000"/>
        </w:rPr>
        <w:t xml:space="preserve"> A, Fishman S, </w:t>
      </w:r>
      <w:proofErr w:type="spellStart"/>
      <w:r>
        <w:rPr>
          <w:rFonts w:ascii="Book Antiqua" w:eastAsia="Book Antiqua" w:hAnsi="Book Antiqua" w:cs="Book Antiqua"/>
          <w:color w:val="000000"/>
        </w:rPr>
        <w:t>Levchenko</w:t>
      </w:r>
      <w:proofErr w:type="spellEnd"/>
      <w:r>
        <w:rPr>
          <w:rFonts w:ascii="Book Antiqua" w:eastAsia="Book Antiqua" w:hAnsi="Book Antiqua" w:cs="Book Antiqua"/>
          <w:color w:val="000000"/>
        </w:rPr>
        <w:t xml:space="preserve"> O, </w:t>
      </w:r>
      <w:proofErr w:type="spellStart"/>
      <w:r>
        <w:rPr>
          <w:rFonts w:ascii="Book Antiqua" w:eastAsia="Book Antiqua" w:hAnsi="Book Antiqua" w:cs="Book Antiqua"/>
          <w:color w:val="000000"/>
        </w:rPr>
        <w:t>Cheon</w:t>
      </w:r>
      <w:proofErr w:type="spellEnd"/>
      <w:r>
        <w:rPr>
          <w:rFonts w:ascii="Book Antiqua" w:eastAsia="Book Antiqua" w:hAnsi="Book Antiqua" w:cs="Book Antiqua"/>
          <w:color w:val="000000"/>
        </w:rPr>
        <w:t xml:space="preserve"> JH, </w:t>
      </w:r>
      <w:proofErr w:type="spellStart"/>
      <w:r>
        <w:rPr>
          <w:rFonts w:ascii="Book Antiqua" w:eastAsia="Book Antiqua" w:hAnsi="Book Antiqua" w:cs="Book Antiqua"/>
          <w:color w:val="000000"/>
        </w:rPr>
        <w:t>Scribano</w:t>
      </w:r>
      <w:proofErr w:type="spellEnd"/>
      <w:r>
        <w:rPr>
          <w:rFonts w:ascii="Book Antiqua" w:eastAsia="Book Antiqua" w:hAnsi="Book Antiqua" w:cs="Book Antiqua"/>
          <w:color w:val="000000"/>
        </w:rPr>
        <w:t xml:space="preserve"> ML, </w:t>
      </w:r>
      <w:proofErr w:type="spellStart"/>
      <w:r>
        <w:rPr>
          <w:rFonts w:ascii="Book Antiqua" w:eastAsia="Book Antiqua" w:hAnsi="Book Antiqua" w:cs="Book Antiqua"/>
          <w:color w:val="000000"/>
        </w:rPr>
        <w:t>Mateescu</w:t>
      </w:r>
      <w:proofErr w:type="spellEnd"/>
      <w:r>
        <w:rPr>
          <w:rFonts w:ascii="Book Antiqua" w:eastAsia="Book Antiqua" w:hAnsi="Book Antiqua" w:cs="Book Antiqua"/>
          <w:color w:val="000000"/>
        </w:rPr>
        <w:t xml:space="preserve"> RB, Lee KM, </w:t>
      </w:r>
      <w:proofErr w:type="spellStart"/>
      <w:r>
        <w:rPr>
          <w:rFonts w:ascii="Book Antiqua" w:eastAsia="Book Antiqua" w:hAnsi="Book Antiqua" w:cs="Book Antiqua"/>
          <w:color w:val="000000"/>
        </w:rPr>
        <w:t>Eun</w:t>
      </w:r>
      <w:proofErr w:type="spellEnd"/>
      <w:r>
        <w:rPr>
          <w:rFonts w:ascii="Book Antiqua" w:eastAsia="Book Antiqua" w:hAnsi="Book Antiqua" w:cs="Book Antiqua"/>
          <w:color w:val="000000"/>
        </w:rPr>
        <w:t xml:space="preserve"> CS, Lee SJ, Lee SY, </w:t>
      </w:r>
      <w:r>
        <w:rPr>
          <w:rFonts w:ascii="Book Antiqua" w:eastAsia="Book Antiqua" w:hAnsi="Book Antiqua" w:cs="Book Antiqua"/>
          <w:color w:val="000000"/>
        </w:rPr>
        <w:lastRenderedPageBreak/>
        <w:t xml:space="preserve">Kim H, Schreiber S, Fowler H, Cheung R, Kim YH. Efficacy and safety of biosimilar CT-P13 compared with originator infliximab in patients with active Crohn's disease: an international, </w:t>
      </w:r>
      <w:proofErr w:type="spellStart"/>
      <w:r>
        <w:rPr>
          <w:rFonts w:ascii="Book Antiqua" w:eastAsia="Book Antiqua" w:hAnsi="Book Antiqua" w:cs="Book Antiqua"/>
          <w:color w:val="000000"/>
        </w:rPr>
        <w:t>randomised</w:t>
      </w:r>
      <w:proofErr w:type="spellEnd"/>
      <w:r>
        <w:rPr>
          <w:rFonts w:ascii="Book Antiqua" w:eastAsia="Book Antiqua" w:hAnsi="Book Antiqua" w:cs="Book Antiqua"/>
          <w:color w:val="000000"/>
        </w:rPr>
        <w:t xml:space="preserve">, double-blind, phase 3 non-inferiority study. </w:t>
      </w:r>
      <w:r>
        <w:rPr>
          <w:rFonts w:ascii="Book Antiqua" w:eastAsia="Book Antiqua" w:hAnsi="Book Antiqua" w:cs="Book Antiqua"/>
          <w:i/>
          <w:iCs/>
          <w:color w:val="000000"/>
        </w:rPr>
        <w:t>Lancet</w:t>
      </w:r>
      <w:r>
        <w:rPr>
          <w:rFonts w:ascii="Book Antiqua" w:eastAsia="Book Antiqua" w:hAnsi="Book Antiqua" w:cs="Book Antiqua"/>
          <w:color w:val="000000"/>
        </w:rPr>
        <w:t xml:space="preserve"> 2019; </w:t>
      </w:r>
      <w:r>
        <w:rPr>
          <w:rFonts w:ascii="Book Antiqua" w:eastAsia="Book Antiqua" w:hAnsi="Book Antiqua" w:cs="Book Antiqua"/>
          <w:b/>
          <w:bCs/>
          <w:color w:val="000000"/>
        </w:rPr>
        <w:t>393</w:t>
      </w:r>
      <w:r>
        <w:rPr>
          <w:rFonts w:ascii="Book Antiqua" w:eastAsia="Book Antiqua" w:hAnsi="Book Antiqua" w:cs="Book Antiqua"/>
          <w:color w:val="000000"/>
        </w:rPr>
        <w:t>: 1699-1707 [PMID: 30929895 DOI: 10.1016/S0140-6736(18)32196-2]</w:t>
      </w:r>
    </w:p>
    <w:p w14:paraId="0466523F" w14:textId="77777777" w:rsidR="00A77B3E" w:rsidRDefault="00A77B3E" w:rsidP="00CA3946">
      <w:pPr>
        <w:spacing w:line="360" w:lineRule="auto"/>
        <w:jc w:val="both"/>
        <w:sectPr w:rsidR="00A77B3E">
          <w:pgSz w:w="12240" w:h="15840"/>
          <w:pgMar w:top="1440" w:right="1440" w:bottom="1440" w:left="1440" w:header="720" w:footer="720" w:gutter="0"/>
          <w:cols w:space="720"/>
          <w:docGrid w:linePitch="360"/>
        </w:sectPr>
      </w:pPr>
    </w:p>
    <w:p w14:paraId="646DF45B" w14:textId="77777777" w:rsidR="00A77B3E" w:rsidRDefault="005513F1" w:rsidP="00CA3946">
      <w:pPr>
        <w:spacing w:line="360" w:lineRule="auto"/>
        <w:jc w:val="both"/>
      </w:pPr>
      <w:r>
        <w:rPr>
          <w:rFonts w:ascii="Book Antiqua" w:eastAsia="Book Antiqua" w:hAnsi="Book Antiqua" w:cs="Book Antiqua"/>
          <w:b/>
          <w:color w:val="000000"/>
        </w:rPr>
        <w:lastRenderedPageBreak/>
        <w:t>Footnotes</w:t>
      </w:r>
    </w:p>
    <w:p w14:paraId="69442D1C" w14:textId="77777777" w:rsidR="00A77B3E" w:rsidRDefault="005513F1" w:rsidP="00CA3946">
      <w:pPr>
        <w:spacing w:line="360" w:lineRule="auto"/>
        <w:jc w:val="both"/>
      </w:pPr>
      <w:r>
        <w:rPr>
          <w:rFonts w:ascii="Book Antiqua" w:eastAsia="Book Antiqua" w:hAnsi="Book Antiqua" w:cs="Book Antiqua"/>
          <w:b/>
          <w:bCs/>
          <w:color w:val="000000"/>
        </w:rPr>
        <w:t xml:space="preserve">Institutional review board statement: </w:t>
      </w:r>
      <w:r>
        <w:rPr>
          <w:rFonts w:ascii="Book Antiqua" w:eastAsia="Book Antiqua" w:hAnsi="Book Antiqua" w:cs="Book Antiqua"/>
          <w:color w:val="000000"/>
        </w:rPr>
        <w:t>The study was approved by the Hospital General Universitario de Valencia Ethics Committee. </w:t>
      </w:r>
    </w:p>
    <w:p w14:paraId="77837425" w14:textId="77777777" w:rsidR="00A77B3E" w:rsidRDefault="00A77B3E" w:rsidP="00CA3946">
      <w:pPr>
        <w:spacing w:line="360" w:lineRule="auto"/>
        <w:jc w:val="both"/>
      </w:pPr>
    </w:p>
    <w:p w14:paraId="090B9BA4" w14:textId="77777777" w:rsidR="00A77B3E" w:rsidRDefault="005513F1" w:rsidP="00CA3946">
      <w:pPr>
        <w:spacing w:line="360" w:lineRule="auto"/>
        <w:jc w:val="both"/>
      </w:pPr>
      <w:r>
        <w:rPr>
          <w:rFonts w:ascii="Book Antiqua" w:eastAsia="Book Antiqua" w:hAnsi="Book Antiqua" w:cs="Book Antiqua"/>
          <w:b/>
          <w:bCs/>
          <w:color w:val="000000"/>
        </w:rPr>
        <w:t xml:space="preserve">Informed consent statement: </w:t>
      </w:r>
      <w:r>
        <w:rPr>
          <w:rFonts w:ascii="Book Antiqua" w:eastAsia="Book Antiqua" w:hAnsi="Book Antiqua" w:cs="Book Antiqua"/>
          <w:color w:val="000000"/>
        </w:rPr>
        <w:t>Informed consents were obtained from all individual participants included in the study.</w:t>
      </w:r>
    </w:p>
    <w:p w14:paraId="1D5EA125" w14:textId="77777777" w:rsidR="00A77B3E" w:rsidRDefault="00A77B3E" w:rsidP="00CA3946">
      <w:pPr>
        <w:spacing w:line="360" w:lineRule="auto"/>
        <w:jc w:val="both"/>
      </w:pPr>
    </w:p>
    <w:p w14:paraId="74DE23F1" w14:textId="3C0F564C" w:rsidR="00841D16" w:rsidRDefault="005513F1" w:rsidP="00CA3946">
      <w:pPr>
        <w:spacing w:line="360" w:lineRule="auto"/>
        <w:jc w:val="both"/>
      </w:pPr>
      <w:r>
        <w:rPr>
          <w:rFonts w:ascii="Book Antiqua" w:eastAsia="Book Antiqua" w:hAnsi="Book Antiqua" w:cs="Book Antiqua"/>
          <w:b/>
          <w:bCs/>
          <w:color w:val="000000"/>
        </w:rPr>
        <w:t xml:space="preserve">Conflict-of-interest statement: </w:t>
      </w:r>
      <w:bookmarkStart w:id="7" w:name="OLE_LINK204"/>
      <w:bookmarkStart w:id="8" w:name="OLE_LINK205"/>
      <w:r w:rsidR="00841D16" w:rsidRPr="00841D16">
        <w:rPr>
          <w:rFonts w:ascii="Book Antiqua" w:eastAsia="Book Antiqua" w:hAnsi="Book Antiqua" w:cs="Book Antiqua"/>
          <w:color w:val="000000"/>
        </w:rPr>
        <w:t xml:space="preserve">Jose M </w:t>
      </w:r>
      <w:proofErr w:type="spellStart"/>
      <w:r w:rsidR="00841D16" w:rsidRPr="00841D16">
        <w:rPr>
          <w:rFonts w:ascii="Book Antiqua" w:eastAsia="Book Antiqua" w:hAnsi="Book Antiqua" w:cs="Book Antiqua"/>
          <w:color w:val="000000"/>
        </w:rPr>
        <w:t>Huguet</w:t>
      </w:r>
      <w:proofErr w:type="spellEnd"/>
      <w:r w:rsidR="00841D16" w:rsidRPr="00841D16">
        <w:rPr>
          <w:rFonts w:ascii="Book Antiqua" w:eastAsia="Book Antiqua" w:hAnsi="Book Antiqua" w:cs="Book Antiqua"/>
          <w:color w:val="000000"/>
        </w:rPr>
        <w:t xml:space="preserve"> declares educational activities, research projects, scientific meetings, and advisory boards sponsored by MSD, Ferring, AbbVie, Janssen, Biogen, Sandoz, Kern Pharma, and Takeda. </w:t>
      </w:r>
      <w:r w:rsidR="00001A00" w:rsidRPr="00841D16">
        <w:rPr>
          <w:rFonts w:ascii="Book Antiqua" w:eastAsia="Book Antiqua" w:hAnsi="Book Antiqua" w:cs="Book Antiqua"/>
          <w:color w:val="000000"/>
          <w:lang w:val="es-ES"/>
        </w:rPr>
        <w:t>Marta Maia</w:t>
      </w:r>
      <w:r w:rsidR="00001A00" w:rsidRPr="00841D16">
        <w:rPr>
          <w:rFonts w:ascii="Book Antiqua" w:eastAsia="Book Antiqua" w:hAnsi="Book Antiqua" w:cs="Book Antiqua"/>
          <w:color w:val="000000"/>
        </w:rPr>
        <w:t xml:space="preserve"> </w:t>
      </w:r>
      <w:proofErr w:type="spellStart"/>
      <w:r w:rsidR="00841D16" w:rsidRPr="00841D16">
        <w:rPr>
          <w:rFonts w:ascii="Book Antiqua" w:eastAsia="Book Antiqua" w:hAnsi="Book Antiqua" w:cs="Book Antiqua"/>
          <w:color w:val="000000"/>
        </w:rPr>
        <w:t>Bosca</w:t>
      </w:r>
      <w:proofErr w:type="spellEnd"/>
      <w:r w:rsidR="00841D16" w:rsidRPr="00841D16">
        <w:rPr>
          <w:rFonts w:ascii="Book Antiqua" w:eastAsia="Book Antiqua" w:hAnsi="Book Antiqua" w:cs="Book Antiqua"/>
          <w:color w:val="000000"/>
        </w:rPr>
        <w:t xml:space="preserve">-Watts declares educational activities, research projects, scientific meetings, and advisory boards sponsored by MSD, Ferring, AbbVie, Janssen, Biogen and Takeda. Marian </w:t>
      </w:r>
      <w:proofErr w:type="spellStart"/>
      <w:r w:rsidR="00841D16" w:rsidRPr="00841D16">
        <w:rPr>
          <w:rFonts w:ascii="Book Antiqua" w:eastAsia="Book Antiqua" w:hAnsi="Book Antiqua" w:cs="Book Antiqua"/>
          <w:color w:val="000000"/>
        </w:rPr>
        <w:t>Aguas</w:t>
      </w:r>
      <w:proofErr w:type="spellEnd"/>
      <w:r w:rsidR="00841D16" w:rsidRPr="00841D16">
        <w:rPr>
          <w:rFonts w:ascii="Book Antiqua" w:eastAsia="Book Antiqua" w:hAnsi="Book Antiqua" w:cs="Book Antiqua"/>
          <w:color w:val="000000"/>
        </w:rPr>
        <w:t xml:space="preserve"> has received speaker's honoraria from MSD and Pfizer. </w:t>
      </w:r>
      <w:proofErr w:type="spellStart"/>
      <w:r w:rsidR="00841D16" w:rsidRPr="00841D16">
        <w:rPr>
          <w:rFonts w:ascii="Book Antiqua" w:eastAsia="Book Antiqua" w:hAnsi="Book Antiqua" w:cs="Book Antiqua"/>
          <w:color w:val="000000"/>
        </w:rPr>
        <w:t>Nuria</w:t>
      </w:r>
      <w:proofErr w:type="spellEnd"/>
      <w:r w:rsidR="00841D16" w:rsidRPr="00841D16">
        <w:rPr>
          <w:rFonts w:ascii="Book Antiqua" w:eastAsia="Book Antiqua" w:hAnsi="Book Antiqua" w:cs="Book Antiqua"/>
          <w:color w:val="000000"/>
        </w:rPr>
        <w:t xml:space="preserve"> </w:t>
      </w:r>
      <w:proofErr w:type="spellStart"/>
      <w:r w:rsidR="00841D16" w:rsidRPr="00841D16">
        <w:rPr>
          <w:rFonts w:ascii="Book Antiqua" w:eastAsia="Book Antiqua" w:hAnsi="Book Antiqua" w:cs="Book Antiqua"/>
          <w:color w:val="000000"/>
        </w:rPr>
        <w:t>Maroto</w:t>
      </w:r>
      <w:proofErr w:type="spellEnd"/>
      <w:r w:rsidR="00841D16" w:rsidRPr="00841D16">
        <w:rPr>
          <w:rFonts w:ascii="Book Antiqua" w:eastAsia="Book Antiqua" w:hAnsi="Book Antiqua" w:cs="Book Antiqua"/>
          <w:color w:val="000000"/>
        </w:rPr>
        <w:t xml:space="preserve"> declares educational activities, research projects, scientific meetings, and advisory boards sponsored by MSD, AbbVie, Takeda, and Ferring. Jose María Paredes declares educational activities, research projects, scientific meetings, and advisory boards sponsored by Takeda, AbbVie, MSD, and Janssen. Xavier Cortés, Lidia </w:t>
      </w:r>
      <w:proofErr w:type="spellStart"/>
      <w:r w:rsidR="00841D16" w:rsidRPr="00841D16">
        <w:rPr>
          <w:rFonts w:ascii="Book Antiqua" w:eastAsia="Book Antiqua" w:hAnsi="Book Antiqua" w:cs="Book Antiqua"/>
          <w:color w:val="000000"/>
        </w:rPr>
        <w:t>Martí</w:t>
      </w:r>
      <w:proofErr w:type="spellEnd"/>
      <w:r w:rsidR="00841D16" w:rsidRPr="00841D16">
        <w:rPr>
          <w:rFonts w:ascii="Book Antiqua" w:eastAsia="Book Antiqua" w:hAnsi="Book Antiqua" w:cs="Book Antiqua"/>
          <w:color w:val="000000"/>
        </w:rPr>
        <w:t xml:space="preserve">, and Cirilo </w:t>
      </w:r>
      <w:proofErr w:type="spellStart"/>
      <w:r w:rsidR="00841D16" w:rsidRPr="00841D16">
        <w:rPr>
          <w:rFonts w:ascii="Book Antiqua" w:eastAsia="Book Antiqua" w:hAnsi="Book Antiqua" w:cs="Book Antiqua"/>
          <w:color w:val="000000"/>
        </w:rPr>
        <w:t>Amorós</w:t>
      </w:r>
      <w:proofErr w:type="spellEnd"/>
      <w:r w:rsidR="00841D16" w:rsidRPr="00841D16">
        <w:rPr>
          <w:rFonts w:ascii="Book Antiqua" w:eastAsia="Book Antiqua" w:hAnsi="Book Antiqua" w:cs="Book Antiqua"/>
          <w:color w:val="000000"/>
        </w:rPr>
        <w:t xml:space="preserve"> declare that they have no conflicts of interest.</w:t>
      </w:r>
    </w:p>
    <w:bookmarkEnd w:id="7"/>
    <w:bookmarkEnd w:id="8"/>
    <w:p w14:paraId="3507EBAF" w14:textId="77777777" w:rsidR="00A77B3E" w:rsidRDefault="00A77B3E" w:rsidP="00CA3946">
      <w:pPr>
        <w:spacing w:line="360" w:lineRule="auto"/>
        <w:jc w:val="both"/>
      </w:pPr>
    </w:p>
    <w:p w14:paraId="0BE977E3" w14:textId="77777777" w:rsidR="00A77B3E" w:rsidRDefault="005513F1" w:rsidP="00CA3946">
      <w:pPr>
        <w:spacing w:line="360" w:lineRule="auto"/>
        <w:jc w:val="both"/>
      </w:pPr>
      <w:r>
        <w:rPr>
          <w:rFonts w:ascii="Book Antiqua" w:eastAsia="Book Antiqua" w:hAnsi="Book Antiqua" w:cs="Book Antiqua"/>
          <w:b/>
          <w:bCs/>
          <w:color w:val="000000"/>
        </w:rPr>
        <w:t xml:space="preserve">Data sharing statement: </w:t>
      </w:r>
      <w:r>
        <w:rPr>
          <w:rFonts w:ascii="Book Antiqua" w:eastAsia="Book Antiqua" w:hAnsi="Book Antiqua" w:cs="Book Antiqua"/>
          <w:color w:val="000000"/>
        </w:rPr>
        <w:t>No additional data are available.</w:t>
      </w:r>
    </w:p>
    <w:p w14:paraId="16A8F4BE" w14:textId="77777777" w:rsidR="00A77B3E" w:rsidRDefault="00A77B3E" w:rsidP="00CA3946">
      <w:pPr>
        <w:spacing w:line="360" w:lineRule="auto"/>
        <w:jc w:val="both"/>
      </w:pPr>
    </w:p>
    <w:p w14:paraId="6AC1D61E" w14:textId="77777777" w:rsidR="00A77B3E" w:rsidRDefault="005513F1" w:rsidP="00CA3946">
      <w:pPr>
        <w:spacing w:line="360" w:lineRule="auto"/>
        <w:jc w:val="both"/>
      </w:pPr>
      <w:r>
        <w:rPr>
          <w:rFonts w:ascii="Book Antiqua" w:eastAsia="Book Antiqua" w:hAnsi="Book Antiqua" w:cs="Book Antiqua"/>
          <w:b/>
          <w:bCs/>
          <w:color w:val="000000"/>
        </w:rPr>
        <w:t xml:space="preserve">STROBE statement: </w:t>
      </w:r>
      <w:r>
        <w:rPr>
          <w:rFonts w:ascii="Book Antiqua" w:eastAsia="Book Antiqua" w:hAnsi="Book Antiqua" w:cs="Book Antiqua"/>
          <w:color w:val="000000"/>
        </w:rPr>
        <w:t>The authors have read the STROBE Statement–checklist of items, and the manuscript was prepared and revised according to the STROBE Statement–checklist of items.</w:t>
      </w:r>
    </w:p>
    <w:p w14:paraId="29402679" w14:textId="77777777" w:rsidR="00A77B3E" w:rsidRDefault="00A77B3E" w:rsidP="00CA3946">
      <w:pPr>
        <w:spacing w:line="360" w:lineRule="auto"/>
        <w:jc w:val="both"/>
      </w:pPr>
    </w:p>
    <w:p w14:paraId="1D10C72D" w14:textId="77777777" w:rsidR="00A77B3E" w:rsidRDefault="005513F1" w:rsidP="00CA3946">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w:t>
      </w:r>
      <w:r>
        <w:rPr>
          <w:rFonts w:ascii="Book Antiqua" w:eastAsia="Book Antiqua" w:hAnsi="Book Antiqua" w:cs="Book Antiqua"/>
          <w:color w:val="000000"/>
        </w:rPr>
        <w:lastRenderedPageBreak/>
        <w:t>commercially, and license their derivative works on different terms, provided the original work is properly cited and the use is non-commercial. See: http://creativecommons.org/Licenses/by-nc/4.0/</w:t>
      </w:r>
    </w:p>
    <w:p w14:paraId="27B5CD4F" w14:textId="77777777" w:rsidR="00A77B3E" w:rsidRDefault="00A77B3E" w:rsidP="00CA3946">
      <w:pPr>
        <w:spacing w:line="360" w:lineRule="auto"/>
        <w:jc w:val="both"/>
      </w:pPr>
    </w:p>
    <w:p w14:paraId="38C1C5FD" w14:textId="77777777" w:rsidR="00D42AC1" w:rsidRPr="00D42AC1" w:rsidRDefault="00D42AC1" w:rsidP="00D42AC1">
      <w:pPr>
        <w:spacing w:line="360" w:lineRule="auto"/>
        <w:jc w:val="both"/>
        <w:rPr>
          <w:rFonts w:ascii="Book Antiqua" w:eastAsia="Book Antiqua" w:hAnsi="Book Antiqua" w:cs="Book Antiqua"/>
          <w:b/>
          <w:color w:val="000000"/>
        </w:rPr>
      </w:pPr>
      <w:r w:rsidRPr="00D42AC1">
        <w:rPr>
          <w:rFonts w:ascii="Book Antiqua" w:eastAsia="Book Antiqua" w:hAnsi="Book Antiqua" w:cs="Book Antiqua"/>
          <w:b/>
          <w:color w:val="000000"/>
        </w:rPr>
        <w:t xml:space="preserve">Provenance and peer review: </w:t>
      </w:r>
      <w:r w:rsidRPr="00D42AC1">
        <w:rPr>
          <w:rFonts w:ascii="Book Antiqua" w:eastAsia="Book Antiqua" w:hAnsi="Book Antiqua" w:cs="Book Antiqua"/>
          <w:bCs/>
          <w:color w:val="000000"/>
        </w:rPr>
        <w:t>Unsolicited article; Externally peer reviewed.</w:t>
      </w:r>
    </w:p>
    <w:p w14:paraId="74DD957C" w14:textId="1C8BF92B" w:rsidR="00A77B3E" w:rsidRDefault="00D42AC1" w:rsidP="00D42AC1">
      <w:pPr>
        <w:spacing w:line="360" w:lineRule="auto"/>
        <w:jc w:val="both"/>
        <w:rPr>
          <w:rFonts w:ascii="Book Antiqua" w:eastAsia="Book Antiqua" w:hAnsi="Book Antiqua" w:cs="Book Antiqua"/>
          <w:b/>
          <w:color w:val="000000"/>
        </w:rPr>
      </w:pPr>
      <w:r w:rsidRPr="00D42AC1">
        <w:rPr>
          <w:rFonts w:ascii="Book Antiqua" w:eastAsia="Book Antiqua" w:hAnsi="Book Antiqua" w:cs="Book Antiqua"/>
          <w:b/>
          <w:color w:val="000000"/>
        </w:rPr>
        <w:t xml:space="preserve">Peer-review model: </w:t>
      </w:r>
      <w:r w:rsidRPr="00D42AC1">
        <w:rPr>
          <w:rFonts w:ascii="Book Antiqua" w:eastAsia="Book Antiqua" w:hAnsi="Book Antiqua" w:cs="Book Antiqua"/>
          <w:bCs/>
          <w:color w:val="000000"/>
        </w:rPr>
        <w:t>Single blind</w:t>
      </w:r>
    </w:p>
    <w:p w14:paraId="40E2B4C6" w14:textId="77777777" w:rsidR="00D42AC1" w:rsidRDefault="00D42AC1" w:rsidP="00D42AC1">
      <w:pPr>
        <w:spacing w:line="360" w:lineRule="auto"/>
        <w:jc w:val="both"/>
      </w:pPr>
    </w:p>
    <w:p w14:paraId="73BCB054" w14:textId="77777777" w:rsidR="00A77B3E" w:rsidRDefault="005513F1" w:rsidP="00CA3946">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April 22, 2021</w:t>
      </w:r>
    </w:p>
    <w:p w14:paraId="28C57124" w14:textId="77777777" w:rsidR="00A77B3E" w:rsidRDefault="005513F1" w:rsidP="00CA3946">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May 24, 2021</w:t>
      </w:r>
    </w:p>
    <w:p w14:paraId="399237D6" w14:textId="6DED94D5" w:rsidR="00A77B3E" w:rsidRDefault="005513F1" w:rsidP="00CA3946">
      <w:pPr>
        <w:spacing w:line="360" w:lineRule="auto"/>
        <w:jc w:val="both"/>
      </w:pPr>
      <w:r>
        <w:rPr>
          <w:rFonts w:ascii="Book Antiqua" w:eastAsia="Book Antiqua" w:hAnsi="Book Antiqua" w:cs="Book Antiqua"/>
          <w:b/>
          <w:color w:val="000000"/>
        </w:rPr>
        <w:t xml:space="preserve">Article in press: </w:t>
      </w:r>
      <w:r w:rsidR="007B5295" w:rsidRPr="00666304">
        <w:rPr>
          <w:rFonts w:ascii="Book Antiqua" w:eastAsia="Book Antiqua" w:hAnsi="Book Antiqua" w:cs="Book Antiqua"/>
          <w:bCs/>
          <w:color w:val="000000"/>
        </w:rPr>
        <w:t>July 2, 2021</w:t>
      </w:r>
    </w:p>
    <w:p w14:paraId="3974EAB4" w14:textId="77777777" w:rsidR="00A77B3E" w:rsidRDefault="00A77B3E" w:rsidP="00CA3946">
      <w:pPr>
        <w:spacing w:line="360" w:lineRule="auto"/>
        <w:jc w:val="both"/>
      </w:pPr>
    </w:p>
    <w:p w14:paraId="555CCCB0" w14:textId="038DB88E" w:rsidR="00A77B3E" w:rsidRDefault="005513F1" w:rsidP="00CA3946">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Gastroenterology and</w:t>
      </w:r>
      <w:r w:rsidR="00E7248E">
        <w:rPr>
          <w:rFonts w:ascii="Book Antiqua" w:eastAsia="Book Antiqua" w:hAnsi="Book Antiqua" w:cs="Book Antiqua"/>
          <w:color w:val="000000"/>
        </w:rPr>
        <w:t xml:space="preserve"> h</w:t>
      </w:r>
      <w:r>
        <w:rPr>
          <w:rFonts w:ascii="Book Antiqua" w:eastAsia="Book Antiqua" w:hAnsi="Book Antiqua" w:cs="Book Antiqua"/>
          <w:color w:val="000000"/>
        </w:rPr>
        <w:t>epatology</w:t>
      </w:r>
    </w:p>
    <w:p w14:paraId="642558D9" w14:textId="77777777" w:rsidR="00A77B3E" w:rsidRDefault="005513F1" w:rsidP="00CA3946">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Spain</w:t>
      </w:r>
    </w:p>
    <w:p w14:paraId="07CE5FAB" w14:textId="77777777" w:rsidR="00A77B3E" w:rsidRDefault="005513F1" w:rsidP="00CA3946">
      <w:pPr>
        <w:spacing w:line="360" w:lineRule="auto"/>
        <w:jc w:val="both"/>
      </w:pPr>
      <w:r>
        <w:rPr>
          <w:rFonts w:ascii="Book Antiqua" w:eastAsia="Book Antiqua" w:hAnsi="Book Antiqua" w:cs="Book Antiqua"/>
          <w:b/>
          <w:color w:val="000000"/>
        </w:rPr>
        <w:t>Peer-review report’s scientific quality classification</w:t>
      </w:r>
    </w:p>
    <w:p w14:paraId="1338C6A4" w14:textId="77777777" w:rsidR="00A77B3E" w:rsidRDefault="005513F1" w:rsidP="00CA3946">
      <w:pPr>
        <w:spacing w:line="360" w:lineRule="auto"/>
        <w:jc w:val="both"/>
      </w:pPr>
      <w:r>
        <w:rPr>
          <w:rFonts w:ascii="Book Antiqua" w:eastAsia="Book Antiqua" w:hAnsi="Book Antiqua" w:cs="Book Antiqua"/>
          <w:color w:val="000000"/>
        </w:rPr>
        <w:t>Grade A (Excellent): 0</w:t>
      </w:r>
    </w:p>
    <w:p w14:paraId="042938CE" w14:textId="77777777" w:rsidR="00A77B3E" w:rsidRDefault="005513F1" w:rsidP="00CA3946">
      <w:pPr>
        <w:spacing w:line="360" w:lineRule="auto"/>
        <w:jc w:val="both"/>
      </w:pPr>
      <w:r>
        <w:rPr>
          <w:rFonts w:ascii="Book Antiqua" w:eastAsia="Book Antiqua" w:hAnsi="Book Antiqua" w:cs="Book Antiqua"/>
          <w:color w:val="000000"/>
        </w:rPr>
        <w:t>Grade B (Very good): B, B</w:t>
      </w:r>
    </w:p>
    <w:p w14:paraId="3C74E54B" w14:textId="77777777" w:rsidR="00A77B3E" w:rsidRDefault="005513F1" w:rsidP="00CA3946">
      <w:pPr>
        <w:spacing w:line="360" w:lineRule="auto"/>
        <w:jc w:val="both"/>
      </w:pPr>
      <w:r>
        <w:rPr>
          <w:rFonts w:ascii="Book Antiqua" w:eastAsia="Book Antiqua" w:hAnsi="Book Antiqua" w:cs="Book Antiqua"/>
          <w:color w:val="000000"/>
        </w:rPr>
        <w:t>Grade C (Good): C, C</w:t>
      </w:r>
    </w:p>
    <w:p w14:paraId="6B8D3966" w14:textId="77777777" w:rsidR="00A77B3E" w:rsidRDefault="005513F1" w:rsidP="00CA3946">
      <w:pPr>
        <w:spacing w:line="360" w:lineRule="auto"/>
        <w:jc w:val="both"/>
      </w:pPr>
      <w:r>
        <w:rPr>
          <w:rFonts w:ascii="Book Antiqua" w:eastAsia="Book Antiqua" w:hAnsi="Book Antiqua" w:cs="Book Antiqua"/>
          <w:color w:val="000000"/>
        </w:rPr>
        <w:t>Grade D (Fair): D</w:t>
      </w:r>
    </w:p>
    <w:p w14:paraId="23DFDF04" w14:textId="77777777" w:rsidR="00A77B3E" w:rsidRDefault="005513F1" w:rsidP="00CA3946">
      <w:pPr>
        <w:spacing w:line="360" w:lineRule="auto"/>
        <w:jc w:val="both"/>
      </w:pPr>
      <w:r>
        <w:rPr>
          <w:rFonts w:ascii="Book Antiqua" w:eastAsia="Book Antiqua" w:hAnsi="Book Antiqua" w:cs="Book Antiqua"/>
          <w:color w:val="000000"/>
        </w:rPr>
        <w:t>Grade E (Poor): 0</w:t>
      </w:r>
    </w:p>
    <w:p w14:paraId="5E7B51BA" w14:textId="77777777" w:rsidR="00A77B3E" w:rsidRDefault="00A77B3E" w:rsidP="00CA3946">
      <w:pPr>
        <w:spacing w:line="360" w:lineRule="auto"/>
        <w:jc w:val="both"/>
      </w:pPr>
    </w:p>
    <w:p w14:paraId="3BFB2C08" w14:textId="7908A777" w:rsidR="00A77B3E" w:rsidRDefault="005513F1" w:rsidP="00CA3946">
      <w:pPr>
        <w:spacing w:line="360" w:lineRule="auto"/>
        <w:jc w:val="both"/>
        <w:sectPr w:rsidR="00A77B3E">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P-Reviewer: </w:t>
      </w:r>
      <w:proofErr w:type="spellStart"/>
      <w:r>
        <w:rPr>
          <w:rFonts w:ascii="Book Antiqua" w:eastAsia="Book Antiqua" w:hAnsi="Book Antiqua" w:cs="Book Antiqua"/>
          <w:color w:val="000000"/>
        </w:rPr>
        <w:t>Gazouli</w:t>
      </w:r>
      <w:proofErr w:type="spellEnd"/>
      <w:r>
        <w:rPr>
          <w:rFonts w:ascii="Book Antiqua" w:eastAsia="Book Antiqua" w:hAnsi="Book Antiqua" w:cs="Book Antiqua"/>
          <w:color w:val="000000"/>
        </w:rPr>
        <w:t xml:space="preserve"> M, Parra RS, </w:t>
      </w:r>
      <w:proofErr w:type="spellStart"/>
      <w:r>
        <w:rPr>
          <w:rFonts w:ascii="Book Antiqua" w:eastAsia="Book Antiqua" w:hAnsi="Book Antiqua" w:cs="Book Antiqua"/>
          <w:color w:val="000000"/>
        </w:rPr>
        <w:t>Sassaki</w:t>
      </w:r>
      <w:proofErr w:type="spellEnd"/>
      <w:r>
        <w:rPr>
          <w:rFonts w:ascii="Book Antiqua" w:eastAsia="Book Antiqua" w:hAnsi="Book Antiqua" w:cs="Book Antiqua"/>
          <w:color w:val="000000"/>
        </w:rPr>
        <w:t xml:space="preserve"> LY, Wen XL</w:t>
      </w:r>
      <w:r>
        <w:rPr>
          <w:rFonts w:ascii="Book Antiqua" w:eastAsia="Book Antiqua" w:hAnsi="Book Antiqua" w:cs="Book Antiqua"/>
          <w:b/>
          <w:color w:val="000000"/>
        </w:rPr>
        <w:t xml:space="preserve"> S-Editor: </w:t>
      </w:r>
      <w:r>
        <w:rPr>
          <w:rFonts w:ascii="Book Antiqua" w:eastAsia="Book Antiqua" w:hAnsi="Book Antiqua" w:cs="Book Antiqua"/>
          <w:color w:val="000000"/>
        </w:rPr>
        <w:t>Ma YJ</w:t>
      </w:r>
      <w:r>
        <w:rPr>
          <w:rFonts w:ascii="Book Antiqua" w:eastAsia="Book Antiqua" w:hAnsi="Book Antiqua" w:cs="Book Antiqua"/>
          <w:b/>
          <w:color w:val="000000"/>
        </w:rPr>
        <w:t xml:space="preserve"> L-Editor: </w:t>
      </w:r>
      <w:r w:rsidR="009F2FAC">
        <w:rPr>
          <w:rFonts w:ascii="Book Antiqua" w:eastAsia="Book Antiqua" w:hAnsi="Book Antiqua" w:cs="Book Antiqua"/>
          <w:color w:val="000000"/>
        </w:rPr>
        <w:t>Webster JR</w:t>
      </w:r>
      <w:r>
        <w:rPr>
          <w:rFonts w:ascii="Book Antiqua" w:eastAsia="Book Antiqua" w:hAnsi="Book Antiqua" w:cs="Book Antiqua"/>
          <w:b/>
          <w:color w:val="000000"/>
        </w:rPr>
        <w:t xml:space="preserve"> P-Editor: </w:t>
      </w:r>
      <w:bookmarkStart w:id="9" w:name="_Hlk89184098"/>
      <w:r w:rsidR="007B5295" w:rsidRPr="007B5295">
        <w:rPr>
          <w:rFonts w:ascii="Book Antiqua" w:eastAsia="Book Antiqua" w:hAnsi="Book Antiqua" w:cs="Book Antiqua"/>
          <w:bCs/>
          <w:color w:val="000000"/>
        </w:rPr>
        <w:t>Yu HG</w:t>
      </w:r>
      <w:bookmarkEnd w:id="9"/>
    </w:p>
    <w:p w14:paraId="2DD4F21E" w14:textId="77777777" w:rsidR="00A77B3E" w:rsidRDefault="005513F1" w:rsidP="00CA3946">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lastRenderedPageBreak/>
        <w:t>Figure Legends</w:t>
      </w:r>
    </w:p>
    <w:p w14:paraId="5D59401D" w14:textId="77777777" w:rsidR="00581D1D" w:rsidRPr="00581D1D" w:rsidRDefault="00F051F4" w:rsidP="00CA3946">
      <w:pPr>
        <w:spacing w:line="360" w:lineRule="auto"/>
        <w:jc w:val="both"/>
        <w:rPr>
          <w:lang w:eastAsia="zh-CN"/>
        </w:rPr>
      </w:pPr>
      <w:r>
        <w:rPr>
          <w:noProof/>
          <w:lang w:eastAsia="zh-CN"/>
        </w:rPr>
        <w:drawing>
          <wp:inline distT="0" distB="0" distL="0" distR="0" wp14:anchorId="71C702E5" wp14:editId="19390AE0">
            <wp:extent cx="5921934" cy="3904090"/>
            <wp:effectExtent l="0" t="0" r="3175" b="127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927803" cy="3907959"/>
                    </a:xfrm>
                    <a:prstGeom prst="rect">
                      <a:avLst/>
                    </a:prstGeom>
                  </pic:spPr>
                </pic:pic>
              </a:graphicData>
            </a:graphic>
          </wp:inline>
        </w:drawing>
      </w:r>
    </w:p>
    <w:p w14:paraId="43FD82DC" w14:textId="539ACEBB" w:rsidR="00A77B3E" w:rsidRDefault="005513F1" w:rsidP="00CA3946">
      <w:pPr>
        <w:spacing w:line="360" w:lineRule="auto"/>
        <w:jc w:val="both"/>
        <w:rPr>
          <w:rFonts w:ascii="Book Antiqua" w:hAnsi="Book Antiqua" w:cs="Book Antiqua"/>
          <w:color w:val="000000"/>
          <w:lang w:eastAsia="zh-CN"/>
        </w:rPr>
      </w:pPr>
      <w:r>
        <w:rPr>
          <w:rFonts w:ascii="Book Antiqua" w:eastAsia="Book Antiqua" w:hAnsi="Book Antiqua" w:cs="Book Antiqua"/>
          <w:b/>
          <w:bCs/>
          <w:color w:val="000000"/>
        </w:rPr>
        <w:t>Figure 1 Crohn’s disease (A) and ulcerative colitis (B) ind</w:t>
      </w:r>
      <w:r w:rsidR="009F2FAC">
        <w:rPr>
          <w:rFonts w:ascii="Book Antiqua" w:eastAsia="Book Antiqua" w:hAnsi="Book Antiqua" w:cs="Book Antiqua"/>
          <w:b/>
          <w:bCs/>
          <w:color w:val="000000"/>
        </w:rPr>
        <w:t>ic</w:t>
      </w:r>
      <w:r>
        <w:rPr>
          <w:rFonts w:ascii="Book Antiqua" w:eastAsia="Book Antiqua" w:hAnsi="Book Antiqua" w:cs="Book Antiqua"/>
          <w:b/>
          <w:bCs/>
          <w:color w:val="000000"/>
        </w:rPr>
        <w:t xml:space="preserve">es after 3, 6, 9, and 12 </w:t>
      </w:r>
      <w:proofErr w:type="spellStart"/>
      <w:r>
        <w:rPr>
          <w:rFonts w:ascii="Book Antiqua" w:eastAsia="Book Antiqua" w:hAnsi="Book Antiqua" w:cs="Book Antiqua"/>
          <w:b/>
          <w:bCs/>
          <w:color w:val="000000"/>
        </w:rPr>
        <w:t>mo</w:t>
      </w:r>
      <w:proofErr w:type="spellEnd"/>
      <w:r>
        <w:rPr>
          <w:rFonts w:ascii="Book Antiqua" w:eastAsia="Book Antiqua" w:hAnsi="Book Antiqua" w:cs="Book Antiqua"/>
          <w:b/>
          <w:bCs/>
          <w:color w:val="000000"/>
        </w:rPr>
        <w:t xml:space="preserve"> of CT-P13 treatment. </w:t>
      </w:r>
      <w:r>
        <w:rPr>
          <w:rFonts w:ascii="Book Antiqua" w:eastAsia="Book Antiqua" w:hAnsi="Book Antiqua" w:cs="Book Antiqua"/>
          <w:color w:val="000000"/>
        </w:rPr>
        <w:t xml:space="preserve">Error bars indicate SD. </w:t>
      </w:r>
      <w:proofErr w:type="spellStart"/>
      <w:r w:rsidRPr="00F051F4">
        <w:rPr>
          <w:rFonts w:ascii="Book Antiqua" w:eastAsia="Book Antiqua" w:hAnsi="Book Antiqua" w:cs="Book Antiqua"/>
          <w:iCs/>
          <w:color w:val="000000"/>
          <w:vertAlign w:val="superscript"/>
        </w:rPr>
        <w:t>b</w:t>
      </w:r>
      <w:r>
        <w:rPr>
          <w:rFonts w:ascii="Book Antiqua" w:eastAsia="Book Antiqua" w:hAnsi="Book Antiqua" w:cs="Book Antiqua"/>
          <w:i/>
          <w:iCs/>
          <w:color w:val="000000"/>
        </w:rPr>
        <w:t>P</w:t>
      </w:r>
      <w:proofErr w:type="spellEnd"/>
      <w:r>
        <w:rPr>
          <w:rFonts w:ascii="Book Antiqua" w:eastAsia="Book Antiqua" w:hAnsi="Book Antiqua" w:cs="Book Antiqua"/>
          <w:i/>
          <w:iCs/>
          <w:color w:val="000000"/>
        </w:rPr>
        <w:t xml:space="preserve"> </w:t>
      </w:r>
      <w:r>
        <w:rPr>
          <w:rFonts w:ascii="Book Antiqua" w:eastAsia="Book Antiqua" w:hAnsi="Book Antiqua" w:cs="Book Antiqua"/>
          <w:color w:val="000000"/>
        </w:rPr>
        <w:t>&lt; 0.001</w:t>
      </w:r>
      <w:r>
        <w:rPr>
          <w:rFonts w:ascii="Book Antiqua" w:eastAsia="Book Antiqua" w:hAnsi="Book Antiqua" w:cs="Book Antiqua"/>
          <w:i/>
          <w:iCs/>
          <w:color w:val="000000"/>
        </w:rPr>
        <w:t xml:space="preserve"> vs </w:t>
      </w:r>
      <w:r>
        <w:rPr>
          <w:rFonts w:ascii="Book Antiqua" w:eastAsia="Book Antiqua" w:hAnsi="Book Antiqua" w:cs="Book Antiqua"/>
          <w:color w:val="000000"/>
        </w:rPr>
        <w:t>baseline conditions.</w:t>
      </w:r>
    </w:p>
    <w:p w14:paraId="6F920218" w14:textId="77777777" w:rsidR="00F051F4" w:rsidRPr="00F051F4" w:rsidRDefault="00F051F4" w:rsidP="00CA3946">
      <w:pPr>
        <w:spacing w:line="360" w:lineRule="auto"/>
        <w:jc w:val="both"/>
        <w:rPr>
          <w:lang w:eastAsia="zh-CN"/>
        </w:rPr>
      </w:pPr>
      <w:r>
        <w:rPr>
          <w:lang w:eastAsia="zh-CN"/>
        </w:rPr>
        <w:br w:type="page"/>
      </w:r>
      <w:r w:rsidR="00297CD3">
        <w:rPr>
          <w:noProof/>
          <w:lang w:eastAsia="zh-CN"/>
        </w:rPr>
        <w:lastRenderedPageBreak/>
        <w:drawing>
          <wp:inline distT="0" distB="0" distL="0" distR="0" wp14:anchorId="41A54C82" wp14:editId="0679D7D9">
            <wp:extent cx="5898556" cy="4810539"/>
            <wp:effectExtent l="0" t="0" r="6985" b="952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906160" cy="4816741"/>
                    </a:xfrm>
                    <a:prstGeom prst="rect">
                      <a:avLst/>
                    </a:prstGeom>
                  </pic:spPr>
                </pic:pic>
              </a:graphicData>
            </a:graphic>
          </wp:inline>
        </w:drawing>
      </w:r>
    </w:p>
    <w:p w14:paraId="4F673A32" w14:textId="77777777" w:rsidR="00A77B3E" w:rsidRDefault="005513F1" w:rsidP="00CA3946">
      <w:pPr>
        <w:spacing w:line="360" w:lineRule="auto"/>
        <w:jc w:val="both"/>
        <w:rPr>
          <w:rFonts w:ascii="Book Antiqua" w:hAnsi="Book Antiqua" w:cs="Book Antiqua"/>
          <w:color w:val="000000"/>
          <w:lang w:eastAsia="zh-CN"/>
        </w:rPr>
      </w:pPr>
      <w:r>
        <w:rPr>
          <w:rFonts w:ascii="Book Antiqua" w:eastAsia="Book Antiqua" w:hAnsi="Book Antiqua" w:cs="Book Antiqua"/>
          <w:b/>
          <w:bCs/>
          <w:color w:val="000000"/>
        </w:rPr>
        <w:t>Figure 2 General inflammatory blood biomarkers.</w:t>
      </w:r>
      <w:r>
        <w:rPr>
          <w:rFonts w:ascii="Book Antiqua" w:eastAsia="Book Antiqua" w:hAnsi="Book Antiqua" w:cs="Book Antiqua"/>
          <w:color w:val="000000"/>
        </w:rPr>
        <w:t xml:space="preserve"> C-reactive protein</w:t>
      </w:r>
      <w:r w:rsidR="00297CD3">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levels, erythrocyte sedimentation rate, and fecal calprotectin levels were measured at baseline and after 3, 6, 9, and 12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of CT-P13 treatment in patients with Crohn’s disease (A) and ulcerative colitis (B). Error bars indicate SD. </w:t>
      </w:r>
      <w:proofErr w:type="spellStart"/>
      <w:r w:rsidR="00F051F4" w:rsidRPr="00F051F4">
        <w:rPr>
          <w:rFonts w:ascii="Book Antiqua" w:hAnsi="Book Antiqua" w:cs="Book Antiqua" w:hint="eastAsia"/>
          <w:color w:val="000000"/>
          <w:vertAlign w:val="superscript"/>
          <w:lang w:eastAsia="zh-CN"/>
        </w:rPr>
        <w:t>a</w:t>
      </w:r>
      <w:r w:rsidRPr="00F051F4">
        <w:rPr>
          <w:rFonts w:ascii="Book Antiqua" w:eastAsia="Book Antiqua" w:hAnsi="Book Antiqua" w:cs="Book Antiqua"/>
          <w:i/>
          <w:iCs/>
          <w:caps/>
          <w:color w:val="000000"/>
        </w:rPr>
        <w:t>p</w:t>
      </w:r>
      <w:proofErr w:type="spellEnd"/>
      <w:r w:rsidR="00F051F4">
        <w:rPr>
          <w:rFonts w:ascii="Book Antiqua" w:hAnsi="Book Antiqua" w:cs="Book Antiqua" w:hint="eastAsia"/>
          <w:i/>
          <w:iCs/>
          <w:color w:val="000000"/>
          <w:lang w:eastAsia="zh-CN"/>
        </w:rPr>
        <w:t xml:space="preserve"> </w:t>
      </w:r>
      <w:r>
        <w:rPr>
          <w:rFonts w:ascii="Book Antiqua" w:eastAsia="Book Antiqua" w:hAnsi="Book Antiqua" w:cs="Book Antiqua"/>
          <w:color w:val="000000"/>
        </w:rPr>
        <w:t>&lt;</w:t>
      </w:r>
      <w:r w:rsidR="00F051F4">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0.05 </w:t>
      </w:r>
      <w:r>
        <w:rPr>
          <w:rFonts w:ascii="Book Antiqua" w:eastAsia="Book Antiqua" w:hAnsi="Book Antiqua" w:cs="Book Antiqua"/>
          <w:i/>
          <w:iCs/>
          <w:color w:val="000000"/>
        </w:rPr>
        <w:t>vs</w:t>
      </w:r>
      <w:r>
        <w:rPr>
          <w:rFonts w:ascii="Book Antiqua" w:eastAsia="Book Antiqua" w:hAnsi="Book Antiqua" w:cs="Book Antiqua"/>
          <w:color w:val="000000"/>
        </w:rPr>
        <w:t xml:space="preserve"> baseline conditions; </w:t>
      </w:r>
      <w:proofErr w:type="spellStart"/>
      <w:r w:rsidR="00F051F4" w:rsidRPr="00F051F4">
        <w:rPr>
          <w:rFonts w:ascii="Book Antiqua" w:hAnsi="Book Antiqua" w:cs="Book Antiqua" w:hint="eastAsia"/>
          <w:color w:val="000000"/>
          <w:vertAlign w:val="superscript"/>
          <w:lang w:eastAsia="zh-CN"/>
        </w:rPr>
        <w:t>b</w:t>
      </w:r>
      <w:r w:rsidRPr="00F051F4">
        <w:rPr>
          <w:rFonts w:ascii="Book Antiqua" w:eastAsia="Book Antiqua" w:hAnsi="Book Antiqua" w:cs="Book Antiqua"/>
          <w:i/>
          <w:iCs/>
          <w:caps/>
          <w:color w:val="000000"/>
        </w:rPr>
        <w:t>p</w:t>
      </w:r>
      <w:proofErr w:type="spellEnd"/>
      <w:r w:rsidR="00F051F4">
        <w:rPr>
          <w:rFonts w:ascii="Book Antiqua" w:hAnsi="Book Antiqua" w:cs="Book Antiqua" w:hint="eastAsia"/>
          <w:i/>
          <w:iCs/>
          <w:color w:val="000000"/>
          <w:lang w:eastAsia="zh-CN"/>
        </w:rPr>
        <w:t xml:space="preserve"> </w:t>
      </w:r>
      <w:r>
        <w:rPr>
          <w:rFonts w:ascii="Book Antiqua" w:eastAsia="Book Antiqua" w:hAnsi="Book Antiqua" w:cs="Book Antiqua"/>
          <w:color w:val="000000"/>
        </w:rPr>
        <w:t>&lt;</w:t>
      </w:r>
      <w:r w:rsidR="00F051F4">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0.01 </w:t>
      </w:r>
      <w:r>
        <w:rPr>
          <w:rFonts w:ascii="Book Antiqua" w:eastAsia="Book Antiqua" w:hAnsi="Book Antiqua" w:cs="Book Antiqua"/>
          <w:i/>
          <w:iCs/>
          <w:color w:val="000000"/>
        </w:rPr>
        <w:t>vs</w:t>
      </w:r>
      <w:r>
        <w:rPr>
          <w:rFonts w:ascii="Book Antiqua" w:eastAsia="Book Antiqua" w:hAnsi="Book Antiqua" w:cs="Book Antiqua"/>
          <w:color w:val="000000"/>
        </w:rPr>
        <w:t xml:space="preserve"> baseline conditions; </w:t>
      </w:r>
      <w:proofErr w:type="spellStart"/>
      <w:r w:rsidR="00F051F4" w:rsidRPr="00F051F4">
        <w:rPr>
          <w:rFonts w:ascii="Book Antiqua" w:hAnsi="Book Antiqua" w:cs="Book Antiqua" w:hint="eastAsia"/>
          <w:color w:val="000000"/>
          <w:vertAlign w:val="superscript"/>
          <w:lang w:eastAsia="zh-CN"/>
        </w:rPr>
        <w:t>c</w:t>
      </w:r>
      <w:r w:rsidRPr="00F051F4">
        <w:rPr>
          <w:rFonts w:ascii="Book Antiqua" w:eastAsia="Book Antiqua" w:hAnsi="Book Antiqua" w:cs="Book Antiqua"/>
          <w:i/>
          <w:iCs/>
          <w:caps/>
          <w:color w:val="000000"/>
        </w:rPr>
        <w:t>p</w:t>
      </w:r>
      <w:proofErr w:type="spellEnd"/>
      <w:r>
        <w:rPr>
          <w:rFonts w:ascii="Book Antiqua" w:eastAsia="Book Antiqua" w:hAnsi="Book Antiqua" w:cs="Book Antiqua"/>
          <w:color w:val="000000"/>
        </w:rPr>
        <w:t xml:space="preserve"> &lt;</w:t>
      </w:r>
      <w:r w:rsidR="00F051F4">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0.001 </w:t>
      </w:r>
      <w:r>
        <w:rPr>
          <w:rFonts w:ascii="Book Antiqua" w:eastAsia="Book Antiqua" w:hAnsi="Book Antiqua" w:cs="Book Antiqua"/>
          <w:i/>
          <w:iCs/>
          <w:color w:val="000000"/>
        </w:rPr>
        <w:t>vs</w:t>
      </w:r>
      <w:r>
        <w:rPr>
          <w:rFonts w:ascii="Book Antiqua" w:eastAsia="Book Antiqua" w:hAnsi="Book Antiqua" w:cs="Book Antiqua"/>
          <w:color w:val="000000"/>
        </w:rPr>
        <w:t xml:space="preserve"> baseline conditions.</w:t>
      </w:r>
    </w:p>
    <w:p w14:paraId="46306429" w14:textId="77777777" w:rsidR="00297CD3" w:rsidRPr="004970DC" w:rsidRDefault="00297CD3" w:rsidP="00CA3946">
      <w:pPr>
        <w:spacing w:line="360" w:lineRule="auto"/>
        <w:jc w:val="both"/>
        <w:rPr>
          <w:rFonts w:ascii="Book Antiqua" w:hAnsi="Book Antiqua" w:cs="Book Antiqua"/>
          <w:b/>
          <w:color w:val="000000"/>
          <w:lang w:eastAsia="zh-CN"/>
        </w:rPr>
      </w:pPr>
      <w:r>
        <w:rPr>
          <w:rFonts w:ascii="Book Antiqua" w:hAnsi="Book Antiqua" w:cs="Book Antiqua"/>
          <w:color w:val="000000"/>
          <w:lang w:eastAsia="zh-CN"/>
        </w:rPr>
        <w:br w:type="page"/>
      </w:r>
      <w:r w:rsidR="004970DC" w:rsidRPr="004970DC">
        <w:rPr>
          <w:rFonts w:ascii="Book Antiqua" w:hAnsi="Book Antiqua" w:cs="Book Antiqua"/>
          <w:b/>
          <w:color w:val="000000"/>
          <w:lang w:eastAsia="zh-CN"/>
        </w:rPr>
        <w:lastRenderedPageBreak/>
        <w:t>Table 1 Variables collected at baseline and during follow-up visits</w:t>
      </w:r>
    </w:p>
    <w:tbl>
      <w:tblPr>
        <w:tblW w:w="9277" w:type="dxa"/>
        <w:tblInd w:w="93" w:type="dxa"/>
        <w:tblLook w:val="04A0" w:firstRow="1" w:lastRow="0" w:firstColumn="1" w:lastColumn="0" w:noHBand="0" w:noVBand="1"/>
      </w:tblPr>
      <w:tblGrid>
        <w:gridCol w:w="6075"/>
        <w:gridCol w:w="1597"/>
        <w:gridCol w:w="1605"/>
      </w:tblGrid>
      <w:tr w:rsidR="004970DC" w:rsidRPr="004970DC" w14:paraId="3C1FA1BC" w14:textId="77777777" w:rsidTr="00B94526">
        <w:trPr>
          <w:trHeight w:val="256"/>
        </w:trPr>
        <w:tc>
          <w:tcPr>
            <w:tcW w:w="6075" w:type="dxa"/>
            <w:tcBorders>
              <w:top w:val="single" w:sz="4" w:space="0" w:color="auto"/>
              <w:left w:val="nil"/>
              <w:bottom w:val="single" w:sz="4" w:space="0" w:color="auto"/>
              <w:right w:val="nil"/>
            </w:tcBorders>
            <w:shd w:val="clear" w:color="auto" w:fill="auto"/>
            <w:vAlign w:val="center"/>
            <w:hideMark/>
          </w:tcPr>
          <w:p w14:paraId="497F441F" w14:textId="77777777" w:rsidR="004970DC" w:rsidRPr="004970DC" w:rsidRDefault="004970DC" w:rsidP="00CA3946">
            <w:pPr>
              <w:spacing w:line="360" w:lineRule="auto"/>
              <w:rPr>
                <w:rFonts w:ascii="Book Antiqua" w:eastAsia="宋体" w:hAnsi="Book Antiqua" w:cs="宋体"/>
                <w:b/>
                <w:bCs/>
                <w:color w:val="000000"/>
                <w:lang w:eastAsia="zh-CN"/>
              </w:rPr>
            </w:pPr>
            <w:r w:rsidRPr="004970DC">
              <w:rPr>
                <w:rFonts w:ascii="Book Antiqua" w:eastAsia="宋体" w:hAnsi="Book Antiqua" w:cs="宋体"/>
                <w:b/>
                <w:bCs/>
                <w:color w:val="000000"/>
                <w:lang w:eastAsia="zh-CN"/>
              </w:rPr>
              <w:t>Variable</w:t>
            </w:r>
          </w:p>
        </w:tc>
        <w:tc>
          <w:tcPr>
            <w:tcW w:w="1597" w:type="dxa"/>
            <w:tcBorders>
              <w:top w:val="single" w:sz="4" w:space="0" w:color="auto"/>
              <w:left w:val="nil"/>
              <w:bottom w:val="single" w:sz="4" w:space="0" w:color="auto"/>
              <w:right w:val="nil"/>
            </w:tcBorders>
            <w:shd w:val="clear" w:color="auto" w:fill="auto"/>
            <w:vAlign w:val="center"/>
            <w:hideMark/>
          </w:tcPr>
          <w:p w14:paraId="32654130" w14:textId="77777777" w:rsidR="004970DC" w:rsidRPr="004970DC" w:rsidRDefault="004970DC" w:rsidP="00CA3946">
            <w:pPr>
              <w:spacing w:line="360" w:lineRule="auto"/>
              <w:rPr>
                <w:rFonts w:ascii="Book Antiqua" w:eastAsia="宋体" w:hAnsi="Book Antiqua" w:cs="宋体"/>
                <w:b/>
                <w:bCs/>
                <w:color w:val="000000"/>
                <w:lang w:eastAsia="zh-CN"/>
              </w:rPr>
            </w:pPr>
            <w:r w:rsidRPr="004970DC">
              <w:rPr>
                <w:rFonts w:ascii="Book Antiqua" w:eastAsia="宋体" w:hAnsi="Book Antiqua" w:cs="宋体"/>
                <w:b/>
                <w:bCs/>
                <w:color w:val="000000"/>
                <w:lang w:eastAsia="zh-CN"/>
              </w:rPr>
              <w:t>Baseline</w:t>
            </w:r>
          </w:p>
        </w:tc>
        <w:tc>
          <w:tcPr>
            <w:tcW w:w="1605" w:type="dxa"/>
            <w:tcBorders>
              <w:top w:val="single" w:sz="4" w:space="0" w:color="auto"/>
              <w:left w:val="nil"/>
              <w:bottom w:val="single" w:sz="4" w:space="0" w:color="auto"/>
              <w:right w:val="nil"/>
            </w:tcBorders>
            <w:shd w:val="clear" w:color="auto" w:fill="auto"/>
            <w:vAlign w:val="center"/>
            <w:hideMark/>
          </w:tcPr>
          <w:p w14:paraId="7182A5CD" w14:textId="77777777" w:rsidR="004970DC" w:rsidRPr="004970DC" w:rsidRDefault="004970DC" w:rsidP="00CA3946">
            <w:pPr>
              <w:spacing w:line="360" w:lineRule="auto"/>
              <w:rPr>
                <w:rFonts w:ascii="Book Antiqua" w:eastAsia="宋体" w:hAnsi="Book Antiqua" w:cs="宋体"/>
                <w:b/>
                <w:bCs/>
                <w:color w:val="000000"/>
                <w:lang w:eastAsia="zh-CN"/>
              </w:rPr>
            </w:pPr>
            <w:r w:rsidRPr="004970DC">
              <w:rPr>
                <w:rFonts w:ascii="Book Antiqua" w:eastAsia="宋体" w:hAnsi="Book Antiqua" w:cs="宋体"/>
                <w:b/>
                <w:bCs/>
                <w:color w:val="000000"/>
                <w:lang w:eastAsia="zh-CN"/>
              </w:rPr>
              <w:t>Follow-up</w:t>
            </w:r>
          </w:p>
        </w:tc>
      </w:tr>
      <w:tr w:rsidR="004970DC" w:rsidRPr="004970DC" w14:paraId="7C459306" w14:textId="77777777" w:rsidTr="00B94526">
        <w:trPr>
          <w:trHeight w:val="325"/>
        </w:trPr>
        <w:tc>
          <w:tcPr>
            <w:tcW w:w="6075" w:type="dxa"/>
            <w:tcBorders>
              <w:top w:val="single" w:sz="4" w:space="0" w:color="auto"/>
              <w:left w:val="nil"/>
              <w:right w:val="nil"/>
            </w:tcBorders>
            <w:shd w:val="clear" w:color="auto" w:fill="auto"/>
            <w:vAlign w:val="center"/>
            <w:hideMark/>
          </w:tcPr>
          <w:p w14:paraId="248C714E" w14:textId="77777777" w:rsidR="004970DC" w:rsidRPr="004970DC" w:rsidRDefault="004970DC" w:rsidP="00CA3946">
            <w:pPr>
              <w:spacing w:line="360" w:lineRule="auto"/>
              <w:rPr>
                <w:rFonts w:ascii="Book Antiqua" w:eastAsia="宋体" w:hAnsi="Book Antiqua" w:cs="宋体"/>
                <w:bCs/>
                <w:color w:val="000000"/>
                <w:lang w:eastAsia="zh-CN"/>
              </w:rPr>
            </w:pPr>
            <w:r w:rsidRPr="004970DC">
              <w:rPr>
                <w:rFonts w:ascii="Book Antiqua" w:eastAsia="宋体" w:hAnsi="Book Antiqua" w:cs="宋体"/>
                <w:bCs/>
                <w:color w:val="000000"/>
                <w:lang w:eastAsia="zh-CN"/>
              </w:rPr>
              <w:t>Demographic data</w:t>
            </w:r>
          </w:p>
        </w:tc>
        <w:tc>
          <w:tcPr>
            <w:tcW w:w="1597" w:type="dxa"/>
            <w:tcBorders>
              <w:top w:val="single" w:sz="4" w:space="0" w:color="auto"/>
              <w:left w:val="nil"/>
              <w:right w:val="nil"/>
            </w:tcBorders>
            <w:shd w:val="clear" w:color="auto" w:fill="auto"/>
            <w:vAlign w:val="center"/>
            <w:hideMark/>
          </w:tcPr>
          <w:p w14:paraId="3AE3862B" w14:textId="77777777" w:rsidR="004970DC" w:rsidRPr="004970DC" w:rsidRDefault="004970DC" w:rsidP="00CA3946">
            <w:pPr>
              <w:spacing w:line="360" w:lineRule="auto"/>
              <w:rPr>
                <w:rFonts w:ascii="Book Antiqua" w:eastAsia="宋体" w:hAnsi="Book Antiqua" w:cs="宋体"/>
                <w:i/>
                <w:iCs/>
                <w:color w:val="000000"/>
                <w:lang w:eastAsia="zh-CN"/>
              </w:rPr>
            </w:pPr>
          </w:p>
        </w:tc>
        <w:tc>
          <w:tcPr>
            <w:tcW w:w="1605" w:type="dxa"/>
            <w:tcBorders>
              <w:top w:val="single" w:sz="4" w:space="0" w:color="auto"/>
              <w:left w:val="nil"/>
              <w:right w:val="nil"/>
            </w:tcBorders>
            <w:shd w:val="clear" w:color="auto" w:fill="auto"/>
            <w:vAlign w:val="center"/>
            <w:hideMark/>
          </w:tcPr>
          <w:p w14:paraId="459EE860" w14:textId="77777777" w:rsidR="004970DC" w:rsidRPr="004970DC" w:rsidRDefault="004970DC" w:rsidP="00CA3946">
            <w:pPr>
              <w:spacing w:line="360" w:lineRule="auto"/>
              <w:rPr>
                <w:rFonts w:ascii="Book Antiqua" w:eastAsia="宋体" w:hAnsi="Book Antiqua" w:cs="宋体"/>
                <w:i/>
                <w:iCs/>
                <w:color w:val="000000"/>
                <w:lang w:eastAsia="zh-CN"/>
              </w:rPr>
            </w:pPr>
          </w:p>
        </w:tc>
      </w:tr>
      <w:tr w:rsidR="004970DC" w:rsidRPr="004970DC" w14:paraId="08226279" w14:textId="77777777" w:rsidTr="00C94B24">
        <w:trPr>
          <w:trHeight w:val="305"/>
        </w:trPr>
        <w:tc>
          <w:tcPr>
            <w:tcW w:w="6075" w:type="dxa"/>
            <w:tcBorders>
              <w:left w:val="nil"/>
              <w:bottom w:val="nil"/>
              <w:right w:val="nil"/>
            </w:tcBorders>
            <w:shd w:val="clear" w:color="auto" w:fill="auto"/>
            <w:vAlign w:val="center"/>
            <w:hideMark/>
          </w:tcPr>
          <w:p w14:paraId="14263974" w14:textId="77777777" w:rsidR="004970DC" w:rsidRPr="004970DC" w:rsidRDefault="004970DC" w:rsidP="00CA3946">
            <w:pPr>
              <w:spacing w:line="360" w:lineRule="auto"/>
              <w:ind w:firstLineChars="100" w:firstLine="240"/>
              <w:rPr>
                <w:rFonts w:ascii="Book Antiqua" w:eastAsia="宋体" w:hAnsi="Book Antiqua" w:cs="宋体"/>
                <w:color w:val="000000"/>
                <w:lang w:eastAsia="zh-CN"/>
              </w:rPr>
            </w:pPr>
            <w:r w:rsidRPr="004970DC">
              <w:rPr>
                <w:rFonts w:ascii="Book Antiqua" w:eastAsia="宋体" w:hAnsi="Book Antiqua" w:cs="宋体"/>
                <w:color w:val="000000"/>
                <w:lang w:eastAsia="zh-CN"/>
              </w:rPr>
              <w:t>Date of birth</w:t>
            </w:r>
          </w:p>
        </w:tc>
        <w:tc>
          <w:tcPr>
            <w:tcW w:w="1597" w:type="dxa"/>
            <w:tcBorders>
              <w:left w:val="nil"/>
              <w:bottom w:val="nil"/>
              <w:right w:val="nil"/>
            </w:tcBorders>
            <w:shd w:val="clear" w:color="auto" w:fill="auto"/>
            <w:vAlign w:val="center"/>
            <w:hideMark/>
          </w:tcPr>
          <w:p w14:paraId="1976DCC0" w14:textId="77777777" w:rsidR="004970DC" w:rsidRPr="004970DC" w:rsidRDefault="004970DC" w:rsidP="00CA3946">
            <w:pPr>
              <w:spacing w:line="360" w:lineRule="auto"/>
              <w:rPr>
                <w:rFonts w:ascii="Book Antiqua" w:eastAsia="宋体" w:hAnsi="Book Antiqua" w:cs="宋体"/>
                <w:color w:val="000000"/>
                <w:lang w:eastAsia="zh-CN"/>
              </w:rPr>
            </w:pPr>
            <w:r w:rsidRPr="004970DC">
              <w:rPr>
                <w:rFonts w:ascii="Book Antiqua" w:eastAsia="宋体" w:hAnsi="Book Antiqua" w:cs="宋体"/>
                <w:color w:val="000000"/>
                <w:lang w:eastAsia="zh-CN"/>
              </w:rPr>
              <w:t>X</w:t>
            </w:r>
          </w:p>
        </w:tc>
        <w:tc>
          <w:tcPr>
            <w:tcW w:w="1605" w:type="dxa"/>
            <w:tcBorders>
              <w:left w:val="nil"/>
              <w:bottom w:val="nil"/>
              <w:right w:val="nil"/>
            </w:tcBorders>
            <w:shd w:val="clear" w:color="auto" w:fill="auto"/>
            <w:vAlign w:val="center"/>
            <w:hideMark/>
          </w:tcPr>
          <w:p w14:paraId="7FFF81C5" w14:textId="77777777" w:rsidR="004970DC" w:rsidRPr="004970DC" w:rsidRDefault="004970DC" w:rsidP="00CA3946">
            <w:pPr>
              <w:spacing w:line="360" w:lineRule="auto"/>
              <w:rPr>
                <w:rFonts w:ascii="Book Antiqua" w:eastAsia="宋体" w:hAnsi="Book Antiqua" w:cs="宋体"/>
                <w:color w:val="000000"/>
                <w:lang w:eastAsia="zh-CN"/>
              </w:rPr>
            </w:pPr>
            <w:r w:rsidRPr="004970DC">
              <w:rPr>
                <w:rFonts w:ascii="Book Antiqua" w:eastAsia="宋体" w:hAnsi="Book Antiqua" w:cs="宋体"/>
                <w:color w:val="000000"/>
                <w:lang w:eastAsia="zh-CN"/>
              </w:rPr>
              <w:t>-</w:t>
            </w:r>
          </w:p>
        </w:tc>
      </w:tr>
      <w:tr w:rsidR="004970DC" w:rsidRPr="004970DC" w14:paraId="360D2755" w14:textId="77777777" w:rsidTr="00C94B24">
        <w:trPr>
          <w:trHeight w:val="305"/>
        </w:trPr>
        <w:tc>
          <w:tcPr>
            <w:tcW w:w="6075" w:type="dxa"/>
            <w:tcBorders>
              <w:top w:val="nil"/>
              <w:left w:val="nil"/>
              <w:bottom w:val="nil"/>
              <w:right w:val="nil"/>
            </w:tcBorders>
            <w:shd w:val="clear" w:color="auto" w:fill="auto"/>
            <w:vAlign w:val="center"/>
            <w:hideMark/>
          </w:tcPr>
          <w:p w14:paraId="2A2871D5" w14:textId="77777777" w:rsidR="004970DC" w:rsidRPr="004970DC" w:rsidRDefault="004970DC" w:rsidP="00CA3946">
            <w:pPr>
              <w:spacing w:line="360" w:lineRule="auto"/>
              <w:ind w:firstLineChars="100" w:firstLine="240"/>
              <w:rPr>
                <w:rFonts w:ascii="Book Antiqua" w:eastAsia="宋体" w:hAnsi="Book Antiqua" w:cs="宋体"/>
                <w:color w:val="000000"/>
                <w:lang w:eastAsia="zh-CN"/>
              </w:rPr>
            </w:pPr>
            <w:r w:rsidRPr="004970DC">
              <w:rPr>
                <w:rFonts w:ascii="Book Antiqua" w:eastAsia="宋体" w:hAnsi="Book Antiqua" w:cs="宋体"/>
                <w:color w:val="000000"/>
                <w:lang w:eastAsia="zh-CN"/>
              </w:rPr>
              <w:t>Gender</w:t>
            </w:r>
          </w:p>
        </w:tc>
        <w:tc>
          <w:tcPr>
            <w:tcW w:w="1597" w:type="dxa"/>
            <w:tcBorders>
              <w:top w:val="nil"/>
              <w:left w:val="nil"/>
              <w:bottom w:val="nil"/>
              <w:right w:val="nil"/>
            </w:tcBorders>
            <w:shd w:val="clear" w:color="auto" w:fill="auto"/>
            <w:vAlign w:val="center"/>
            <w:hideMark/>
          </w:tcPr>
          <w:p w14:paraId="6CA3C2DB" w14:textId="77777777" w:rsidR="004970DC" w:rsidRPr="004970DC" w:rsidRDefault="004970DC" w:rsidP="00CA3946">
            <w:pPr>
              <w:spacing w:line="360" w:lineRule="auto"/>
              <w:rPr>
                <w:rFonts w:ascii="Book Antiqua" w:eastAsia="宋体" w:hAnsi="Book Antiqua" w:cs="宋体"/>
                <w:color w:val="000000"/>
                <w:lang w:eastAsia="zh-CN"/>
              </w:rPr>
            </w:pPr>
            <w:r w:rsidRPr="004970DC">
              <w:rPr>
                <w:rFonts w:ascii="Book Antiqua" w:eastAsia="宋体" w:hAnsi="Book Antiqua" w:cs="宋体"/>
                <w:color w:val="000000"/>
                <w:lang w:eastAsia="zh-CN"/>
              </w:rPr>
              <w:t>X</w:t>
            </w:r>
          </w:p>
        </w:tc>
        <w:tc>
          <w:tcPr>
            <w:tcW w:w="1605" w:type="dxa"/>
            <w:tcBorders>
              <w:top w:val="nil"/>
              <w:left w:val="nil"/>
              <w:bottom w:val="nil"/>
              <w:right w:val="nil"/>
            </w:tcBorders>
            <w:shd w:val="clear" w:color="auto" w:fill="auto"/>
            <w:vAlign w:val="center"/>
            <w:hideMark/>
          </w:tcPr>
          <w:p w14:paraId="61773A87" w14:textId="77777777" w:rsidR="004970DC" w:rsidRPr="004970DC" w:rsidRDefault="004970DC" w:rsidP="00CA3946">
            <w:pPr>
              <w:spacing w:line="360" w:lineRule="auto"/>
              <w:rPr>
                <w:rFonts w:ascii="Book Antiqua" w:eastAsia="宋体" w:hAnsi="Book Antiqua" w:cs="宋体"/>
                <w:color w:val="000000"/>
                <w:lang w:eastAsia="zh-CN"/>
              </w:rPr>
            </w:pPr>
            <w:r w:rsidRPr="004970DC">
              <w:rPr>
                <w:rFonts w:ascii="Book Antiqua" w:eastAsia="宋体" w:hAnsi="Book Antiqua" w:cs="宋体"/>
                <w:color w:val="000000"/>
                <w:lang w:eastAsia="zh-CN"/>
              </w:rPr>
              <w:t>-</w:t>
            </w:r>
          </w:p>
        </w:tc>
      </w:tr>
      <w:tr w:rsidR="004970DC" w:rsidRPr="004970DC" w14:paraId="30BB0792" w14:textId="77777777" w:rsidTr="00C94B24">
        <w:trPr>
          <w:trHeight w:val="305"/>
        </w:trPr>
        <w:tc>
          <w:tcPr>
            <w:tcW w:w="6075" w:type="dxa"/>
            <w:tcBorders>
              <w:top w:val="nil"/>
              <w:left w:val="nil"/>
              <w:bottom w:val="nil"/>
              <w:right w:val="nil"/>
            </w:tcBorders>
            <w:shd w:val="clear" w:color="auto" w:fill="auto"/>
            <w:vAlign w:val="center"/>
            <w:hideMark/>
          </w:tcPr>
          <w:p w14:paraId="31AABD00" w14:textId="77777777" w:rsidR="004970DC" w:rsidRPr="004970DC" w:rsidRDefault="004970DC" w:rsidP="00CA3946">
            <w:pPr>
              <w:spacing w:line="360" w:lineRule="auto"/>
              <w:ind w:firstLineChars="100" w:firstLine="240"/>
              <w:rPr>
                <w:rFonts w:ascii="Book Antiqua" w:eastAsia="宋体" w:hAnsi="Book Antiqua" w:cs="宋体"/>
                <w:color w:val="000000"/>
                <w:lang w:eastAsia="zh-CN"/>
              </w:rPr>
            </w:pPr>
            <w:r w:rsidRPr="004970DC">
              <w:rPr>
                <w:rFonts w:ascii="Book Antiqua" w:eastAsia="宋体" w:hAnsi="Book Antiqua" w:cs="宋体"/>
                <w:color w:val="000000"/>
                <w:lang w:eastAsia="zh-CN"/>
              </w:rPr>
              <w:t>Smoking habit</w:t>
            </w:r>
          </w:p>
        </w:tc>
        <w:tc>
          <w:tcPr>
            <w:tcW w:w="1597" w:type="dxa"/>
            <w:tcBorders>
              <w:top w:val="nil"/>
              <w:left w:val="nil"/>
              <w:bottom w:val="nil"/>
              <w:right w:val="nil"/>
            </w:tcBorders>
            <w:shd w:val="clear" w:color="auto" w:fill="auto"/>
            <w:vAlign w:val="center"/>
            <w:hideMark/>
          </w:tcPr>
          <w:p w14:paraId="7E2169A9" w14:textId="77777777" w:rsidR="004970DC" w:rsidRPr="004970DC" w:rsidRDefault="004970DC" w:rsidP="00CA3946">
            <w:pPr>
              <w:spacing w:line="360" w:lineRule="auto"/>
              <w:rPr>
                <w:rFonts w:ascii="Book Antiqua" w:eastAsia="宋体" w:hAnsi="Book Antiqua" w:cs="宋体"/>
                <w:color w:val="000000"/>
                <w:lang w:eastAsia="zh-CN"/>
              </w:rPr>
            </w:pPr>
            <w:r w:rsidRPr="004970DC">
              <w:rPr>
                <w:rFonts w:ascii="Book Antiqua" w:eastAsia="宋体" w:hAnsi="Book Antiqua" w:cs="宋体"/>
                <w:color w:val="000000"/>
                <w:lang w:eastAsia="zh-CN"/>
              </w:rPr>
              <w:t>X</w:t>
            </w:r>
          </w:p>
        </w:tc>
        <w:tc>
          <w:tcPr>
            <w:tcW w:w="1605" w:type="dxa"/>
            <w:tcBorders>
              <w:top w:val="nil"/>
              <w:left w:val="nil"/>
              <w:bottom w:val="nil"/>
              <w:right w:val="nil"/>
            </w:tcBorders>
            <w:shd w:val="clear" w:color="auto" w:fill="auto"/>
            <w:vAlign w:val="center"/>
            <w:hideMark/>
          </w:tcPr>
          <w:p w14:paraId="62DF6F3B" w14:textId="77777777" w:rsidR="004970DC" w:rsidRPr="004970DC" w:rsidRDefault="004970DC" w:rsidP="00CA3946">
            <w:pPr>
              <w:spacing w:line="360" w:lineRule="auto"/>
              <w:rPr>
                <w:rFonts w:ascii="Book Antiqua" w:eastAsia="宋体" w:hAnsi="Book Antiqua" w:cs="宋体"/>
                <w:color w:val="000000"/>
                <w:lang w:eastAsia="zh-CN"/>
              </w:rPr>
            </w:pPr>
            <w:r w:rsidRPr="004970DC">
              <w:rPr>
                <w:rFonts w:ascii="Book Antiqua" w:eastAsia="宋体" w:hAnsi="Book Antiqua" w:cs="宋体"/>
                <w:color w:val="000000"/>
                <w:lang w:eastAsia="zh-CN"/>
              </w:rPr>
              <w:t>-</w:t>
            </w:r>
          </w:p>
        </w:tc>
      </w:tr>
      <w:tr w:rsidR="004970DC" w:rsidRPr="004970DC" w14:paraId="071FFA16" w14:textId="77777777" w:rsidTr="00C94B24">
        <w:trPr>
          <w:trHeight w:val="305"/>
        </w:trPr>
        <w:tc>
          <w:tcPr>
            <w:tcW w:w="6075" w:type="dxa"/>
            <w:tcBorders>
              <w:top w:val="nil"/>
              <w:left w:val="nil"/>
              <w:bottom w:val="nil"/>
              <w:right w:val="nil"/>
            </w:tcBorders>
            <w:shd w:val="clear" w:color="auto" w:fill="auto"/>
            <w:vAlign w:val="center"/>
            <w:hideMark/>
          </w:tcPr>
          <w:p w14:paraId="121E3D6A" w14:textId="77777777" w:rsidR="004970DC" w:rsidRPr="004970DC" w:rsidRDefault="004970DC" w:rsidP="00CA3946">
            <w:pPr>
              <w:spacing w:line="360" w:lineRule="auto"/>
              <w:ind w:firstLineChars="100" w:firstLine="240"/>
              <w:rPr>
                <w:rFonts w:ascii="Book Antiqua" w:eastAsia="宋体" w:hAnsi="Book Antiqua" w:cs="宋体"/>
                <w:color w:val="000000"/>
                <w:lang w:eastAsia="zh-CN"/>
              </w:rPr>
            </w:pPr>
            <w:r w:rsidRPr="004970DC">
              <w:rPr>
                <w:rFonts w:ascii="Book Antiqua" w:eastAsia="宋体" w:hAnsi="Book Antiqua" w:cs="宋体"/>
                <w:color w:val="000000"/>
                <w:lang w:eastAsia="zh-CN"/>
              </w:rPr>
              <w:t>Disease data</w:t>
            </w:r>
          </w:p>
        </w:tc>
        <w:tc>
          <w:tcPr>
            <w:tcW w:w="1597" w:type="dxa"/>
            <w:tcBorders>
              <w:top w:val="nil"/>
              <w:left w:val="nil"/>
              <w:bottom w:val="nil"/>
              <w:right w:val="nil"/>
            </w:tcBorders>
            <w:shd w:val="clear" w:color="auto" w:fill="auto"/>
            <w:vAlign w:val="center"/>
            <w:hideMark/>
          </w:tcPr>
          <w:p w14:paraId="2D26C907" w14:textId="77777777" w:rsidR="004970DC" w:rsidRPr="004970DC" w:rsidRDefault="004970DC" w:rsidP="00CA3946">
            <w:pPr>
              <w:spacing w:line="360" w:lineRule="auto"/>
              <w:rPr>
                <w:rFonts w:ascii="Book Antiqua" w:eastAsia="宋体" w:hAnsi="Book Antiqua" w:cs="宋体"/>
                <w:color w:val="000000"/>
                <w:lang w:eastAsia="zh-CN"/>
              </w:rPr>
            </w:pPr>
          </w:p>
        </w:tc>
        <w:tc>
          <w:tcPr>
            <w:tcW w:w="1605" w:type="dxa"/>
            <w:tcBorders>
              <w:top w:val="nil"/>
              <w:left w:val="nil"/>
              <w:bottom w:val="nil"/>
              <w:right w:val="nil"/>
            </w:tcBorders>
            <w:shd w:val="clear" w:color="auto" w:fill="auto"/>
            <w:vAlign w:val="center"/>
            <w:hideMark/>
          </w:tcPr>
          <w:p w14:paraId="43FAC9E4" w14:textId="77777777" w:rsidR="004970DC" w:rsidRPr="004970DC" w:rsidRDefault="004970DC" w:rsidP="00CA3946">
            <w:pPr>
              <w:spacing w:line="360" w:lineRule="auto"/>
              <w:rPr>
                <w:rFonts w:ascii="Book Antiqua" w:eastAsia="宋体" w:hAnsi="Book Antiqua" w:cs="宋体"/>
                <w:color w:val="000000"/>
                <w:lang w:eastAsia="zh-CN"/>
              </w:rPr>
            </w:pPr>
          </w:p>
        </w:tc>
      </w:tr>
      <w:tr w:rsidR="004970DC" w:rsidRPr="004970DC" w14:paraId="0593E36D" w14:textId="77777777" w:rsidTr="00C94B24">
        <w:trPr>
          <w:trHeight w:val="305"/>
        </w:trPr>
        <w:tc>
          <w:tcPr>
            <w:tcW w:w="6075" w:type="dxa"/>
            <w:tcBorders>
              <w:top w:val="nil"/>
              <w:left w:val="nil"/>
              <w:bottom w:val="nil"/>
              <w:right w:val="nil"/>
            </w:tcBorders>
            <w:shd w:val="clear" w:color="auto" w:fill="auto"/>
            <w:vAlign w:val="center"/>
            <w:hideMark/>
          </w:tcPr>
          <w:p w14:paraId="70C9D1B1" w14:textId="77777777" w:rsidR="004970DC" w:rsidRPr="004970DC" w:rsidRDefault="004970DC" w:rsidP="00CA3946">
            <w:pPr>
              <w:spacing w:line="360" w:lineRule="auto"/>
              <w:ind w:firstLineChars="100" w:firstLine="240"/>
              <w:rPr>
                <w:rFonts w:ascii="Book Antiqua" w:eastAsia="宋体" w:hAnsi="Book Antiqua" w:cs="宋体"/>
                <w:color w:val="000000"/>
                <w:lang w:eastAsia="zh-CN"/>
              </w:rPr>
            </w:pPr>
            <w:r w:rsidRPr="004970DC">
              <w:rPr>
                <w:rFonts w:ascii="Book Antiqua" w:eastAsia="宋体" w:hAnsi="Book Antiqua" w:cs="宋体"/>
                <w:color w:val="000000"/>
                <w:lang w:eastAsia="zh-CN"/>
              </w:rPr>
              <w:t>Date of diagnosis</w:t>
            </w:r>
          </w:p>
        </w:tc>
        <w:tc>
          <w:tcPr>
            <w:tcW w:w="1597" w:type="dxa"/>
            <w:tcBorders>
              <w:top w:val="nil"/>
              <w:left w:val="nil"/>
              <w:bottom w:val="nil"/>
              <w:right w:val="nil"/>
            </w:tcBorders>
            <w:shd w:val="clear" w:color="auto" w:fill="auto"/>
            <w:vAlign w:val="center"/>
            <w:hideMark/>
          </w:tcPr>
          <w:p w14:paraId="097E59E2" w14:textId="77777777" w:rsidR="004970DC" w:rsidRPr="004970DC" w:rsidRDefault="004970DC" w:rsidP="00CA3946">
            <w:pPr>
              <w:spacing w:line="360" w:lineRule="auto"/>
              <w:rPr>
                <w:rFonts w:ascii="Book Antiqua" w:eastAsia="宋体" w:hAnsi="Book Antiqua" w:cs="宋体"/>
                <w:color w:val="000000"/>
                <w:lang w:eastAsia="zh-CN"/>
              </w:rPr>
            </w:pPr>
            <w:r w:rsidRPr="004970DC">
              <w:rPr>
                <w:rFonts w:ascii="Book Antiqua" w:eastAsia="宋体" w:hAnsi="Book Antiqua" w:cs="宋体"/>
                <w:color w:val="000000"/>
                <w:lang w:eastAsia="zh-CN"/>
              </w:rPr>
              <w:t>X</w:t>
            </w:r>
          </w:p>
        </w:tc>
        <w:tc>
          <w:tcPr>
            <w:tcW w:w="1605" w:type="dxa"/>
            <w:tcBorders>
              <w:top w:val="nil"/>
              <w:left w:val="nil"/>
              <w:bottom w:val="nil"/>
              <w:right w:val="nil"/>
            </w:tcBorders>
            <w:shd w:val="clear" w:color="auto" w:fill="auto"/>
            <w:vAlign w:val="center"/>
            <w:hideMark/>
          </w:tcPr>
          <w:p w14:paraId="4F4AD9D7" w14:textId="77777777" w:rsidR="004970DC" w:rsidRPr="004970DC" w:rsidRDefault="004970DC" w:rsidP="00CA3946">
            <w:pPr>
              <w:spacing w:line="360" w:lineRule="auto"/>
              <w:rPr>
                <w:rFonts w:ascii="Book Antiqua" w:eastAsia="宋体" w:hAnsi="Book Antiqua" w:cs="宋体"/>
                <w:color w:val="000000"/>
                <w:lang w:eastAsia="zh-CN"/>
              </w:rPr>
            </w:pPr>
            <w:r w:rsidRPr="004970DC">
              <w:rPr>
                <w:rFonts w:ascii="Book Antiqua" w:eastAsia="宋体" w:hAnsi="Book Antiqua" w:cs="宋体"/>
                <w:color w:val="000000"/>
                <w:lang w:eastAsia="zh-CN"/>
              </w:rPr>
              <w:t>-</w:t>
            </w:r>
          </w:p>
        </w:tc>
      </w:tr>
      <w:tr w:rsidR="004970DC" w:rsidRPr="004970DC" w14:paraId="7FB7ADEC" w14:textId="77777777" w:rsidTr="00C94B24">
        <w:trPr>
          <w:trHeight w:val="630"/>
        </w:trPr>
        <w:tc>
          <w:tcPr>
            <w:tcW w:w="6075" w:type="dxa"/>
            <w:tcBorders>
              <w:top w:val="nil"/>
              <w:left w:val="nil"/>
              <w:bottom w:val="nil"/>
              <w:right w:val="nil"/>
            </w:tcBorders>
            <w:shd w:val="clear" w:color="auto" w:fill="auto"/>
            <w:vAlign w:val="center"/>
            <w:hideMark/>
          </w:tcPr>
          <w:p w14:paraId="158889AB" w14:textId="77777777" w:rsidR="004970DC" w:rsidRPr="004970DC" w:rsidRDefault="004970DC" w:rsidP="00CA3946">
            <w:pPr>
              <w:spacing w:line="360" w:lineRule="auto"/>
              <w:ind w:firstLineChars="100" w:firstLine="240"/>
              <w:rPr>
                <w:rFonts w:ascii="Book Antiqua" w:eastAsia="宋体" w:hAnsi="Book Antiqua" w:cs="宋体"/>
                <w:color w:val="000000"/>
                <w:lang w:eastAsia="zh-CN"/>
              </w:rPr>
            </w:pPr>
            <w:r w:rsidRPr="004970DC">
              <w:rPr>
                <w:rFonts w:ascii="Book Antiqua" w:eastAsia="宋体" w:hAnsi="Book Antiqua" w:cs="宋体"/>
                <w:color w:val="000000"/>
                <w:lang w:eastAsia="zh-CN"/>
              </w:rPr>
              <w:t>IBD type (</w:t>
            </w:r>
            <w:r w:rsidRPr="004970DC">
              <w:rPr>
                <w:rFonts w:ascii="Book Antiqua" w:eastAsia="宋体" w:hAnsi="Book Antiqua" w:cs="宋体"/>
                <w:iCs/>
                <w:color w:val="000000"/>
                <w:lang w:eastAsia="zh-CN"/>
              </w:rPr>
              <w:t xml:space="preserve">Crohn’s </w:t>
            </w:r>
            <w:r w:rsidR="001538BA" w:rsidRPr="004970DC">
              <w:rPr>
                <w:rFonts w:ascii="Book Antiqua" w:eastAsia="宋体" w:hAnsi="Book Antiqua" w:cs="宋体"/>
                <w:iCs/>
                <w:color w:val="000000"/>
                <w:lang w:eastAsia="zh-CN"/>
              </w:rPr>
              <w:t>d</w:t>
            </w:r>
            <w:r w:rsidRPr="004970DC">
              <w:rPr>
                <w:rFonts w:ascii="Book Antiqua" w:eastAsia="宋体" w:hAnsi="Book Antiqua" w:cs="宋体"/>
                <w:iCs/>
                <w:color w:val="000000"/>
                <w:lang w:eastAsia="zh-CN"/>
              </w:rPr>
              <w:t xml:space="preserve">isease, </w:t>
            </w:r>
            <w:r w:rsidR="001538BA" w:rsidRPr="004970DC">
              <w:rPr>
                <w:rFonts w:ascii="Book Antiqua" w:eastAsia="宋体" w:hAnsi="Book Antiqua" w:cs="宋体"/>
                <w:iCs/>
                <w:color w:val="000000"/>
                <w:lang w:eastAsia="zh-CN"/>
              </w:rPr>
              <w:t>ulcerative co</w:t>
            </w:r>
            <w:r w:rsidRPr="004970DC">
              <w:rPr>
                <w:rFonts w:ascii="Book Antiqua" w:eastAsia="宋体" w:hAnsi="Book Antiqua" w:cs="宋体"/>
                <w:iCs/>
                <w:color w:val="000000"/>
                <w:lang w:eastAsia="zh-CN"/>
              </w:rPr>
              <w:t>litis</w:t>
            </w:r>
            <w:r w:rsidRPr="004970DC">
              <w:rPr>
                <w:rFonts w:ascii="Book Antiqua" w:eastAsia="宋体" w:hAnsi="Book Antiqua" w:cs="宋体"/>
                <w:color w:val="000000"/>
                <w:lang w:eastAsia="zh-CN"/>
              </w:rPr>
              <w:t>)</w:t>
            </w:r>
          </w:p>
        </w:tc>
        <w:tc>
          <w:tcPr>
            <w:tcW w:w="1597" w:type="dxa"/>
            <w:tcBorders>
              <w:top w:val="nil"/>
              <w:left w:val="nil"/>
              <w:bottom w:val="nil"/>
              <w:right w:val="nil"/>
            </w:tcBorders>
            <w:shd w:val="clear" w:color="auto" w:fill="auto"/>
            <w:vAlign w:val="center"/>
            <w:hideMark/>
          </w:tcPr>
          <w:p w14:paraId="32161A06" w14:textId="77777777" w:rsidR="004970DC" w:rsidRPr="004970DC" w:rsidRDefault="004970DC" w:rsidP="00CA3946">
            <w:pPr>
              <w:spacing w:line="360" w:lineRule="auto"/>
              <w:rPr>
                <w:rFonts w:ascii="Book Antiqua" w:eastAsia="宋体" w:hAnsi="Book Antiqua" w:cs="宋体"/>
                <w:color w:val="000000"/>
                <w:lang w:eastAsia="zh-CN"/>
              </w:rPr>
            </w:pPr>
            <w:r w:rsidRPr="004970DC">
              <w:rPr>
                <w:rFonts w:ascii="Book Antiqua" w:eastAsia="宋体" w:hAnsi="Book Antiqua" w:cs="宋体"/>
                <w:color w:val="000000"/>
                <w:lang w:eastAsia="zh-CN"/>
              </w:rPr>
              <w:t>X</w:t>
            </w:r>
          </w:p>
        </w:tc>
        <w:tc>
          <w:tcPr>
            <w:tcW w:w="1605" w:type="dxa"/>
            <w:tcBorders>
              <w:top w:val="nil"/>
              <w:left w:val="nil"/>
              <w:bottom w:val="nil"/>
              <w:right w:val="nil"/>
            </w:tcBorders>
            <w:shd w:val="clear" w:color="auto" w:fill="auto"/>
            <w:vAlign w:val="center"/>
            <w:hideMark/>
          </w:tcPr>
          <w:p w14:paraId="14F114CD" w14:textId="77777777" w:rsidR="004970DC" w:rsidRPr="004970DC" w:rsidRDefault="004970DC" w:rsidP="00CA3946">
            <w:pPr>
              <w:spacing w:line="360" w:lineRule="auto"/>
              <w:rPr>
                <w:rFonts w:ascii="Book Antiqua" w:eastAsia="宋体" w:hAnsi="Book Antiqua" w:cs="宋体"/>
                <w:color w:val="000000"/>
                <w:lang w:eastAsia="zh-CN"/>
              </w:rPr>
            </w:pPr>
            <w:r w:rsidRPr="004970DC">
              <w:rPr>
                <w:rFonts w:ascii="Book Antiqua" w:eastAsia="宋体" w:hAnsi="Book Antiqua" w:cs="宋体"/>
                <w:color w:val="000000"/>
                <w:lang w:eastAsia="zh-CN"/>
              </w:rPr>
              <w:t>-</w:t>
            </w:r>
          </w:p>
        </w:tc>
      </w:tr>
      <w:tr w:rsidR="004970DC" w:rsidRPr="004970DC" w14:paraId="48456C03" w14:textId="77777777" w:rsidTr="00C94B24">
        <w:trPr>
          <w:trHeight w:val="305"/>
        </w:trPr>
        <w:tc>
          <w:tcPr>
            <w:tcW w:w="6075" w:type="dxa"/>
            <w:tcBorders>
              <w:top w:val="nil"/>
              <w:left w:val="nil"/>
              <w:bottom w:val="nil"/>
              <w:right w:val="nil"/>
            </w:tcBorders>
            <w:shd w:val="clear" w:color="auto" w:fill="auto"/>
            <w:vAlign w:val="center"/>
            <w:hideMark/>
          </w:tcPr>
          <w:p w14:paraId="44983271" w14:textId="77777777" w:rsidR="004970DC" w:rsidRPr="004970DC" w:rsidRDefault="004970DC" w:rsidP="00CA3946">
            <w:pPr>
              <w:spacing w:line="360" w:lineRule="auto"/>
              <w:ind w:firstLineChars="100" w:firstLine="240"/>
              <w:rPr>
                <w:rFonts w:ascii="Book Antiqua" w:eastAsia="宋体" w:hAnsi="Book Antiqua" w:cs="宋体"/>
                <w:color w:val="000000"/>
                <w:lang w:eastAsia="zh-CN"/>
              </w:rPr>
            </w:pPr>
            <w:r w:rsidRPr="004970DC">
              <w:rPr>
                <w:rFonts w:ascii="Book Antiqua" w:eastAsia="宋体" w:hAnsi="Book Antiqua" w:cs="宋体"/>
                <w:color w:val="000000"/>
                <w:lang w:eastAsia="zh-CN"/>
              </w:rPr>
              <w:t xml:space="preserve">Montreal </w:t>
            </w:r>
            <w:r w:rsidR="001538BA" w:rsidRPr="004970DC">
              <w:rPr>
                <w:rFonts w:ascii="Book Antiqua" w:eastAsia="宋体" w:hAnsi="Book Antiqua" w:cs="宋体"/>
                <w:color w:val="000000"/>
                <w:lang w:eastAsia="zh-CN"/>
              </w:rPr>
              <w:t>c</w:t>
            </w:r>
            <w:r w:rsidRPr="004970DC">
              <w:rPr>
                <w:rFonts w:ascii="Book Antiqua" w:eastAsia="宋体" w:hAnsi="Book Antiqua" w:cs="宋体"/>
                <w:color w:val="000000"/>
                <w:lang w:eastAsia="zh-CN"/>
              </w:rPr>
              <w:t xml:space="preserve">lassification </w:t>
            </w:r>
          </w:p>
        </w:tc>
        <w:tc>
          <w:tcPr>
            <w:tcW w:w="1597" w:type="dxa"/>
            <w:tcBorders>
              <w:top w:val="nil"/>
              <w:left w:val="nil"/>
              <w:bottom w:val="nil"/>
              <w:right w:val="nil"/>
            </w:tcBorders>
            <w:shd w:val="clear" w:color="auto" w:fill="auto"/>
            <w:vAlign w:val="center"/>
            <w:hideMark/>
          </w:tcPr>
          <w:p w14:paraId="1DD3EEB2" w14:textId="77777777" w:rsidR="004970DC" w:rsidRPr="004970DC" w:rsidRDefault="004970DC" w:rsidP="00CA3946">
            <w:pPr>
              <w:spacing w:line="360" w:lineRule="auto"/>
              <w:rPr>
                <w:rFonts w:ascii="Book Antiqua" w:eastAsia="宋体" w:hAnsi="Book Antiqua" w:cs="宋体"/>
                <w:color w:val="000000"/>
                <w:lang w:eastAsia="zh-CN"/>
              </w:rPr>
            </w:pPr>
            <w:r w:rsidRPr="004970DC">
              <w:rPr>
                <w:rFonts w:ascii="Book Antiqua" w:eastAsia="宋体" w:hAnsi="Book Antiqua" w:cs="宋体"/>
                <w:color w:val="000000"/>
                <w:lang w:eastAsia="zh-CN"/>
              </w:rPr>
              <w:t>X</w:t>
            </w:r>
          </w:p>
        </w:tc>
        <w:tc>
          <w:tcPr>
            <w:tcW w:w="1605" w:type="dxa"/>
            <w:tcBorders>
              <w:top w:val="nil"/>
              <w:left w:val="nil"/>
              <w:bottom w:val="nil"/>
              <w:right w:val="nil"/>
            </w:tcBorders>
            <w:shd w:val="clear" w:color="auto" w:fill="auto"/>
            <w:vAlign w:val="center"/>
            <w:hideMark/>
          </w:tcPr>
          <w:p w14:paraId="6678EDBD" w14:textId="77777777" w:rsidR="004970DC" w:rsidRPr="004970DC" w:rsidRDefault="004970DC" w:rsidP="00CA3946">
            <w:pPr>
              <w:spacing w:line="360" w:lineRule="auto"/>
              <w:rPr>
                <w:rFonts w:ascii="Book Antiqua" w:eastAsia="宋体" w:hAnsi="Book Antiqua" w:cs="宋体"/>
                <w:color w:val="000000"/>
                <w:lang w:eastAsia="zh-CN"/>
              </w:rPr>
            </w:pPr>
            <w:r w:rsidRPr="004970DC">
              <w:rPr>
                <w:rFonts w:ascii="Book Antiqua" w:eastAsia="宋体" w:hAnsi="Book Antiqua" w:cs="宋体"/>
                <w:color w:val="000000"/>
                <w:lang w:eastAsia="zh-CN"/>
              </w:rPr>
              <w:t>-</w:t>
            </w:r>
          </w:p>
        </w:tc>
      </w:tr>
      <w:tr w:rsidR="004970DC" w:rsidRPr="004970DC" w14:paraId="3EC8F803" w14:textId="77777777" w:rsidTr="00C94B24">
        <w:trPr>
          <w:trHeight w:val="946"/>
        </w:trPr>
        <w:tc>
          <w:tcPr>
            <w:tcW w:w="6075" w:type="dxa"/>
            <w:tcBorders>
              <w:top w:val="nil"/>
              <w:left w:val="nil"/>
              <w:bottom w:val="nil"/>
              <w:right w:val="nil"/>
            </w:tcBorders>
            <w:shd w:val="clear" w:color="auto" w:fill="auto"/>
            <w:vAlign w:val="center"/>
            <w:hideMark/>
          </w:tcPr>
          <w:p w14:paraId="2A4D8EB3" w14:textId="77777777" w:rsidR="004970DC" w:rsidRPr="004970DC" w:rsidRDefault="004970DC" w:rsidP="00CA3946">
            <w:pPr>
              <w:spacing w:line="360" w:lineRule="auto"/>
              <w:ind w:firstLineChars="100" w:firstLine="240"/>
              <w:rPr>
                <w:rFonts w:ascii="Book Antiqua" w:eastAsia="宋体" w:hAnsi="Book Antiqua" w:cs="宋体"/>
                <w:color w:val="000000"/>
                <w:lang w:eastAsia="zh-CN"/>
              </w:rPr>
            </w:pPr>
            <w:r w:rsidRPr="004970DC">
              <w:rPr>
                <w:rFonts w:ascii="Book Antiqua" w:eastAsia="宋体" w:hAnsi="Book Antiqua" w:cs="宋体"/>
                <w:color w:val="000000"/>
                <w:lang w:eastAsia="zh-CN"/>
              </w:rPr>
              <w:t>Type of fistula (</w:t>
            </w:r>
            <w:r w:rsidRPr="004970DC">
              <w:rPr>
                <w:rFonts w:ascii="Book Antiqua" w:eastAsia="宋体" w:hAnsi="Book Antiqua" w:cs="宋体"/>
                <w:iCs/>
                <w:color w:val="000000"/>
                <w:lang w:eastAsia="zh-CN"/>
              </w:rPr>
              <w:t xml:space="preserve">perianal, </w:t>
            </w:r>
            <w:proofErr w:type="spellStart"/>
            <w:r w:rsidRPr="004970DC">
              <w:rPr>
                <w:rFonts w:ascii="Book Antiqua" w:eastAsia="宋体" w:hAnsi="Book Antiqua" w:cs="宋体"/>
                <w:iCs/>
                <w:color w:val="000000"/>
                <w:lang w:eastAsia="zh-CN"/>
              </w:rPr>
              <w:t>entero</w:t>
            </w:r>
            <w:proofErr w:type="spellEnd"/>
            <w:r w:rsidRPr="004970DC">
              <w:rPr>
                <w:rFonts w:ascii="Book Antiqua" w:eastAsia="宋体" w:hAnsi="Book Antiqua" w:cs="宋体"/>
                <w:iCs/>
                <w:color w:val="000000"/>
                <w:lang w:eastAsia="zh-CN"/>
              </w:rPr>
              <w:t xml:space="preserve">-enteral, </w:t>
            </w:r>
            <w:proofErr w:type="spellStart"/>
            <w:r w:rsidRPr="004970DC">
              <w:rPr>
                <w:rFonts w:ascii="Book Antiqua" w:eastAsia="宋体" w:hAnsi="Book Antiqua" w:cs="宋体"/>
                <w:iCs/>
                <w:color w:val="000000"/>
                <w:lang w:eastAsia="zh-CN"/>
              </w:rPr>
              <w:t>enterovesical</w:t>
            </w:r>
            <w:proofErr w:type="spellEnd"/>
            <w:r w:rsidRPr="004970DC">
              <w:rPr>
                <w:rFonts w:ascii="Book Antiqua" w:eastAsia="宋体" w:hAnsi="Book Antiqua" w:cs="宋体"/>
                <w:iCs/>
                <w:color w:val="000000"/>
                <w:lang w:eastAsia="zh-CN"/>
              </w:rPr>
              <w:t xml:space="preserve">, </w:t>
            </w:r>
            <w:proofErr w:type="spellStart"/>
            <w:r w:rsidRPr="004970DC">
              <w:rPr>
                <w:rFonts w:ascii="Book Antiqua" w:eastAsia="宋体" w:hAnsi="Book Antiqua" w:cs="宋体"/>
                <w:iCs/>
                <w:color w:val="000000"/>
                <w:lang w:eastAsia="zh-CN"/>
              </w:rPr>
              <w:t>enterovaginal</w:t>
            </w:r>
            <w:proofErr w:type="spellEnd"/>
            <w:r w:rsidRPr="004970DC">
              <w:rPr>
                <w:rFonts w:ascii="Book Antiqua" w:eastAsia="宋体" w:hAnsi="Book Antiqua" w:cs="宋体"/>
                <w:iCs/>
                <w:color w:val="000000"/>
                <w:lang w:eastAsia="zh-CN"/>
              </w:rPr>
              <w:t xml:space="preserve">, </w:t>
            </w:r>
            <w:proofErr w:type="spellStart"/>
            <w:r w:rsidRPr="004970DC">
              <w:rPr>
                <w:rFonts w:ascii="Book Antiqua" w:eastAsia="宋体" w:hAnsi="Book Antiqua" w:cs="宋体"/>
                <w:iCs/>
                <w:color w:val="000000"/>
                <w:lang w:eastAsia="zh-CN"/>
              </w:rPr>
              <w:t>enterocutaneous</w:t>
            </w:r>
            <w:proofErr w:type="spellEnd"/>
            <w:r w:rsidRPr="004970DC">
              <w:rPr>
                <w:rFonts w:ascii="Book Antiqua" w:eastAsia="宋体" w:hAnsi="Book Antiqua" w:cs="宋体"/>
                <w:iCs/>
                <w:color w:val="000000"/>
                <w:lang w:eastAsia="zh-CN"/>
              </w:rPr>
              <w:t>, other</w:t>
            </w:r>
            <w:r w:rsidRPr="004970DC">
              <w:rPr>
                <w:rFonts w:ascii="Book Antiqua" w:eastAsia="宋体" w:hAnsi="Book Antiqua" w:cs="宋体"/>
                <w:color w:val="000000"/>
                <w:lang w:eastAsia="zh-CN"/>
              </w:rPr>
              <w:t>)</w:t>
            </w:r>
          </w:p>
        </w:tc>
        <w:tc>
          <w:tcPr>
            <w:tcW w:w="1597" w:type="dxa"/>
            <w:tcBorders>
              <w:top w:val="nil"/>
              <w:left w:val="nil"/>
              <w:bottom w:val="nil"/>
              <w:right w:val="nil"/>
            </w:tcBorders>
            <w:shd w:val="clear" w:color="auto" w:fill="auto"/>
            <w:vAlign w:val="center"/>
            <w:hideMark/>
          </w:tcPr>
          <w:p w14:paraId="7C683A2C" w14:textId="77777777" w:rsidR="004970DC" w:rsidRPr="004970DC" w:rsidRDefault="004970DC" w:rsidP="00CA3946">
            <w:pPr>
              <w:spacing w:line="360" w:lineRule="auto"/>
              <w:rPr>
                <w:rFonts w:ascii="Book Antiqua" w:eastAsia="宋体" w:hAnsi="Book Antiqua" w:cs="宋体"/>
                <w:color w:val="000000"/>
                <w:lang w:eastAsia="zh-CN"/>
              </w:rPr>
            </w:pPr>
            <w:r w:rsidRPr="004970DC">
              <w:rPr>
                <w:rFonts w:ascii="Book Antiqua" w:eastAsia="宋体" w:hAnsi="Book Antiqua" w:cs="宋体"/>
                <w:color w:val="000000"/>
                <w:lang w:eastAsia="zh-CN"/>
              </w:rPr>
              <w:t>X</w:t>
            </w:r>
          </w:p>
        </w:tc>
        <w:tc>
          <w:tcPr>
            <w:tcW w:w="1605" w:type="dxa"/>
            <w:tcBorders>
              <w:top w:val="nil"/>
              <w:left w:val="nil"/>
              <w:bottom w:val="nil"/>
              <w:right w:val="nil"/>
            </w:tcBorders>
            <w:shd w:val="clear" w:color="auto" w:fill="auto"/>
            <w:vAlign w:val="center"/>
            <w:hideMark/>
          </w:tcPr>
          <w:p w14:paraId="458C9F52" w14:textId="77777777" w:rsidR="004970DC" w:rsidRPr="004970DC" w:rsidRDefault="004970DC" w:rsidP="00CA3946">
            <w:pPr>
              <w:spacing w:line="360" w:lineRule="auto"/>
              <w:rPr>
                <w:rFonts w:ascii="Book Antiqua" w:eastAsia="宋体" w:hAnsi="Book Antiqua" w:cs="宋体"/>
                <w:color w:val="000000"/>
                <w:lang w:eastAsia="zh-CN"/>
              </w:rPr>
            </w:pPr>
            <w:r w:rsidRPr="004970DC">
              <w:rPr>
                <w:rFonts w:ascii="Book Antiqua" w:eastAsia="宋体" w:hAnsi="Book Antiqua" w:cs="宋体"/>
                <w:color w:val="000000"/>
                <w:lang w:eastAsia="zh-CN"/>
              </w:rPr>
              <w:t>-</w:t>
            </w:r>
          </w:p>
        </w:tc>
      </w:tr>
      <w:tr w:rsidR="004970DC" w:rsidRPr="004970DC" w14:paraId="75868CBE" w14:textId="77777777" w:rsidTr="00C94B24">
        <w:trPr>
          <w:trHeight w:val="315"/>
        </w:trPr>
        <w:tc>
          <w:tcPr>
            <w:tcW w:w="6075" w:type="dxa"/>
            <w:tcBorders>
              <w:top w:val="nil"/>
              <w:left w:val="nil"/>
              <w:bottom w:val="nil"/>
              <w:right w:val="nil"/>
            </w:tcBorders>
            <w:shd w:val="clear" w:color="auto" w:fill="auto"/>
            <w:vAlign w:val="center"/>
            <w:hideMark/>
          </w:tcPr>
          <w:p w14:paraId="3EDF6228" w14:textId="74F9AB21" w:rsidR="004970DC" w:rsidRPr="004970DC" w:rsidRDefault="004970DC" w:rsidP="009F2FAC">
            <w:pPr>
              <w:spacing w:line="360" w:lineRule="auto"/>
              <w:ind w:firstLineChars="100" w:firstLine="240"/>
              <w:rPr>
                <w:rFonts w:ascii="Book Antiqua" w:eastAsia="宋体" w:hAnsi="Book Antiqua" w:cs="宋体"/>
                <w:color w:val="000000"/>
                <w:lang w:eastAsia="zh-CN"/>
              </w:rPr>
            </w:pPr>
            <w:r w:rsidRPr="004970DC">
              <w:rPr>
                <w:rFonts w:ascii="Book Antiqua" w:eastAsia="宋体" w:hAnsi="Book Antiqua" w:cs="宋体"/>
                <w:color w:val="000000"/>
                <w:lang w:eastAsia="zh-CN"/>
              </w:rPr>
              <w:t>Intra-intestinal complications (</w:t>
            </w:r>
            <w:r w:rsidRPr="004970DC">
              <w:rPr>
                <w:rFonts w:ascii="Book Antiqua" w:eastAsia="宋体" w:hAnsi="Book Antiqua" w:cs="宋体"/>
                <w:iCs/>
                <w:color w:val="000000"/>
                <w:lang w:eastAsia="zh-CN"/>
              </w:rPr>
              <w:t>yes or no</w:t>
            </w:r>
            <w:r w:rsidRPr="004970DC">
              <w:rPr>
                <w:rFonts w:ascii="Book Antiqua" w:eastAsia="宋体" w:hAnsi="Book Antiqua" w:cs="宋体"/>
                <w:color w:val="000000"/>
                <w:lang w:eastAsia="zh-CN"/>
              </w:rPr>
              <w:t>)</w:t>
            </w:r>
          </w:p>
        </w:tc>
        <w:tc>
          <w:tcPr>
            <w:tcW w:w="1597" w:type="dxa"/>
            <w:tcBorders>
              <w:top w:val="nil"/>
              <w:left w:val="nil"/>
              <w:bottom w:val="nil"/>
              <w:right w:val="nil"/>
            </w:tcBorders>
            <w:shd w:val="clear" w:color="auto" w:fill="auto"/>
            <w:vAlign w:val="center"/>
            <w:hideMark/>
          </w:tcPr>
          <w:p w14:paraId="1AC574EC" w14:textId="77777777" w:rsidR="004970DC" w:rsidRPr="004970DC" w:rsidRDefault="004970DC" w:rsidP="00CA3946">
            <w:pPr>
              <w:spacing w:line="360" w:lineRule="auto"/>
              <w:rPr>
                <w:rFonts w:ascii="Book Antiqua" w:eastAsia="宋体" w:hAnsi="Book Antiqua" w:cs="宋体"/>
                <w:color w:val="000000"/>
                <w:lang w:eastAsia="zh-CN"/>
              </w:rPr>
            </w:pPr>
            <w:r w:rsidRPr="004970DC">
              <w:rPr>
                <w:rFonts w:ascii="Book Antiqua" w:eastAsia="宋体" w:hAnsi="Book Antiqua" w:cs="宋体"/>
                <w:color w:val="000000"/>
                <w:lang w:eastAsia="zh-CN"/>
              </w:rPr>
              <w:t>X</w:t>
            </w:r>
          </w:p>
        </w:tc>
        <w:tc>
          <w:tcPr>
            <w:tcW w:w="1605" w:type="dxa"/>
            <w:tcBorders>
              <w:top w:val="nil"/>
              <w:left w:val="nil"/>
              <w:bottom w:val="nil"/>
              <w:right w:val="nil"/>
            </w:tcBorders>
            <w:shd w:val="clear" w:color="auto" w:fill="auto"/>
            <w:vAlign w:val="center"/>
            <w:hideMark/>
          </w:tcPr>
          <w:p w14:paraId="242333CA" w14:textId="77777777" w:rsidR="004970DC" w:rsidRPr="004970DC" w:rsidRDefault="004970DC" w:rsidP="00CA3946">
            <w:pPr>
              <w:spacing w:line="360" w:lineRule="auto"/>
              <w:rPr>
                <w:rFonts w:ascii="Book Antiqua" w:eastAsia="宋体" w:hAnsi="Book Antiqua" w:cs="宋体"/>
                <w:color w:val="000000"/>
                <w:lang w:eastAsia="zh-CN"/>
              </w:rPr>
            </w:pPr>
            <w:r w:rsidRPr="004970DC">
              <w:rPr>
                <w:rFonts w:ascii="Book Antiqua" w:eastAsia="宋体" w:hAnsi="Book Antiqua" w:cs="宋体"/>
                <w:color w:val="000000"/>
                <w:lang w:eastAsia="zh-CN"/>
              </w:rPr>
              <w:t>-</w:t>
            </w:r>
          </w:p>
        </w:tc>
      </w:tr>
      <w:tr w:rsidR="004970DC" w:rsidRPr="004970DC" w14:paraId="0AB1BC8F" w14:textId="77777777" w:rsidTr="00C94B24">
        <w:trPr>
          <w:trHeight w:val="621"/>
        </w:trPr>
        <w:tc>
          <w:tcPr>
            <w:tcW w:w="6075" w:type="dxa"/>
            <w:tcBorders>
              <w:top w:val="nil"/>
              <w:left w:val="nil"/>
              <w:bottom w:val="nil"/>
              <w:right w:val="nil"/>
            </w:tcBorders>
            <w:shd w:val="clear" w:color="auto" w:fill="auto"/>
            <w:vAlign w:val="center"/>
            <w:hideMark/>
          </w:tcPr>
          <w:p w14:paraId="45D2565A" w14:textId="77777777" w:rsidR="004970DC" w:rsidRPr="004970DC" w:rsidRDefault="004970DC" w:rsidP="00CA3946">
            <w:pPr>
              <w:spacing w:line="360" w:lineRule="auto"/>
              <w:ind w:firstLineChars="100" w:firstLine="240"/>
              <w:rPr>
                <w:rFonts w:ascii="Book Antiqua" w:eastAsia="宋体" w:hAnsi="Book Antiqua" w:cs="宋体"/>
                <w:color w:val="000000"/>
                <w:lang w:eastAsia="zh-CN"/>
              </w:rPr>
            </w:pPr>
            <w:r w:rsidRPr="004970DC">
              <w:rPr>
                <w:rFonts w:ascii="Book Antiqua" w:eastAsia="宋体" w:hAnsi="Book Antiqua" w:cs="宋体"/>
                <w:color w:val="000000"/>
                <w:lang w:eastAsia="zh-CN"/>
              </w:rPr>
              <w:t>Extraintestinal complications (</w:t>
            </w:r>
            <w:r w:rsidRPr="004970DC">
              <w:rPr>
                <w:rFonts w:ascii="Book Antiqua" w:eastAsia="宋体" w:hAnsi="Book Antiqua" w:cs="宋体"/>
                <w:iCs/>
                <w:color w:val="000000"/>
                <w:lang w:eastAsia="zh-CN"/>
              </w:rPr>
              <w:t>dermatological, osseous, optical, hepatic</w:t>
            </w:r>
            <w:r w:rsidRPr="004970DC">
              <w:rPr>
                <w:rFonts w:ascii="Book Antiqua" w:eastAsia="宋体" w:hAnsi="Book Antiqua" w:cs="宋体"/>
                <w:color w:val="000000"/>
                <w:lang w:eastAsia="zh-CN"/>
              </w:rPr>
              <w:t>)</w:t>
            </w:r>
          </w:p>
        </w:tc>
        <w:tc>
          <w:tcPr>
            <w:tcW w:w="1597" w:type="dxa"/>
            <w:tcBorders>
              <w:top w:val="nil"/>
              <w:left w:val="nil"/>
              <w:bottom w:val="nil"/>
              <w:right w:val="nil"/>
            </w:tcBorders>
            <w:shd w:val="clear" w:color="auto" w:fill="auto"/>
            <w:vAlign w:val="center"/>
            <w:hideMark/>
          </w:tcPr>
          <w:p w14:paraId="314781F4" w14:textId="77777777" w:rsidR="004970DC" w:rsidRPr="004970DC" w:rsidRDefault="004970DC" w:rsidP="00CA3946">
            <w:pPr>
              <w:spacing w:line="360" w:lineRule="auto"/>
              <w:rPr>
                <w:rFonts w:ascii="Book Antiqua" w:eastAsia="宋体" w:hAnsi="Book Antiqua" w:cs="宋体"/>
                <w:color w:val="000000"/>
                <w:lang w:eastAsia="zh-CN"/>
              </w:rPr>
            </w:pPr>
            <w:r w:rsidRPr="004970DC">
              <w:rPr>
                <w:rFonts w:ascii="Book Antiqua" w:eastAsia="宋体" w:hAnsi="Book Antiqua" w:cs="宋体"/>
                <w:color w:val="000000"/>
                <w:lang w:eastAsia="zh-CN"/>
              </w:rPr>
              <w:t>X</w:t>
            </w:r>
          </w:p>
        </w:tc>
        <w:tc>
          <w:tcPr>
            <w:tcW w:w="1605" w:type="dxa"/>
            <w:tcBorders>
              <w:top w:val="nil"/>
              <w:left w:val="nil"/>
              <w:bottom w:val="nil"/>
              <w:right w:val="nil"/>
            </w:tcBorders>
            <w:shd w:val="clear" w:color="auto" w:fill="auto"/>
            <w:vAlign w:val="center"/>
            <w:hideMark/>
          </w:tcPr>
          <w:p w14:paraId="1F513D84" w14:textId="77777777" w:rsidR="004970DC" w:rsidRPr="004970DC" w:rsidRDefault="004970DC" w:rsidP="00CA3946">
            <w:pPr>
              <w:spacing w:line="360" w:lineRule="auto"/>
              <w:rPr>
                <w:rFonts w:ascii="Book Antiqua" w:eastAsia="宋体" w:hAnsi="Book Antiqua" w:cs="宋体"/>
                <w:color w:val="000000"/>
                <w:lang w:eastAsia="zh-CN"/>
              </w:rPr>
            </w:pPr>
            <w:r w:rsidRPr="004970DC">
              <w:rPr>
                <w:rFonts w:ascii="Book Antiqua" w:eastAsia="宋体" w:hAnsi="Book Antiqua" w:cs="宋体"/>
                <w:color w:val="000000"/>
                <w:lang w:eastAsia="zh-CN"/>
              </w:rPr>
              <w:t>-</w:t>
            </w:r>
          </w:p>
        </w:tc>
      </w:tr>
      <w:tr w:rsidR="004970DC" w:rsidRPr="004970DC" w14:paraId="3F92B352" w14:textId="77777777" w:rsidTr="00C94B24">
        <w:trPr>
          <w:trHeight w:val="305"/>
        </w:trPr>
        <w:tc>
          <w:tcPr>
            <w:tcW w:w="6075" w:type="dxa"/>
            <w:tcBorders>
              <w:top w:val="nil"/>
              <w:left w:val="nil"/>
              <w:bottom w:val="nil"/>
              <w:right w:val="nil"/>
            </w:tcBorders>
            <w:shd w:val="clear" w:color="auto" w:fill="auto"/>
            <w:vAlign w:val="center"/>
            <w:hideMark/>
          </w:tcPr>
          <w:p w14:paraId="5F9B77FD" w14:textId="292710F8" w:rsidR="004970DC" w:rsidRPr="004970DC" w:rsidRDefault="004970DC" w:rsidP="009F2FAC">
            <w:pPr>
              <w:spacing w:line="360" w:lineRule="auto"/>
              <w:ind w:firstLineChars="100" w:firstLine="240"/>
              <w:rPr>
                <w:rFonts w:ascii="Book Antiqua" w:eastAsia="宋体" w:hAnsi="Book Antiqua" w:cs="宋体"/>
                <w:color w:val="000000"/>
                <w:lang w:eastAsia="zh-CN"/>
              </w:rPr>
            </w:pPr>
            <w:r w:rsidRPr="004970DC">
              <w:rPr>
                <w:rFonts w:ascii="Book Antiqua" w:eastAsia="宋体" w:hAnsi="Book Antiqua" w:cs="宋体"/>
                <w:color w:val="000000"/>
                <w:lang w:eastAsia="zh-CN"/>
              </w:rPr>
              <w:t>Harvey</w:t>
            </w:r>
            <w:r w:rsidR="001538BA" w:rsidRPr="004970DC">
              <w:rPr>
                <w:rFonts w:ascii="Book Antiqua" w:eastAsia="宋体" w:hAnsi="Book Antiqua" w:cs="宋体"/>
                <w:color w:val="000000"/>
                <w:lang w:eastAsia="zh-CN"/>
              </w:rPr>
              <w:t>-</w:t>
            </w:r>
            <w:r w:rsidR="009F2FAC">
              <w:rPr>
                <w:rFonts w:ascii="Book Antiqua" w:eastAsia="宋体" w:hAnsi="Book Antiqua" w:cs="宋体"/>
                <w:color w:val="000000"/>
                <w:lang w:eastAsia="zh-CN"/>
              </w:rPr>
              <w:t>B</w:t>
            </w:r>
            <w:r w:rsidR="001538BA" w:rsidRPr="004970DC">
              <w:rPr>
                <w:rFonts w:ascii="Book Antiqua" w:eastAsia="宋体" w:hAnsi="Book Antiqua" w:cs="宋体"/>
                <w:color w:val="000000"/>
                <w:lang w:eastAsia="zh-CN"/>
              </w:rPr>
              <w:t>radshaw in</w:t>
            </w:r>
            <w:r w:rsidRPr="004970DC">
              <w:rPr>
                <w:rFonts w:ascii="Book Antiqua" w:eastAsia="宋体" w:hAnsi="Book Antiqua" w:cs="宋体"/>
                <w:color w:val="000000"/>
                <w:lang w:eastAsia="zh-CN"/>
              </w:rPr>
              <w:t>dex</w:t>
            </w:r>
          </w:p>
        </w:tc>
        <w:tc>
          <w:tcPr>
            <w:tcW w:w="1597" w:type="dxa"/>
            <w:tcBorders>
              <w:top w:val="nil"/>
              <w:left w:val="nil"/>
              <w:bottom w:val="nil"/>
              <w:right w:val="nil"/>
            </w:tcBorders>
            <w:shd w:val="clear" w:color="auto" w:fill="auto"/>
            <w:vAlign w:val="center"/>
            <w:hideMark/>
          </w:tcPr>
          <w:p w14:paraId="6A570E08" w14:textId="77777777" w:rsidR="004970DC" w:rsidRPr="004970DC" w:rsidRDefault="004970DC" w:rsidP="00CA3946">
            <w:pPr>
              <w:spacing w:line="360" w:lineRule="auto"/>
              <w:rPr>
                <w:rFonts w:ascii="Book Antiqua" w:eastAsia="宋体" w:hAnsi="Book Antiqua" w:cs="宋体"/>
                <w:color w:val="000000"/>
                <w:lang w:eastAsia="zh-CN"/>
              </w:rPr>
            </w:pPr>
            <w:r w:rsidRPr="004970DC">
              <w:rPr>
                <w:rFonts w:ascii="Book Antiqua" w:eastAsia="宋体" w:hAnsi="Book Antiqua" w:cs="宋体"/>
                <w:color w:val="000000"/>
                <w:lang w:eastAsia="zh-CN"/>
              </w:rPr>
              <w:t>X</w:t>
            </w:r>
          </w:p>
        </w:tc>
        <w:tc>
          <w:tcPr>
            <w:tcW w:w="1605" w:type="dxa"/>
            <w:tcBorders>
              <w:top w:val="nil"/>
              <w:left w:val="nil"/>
              <w:bottom w:val="nil"/>
              <w:right w:val="nil"/>
            </w:tcBorders>
            <w:shd w:val="clear" w:color="auto" w:fill="auto"/>
            <w:vAlign w:val="center"/>
            <w:hideMark/>
          </w:tcPr>
          <w:p w14:paraId="28C2430B" w14:textId="77777777" w:rsidR="004970DC" w:rsidRPr="004970DC" w:rsidRDefault="004970DC" w:rsidP="00CA3946">
            <w:pPr>
              <w:spacing w:line="360" w:lineRule="auto"/>
              <w:rPr>
                <w:rFonts w:ascii="Book Antiqua" w:eastAsia="宋体" w:hAnsi="Book Antiqua" w:cs="宋体"/>
                <w:color w:val="000000"/>
                <w:lang w:eastAsia="zh-CN"/>
              </w:rPr>
            </w:pPr>
            <w:r w:rsidRPr="004970DC">
              <w:rPr>
                <w:rFonts w:ascii="Book Antiqua" w:eastAsia="宋体" w:hAnsi="Book Antiqua" w:cs="宋体"/>
                <w:color w:val="000000"/>
                <w:lang w:eastAsia="zh-CN"/>
              </w:rPr>
              <w:t>X</w:t>
            </w:r>
          </w:p>
        </w:tc>
      </w:tr>
      <w:tr w:rsidR="004970DC" w:rsidRPr="004970DC" w14:paraId="2B99E874" w14:textId="77777777" w:rsidTr="00C94B24">
        <w:trPr>
          <w:trHeight w:val="305"/>
        </w:trPr>
        <w:tc>
          <w:tcPr>
            <w:tcW w:w="6075" w:type="dxa"/>
            <w:tcBorders>
              <w:top w:val="nil"/>
              <w:left w:val="nil"/>
              <w:bottom w:val="nil"/>
              <w:right w:val="nil"/>
            </w:tcBorders>
            <w:shd w:val="clear" w:color="auto" w:fill="auto"/>
            <w:vAlign w:val="center"/>
            <w:hideMark/>
          </w:tcPr>
          <w:p w14:paraId="79F61EB6" w14:textId="77777777" w:rsidR="004970DC" w:rsidRPr="004970DC" w:rsidRDefault="004970DC" w:rsidP="00CA3946">
            <w:pPr>
              <w:spacing w:line="360" w:lineRule="auto"/>
              <w:ind w:firstLineChars="100" w:firstLine="240"/>
              <w:rPr>
                <w:rFonts w:ascii="Book Antiqua" w:eastAsia="宋体" w:hAnsi="Book Antiqua" w:cs="宋体"/>
                <w:color w:val="000000"/>
                <w:lang w:eastAsia="zh-CN"/>
              </w:rPr>
            </w:pPr>
            <w:r w:rsidRPr="004970DC">
              <w:rPr>
                <w:rFonts w:ascii="Book Antiqua" w:eastAsia="宋体" w:hAnsi="Book Antiqua" w:cs="宋体"/>
                <w:color w:val="000000"/>
                <w:lang w:eastAsia="zh-CN"/>
              </w:rPr>
              <w:t>Crohn</w:t>
            </w:r>
            <w:r w:rsidR="001538BA">
              <w:rPr>
                <w:rFonts w:ascii="Book Antiqua" w:eastAsia="宋体" w:hAnsi="Book Antiqua" w:cs="宋体"/>
                <w:color w:val="000000"/>
                <w:lang w:eastAsia="zh-CN"/>
              </w:rPr>
              <w:t>’</w:t>
            </w:r>
            <w:r w:rsidR="001538BA">
              <w:rPr>
                <w:rFonts w:ascii="Book Antiqua" w:eastAsia="宋体" w:hAnsi="Book Antiqua" w:cs="宋体" w:hint="eastAsia"/>
                <w:color w:val="000000"/>
                <w:lang w:eastAsia="zh-CN"/>
              </w:rPr>
              <w:t>s</w:t>
            </w:r>
            <w:r w:rsidRPr="004970DC">
              <w:rPr>
                <w:rFonts w:ascii="Book Antiqua" w:eastAsia="宋体" w:hAnsi="Book Antiqua" w:cs="宋体"/>
                <w:color w:val="000000"/>
                <w:lang w:eastAsia="zh-CN"/>
              </w:rPr>
              <w:t xml:space="preserve"> </w:t>
            </w:r>
            <w:r w:rsidR="001538BA" w:rsidRPr="004970DC">
              <w:rPr>
                <w:rFonts w:ascii="Book Antiqua" w:eastAsia="宋体" w:hAnsi="Book Antiqua" w:cs="宋体"/>
                <w:color w:val="000000"/>
                <w:lang w:eastAsia="zh-CN"/>
              </w:rPr>
              <w:t>d</w:t>
            </w:r>
            <w:r w:rsidRPr="004970DC">
              <w:rPr>
                <w:rFonts w:ascii="Book Antiqua" w:eastAsia="宋体" w:hAnsi="Book Antiqua" w:cs="宋体"/>
                <w:color w:val="000000"/>
                <w:lang w:eastAsia="zh-CN"/>
              </w:rPr>
              <w:t xml:space="preserve">isease </w:t>
            </w:r>
            <w:r w:rsidR="001538BA" w:rsidRPr="004970DC">
              <w:rPr>
                <w:rFonts w:ascii="Book Antiqua" w:eastAsia="宋体" w:hAnsi="Book Antiqua" w:cs="宋体"/>
                <w:color w:val="000000"/>
                <w:lang w:eastAsia="zh-CN"/>
              </w:rPr>
              <w:t>activity in</w:t>
            </w:r>
            <w:r w:rsidRPr="004970DC">
              <w:rPr>
                <w:rFonts w:ascii="Book Antiqua" w:eastAsia="宋体" w:hAnsi="Book Antiqua" w:cs="宋体"/>
                <w:color w:val="000000"/>
                <w:lang w:eastAsia="zh-CN"/>
              </w:rPr>
              <w:t>dex</w:t>
            </w:r>
          </w:p>
        </w:tc>
        <w:tc>
          <w:tcPr>
            <w:tcW w:w="1597" w:type="dxa"/>
            <w:tcBorders>
              <w:top w:val="nil"/>
              <w:left w:val="nil"/>
              <w:bottom w:val="nil"/>
              <w:right w:val="nil"/>
            </w:tcBorders>
            <w:shd w:val="clear" w:color="auto" w:fill="auto"/>
            <w:vAlign w:val="center"/>
            <w:hideMark/>
          </w:tcPr>
          <w:p w14:paraId="720528B8" w14:textId="77777777" w:rsidR="004970DC" w:rsidRPr="004970DC" w:rsidRDefault="004970DC" w:rsidP="00CA3946">
            <w:pPr>
              <w:spacing w:line="360" w:lineRule="auto"/>
              <w:rPr>
                <w:rFonts w:ascii="Book Antiqua" w:eastAsia="宋体" w:hAnsi="Book Antiqua" w:cs="宋体"/>
                <w:color w:val="000000"/>
                <w:lang w:eastAsia="zh-CN"/>
              </w:rPr>
            </w:pPr>
            <w:r w:rsidRPr="004970DC">
              <w:rPr>
                <w:rFonts w:ascii="Book Antiqua" w:eastAsia="宋体" w:hAnsi="Book Antiqua" w:cs="宋体"/>
                <w:color w:val="000000"/>
                <w:lang w:eastAsia="zh-CN"/>
              </w:rPr>
              <w:t>X</w:t>
            </w:r>
          </w:p>
        </w:tc>
        <w:tc>
          <w:tcPr>
            <w:tcW w:w="1605" w:type="dxa"/>
            <w:tcBorders>
              <w:top w:val="nil"/>
              <w:left w:val="nil"/>
              <w:bottom w:val="nil"/>
              <w:right w:val="nil"/>
            </w:tcBorders>
            <w:shd w:val="clear" w:color="auto" w:fill="auto"/>
            <w:vAlign w:val="center"/>
            <w:hideMark/>
          </w:tcPr>
          <w:p w14:paraId="4AF81DBE" w14:textId="77777777" w:rsidR="004970DC" w:rsidRPr="004970DC" w:rsidRDefault="004970DC" w:rsidP="00CA3946">
            <w:pPr>
              <w:spacing w:line="360" w:lineRule="auto"/>
              <w:rPr>
                <w:rFonts w:ascii="Book Antiqua" w:eastAsia="宋体" w:hAnsi="Book Antiqua" w:cs="宋体"/>
                <w:color w:val="000000"/>
                <w:lang w:eastAsia="zh-CN"/>
              </w:rPr>
            </w:pPr>
            <w:r w:rsidRPr="004970DC">
              <w:rPr>
                <w:rFonts w:ascii="Book Antiqua" w:eastAsia="宋体" w:hAnsi="Book Antiqua" w:cs="宋体"/>
                <w:color w:val="000000"/>
                <w:lang w:eastAsia="zh-CN"/>
              </w:rPr>
              <w:t>X</w:t>
            </w:r>
          </w:p>
        </w:tc>
      </w:tr>
      <w:tr w:rsidR="004970DC" w:rsidRPr="004970DC" w14:paraId="1C140F1E" w14:textId="77777777" w:rsidTr="00C94B24">
        <w:trPr>
          <w:trHeight w:val="305"/>
        </w:trPr>
        <w:tc>
          <w:tcPr>
            <w:tcW w:w="6075" w:type="dxa"/>
            <w:tcBorders>
              <w:top w:val="nil"/>
              <w:left w:val="nil"/>
              <w:bottom w:val="nil"/>
              <w:right w:val="nil"/>
            </w:tcBorders>
            <w:shd w:val="clear" w:color="auto" w:fill="auto"/>
            <w:vAlign w:val="center"/>
            <w:hideMark/>
          </w:tcPr>
          <w:p w14:paraId="4A77693B" w14:textId="77777777" w:rsidR="004970DC" w:rsidRPr="004970DC" w:rsidRDefault="004970DC" w:rsidP="00CA3946">
            <w:pPr>
              <w:spacing w:line="360" w:lineRule="auto"/>
              <w:ind w:firstLineChars="100" w:firstLine="240"/>
              <w:rPr>
                <w:rFonts w:ascii="Book Antiqua" w:eastAsia="宋体" w:hAnsi="Book Antiqua" w:cs="宋体"/>
                <w:color w:val="000000"/>
                <w:lang w:eastAsia="zh-CN"/>
              </w:rPr>
            </w:pPr>
            <w:r w:rsidRPr="004970DC">
              <w:rPr>
                <w:rFonts w:ascii="Book Antiqua" w:eastAsia="宋体" w:hAnsi="Book Antiqua" w:cs="宋体"/>
                <w:color w:val="000000"/>
                <w:lang w:eastAsia="zh-CN"/>
              </w:rPr>
              <w:t>Partial Mayo Score</w:t>
            </w:r>
          </w:p>
        </w:tc>
        <w:tc>
          <w:tcPr>
            <w:tcW w:w="1597" w:type="dxa"/>
            <w:tcBorders>
              <w:top w:val="nil"/>
              <w:left w:val="nil"/>
              <w:bottom w:val="nil"/>
              <w:right w:val="nil"/>
            </w:tcBorders>
            <w:shd w:val="clear" w:color="auto" w:fill="auto"/>
            <w:vAlign w:val="center"/>
            <w:hideMark/>
          </w:tcPr>
          <w:p w14:paraId="620CD406" w14:textId="77777777" w:rsidR="004970DC" w:rsidRPr="004970DC" w:rsidRDefault="004970DC" w:rsidP="00CA3946">
            <w:pPr>
              <w:spacing w:line="360" w:lineRule="auto"/>
              <w:rPr>
                <w:rFonts w:ascii="Book Antiqua" w:eastAsia="宋体" w:hAnsi="Book Antiqua" w:cs="宋体"/>
                <w:color w:val="000000"/>
                <w:lang w:eastAsia="zh-CN"/>
              </w:rPr>
            </w:pPr>
            <w:r w:rsidRPr="004970DC">
              <w:rPr>
                <w:rFonts w:ascii="Book Antiqua" w:eastAsia="宋体" w:hAnsi="Book Antiqua" w:cs="宋体"/>
                <w:color w:val="000000"/>
                <w:lang w:eastAsia="zh-CN"/>
              </w:rPr>
              <w:t>X</w:t>
            </w:r>
          </w:p>
        </w:tc>
        <w:tc>
          <w:tcPr>
            <w:tcW w:w="1605" w:type="dxa"/>
            <w:tcBorders>
              <w:top w:val="nil"/>
              <w:left w:val="nil"/>
              <w:bottom w:val="nil"/>
              <w:right w:val="nil"/>
            </w:tcBorders>
            <w:shd w:val="clear" w:color="auto" w:fill="auto"/>
            <w:vAlign w:val="center"/>
            <w:hideMark/>
          </w:tcPr>
          <w:p w14:paraId="212ED0FC" w14:textId="77777777" w:rsidR="004970DC" w:rsidRPr="004970DC" w:rsidRDefault="004970DC" w:rsidP="00CA3946">
            <w:pPr>
              <w:spacing w:line="360" w:lineRule="auto"/>
              <w:rPr>
                <w:rFonts w:ascii="Book Antiqua" w:eastAsia="宋体" w:hAnsi="Book Antiqua" w:cs="宋体"/>
                <w:color w:val="000000"/>
                <w:lang w:eastAsia="zh-CN"/>
              </w:rPr>
            </w:pPr>
            <w:r w:rsidRPr="004970DC">
              <w:rPr>
                <w:rFonts w:ascii="Book Antiqua" w:eastAsia="宋体" w:hAnsi="Book Antiqua" w:cs="宋体"/>
                <w:color w:val="000000"/>
                <w:lang w:eastAsia="zh-CN"/>
              </w:rPr>
              <w:t>X</w:t>
            </w:r>
          </w:p>
        </w:tc>
      </w:tr>
      <w:tr w:rsidR="004970DC" w:rsidRPr="004970DC" w14:paraId="5B1C5072" w14:textId="77777777" w:rsidTr="00C94B24">
        <w:trPr>
          <w:trHeight w:val="305"/>
        </w:trPr>
        <w:tc>
          <w:tcPr>
            <w:tcW w:w="6075" w:type="dxa"/>
            <w:tcBorders>
              <w:top w:val="nil"/>
              <w:left w:val="nil"/>
              <w:bottom w:val="nil"/>
              <w:right w:val="nil"/>
            </w:tcBorders>
            <w:shd w:val="clear" w:color="auto" w:fill="auto"/>
            <w:vAlign w:val="center"/>
            <w:hideMark/>
          </w:tcPr>
          <w:p w14:paraId="4894B4E2" w14:textId="16DCE8F4" w:rsidR="004970DC" w:rsidRPr="004970DC" w:rsidRDefault="004970DC" w:rsidP="0083055D">
            <w:pPr>
              <w:spacing w:line="360" w:lineRule="auto"/>
              <w:ind w:firstLineChars="100" w:firstLine="240"/>
              <w:rPr>
                <w:rFonts w:ascii="Book Antiqua" w:eastAsia="宋体" w:hAnsi="Book Antiqua" w:cs="宋体"/>
                <w:color w:val="000000"/>
                <w:lang w:eastAsia="zh-CN"/>
              </w:rPr>
            </w:pPr>
            <w:r w:rsidRPr="004970DC">
              <w:rPr>
                <w:rFonts w:ascii="Book Antiqua" w:eastAsia="宋体" w:hAnsi="Book Antiqua" w:cs="宋体"/>
                <w:color w:val="000000"/>
                <w:lang w:eastAsia="zh-CN"/>
              </w:rPr>
              <w:t>Truelove</w:t>
            </w:r>
            <w:r w:rsidR="0083055D">
              <w:rPr>
                <w:rFonts w:ascii="Book Antiqua" w:eastAsia="宋体" w:hAnsi="Book Antiqua" w:cs="宋体"/>
                <w:color w:val="000000"/>
                <w:lang w:eastAsia="zh-CN"/>
              </w:rPr>
              <w:t>-</w:t>
            </w:r>
            <w:r w:rsidR="009F2FAC">
              <w:rPr>
                <w:rFonts w:ascii="Book Antiqua" w:eastAsia="宋体" w:hAnsi="Book Antiqua" w:cs="宋体"/>
                <w:color w:val="000000"/>
                <w:lang w:eastAsia="zh-CN"/>
              </w:rPr>
              <w:t>W</w:t>
            </w:r>
            <w:r w:rsidR="001538BA" w:rsidRPr="004970DC">
              <w:rPr>
                <w:rFonts w:ascii="Book Antiqua" w:eastAsia="宋体" w:hAnsi="Book Antiqua" w:cs="宋体"/>
                <w:color w:val="000000"/>
                <w:lang w:eastAsia="zh-CN"/>
              </w:rPr>
              <w:t>itts severity i</w:t>
            </w:r>
            <w:r w:rsidRPr="004970DC">
              <w:rPr>
                <w:rFonts w:ascii="Book Antiqua" w:eastAsia="宋体" w:hAnsi="Book Antiqua" w:cs="宋体"/>
                <w:color w:val="000000"/>
                <w:lang w:eastAsia="zh-CN"/>
              </w:rPr>
              <w:t>ndex</w:t>
            </w:r>
          </w:p>
        </w:tc>
        <w:tc>
          <w:tcPr>
            <w:tcW w:w="1597" w:type="dxa"/>
            <w:tcBorders>
              <w:top w:val="nil"/>
              <w:left w:val="nil"/>
              <w:bottom w:val="nil"/>
              <w:right w:val="nil"/>
            </w:tcBorders>
            <w:shd w:val="clear" w:color="auto" w:fill="auto"/>
            <w:vAlign w:val="center"/>
            <w:hideMark/>
          </w:tcPr>
          <w:p w14:paraId="0BEC2AC8" w14:textId="77777777" w:rsidR="004970DC" w:rsidRPr="004970DC" w:rsidRDefault="004970DC" w:rsidP="00CA3946">
            <w:pPr>
              <w:spacing w:line="360" w:lineRule="auto"/>
              <w:rPr>
                <w:rFonts w:ascii="Book Antiqua" w:eastAsia="宋体" w:hAnsi="Book Antiqua" w:cs="宋体"/>
                <w:color w:val="000000"/>
                <w:lang w:eastAsia="zh-CN"/>
              </w:rPr>
            </w:pPr>
            <w:r w:rsidRPr="004970DC">
              <w:rPr>
                <w:rFonts w:ascii="Book Antiqua" w:eastAsia="宋体" w:hAnsi="Book Antiqua" w:cs="宋体"/>
                <w:color w:val="000000"/>
                <w:lang w:eastAsia="zh-CN"/>
              </w:rPr>
              <w:t>X</w:t>
            </w:r>
          </w:p>
        </w:tc>
        <w:tc>
          <w:tcPr>
            <w:tcW w:w="1605" w:type="dxa"/>
            <w:tcBorders>
              <w:top w:val="nil"/>
              <w:left w:val="nil"/>
              <w:bottom w:val="nil"/>
              <w:right w:val="nil"/>
            </w:tcBorders>
            <w:shd w:val="clear" w:color="auto" w:fill="auto"/>
            <w:vAlign w:val="center"/>
            <w:hideMark/>
          </w:tcPr>
          <w:p w14:paraId="7E31E49D" w14:textId="77777777" w:rsidR="004970DC" w:rsidRPr="004970DC" w:rsidRDefault="004970DC" w:rsidP="00CA3946">
            <w:pPr>
              <w:spacing w:line="360" w:lineRule="auto"/>
              <w:rPr>
                <w:rFonts w:ascii="Book Antiqua" w:eastAsia="宋体" w:hAnsi="Book Antiqua" w:cs="宋体"/>
                <w:color w:val="000000"/>
                <w:lang w:eastAsia="zh-CN"/>
              </w:rPr>
            </w:pPr>
            <w:r w:rsidRPr="004970DC">
              <w:rPr>
                <w:rFonts w:ascii="Book Antiqua" w:eastAsia="宋体" w:hAnsi="Book Antiqua" w:cs="宋体"/>
                <w:color w:val="000000"/>
                <w:lang w:eastAsia="zh-CN"/>
              </w:rPr>
              <w:t>X</w:t>
            </w:r>
          </w:p>
        </w:tc>
      </w:tr>
      <w:tr w:rsidR="004970DC" w:rsidRPr="004970DC" w14:paraId="72238190" w14:textId="77777777" w:rsidTr="00C94B24">
        <w:trPr>
          <w:trHeight w:val="305"/>
        </w:trPr>
        <w:tc>
          <w:tcPr>
            <w:tcW w:w="6075" w:type="dxa"/>
            <w:tcBorders>
              <w:top w:val="nil"/>
              <w:left w:val="nil"/>
              <w:bottom w:val="nil"/>
              <w:right w:val="nil"/>
            </w:tcBorders>
            <w:shd w:val="clear" w:color="auto" w:fill="auto"/>
            <w:vAlign w:val="center"/>
            <w:hideMark/>
          </w:tcPr>
          <w:p w14:paraId="68471787" w14:textId="77777777" w:rsidR="004970DC" w:rsidRPr="004970DC" w:rsidRDefault="004970DC" w:rsidP="00CA3946">
            <w:pPr>
              <w:spacing w:line="360" w:lineRule="auto"/>
              <w:ind w:firstLineChars="100" w:firstLine="240"/>
              <w:rPr>
                <w:rFonts w:ascii="Book Antiqua" w:eastAsia="宋体" w:hAnsi="Book Antiqua" w:cs="宋体"/>
                <w:color w:val="000000"/>
                <w:lang w:eastAsia="zh-CN"/>
              </w:rPr>
            </w:pPr>
            <w:r w:rsidRPr="004970DC">
              <w:rPr>
                <w:rFonts w:ascii="Book Antiqua" w:eastAsia="宋体" w:hAnsi="Book Antiqua" w:cs="宋体"/>
                <w:color w:val="000000"/>
                <w:lang w:eastAsia="zh-CN"/>
              </w:rPr>
              <w:t>Laboratory analysis</w:t>
            </w:r>
          </w:p>
        </w:tc>
        <w:tc>
          <w:tcPr>
            <w:tcW w:w="1597" w:type="dxa"/>
            <w:tcBorders>
              <w:top w:val="nil"/>
              <w:left w:val="nil"/>
              <w:bottom w:val="nil"/>
              <w:right w:val="nil"/>
            </w:tcBorders>
            <w:shd w:val="clear" w:color="auto" w:fill="auto"/>
            <w:vAlign w:val="center"/>
            <w:hideMark/>
          </w:tcPr>
          <w:p w14:paraId="0A5E8863" w14:textId="77777777" w:rsidR="004970DC" w:rsidRPr="004970DC" w:rsidRDefault="004970DC" w:rsidP="00CA3946">
            <w:pPr>
              <w:spacing w:line="360" w:lineRule="auto"/>
              <w:rPr>
                <w:rFonts w:ascii="Book Antiqua" w:eastAsia="宋体" w:hAnsi="Book Antiqua" w:cs="宋体"/>
                <w:color w:val="000000"/>
                <w:lang w:eastAsia="zh-CN"/>
              </w:rPr>
            </w:pPr>
          </w:p>
        </w:tc>
        <w:tc>
          <w:tcPr>
            <w:tcW w:w="1605" w:type="dxa"/>
            <w:tcBorders>
              <w:top w:val="nil"/>
              <w:left w:val="nil"/>
              <w:bottom w:val="nil"/>
              <w:right w:val="nil"/>
            </w:tcBorders>
            <w:shd w:val="clear" w:color="auto" w:fill="auto"/>
            <w:vAlign w:val="center"/>
            <w:hideMark/>
          </w:tcPr>
          <w:p w14:paraId="67A2F87B" w14:textId="77777777" w:rsidR="004970DC" w:rsidRPr="004970DC" w:rsidRDefault="004970DC" w:rsidP="00CA3946">
            <w:pPr>
              <w:spacing w:line="360" w:lineRule="auto"/>
              <w:rPr>
                <w:rFonts w:ascii="Book Antiqua" w:eastAsia="宋体" w:hAnsi="Book Antiqua" w:cs="宋体"/>
                <w:color w:val="000000"/>
                <w:lang w:eastAsia="zh-CN"/>
              </w:rPr>
            </w:pPr>
          </w:p>
        </w:tc>
      </w:tr>
      <w:tr w:rsidR="004970DC" w:rsidRPr="004970DC" w14:paraId="482571B7" w14:textId="77777777" w:rsidTr="00C94B24">
        <w:trPr>
          <w:trHeight w:val="305"/>
        </w:trPr>
        <w:tc>
          <w:tcPr>
            <w:tcW w:w="6075" w:type="dxa"/>
            <w:tcBorders>
              <w:top w:val="nil"/>
              <w:left w:val="nil"/>
              <w:bottom w:val="nil"/>
              <w:right w:val="nil"/>
            </w:tcBorders>
            <w:shd w:val="clear" w:color="auto" w:fill="auto"/>
            <w:vAlign w:val="center"/>
            <w:hideMark/>
          </w:tcPr>
          <w:p w14:paraId="572E6D51" w14:textId="77777777" w:rsidR="004970DC" w:rsidRPr="004970DC" w:rsidRDefault="004970DC" w:rsidP="00CA3946">
            <w:pPr>
              <w:spacing w:line="360" w:lineRule="auto"/>
              <w:ind w:firstLineChars="100" w:firstLine="240"/>
              <w:rPr>
                <w:rFonts w:ascii="Book Antiqua" w:eastAsia="宋体" w:hAnsi="Book Antiqua" w:cs="宋体"/>
                <w:color w:val="000000"/>
                <w:lang w:eastAsia="zh-CN"/>
              </w:rPr>
            </w:pPr>
            <w:r w:rsidRPr="004970DC">
              <w:rPr>
                <w:rFonts w:ascii="Book Antiqua" w:eastAsia="宋体" w:hAnsi="Book Antiqua" w:cs="宋体"/>
                <w:color w:val="000000"/>
                <w:lang w:eastAsia="zh-CN"/>
              </w:rPr>
              <w:t>C-reactive protein</w:t>
            </w:r>
          </w:p>
        </w:tc>
        <w:tc>
          <w:tcPr>
            <w:tcW w:w="1597" w:type="dxa"/>
            <w:tcBorders>
              <w:top w:val="nil"/>
              <w:left w:val="nil"/>
              <w:bottom w:val="nil"/>
              <w:right w:val="nil"/>
            </w:tcBorders>
            <w:shd w:val="clear" w:color="auto" w:fill="auto"/>
            <w:vAlign w:val="center"/>
            <w:hideMark/>
          </w:tcPr>
          <w:p w14:paraId="2B24ADF2" w14:textId="77777777" w:rsidR="004970DC" w:rsidRPr="004970DC" w:rsidRDefault="004970DC" w:rsidP="00CA3946">
            <w:pPr>
              <w:spacing w:line="360" w:lineRule="auto"/>
              <w:rPr>
                <w:rFonts w:ascii="Book Antiqua" w:eastAsia="宋体" w:hAnsi="Book Antiqua" w:cs="宋体"/>
                <w:color w:val="000000"/>
                <w:lang w:eastAsia="zh-CN"/>
              </w:rPr>
            </w:pPr>
            <w:r w:rsidRPr="004970DC">
              <w:rPr>
                <w:rFonts w:ascii="Book Antiqua" w:eastAsia="宋体" w:hAnsi="Book Antiqua" w:cs="宋体"/>
                <w:color w:val="000000"/>
                <w:lang w:eastAsia="zh-CN"/>
              </w:rPr>
              <w:t>X</w:t>
            </w:r>
          </w:p>
        </w:tc>
        <w:tc>
          <w:tcPr>
            <w:tcW w:w="1605" w:type="dxa"/>
            <w:tcBorders>
              <w:top w:val="nil"/>
              <w:left w:val="nil"/>
              <w:bottom w:val="nil"/>
              <w:right w:val="nil"/>
            </w:tcBorders>
            <w:shd w:val="clear" w:color="auto" w:fill="auto"/>
            <w:vAlign w:val="center"/>
            <w:hideMark/>
          </w:tcPr>
          <w:p w14:paraId="3931D782" w14:textId="77777777" w:rsidR="004970DC" w:rsidRPr="004970DC" w:rsidRDefault="004970DC" w:rsidP="00CA3946">
            <w:pPr>
              <w:spacing w:line="360" w:lineRule="auto"/>
              <w:rPr>
                <w:rFonts w:ascii="Book Antiqua" w:eastAsia="宋体" w:hAnsi="Book Antiqua" w:cs="宋体"/>
                <w:color w:val="000000"/>
                <w:lang w:eastAsia="zh-CN"/>
              </w:rPr>
            </w:pPr>
            <w:r w:rsidRPr="004970DC">
              <w:rPr>
                <w:rFonts w:ascii="Book Antiqua" w:eastAsia="宋体" w:hAnsi="Book Antiqua" w:cs="宋体"/>
                <w:color w:val="000000"/>
                <w:lang w:eastAsia="zh-CN"/>
              </w:rPr>
              <w:t>X</w:t>
            </w:r>
          </w:p>
        </w:tc>
      </w:tr>
      <w:tr w:rsidR="004970DC" w:rsidRPr="004970DC" w14:paraId="4B6E25B2" w14:textId="77777777" w:rsidTr="00C94B24">
        <w:trPr>
          <w:trHeight w:val="305"/>
        </w:trPr>
        <w:tc>
          <w:tcPr>
            <w:tcW w:w="6075" w:type="dxa"/>
            <w:tcBorders>
              <w:top w:val="nil"/>
              <w:left w:val="nil"/>
              <w:bottom w:val="nil"/>
              <w:right w:val="nil"/>
            </w:tcBorders>
            <w:shd w:val="clear" w:color="auto" w:fill="auto"/>
            <w:vAlign w:val="center"/>
            <w:hideMark/>
          </w:tcPr>
          <w:p w14:paraId="5F884B00" w14:textId="77777777" w:rsidR="004970DC" w:rsidRPr="004970DC" w:rsidRDefault="004970DC" w:rsidP="00CA3946">
            <w:pPr>
              <w:spacing w:line="360" w:lineRule="auto"/>
              <w:ind w:firstLineChars="100" w:firstLine="240"/>
              <w:rPr>
                <w:rFonts w:ascii="Book Antiqua" w:eastAsia="宋体" w:hAnsi="Book Antiqua" w:cs="宋体"/>
                <w:color w:val="000000"/>
                <w:lang w:eastAsia="zh-CN"/>
              </w:rPr>
            </w:pPr>
            <w:r w:rsidRPr="004970DC">
              <w:rPr>
                <w:rFonts w:ascii="Book Antiqua" w:eastAsia="宋体" w:hAnsi="Book Antiqua" w:cs="宋体"/>
                <w:color w:val="000000"/>
                <w:lang w:eastAsia="zh-CN"/>
              </w:rPr>
              <w:t>Erythrocyte sedimentation rate</w:t>
            </w:r>
          </w:p>
        </w:tc>
        <w:tc>
          <w:tcPr>
            <w:tcW w:w="1597" w:type="dxa"/>
            <w:tcBorders>
              <w:top w:val="nil"/>
              <w:left w:val="nil"/>
              <w:bottom w:val="nil"/>
              <w:right w:val="nil"/>
            </w:tcBorders>
            <w:shd w:val="clear" w:color="auto" w:fill="auto"/>
            <w:vAlign w:val="center"/>
            <w:hideMark/>
          </w:tcPr>
          <w:p w14:paraId="0AB230D2" w14:textId="77777777" w:rsidR="004970DC" w:rsidRPr="004970DC" w:rsidRDefault="004970DC" w:rsidP="00CA3946">
            <w:pPr>
              <w:spacing w:line="360" w:lineRule="auto"/>
              <w:rPr>
                <w:rFonts w:ascii="Book Antiqua" w:eastAsia="宋体" w:hAnsi="Book Antiqua" w:cs="宋体"/>
                <w:color w:val="000000"/>
                <w:lang w:eastAsia="zh-CN"/>
              </w:rPr>
            </w:pPr>
            <w:r w:rsidRPr="004970DC">
              <w:rPr>
                <w:rFonts w:ascii="Book Antiqua" w:eastAsia="宋体" w:hAnsi="Book Antiqua" w:cs="宋体"/>
                <w:color w:val="000000"/>
                <w:lang w:eastAsia="zh-CN"/>
              </w:rPr>
              <w:t>X</w:t>
            </w:r>
          </w:p>
        </w:tc>
        <w:tc>
          <w:tcPr>
            <w:tcW w:w="1605" w:type="dxa"/>
            <w:tcBorders>
              <w:top w:val="nil"/>
              <w:left w:val="nil"/>
              <w:bottom w:val="nil"/>
              <w:right w:val="nil"/>
            </w:tcBorders>
            <w:shd w:val="clear" w:color="auto" w:fill="auto"/>
            <w:vAlign w:val="center"/>
            <w:hideMark/>
          </w:tcPr>
          <w:p w14:paraId="71079864" w14:textId="77777777" w:rsidR="004970DC" w:rsidRPr="004970DC" w:rsidRDefault="004970DC" w:rsidP="00CA3946">
            <w:pPr>
              <w:spacing w:line="360" w:lineRule="auto"/>
              <w:rPr>
                <w:rFonts w:ascii="Book Antiqua" w:eastAsia="宋体" w:hAnsi="Book Antiqua" w:cs="宋体"/>
                <w:color w:val="000000"/>
                <w:lang w:eastAsia="zh-CN"/>
              </w:rPr>
            </w:pPr>
            <w:r w:rsidRPr="004970DC">
              <w:rPr>
                <w:rFonts w:ascii="Book Antiqua" w:eastAsia="宋体" w:hAnsi="Book Antiqua" w:cs="宋体"/>
                <w:color w:val="000000"/>
                <w:lang w:eastAsia="zh-CN"/>
              </w:rPr>
              <w:t>X</w:t>
            </w:r>
          </w:p>
        </w:tc>
      </w:tr>
      <w:tr w:rsidR="004970DC" w:rsidRPr="004970DC" w14:paraId="0455A6F3" w14:textId="77777777" w:rsidTr="00C94B24">
        <w:trPr>
          <w:trHeight w:val="305"/>
        </w:trPr>
        <w:tc>
          <w:tcPr>
            <w:tcW w:w="6075" w:type="dxa"/>
            <w:tcBorders>
              <w:top w:val="nil"/>
              <w:left w:val="nil"/>
              <w:bottom w:val="nil"/>
              <w:right w:val="nil"/>
            </w:tcBorders>
            <w:shd w:val="clear" w:color="auto" w:fill="auto"/>
            <w:vAlign w:val="center"/>
            <w:hideMark/>
          </w:tcPr>
          <w:p w14:paraId="5BA8F0C2" w14:textId="77777777" w:rsidR="004970DC" w:rsidRPr="004970DC" w:rsidRDefault="004970DC" w:rsidP="00CA3946">
            <w:pPr>
              <w:spacing w:line="360" w:lineRule="auto"/>
              <w:ind w:firstLineChars="100" w:firstLine="240"/>
              <w:rPr>
                <w:rFonts w:ascii="Book Antiqua" w:eastAsia="宋体" w:hAnsi="Book Antiqua" w:cs="宋体"/>
                <w:color w:val="000000"/>
                <w:lang w:eastAsia="zh-CN"/>
              </w:rPr>
            </w:pPr>
            <w:r w:rsidRPr="004970DC">
              <w:rPr>
                <w:rFonts w:ascii="Book Antiqua" w:eastAsia="宋体" w:hAnsi="Book Antiqua" w:cs="宋体"/>
                <w:color w:val="000000"/>
                <w:lang w:eastAsia="zh-CN"/>
              </w:rPr>
              <w:t>Hemoglobin</w:t>
            </w:r>
          </w:p>
        </w:tc>
        <w:tc>
          <w:tcPr>
            <w:tcW w:w="1597" w:type="dxa"/>
            <w:tcBorders>
              <w:top w:val="nil"/>
              <w:left w:val="nil"/>
              <w:bottom w:val="nil"/>
              <w:right w:val="nil"/>
            </w:tcBorders>
            <w:shd w:val="clear" w:color="auto" w:fill="auto"/>
            <w:vAlign w:val="center"/>
            <w:hideMark/>
          </w:tcPr>
          <w:p w14:paraId="7B292D2C" w14:textId="77777777" w:rsidR="004970DC" w:rsidRPr="004970DC" w:rsidRDefault="004970DC" w:rsidP="00CA3946">
            <w:pPr>
              <w:spacing w:line="360" w:lineRule="auto"/>
              <w:rPr>
                <w:rFonts w:ascii="Book Antiqua" w:eastAsia="宋体" w:hAnsi="Book Antiqua" w:cs="宋体"/>
                <w:color w:val="000000"/>
                <w:lang w:eastAsia="zh-CN"/>
              </w:rPr>
            </w:pPr>
            <w:r w:rsidRPr="004970DC">
              <w:rPr>
                <w:rFonts w:ascii="Book Antiqua" w:eastAsia="宋体" w:hAnsi="Book Antiqua" w:cs="宋体"/>
                <w:color w:val="000000"/>
                <w:lang w:eastAsia="zh-CN"/>
              </w:rPr>
              <w:t>X</w:t>
            </w:r>
          </w:p>
        </w:tc>
        <w:tc>
          <w:tcPr>
            <w:tcW w:w="1605" w:type="dxa"/>
            <w:tcBorders>
              <w:top w:val="nil"/>
              <w:left w:val="nil"/>
              <w:bottom w:val="nil"/>
              <w:right w:val="nil"/>
            </w:tcBorders>
            <w:shd w:val="clear" w:color="auto" w:fill="auto"/>
            <w:vAlign w:val="center"/>
            <w:hideMark/>
          </w:tcPr>
          <w:p w14:paraId="75B6E3FF" w14:textId="77777777" w:rsidR="004970DC" w:rsidRPr="004970DC" w:rsidRDefault="004970DC" w:rsidP="00CA3946">
            <w:pPr>
              <w:spacing w:line="360" w:lineRule="auto"/>
              <w:rPr>
                <w:rFonts w:ascii="Book Antiqua" w:eastAsia="宋体" w:hAnsi="Book Antiqua" w:cs="宋体"/>
                <w:color w:val="000000"/>
                <w:lang w:eastAsia="zh-CN"/>
              </w:rPr>
            </w:pPr>
            <w:r w:rsidRPr="004970DC">
              <w:rPr>
                <w:rFonts w:ascii="Book Antiqua" w:eastAsia="宋体" w:hAnsi="Book Antiqua" w:cs="宋体"/>
                <w:color w:val="000000"/>
                <w:lang w:eastAsia="zh-CN"/>
              </w:rPr>
              <w:t>X</w:t>
            </w:r>
          </w:p>
        </w:tc>
      </w:tr>
      <w:tr w:rsidR="004970DC" w:rsidRPr="004970DC" w14:paraId="1317A67C" w14:textId="77777777" w:rsidTr="00C94B24">
        <w:trPr>
          <w:trHeight w:val="305"/>
        </w:trPr>
        <w:tc>
          <w:tcPr>
            <w:tcW w:w="6075" w:type="dxa"/>
            <w:tcBorders>
              <w:top w:val="nil"/>
              <w:left w:val="nil"/>
              <w:bottom w:val="nil"/>
              <w:right w:val="nil"/>
            </w:tcBorders>
            <w:shd w:val="clear" w:color="auto" w:fill="auto"/>
            <w:vAlign w:val="center"/>
            <w:hideMark/>
          </w:tcPr>
          <w:p w14:paraId="64F26EC0" w14:textId="77777777" w:rsidR="004970DC" w:rsidRPr="004970DC" w:rsidRDefault="004970DC" w:rsidP="00CA3946">
            <w:pPr>
              <w:spacing w:line="360" w:lineRule="auto"/>
              <w:ind w:firstLineChars="100" w:firstLine="240"/>
              <w:rPr>
                <w:rFonts w:ascii="Book Antiqua" w:eastAsia="宋体" w:hAnsi="Book Antiqua" w:cs="宋体"/>
                <w:color w:val="000000"/>
                <w:lang w:eastAsia="zh-CN"/>
              </w:rPr>
            </w:pPr>
            <w:r w:rsidRPr="004970DC">
              <w:rPr>
                <w:rFonts w:ascii="Book Antiqua" w:eastAsia="宋体" w:hAnsi="Book Antiqua" w:cs="宋体"/>
                <w:color w:val="000000"/>
                <w:lang w:eastAsia="zh-CN"/>
              </w:rPr>
              <w:t>Calprotectin</w:t>
            </w:r>
          </w:p>
        </w:tc>
        <w:tc>
          <w:tcPr>
            <w:tcW w:w="1597" w:type="dxa"/>
            <w:tcBorders>
              <w:top w:val="nil"/>
              <w:left w:val="nil"/>
              <w:bottom w:val="nil"/>
              <w:right w:val="nil"/>
            </w:tcBorders>
            <w:shd w:val="clear" w:color="auto" w:fill="auto"/>
            <w:vAlign w:val="center"/>
            <w:hideMark/>
          </w:tcPr>
          <w:p w14:paraId="438F979D" w14:textId="77777777" w:rsidR="004970DC" w:rsidRPr="004970DC" w:rsidRDefault="004970DC" w:rsidP="00CA3946">
            <w:pPr>
              <w:spacing w:line="360" w:lineRule="auto"/>
              <w:rPr>
                <w:rFonts w:ascii="Book Antiqua" w:eastAsia="宋体" w:hAnsi="Book Antiqua" w:cs="宋体"/>
                <w:color w:val="000000"/>
                <w:lang w:eastAsia="zh-CN"/>
              </w:rPr>
            </w:pPr>
            <w:r w:rsidRPr="004970DC">
              <w:rPr>
                <w:rFonts w:ascii="Book Antiqua" w:eastAsia="宋体" w:hAnsi="Book Antiqua" w:cs="宋体"/>
                <w:color w:val="000000"/>
                <w:lang w:eastAsia="zh-CN"/>
              </w:rPr>
              <w:t>X</w:t>
            </w:r>
          </w:p>
        </w:tc>
        <w:tc>
          <w:tcPr>
            <w:tcW w:w="1605" w:type="dxa"/>
            <w:tcBorders>
              <w:top w:val="nil"/>
              <w:left w:val="nil"/>
              <w:bottom w:val="nil"/>
              <w:right w:val="nil"/>
            </w:tcBorders>
            <w:shd w:val="clear" w:color="auto" w:fill="auto"/>
            <w:vAlign w:val="center"/>
            <w:hideMark/>
          </w:tcPr>
          <w:p w14:paraId="76B83008" w14:textId="77777777" w:rsidR="004970DC" w:rsidRPr="004970DC" w:rsidRDefault="004970DC" w:rsidP="00CA3946">
            <w:pPr>
              <w:spacing w:line="360" w:lineRule="auto"/>
              <w:rPr>
                <w:rFonts w:ascii="Book Antiqua" w:eastAsia="宋体" w:hAnsi="Book Antiqua" w:cs="宋体"/>
                <w:color w:val="000000"/>
                <w:lang w:eastAsia="zh-CN"/>
              </w:rPr>
            </w:pPr>
            <w:r w:rsidRPr="004970DC">
              <w:rPr>
                <w:rFonts w:ascii="Book Antiqua" w:eastAsia="宋体" w:hAnsi="Book Antiqua" w:cs="宋体"/>
                <w:color w:val="000000"/>
                <w:lang w:eastAsia="zh-CN"/>
              </w:rPr>
              <w:t>X</w:t>
            </w:r>
          </w:p>
        </w:tc>
      </w:tr>
      <w:tr w:rsidR="004970DC" w:rsidRPr="004970DC" w14:paraId="75069829" w14:textId="77777777" w:rsidTr="00C94B24">
        <w:trPr>
          <w:trHeight w:val="364"/>
        </w:trPr>
        <w:tc>
          <w:tcPr>
            <w:tcW w:w="6075" w:type="dxa"/>
            <w:tcBorders>
              <w:top w:val="nil"/>
              <w:left w:val="nil"/>
              <w:bottom w:val="nil"/>
              <w:right w:val="nil"/>
            </w:tcBorders>
            <w:shd w:val="clear" w:color="auto" w:fill="auto"/>
            <w:vAlign w:val="center"/>
            <w:hideMark/>
          </w:tcPr>
          <w:p w14:paraId="0D5A9507" w14:textId="77777777" w:rsidR="004970DC" w:rsidRPr="004970DC" w:rsidRDefault="004970DC" w:rsidP="00CA3946">
            <w:pPr>
              <w:spacing w:line="360" w:lineRule="auto"/>
              <w:ind w:firstLineChars="100" w:firstLine="240"/>
              <w:rPr>
                <w:rFonts w:ascii="Book Antiqua" w:eastAsia="宋体" w:hAnsi="Book Antiqua" w:cs="宋体"/>
                <w:color w:val="000000"/>
                <w:lang w:eastAsia="zh-CN"/>
              </w:rPr>
            </w:pPr>
            <w:r w:rsidRPr="004970DC">
              <w:rPr>
                <w:rFonts w:ascii="Book Antiqua" w:eastAsia="宋体" w:hAnsi="Book Antiqua" w:cs="宋体"/>
                <w:color w:val="000000"/>
                <w:lang w:eastAsia="zh-CN"/>
              </w:rPr>
              <w:t xml:space="preserve">CT-P13 trough levels and </w:t>
            </w:r>
            <w:proofErr w:type="spellStart"/>
            <w:r w:rsidRPr="004970DC">
              <w:rPr>
                <w:rFonts w:ascii="Book Antiqua" w:eastAsia="宋体" w:hAnsi="Book Antiqua" w:cs="宋体"/>
                <w:color w:val="000000"/>
                <w:lang w:eastAsia="zh-CN"/>
              </w:rPr>
              <w:t>antibodies</w:t>
            </w:r>
            <w:r w:rsidRPr="004970DC">
              <w:rPr>
                <w:rFonts w:ascii="Book Antiqua" w:eastAsia="宋体" w:hAnsi="Book Antiqua" w:cs="宋体"/>
                <w:color w:val="000000"/>
                <w:vertAlign w:val="superscript"/>
                <w:lang w:eastAsia="zh-CN"/>
              </w:rPr>
              <w:t>x</w:t>
            </w:r>
            <w:proofErr w:type="spellEnd"/>
          </w:p>
        </w:tc>
        <w:tc>
          <w:tcPr>
            <w:tcW w:w="1597" w:type="dxa"/>
            <w:tcBorders>
              <w:top w:val="nil"/>
              <w:left w:val="nil"/>
              <w:bottom w:val="nil"/>
              <w:right w:val="nil"/>
            </w:tcBorders>
            <w:shd w:val="clear" w:color="auto" w:fill="auto"/>
            <w:vAlign w:val="center"/>
            <w:hideMark/>
          </w:tcPr>
          <w:p w14:paraId="6713E6F0" w14:textId="77777777" w:rsidR="004970DC" w:rsidRPr="004970DC" w:rsidRDefault="004970DC" w:rsidP="00CA3946">
            <w:pPr>
              <w:spacing w:line="360" w:lineRule="auto"/>
              <w:rPr>
                <w:rFonts w:ascii="Book Antiqua" w:eastAsia="宋体" w:hAnsi="Book Antiqua" w:cs="宋体"/>
                <w:color w:val="000000"/>
                <w:lang w:eastAsia="zh-CN"/>
              </w:rPr>
            </w:pPr>
            <w:r w:rsidRPr="004970DC">
              <w:rPr>
                <w:rFonts w:ascii="Book Antiqua" w:eastAsia="宋体" w:hAnsi="Book Antiqua" w:cs="宋体"/>
                <w:color w:val="000000"/>
                <w:lang w:eastAsia="zh-CN"/>
              </w:rPr>
              <w:t>-</w:t>
            </w:r>
          </w:p>
        </w:tc>
        <w:tc>
          <w:tcPr>
            <w:tcW w:w="1605" w:type="dxa"/>
            <w:tcBorders>
              <w:top w:val="nil"/>
              <w:left w:val="nil"/>
              <w:bottom w:val="nil"/>
              <w:right w:val="nil"/>
            </w:tcBorders>
            <w:shd w:val="clear" w:color="auto" w:fill="auto"/>
            <w:vAlign w:val="center"/>
            <w:hideMark/>
          </w:tcPr>
          <w:p w14:paraId="018F6447" w14:textId="77777777" w:rsidR="004970DC" w:rsidRPr="004970DC" w:rsidRDefault="004970DC" w:rsidP="00CA3946">
            <w:pPr>
              <w:spacing w:line="360" w:lineRule="auto"/>
              <w:rPr>
                <w:rFonts w:ascii="Book Antiqua" w:eastAsia="宋体" w:hAnsi="Book Antiqua" w:cs="宋体"/>
                <w:color w:val="000000"/>
                <w:lang w:eastAsia="zh-CN"/>
              </w:rPr>
            </w:pPr>
            <w:r w:rsidRPr="004970DC">
              <w:rPr>
                <w:rFonts w:ascii="Book Antiqua" w:eastAsia="宋体" w:hAnsi="Book Antiqua" w:cs="宋体"/>
                <w:color w:val="000000"/>
                <w:lang w:eastAsia="zh-CN"/>
              </w:rPr>
              <w:t>X</w:t>
            </w:r>
          </w:p>
        </w:tc>
      </w:tr>
      <w:tr w:rsidR="004970DC" w:rsidRPr="004970DC" w14:paraId="073A7AFE" w14:textId="77777777" w:rsidTr="00C94B24">
        <w:trPr>
          <w:trHeight w:val="305"/>
        </w:trPr>
        <w:tc>
          <w:tcPr>
            <w:tcW w:w="6075" w:type="dxa"/>
            <w:tcBorders>
              <w:top w:val="nil"/>
              <w:left w:val="nil"/>
              <w:bottom w:val="nil"/>
              <w:right w:val="nil"/>
            </w:tcBorders>
            <w:shd w:val="clear" w:color="auto" w:fill="auto"/>
            <w:vAlign w:val="center"/>
            <w:hideMark/>
          </w:tcPr>
          <w:p w14:paraId="190848B8" w14:textId="77777777" w:rsidR="004970DC" w:rsidRPr="004970DC" w:rsidRDefault="004970DC" w:rsidP="00CA3946">
            <w:pPr>
              <w:spacing w:line="360" w:lineRule="auto"/>
              <w:ind w:firstLineChars="100" w:firstLine="240"/>
              <w:rPr>
                <w:rFonts w:ascii="Book Antiqua" w:eastAsia="宋体" w:hAnsi="Book Antiqua" w:cs="宋体"/>
                <w:color w:val="000000"/>
                <w:lang w:eastAsia="zh-CN"/>
              </w:rPr>
            </w:pPr>
            <w:r w:rsidRPr="004970DC">
              <w:rPr>
                <w:rFonts w:ascii="Book Antiqua" w:eastAsia="宋体" w:hAnsi="Book Antiqua" w:cs="宋体"/>
                <w:color w:val="000000"/>
                <w:lang w:eastAsia="zh-CN"/>
              </w:rPr>
              <w:t>Imaging tests</w:t>
            </w:r>
          </w:p>
        </w:tc>
        <w:tc>
          <w:tcPr>
            <w:tcW w:w="1597" w:type="dxa"/>
            <w:tcBorders>
              <w:top w:val="nil"/>
              <w:left w:val="nil"/>
              <w:bottom w:val="nil"/>
              <w:right w:val="nil"/>
            </w:tcBorders>
            <w:shd w:val="clear" w:color="auto" w:fill="auto"/>
            <w:vAlign w:val="center"/>
            <w:hideMark/>
          </w:tcPr>
          <w:p w14:paraId="6DDA888B" w14:textId="77777777" w:rsidR="004970DC" w:rsidRPr="004970DC" w:rsidRDefault="004970DC" w:rsidP="00CA3946">
            <w:pPr>
              <w:spacing w:line="360" w:lineRule="auto"/>
              <w:rPr>
                <w:rFonts w:ascii="Book Antiqua" w:eastAsia="宋体" w:hAnsi="Book Antiqua" w:cs="宋体"/>
                <w:color w:val="000000"/>
                <w:lang w:eastAsia="zh-CN"/>
              </w:rPr>
            </w:pPr>
          </w:p>
        </w:tc>
        <w:tc>
          <w:tcPr>
            <w:tcW w:w="1605" w:type="dxa"/>
            <w:tcBorders>
              <w:top w:val="nil"/>
              <w:left w:val="nil"/>
              <w:bottom w:val="nil"/>
              <w:right w:val="nil"/>
            </w:tcBorders>
            <w:shd w:val="clear" w:color="auto" w:fill="auto"/>
            <w:vAlign w:val="center"/>
            <w:hideMark/>
          </w:tcPr>
          <w:p w14:paraId="73B52432" w14:textId="77777777" w:rsidR="004970DC" w:rsidRPr="004970DC" w:rsidRDefault="004970DC" w:rsidP="00CA3946">
            <w:pPr>
              <w:spacing w:line="360" w:lineRule="auto"/>
              <w:rPr>
                <w:rFonts w:ascii="Book Antiqua" w:eastAsia="宋体" w:hAnsi="Book Antiqua" w:cs="宋体"/>
                <w:color w:val="000000"/>
                <w:lang w:eastAsia="zh-CN"/>
              </w:rPr>
            </w:pPr>
          </w:p>
        </w:tc>
      </w:tr>
      <w:tr w:rsidR="004970DC" w:rsidRPr="004970DC" w14:paraId="520F7484" w14:textId="77777777" w:rsidTr="00C94B24">
        <w:trPr>
          <w:trHeight w:val="936"/>
        </w:trPr>
        <w:tc>
          <w:tcPr>
            <w:tcW w:w="6075" w:type="dxa"/>
            <w:tcBorders>
              <w:top w:val="nil"/>
              <w:left w:val="nil"/>
              <w:bottom w:val="nil"/>
              <w:right w:val="nil"/>
            </w:tcBorders>
            <w:shd w:val="clear" w:color="auto" w:fill="auto"/>
            <w:vAlign w:val="center"/>
            <w:hideMark/>
          </w:tcPr>
          <w:p w14:paraId="698D1A3E" w14:textId="7ED41877" w:rsidR="004970DC" w:rsidRPr="004970DC" w:rsidRDefault="004970DC" w:rsidP="00CA3946">
            <w:pPr>
              <w:spacing w:line="360" w:lineRule="auto"/>
              <w:ind w:firstLineChars="100" w:firstLine="240"/>
              <w:rPr>
                <w:rFonts w:ascii="Book Antiqua" w:eastAsia="宋体" w:hAnsi="Book Antiqua" w:cs="宋体"/>
                <w:color w:val="000000"/>
                <w:lang w:eastAsia="zh-CN"/>
              </w:rPr>
            </w:pPr>
            <w:r w:rsidRPr="004970DC">
              <w:rPr>
                <w:rFonts w:ascii="Book Antiqua" w:eastAsia="宋体" w:hAnsi="Book Antiqua" w:cs="宋体"/>
                <w:color w:val="000000"/>
                <w:lang w:eastAsia="zh-CN"/>
              </w:rPr>
              <w:t xml:space="preserve">Disease severity and lesion location according to </w:t>
            </w:r>
            <w:r w:rsidR="009F2FAC">
              <w:rPr>
                <w:rFonts w:ascii="Book Antiqua" w:eastAsia="宋体" w:hAnsi="Book Antiqua" w:cs="宋体"/>
                <w:color w:val="000000"/>
                <w:lang w:eastAsia="zh-CN"/>
              </w:rPr>
              <w:t xml:space="preserve"> </w:t>
            </w:r>
            <w:r w:rsidRPr="004970DC">
              <w:rPr>
                <w:rFonts w:ascii="Book Antiqua" w:eastAsia="宋体" w:hAnsi="Book Antiqua" w:cs="宋体"/>
                <w:color w:val="000000"/>
                <w:lang w:eastAsia="zh-CN"/>
              </w:rPr>
              <w:t xml:space="preserve">endoscopy result </w:t>
            </w:r>
            <w:r w:rsidRPr="004970DC">
              <w:rPr>
                <w:rFonts w:ascii="Book Antiqua" w:eastAsia="宋体" w:hAnsi="Book Antiqua" w:cs="宋体"/>
                <w:iCs/>
                <w:color w:val="000000"/>
                <w:lang w:eastAsia="zh-CN"/>
              </w:rPr>
              <w:t>(mild, moderate, severe)</w:t>
            </w:r>
          </w:p>
        </w:tc>
        <w:tc>
          <w:tcPr>
            <w:tcW w:w="1597" w:type="dxa"/>
            <w:tcBorders>
              <w:top w:val="nil"/>
              <w:left w:val="nil"/>
              <w:bottom w:val="nil"/>
              <w:right w:val="nil"/>
            </w:tcBorders>
            <w:shd w:val="clear" w:color="auto" w:fill="auto"/>
            <w:vAlign w:val="center"/>
            <w:hideMark/>
          </w:tcPr>
          <w:p w14:paraId="6534B0A9" w14:textId="77777777" w:rsidR="004970DC" w:rsidRPr="004970DC" w:rsidRDefault="004970DC" w:rsidP="00CA3946">
            <w:pPr>
              <w:spacing w:line="360" w:lineRule="auto"/>
              <w:rPr>
                <w:rFonts w:ascii="Book Antiqua" w:eastAsia="宋体" w:hAnsi="Book Antiqua" w:cs="宋体"/>
                <w:color w:val="000000"/>
                <w:lang w:eastAsia="zh-CN"/>
              </w:rPr>
            </w:pPr>
            <w:r w:rsidRPr="004970DC">
              <w:rPr>
                <w:rFonts w:ascii="Book Antiqua" w:eastAsia="宋体" w:hAnsi="Book Antiqua" w:cs="宋体"/>
                <w:color w:val="000000"/>
                <w:lang w:eastAsia="zh-CN"/>
              </w:rPr>
              <w:t>X</w:t>
            </w:r>
          </w:p>
        </w:tc>
        <w:tc>
          <w:tcPr>
            <w:tcW w:w="1605" w:type="dxa"/>
            <w:tcBorders>
              <w:top w:val="nil"/>
              <w:left w:val="nil"/>
              <w:bottom w:val="nil"/>
              <w:right w:val="nil"/>
            </w:tcBorders>
            <w:shd w:val="clear" w:color="auto" w:fill="auto"/>
            <w:vAlign w:val="center"/>
            <w:hideMark/>
          </w:tcPr>
          <w:p w14:paraId="316A3211" w14:textId="77777777" w:rsidR="004970DC" w:rsidRPr="004970DC" w:rsidRDefault="004970DC" w:rsidP="00CA3946">
            <w:pPr>
              <w:spacing w:line="360" w:lineRule="auto"/>
              <w:rPr>
                <w:rFonts w:ascii="Book Antiqua" w:eastAsia="宋体" w:hAnsi="Book Antiqua" w:cs="宋体"/>
                <w:color w:val="000000"/>
                <w:lang w:eastAsia="zh-CN"/>
              </w:rPr>
            </w:pPr>
            <w:r w:rsidRPr="004970DC">
              <w:rPr>
                <w:rFonts w:ascii="Book Antiqua" w:eastAsia="宋体" w:hAnsi="Book Antiqua" w:cs="宋体"/>
                <w:color w:val="000000"/>
                <w:lang w:eastAsia="zh-CN"/>
              </w:rPr>
              <w:t>X</w:t>
            </w:r>
          </w:p>
        </w:tc>
      </w:tr>
      <w:tr w:rsidR="004970DC" w:rsidRPr="004970DC" w14:paraId="43E5BD8B" w14:textId="77777777" w:rsidTr="00C94B24">
        <w:trPr>
          <w:trHeight w:val="1242"/>
        </w:trPr>
        <w:tc>
          <w:tcPr>
            <w:tcW w:w="6075" w:type="dxa"/>
            <w:tcBorders>
              <w:top w:val="nil"/>
              <w:left w:val="nil"/>
              <w:bottom w:val="nil"/>
              <w:right w:val="nil"/>
            </w:tcBorders>
            <w:shd w:val="clear" w:color="auto" w:fill="auto"/>
            <w:vAlign w:val="center"/>
            <w:hideMark/>
          </w:tcPr>
          <w:p w14:paraId="35F5CA97" w14:textId="77777777" w:rsidR="004970DC" w:rsidRPr="004970DC" w:rsidRDefault="004970DC" w:rsidP="00CA3946">
            <w:pPr>
              <w:spacing w:line="360" w:lineRule="auto"/>
              <w:ind w:firstLineChars="100" w:firstLine="240"/>
              <w:rPr>
                <w:rFonts w:ascii="Book Antiqua" w:eastAsia="宋体" w:hAnsi="Book Antiqua" w:cs="宋体"/>
                <w:color w:val="000000"/>
                <w:lang w:eastAsia="zh-CN"/>
              </w:rPr>
            </w:pPr>
            <w:r w:rsidRPr="004970DC">
              <w:rPr>
                <w:rFonts w:ascii="Book Antiqua" w:eastAsia="宋体" w:hAnsi="Book Antiqua" w:cs="宋体"/>
                <w:color w:val="000000"/>
                <w:lang w:eastAsia="zh-CN"/>
              </w:rPr>
              <w:lastRenderedPageBreak/>
              <w:t xml:space="preserve">Disease severity and lesion location according to </w:t>
            </w:r>
            <w:r w:rsidR="001538BA" w:rsidRPr="004970DC">
              <w:rPr>
                <w:rFonts w:ascii="Book Antiqua" w:eastAsia="宋体" w:hAnsi="Book Antiqua" w:cs="宋体"/>
                <w:color w:val="000000"/>
                <w:lang w:eastAsia="zh-CN"/>
              </w:rPr>
              <w:t xml:space="preserve">magnetic resonance </w:t>
            </w:r>
            <w:proofErr w:type="spellStart"/>
            <w:r w:rsidR="001538BA" w:rsidRPr="004970DC">
              <w:rPr>
                <w:rFonts w:ascii="Book Antiqua" w:eastAsia="宋体" w:hAnsi="Book Antiqua" w:cs="宋体"/>
                <w:color w:val="000000"/>
                <w:lang w:eastAsia="zh-CN"/>
              </w:rPr>
              <w:t>enterography</w:t>
            </w:r>
            <w:proofErr w:type="spellEnd"/>
            <w:r w:rsidR="001538BA" w:rsidRPr="004970DC">
              <w:rPr>
                <w:rFonts w:ascii="Book Antiqua" w:eastAsia="宋体" w:hAnsi="Book Antiqua" w:cs="宋体"/>
                <w:color w:val="000000"/>
                <w:lang w:eastAsia="zh-CN"/>
              </w:rPr>
              <w:t xml:space="preserve"> result </w:t>
            </w:r>
            <w:r w:rsidR="001538BA" w:rsidRPr="004970DC">
              <w:rPr>
                <w:rFonts w:ascii="Book Antiqua" w:eastAsia="宋体" w:hAnsi="Book Antiqua" w:cs="宋体"/>
                <w:iCs/>
                <w:color w:val="000000"/>
                <w:lang w:eastAsia="zh-CN"/>
              </w:rPr>
              <w:t>(mild, m</w:t>
            </w:r>
            <w:r w:rsidRPr="004970DC">
              <w:rPr>
                <w:rFonts w:ascii="Book Antiqua" w:eastAsia="宋体" w:hAnsi="Book Antiqua" w:cs="宋体"/>
                <w:iCs/>
                <w:color w:val="000000"/>
                <w:lang w:eastAsia="zh-CN"/>
              </w:rPr>
              <w:t>oderate, severe, fibrotic stenosis)</w:t>
            </w:r>
          </w:p>
        </w:tc>
        <w:tc>
          <w:tcPr>
            <w:tcW w:w="1597" w:type="dxa"/>
            <w:tcBorders>
              <w:top w:val="nil"/>
              <w:left w:val="nil"/>
              <w:bottom w:val="nil"/>
              <w:right w:val="nil"/>
            </w:tcBorders>
            <w:shd w:val="clear" w:color="auto" w:fill="auto"/>
            <w:vAlign w:val="center"/>
            <w:hideMark/>
          </w:tcPr>
          <w:p w14:paraId="3169C624" w14:textId="77777777" w:rsidR="004970DC" w:rsidRPr="004970DC" w:rsidRDefault="004970DC" w:rsidP="00CA3946">
            <w:pPr>
              <w:spacing w:line="360" w:lineRule="auto"/>
              <w:rPr>
                <w:rFonts w:ascii="Book Antiqua" w:eastAsia="宋体" w:hAnsi="Book Antiqua" w:cs="宋体"/>
                <w:color w:val="000000"/>
                <w:lang w:eastAsia="zh-CN"/>
              </w:rPr>
            </w:pPr>
            <w:r w:rsidRPr="004970DC">
              <w:rPr>
                <w:rFonts w:ascii="Book Antiqua" w:eastAsia="宋体" w:hAnsi="Book Antiqua" w:cs="宋体"/>
                <w:color w:val="000000"/>
                <w:lang w:eastAsia="zh-CN"/>
              </w:rPr>
              <w:t>X</w:t>
            </w:r>
          </w:p>
        </w:tc>
        <w:tc>
          <w:tcPr>
            <w:tcW w:w="1605" w:type="dxa"/>
            <w:tcBorders>
              <w:top w:val="nil"/>
              <w:left w:val="nil"/>
              <w:bottom w:val="nil"/>
              <w:right w:val="nil"/>
            </w:tcBorders>
            <w:shd w:val="clear" w:color="auto" w:fill="auto"/>
            <w:vAlign w:val="center"/>
            <w:hideMark/>
          </w:tcPr>
          <w:p w14:paraId="41E33143" w14:textId="77777777" w:rsidR="004970DC" w:rsidRPr="004970DC" w:rsidRDefault="004970DC" w:rsidP="00CA3946">
            <w:pPr>
              <w:spacing w:line="360" w:lineRule="auto"/>
              <w:rPr>
                <w:rFonts w:ascii="Book Antiqua" w:eastAsia="宋体" w:hAnsi="Book Antiqua" w:cs="宋体"/>
                <w:color w:val="000000"/>
                <w:lang w:eastAsia="zh-CN"/>
              </w:rPr>
            </w:pPr>
            <w:r w:rsidRPr="004970DC">
              <w:rPr>
                <w:rFonts w:ascii="Book Antiqua" w:eastAsia="宋体" w:hAnsi="Book Antiqua" w:cs="宋体"/>
                <w:color w:val="000000"/>
                <w:lang w:eastAsia="zh-CN"/>
              </w:rPr>
              <w:t>X</w:t>
            </w:r>
          </w:p>
        </w:tc>
      </w:tr>
      <w:tr w:rsidR="004970DC" w:rsidRPr="004970DC" w14:paraId="4B8E4723" w14:textId="77777777" w:rsidTr="00C94B24">
        <w:trPr>
          <w:trHeight w:val="305"/>
        </w:trPr>
        <w:tc>
          <w:tcPr>
            <w:tcW w:w="6075" w:type="dxa"/>
            <w:tcBorders>
              <w:top w:val="nil"/>
              <w:left w:val="nil"/>
              <w:bottom w:val="nil"/>
              <w:right w:val="nil"/>
            </w:tcBorders>
            <w:shd w:val="clear" w:color="auto" w:fill="auto"/>
            <w:vAlign w:val="center"/>
            <w:hideMark/>
          </w:tcPr>
          <w:p w14:paraId="5FA54E0B" w14:textId="77777777" w:rsidR="004970DC" w:rsidRPr="004970DC" w:rsidRDefault="004970DC" w:rsidP="00CA3946">
            <w:pPr>
              <w:spacing w:line="360" w:lineRule="auto"/>
              <w:ind w:firstLineChars="100" w:firstLine="240"/>
              <w:rPr>
                <w:rFonts w:ascii="Book Antiqua" w:eastAsia="宋体" w:hAnsi="Book Antiqua" w:cs="宋体"/>
                <w:color w:val="000000"/>
                <w:lang w:eastAsia="zh-CN"/>
              </w:rPr>
            </w:pPr>
            <w:r w:rsidRPr="004970DC">
              <w:rPr>
                <w:rFonts w:ascii="Book Antiqua" w:eastAsia="宋体" w:hAnsi="Book Antiqua" w:cs="宋体"/>
                <w:color w:val="000000"/>
                <w:lang w:eastAsia="zh-CN"/>
              </w:rPr>
              <w:t>Treatment data</w:t>
            </w:r>
          </w:p>
        </w:tc>
        <w:tc>
          <w:tcPr>
            <w:tcW w:w="1597" w:type="dxa"/>
            <w:tcBorders>
              <w:top w:val="nil"/>
              <w:left w:val="nil"/>
              <w:bottom w:val="nil"/>
              <w:right w:val="nil"/>
            </w:tcBorders>
            <w:shd w:val="clear" w:color="auto" w:fill="auto"/>
            <w:vAlign w:val="center"/>
            <w:hideMark/>
          </w:tcPr>
          <w:p w14:paraId="63AFDFF3" w14:textId="77777777" w:rsidR="004970DC" w:rsidRPr="004970DC" w:rsidRDefault="004970DC" w:rsidP="00CA3946">
            <w:pPr>
              <w:spacing w:line="360" w:lineRule="auto"/>
              <w:rPr>
                <w:rFonts w:ascii="Book Antiqua" w:eastAsia="宋体" w:hAnsi="Book Antiqua" w:cs="宋体"/>
                <w:color w:val="000000"/>
                <w:lang w:eastAsia="zh-CN"/>
              </w:rPr>
            </w:pPr>
          </w:p>
        </w:tc>
        <w:tc>
          <w:tcPr>
            <w:tcW w:w="1605" w:type="dxa"/>
            <w:tcBorders>
              <w:top w:val="nil"/>
              <w:left w:val="nil"/>
              <w:bottom w:val="nil"/>
              <w:right w:val="nil"/>
            </w:tcBorders>
            <w:shd w:val="clear" w:color="auto" w:fill="auto"/>
            <w:vAlign w:val="center"/>
            <w:hideMark/>
          </w:tcPr>
          <w:p w14:paraId="6D2F52F4" w14:textId="77777777" w:rsidR="004970DC" w:rsidRPr="004970DC" w:rsidRDefault="004970DC" w:rsidP="00CA3946">
            <w:pPr>
              <w:spacing w:line="360" w:lineRule="auto"/>
              <w:rPr>
                <w:rFonts w:ascii="Book Antiqua" w:eastAsia="宋体" w:hAnsi="Book Antiqua" w:cs="宋体"/>
                <w:color w:val="000000"/>
                <w:lang w:eastAsia="zh-CN"/>
              </w:rPr>
            </w:pPr>
          </w:p>
        </w:tc>
      </w:tr>
      <w:tr w:rsidR="004970DC" w:rsidRPr="004970DC" w14:paraId="4DDC1F12" w14:textId="77777777" w:rsidTr="00C94B24">
        <w:trPr>
          <w:trHeight w:val="630"/>
        </w:trPr>
        <w:tc>
          <w:tcPr>
            <w:tcW w:w="6075" w:type="dxa"/>
            <w:tcBorders>
              <w:top w:val="nil"/>
              <w:left w:val="nil"/>
              <w:bottom w:val="nil"/>
              <w:right w:val="nil"/>
            </w:tcBorders>
            <w:shd w:val="clear" w:color="auto" w:fill="auto"/>
            <w:vAlign w:val="center"/>
            <w:hideMark/>
          </w:tcPr>
          <w:p w14:paraId="2C4BE428" w14:textId="6DC735BE" w:rsidR="004970DC" w:rsidRPr="004970DC" w:rsidRDefault="004970DC" w:rsidP="00CA3946">
            <w:pPr>
              <w:spacing w:line="360" w:lineRule="auto"/>
              <w:ind w:firstLineChars="100" w:firstLine="240"/>
              <w:rPr>
                <w:rFonts w:ascii="Book Antiqua" w:eastAsia="宋体" w:hAnsi="Book Antiqua" w:cs="宋体"/>
                <w:color w:val="000000"/>
                <w:lang w:eastAsia="zh-CN"/>
              </w:rPr>
            </w:pPr>
            <w:r w:rsidRPr="004970DC">
              <w:rPr>
                <w:rFonts w:ascii="Book Antiqua" w:eastAsia="宋体" w:hAnsi="Book Antiqua" w:cs="宋体"/>
                <w:color w:val="000000"/>
                <w:lang w:eastAsia="zh-CN"/>
              </w:rPr>
              <w:t xml:space="preserve">Current treatments </w:t>
            </w:r>
            <w:r w:rsidRPr="004970DC">
              <w:rPr>
                <w:rFonts w:ascii="Book Antiqua" w:eastAsia="宋体" w:hAnsi="Book Antiqua" w:cs="宋体"/>
                <w:iCs/>
                <w:color w:val="000000"/>
                <w:lang w:eastAsia="zh-CN"/>
              </w:rPr>
              <w:t>(</w:t>
            </w:r>
            <w:proofErr w:type="spellStart"/>
            <w:r w:rsidRPr="004970DC">
              <w:rPr>
                <w:rFonts w:ascii="Book Antiqua" w:eastAsia="宋体" w:hAnsi="Book Antiqua" w:cs="宋体"/>
                <w:iCs/>
                <w:color w:val="000000"/>
                <w:lang w:eastAsia="zh-CN"/>
              </w:rPr>
              <w:t>mesalazine</w:t>
            </w:r>
            <w:proofErr w:type="spellEnd"/>
            <w:r w:rsidRPr="004970DC">
              <w:rPr>
                <w:rFonts w:ascii="Book Antiqua" w:eastAsia="宋体" w:hAnsi="Book Antiqua" w:cs="宋体"/>
                <w:iCs/>
                <w:color w:val="000000"/>
                <w:lang w:eastAsia="zh-CN"/>
              </w:rPr>
              <w:t>, cortisone, AZA/6</w:t>
            </w:r>
            <w:r w:rsidR="009F2FAC">
              <w:rPr>
                <w:rFonts w:ascii="Book Antiqua" w:eastAsia="宋体" w:hAnsi="Book Antiqua" w:cs="宋体"/>
                <w:iCs/>
                <w:color w:val="000000"/>
                <w:lang w:eastAsia="zh-CN"/>
              </w:rPr>
              <w:t>-</w:t>
            </w:r>
            <w:r w:rsidRPr="004970DC">
              <w:rPr>
                <w:rFonts w:ascii="Book Antiqua" w:eastAsia="宋体" w:hAnsi="Book Antiqua" w:cs="宋体"/>
                <w:iCs/>
                <w:color w:val="000000"/>
                <w:lang w:eastAsia="zh-CN"/>
              </w:rPr>
              <w:t>MP, MTX)</w:t>
            </w:r>
          </w:p>
        </w:tc>
        <w:tc>
          <w:tcPr>
            <w:tcW w:w="1597" w:type="dxa"/>
            <w:tcBorders>
              <w:top w:val="nil"/>
              <w:left w:val="nil"/>
              <w:bottom w:val="nil"/>
              <w:right w:val="nil"/>
            </w:tcBorders>
            <w:shd w:val="clear" w:color="auto" w:fill="auto"/>
            <w:vAlign w:val="center"/>
            <w:hideMark/>
          </w:tcPr>
          <w:p w14:paraId="767C8F38" w14:textId="77777777" w:rsidR="004970DC" w:rsidRPr="004970DC" w:rsidRDefault="004970DC" w:rsidP="00CA3946">
            <w:pPr>
              <w:spacing w:line="360" w:lineRule="auto"/>
              <w:rPr>
                <w:rFonts w:ascii="Book Antiqua" w:eastAsia="宋体" w:hAnsi="Book Antiqua" w:cs="宋体"/>
                <w:color w:val="000000"/>
                <w:lang w:eastAsia="zh-CN"/>
              </w:rPr>
            </w:pPr>
            <w:r w:rsidRPr="004970DC">
              <w:rPr>
                <w:rFonts w:ascii="Book Antiqua" w:eastAsia="宋体" w:hAnsi="Book Antiqua" w:cs="宋体"/>
                <w:color w:val="000000"/>
                <w:lang w:eastAsia="zh-CN"/>
              </w:rPr>
              <w:t>X</w:t>
            </w:r>
          </w:p>
        </w:tc>
        <w:tc>
          <w:tcPr>
            <w:tcW w:w="1605" w:type="dxa"/>
            <w:tcBorders>
              <w:top w:val="nil"/>
              <w:left w:val="nil"/>
              <w:bottom w:val="nil"/>
              <w:right w:val="nil"/>
            </w:tcBorders>
            <w:shd w:val="clear" w:color="auto" w:fill="auto"/>
            <w:vAlign w:val="center"/>
            <w:hideMark/>
          </w:tcPr>
          <w:p w14:paraId="238F5C7E" w14:textId="77777777" w:rsidR="004970DC" w:rsidRPr="004970DC" w:rsidRDefault="004970DC" w:rsidP="00CA3946">
            <w:pPr>
              <w:spacing w:line="360" w:lineRule="auto"/>
              <w:rPr>
                <w:rFonts w:ascii="Book Antiqua" w:eastAsia="宋体" w:hAnsi="Book Antiqua" w:cs="宋体"/>
                <w:color w:val="000000"/>
                <w:lang w:eastAsia="zh-CN"/>
              </w:rPr>
            </w:pPr>
            <w:r w:rsidRPr="004970DC">
              <w:rPr>
                <w:rFonts w:ascii="Book Antiqua" w:eastAsia="宋体" w:hAnsi="Book Antiqua" w:cs="宋体"/>
                <w:color w:val="000000"/>
                <w:lang w:eastAsia="zh-CN"/>
              </w:rPr>
              <w:t>X</w:t>
            </w:r>
          </w:p>
        </w:tc>
      </w:tr>
      <w:tr w:rsidR="004970DC" w:rsidRPr="004970DC" w14:paraId="4B80E8CF" w14:textId="77777777" w:rsidTr="00C94B24">
        <w:trPr>
          <w:trHeight w:val="946"/>
        </w:trPr>
        <w:tc>
          <w:tcPr>
            <w:tcW w:w="6075" w:type="dxa"/>
            <w:tcBorders>
              <w:top w:val="nil"/>
              <w:left w:val="nil"/>
              <w:bottom w:val="nil"/>
              <w:right w:val="nil"/>
            </w:tcBorders>
            <w:shd w:val="clear" w:color="auto" w:fill="auto"/>
            <w:vAlign w:val="center"/>
            <w:hideMark/>
          </w:tcPr>
          <w:p w14:paraId="10A0D274" w14:textId="32A7E349" w:rsidR="004970DC" w:rsidRPr="004970DC" w:rsidRDefault="004970DC" w:rsidP="00CA3946">
            <w:pPr>
              <w:spacing w:line="360" w:lineRule="auto"/>
              <w:ind w:firstLineChars="100" w:firstLine="240"/>
              <w:rPr>
                <w:rFonts w:ascii="Book Antiqua" w:eastAsia="宋体" w:hAnsi="Book Antiqua" w:cs="宋体"/>
                <w:color w:val="000000"/>
                <w:lang w:eastAsia="zh-CN"/>
              </w:rPr>
            </w:pPr>
            <w:r w:rsidRPr="004970DC">
              <w:rPr>
                <w:rFonts w:ascii="Book Antiqua" w:eastAsia="宋体" w:hAnsi="Book Antiqua" w:cs="宋体"/>
                <w:color w:val="000000"/>
                <w:lang w:eastAsia="zh-CN"/>
              </w:rPr>
              <w:t xml:space="preserve">Previous treatments </w:t>
            </w:r>
            <w:r w:rsidRPr="004970DC">
              <w:rPr>
                <w:rFonts w:ascii="Book Antiqua" w:eastAsia="宋体" w:hAnsi="Book Antiqua" w:cs="宋体"/>
                <w:iCs/>
                <w:color w:val="000000"/>
                <w:lang w:eastAsia="zh-CN"/>
              </w:rPr>
              <w:t>(</w:t>
            </w:r>
            <w:proofErr w:type="spellStart"/>
            <w:r w:rsidRPr="004970DC">
              <w:rPr>
                <w:rFonts w:ascii="Book Antiqua" w:eastAsia="宋体" w:hAnsi="Book Antiqua" w:cs="宋体"/>
                <w:iCs/>
                <w:color w:val="000000"/>
                <w:lang w:eastAsia="zh-CN"/>
              </w:rPr>
              <w:t>mesalazine</w:t>
            </w:r>
            <w:proofErr w:type="spellEnd"/>
            <w:r w:rsidRPr="004970DC">
              <w:rPr>
                <w:rFonts w:ascii="Book Antiqua" w:eastAsia="宋体" w:hAnsi="Book Antiqua" w:cs="宋体"/>
                <w:iCs/>
                <w:color w:val="000000"/>
                <w:lang w:eastAsia="zh-CN"/>
              </w:rPr>
              <w:t>, corticosteroids, AZA/6</w:t>
            </w:r>
            <w:r w:rsidR="009F2FAC">
              <w:rPr>
                <w:rFonts w:ascii="Book Antiqua" w:eastAsia="宋体" w:hAnsi="Book Antiqua" w:cs="宋体"/>
                <w:iCs/>
                <w:color w:val="000000"/>
                <w:lang w:eastAsia="zh-CN"/>
              </w:rPr>
              <w:t>-</w:t>
            </w:r>
            <w:r w:rsidRPr="004970DC">
              <w:rPr>
                <w:rFonts w:ascii="Book Antiqua" w:eastAsia="宋体" w:hAnsi="Book Antiqua" w:cs="宋体"/>
                <w:iCs/>
                <w:color w:val="000000"/>
                <w:lang w:eastAsia="zh-CN"/>
              </w:rPr>
              <w:t>MP, MTX, infliximab, adalimumab)</w:t>
            </w:r>
          </w:p>
        </w:tc>
        <w:tc>
          <w:tcPr>
            <w:tcW w:w="1597" w:type="dxa"/>
            <w:tcBorders>
              <w:top w:val="nil"/>
              <w:left w:val="nil"/>
              <w:bottom w:val="nil"/>
              <w:right w:val="nil"/>
            </w:tcBorders>
            <w:shd w:val="clear" w:color="auto" w:fill="auto"/>
            <w:vAlign w:val="center"/>
            <w:hideMark/>
          </w:tcPr>
          <w:p w14:paraId="04B6689D" w14:textId="77777777" w:rsidR="004970DC" w:rsidRPr="004970DC" w:rsidRDefault="004970DC" w:rsidP="00CA3946">
            <w:pPr>
              <w:spacing w:line="360" w:lineRule="auto"/>
              <w:rPr>
                <w:rFonts w:ascii="Book Antiqua" w:eastAsia="宋体" w:hAnsi="Book Antiqua" w:cs="宋体"/>
                <w:color w:val="000000"/>
                <w:lang w:eastAsia="zh-CN"/>
              </w:rPr>
            </w:pPr>
            <w:r w:rsidRPr="004970DC">
              <w:rPr>
                <w:rFonts w:ascii="Book Antiqua" w:eastAsia="宋体" w:hAnsi="Book Antiqua" w:cs="宋体"/>
                <w:color w:val="000000"/>
                <w:lang w:eastAsia="zh-CN"/>
              </w:rPr>
              <w:t>X</w:t>
            </w:r>
          </w:p>
        </w:tc>
        <w:tc>
          <w:tcPr>
            <w:tcW w:w="1605" w:type="dxa"/>
            <w:tcBorders>
              <w:top w:val="nil"/>
              <w:left w:val="nil"/>
              <w:bottom w:val="nil"/>
              <w:right w:val="nil"/>
            </w:tcBorders>
            <w:shd w:val="clear" w:color="auto" w:fill="auto"/>
            <w:vAlign w:val="center"/>
            <w:hideMark/>
          </w:tcPr>
          <w:p w14:paraId="64D7F28D" w14:textId="77777777" w:rsidR="004970DC" w:rsidRPr="004970DC" w:rsidRDefault="004970DC" w:rsidP="00CA3946">
            <w:pPr>
              <w:spacing w:line="360" w:lineRule="auto"/>
              <w:rPr>
                <w:rFonts w:ascii="Book Antiqua" w:eastAsia="宋体" w:hAnsi="Book Antiqua" w:cs="宋体"/>
                <w:color w:val="000000"/>
                <w:lang w:eastAsia="zh-CN"/>
              </w:rPr>
            </w:pPr>
            <w:r w:rsidRPr="004970DC">
              <w:rPr>
                <w:rFonts w:ascii="Book Antiqua" w:eastAsia="宋体" w:hAnsi="Book Antiqua" w:cs="宋体"/>
                <w:color w:val="000000"/>
                <w:lang w:eastAsia="zh-CN"/>
              </w:rPr>
              <w:t>-</w:t>
            </w:r>
          </w:p>
        </w:tc>
      </w:tr>
      <w:tr w:rsidR="004970DC" w:rsidRPr="004970DC" w14:paraId="1622D137" w14:textId="77777777" w:rsidTr="00C94B24">
        <w:trPr>
          <w:trHeight w:val="1251"/>
        </w:trPr>
        <w:tc>
          <w:tcPr>
            <w:tcW w:w="6075" w:type="dxa"/>
            <w:tcBorders>
              <w:top w:val="nil"/>
              <w:left w:val="nil"/>
              <w:bottom w:val="nil"/>
              <w:right w:val="nil"/>
            </w:tcBorders>
            <w:shd w:val="clear" w:color="auto" w:fill="auto"/>
            <w:vAlign w:val="center"/>
            <w:hideMark/>
          </w:tcPr>
          <w:p w14:paraId="2B702205" w14:textId="60302929" w:rsidR="004970DC" w:rsidRPr="004970DC" w:rsidRDefault="004970DC" w:rsidP="00CA3946">
            <w:pPr>
              <w:spacing w:line="360" w:lineRule="auto"/>
              <w:ind w:firstLineChars="100" w:firstLine="240"/>
              <w:rPr>
                <w:rFonts w:ascii="Book Antiqua" w:eastAsia="宋体" w:hAnsi="Book Antiqua" w:cs="宋体"/>
                <w:color w:val="000000"/>
                <w:lang w:eastAsia="zh-CN"/>
              </w:rPr>
            </w:pPr>
            <w:r w:rsidRPr="004970DC">
              <w:rPr>
                <w:rFonts w:ascii="Book Antiqua" w:eastAsia="宋体" w:hAnsi="Book Antiqua" w:cs="宋体"/>
                <w:color w:val="000000"/>
                <w:lang w:eastAsia="zh-CN"/>
              </w:rPr>
              <w:t xml:space="preserve">Reasons to start treatment with CT-P13 </w:t>
            </w:r>
            <w:r w:rsidRPr="004970DC">
              <w:rPr>
                <w:rFonts w:ascii="Book Antiqua" w:eastAsia="宋体" w:hAnsi="Book Antiqua" w:cs="宋体"/>
                <w:iCs/>
                <w:color w:val="000000"/>
                <w:lang w:eastAsia="zh-CN"/>
              </w:rPr>
              <w:t>(corticosteroid dependence, corticosteroid resistance, failure of AZA/6</w:t>
            </w:r>
            <w:r w:rsidR="009F2FAC">
              <w:rPr>
                <w:rFonts w:ascii="Book Antiqua" w:eastAsia="宋体" w:hAnsi="Book Antiqua" w:cs="宋体"/>
                <w:iCs/>
                <w:color w:val="000000"/>
                <w:lang w:eastAsia="zh-CN"/>
              </w:rPr>
              <w:t>-</w:t>
            </w:r>
            <w:r w:rsidRPr="004970DC">
              <w:rPr>
                <w:rFonts w:ascii="Book Antiqua" w:eastAsia="宋体" w:hAnsi="Book Antiqua" w:cs="宋体"/>
                <w:iCs/>
                <w:color w:val="000000"/>
                <w:lang w:eastAsia="zh-CN"/>
              </w:rPr>
              <w:t>MP, perianal disease/fistula, start of severe illness)</w:t>
            </w:r>
          </w:p>
        </w:tc>
        <w:tc>
          <w:tcPr>
            <w:tcW w:w="1597" w:type="dxa"/>
            <w:tcBorders>
              <w:top w:val="nil"/>
              <w:left w:val="nil"/>
              <w:bottom w:val="nil"/>
              <w:right w:val="nil"/>
            </w:tcBorders>
            <w:shd w:val="clear" w:color="auto" w:fill="auto"/>
            <w:vAlign w:val="center"/>
            <w:hideMark/>
          </w:tcPr>
          <w:p w14:paraId="07D5E4F9" w14:textId="77777777" w:rsidR="004970DC" w:rsidRPr="004970DC" w:rsidRDefault="004970DC" w:rsidP="00CA3946">
            <w:pPr>
              <w:spacing w:line="360" w:lineRule="auto"/>
              <w:rPr>
                <w:rFonts w:ascii="Book Antiqua" w:eastAsia="宋体" w:hAnsi="Book Antiqua" w:cs="宋体"/>
                <w:color w:val="000000"/>
                <w:lang w:eastAsia="zh-CN"/>
              </w:rPr>
            </w:pPr>
            <w:r w:rsidRPr="004970DC">
              <w:rPr>
                <w:rFonts w:ascii="Book Antiqua" w:eastAsia="宋体" w:hAnsi="Book Antiqua" w:cs="宋体"/>
                <w:color w:val="000000"/>
                <w:lang w:eastAsia="zh-CN"/>
              </w:rPr>
              <w:t>X</w:t>
            </w:r>
          </w:p>
        </w:tc>
        <w:tc>
          <w:tcPr>
            <w:tcW w:w="1605" w:type="dxa"/>
            <w:tcBorders>
              <w:top w:val="nil"/>
              <w:left w:val="nil"/>
              <w:bottom w:val="nil"/>
              <w:right w:val="nil"/>
            </w:tcBorders>
            <w:shd w:val="clear" w:color="auto" w:fill="auto"/>
            <w:vAlign w:val="center"/>
            <w:hideMark/>
          </w:tcPr>
          <w:p w14:paraId="33BDDF0D" w14:textId="77777777" w:rsidR="004970DC" w:rsidRPr="004970DC" w:rsidRDefault="004970DC" w:rsidP="00CA3946">
            <w:pPr>
              <w:spacing w:line="360" w:lineRule="auto"/>
              <w:rPr>
                <w:rFonts w:ascii="Book Antiqua" w:eastAsia="宋体" w:hAnsi="Book Antiqua" w:cs="宋体"/>
                <w:color w:val="000000"/>
                <w:lang w:eastAsia="zh-CN"/>
              </w:rPr>
            </w:pPr>
            <w:r w:rsidRPr="004970DC">
              <w:rPr>
                <w:rFonts w:ascii="Book Antiqua" w:eastAsia="宋体" w:hAnsi="Book Antiqua" w:cs="宋体"/>
                <w:color w:val="000000"/>
                <w:lang w:eastAsia="zh-CN"/>
              </w:rPr>
              <w:t>-</w:t>
            </w:r>
          </w:p>
        </w:tc>
      </w:tr>
      <w:tr w:rsidR="004970DC" w:rsidRPr="004970DC" w14:paraId="00153562" w14:textId="77777777" w:rsidTr="00C94B24">
        <w:trPr>
          <w:trHeight w:val="305"/>
        </w:trPr>
        <w:tc>
          <w:tcPr>
            <w:tcW w:w="6075" w:type="dxa"/>
            <w:tcBorders>
              <w:top w:val="nil"/>
              <w:left w:val="nil"/>
              <w:bottom w:val="nil"/>
              <w:right w:val="nil"/>
            </w:tcBorders>
            <w:shd w:val="clear" w:color="auto" w:fill="auto"/>
            <w:vAlign w:val="center"/>
            <w:hideMark/>
          </w:tcPr>
          <w:p w14:paraId="50C0D623" w14:textId="77777777" w:rsidR="004970DC" w:rsidRPr="004970DC" w:rsidRDefault="004970DC" w:rsidP="00CA3946">
            <w:pPr>
              <w:spacing w:line="360" w:lineRule="auto"/>
              <w:ind w:firstLineChars="100" w:firstLine="240"/>
              <w:rPr>
                <w:rFonts w:ascii="Book Antiqua" w:eastAsia="宋体" w:hAnsi="Book Antiqua" w:cs="宋体"/>
                <w:color w:val="000000"/>
                <w:lang w:eastAsia="zh-CN"/>
              </w:rPr>
            </w:pPr>
            <w:r w:rsidRPr="004970DC">
              <w:rPr>
                <w:rFonts w:ascii="Book Antiqua" w:eastAsia="宋体" w:hAnsi="Book Antiqua" w:cs="宋体"/>
                <w:color w:val="000000"/>
                <w:lang w:eastAsia="zh-CN"/>
              </w:rPr>
              <w:t>Clinical situation</w:t>
            </w:r>
          </w:p>
        </w:tc>
        <w:tc>
          <w:tcPr>
            <w:tcW w:w="1597" w:type="dxa"/>
            <w:tcBorders>
              <w:top w:val="nil"/>
              <w:left w:val="nil"/>
              <w:bottom w:val="nil"/>
              <w:right w:val="nil"/>
            </w:tcBorders>
            <w:shd w:val="clear" w:color="auto" w:fill="auto"/>
            <w:vAlign w:val="center"/>
            <w:hideMark/>
          </w:tcPr>
          <w:p w14:paraId="10E3EE89" w14:textId="77777777" w:rsidR="004970DC" w:rsidRPr="004970DC" w:rsidRDefault="004970DC" w:rsidP="00CA3946">
            <w:pPr>
              <w:spacing w:line="360" w:lineRule="auto"/>
              <w:rPr>
                <w:rFonts w:ascii="Book Antiqua" w:eastAsia="宋体" w:hAnsi="Book Antiqua" w:cs="宋体"/>
                <w:color w:val="000000"/>
                <w:lang w:eastAsia="zh-CN"/>
              </w:rPr>
            </w:pPr>
          </w:p>
        </w:tc>
        <w:tc>
          <w:tcPr>
            <w:tcW w:w="1605" w:type="dxa"/>
            <w:tcBorders>
              <w:top w:val="nil"/>
              <w:left w:val="nil"/>
              <w:bottom w:val="nil"/>
              <w:right w:val="nil"/>
            </w:tcBorders>
            <w:shd w:val="clear" w:color="auto" w:fill="auto"/>
            <w:vAlign w:val="center"/>
            <w:hideMark/>
          </w:tcPr>
          <w:p w14:paraId="1342ADE0" w14:textId="77777777" w:rsidR="004970DC" w:rsidRPr="004970DC" w:rsidRDefault="004970DC" w:rsidP="00CA3946">
            <w:pPr>
              <w:spacing w:line="360" w:lineRule="auto"/>
              <w:rPr>
                <w:rFonts w:ascii="Book Antiqua" w:eastAsia="宋体" w:hAnsi="Book Antiqua" w:cs="宋体"/>
                <w:color w:val="000000"/>
                <w:lang w:eastAsia="zh-CN"/>
              </w:rPr>
            </w:pPr>
          </w:p>
        </w:tc>
      </w:tr>
      <w:tr w:rsidR="004970DC" w:rsidRPr="004970DC" w14:paraId="6C27B600" w14:textId="77777777" w:rsidTr="00C94B24">
        <w:trPr>
          <w:trHeight w:val="364"/>
        </w:trPr>
        <w:tc>
          <w:tcPr>
            <w:tcW w:w="6075" w:type="dxa"/>
            <w:tcBorders>
              <w:top w:val="nil"/>
              <w:left w:val="nil"/>
              <w:bottom w:val="nil"/>
              <w:right w:val="nil"/>
            </w:tcBorders>
            <w:shd w:val="clear" w:color="auto" w:fill="auto"/>
            <w:vAlign w:val="center"/>
            <w:hideMark/>
          </w:tcPr>
          <w:p w14:paraId="48AD9D42" w14:textId="77777777" w:rsidR="004970DC" w:rsidRPr="004970DC" w:rsidRDefault="004970DC" w:rsidP="00CA3946">
            <w:pPr>
              <w:spacing w:line="360" w:lineRule="auto"/>
              <w:ind w:firstLineChars="100" w:firstLine="240"/>
              <w:rPr>
                <w:rFonts w:ascii="Book Antiqua" w:eastAsia="宋体" w:hAnsi="Book Antiqua" w:cs="宋体"/>
                <w:color w:val="000000"/>
                <w:lang w:eastAsia="zh-CN"/>
              </w:rPr>
            </w:pPr>
            <w:r w:rsidRPr="004970DC">
              <w:rPr>
                <w:rFonts w:ascii="Book Antiqua" w:eastAsia="宋体" w:hAnsi="Book Antiqua" w:cs="宋体"/>
                <w:color w:val="000000"/>
                <w:lang w:eastAsia="zh-CN"/>
              </w:rPr>
              <w:t>Active clinical disease</w:t>
            </w:r>
          </w:p>
        </w:tc>
        <w:tc>
          <w:tcPr>
            <w:tcW w:w="1597" w:type="dxa"/>
            <w:tcBorders>
              <w:top w:val="nil"/>
              <w:left w:val="nil"/>
              <w:bottom w:val="nil"/>
              <w:right w:val="nil"/>
            </w:tcBorders>
            <w:shd w:val="clear" w:color="auto" w:fill="auto"/>
            <w:vAlign w:val="center"/>
            <w:hideMark/>
          </w:tcPr>
          <w:p w14:paraId="4776D0B5" w14:textId="77777777" w:rsidR="004970DC" w:rsidRPr="004970DC" w:rsidRDefault="004970DC" w:rsidP="00CA3946">
            <w:pPr>
              <w:spacing w:line="360" w:lineRule="auto"/>
              <w:rPr>
                <w:rFonts w:ascii="Book Antiqua" w:eastAsia="宋体" w:hAnsi="Book Antiqua" w:cs="宋体"/>
                <w:color w:val="000000"/>
                <w:lang w:eastAsia="zh-CN"/>
              </w:rPr>
            </w:pPr>
            <w:r w:rsidRPr="004970DC">
              <w:rPr>
                <w:rFonts w:ascii="Book Antiqua" w:eastAsia="宋体" w:hAnsi="Book Antiqua" w:cs="宋体"/>
                <w:color w:val="000000"/>
                <w:lang w:eastAsia="zh-CN"/>
              </w:rPr>
              <w:t>X</w:t>
            </w:r>
          </w:p>
        </w:tc>
        <w:tc>
          <w:tcPr>
            <w:tcW w:w="1605" w:type="dxa"/>
            <w:tcBorders>
              <w:top w:val="nil"/>
              <w:left w:val="nil"/>
              <w:bottom w:val="nil"/>
              <w:right w:val="nil"/>
            </w:tcBorders>
            <w:shd w:val="clear" w:color="auto" w:fill="auto"/>
            <w:vAlign w:val="center"/>
            <w:hideMark/>
          </w:tcPr>
          <w:p w14:paraId="34318E2A" w14:textId="77777777" w:rsidR="004970DC" w:rsidRPr="004970DC" w:rsidRDefault="004970DC" w:rsidP="00CA3946">
            <w:pPr>
              <w:spacing w:line="360" w:lineRule="auto"/>
              <w:rPr>
                <w:rFonts w:ascii="Book Antiqua" w:eastAsia="宋体" w:hAnsi="Book Antiqua" w:cs="宋体"/>
                <w:color w:val="000000"/>
                <w:lang w:eastAsia="zh-CN"/>
              </w:rPr>
            </w:pPr>
            <w:r w:rsidRPr="004970DC">
              <w:rPr>
                <w:rFonts w:ascii="Book Antiqua" w:eastAsia="宋体" w:hAnsi="Book Antiqua" w:cs="宋体"/>
                <w:color w:val="000000"/>
                <w:lang w:eastAsia="zh-CN"/>
              </w:rPr>
              <w:t>X</w:t>
            </w:r>
          </w:p>
        </w:tc>
      </w:tr>
      <w:tr w:rsidR="004970DC" w:rsidRPr="004970DC" w14:paraId="4A7EBBCC" w14:textId="77777777" w:rsidTr="00B94526">
        <w:trPr>
          <w:trHeight w:val="364"/>
        </w:trPr>
        <w:tc>
          <w:tcPr>
            <w:tcW w:w="6075" w:type="dxa"/>
            <w:tcBorders>
              <w:top w:val="nil"/>
              <w:left w:val="nil"/>
              <w:right w:val="nil"/>
            </w:tcBorders>
            <w:shd w:val="clear" w:color="auto" w:fill="auto"/>
            <w:vAlign w:val="center"/>
            <w:hideMark/>
          </w:tcPr>
          <w:p w14:paraId="4A7E088C" w14:textId="77777777" w:rsidR="004970DC" w:rsidRPr="004970DC" w:rsidRDefault="004970DC" w:rsidP="00CA3946">
            <w:pPr>
              <w:spacing w:line="360" w:lineRule="auto"/>
              <w:ind w:firstLineChars="100" w:firstLine="240"/>
              <w:rPr>
                <w:rFonts w:ascii="Book Antiqua" w:eastAsia="宋体" w:hAnsi="Book Antiqua" w:cs="宋体"/>
                <w:color w:val="000000"/>
                <w:lang w:eastAsia="zh-CN"/>
              </w:rPr>
            </w:pPr>
            <w:r w:rsidRPr="004970DC">
              <w:rPr>
                <w:rFonts w:ascii="Book Antiqua" w:eastAsia="宋体" w:hAnsi="Book Antiqua" w:cs="宋体"/>
                <w:color w:val="000000"/>
                <w:lang w:eastAsia="zh-CN"/>
              </w:rPr>
              <w:t>Clinical remission</w:t>
            </w:r>
          </w:p>
        </w:tc>
        <w:tc>
          <w:tcPr>
            <w:tcW w:w="1597" w:type="dxa"/>
            <w:tcBorders>
              <w:top w:val="nil"/>
              <w:left w:val="nil"/>
              <w:right w:val="nil"/>
            </w:tcBorders>
            <w:shd w:val="clear" w:color="auto" w:fill="auto"/>
            <w:vAlign w:val="center"/>
            <w:hideMark/>
          </w:tcPr>
          <w:p w14:paraId="601AC816" w14:textId="77777777" w:rsidR="004970DC" w:rsidRPr="004970DC" w:rsidRDefault="004970DC" w:rsidP="00CA3946">
            <w:pPr>
              <w:spacing w:line="360" w:lineRule="auto"/>
              <w:rPr>
                <w:rFonts w:ascii="Book Antiqua" w:eastAsia="宋体" w:hAnsi="Book Antiqua" w:cs="宋体"/>
                <w:color w:val="000000"/>
                <w:lang w:eastAsia="zh-CN"/>
              </w:rPr>
            </w:pPr>
            <w:r w:rsidRPr="004970DC">
              <w:rPr>
                <w:rFonts w:ascii="Book Antiqua" w:eastAsia="宋体" w:hAnsi="Book Antiqua" w:cs="宋体"/>
                <w:color w:val="000000"/>
                <w:lang w:eastAsia="zh-CN"/>
              </w:rPr>
              <w:t>X</w:t>
            </w:r>
          </w:p>
        </w:tc>
        <w:tc>
          <w:tcPr>
            <w:tcW w:w="1605" w:type="dxa"/>
            <w:tcBorders>
              <w:top w:val="nil"/>
              <w:left w:val="nil"/>
              <w:right w:val="nil"/>
            </w:tcBorders>
            <w:shd w:val="clear" w:color="auto" w:fill="auto"/>
            <w:vAlign w:val="center"/>
            <w:hideMark/>
          </w:tcPr>
          <w:p w14:paraId="7E7ADD0A" w14:textId="77777777" w:rsidR="004970DC" w:rsidRPr="004970DC" w:rsidRDefault="004970DC" w:rsidP="00CA3946">
            <w:pPr>
              <w:spacing w:line="360" w:lineRule="auto"/>
              <w:rPr>
                <w:rFonts w:ascii="Book Antiqua" w:eastAsia="宋体" w:hAnsi="Book Antiqua" w:cs="宋体"/>
                <w:color w:val="000000"/>
                <w:lang w:eastAsia="zh-CN"/>
              </w:rPr>
            </w:pPr>
            <w:r w:rsidRPr="004970DC">
              <w:rPr>
                <w:rFonts w:ascii="Book Antiqua" w:eastAsia="宋体" w:hAnsi="Book Antiqua" w:cs="宋体"/>
                <w:color w:val="000000"/>
                <w:lang w:eastAsia="zh-CN"/>
              </w:rPr>
              <w:t>X</w:t>
            </w:r>
          </w:p>
        </w:tc>
      </w:tr>
      <w:tr w:rsidR="004970DC" w:rsidRPr="004970DC" w14:paraId="0C5E4D7C" w14:textId="77777777" w:rsidTr="00B94526">
        <w:trPr>
          <w:trHeight w:val="374"/>
        </w:trPr>
        <w:tc>
          <w:tcPr>
            <w:tcW w:w="6075" w:type="dxa"/>
            <w:tcBorders>
              <w:top w:val="nil"/>
              <w:left w:val="nil"/>
              <w:bottom w:val="single" w:sz="4" w:space="0" w:color="auto"/>
              <w:right w:val="nil"/>
            </w:tcBorders>
            <w:shd w:val="clear" w:color="auto" w:fill="auto"/>
            <w:vAlign w:val="center"/>
            <w:hideMark/>
          </w:tcPr>
          <w:p w14:paraId="7AF761FD" w14:textId="77777777" w:rsidR="004970DC" w:rsidRPr="004970DC" w:rsidRDefault="004970DC" w:rsidP="00CA3946">
            <w:pPr>
              <w:spacing w:line="360" w:lineRule="auto"/>
              <w:ind w:firstLineChars="100" w:firstLine="240"/>
              <w:rPr>
                <w:rFonts w:ascii="Book Antiqua" w:eastAsia="宋体" w:hAnsi="Book Antiqua" w:cs="宋体"/>
                <w:color w:val="000000"/>
                <w:lang w:eastAsia="zh-CN"/>
              </w:rPr>
            </w:pPr>
            <w:r w:rsidRPr="004970DC">
              <w:rPr>
                <w:rFonts w:ascii="Book Antiqua" w:eastAsia="宋体" w:hAnsi="Book Antiqua" w:cs="宋体"/>
                <w:color w:val="000000"/>
                <w:lang w:eastAsia="zh-CN"/>
              </w:rPr>
              <w:t>Clinical response</w:t>
            </w:r>
          </w:p>
        </w:tc>
        <w:tc>
          <w:tcPr>
            <w:tcW w:w="1597" w:type="dxa"/>
            <w:tcBorders>
              <w:top w:val="nil"/>
              <w:left w:val="nil"/>
              <w:bottom w:val="single" w:sz="4" w:space="0" w:color="auto"/>
              <w:right w:val="nil"/>
            </w:tcBorders>
            <w:shd w:val="clear" w:color="auto" w:fill="auto"/>
            <w:vAlign w:val="center"/>
            <w:hideMark/>
          </w:tcPr>
          <w:p w14:paraId="7F7721CA" w14:textId="77777777" w:rsidR="004970DC" w:rsidRPr="004970DC" w:rsidRDefault="004970DC" w:rsidP="00CA3946">
            <w:pPr>
              <w:spacing w:line="360" w:lineRule="auto"/>
              <w:rPr>
                <w:rFonts w:ascii="Book Antiqua" w:eastAsia="宋体" w:hAnsi="Book Antiqua" w:cs="宋体"/>
                <w:color w:val="000000"/>
                <w:lang w:eastAsia="zh-CN"/>
              </w:rPr>
            </w:pPr>
            <w:r w:rsidRPr="004970DC">
              <w:rPr>
                <w:rFonts w:ascii="Book Antiqua" w:eastAsia="宋体" w:hAnsi="Book Antiqua" w:cs="宋体"/>
                <w:color w:val="000000"/>
                <w:lang w:eastAsia="zh-CN"/>
              </w:rPr>
              <w:t>-</w:t>
            </w:r>
          </w:p>
        </w:tc>
        <w:tc>
          <w:tcPr>
            <w:tcW w:w="1605" w:type="dxa"/>
            <w:tcBorders>
              <w:top w:val="nil"/>
              <w:left w:val="nil"/>
              <w:bottom w:val="single" w:sz="4" w:space="0" w:color="auto"/>
              <w:right w:val="nil"/>
            </w:tcBorders>
            <w:shd w:val="clear" w:color="auto" w:fill="auto"/>
            <w:vAlign w:val="center"/>
            <w:hideMark/>
          </w:tcPr>
          <w:p w14:paraId="18583E64" w14:textId="77777777" w:rsidR="004970DC" w:rsidRPr="004970DC" w:rsidRDefault="004970DC" w:rsidP="00CA3946">
            <w:pPr>
              <w:spacing w:line="360" w:lineRule="auto"/>
              <w:rPr>
                <w:rFonts w:ascii="Book Antiqua" w:eastAsia="宋体" w:hAnsi="Book Antiqua" w:cs="宋体"/>
                <w:color w:val="000000"/>
                <w:lang w:eastAsia="zh-CN"/>
              </w:rPr>
            </w:pPr>
            <w:r w:rsidRPr="004970DC">
              <w:rPr>
                <w:rFonts w:ascii="Book Antiqua" w:eastAsia="宋体" w:hAnsi="Book Antiqua" w:cs="宋体"/>
                <w:color w:val="000000"/>
                <w:lang w:eastAsia="zh-CN"/>
              </w:rPr>
              <w:t>X</w:t>
            </w:r>
          </w:p>
        </w:tc>
      </w:tr>
    </w:tbl>
    <w:p w14:paraId="18CF48A5" w14:textId="33E188AC" w:rsidR="004970DC" w:rsidRDefault="001538BA" w:rsidP="00CA3946">
      <w:pPr>
        <w:spacing w:line="360" w:lineRule="auto"/>
        <w:jc w:val="both"/>
        <w:rPr>
          <w:rFonts w:ascii="Book Antiqua" w:eastAsia="宋体" w:hAnsi="Book Antiqua" w:cs="宋体"/>
          <w:color w:val="000000"/>
          <w:lang w:eastAsia="zh-CN"/>
        </w:rPr>
      </w:pPr>
      <w:r w:rsidRPr="004970DC">
        <w:rPr>
          <w:rFonts w:ascii="Book Antiqua" w:eastAsia="宋体" w:hAnsi="Book Antiqua" w:cs="宋体"/>
          <w:color w:val="000000"/>
          <w:lang w:eastAsia="zh-CN"/>
        </w:rPr>
        <w:t>IBD</w:t>
      </w:r>
      <w:r>
        <w:rPr>
          <w:rFonts w:ascii="Book Antiqua" w:eastAsia="宋体" w:hAnsi="Book Antiqua" w:cs="宋体" w:hint="eastAsia"/>
          <w:color w:val="000000"/>
          <w:lang w:eastAsia="zh-CN"/>
        </w:rPr>
        <w:t>:</w:t>
      </w:r>
      <w:r w:rsidRPr="001538BA">
        <w:rPr>
          <w:rFonts w:ascii="Book Antiqua" w:eastAsia="宋体" w:hAnsi="Book Antiqua" w:cs="宋体" w:hint="eastAsia"/>
          <w:caps/>
          <w:color w:val="000000"/>
          <w:lang w:eastAsia="zh-CN"/>
        </w:rPr>
        <w:t xml:space="preserve"> </w:t>
      </w:r>
      <w:r w:rsidRPr="001538BA">
        <w:rPr>
          <w:rFonts w:ascii="Book Antiqua" w:eastAsia="宋体" w:hAnsi="Book Antiqua" w:cs="宋体"/>
          <w:caps/>
          <w:color w:val="000000"/>
          <w:lang w:eastAsia="zh-CN"/>
        </w:rPr>
        <w:t>i</w:t>
      </w:r>
      <w:r w:rsidRPr="001538BA">
        <w:rPr>
          <w:rFonts w:ascii="Book Antiqua" w:eastAsia="宋体" w:hAnsi="Book Antiqua" w:cs="宋体"/>
          <w:color w:val="000000"/>
          <w:lang w:eastAsia="zh-CN"/>
        </w:rPr>
        <w:t>nflammatory bowel disease</w:t>
      </w:r>
      <w:r>
        <w:rPr>
          <w:rFonts w:ascii="Book Antiqua" w:eastAsia="宋体" w:hAnsi="Book Antiqua" w:cs="宋体" w:hint="eastAsia"/>
          <w:color w:val="000000"/>
          <w:lang w:eastAsia="zh-CN"/>
        </w:rPr>
        <w:t xml:space="preserve">; </w:t>
      </w:r>
      <w:r w:rsidRPr="001538BA">
        <w:rPr>
          <w:rFonts w:ascii="Book Antiqua" w:eastAsia="宋体" w:hAnsi="Book Antiqua" w:cs="宋体"/>
          <w:color w:val="000000"/>
          <w:lang w:eastAsia="zh-CN"/>
        </w:rPr>
        <w:t>AZA:</w:t>
      </w:r>
      <w:r w:rsidRPr="001538BA">
        <w:rPr>
          <w:rFonts w:ascii="Book Antiqua" w:eastAsia="宋体" w:hAnsi="Book Antiqua" w:cs="宋体"/>
          <w:caps/>
          <w:color w:val="000000"/>
          <w:lang w:eastAsia="zh-CN"/>
        </w:rPr>
        <w:t xml:space="preserve"> a</w:t>
      </w:r>
      <w:r w:rsidRPr="001538BA">
        <w:rPr>
          <w:rFonts w:ascii="Book Antiqua" w:eastAsia="宋体" w:hAnsi="Book Antiqua" w:cs="宋体"/>
          <w:color w:val="000000"/>
          <w:lang w:eastAsia="zh-CN"/>
        </w:rPr>
        <w:t>zathioprine; 6-MP: 6-</w:t>
      </w:r>
      <w:r w:rsidR="009F2FAC">
        <w:rPr>
          <w:rFonts w:ascii="Book Antiqua" w:eastAsia="宋体" w:hAnsi="Book Antiqua" w:cs="宋体"/>
          <w:color w:val="000000"/>
          <w:lang w:eastAsia="zh-CN"/>
        </w:rPr>
        <w:t>M</w:t>
      </w:r>
      <w:r w:rsidRPr="001538BA">
        <w:rPr>
          <w:rFonts w:ascii="Book Antiqua" w:eastAsia="宋体" w:hAnsi="Book Antiqua" w:cs="宋体"/>
          <w:color w:val="000000"/>
          <w:lang w:eastAsia="zh-CN"/>
        </w:rPr>
        <w:t xml:space="preserve">ercaptopurine; MTX: </w:t>
      </w:r>
      <w:r w:rsidRPr="001538BA">
        <w:rPr>
          <w:rFonts w:ascii="Book Antiqua" w:eastAsia="宋体" w:hAnsi="Book Antiqua" w:cs="宋体"/>
          <w:caps/>
          <w:color w:val="000000"/>
          <w:lang w:eastAsia="zh-CN"/>
        </w:rPr>
        <w:t>m</w:t>
      </w:r>
      <w:r w:rsidRPr="001538BA">
        <w:rPr>
          <w:rFonts w:ascii="Book Antiqua" w:eastAsia="宋体" w:hAnsi="Book Antiqua" w:cs="宋体"/>
          <w:color w:val="000000"/>
          <w:lang w:eastAsia="zh-CN"/>
        </w:rPr>
        <w:t>ethotrexate.</w:t>
      </w:r>
    </w:p>
    <w:p w14:paraId="63229710" w14:textId="77777777" w:rsidR="001538BA" w:rsidRPr="001538BA" w:rsidRDefault="001538BA" w:rsidP="00CA3946">
      <w:pPr>
        <w:spacing w:line="360" w:lineRule="auto"/>
        <w:jc w:val="both"/>
        <w:rPr>
          <w:rFonts w:ascii="Book Antiqua" w:eastAsia="宋体" w:hAnsi="Book Antiqua" w:cs="宋体"/>
          <w:b/>
          <w:color w:val="000000"/>
          <w:lang w:eastAsia="zh-CN"/>
        </w:rPr>
      </w:pPr>
      <w:r>
        <w:rPr>
          <w:rFonts w:ascii="Book Antiqua" w:eastAsia="宋体" w:hAnsi="Book Antiqua" w:cs="宋体"/>
          <w:color w:val="000000"/>
          <w:lang w:eastAsia="zh-CN"/>
        </w:rPr>
        <w:br w:type="page"/>
      </w:r>
      <w:r w:rsidRPr="001538BA">
        <w:rPr>
          <w:rFonts w:ascii="Book Antiqua" w:eastAsia="宋体" w:hAnsi="Book Antiqua" w:cs="宋体"/>
          <w:b/>
          <w:color w:val="000000"/>
          <w:lang w:eastAsia="zh-CN"/>
        </w:rPr>
        <w:lastRenderedPageBreak/>
        <w:t>Table 2 Clinical characteristics of study patients at baseline</w:t>
      </w:r>
      <w:r>
        <w:rPr>
          <w:rFonts w:ascii="Book Antiqua" w:eastAsia="宋体" w:hAnsi="Book Antiqua" w:cs="宋体" w:hint="eastAsia"/>
          <w:b/>
          <w:color w:val="000000"/>
          <w:lang w:eastAsia="zh-CN"/>
        </w:rPr>
        <w:t xml:space="preserve">, </w:t>
      </w:r>
      <w:r w:rsidRPr="001538BA">
        <w:rPr>
          <w:rFonts w:ascii="Book Antiqua" w:eastAsia="宋体" w:hAnsi="Book Antiqua" w:cs="宋体" w:hint="eastAsia"/>
          <w:b/>
          <w:i/>
          <w:color w:val="000000"/>
          <w:lang w:eastAsia="zh-CN"/>
        </w:rPr>
        <w:t>n</w:t>
      </w:r>
      <w:r>
        <w:rPr>
          <w:rFonts w:ascii="Book Antiqua" w:eastAsia="宋体" w:hAnsi="Book Antiqua" w:cs="宋体" w:hint="eastAsia"/>
          <w:b/>
          <w:color w:val="000000"/>
          <w:lang w:eastAsia="zh-CN"/>
        </w:rPr>
        <w:t xml:space="preserve"> (%)</w:t>
      </w:r>
    </w:p>
    <w:tbl>
      <w:tblPr>
        <w:tblW w:w="9317" w:type="dxa"/>
        <w:tblInd w:w="93" w:type="dxa"/>
        <w:tblLook w:val="04A0" w:firstRow="1" w:lastRow="0" w:firstColumn="1" w:lastColumn="0" w:noHBand="0" w:noVBand="1"/>
      </w:tblPr>
      <w:tblGrid>
        <w:gridCol w:w="5596"/>
        <w:gridCol w:w="1287"/>
        <w:gridCol w:w="1220"/>
        <w:gridCol w:w="1214"/>
      </w:tblGrid>
      <w:tr w:rsidR="001538BA" w:rsidRPr="001538BA" w14:paraId="7C9E9D00" w14:textId="77777777" w:rsidTr="0099507B">
        <w:trPr>
          <w:trHeight w:val="311"/>
        </w:trPr>
        <w:tc>
          <w:tcPr>
            <w:tcW w:w="5596" w:type="dxa"/>
            <w:tcBorders>
              <w:top w:val="single" w:sz="4" w:space="0" w:color="auto"/>
              <w:left w:val="nil"/>
              <w:bottom w:val="single" w:sz="4" w:space="0" w:color="auto"/>
              <w:right w:val="nil"/>
            </w:tcBorders>
            <w:shd w:val="clear" w:color="auto" w:fill="auto"/>
            <w:noWrap/>
            <w:vAlign w:val="bottom"/>
            <w:hideMark/>
          </w:tcPr>
          <w:p w14:paraId="410A38B3" w14:textId="0AC4B033" w:rsidR="001538BA" w:rsidRPr="001538BA" w:rsidRDefault="001538BA" w:rsidP="00CA3946">
            <w:pPr>
              <w:spacing w:line="360" w:lineRule="auto"/>
              <w:rPr>
                <w:rFonts w:ascii="Calibri" w:eastAsia="宋体" w:hAnsi="Calibri" w:cs="Calibri"/>
                <w:color w:val="000000"/>
                <w:sz w:val="22"/>
                <w:szCs w:val="22"/>
                <w:lang w:eastAsia="zh-CN"/>
              </w:rPr>
            </w:pPr>
          </w:p>
        </w:tc>
        <w:tc>
          <w:tcPr>
            <w:tcW w:w="1287" w:type="dxa"/>
            <w:tcBorders>
              <w:top w:val="single" w:sz="4" w:space="0" w:color="auto"/>
              <w:left w:val="nil"/>
              <w:bottom w:val="single" w:sz="4" w:space="0" w:color="auto"/>
              <w:right w:val="nil"/>
            </w:tcBorders>
            <w:shd w:val="clear" w:color="auto" w:fill="auto"/>
            <w:noWrap/>
            <w:vAlign w:val="center"/>
            <w:hideMark/>
          </w:tcPr>
          <w:p w14:paraId="402DF67B" w14:textId="77777777" w:rsidR="001538BA" w:rsidRPr="001538BA" w:rsidRDefault="001538BA" w:rsidP="00CA3946">
            <w:pPr>
              <w:spacing w:line="360" w:lineRule="auto"/>
              <w:rPr>
                <w:rFonts w:ascii="Book Antiqua" w:eastAsia="宋体" w:hAnsi="Book Antiqua" w:cs="宋体"/>
                <w:b/>
                <w:bCs/>
                <w:color w:val="000000"/>
                <w:lang w:eastAsia="zh-CN"/>
              </w:rPr>
            </w:pPr>
            <w:r w:rsidRPr="001538BA">
              <w:rPr>
                <w:rFonts w:ascii="Book Antiqua" w:eastAsia="宋体" w:hAnsi="Book Antiqua" w:cs="宋体"/>
                <w:b/>
                <w:bCs/>
                <w:color w:val="000000"/>
                <w:lang w:eastAsia="zh-CN"/>
              </w:rPr>
              <w:t>Overall (</w:t>
            </w:r>
            <w:r w:rsidRPr="001538BA">
              <w:rPr>
                <w:rFonts w:ascii="Book Antiqua" w:eastAsia="宋体" w:hAnsi="Book Antiqua" w:cs="宋体"/>
                <w:b/>
                <w:bCs/>
                <w:i/>
                <w:color w:val="000000"/>
                <w:lang w:eastAsia="zh-CN"/>
              </w:rPr>
              <w:t>n</w:t>
            </w:r>
            <w:r>
              <w:rPr>
                <w:rFonts w:ascii="Book Antiqua" w:eastAsia="宋体" w:hAnsi="Book Antiqua" w:cs="宋体" w:hint="eastAsia"/>
                <w:b/>
                <w:bCs/>
                <w:color w:val="000000"/>
                <w:lang w:eastAsia="zh-CN"/>
              </w:rPr>
              <w:t xml:space="preserve"> </w:t>
            </w:r>
            <w:r w:rsidRPr="001538BA">
              <w:rPr>
                <w:rFonts w:ascii="Book Antiqua" w:eastAsia="宋体" w:hAnsi="Book Antiqua" w:cs="宋体"/>
                <w:b/>
                <w:bCs/>
                <w:color w:val="000000"/>
                <w:lang w:eastAsia="zh-CN"/>
              </w:rPr>
              <w:t>=</w:t>
            </w:r>
            <w:r>
              <w:rPr>
                <w:rFonts w:ascii="Book Antiqua" w:eastAsia="宋体" w:hAnsi="Book Antiqua" w:cs="宋体" w:hint="eastAsia"/>
                <w:b/>
                <w:bCs/>
                <w:color w:val="000000"/>
                <w:lang w:eastAsia="zh-CN"/>
              </w:rPr>
              <w:t xml:space="preserve"> </w:t>
            </w:r>
            <w:r w:rsidRPr="001538BA">
              <w:rPr>
                <w:rFonts w:ascii="Book Antiqua" w:eastAsia="宋体" w:hAnsi="Book Antiqua" w:cs="宋体"/>
                <w:b/>
                <w:bCs/>
                <w:color w:val="000000"/>
                <w:lang w:eastAsia="zh-CN"/>
              </w:rPr>
              <w:t>220)</w:t>
            </w:r>
          </w:p>
        </w:tc>
        <w:tc>
          <w:tcPr>
            <w:tcW w:w="1220" w:type="dxa"/>
            <w:tcBorders>
              <w:top w:val="single" w:sz="4" w:space="0" w:color="auto"/>
              <w:left w:val="nil"/>
              <w:bottom w:val="single" w:sz="4" w:space="0" w:color="auto"/>
              <w:right w:val="nil"/>
            </w:tcBorders>
            <w:shd w:val="clear" w:color="auto" w:fill="auto"/>
            <w:noWrap/>
            <w:vAlign w:val="center"/>
            <w:hideMark/>
          </w:tcPr>
          <w:p w14:paraId="3E55A327" w14:textId="77777777" w:rsidR="001538BA" w:rsidRPr="001538BA" w:rsidRDefault="001538BA" w:rsidP="00CA3946">
            <w:pPr>
              <w:spacing w:line="360" w:lineRule="auto"/>
              <w:rPr>
                <w:rFonts w:ascii="Book Antiqua" w:eastAsia="宋体" w:hAnsi="Book Antiqua" w:cs="宋体"/>
                <w:b/>
                <w:bCs/>
                <w:color w:val="000000"/>
                <w:lang w:eastAsia="zh-CN"/>
              </w:rPr>
            </w:pPr>
            <w:r w:rsidRPr="001538BA">
              <w:rPr>
                <w:rFonts w:ascii="Book Antiqua" w:eastAsia="宋体" w:hAnsi="Book Antiqua" w:cs="宋体"/>
                <w:b/>
                <w:bCs/>
                <w:color w:val="000000"/>
                <w:lang w:eastAsia="zh-CN"/>
              </w:rPr>
              <w:t>CD (</w:t>
            </w:r>
            <w:r w:rsidRPr="001538BA">
              <w:rPr>
                <w:rFonts w:ascii="Book Antiqua" w:eastAsia="宋体" w:hAnsi="Book Antiqua" w:cs="宋体"/>
                <w:b/>
                <w:bCs/>
                <w:i/>
                <w:color w:val="000000"/>
                <w:lang w:eastAsia="zh-CN"/>
              </w:rPr>
              <w:t>n</w:t>
            </w:r>
            <w:r w:rsidRPr="001538BA">
              <w:rPr>
                <w:rFonts w:ascii="Book Antiqua" w:eastAsia="宋体" w:hAnsi="Book Antiqua" w:cs="宋体" w:hint="eastAsia"/>
                <w:b/>
                <w:bCs/>
                <w:i/>
                <w:color w:val="000000"/>
                <w:lang w:eastAsia="zh-CN"/>
              </w:rPr>
              <w:t xml:space="preserve"> </w:t>
            </w:r>
            <w:r w:rsidRPr="001538BA">
              <w:rPr>
                <w:rFonts w:ascii="Book Antiqua" w:eastAsia="宋体" w:hAnsi="Book Antiqua" w:cs="宋体"/>
                <w:b/>
                <w:bCs/>
                <w:color w:val="000000"/>
                <w:lang w:eastAsia="zh-CN"/>
              </w:rPr>
              <w:t>=</w:t>
            </w:r>
            <w:r>
              <w:rPr>
                <w:rFonts w:ascii="Book Antiqua" w:eastAsia="宋体" w:hAnsi="Book Antiqua" w:cs="宋体" w:hint="eastAsia"/>
                <w:b/>
                <w:bCs/>
                <w:color w:val="000000"/>
                <w:lang w:eastAsia="zh-CN"/>
              </w:rPr>
              <w:t xml:space="preserve"> </w:t>
            </w:r>
            <w:r w:rsidRPr="001538BA">
              <w:rPr>
                <w:rFonts w:ascii="Book Antiqua" w:eastAsia="宋体" w:hAnsi="Book Antiqua" w:cs="宋体"/>
                <w:b/>
                <w:bCs/>
                <w:color w:val="000000"/>
                <w:lang w:eastAsia="zh-CN"/>
              </w:rPr>
              <w:t>133)</w:t>
            </w:r>
          </w:p>
        </w:tc>
        <w:tc>
          <w:tcPr>
            <w:tcW w:w="1214" w:type="dxa"/>
            <w:tcBorders>
              <w:top w:val="single" w:sz="4" w:space="0" w:color="auto"/>
              <w:left w:val="nil"/>
              <w:bottom w:val="single" w:sz="4" w:space="0" w:color="auto"/>
              <w:right w:val="nil"/>
            </w:tcBorders>
            <w:shd w:val="clear" w:color="auto" w:fill="auto"/>
            <w:noWrap/>
            <w:vAlign w:val="center"/>
            <w:hideMark/>
          </w:tcPr>
          <w:p w14:paraId="7660DA2B" w14:textId="77777777" w:rsidR="001538BA" w:rsidRPr="001538BA" w:rsidRDefault="001538BA" w:rsidP="00CA3946">
            <w:pPr>
              <w:spacing w:line="360" w:lineRule="auto"/>
              <w:rPr>
                <w:rFonts w:ascii="Book Antiqua" w:eastAsia="宋体" w:hAnsi="Book Antiqua" w:cs="宋体"/>
                <w:b/>
                <w:bCs/>
                <w:color w:val="000000"/>
                <w:lang w:eastAsia="zh-CN"/>
              </w:rPr>
            </w:pPr>
            <w:r w:rsidRPr="001538BA">
              <w:rPr>
                <w:rFonts w:ascii="Book Antiqua" w:eastAsia="宋体" w:hAnsi="Book Antiqua" w:cs="宋体"/>
                <w:b/>
                <w:bCs/>
                <w:color w:val="000000"/>
                <w:lang w:eastAsia="zh-CN"/>
              </w:rPr>
              <w:t>UC (</w:t>
            </w:r>
            <w:r w:rsidRPr="001538BA">
              <w:rPr>
                <w:rFonts w:ascii="Book Antiqua" w:eastAsia="宋体" w:hAnsi="Book Antiqua" w:cs="宋体"/>
                <w:b/>
                <w:bCs/>
                <w:i/>
                <w:color w:val="000000"/>
                <w:lang w:eastAsia="zh-CN"/>
              </w:rPr>
              <w:t>n</w:t>
            </w:r>
            <w:r w:rsidRPr="001538BA">
              <w:rPr>
                <w:rFonts w:ascii="Book Antiqua" w:eastAsia="宋体" w:hAnsi="Book Antiqua" w:cs="宋体" w:hint="eastAsia"/>
                <w:b/>
                <w:bCs/>
                <w:i/>
                <w:color w:val="000000"/>
                <w:lang w:eastAsia="zh-CN"/>
              </w:rPr>
              <w:t xml:space="preserve"> </w:t>
            </w:r>
            <w:r w:rsidRPr="001538BA">
              <w:rPr>
                <w:rFonts w:ascii="Book Antiqua" w:eastAsia="宋体" w:hAnsi="Book Antiqua" w:cs="宋体"/>
                <w:b/>
                <w:bCs/>
                <w:color w:val="000000"/>
                <w:lang w:eastAsia="zh-CN"/>
              </w:rPr>
              <w:t>=</w:t>
            </w:r>
            <w:r>
              <w:rPr>
                <w:rFonts w:ascii="Book Antiqua" w:eastAsia="宋体" w:hAnsi="Book Antiqua" w:cs="宋体" w:hint="eastAsia"/>
                <w:b/>
                <w:bCs/>
                <w:color w:val="000000"/>
                <w:lang w:eastAsia="zh-CN"/>
              </w:rPr>
              <w:t xml:space="preserve"> </w:t>
            </w:r>
            <w:r w:rsidRPr="001538BA">
              <w:rPr>
                <w:rFonts w:ascii="Book Antiqua" w:eastAsia="宋体" w:hAnsi="Book Antiqua" w:cs="宋体"/>
                <w:b/>
                <w:bCs/>
                <w:color w:val="000000"/>
                <w:lang w:eastAsia="zh-CN"/>
              </w:rPr>
              <w:t>87)</w:t>
            </w:r>
          </w:p>
        </w:tc>
      </w:tr>
      <w:tr w:rsidR="0099507B" w:rsidRPr="001538BA" w14:paraId="5E2E64E5" w14:textId="77777777" w:rsidTr="0099507B">
        <w:trPr>
          <w:trHeight w:val="236"/>
        </w:trPr>
        <w:tc>
          <w:tcPr>
            <w:tcW w:w="9317" w:type="dxa"/>
            <w:gridSpan w:val="4"/>
            <w:tcBorders>
              <w:top w:val="single" w:sz="4" w:space="0" w:color="auto"/>
              <w:left w:val="nil"/>
            </w:tcBorders>
            <w:shd w:val="clear" w:color="auto" w:fill="auto"/>
            <w:noWrap/>
            <w:vAlign w:val="center"/>
            <w:hideMark/>
          </w:tcPr>
          <w:p w14:paraId="70BEAE37" w14:textId="0548C293" w:rsidR="0099507B" w:rsidRPr="0099507B" w:rsidRDefault="0099507B" w:rsidP="00CA3946">
            <w:pPr>
              <w:spacing w:line="360" w:lineRule="auto"/>
              <w:rPr>
                <w:rFonts w:ascii="Book Antiqua" w:eastAsia="宋体" w:hAnsi="Book Antiqua" w:cs="宋体"/>
                <w:b/>
                <w:bCs/>
                <w:color w:val="000000"/>
                <w:lang w:eastAsia="zh-CN"/>
              </w:rPr>
            </w:pPr>
            <w:r w:rsidRPr="001538BA">
              <w:rPr>
                <w:rFonts w:ascii="Book Antiqua" w:eastAsia="宋体" w:hAnsi="Book Antiqua" w:cs="宋体"/>
                <w:b/>
                <w:bCs/>
                <w:color w:val="000000"/>
                <w:lang w:eastAsia="zh-CN"/>
              </w:rPr>
              <w:t>Endoscopic findings (presence and size of ulcers)</w:t>
            </w:r>
          </w:p>
        </w:tc>
      </w:tr>
      <w:tr w:rsidR="001538BA" w:rsidRPr="001538BA" w14:paraId="187345B5" w14:textId="77777777" w:rsidTr="0099507B">
        <w:trPr>
          <w:trHeight w:val="311"/>
        </w:trPr>
        <w:tc>
          <w:tcPr>
            <w:tcW w:w="5596" w:type="dxa"/>
            <w:tcBorders>
              <w:top w:val="nil"/>
              <w:left w:val="nil"/>
              <w:bottom w:val="nil"/>
              <w:right w:val="nil"/>
            </w:tcBorders>
            <w:shd w:val="clear" w:color="auto" w:fill="auto"/>
            <w:noWrap/>
            <w:vAlign w:val="center"/>
            <w:hideMark/>
          </w:tcPr>
          <w:p w14:paraId="210AB44F" w14:textId="77777777" w:rsidR="001538BA" w:rsidRPr="001538BA" w:rsidRDefault="001538BA" w:rsidP="00CA3946">
            <w:pPr>
              <w:spacing w:line="360" w:lineRule="auto"/>
              <w:ind w:firstLineChars="300" w:firstLine="720"/>
              <w:rPr>
                <w:rFonts w:ascii="Book Antiqua" w:eastAsia="宋体" w:hAnsi="Book Antiqua" w:cs="宋体"/>
                <w:color w:val="000000"/>
                <w:lang w:eastAsia="zh-CN"/>
              </w:rPr>
            </w:pPr>
            <w:r w:rsidRPr="001538BA">
              <w:rPr>
                <w:rFonts w:ascii="Book Antiqua" w:eastAsia="宋体" w:hAnsi="Book Antiqua" w:cs="宋体"/>
                <w:color w:val="000000"/>
                <w:lang w:eastAsia="zh-CN"/>
              </w:rPr>
              <w:t>Unaffected</w:t>
            </w:r>
          </w:p>
        </w:tc>
        <w:tc>
          <w:tcPr>
            <w:tcW w:w="1287" w:type="dxa"/>
            <w:tcBorders>
              <w:top w:val="nil"/>
              <w:left w:val="nil"/>
              <w:bottom w:val="nil"/>
              <w:right w:val="nil"/>
            </w:tcBorders>
            <w:shd w:val="clear" w:color="auto" w:fill="auto"/>
            <w:noWrap/>
            <w:vAlign w:val="center"/>
            <w:hideMark/>
          </w:tcPr>
          <w:p w14:paraId="32B409F9" w14:textId="77777777" w:rsidR="001538BA" w:rsidRPr="001538BA" w:rsidRDefault="001538BA" w:rsidP="00CA3946">
            <w:pPr>
              <w:spacing w:line="360" w:lineRule="auto"/>
              <w:rPr>
                <w:rFonts w:ascii="Book Antiqua" w:eastAsia="宋体" w:hAnsi="Book Antiqua" w:cs="宋体"/>
                <w:color w:val="000000"/>
                <w:lang w:eastAsia="zh-CN"/>
              </w:rPr>
            </w:pPr>
            <w:r w:rsidRPr="001538BA">
              <w:rPr>
                <w:rFonts w:ascii="Book Antiqua" w:eastAsia="宋体" w:hAnsi="Book Antiqua" w:cs="宋体"/>
                <w:color w:val="000000"/>
                <w:lang w:eastAsia="zh-CN"/>
              </w:rPr>
              <w:t>9 (4</w:t>
            </w:r>
            <w:r>
              <w:rPr>
                <w:rFonts w:ascii="Book Antiqua" w:eastAsia="宋体" w:hAnsi="Book Antiqua" w:cs="宋体"/>
                <w:color w:val="000000"/>
                <w:lang w:eastAsia="zh-CN"/>
              </w:rPr>
              <w:t>)</w:t>
            </w:r>
          </w:p>
        </w:tc>
        <w:tc>
          <w:tcPr>
            <w:tcW w:w="1220" w:type="dxa"/>
            <w:tcBorders>
              <w:top w:val="nil"/>
              <w:left w:val="nil"/>
              <w:bottom w:val="nil"/>
              <w:right w:val="nil"/>
            </w:tcBorders>
            <w:shd w:val="clear" w:color="auto" w:fill="auto"/>
            <w:noWrap/>
            <w:vAlign w:val="center"/>
            <w:hideMark/>
          </w:tcPr>
          <w:p w14:paraId="3FEF760A" w14:textId="77777777" w:rsidR="001538BA" w:rsidRPr="001538BA" w:rsidRDefault="001538BA" w:rsidP="00CA3946">
            <w:pPr>
              <w:spacing w:line="360" w:lineRule="auto"/>
              <w:rPr>
                <w:rFonts w:ascii="Book Antiqua" w:eastAsia="宋体" w:hAnsi="Book Antiqua" w:cs="宋体"/>
                <w:color w:val="000000"/>
                <w:lang w:eastAsia="zh-CN"/>
              </w:rPr>
            </w:pPr>
            <w:r w:rsidRPr="001538BA">
              <w:rPr>
                <w:rFonts w:ascii="Book Antiqua" w:eastAsia="宋体" w:hAnsi="Book Antiqua" w:cs="宋体"/>
                <w:color w:val="000000"/>
                <w:lang w:eastAsia="zh-CN"/>
              </w:rPr>
              <w:t>7 (5</w:t>
            </w:r>
            <w:r>
              <w:rPr>
                <w:rFonts w:ascii="Book Antiqua" w:eastAsia="宋体" w:hAnsi="Book Antiqua" w:cs="宋体"/>
                <w:color w:val="000000"/>
                <w:lang w:eastAsia="zh-CN"/>
              </w:rPr>
              <w:t>)</w:t>
            </w:r>
          </w:p>
        </w:tc>
        <w:tc>
          <w:tcPr>
            <w:tcW w:w="1214" w:type="dxa"/>
            <w:tcBorders>
              <w:top w:val="nil"/>
              <w:left w:val="nil"/>
              <w:bottom w:val="nil"/>
              <w:right w:val="nil"/>
            </w:tcBorders>
            <w:shd w:val="clear" w:color="auto" w:fill="auto"/>
            <w:noWrap/>
            <w:vAlign w:val="center"/>
            <w:hideMark/>
          </w:tcPr>
          <w:p w14:paraId="60903CA4" w14:textId="77777777" w:rsidR="001538BA" w:rsidRPr="001538BA" w:rsidRDefault="001538BA" w:rsidP="00CA3946">
            <w:pPr>
              <w:spacing w:line="360" w:lineRule="auto"/>
              <w:rPr>
                <w:rFonts w:ascii="Book Antiqua" w:eastAsia="宋体" w:hAnsi="Book Antiqua" w:cs="宋体"/>
                <w:color w:val="000000"/>
                <w:lang w:eastAsia="zh-CN"/>
              </w:rPr>
            </w:pPr>
            <w:r w:rsidRPr="001538BA">
              <w:rPr>
                <w:rFonts w:ascii="Book Antiqua" w:eastAsia="宋体" w:hAnsi="Book Antiqua" w:cs="宋体"/>
                <w:color w:val="000000"/>
                <w:lang w:eastAsia="zh-CN"/>
              </w:rPr>
              <w:t>2 (2</w:t>
            </w:r>
            <w:r>
              <w:rPr>
                <w:rFonts w:ascii="Book Antiqua" w:eastAsia="宋体" w:hAnsi="Book Antiqua" w:cs="宋体"/>
                <w:color w:val="000000"/>
                <w:lang w:eastAsia="zh-CN"/>
              </w:rPr>
              <w:t>)</w:t>
            </w:r>
          </w:p>
        </w:tc>
      </w:tr>
      <w:tr w:rsidR="001538BA" w:rsidRPr="001538BA" w14:paraId="316F8DB9" w14:textId="77777777" w:rsidTr="0099507B">
        <w:trPr>
          <w:trHeight w:val="311"/>
        </w:trPr>
        <w:tc>
          <w:tcPr>
            <w:tcW w:w="5596" w:type="dxa"/>
            <w:tcBorders>
              <w:top w:val="nil"/>
              <w:left w:val="nil"/>
              <w:bottom w:val="nil"/>
              <w:right w:val="nil"/>
            </w:tcBorders>
            <w:shd w:val="clear" w:color="auto" w:fill="auto"/>
            <w:noWrap/>
            <w:vAlign w:val="center"/>
            <w:hideMark/>
          </w:tcPr>
          <w:p w14:paraId="1945FA56" w14:textId="77777777" w:rsidR="001538BA" w:rsidRPr="001538BA" w:rsidRDefault="001538BA" w:rsidP="00CA3946">
            <w:pPr>
              <w:spacing w:line="360" w:lineRule="auto"/>
              <w:ind w:firstLineChars="300" w:firstLine="720"/>
              <w:rPr>
                <w:rFonts w:ascii="Book Antiqua" w:eastAsia="宋体" w:hAnsi="Book Antiqua" w:cs="宋体"/>
                <w:color w:val="000000"/>
                <w:lang w:eastAsia="zh-CN"/>
              </w:rPr>
            </w:pPr>
            <w:r w:rsidRPr="001538BA">
              <w:rPr>
                <w:rFonts w:ascii="Book Antiqua" w:eastAsia="宋体" w:hAnsi="Book Antiqua" w:cs="宋体"/>
                <w:color w:val="000000"/>
                <w:lang w:eastAsia="zh-CN"/>
              </w:rPr>
              <w:t xml:space="preserve">Mild </w:t>
            </w:r>
            <w:r w:rsidRPr="001538BA">
              <w:rPr>
                <w:rFonts w:eastAsia="宋体"/>
                <w:color w:val="000000"/>
                <w:lang w:eastAsia="zh-CN"/>
              </w:rPr>
              <w:t xml:space="preserve"> </w:t>
            </w:r>
            <w:r w:rsidRPr="001538BA">
              <w:rPr>
                <w:rFonts w:ascii="Book Antiqua" w:eastAsia="宋体" w:hAnsi="Book Antiqua" w:cs="宋体"/>
                <w:color w:val="000000"/>
                <w:lang w:eastAsia="zh-CN"/>
              </w:rPr>
              <w:t>(1-5 mm)</w:t>
            </w:r>
          </w:p>
        </w:tc>
        <w:tc>
          <w:tcPr>
            <w:tcW w:w="1287" w:type="dxa"/>
            <w:tcBorders>
              <w:top w:val="nil"/>
              <w:left w:val="nil"/>
              <w:bottom w:val="nil"/>
              <w:right w:val="nil"/>
            </w:tcBorders>
            <w:shd w:val="clear" w:color="auto" w:fill="auto"/>
            <w:noWrap/>
            <w:vAlign w:val="center"/>
            <w:hideMark/>
          </w:tcPr>
          <w:p w14:paraId="2CA176F5" w14:textId="77777777" w:rsidR="001538BA" w:rsidRPr="001538BA" w:rsidRDefault="001538BA" w:rsidP="00CA3946">
            <w:pPr>
              <w:spacing w:line="360" w:lineRule="auto"/>
              <w:rPr>
                <w:rFonts w:ascii="Book Antiqua" w:eastAsia="宋体" w:hAnsi="Book Antiqua" w:cs="宋体"/>
                <w:color w:val="000000"/>
                <w:lang w:eastAsia="zh-CN"/>
              </w:rPr>
            </w:pPr>
            <w:r w:rsidRPr="001538BA">
              <w:rPr>
                <w:rFonts w:ascii="Book Antiqua" w:eastAsia="宋体" w:hAnsi="Book Antiqua" w:cs="宋体"/>
                <w:color w:val="000000"/>
                <w:lang w:eastAsia="zh-CN"/>
              </w:rPr>
              <w:t>7 (3</w:t>
            </w:r>
            <w:r>
              <w:rPr>
                <w:rFonts w:ascii="Book Antiqua" w:eastAsia="宋体" w:hAnsi="Book Antiqua" w:cs="宋体"/>
                <w:color w:val="000000"/>
                <w:lang w:eastAsia="zh-CN"/>
              </w:rPr>
              <w:t>)</w:t>
            </w:r>
          </w:p>
        </w:tc>
        <w:tc>
          <w:tcPr>
            <w:tcW w:w="1220" w:type="dxa"/>
            <w:tcBorders>
              <w:top w:val="nil"/>
              <w:left w:val="nil"/>
              <w:bottom w:val="nil"/>
              <w:right w:val="nil"/>
            </w:tcBorders>
            <w:shd w:val="clear" w:color="auto" w:fill="auto"/>
            <w:noWrap/>
            <w:vAlign w:val="center"/>
            <w:hideMark/>
          </w:tcPr>
          <w:p w14:paraId="495D53F2" w14:textId="77777777" w:rsidR="001538BA" w:rsidRPr="001538BA" w:rsidRDefault="001538BA" w:rsidP="00CA3946">
            <w:pPr>
              <w:spacing w:line="360" w:lineRule="auto"/>
              <w:rPr>
                <w:rFonts w:ascii="Book Antiqua" w:eastAsia="宋体" w:hAnsi="Book Antiqua" w:cs="宋体"/>
                <w:color w:val="000000"/>
                <w:lang w:eastAsia="zh-CN"/>
              </w:rPr>
            </w:pPr>
            <w:r w:rsidRPr="001538BA">
              <w:rPr>
                <w:rFonts w:ascii="Book Antiqua" w:eastAsia="宋体" w:hAnsi="Book Antiqua" w:cs="宋体"/>
                <w:color w:val="000000"/>
                <w:lang w:eastAsia="zh-CN"/>
              </w:rPr>
              <w:t>1 (1</w:t>
            </w:r>
            <w:r>
              <w:rPr>
                <w:rFonts w:ascii="Book Antiqua" w:eastAsia="宋体" w:hAnsi="Book Antiqua" w:cs="宋体"/>
                <w:color w:val="000000"/>
                <w:lang w:eastAsia="zh-CN"/>
              </w:rPr>
              <w:t>)</w:t>
            </w:r>
          </w:p>
        </w:tc>
        <w:tc>
          <w:tcPr>
            <w:tcW w:w="1214" w:type="dxa"/>
            <w:tcBorders>
              <w:top w:val="nil"/>
              <w:left w:val="nil"/>
              <w:bottom w:val="nil"/>
              <w:right w:val="nil"/>
            </w:tcBorders>
            <w:shd w:val="clear" w:color="auto" w:fill="auto"/>
            <w:noWrap/>
            <w:vAlign w:val="center"/>
            <w:hideMark/>
          </w:tcPr>
          <w:p w14:paraId="1C6A3492" w14:textId="77777777" w:rsidR="001538BA" w:rsidRPr="001538BA" w:rsidRDefault="001538BA" w:rsidP="00CA3946">
            <w:pPr>
              <w:spacing w:line="360" w:lineRule="auto"/>
              <w:rPr>
                <w:rFonts w:ascii="Book Antiqua" w:eastAsia="宋体" w:hAnsi="Book Antiqua" w:cs="宋体"/>
                <w:color w:val="000000"/>
                <w:lang w:eastAsia="zh-CN"/>
              </w:rPr>
            </w:pPr>
            <w:r w:rsidRPr="001538BA">
              <w:rPr>
                <w:rFonts w:ascii="Book Antiqua" w:eastAsia="宋体" w:hAnsi="Book Antiqua" w:cs="宋体"/>
                <w:color w:val="000000"/>
                <w:lang w:eastAsia="zh-CN"/>
              </w:rPr>
              <w:t>6 (7</w:t>
            </w:r>
            <w:r>
              <w:rPr>
                <w:rFonts w:ascii="Book Antiqua" w:eastAsia="宋体" w:hAnsi="Book Antiqua" w:cs="宋体"/>
                <w:color w:val="000000"/>
                <w:lang w:eastAsia="zh-CN"/>
              </w:rPr>
              <w:t>)</w:t>
            </w:r>
          </w:p>
        </w:tc>
      </w:tr>
      <w:tr w:rsidR="001538BA" w:rsidRPr="001538BA" w14:paraId="74D36DBA" w14:textId="77777777" w:rsidTr="0099507B">
        <w:trPr>
          <w:trHeight w:val="311"/>
        </w:trPr>
        <w:tc>
          <w:tcPr>
            <w:tcW w:w="5596" w:type="dxa"/>
            <w:tcBorders>
              <w:top w:val="nil"/>
              <w:left w:val="nil"/>
              <w:bottom w:val="nil"/>
              <w:right w:val="nil"/>
            </w:tcBorders>
            <w:shd w:val="clear" w:color="auto" w:fill="auto"/>
            <w:noWrap/>
            <w:vAlign w:val="center"/>
            <w:hideMark/>
          </w:tcPr>
          <w:p w14:paraId="1F9CAD07" w14:textId="77777777" w:rsidR="001538BA" w:rsidRPr="001538BA" w:rsidRDefault="001538BA" w:rsidP="00CA3946">
            <w:pPr>
              <w:spacing w:line="360" w:lineRule="auto"/>
              <w:ind w:firstLineChars="300" w:firstLine="720"/>
              <w:rPr>
                <w:rFonts w:ascii="Book Antiqua" w:eastAsia="宋体" w:hAnsi="Book Antiqua" w:cs="宋体"/>
                <w:color w:val="000000"/>
                <w:lang w:eastAsia="zh-CN"/>
              </w:rPr>
            </w:pPr>
            <w:r w:rsidRPr="001538BA">
              <w:rPr>
                <w:rFonts w:ascii="Book Antiqua" w:eastAsia="宋体" w:hAnsi="Book Antiqua" w:cs="宋体"/>
                <w:color w:val="000000"/>
                <w:lang w:eastAsia="zh-CN"/>
              </w:rPr>
              <w:t>Moderate (5-20 mm)</w:t>
            </w:r>
          </w:p>
        </w:tc>
        <w:tc>
          <w:tcPr>
            <w:tcW w:w="1287" w:type="dxa"/>
            <w:tcBorders>
              <w:top w:val="nil"/>
              <w:left w:val="nil"/>
              <w:bottom w:val="nil"/>
              <w:right w:val="nil"/>
            </w:tcBorders>
            <w:shd w:val="clear" w:color="auto" w:fill="auto"/>
            <w:noWrap/>
            <w:vAlign w:val="center"/>
            <w:hideMark/>
          </w:tcPr>
          <w:p w14:paraId="58A6AF92" w14:textId="77777777" w:rsidR="001538BA" w:rsidRPr="001538BA" w:rsidRDefault="001538BA" w:rsidP="00CA3946">
            <w:pPr>
              <w:spacing w:line="360" w:lineRule="auto"/>
              <w:rPr>
                <w:rFonts w:ascii="Book Antiqua" w:eastAsia="宋体" w:hAnsi="Book Antiqua" w:cs="宋体"/>
                <w:color w:val="000000"/>
                <w:lang w:eastAsia="zh-CN"/>
              </w:rPr>
            </w:pPr>
            <w:r w:rsidRPr="001538BA">
              <w:rPr>
                <w:rFonts w:ascii="Book Antiqua" w:eastAsia="宋体" w:hAnsi="Book Antiqua" w:cs="宋体"/>
                <w:color w:val="000000"/>
                <w:lang w:eastAsia="zh-CN"/>
              </w:rPr>
              <w:t>54 (25</w:t>
            </w:r>
            <w:r>
              <w:rPr>
                <w:rFonts w:ascii="Book Antiqua" w:eastAsia="宋体" w:hAnsi="Book Antiqua" w:cs="宋体"/>
                <w:color w:val="000000"/>
                <w:lang w:eastAsia="zh-CN"/>
              </w:rPr>
              <w:t>)</w:t>
            </w:r>
          </w:p>
        </w:tc>
        <w:tc>
          <w:tcPr>
            <w:tcW w:w="1220" w:type="dxa"/>
            <w:tcBorders>
              <w:top w:val="nil"/>
              <w:left w:val="nil"/>
              <w:bottom w:val="nil"/>
              <w:right w:val="nil"/>
            </w:tcBorders>
            <w:shd w:val="clear" w:color="auto" w:fill="auto"/>
            <w:noWrap/>
            <w:vAlign w:val="center"/>
            <w:hideMark/>
          </w:tcPr>
          <w:p w14:paraId="0DAA5F91" w14:textId="77777777" w:rsidR="001538BA" w:rsidRPr="001538BA" w:rsidRDefault="001538BA" w:rsidP="00CA3946">
            <w:pPr>
              <w:spacing w:line="360" w:lineRule="auto"/>
              <w:rPr>
                <w:rFonts w:ascii="Book Antiqua" w:eastAsia="宋体" w:hAnsi="Book Antiqua" w:cs="宋体"/>
                <w:color w:val="000000"/>
                <w:lang w:eastAsia="zh-CN"/>
              </w:rPr>
            </w:pPr>
            <w:r w:rsidRPr="001538BA">
              <w:rPr>
                <w:rFonts w:ascii="Book Antiqua" w:eastAsia="宋体" w:hAnsi="Book Antiqua" w:cs="宋体"/>
                <w:color w:val="000000"/>
                <w:lang w:eastAsia="zh-CN"/>
              </w:rPr>
              <w:t>21 (16</w:t>
            </w:r>
            <w:r>
              <w:rPr>
                <w:rFonts w:ascii="Book Antiqua" w:eastAsia="宋体" w:hAnsi="Book Antiqua" w:cs="宋体"/>
                <w:color w:val="000000"/>
                <w:lang w:eastAsia="zh-CN"/>
              </w:rPr>
              <w:t>)</w:t>
            </w:r>
          </w:p>
        </w:tc>
        <w:tc>
          <w:tcPr>
            <w:tcW w:w="1214" w:type="dxa"/>
            <w:tcBorders>
              <w:top w:val="nil"/>
              <w:left w:val="nil"/>
              <w:bottom w:val="nil"/>
              <w:right w:val="nil"/>
            </w:tcBorders>
            <w:shd w:val="clear" w:color="auto" w:fill="auto"/>
            <w:noWrap/>
            <w:vAlign w:val="center"/>
            <w:hideMark/>
          </w:tcPr>
          <w:p w14:paraId="5C20E3E3" w14:textId="77777777" w:rsidR="001538BA" w:rsidRPr="001538BA" w:rsidRDefault="001538BA" w:rsidP="00CA3946">
            <w:pPr>
              <w:spacing w:line="360" w:lineRule="auto"/>
              <w:rPr>
                <w:rFonts w:ascii="Book Antiqua" w:eastAsia="宋体" w:hAnsi="Book Antiqua" w:cs="宋体"/>
                <w:color w:val="000000"/>
                <w:lang w:eastAsia="zh-CN"/>
              </w:rPr>
            </w:pPr>
            <w:r w:rsidRPr="001538BA">
              <w:rPr>
                <w:rFonts w:ascii="Book Antiqua" w:eastAsia="宋体" w:hAnsi="Book Antiqua" w:cs="宋体"/>
                <w:color w:val="000000"/>
                <w:lang w:eastAsia="zh-CN"/>
              </w:rPr>
              <w:t>33 (38</w:t>
            </w:r>
            <w:r>
              <w:rPr>
                <w:rFonts w:ascii="Book Antiqua" w:eastAsia="宋体" w:hAnsi="Book Antiqua" w:cs="宋体"/>
                <w:color w:val="000000"/>
                <w:lang w:eastAsia="zh-CN"/>
              </w:rPr>
              <w:t>)</w:t>
            </w:r>
          </w:p>
        </w:tc>
      </w:tr>
      <w:tr w:rsidR="001538BA" w:rsidRPr="001538BA" w14:paraId="212AD39C" w14:textId="77777777" w:rsidTr="0099507B">
        <w:trPr>
          <w:trHeight w:val="311"/>
        </w:trPr>
        <w:tc>
          <w:tcPr>
            <w:tcW w:w="5596" w:type="dxa"/>
            <w:tcBorders>
              <w:top w:val="nil"/>
              <w:left w:val="nil"/>
              <w:bottom w:val="nil"/>
              <w:right w:val="nil"/>
            </w:tcBorders>
            <w:shd w:val="clear" w:color="auto" w:fill="auto"/>
            <w:noWrap/>
            <w:vAlign w:val="center"/>
            <w:hideMark/>
          </w:tcPr>
          <w:p w14:paraId="6E2578D8" w14:textId="77777777" w:rsidR="001538BA" w:rsidRPr="001538BA" w:rsidRDefault="001538BA" w:rsidP="00CA3946">
            <w:pPr>
              <w:spacing w:line="360" w:lineRule="auto"/>
              <w:ind w:firstLineChars="300" w:firstLine="720"/>
              <w:rPr>
                <w:rFonts w:ascii="Book Antiqua" w:eastAsia="宋体" w:hAnsi="Book Antiqua" w:cs="宋体"/>
                <w:color w:val="000000"/>
                <w:lang w:eastAsia="zh-CN"/>
              </w:rPr>
            </w:pPr>
            <w:r w:rsidRPr="001538BA">
              <w:rPr>
                <w:rFonts w:ascii="Book Antiqua" w:eastAsia="宋体" w:hAnsi="Book Antiqua" w:cs="宋体"/>
                <w:color w:val="000000"/>
                <w:lang w:eastAsia="zh-CN"/>
              </w:rPr>
              <w:t>Severe (&gt;</w:t>
            </w:r>
            <w:r>
              <w:rPr>
                <w:rFonts w:ascii="Book Antiqua" w:eastAsia="宋体" w:hAnsi="Book Antiqua" w:cs="宋体" w:hint="eastAsia"/>
                <w:color w:val="000000"/>
                <w:lang w:eastAsia="zh-CN"/>
              </w:rPr>
              <w:t xml:space="preserve"> </w:t>
            </w:r>
            <w:r w:rsidRPr="001538BA">
              <w:rPr>
                <w:rFonts w:ascii="Book Antiqua" w:eastAsia="宋体" w:hAnsi="Book Antiqua" w:cs="宋体"/>
                <w:color w:val="000000"/>
                <w:lang w:eastAsia="zh-CN"/>
              </w:rPr>
              <w:t>20 mm)</w:t>
            </w:r>
          </w:p>
        </w:tc>
        <w:tc>
          <w:tcPr>
            <w:tcW w:w="1287" w:type="dxa"/>
            <w:tcBorders>
              <w:top w:val="nil"/>
              <w:left w:val="nil"/>
              <w:bottom w:val="nil"/>
              <w:right w:val="nil"/>
            </w:tcBorders>
            <w:shd w:val="clear" w:color="auto" w:fill="auto"/>
            <w:noWrap/>
            <w:vAlign w:val="center"/>
            <w:hideMark/>
          </w:tcPr>
          <w:p w14:paraId="2E99F579" w14:textId="77777777" w:rsidR="001538BA" w:rsidRPr="001538BA" w:rsidRDefault="001538BA" w:rsidP="00CA3946">
            <w:pPr>
              <w:spacing w:line="360" w:lineRule="auto"/>
              <w:rPr>
                <w:rFonts w:ascii="Book Antiqua" w:eastAsia="宋体" w:hAnsi="Book Antiqua" w:cs="宋体"/>
                <w:color w:val="000000"/>
                <w:lang w:eastAsia="zh-CN"/>
              </w:rPr>
            </w:pPr>
            <w:r w:rsidRPr="001538BA">
              <w:rPr>
                <w:rFonts w:ascii="Book Antiqua" w:eastAsia="宋体" w:hAnsi="Book Antiqua" w:cs="宋体"/>
                <w:color w:val="000000"/>
                <w:lang w:eastAsia="zh-CN"/>
              </w:rPr>
              <w:t>41 (19</w:t>
            </w:r>
            <w:r>
              <w:rPr>
                <w:rFonts w:ascii="Book Antiqua" w:eastAsia="宋体" w:hAnsi="Book Antiqua" w:cs="宋体"/>
                <w:color w:val="000000"/>
                <w:lang w:eastAsia="zh-CN"/>
              </w:rPr>
              <w:t>)</w:t>
            </w:r>
          </w:p>
        </w:tc>
        <w:tc>
          <w:tcPr>
            <w:tcW w:w="1220" w:type="dxa"/>
            <w:tcBorders>
              <w:top w:val="nil"/>
              <w:left w:val="nil"/>
              <w:bottom w:val="nil"/>
              <w:right w:val="nil"/>
            </w:tcBorders>
            <w:shd w:val="clear" w:color="auto" w:fill="auto"/>
            <w:noWrap/>
            <w:vAlign w:val="center"/>
            <w:hideMark/>
          </w:tcPr>
          <w:p w14:paraId="636AF84C" w14:textId="77777777" w:rsidR="001538BA" w:rsidRPr="001538BA" w:rsidRDefault="001538BA" w:rsidP="00CA3946">
            <w:pPr>
              <w:spacing w:line="360" w:lineRule="auto"/>
              <w:rPr>
                <w:rFonts w:ascii="Book Antiqua" w:eastAsia="宋体" w:hAnsi="Book Antiqua" w:cs="宋体"/>
                <w:color w:val="000000"/>
                <w:lang w:eastAsia="zh-CN"/>
              </w:rPr>
            </w:pPr>
            <w:r w:rsidRPr="001538BA">
              <w:rPr>
                <w:rFonts w:ascii="Book Antiqua" w:eastAsia="宋体" w:hAnsi="Book Antiqua" w:cs="宋体"/>
                <w:color w:val="000000"/>
                <w:lang w:eastAsia="zh-CN"/>
              </w:rPr>
              <w:t>25 (19</w:t>
            </w:r>
            <w:r>
              <w:rPr>
                <w:rFonts w:ascii="Book Antiqua" w:eastAsia="宋体" w:hAnsi="Book Antiqua" w:cs="宋体"/>
                <w:color w:val="000000"/>
                <w:lang w:eastAsia="zh-CN"/>
              </w:rPr>
              <w:t>)</w:t>
            </w:r>
          </w:p>
        </w:tc>
        <w:tc>
          <w:tcPr>
            <w:tcW w:w="1214" w:type="dxa"/>
            <w:tcBorders>
              <w:top w:val="nil"/>
              <w:left w:val="nil"/>
              <w:bottom w:val="nil"/>
              <w:right w:val="nil"/>
            </w:tcBorders>
            <w:shd w:val="clear" w:color="auto" w:fill="auto"/>
            <w:noWrap/>
            <w:vAlign w:val="center"/>
            <w:hideMark/>
          </w:tcPr>
          <w:p w14:paraId="19C4778B" w14:textId="77777777" w:rsidR="001538BA" w:rsidRPr="001538BA" w:rsidRDefault="001538BA" w:rsidP="00CA3946">
            <w:pPr>
              <w:spacing w:line="360" w:lineRule="auto"/>
              <w:rPr>
                <w:rFonts w:ascii="Book Antiqua" w:eastAsia="宋体" w:hAnsi="Book Antiqua" w:cs="宋体"/>
                <w:color w:val="000000"/>
                <w:lang w:eastAsia="zh-CN"/>
              </w:rPr>
            </w:pPr>
            <w:r w:rsidRPr="001538BA">
              <w:rPr>
                <w:rFonts w:ascii="Book Antiqua" w:eastAsia="宋体" w:hAnsi="Book Antiqua" w:cs="宋体"/>
                <w:color w:val="000000"/>
                <w:lang w:eastAsia="zh-CN"/>
              </w:rPr>
              <w:t>16 (18</w:t>
            </w:r>
            <w:r>
              <w:rPr>
                <w:rFonts w:ascii="Book Antiqua" w:eastAsia="宋体" w:hAnsi="Book Antiqua" w:cs="宋体"/>
                <w:color w:val="000000"/>
                <w:lang w:eastAsia="zh-CN"/>
              </w:rPr>
              <w:t>)</w:t>
            </w:r>
          </w:p>
        </w:tc>
      </w:tr>
      <w:tr w:rsidR="001538BA" w:rsidRPr="001538BA" w14:paraId="037FCF0E" w14:textId="77777777" w:rsidTr="0099507B">
        <w:trPr>
          <w:trHeight w:val="311"/>
        </w:trPr>
        <w:tc>
          <w:tcPr>
            <w:tcW w:w="5596" w:type="dxa"/>
            <w:tcBorders>
              <w:top w:val="nil"/>
              <w:left w:val="nil"/>
              <w:bottom w:val="nil"/>
              <w:right w:val="nil"/>
            </w:tcBorders>
            <w:shd w:val="clear" w:color="auto" w:fill="auto"/>
            <w:noWrap/>
            <w:vAlign w:val="center"/>
            <w:hideMark/>
          </w:tcPr>
          <w:p w14:paraId="0304BF6C" w14:textId="77777777" w:rsidR="001538BA" w:rsidRPr="001538BA" w:rsidRDefault="001538BA" w:rsidP="00CA3946">
            <w:pPr>
              <w:spacing w:line="360" w:lineRule="auto"/>
              <w:ind w:firstLineChars="300" w:firstLine="720"/>
              <w:rPr>
                <w:rFonts w:ascii="Book Antiqua" w:eastAsia="宋体" w:hAnsi="Book Antiqua" w:cs="宋体"/>
                <w:color w:val="000000"/>
                <w:lang w:eastAsia="zh-CN"/>
              </w:rPr>
            </w:pPr>
            <w:r w:rsidRPr="001538BA">
              <w:rPr>
                <w:rFonts w:ascii="Book Antiqua" w:eastAsia="宋体" w:hAnsi="Book Antiqua" w:cs="宋体"/>
                <w:color w:val="000000"/>
                <w:lang w:eastAsia="zh-CN"/>
              </w:rPr>
              <w:t>Fibrotic stenosis</w:t>
            </w:r>
          </w:p>
        </w:tc>
        <w:tc>
          <w:tcPr>
            <w:tcW w:w="1287" w:type="dxa"/>
            <w:tcBorders>
              <w:top w:val="nil"/>
              <w:left w:val="nil"/>
              <w:bottom w:val="nil"/>
              <w:right w:val="nil"/>
            </w:tcBorders>
            <w:shd w:val="clear" w:color="auto" w:fill="auto"/>
            <w:noWrap/>
            <w:vAlign w:val="center"/>
            <w:hideMark/>
          </w:tcPr>
          <w:p w14:paraId="68304B1A" w14:textId="77777777" w:rsidR="001538BA" w:rsidRPr="001538BA" w:rsidRDefault="001538BA" w:rsidP="00CA3946">
            <w:pPr>
              <w:spacing w:line="360" w:lineRule="auto"/>
              <w:rPr>
                <w:rFonts w:ascii="Book Antiqua" w:eastAsia="宋体" w:hAnsi="Book Antiqua" w:cs="宋体"/>
                <w:color w:val="000000"/>
                <w:lang w:eastAsia="zh-CN"/>
              </w:rPr>
            </w:pPr>
            <w:r w:rsidRPr="001538BA">
              <w:rPr>
                <w:rFonts w:ascii="Book Antiqua" w:eastAsia="宋体" w:hAnsi="Book Antiqua" w:cs="宋体"/>
                <w:color w:val="000000"/>
                <w:lang w:eastAsia="zh-CN"/>
              </w:rPr>
              <w:t>7 (3</w:t>
            </w:r>
            <w:r>
              <w:rPr>
                <w:rFonts w:ascii="Book Antiqua" w:eastAsia="宋体" w:hAnsi="Book Antiqua" w:cs="宋体"/>
                <w:color w:val="000000"/>
                <w:lang w:eastAsia="zh-CN"/>
              </w:rPr>
              <w:t>)</w:t>
            </w:r>
          </w:p>
        </w:tc>
        <w:tc>
          <w:tcPr>
            <w:tcW w:w="1220" w:type="dxa"/>
            <w:tcBorders>
              <w:top w:val="nil"/>
              <w:left w:val="nil"/>
              <w:bottom w:val="nil"/>
              <w:right w:val="nil"/>
            </w:tcBorders>
            <w:shd w:val="clear" w:color="auto" w:fill="auto"/>
            <w:noWrap/>
            <w:vAlign w:val="center"/>
            <w:hideMark/>
          </w:tcPr>
          <w:p w14:paraId="1FBE1F7B" w14:textId="77777777" w:rsidR="001538BA" w:rsidRPr="001538BA" w:rsidRDefault="001538BA" w:rsidP="00CA3946">
            <w:pPr>
              <w:spacing w:line="360" w:lineRule="auto"/>
              <w:rPr>
                <w:rFonts w:ascii="Book Antiqua" w:eastAsia="宋体" w:hAnsi="Book Antiqua" w:cs="宋体"/>
                <w:color w:val="000000"/>
                <w:lang w:eastAsia="zh-CN"/>
              </w:rPr>
            </w:pPr>
            <w:r w:rsidRPr="001538BA">
              <w:rPr>
                <w:rFonts w:ascii="Book Antiqua" w:eastAsia="宋体" w:hAnsi="Book Antiqua" w:cs="宋体"/>
                <w:color w:val="000000"/>
                <w:lang w:eastAsia="zh-CN"/>
              </w:rPr>
              <w:t>7 (5</w:t>
            </w:r>
            <w:r>
              <w:rPr>
                <w:rFonts w:ascii="Book Antiqua" w:eastAsia="宋体" w:hAnsi="Book Antiqua" w:cs="宋体"/>
                <w:color w:val="000000"/>
                <w:lang w:eastAsia="zh-CN"/>
              </w:rPr>
              <w:t>)</w:t>
            </w:r>
          </w:p>
        </w:tc>
        <w:tc>
          <w:tcPr>
            <w:tcW w:w="1214" w:type="dxa"/>
            <w:tcBorders>
              <w:top w:val="nil"/>
              <w:left w:val="nil"/>
              <w:bottom w:val="nil"/>
              <w:right w:val="nil"/>
            </w:tcBorders>
            <w:shd w:val="clear" w:color="auto" w:fill="auto"/>
            <w:noWrap/>
            <w:vAlign w:val="center"/>
            <w:hideMark/>
          </w:tcPr>
          <w:p w14:paraId="5BCA85E7" w14:textId="77777777" w:rsidR="001538BA" w:rsidRPr="001538BA" w:rsidRDefault="001538BA" w:rsidP="00CA3946">
            <w:pPr>
              <w:spacing w:line="360" w:lineRule="auto"/>
              <w:rPr>
                <w:rFonts w:ascii="Book Antiqua" w:eastAsia="宋体" w:hAnsi="Book Antiqua" w:cs="宋体"/>
                <w:color w:val="000000"/>
                <w:lang w:eastAsia="zh-CN"/>
              </w:rPr>
            </w:pPr>
            <w:r w:rsidRPr="001538BA">
              <w:rPr>
                <w:rFonts w:ascii="Book Antiqua" w:eastAsia="宋体" w:hAnsi="Book Antiqua" w:cs="宋体"/>
                <w:color w:val="000000"/>
                <w:lang w:eastAsia="zh-CN"/>
              </w:rPr>
              <w:t>0 (0</w:t>
            </w:r>
            <w:r>
              <w:rPr>
                <w:rFonts w:ascii="Book Antiqua" w:eastAsia="宋体" w:hAnsi="Book Antiqua" w:cs="宋体"/>
                <w:color w:val="000000"/>
                <w:lang w:eastAsia="zh-CN"/>
              </w:rPr>
              <w:t>)</w:t>
            </w:r>
          </w:p>
        </w:tc>
      </w:tr>
      <w:tr w:rsidR="001538BA" w:rsidRPr="001538BA" w14:paraId="69813CBF" w14:textId="77777777" w:rsidTr="0099507B">
        <w:trPr>
          <w:trHeight w:val="311"/>
        </w:trPr>
        <w:tc>
          <w:tcPr>
            <w:tcW w:w="5596" w:type="dxa"/>
            <w:tcBorders>
              <w:top w:val="nil"/>
              <w:left w:val="nil"/>
              <w:bottom w:val="nil"/>
              <w:right w:val="nil"/>
            </w:tcBorders>
            <w:shd w:val="clear" w:color="auto" w:fill="auto"/>
            <w:noWrap/>
            <w:vAlign w:val="center"/>
            <w:hideMark/>
          </w:tcPr>
          <w:p w14:paraId="59370149" w14:textId="77777777" w:rsidR="001538BA" w:rsidRPr="001538BA" w:rsidRDefault="001538BA" w:rsidP="00CA3946">
            <w:pPr>
              <w:spacing w:line="360" w:lineRule="auto"/>
              <w:ind w:firstLineChars="300" w:firstLine="720"/>
              <w:rPr>
                <w:rFonts w:ascii="Book Antiqua" w:eastAsia="宋体" w:hAnsi="Book Antiqua" w:cs="宋体"/>
                <w:color w:val="000000"/>
                <w:lang w:eastAsia="zh-CN"/>
              </w:rPr>
            </w:pPr>
            <w:r w:rsidRPr="001538BA">
              <w:rPr>
                <w:rFonts w:ascii="Book Antiqua" w:eastAsia="宋体" w:hAnsi="Book Antiqua" w:cs="宋体"/>
                <w:color w:val="000000"/>
                <w:lang w:eastAsia="zh-CN"/>
              </w:rPr>
              <w:t>Not performed</w:t>
            </w:r>
          </w:p>
        </w:tc>
        <w:tc>
          <w:tcPr>
            <w:tcW w:w="1287" w:type="dxa"/>
            <w:tcBorders>
              <w:top w:val="nil"/>
              <w:left w:val="nil"/>
              <w:bottom w:val="nil"/>
              <w:right w:val="nil"/>
            </w:tcBorders>
            <w:shd w:val="clear" w:color="auto" w:fill="auto"/>
            <w:noWrap/>
            <w:vAlign w:val="center"/>
            <w:hideMark/>
          </w:tcPr>
          <w:p w14:paraId="2E392603" w14:textId="77777777" w:rsidR="001538BA" w:rsidRPr="001538BA" w:rsidRDefault="001538BA" w:rsidP="00CA3946">
            <w:pPr>
              <w:spacing w:line="360" w:lineRule="auto"/>
              <w:rPr>
                <w:rFonts w:ascii="Book Antiqua" w:eastAsia="宋体" w:hAnsi="Book Antiqua" w:cs="宋体"/>
                <w:color w:val="000000"/>
                <w:lang w:eastAsia="zh-CN"/>
              </w:rPr>
            </w:pPr>
            <w:r w:rsidRPr="001538BA">
              <w:rPr>
                <w:rFonts w:ascii="Book Antiqua" w:eastAsia="宋体" w:hAnsi="Book Antiqua" w:cs="宋体"/>
                <w:color w:val="000000"/>
                <w:lang w:eastAsia="zh-CN"/>
              </w:rPr>
              <w:t>102 (46</w:t>
            </w:r>
            <w:r>
              <w:rPr>
                <w:rFonts w:ascii="Book Antiqua" w:eastAsia="宋体" w:hAnsi="Book Antiqua" w:cs="宋体"/>
                <w:color w:val="000000"/>
                <w:lang w:eastAsia="zh-CN"/>
              </w:rPr>
              <w:t>)</w:t>
            </w:r>
          </w:p>
        </w:tc>
        <w:tc>
          <w:tcPr>
            <w:tcW w:w="1220" w:type="dxa"/>
            <w:tcBorders>
              <w:top w:val="nil"/>
              <w:left w:val="nil"/>
              <w:bottom w:val="nil"/>
              <w:right w:val="nil"/>
            </w:tcBorders>
            <w:shd w:val="clear" w:color="auto" w:fill="auto"/>
            <w:noWrap/>
            <w:vAlign w:val="center"/>
            <w:hideMark/>
          </w:tcPr>
          <w:p w14:paraId="6174086B" w14:textId="77777777" w:rsidR="001538BA" w:rsidRPr="001538BA" w:rsidRDefault="001538BA" w:rsidP="00CA3946">
            <w:pPr>
              <w:spacing w:line="360" w:lineRule="auto"/>
              <w:rPr>
                <w:rFonts w:ascii="Book Antiqua" w:eastAsia="宋体" w:hAnsi="Book Antiqua" w:cs="宋体"/>
                <w:color w:val="000000"/>
                <w:lang w:eastAsia="zh-CN"/>
              </w:rPr>
            </w:pPr>
            <w:r w:rsidRPr="001538BA">
              <w:rPr>
                <w:rFonts w:ascii="Book Antiqua" w:eastAsia="宋体" w:hAnsi="Book Antiqua" w:cs="宋体"/>
                <w:color w:val="000000"/>
                <w:lang w:eastAsia="zh-CN"/>
              </w:rPr>
              <w:t>72 (54</w:t>
            </w:r>
            <w:r>
              <w:rPr>
                <w:rFonts w:ascii="Book Antiqua" w:eastAsia="宋体" w:hAnsi="Book Antiqua" w:cs="宋体"/>
                <w:color w:val="000000"/>
                <w:lang w:eastAsia="zh-CN"/>
              </w:rPr>
              <w:t>)</w:t>
            </w:r>
          </w:p>
        </w:tc>
        <w:tc>
          <w:tcPr>
            <w:tcW w:w="1214" w:type="dxa"/>
            <w:tcBorders>
              <w:top w:val="nil"/>
              <w:left w:val="nil"/>
              <w:bottom w:val="nil"/>
              <w:right w:val="nil"/>
            </w:tcBorders>
            <w:shd w:val="clear" w:color="auto" w:fill="auto"/>
            <w:noWrap/>
            <w:vAlign w:val="center"/>
            <w:hideMark/>
          </w:tcPr>
          <w:p w14:paraId="3B73EE14" w14:textId="77777777" w:rsidR="001538BA" w:rsidRPr="001538BA" w:rsidRDefault="001538BA" w:rsidP="00CA3946">
            <w:pPr>
              <w:spacing w:line="360" w:lineRule="auto"/>
              <w:rPr>
                <w:rFonts w:ascii="Book Antiqua" w:eastAsia="宋体" w:hAnsi="Book Antiqua" w:cs="宋体"/>
                <w:color w:val="000000"/>
                <w:lang w:eastAsia="zh-CN"/>
              </w:rPr>
            </w:pPr>
            <w:r w:rsidRPr="001538BA">
              <w:rPr>
                <w:rFonts w:ascii="Book Antiqua" w:eastAsia="宋体" w:hAnsi="Book Antiqua" w:cs="宋体"/>
                <w:color w:val="000000"/>
                <w:lang w:eastAsia="zh-CN"/>
              </w:rPr>
              <w:t>30 (34</w:t>
            </w:r>
            <w:r>
              <w:rPr>
                <w:rFonts w:ascii="Book Antiqua" w:eastAsia="宋体" w:hAnsi="Book Antiqua" w:cs="宋体"/>
                <w:color w:val="000000"/>
                <w:lang w:eastAsia="zh-CN"/>
              </w:rPr>
              <w:t>)</w:t>
            </w:r>
          </w:p>
        </w:tc>
      </w:tr>
      <w:tr w:rsidR="0099507B" w:rsidRPr="001538BA" w14:paraId="268440DD" w14:textId="77777777" w:rsidTr="0099507B">
        <w:trPr>
          <w:trHeight w:val="659"/>
        </w:trPr>
        <w:tc>
          <w:tcPr>
            <w:tcW w:w="9317" w:type="dxa"/>
            <w:gridSpan w:val="4"/>
            <w:tcBorders>
              <w:top w:val="nil"/>
              <w:left w:val="nil"/>
              <w:right w:val="nil"/>
            </w:tcBorders>
            <w:shd w:val="clear" w:color="auto" w:fill="auto"/>
            <w:noWrap/>
            <w:vAlign w:val="center"/>
            <w:hideMark/>
          </w:tcPr>
          <w:p w14:paraId="1E04502B" w14:textId="6E44F284" w:rsidR="0099507B" w:rsidRPr="001538BA" w:rsidRDefault="0099507B" w:rsidP="0083055D">
            <w:pPr>
              <w:spacing w:line="360" w:lineRule="auto"/>
              <w:rPr>
                <w:rFonts w:ascii="Book Antiqua" w:eastAsia="宋体" w:hAnsi="Book Antiqua" w:cs="宋体"/>
                <w:b/>
                <w:bCs/>
                <w:color w:val="000000"/>
                <w:lang w:eastAsia="zh-CN"/>
              </w:rPr>
            </w:pPr>
            <w:r w:rsidRPr="001538BA">
              <w:rPr>
                <w:rFonts w:ascii="Book Antiqua" w:eastAsia="宋体" w:hAnsi="Book Antiqua" w:cs="宋体"/>
                <w:b/>
                <w:bCs/>
                <w:color w:val="000000"/>
                <w:lang w:eastAsia="zh-CN"/>
              </w:rPr>
              <w:t xml:space="preserve">Ultrasound findings (hyperemia of the bowel wall assessed by color </w:t>
            </w:r>
            <w:r w:rsidR="0083055D">
              <w:rPr>
                <w:rFonts w:ascii="Book Antiqua" w:eastAsia="宋体" w:hAnsi="Book Antiqua" w:cs="宋体"/>
                <w:b/>
                <w:bCs/>
                <w:color w:val="000000"/>
                <w:lang w:eastAsia="zh-CN"/>
              </w:rPr>
              <w:t>D</w:t>
            </w:r>
            <w:r w:rsidRPr="001538BA">
              <w:rPr>
                <w:rFonts w:ascii="Book Antiqua" w:eastAsia="宋体" w:hAnsi="Book Antiqua" w:cs="宋体"/>
                <w:b/>
                <w:bCs/>
                <w:color w:val="000000"/>
                <w:lang w:eastAsia="zh-CN"/>
              </w:rPr>
              <w:t>oppler ultrasound)</w:t>
            </w:r>
          </w:p>
        </w:tc>
      </w:tr>
      <w:tr w:rsidR="001538BA" w:rsidRPr="001538BA" w14:paraId="025F544F" w14:textId="77777777" w:rsidTr="0099507B">
        <w:trPr>
          <w:trHeight w:val="311"/>
        </w:trPr>
        <w:tc>
          <w:tcPr>
            <w:tcW w:w="5596" w:type="dxa"/>
            <w:tcBorders>
              <w:top w:val="nil"/>
              <w:left w:val="nil"/>
              <w:bottom w:val="nil"/>
              <w:right w:val="nil"/>
            </w:tcBorders>
            <w:shd w:val="clear" w:color="auto" w:fill="auto"/>
            <w:noWrap/>
            <w:vAlign w:val="center"/>
            <w:hideMark/>
          </w:tcPr>
          <w:p w14:paraId="73748175" w14:textId="77777777" w:rsidR="001538BA" w:rsidRPr="001538BA" w:rsidRDefault="001538BA" w:rsidP="00CA3946">
            <w:pPr>
              <w:spacing w:line="360" w:lineRule="auto"/>
              <w:ind w:firstLineChars="300" w:firstLine="720"/>
              <w:rPr>
                <w:rFonts w:ascii="Book Antiqua" w:eastAsia="宋体" w:hAnsi="Book Antiqua" w:cs="宋体"/>
                <w:color w:val="000000"/>
                <w:lang w:eastAsia="zh-CN"/>
              </w:rPr>
            </w:pPr>
            <w:r w:rsidRPr="001538BA">
              <w:rPr>
                <w:rFonts w:ascii="Book Antiqua" w:eastAsia="宋体" w:hAnsi="Book Antiqua" w:cs="宋体"/>
                <w:color w:val="000000"/>
                <w:lang w:eastAsia="zh-CN"/>
              </w:rPr>
              <w:t>Unaffected</w:t>
            </w:r>
          </w:p>
        </w:tc>
        <w:tc>
          <w:tcPr>
            <w:tcW w:w="1287" w:type="dxa"/>
            <w:tcBorders>
              <w:top w:val="nil"/>
              <w:left w:val="nil"/>
              <w:bottom w:val="nil"/>
              <w:right w:val="nil"/>
            </w:tcBorders>
            <w:shd w:val="clear" w:color="auto" w:fill="auto"/>
            <w:noWrap/>
            <w:vAlign w:val="center"/>
            <w:hideMark/>
          </w:tcPr>
          <w:p w14:paraId="57975FF0" w14:textId="77777777" w:rsidR="001538BA" w:rsidRPr="001538BA" w:rsidRDefault="001538BA" w:rsidP="00CA3946">
            <w:pPr>
              <w:spacing w:line="360" w:lineRule="auto"/>
              <w:rPr>
                <w:rFonts w:ascii="Book Antiqua" w:eastAsia="宋体" w:hAnsi="Book Antiqua" w:cs="宋体"/>
                <w:color w:val="000000"/>
                <w:lang w:eastAsia="zh-CN"/>
              </w:rPr>
            </w:pPr>
            <w:r w:rsidRPr="001538BA">
              <w:rPr>
                <w:rFonts w:ascii="Book Antiqua" w:eastAsia="宋体" w:hAnsi="Book Antiqua" w:cs="宋体"/>
                <w:color w:val="000000"/>
                <w:lang w:eastAsia="zh-CN"/>
              </w:rPr>
              <w:t>5 (2</w:t>
            </w:r>
            <w:r>
              <w:rPr>
                <w:rFonts w:ascii="Book Antiqua" w:eastAsia="宋体" w:hAnsi="Book Antiqua" w:cs="宋体"/>
                <w:color w:val="000000"/>
                <w:lang w:eastAsia="zh-CN"/>
              </w:rPr>
              <w:t>)</w:t>
            </w:r>
          </w:p>
        </w:tc>
        <w:tc>
          <w:tcPr>
            <w:tcW w:w="1220" w:type="dxa"/>
            <w:tcBorders>
              <w:top w:val="nil"/>
              <w:left w:val="nil"/>
              <w:bottom w:val="nil"/>
              <w:right w:val="nil"/>
            </w:tcBorders>
            <w:shd w:val="clear" w:color="auto" w:fill="auto"/>
            <w:noWrap/>
            <w:vAlign w:val="center"/>
            <w:hideMark/>
          </w:tcPr>
          <w:p w14:paraId="65484C88" w14:textId="77777777" w:rsidR="001538BA" w:rsidRPr="001538BA" w:rsidRDefault="001538BA" w:rsidP="00CA3946">
            <w:pPr>
              <w:spacing w:line="360" w:lineRule="auto"/>
              <w:rPr>
                <w:rFonts w:ascii="Book Antiqua" w:eastAsia="宋体" w:hAnsi="Book Antiqua" w:cs="宋体"/>
                <w:color w:val="000000"/>
                <w:lang w:eastAsia="zh-CN"/>
              </w:rPr>
            </w:pPr>
            <w:r w:rsidRPr="001538BA">
              <w:rPr>
                <w:rFonts w:ascii="Book Antiqua" w:eastAsia="宋体" w:hAnsi="Book Antiqua" w:cs="宋体"/>
                <w:color w:val="000000"/>
                <w:lang w:eastAsia="zh-CN"/>
              </w:rPr>
              <w:t>5 (4</w:t>
            </w:r>
            <w:r>
              <w:rPr>
                <w:rFonts w:ascii="Book Antiqua" w:eastAsia="宋体" w:hAnsi="Book Antiqua" w:cs="宋体"/>
                <w:color w:val="000000"/>
                <w:lang w:eastAsia="zh-CN"/>
              </w:rPr>
              <w:t>)</w:t>
            </w:r>
          </w:p>
        </w:tc>
        <w:tc>
          <w:tcPr>
            <w:tcW w:w="1214" w:type="dxa"/>
            <w:tcBorders>
              <w:top w:val="nil"/>
              <w:left w:val="nil"/>
              <w:bottom w:val="nil"/>
              <w:right w:val="nil"/>
            </w:tcBorders>
            <w:shd w:val="clear" w:color="auto" w:fill="auto"/>
            <w:noWrap/>
            <w:vAlign w:val="center"/>
            <w:hideMark/>
          </w:tcPr>
          <w:p w14:paraId="21ACEF26" w14:textId="77777777" w:rsidR="001538BA" w:rsidRPr="001538BA" w:rsidRDefault="001538BA" w:rsidP="00CA3946">
            <w:pPr>
              <w:spacing w:line="360" w:lineRule="auto"/>
              <w:rPr>
                <w:rFonts w:ascii="Book Antiqua" w:eastAsia="宋体" w:hAnsi="Book Antiqua" w:cs="宋体"/>
                <w:color w:val="000000"/>
                <w:lang w:eastAsia="zh-CN"/>
              </w:rPr>
            </w:pPr>
            <w:r w:rsidRPr="001538BA">
              <w:rPr>
                <w:rFonts w:ascii="Book Antiqua" w:eastAsia="宋体" w:hAnsi="Book Antiqua" w:cs="宋体"/>
                <w:color w:val="000000"/>
                <w:lang w:eastAsia="zh-CN"/>
              </w:rPr>
              <w:t>-</w:t>
            </w:r>
          </w:p>
        </w:tc>
      </w:tr>
      <w:tr w:rsidR="001538BA" w:rsidRPr="001538BA" w14:paraId="09A18AFA" w14:textId="77777777" w:rsidTr="0099507B">
        <w:trPr>
          <w:trHeight w:val="371"/>
        </w:trPr>
        <w:tc>
          <w:tcPr>
            <w:tcW w:w="5596" w:type="dxa"/>
            <w:tcBorders>
              <w:top w:val="nil"/>
              <w:left w:val="nil"/>
              <w:bottom w:val="nil"/>
              <w:right w:val="nil"/>
            </w:tcBorders>
            <w:shd w:val="clear" w:color="auto" w:fill="auto"/>
            <w:noWrap/>
            <w:vAlign w:val="center"/>
            <w:hideMark/>
          </w:tcPr>
          <w:p w14:paraId="1E320376" w14:textId="77777777" w:rsidR="001538BA" w:rsidRPr="001538BA" w:rsidRDefault="001538BA" w:rsidP="00CA3946">
            <w:pPr>
              <w:spacing w:line="360" w:lineRule="auto"/>
              <w:ind w:firstLineChars="300" w:firstLine="720"/>
              <w:rPr>
                <w:rFonts w:ascii="Book Antiqua" w:eastAsia="宋体" w:hAnsi="Book Antiqua" w:cs="宋体"/>
                <w:color w:val="000000"/>
                <w:lang w:eastAsia="zh-CN"/>
              </w:rPr>
            </w:pPr>
            <w:r w:rsidRPr="001538BA">
              <w:rPr>
                <w:rFonts w:ascii="Book Antiqua" w:eastAsia="宋体" w:hAnsi="Book Antiqua" w:cs="宋体"/>
                <w:color w:val="000000"/>
                <w:lang w:eastAsia="zh-CN"/>
              </w:rPr>
              <w:t>Mild (2 signal dots/cm</w:t>
            </w:r>
            <w:r w:rsidRPr="001538BA">
              <w:rPr>
                <w:rFonts w:ascii="Book Antiqua" w:eastAsia="宋体" w:hAnsi="Book Antiqua" w:cs="宋体"/>
                <w:color w:val="000000"/>
                <w:vertAlign w:val="superscript"/>
                <w:lang w:eastAsia="zh-CN"/>
              </w:rPr>
              <w:t>2</w:t>
            </w:r>
            <w:r w:rsidRPr="001538BA">
              <w:rPr>
                <w:rFonts w:ascii="Book Antiqua" w:eastAsia="宋体" w:hAnsi="Book Antiqua" w:cs="宋体"/>
                <w:color w:val="000000"/>
                <w:lang w:eastAsia="zh-CN"/>
              </w:rPr>
              <w:t>)</w:t>
            </w:r>
          </w:p>
        </w:tc>
        <w:tc>
          <w:tcPr>
            <w:tcW w:w="1287" w:type="dxa"/>
            <w:tcBorders>
              <w:top w:val="nil"/>
              <w:left w:val="nil"/>
              <w:bottom w:val="nil"/>
              <w:right w:val="nil"/>
            </w:tcBorders>
            <w:shd w:val="clear" w:color="auto" w:fill="auto"/>
            <w:noWrap/>
            <w:vAlign w:val="center"/>
            <w:hideMark/>
          </w:tcPr>
          <w:p w14:paraId="7FBB9883" w14:textId="77777777" w:rsidR="001538BA" w:rsidRPr="001538BA" w:rsidRDefault="001538BA" w:rsidP="00CA3946">
            <w:pPr>
              <w:spacing w:line="360" w:lineRule="auto"/>
              <w:rPr>
                <w:rFonts w:ascii="Book Antiqua" w:eastAsia="宋体" w:hAnsi="Book Antiqua" w:cs="宋体"/>
                <w:color w:val="000000"/>
                <w:lang w:eastAsia="zh-CN"/>
              </w:rPr>
            </w:pPr>
            <w:r w:rsidRPr="001538BA">
              <w:rPr>
                <w:rFonts w:ascii="Book Antiqua" w:eastAsia="宋体" w:hAnsi="Book Antiqua" w:cs="宋体"/>
                <w:color w:val="000000"/>
                <w:lang w:eastAsia="zh-CN"/>
              </w:rPr>
              <w:t>7 (3</w:t>
            </w:r>
            <w:r>
              <w:rPr>
                <w:rFonts w:ascii="Book Antiqua" w:eastAsia="宋体" w:hAnsi="Book Antiqua" w:cs="宋体"/>
                <w:color w:val="000000"/>
                <w:lang w:eastAsia="zh-CN"/>
              </w:rPr>
              <w:t>)</w:t>
            </w:r>
          </w:p>
        </w:tc>
        <w:tc>
          <w:tcPr>
            <w:tcW w:w="1220" w:type="dxa"/>
            <w:tcBorders>
              <w:top w:val="nil"/>
              <w:left w:val="nil"/>
              <w:bottom w:val="nil"/>
              <w:right w:val="nil"/>
            </w:tcBorders>
            <w:shd w:val="clear" w:color="auto" w:fill="auto"/>
            <w:noWrap/>
            <w:vAlign w:val="center"/>
            <w:hideMark/>
          </w:tcPr>
          <w:p w14:paraId="5AD6D7D8" w14:textId="77777777" w:rsidR="001538BA" w:rsidRPr="001538BA" w:rsidRDefault="001538BA" w:rsidP="00CA3946">
            <w:pPr>
              <w:spacing w:line="360" w:lineRule="auto"/>
              <w:rPr>
                <w:rFonts w:ascii="Book Antiqua" w:eastAsia="宋体" w:hAnsi="Book Antiqua" w:cs="宋体"/>
                <w:color w:val="000000"/>
                <w:lang w:eastAsia="zh-CN"/>
              </w:rPr>
            </w:pPr>
            <w:r w:rsidRPr="001538BA">
              <w:rPr>
                <w:rFonts w:ascii="Book Antiqua" w:eastAsia="宋体" w:hAnsi="Book Antiqua" w:cs="宋体"/>
                <w:color w:val="000000"/>
                <w:lang w:eastAsia="zh-CN"/>
              </w:rPr>
              <w:t>7 (5</w:t>
            </w:r>
            <w:r>
              <w:rPr>
                <w:rFonts w:ascii="Book Antiqua" w:eastAsia="宋体" w:hAnsi="Book Antiqua" w:cs="宋体"/>
                <w:color w:val="000000"/>
                <w:lang w:eastAsia="zh-CN"/>
              </w:rPr>
              <w:t>)</w:t>
            </w:r>
          </w:p>
        </w:tc>
        <w:tc>
          <w:tcPr>
            <w:tcW w:w="1214" w:type="dxa"/>
            <w:tcBorders>
              <w:top w:val="nil"/>
              <w:left w:val="nil"/>
              <w:bottom w:val="nil"/>
              <w:right w:val="nil"/>
            </w:tcBorders>
            <w:shd w:val="clear" w:color="auto" w:fill="auto"/>
            <w:noWrap/>
            <w:vAlign w:val="center"/>
            <w:hideMark/>
          </w:tcPr>
          <w:p w14:paraId="7F2355DA" w14:textId="77777777" w:rsidR="001538BA" w:rsidRPr="001538BA" w:rsidRDefault="001538BA" w:rsidP="00CA3946">
            <w:pPr>
              <w:spacing w:line="360" w:lineRule="auto"/>
              <w:rPr>
                <w:rFonts w:ascii="Book Antiqua" w:eastAsia="宋体" w:hAnsi="Book Antiqua" w:cs="宋体"/>
                <w:color w:val="000000"/>
                <w:lang w:eastAsia="zh-CN"/>
              </w:rPr>
            </w:pPr>
            <w:r w:rsidRPr="001538BA">
              <w:rPr>
                <w:rFonts w:ascii="Book Antiqua" w:eastAsia="宋体" w:hAnsi="Book Antiqua" w:cs="宋体"/>
                <w:color w:val="000000"/>
                <w:lang w:eastAsia="zh-CN"/>
              </w:rPr>
              <w:t>-</w:t>
            </w:r>
          </w:p>
        </w:tc>
      </w:tr>
      <w:tr w:rsidR="001538BA" w:rsidRPr="001538BA" w14:paraId="4E84FBF6" w14:textId="77777777" w:rsidTr="0099507B">
        <w:trPr>
          <w:trHeight w:val="311"/>
        </w:trPr>
        <w:tc>
          <w:tcPr>
            <w:tcW w:w="6883" w:type="dxa"/>
            <w:gridSpan w:val="2"/>
            <w:tcBorders>
              <w:top w:val="nil"/>
              <w:left w:val="nil"/>
              <w:bottom w:val="nil"/>
              <w:right w:val="nil"/>
            </w:tcBorders>
            <w:shd w:val="clear" w:color="auto" w:fill="auto"/>
            <w:noWrap/>
            <w:vAlign w:val="center"/>
            <w:hideMark/>
          </w:tcPr>
          <w:p w14:paraId="155D5930" w14:textId="77777777" w:rsidR="001538BA" w:rsidRPr="001538BA" w:rsidRDefault="001538BA" w:rsidP="00CA3946">
            <w:pPr>
              <w:spacing w:line="360" w:lineRule="auto"/>
              <w:ind w:firstLineChars="300" w:firstLine="720"/>
              <w:rPr>
                <w:rFonts w:ascii="Book Antiqua" w:eastAsia="宋体" w:hAnsi="Book Antiqua" w:cs="宋体"/>
                <w:color w:val="000000"/>
                <w:lang w:eastAsia="zh-CN"/>
              </w:rPr>
            </w:pPr>
            <w:r w:rsidRPr="001538BA">
              <w:rPr>
                <w:rFonts w:ascii="Book Antiqua" w:eastAsia="宋体" w:hAnsi="Book Antiqua" w:cs="宋体"/>
                <w:color w:val="000000"/>
                <w:lang w:eastAsia="zh-CN"/>
              </w:rPr>
              <w:t xml:space="preserve">Moderate </w:t>
            </w:r>
          </w:p>
        </w:tc>
        <w:tc>
          <w:tcPr>
            <w:tcW w:w="1220" w:type="dxa"/>
            <w:vMerge w:val="restart"/>
            <w:tcBorders>
              <w:top w:val="nil"/>
              <w:left w:val="nil"/>
              <w:bottom w:val="nil"/>
              <w:right w:val="nil"/>
            </w:tcBorders>
            <w:shd w:val="clear" w:color="auto" w:fill="auto"/>
            <w:noWrap/>
            <w:vAlign w:val="center"/>
            <w:hideMark/>
          </w:tcPr>
          <w:p w14:paraId="39333B0A" w14:textId="77777777" w:rsidR="001538BA" w:rsidRPr="001538BA" w:rsidRDefault="001538BA" w:rsidP="00CA3946">
            <w:pPr>
              <w:spacing w:line="360" w:lineRule="auto"/>
              <w:rPr>
                <w:rFonts w:ascii="Book Antiqua" w:eastAsia="宋体" w:hAnsi="Book Antiqua" w:cs="宋体"/>
                <w:color w:val="000000"/>
                <w:lang w:eastAsia="zh-CN"/>
              </w:rPr>
            </w:pPr>
            <w:r w:rsidRPr="001538BA">
              <w:rPr>
                <w:rFonts w:ascii="Book Antiqua" w:eastAsia="宋体" w:hAnsi="Book Antiqua" w:cs="宋体"/>
                <w:color w:val="000000"/>
                <w:lang w:eastAsia="zh-CN"/>
              </w:rPr>
              <w:t>34 (26</w:t>
            </w:r>
            <w:r>
              <w:rPr>
                <w:rFonts w:ascii="Book Antiqua" w:eastAsia="宋体" w:hAnsi="Book Antiqua" w:cs="宋体"/>
                <w:color w:val="000000"/>
                <w:lang w:eastAsia="zh-CN"/>
              </w:rPr>
              <w:t>)</w:t>
            </w:r>
          </w:p>
        </w:tc>
        <w:tc>
          <w:tcPr>
            <w:tcW w:w="1214" w:type="dxa"/>
            <w:vMerge w:val="restart"/>
            <w:tcBorders>
              <w:top w:val="nil"/>
              <w:left w:val="nil"/>
              <w:bottom w:val="nil"/>
              <w:right w:val="nil"/>
            </w:tcBorders>
            <w:shd w:val="clear" w:color="auto" w:fill="auto"/>
            <w:noWrap/>
            <w:vAlign w:val="center"/>
            <w:hideMark/>
          </w:tcPr>
          <w:p w14:paraId="7D6CB5BD" w14:textId="77777777" w:rsidR="001538BA" w:rsidRPr="001538BA" w:rsidRDefault="001538BA" w:rsidP="00CA3946">
            <w:pPr>
              <w:spacing w:line="360" w:lineRule="auto"/>
              <w:rPr>
                <w:rFonts w:ascii="Book Antiqua" w:eastAsia="宋体" w:hAnsi="Book Antiqua" w:cs="宋体"/>
                <w:color w:val="000000"/>
                <w:lang w:eastAsia="zh-CN"/>
              </w:rPr>
            </w:pPr>
            <w:r w:rsidRPr="001538BA">
              <w:rPr>
                <w:rFonts w:ascii="Book Antiqua" w:eastAsia="宋体" w:hAnsi="Book Antiqua" w:cs="宋体"/>
                <w:color w:val="000000"/>
                <w:lang w:eastAsia="zh-CN"/>
              </w:rPr>
              <w:t>-</w:t>
            </w:r>
          </w:p>
        </w:tc>
      </w:tr>
      <w:tr w:rsidR="001538BA" w:rsidRPr="001538BA" w14:paraId="2EF12565" w14:textId="77777777" w:rsidTr="0099507B">
        <w:trPr>
          <w:trHeight w:val="371"/>
        </w:trPr>
        <w:tc>
          <w:tcPr>
            <w:tcW w:w="5596" w:type="dxa"/>
            <w:tcBorders>
              <w:top w:val="nil"/>
              <w:left w:val="nil"/>
              <w:bottom w:val="nil"/>
              <w:right w:val="nil"/>
            </w:tcBorders>
            <w:shd w:val="clear" w:color="auto" w:fill="auto"/>
            <w:noWrap/>
            <w:vAlign w:val="center"/>
            <w:hideMark/>
          </w:tcPr>
          <w:p w14:paraId="5EC2E036" w14:textId="77777777" w:rsidR="001538BA" w:rsidRPr="001538BA" w:rsidRDefault="001538BA" w:rsidP="00CA3946">
            <w:pPr>
              <w:spacing w:line="360" w:lineRule="auto"/>
              <w:ind w:firstLineChars="300" w:firstLine="720"/>
              <w:rPr>
                <w:rFonts w:ascii="Book Antiqua" w:eastAsia="宋体" w:hAnsi="Book Antiqua" w:cs="宋体"/>
                <w:color w:val="000000"/>
                <w:lang w:eastAsia="zh-CN"/>
              </w:rPr>
            </w:pPr>
            <w:r w:rsidRPr="001538BA">
              <w:rPr>
                <w:rFonts w:ascii="Book Antiqua" w:eastAsia="宋体" w:hAnsi="Book Antiqua" w:cs="宋体"/>
                <w:color w:val="000000"/>
                <w:lang w:eastAsia="zh-CN"/>
              </w:rPr>
              <w:t>(3-5 signal dots/cm</w:t>
            </w:r>
            <w:r w:rsidRPr="001538BA">
              <w:rPr>
                <w:rFonts w:ascii="Book Antiqua" w:eastAsia="宋体" w:hAnsi="Book Antiqua" w:cs="宋体"/>
                <w:color w:val="000000"/>
                <w:vertAlign w:val="superscript"/>
                <w:lang w:eastAsia="zh-CN"/>
              </w:rPr>
              <w:t>2</w:t>
            </w:r>
            <w:r w:rsidRPr="001538BA">
              <w:rPr>
                <w:rFonts w:ascii="Book Antiqua" w:eastAsia="宋体" w:hAnsi="Book Antiqua" w:cs="宋体"/>
                <w:color w:val="000000"/>
                <w:lang w:eastAsia="zh-CN"/>
              </w:rPr>
              <w:t>)</w:t>
            </w:r>
          </w:p>
        </w:tc>
        <w:tc>
          <w:tcPr>
            <w:tcW w:w="1287" w:type="dxa"/>
            <w:tcBorders>
              <w:top w:val="nil"/>
              <w:left w:val="nil"/>
              <w:bottom w:val="nil"/>
              <w:right w:val="nil"/>
            </w:tcBorders>
            <w:shd w:val="clear" w:color="auto" w:fill="auto"/>
            <w:noWrap/>
            <w:vAlign w:val="center"/>
            <w:hideMark/>
          </w:tcPr>
          <w:p w14:paraId="75205B45" w14:textId="77777777" w:rsidR="001538BA" w:rsidRPr="001538BA" w:rsidRDefault="001538BA" w:rsidP="00CA3946">
            <w:pPr>
              <w:spacing w:line="360" w:lineRule="auto"/>
              <w:rPr>
                <w:rFonts w:ascii="Book Antiqua" w:eastAsia="宋体" w:hAnsi="Book Antiqua" w:cs="宋体"/>
                <w:color w:val="000000"/>
                <w:lang w:eastAsia="zh-CN"/>
              </w:rPr>
            </w:pPr>
            <w:r w:rsidRPr="001538BA">
              <w:rPr>
                <w:rFonts w:ascii="Book Antiqua" w:eastAsia="宋体" w:hAnsi="Book Antiqua" w:cs="宋体"/>
                <w:color w:val="000000"/>
                <w:lang w:eastAsia="zh-CN"/>
              </w:rPr>
              <w:t>34 (15</w:t>
            </w:r>
            <w:r>
              <w:rPr>
                <w:rFonts w:ascii="Book Antiqua" w:eastAsia="宋体" w:hAnsi="Book Antiqua" w:cs="宋体"/>
                <w:color w:val="000000"/>
                <w:lang w:eastAsia="zh-CN"/>
              </w:rPr>
              <w:t>)</w:t>
            </w:r>
          </w:p>
        </w:tc>
        <w:tc>
          <w:tcPr>
            <w:tcW w:w="1220" w:type="dxa"/>
            <w:vMerge/>
            <w:tcBorders>
              <w:top w:val="nil"/>
              <w:left w:val="nil"/>
              <w:bottom w:val="nil"/>
              <w:right w:val="nil"/>
            </w:tcBorders>
            <w:vAlign w:val="center"/>
            <w:hideMark/>
          </w:tcPr>
          <w:p w14:paraId="755A563B" w14:textId="77777777" w:rsidR="001538BA" w:rsidRPr="001538BA" w:rsidRDefault="001538BA" w:rsidP="00CA3946">
            <w:pPr>
              <w:spacing w:line="360" w:lineRule="auto"/>
              <w:rPr>
                <w:rFonts w:ascii="Book Antiqua" w:eastAsia="宋体" w:hAnsi="Book Antiqua" w:cs="宋体"/>
                <w:color w:val="000000"/>
                <w:lang w:eastAsia="zh-CN"/>
              </w:rPr>
            </w:pPr>
          </w:p>
        </w:tc>
        <w:tc>
          <w:tcPr>
            <w:tcW w:w="1214" w:type="dxa"/>
            <w:vMerge/>
            <w:tcBorders>
              <w:top w:val="nil"/>
              <w:left w:val="nil"/>
              <w:bottom w:val="nil"/>
              <w:right w:val="nil"/>
            </w:tcBorders>
            <w:vAlign w:val="center"/>
            <w:hideMark/>
          </w:tcPr>
          <w:p w14:paraId="25AB127E" w14:textId="77777777" w:rsidR="001538BA" w:rsidRPr="001538BA" w:rsidRDefault="001538BA" w:rsidP="00CA3946">
            <w:pPr>
              <w:spacing w:line="360" w:lineRule="auto"/>
              <w:rPr>
                <w:rFonts w:ascii="Book Antiqua" w:eastAsia="宋体" w:hAnsi="Book Antiqua" w:cs="宋体"/>
                <w:color w:val="000000"/>
                <w:lang w:eastAsia="zh-CN"/>
              </w:rPr>
            </w:pPr>
          </w:p>
        </w:tc>
      </w:tr>
      <w:tr w:rsidR="001538BA" w:rsidRPr="001538BA" w14:paraId="0210BBA1" w14:textId="77777777" w:rsidTr="0099507B">
        <w:trPr>
          <w:trHeight w:val="371"/>
        </w:trPr>
        <w:tc>
          <w:tcPr>
            <w:tcW w:w="5596" w:type="dxa"/>
            <w:tcBorders>
              <w:top w:val="nil"/>
              <w:left w:val="nil"/>
              <w:bottom w:val="nil"/>
              <w:right w:val="nil"/>
            </w:tcBorders>
            <w:shd w:val="clear" w:color="auto" w:fill="auto"/>
            <w:noWrap/>
            <w:vAlign w:val="center"/>
            <w:hideMark/>
          </w:tcPr>
          <w:p w14:paraId="74346150" w14:textId="77777777" w:rsidR="001538BA" w:rsidRPr="001538BA" w:rsidRDefault="001538BA" w:rsidP="00CA3946">
            <w:pPr>
              <w:spacing w:line="360" w:lineRule="auto"/>
              <w:ind w:firstLineChars="300" w:firstLine="720"/>
              <w:rPr>
                <w:rFonts w:ascii="Book Antiqua" w:eastAsia="宋体" w:hAnsi="Book Antiqua" w:cs="宋体"/>
                <w:color w:val="000000"/>
                <w:lang w:eastAsia="zh-CN"/>
              </w:rPr>
            </w:pPr>
            <w:r w:rsidRPr="001538BA">
              <w:rPr>
                <w:rFonts w:ascii="Book Antiqua" w:eastAsia="宋体" w:hAnsi="Book Antiqua" w:cs="宋体"/>
                <w:color w:val="000000"/>
                <w:lang w:eastAsia="zh-CN"/>
              </w:rPr>
              <w:t>Severe (&gt;</w:t>
            </w:r>
            <w:r>
              <w:rPr>
                <w:rFonts w:ascii="Book Antiqua" w:eastAsia="宋体" w:hAnsi="Book Antiqua" w:cs="宋体" w:hint="eastAsia"/>
                <w:color w:val="000000"/>
                <w:lang w:eastAsia="zh-CN"/>
              </w:rPr>
              <w:t xml:space="preserve"> </w:t>
            </w:r>
            <w:r w:rsidRPr="001538BA">
              <w:rPr>
                <w:rFonts w:ascii="Book Antiqua" w:eastAsia="宋体" w:hAnsi="Book Antiqua" w:cs="宋体"/>
                <w:color w:val="000000"/>
                <w:lang w:eastAsia="zh-CN"/>
              </w:rPr>
              <w:t>5 signal dots/cm</w:t>
            </w:r>
            <w:r w:rsidRPr="001538BA">
              <w:rPr>
                <w:rFonts w:ascii="Book Antiqua" w:eastAsia="宋体" w:hAnsi="Book Antiqua" w:cs="宋体"/>
                <w:color w:val="000000"/>
                <w:vertAlign w:val="superscript"/>
                <w:lang w:eastAsia="zh-CN"/>
              </w:rPr>
              <w:t>2</w:t>
            </w:r>
            <w:r w:rsidRPr="001538BA">
              <w:rPr>
                <w:rFonts w:ascii="Book Antiqua" w:eastAsia="宋体" w:hAnsi="Book Antiqua" w:cs="宋体"/>
                <w:color w:val="000000"/>
                <w:lang w:eastAsia="zh-CN"/>
              </w:rPr>
              <w:t>)</w:t>
            </w:r>
          </w:p>
        </w:tc>
        <w:tc>
          <w:tcPr>
            <w:tcW w:w="1287" w:type="dxa"/>
            <w:tcBorders>
              <w:top w:val="nil"/>
              <w:left w:val="nil"/>
              <w:bottom w:val="nil"/>
              <w:right w:val="nil"/>
            </w:tcBorders>
            <w:shd w:val="clear" w:color="auto" w:fill="auto"/>
            <w:noWrap/>
            <w:vAlign w:val="center"/>
            <w:hideMark/>
          </w:tcPr>
          <w:p w14:paraId="18864129" w14:textId="77777777" w:rsidR="001538BA" w:rsidRPr="001538BA" w:rsidRDefault="001538BA" w:rsidP="00CA3946">
            <w:pPr>
              <w:spacing w:line="360" w:lineRule="auto"/>
              <w:rPr>
                <w:rFonts w:ascii="Book Antiqua" w:eastAsia="宋体" w:hAnsi="Book Antiqua" w:cs="宋体"/>
                <w:color w:val="000000"/>
                <w:lang w:eastAsia="zh-CN"/>
              </w:rPr>
            </w:pPr>
            <w:r w:rsidRPr="001538BA">
              <w:rPr>
                <w:rFonts w:ascii="Book Antiqua" w:eastAsia="宋体" w:hAnsi="Book Antiqua" w:cs="宋体"/>
                <w:color w:val="000000"/>
                <w:lang w:eastAsia="zh-CN"/>
              </w:rPr>
              <w:t>22 (10</w:t>
            </w:r>
            <w:r>
              <w:rPr>
                <w:rFonts w:ascii="Book Antiqua" w:eastAsia="宋体" w:hAnsi="Book Antiqua" w:cs="宋体"/>
                <w:color w:val="000000"/>
                <w:lang w:eastAsia="zh-CN"/>
              </w:rPr>
              <w:t>)</w:t>
            </w:r>
          </w:p>
        </w:tc>
        <w:tc>
          <w:tcPr>
            <w:tcW w:w="1220" w:type="dxa"/>
            <w:tcBorders>
              <w:top w:val="nil"/>
              <w:left w:val="nil"/>
              <w:bottom w:val="nil"/>
              <w:right w:val="nil"/>
            </w:tcBorders>
            <w:shd w:val="clear" w:color="auto" w:fill="auto"/>
            <w:noWrap/>
            <w:vAlign w:val="center"/>
            <w:hideMark/>
          </w:tcPr>
          <w:p w14:paraId="717E888D" w14:textId="77777777" w:rsidR="001538BA" w:rsidRPr="001538BA" w:rsidRDefault="001538BA" w:rsidP="00CA3946">
            <w:pPr>
              <w:spacing w:line="360" w:lineRule="auto"/>
              <w:rPr>
                <w:rFonts w:ascii="Book Antiqua" w:eastAsia="宋体" w:hAnsi="Book Antiqua" w:cs="宋体"/>
                <w:color w:val="000000"/>
                <w:lang w:eastAsia="zh-CN"/>
              </w:rPr>
            </w:pPr>
            <w:r w:rsidRPr="001538BA">
              <w:rPr>
                <w:rFonts w:ascii="Book Antiqua" w:eastAsia="宋体" w:hAnsi="Book Antiqua" w:cs="宋体"/>
                <w:color w:val="000000"/>
                <w:lang w:eastAsia="zh-CN"/>
              </w:rPr>
              <w:t>22 (17</w:t>
            </w:r>
            <w:r>
              <w:rPr>
                <w:rFonts w:ascii="Book Antiqua" w:eastAsia="宋体" w:hAnsi="Book Antiqua" w:cs="宋体"/>
                <w:color w:val="000000"/>
                <w:lang w:eastAsia="zh-CN"/>
              </w:rPr>
              <w:t>)</w:t>
            </w:r>
          </w:p>
        </w:tc>
        <w:tc>
          <w:tcPr>
            <w:tcW w:w="1214" w:type="dxa"/>
            <w:tcBorders>
              <w:top w:val="nil"/>
              <w:left w:val="nil"/>
              <w:bottom w:val="nil"/>
              <w:right w:val="nil"/>
            </w:tcBorders>
            <w:shd w:val="clear" w:color="auto" w:fill="auto"/>
            <w:noWrap/>
            <w:vAlign w:val="center"/>
            <w:hideMark/>
          </w:tcPr>
          <w:p w14:paraId="1E496E14" w14:textId="77777777" w:rsidR="001538BA" w:rsidRPr="001538BA" w:rsidRDefault="001538BA" w:rsidP="00CA3946">
            <w:pPr>
              <w:spacing w:line="360" w:lineRule="auto"/>
              <w:rPr>
                <w:rFonts w:ascii="Book Antiqua" w:eastAsia="宋体" w:hAnsi="Book Antiqua" w:cs="宋体"/>
                <w:color w:val="000000"/>
                <w:lang w:eastAsia="zh-CN"/>
              </w:rPr>
            </w:pPr>
            <w:r w:rsidRPr="001538BA">
              <w:rPr>
                <w:rFonts w:ascii="Book Antiqua" w:eastAsia="宋体" w:hAnsi="Book Antiqua" w:cs="宋体"/>
                <w:color w:val="000000"/>
                <w:lang w:eastAsia="zh-CN"/>
              </w:rPr>
              <w:t>-</w:t>
            </w:r>
          </w:p>
        </w:tc>
      </w:tr>
      <w:tr w:rsidR="001538BA" w:rsidRPr="001538BA" w14:paraId="74F28DC2" w14:textId="77777777" w:rsidTr="0099507B">
        <w:trPr>
          <w:trHeight w:val="311"/>
        </w:trPr>
        <w:tc>
          <w:tcPr>
            <w:tcW w:w="5596" w:type="dxa"/>
            <w:tcBorders>
              <w:top w:val="nil"/>
              <w:left w:val="nil"/>
              <w:bottom w:val="nil"/>
              <w:right w:val="nil"/>
            </w:tcBorders>
            <w:shd w:val="clear" w:color="auto" w:fill="auto"/>
            <w:noWrap/>
            <w:vAlign w:val="center"/>
            <w:hideMark/>
          </w:tcPr>
          <w:p w14:paraId="56FAB21B" w14:textId="77777777" w:rsidR="001538BA" w:rsidRPr="001538BA" w:rsidRDefault="001538BA" w:rsidP="00CA3946">
            <w:pPr>
              <w:spacing w:line="360" w:lineRule="auto"/>
              <w:ind w:firstLineChars="300" w:firstLine="720"/>
              <w:rPr>
                <w:rFonts w:ascii="Book Antiqua" w:eastAsia="宋体" w:hAnsi="Book Antiqua" w:cs="宋体"/>
                <w:color w:val="000000"/>
                <w:lang w:eastAsia="zh-CN"/>
              </w:rPr>
            </w:pPr>
            <w:r w:rsidRPr="001538BA">
              <w:rPr>
                <w:rFonts w:ascii="Book Antiqua" w:eastAsia="宋体" w:hAnsi="Book Antiqua" w:cs="宋体"/>
                <w:color w:val="000000"/>
                <w:lang w:eastAsia="zh-CN"/>
              </w:rPr>
              <w:t>Not performed</w:t>
            </w:r>
          </w:p>
        </w:tc>
        <w:tc>
          <w:tcPr>
            <w:tcW w:w="1287" w:type="dxa"/>
            <w:tcBorders>
              <w:top w:val="nil"/>
              <w:left w:val="nil"/>
              <w:bottom w:val="nil"/>
              <w:right w:val="nil"/>
            </w:tcBorders>
            <w:shd w:val="clear" w:color="auto" w:fill="auto"/>
            <w:noWrap/>
            <w:vAlign w:val="center"/>
            <w:hideMark/>
          </w:tcPr>
          <w:p w14:paraId="6A8F8C80" w14:textId="77777777" w:rsidR="001538BA" w:rsidRPr="001538BA" w:rsidRDefault="001538BA" w:rsidP="00CA3946">
            <w:pPr>
              <w:spacing w:line="360" w:lineRule="auto"/>
              <w:rPr>
                <w:rFonts w:ascii="Book Antiqua" w:eastAsia="宋体" w:hAnsi="Book Antiqua" w:cs="宋体"/>
                <w:color w:val="000000"/>
                <w:lang w:eastAsia="zh-CN"/>
              </w:rPr>
            </w:pPr>
            <w:r w:rsidRPr="001538BA">
              <w:rPr>
                <w:rFonts w:ascii="Book Antiqua" w:eastAsia="宋体" w:hAnsi="Book Antiqua" w:cs="宋体"/>
                <w:color w:val="000000"/>
                <w:lang w:eastAsia="zh-CN"/>
              </w:rPr>
              <w:t>152 (69</w:t>
            </w:r>
            <w:r>
              <w:rPr>
                <w:rFonts w:ascii="Book Antiqua" w:eastAsia="宋体" w:hAnsi="Book Antiqua" w:cs="宋体"/>
                <w:color w:val="000000"/>
                <w:lang w:eastAsia="zh-CN"/>
              </w:rPr>
              <w:t>)</w:t>
            </w:r>
          </w:p>
        </w:tc>
        <w:tc>
          <w:tcPr>
            <w:tcW w:w="1220" w:type="dxa"/>
            <w:tcBorders>
              <w:top w:val="nil"/>
              <w:left w:val="nil"/>
              <w:bottom w:val="nil"/>
              <w:right w:val="nil"/>
            </w:tcBorders>
            <w:shd w:val="clear" w:color="auto" w:fill="auto"/>
            <w:noWrap/>
            <w:vAlign w:val="center"/>
            <w:hideMark/>
          </w:tcPr>
          <w:p w14:paraId="200E016A" w14:textId="77777777" w:rsidR="001538BA" w:rsidRPr="001538BA" w:rsidRDefault="001538BA" w:rsidP="00CA3946">
            <w:pPr>
              <w:spacing w:line="360" w:lineRule="auto"/>
              <w:rPr>
                <w:rFonts w:ascii="Book Antiqua" w:eastAsia="宋体" w:hAnsi="Book Antiqua" w:cs="宋体"/>
                <w:color w:val="000000"/>
                <w:lang w:eastAsia="zh-CN"/>
              </w:rPr>
            </w:pPr>
            <w:r w:rsidRPr="001538BA">
              <w:rPr>
                <w:rFonts w:ascii="Book Antiqua" w:eastAsia="宋体" w:hAnsi="Book Antiqua" w:cs="宋体"/>
                <w:color w:val="000000"/>
                <w:lang w:eastAsia="zh-CN"/>
              </w:rPr>
              <w:t>65 (49</w:t>
            </w:r>
            <w:r>
              <w:rPr>
                <w:rFonts w:ascii="Book Antiqua" w:eastAsia="宋体" w:hAnsi="Book Antiqua" w:cs="宋体"/>
                <w:color w:val="000000"/>
                <w:lang w:eastAsia="zh-CN"/>
              </w:rPr>
              <w:t>)</w:t>
            </w:r>
          </w:p>
        </w:tc>
        <w:tc>
          <w:tcPr>
            <w:tcW w:w="1214" w:type="dxa"/>
            <w:tcBorders>
              <w:top w:val="nil"/>
              <w:left w:val="nil"/>
              <w:bottom w:val="nil"/>
              <w:right w:val="nil"/>
            </w:tcBorders>
            <w:shd w:val="clear" w:color="auto" w:fill="auto"/>
            <w:noWrap/>
            <w:vAlign w:val="center"/>
            <w:hideMark/>
          </w:tcPr>
          <w:p w14:paraId="5458FD19" w14:textId="77777777" w:rsidR="001538BA" w:rsidRPr="001538BA" w:rsidRDefault="001538BA" w:rsidP="00CA3946">
            <w:pPr>
              <w:spacing w:line="360" w:lineRule="auto"/>
              <w:rPr>
                <w:rFonts w:ascii="Book Antiqua" w:eastAsia="宋体" w:hAnsi="Book Antiqua" w:cs="宋体"/>
                <w:color w:val="000000"/>
                <w:lang w:eastAsia="zh-CN"/>
              </w:rPr>
            </w:pPr>
            <w:r w:rsidRPr="001538BA">
              <w:rPr>
                <w:rFonts w:ascii="Book Antiqua" w:eastAsia="宋体" w:hAnsi="Book Antiqua" w:cs="宋体"/>
                <w:color w:val="000000"/>
                <w:lang w:eastAsia="zh-CN"/>
              </w:rPr>
              <w:t>87 (100</w:t>
            </w:r>
            <w:r>
              <w:rPr>
                <w:rFonts w:ascii="Book Antiqua" w:eastAsia="宋体" w:hAnsi="Book Antiqua" w:cs="宋体"/>
                <w:color w:val="000000"/>
                <w:lang w:eastAsia="zh-CN"/>
              </w:rPr>
              <w:t>)</w:t>
            </w:r>
          </w:p>
        </w:tc>
      </w:tr>
      <w:tr w:rsidR="001538BA" w:rsidRPr="001538BA" w14:paraId="4307A53F" w14:textId="77777777" w:rsidTr="0099507B">
        <w:trPr>
          <w:trHeight w:val="311"/>
        </w:trPr>
        <w:tc>
          <w:tcPr>
            <w:tcW w:w="8103" w:type="dxa"/>
            <w:gridSpan w:val="3"/>
            <w:tcBorders>
              <w:top w:val="nil"/>
              <w:left w:val="nil"/>
              <w:bottom w:val="nil"/>
              <w:right w:val="nil"/>
            </w:tcBorders>
            <w:shd w:val="clear" w:color="auto" w:fill="auto"/>
            <w:noWrap/>
            <w:vAlign w:val="center"/>
            <w:hideMark/>
          </w:tcPr>
          <w:p w14:paraId="183537FA" w14:textId="77777777" w:rsidR="001538BA" w:rsidRPr="001538BA" w:rsidRDefault="001538BA" w:rsidP="00CA3946">
            <w:pPr>
              <w:spacing w:line="360" w:lineRule="auto"/>
              <w:rPr>
                <w:rFonts w:ascii="Book Antiqua" w:eastAsia="宋体" w:hAnsi="Book Antiqua" w:cs="宋体"/>
                <w:b/>
                <w:bCs/>
                <w:color w:val="000000"/>
                <w:lang w:eastAsia="zh-CN"/>
              </w:rPr>
            </w:pPr>
            <w:r w:rsidRPr="001538BA">
              <w:rPr>
                <w:rFonts w:ascii="Book Antiqua" w:eastAsia="宋体" w:hAnsi="Book Antiqua" w:cs="宋体"/>
                <w:b/>
                <w:bCs/>
                <w:color w:val="000000"/>
                <w:lang w:eastAsia="zh-CN"/>
              </w:rPr>
              <w:t>Previous treatments</w:t>
            </w:r>
          </w:p>
        </w:tc>
        <w:tc>
          <w:tcPr>
            <w:tcW w:w="1214" w:type="dxa"/>
            <w:tcBorders>
              <w:top w:val="nil"/>
              <w:left w:val="nil"/>
              <w:bottom w:val="nil"/>
              <w:right w:val="nil"/>
            </w:tcBorders>
            <w:shd w:val="clear" w:color="auto" w:fill="auto"/>
            <w:noWrap/>
            <w:vAlign w:val="bottom"/>
            <w:hideMark/>
          </w:tcPr>
          <w:p w14:paraId="4CB125E5" w14:textId="77777777" w:rsidR="001538BA" w:rsidRPr="001538BA" w:rsidRDefault="001538BA" w:rsidP="00CA3946">
            <w:pPr>
              <w:spacing w:line="360" w:lineRule="auto"/>
              <w:rPr>
                <w:rFonts w:ascii="Calibri" w:eastAsia="宋体" w:hAnsi="Calibri" w:cs="Calibri"/>
                <w:color w:val="000000"/>
                <w:sz w:val="22"/>
                <w:szCs w:val="22"/>
                <w:lang w:eastAsia="zh-CN"/>
              </w:rPr>
            </w:pPr>
          </w:p>
        </w:tc>
      </w:tr>
      <w:tr w:rsidR="001538BA" w:rsidRPr="001538BA" w14:paraId="608F6DE7" w14:textId="77777777" w:rsidTr="0099507B">
        <w:trPr>
          <w:trHeight w:val="311"/>
        </w:trPr>
        <w:tc>
          <w:tcPr>
            <w:tcW w:w="5596" w:type="dxa"/>
            <w:tcBorders>
              <w:top w:val="nil"/>
              <w:left w:val="nil"/>
              <w:bottom w:val="nil"/>
              <w:right w:val="nil"/>
            </w:tcBorders>
            <w:shd w:val="clear" w:color="auto" w:fill="auto"/>
            <w:noWrap/>
            <w:vAlign w:val="center"/>
            <w:hideMark/>
          </w:tcPr>
          <w:p w14:paraId="175B40AC" w14:textId="77777777" w:rsidR="001538BA" w:rsidRPr="001538BA" w:rsidRDefault="001538BA" w:rsidP="00CA3946">
            <w:pPr>
              <w:spacing w:line="360" w:lineRule="auto"/>
              <w:ind w:firstLineChars="300" w:firstLine="720"/>
              <w:rPr>
                <w:rFonts w:ascii="Book Antiqua" w:eastAsia="宋体" w:hAnsi="Book Antiqua" w:cs="宋体"/>
                <w:color w:val="000000"/>
                <w:lang w:eastAsia="zh-CN"/>
              </w:rPr>
            </w:pPr>
            <w:proofErr w:type="spellStart"/>
            <w:r w:rsidRPr="001538BA">
              <w:rPr>
                <w:rFonts w:ascii="Book Antiqua" w:eastAsia="宋体" w:hAnsi="Book Antiqua" w:cs="宋体"/>
                <w:color w:val="000000"/>
                <w:lang w:eastAsia="zh-CN"/>
              </w:rPr>
              <w:t>Mesalazine</w:t>
            </w:r>
            <w:proofErr w:type="spellEnd"/>
          </w:p>
        </w:tc>
        <w:tc>
          <w:tcPr>
            <w:tcW w:w="1287" w:type="dxa"/>
            <w:tcBorders>
              <w:top w:val="nil"/>
              <w:left w:val="nil"/>
              <w:bottom w:val="nil"/>
              <w:right w:val="nil"/>
            </w:tcBorders>
            <w:shd w:val="clear" w:color="auto" w:fill="auto"/>
            <w:noWrap/>
            <w:vAlign w:val="center"/>
            <w:hideMark/>
          </w:tcPr>
          <w:p w14:paraId="22CCD7B5" w14:textId="77777777" w:rsidR="001538BA" w:rsidRPr="001538BA" w:rsidRDefault="001538BA" w:rsidP="00CA3946">
            <w:pPr>
              <w:spacing w:line="360" w:lineRule="auto"/>
              <w:rPr>
                <w:rFonts w:ascii="Book Antiqua" w:eastAsia="宋体" w:hAnsi="Book Antiqua" w:cs="宋体"/>
                <w:color w:val="000000"/>
                <w:lang w:eastAsia="zh-CN"/>
              </w:rPr>
            </w:pPr>
            <w:r w:rsidRPr="001538BA">
              <w:rPr>
                <w:rFonts w:ascii="Book Antiqua" w:eastAsia="宋体" w:hAnsi="Book Antiqua" w:cs="宋体"/>
                <w:color w:val="000000"/>
                <w:lang w:eastAsia="zh-CN"/>
              </w:rPr>
              <w:t>97 (44</w:t>
            </w:r>
            <w:r>
              <w:rPr>
                <w:rFonts w:ascii="Book Antiqua" w:eastAsia="宋体" w:hAnsi="Book Antiqua" w:cs="宋体"/>
                <w:color w:val="000000"/>
                <w:lang w:eastAsia="zh-CN"/>
              </w:rPr>
              <w:t>)</w:t>
            </w:r>
          </w:p>
        </w:tc>
        <w:tc>
          <w:tcPr>
            <w:tcW w:w="1220" w:type="dxa"/>
            <w:tcBorders>
              <w:top w:val="nil"/>
              <w:left w:val="nil"/>
              <w:bottom w:val="nil"/>
              <w:right w:val="nil"/>
            </w:tcBorders>
            <w:shd w:val="clear" w:color="auto" w:fill="auto"/>
            <w:noWrap/>
            <w:vAlign w:val="center"/>
            <w:hideMark/>
          </w:tcPr>
          <w:p w14:paraId="277C10B3" w14:textId="77777777" w:rsidR="001538BA" w:rsidRPr="001538BA" w:rsidRDefault="001538BA" w:rsidP="00CA3946">
            <w:pPr>
              <w:spacing w:line="360" w:lineRule="auto"/>
              <w:rPr>
                <w:rFonts w:ascii="Book Antiqua" w:eastAsia="宋体" w:hAnsi="Book Antiqua" w:cs="宋体"/>
                <w:color w:val="000000"/>
                <w:lang w:eastAsia="zh-CN"/>
              </w:rPr>
            </w:pPr>
            <w:r w:rsidRPr="001538BA">
              <w:rPr>
                <w:rFonts w:ascii="Book Antiqua" w:eastAsia="宋体" w:hAnsi="Book Antiqua" w:cs="宋体"/>
                <w:color w:val="000000"/>
                <w:lang w:eastAsia="zh-CN"/>
              </w:rPr>
              <w:t>37 (28</w:t>
            </w:r>
            <w:r>
              <w:rPr>
                <w:rFonts w:ascii="Book Antiqua" w:eastAsia="宋体" w:hAnsi="Book Antiqua" w:cs="宋体"/>
                <w:color w:val="000000"/>
                <w:lang w:eastAsia="zh-CN"/>
              </w:rPr>
              <w:t>)</w:t>
            </w:r>
          </w:p>
        </w:tc>
        <w:tc>
          <w:tcPr>
            <w:tcW w:w="1214" w:type="dxa"/>
            <w:tcBorders>
              <w:top w:val="nil"/>
              <w:left w:val="nil"/>
              <w:bottom w:val="nil"/>
              <w:right w:val="nil"/>
            </w:tcBorders>
            <w:shd w:val="clear" w:color="auto" w:fill="auto"/>
            <w:noWrap/>
            <w:vAlign w:val="center"/>
            <w:hideMark/>
          </w:tcPr>
          <w:p w14:paraId="5D99639D" w14:textId="77777777" w:rsidR="001538BA" w:rsidRPr="001538BA" w:rsidRDefault="001538BA" w:rsidP="00CA3946">
            <w:pPr>
              <w:spacing w:line="360" w:lineRule="auto"/>
              <w:rPr>
                <w:rFonts w:ascii="Book Antiqua" w:eastAsia="宋体" w:hAnsi="Book Antiqua" w:cs="宋体"/>
                <w:color w:val="000000"/>
                <w:lang w:eastAsia="zh-CN"/>
              </w:rPr>
            </w:pPr>
            <w:r w:rsidRPr="001538BA">
              <w:rPr>
                <w:rFonts w:ascii="Book Antiqua" w:eastAsia="宋体" w:hAnsi="Book Antiqua" w:cs="宋体"/>
                <w:color w:val="000000"/>
                <w:lang w:eastAsia="zh-CN"/>
              </w:rPr>
              <w:t>60 (69</w:t>
            </w:r>
            <w:r>
              <w:rPr>
                <w:rFonts w:ascii="Book Antiqua" w:eastAsia="宋体" w:hAnsi="Book Antiqua" w:cs="宋体"/>
                <w:color w:val="000000"/>
                <w:lang w:eastAsia="zh-CN"/>
              </w:rPr>
              <w:t>)</w:t>
            </w:r>
          </w:p>
        </w:tc>
      </w:tr>
      <w:tr w:rsidR="001538BA" w:rsidRPr="001538BA" w14:paraId="34900FEA" w14:textId="77777777" w:rsidTr="0099507B">
        <w:trPr>
          <w:trHeight w:val="311"/>
        </w:trPr>
        <w:tc>
          <w:tcPr>
            <w:tcW w:w="5596" w:type="dxa"/>
            <w:tcBorders>
              <w:top w:val="nil"/>
              <w:left w:val="nil"/>
              <w:bottom w:val="nil"/>
              <w:right w:val="nil"/>
            </w:tcBorders>
            <w:shd w:val="clear" w:color="auto" w:fill="auto"/>
            <w:noWrap/>
            <w:vAlign w:val="center"/>
            <w:hideMark/>
          </w:tcPr>
          <w:p w14:paraId="79781806" w14:textId="77777777" w:rsidR="001538BA" w:rsidRPr="001538BA" w:rsidRDefault="001538BA" w:rsidP="00CA3946">
            <w:pPr>
              <w:spacing w:line="360" w:lineRule="auto"/>
              <w:ind w:firstLineChars="300" w:firstLine="720"/>
              <w:rPr>
                <w:rFonts w:ascii="Book Antiqua" w:eastAsia="宋体" w:hAnsi="Book Antiqua" w:cs="宋体"/>
                <w:color w:val="000000"/>
                <w:lang w:eastAsia="zh-CN"/>
              </w:rPr>
            </w:pPr>
            <w:r w:rsidRPr="001538BA">
              <w:rPr>
                <w:rFonts w:ascii="Book Antiqua" w:eastAsia="宋体" w:hAnsi="Book Antiqua" w:cs="宋体"/>
                <w:color w:val="000000"/>
                <w:lang w:eastAsia="zh-CN"/>
              </w:rPr>
              <w:t>Corticosteroids</w:t>
            </w:r>
          </w:p>
        </w:tc>
        <w:tc>
          <w:tcPr>
            <w:tcW w:w="1287" w:type="dxa"/>
            <w:tcBorders>
              <w:top w:val="nil"/>
              <w:left w:val="nil"/>
              <w:bottom w:val="nil"/>
              <w:right w:val="nil"/>
            </w:tcBorders>
            <w:shd w:val="clear" w:color="auto" w:fill="auto"/>
            <w:noWrap/>
            <w:vAlign w:val="center"/>
            <w:hideMark/>
          </w:tcPr>
          <w:p w14:paraId="0F3E879B" w14:textId="77777777" w:rsidR="001538BA" w:rsidRPr="001538BA" w:rsidRDefault="001538BA" w:rsidP="00CA3946">
            <w:pPr>
              <w:spacing w:line="360" w:lineRule="auto"/>
              <w:rPr>
                <w:rFonts w:ascii="Book Antiqua" w:eastAsia="宋体" w:hAnsi="Book Antiqua" w:cs="宋体"/>
                <w:color w:val="000000"/>
                <w:lang w:eastAsia="zh-CN"/>
              </w:rPr>
            </w:pPr>
            <w:r w:rsidRPr="001538BA">
              <w:rPr>
                <w:rFonts w:ascii="Book Antiqua" w:eastAsia="宋体" w:hAnsi="Book Antiqua" w:cs="宋体"/>
                <w:color w:val="000000"/>
                <w:lang w:eastAsia="zh-CN"/>
              </w:rPr>
              <w:t>131 (60</w:t>
            </w:r>
            <w:r>
              <w:rPr>
                <w:rFonts w:ascii="Book Antiqua" w:eastAsia="宋体" w:hAnsi="Book Antiqua" w:cs="宋体"/>
                <w:color w:val="000000"/>
                <w:lang w:eastAsia="zh-CN"/>
              </w:rPr>
              <w:t>)</w:t>
            </w:r>
          </w:p>
        </w:tc>
        <w:tc>
          <w:tcPr>
            <w:tcW w:w="1220" w:type="dxa"/>
            <w:tcBorders>
              <w:top w:val="nil"/>
              <w:left w:val="nil"/>
              <w:bottom w:val="nil"/>
              <w:right w:val="nil"/>
            </w:tcBorders>
            <w:shd w:val="clear" w:color="auto" w:fill="auto"/>
            <w:noWrap/>
            <w:vAlign w:val="center"/>
            <w:hideMark/>
          </w:tcPr>
          <w:p w14:paraId="6CE50EA9" w14:textId="77777777" w:rsidR="001538BA" w:rsidRPr="001538BA" w:rsidRDefault="001538BA" w:rsidP="00CA3946">
            <w:pPr>
              <w:spacing w:line="360" w:lineRule="auto"/>
              <w:rPr>
                <w:rFonts w:ascii="Book Antiqua" w:eastAsia="宋体" w:hAnsi="Book Antiqua" w:cs="宋体"/>
                <w:color w:val="000000"/>
                <w:lang w:eastAsia="zh-CN"/>
              </w:rPr>
            </w:pPr>
            <w:r w:rsidRPr="001538BA">
              <w:rPr>
                <w:rFonts w:ascii="Book Antiqua" w:eastAsia="宋体" w:hAnsi="Book Antiqua" w:cs="宋体"/>
                <w:color w:val="000000"/>
                <w:lang w:eastAsia="zh-CN"/>
              </w:rPr>
              <w:t>73(55</w:t>
            </w:r>
            <w:r>
              <w:rPr>
                <w:rFonts w:ascii="Book Antiqua" w:eastAsia="宋体" w:hAnsi="Book Antiqua" w:cs="宋体"/>
                <w:color w:val="000000"/>
                <w:lang w:eastAsia="zh-CN"/>
              </w:rPr>
              <w:t>)</w:t>
            </w:r>
          </w:p>
        </w:tc>
        <w:tc>
          <w:tcPr>
            <w:tcW w:w="1214" w:type="dxa"/>
            <w:tcBorders>
              <w:top w:val="nil"/>
              <w:left w:val="nil"/>
              <w:bottom w:val="nil"/>
              <w:right w:val="nil"/>
            </w:tcBorders>
            <w:shd w:val="clear" w:color="auto" w:fill="auto"/>
            <w:noWrap/>
            <w:vAlign w:val="center"/>
            <w:hideMark/>
          </w:tcPr>
          <w:p w14:paraId="2A7062EE" w14:textId="77777777" w:rsidR="001538BA" w:rsidRPr="001538BA" w:rsidRDefault="001538BA" w:rsidP="00CA3946">
            <w:pPr>
              <w:spacing w:line="360" w:lineRule="auto"/>
              <w:rPr>
                <w:rFonts w:ascii="Book Antiqua" w:eastAsia="宋体" w:hAnsi="Book Antiqua" w:cs="宋体"/>
                <w:color w:val="000000"/>
                <w:lang w:eastAsia="zh-CN"/>
              </w:rPr>
            </w:pPr>
            <w:r w:rsidRPr="001538BA">
              <w:rPr>
                <w:rFonts w:ascii="Book Antiqua" w:eastAsia="宋体" w:hAnsi="Book Antiqua" w:cs="宋体"/>
                <w:color w:val="000000"/>
                <w:lang w:eastAsia="zh-CN"/>
              </w:rPr>
              <w:t>58 (67</w:t>
            </w:r>
            <w:r>
              <w:rPr>
                <w:rFonts w:ascii="Book Antiqua" w:eastAsia="宋体" w:hAnsi="Book Antiqua" w:cs="宋体"/>
                <w:color w:val="000000"/>
                <w:lang w:eastAsia="zh-CN"/>
              </w:rPr>
              <w:t>)</w:t>
            </w:r>
          </w:p>
        </w:tc>
      </w:tr>
      <w:tr w:rsidR="001538BA" w:rsidRPr="001538BA" w14:paraId="35AC6041" w14:textId="77777777" w:rsidTr="0099507B">
        <w:trPr>
          <w:trHeight w:val="311"/>
        </w:trPr>
        <w:tc>
          <w:tcPr>
            <w:tcW w:w="5596" w:type="dxa"/>
            <w:tcBorders>
              <w:top w:val="nil"/>
              <w:left w:val="nil"/>
              <w:bottom w:val="nil"/>
              <w:right w:val="nil"/>
            </w:tcBorders>
            <w:shd w:val="clear" w:color="auto" w:fill="auto"/>
            <w:noWrap/>
            <w:vAlign w:val="center"/>
            <w:hideMark/>
          </w:tcPr>
          <w:p w14:paraId="15BF5A7A" w14:textId="6E271F7C" w:rsidR="001538BA" w:rsidRPr="001538BA" w:rsidRDefault="001538BA" w:rsidP="00CA3946">
            <w:pPr>
              <w:spacing w:line="360" w:lineRule="auto"/>
              <w:ind w:firstLineChars="300" w:firstLine="720"/>
              <w:rPr>
                <w:rFonts w:ascii="Book Antiqua" w:eastAsia="宋体" w:hAnsi="Book Antiqua" w:cs="宋体"/>
                <w:color w:val="000000"/>
                <w:lang w:eastAsia="zh-CN"/>
              </w:rPr>
            </w:pPr>
            <w:r w:rsidRPr="001538BA">
              <w:rPr>
                <w:rFonts w:ascii="Book Antiqua" w:eastAsia="宋体" w:hAnsi="Book Antiqua" w:cs="宋体"/>
                <w:color w:val="000000"/>
                <w:lang w:eastAsia="zh-CN"/>
              </w:rPr>
              <w:t>AZA/6</w:t>
            </w:r>
            <w:r w:rsidR="0083055D">
              <w:rPr>
                <w:rFonts w:ascii="Book Antiqua" w:eastAsia="宋体" w:hAnsi="Book Antiqua" w:cs="宋体"/>
                <w:color w:val="000000"/>
                <w:lang w:eastAsia="zh-CN"/>
              </w:rPr>
              <w:t>-</w:t>
            </w:r>
            <w:r w:rsidRPr="001538BA">
              <w:rPr>
                <w:rFonts w:ascii="Book Antiqua" w:eastAsia="宋体" w:hAnsi="Book Antiqua" w:cs="宋体"/>
                <w:color w:val="000000"/>
                <w:lang w:eastAsia="zh-CN"/>
              </w:rPr>
              <w:t>MP</w:t>
            </w:r>
          </w:p>
        </w:tc>
        <w:tc>
          <w:tcPr>
            <w:tcW w:w="1287" w:type="dxa"/>
            <w:tcBorders>
              <w:top w:val="nil"/>
              <w:left w:val="nil"/>
              <w:bottom w:val="nil"/>
              <w:right w:val="nil"/>
            </w:tcBorders>
            <w:shd w:val="clear" w:color="auto" w:fill="auto"/>
            <w:noWrap/>
            <w:vAlign w:val="center"/>
            <w:hideMark/>
          </w:tcPr>
          <w:p w14:paraId="68FEC552" w14:textId="77777777" w:rsidR="001538BA" w:rsidRPr="001538BA" w:rsidRDefault="001538BA" w:rsidP="00CA3946">
            <w:pPr>
              <w:spacing w:line="360" w:lineRule="auto"/>
              <w:rPr>
                <w:rFonts w:ascii="Book Antiqua" w:eastAsia="宋体" w:hAnsi="Book Antiqua" w:cs="宋体"/>
                <w:color w:val="000000"/>
                <w:lang w:eastAsia="zh-CN"/>
              </w:rPr>
            </w:pPr>
            <w:r w:rsidRPr="001538BA">
              <w:rPr>
                <w:rFonts w:ascii="Book Antiqua" w:eastAsia="宋体" w:hAnsi="Book Antiqua" w:cs="宋体"/>
                <w:color w:val="000000"/>
                <w:lang w:eastAsia="zh-CN"/>
              </w:rPr>
              <w:t>135 (61</w:t>
            </w:r>
            <w:r>
              <w:rPr>
                <w:rFonts w:ascii="Book Antiqua" w:eastAsia="宋体" w:hAnsi="Book Antiqua" w:cs="宋体"/>
                <w:color w:val="000000"/>
                <w:lang w:eastAsia="zh-CN"/>
              </w:rPr>
              <w:t>)</w:t>
            </w:r>
          </w:p>
        </w:tc>
        <w:tc>
          <w:tcPr>
            <w:tcW w:w="1220" w:type="dxa"/>
            <w:tcBorders>
              <w:top w:val="nil"/>
              <w:left w:val="nil"/>
              <w:bottom w:val="nil"/>
              <w:right w:val="nil"/>
            </w:tcBorders>
            <w:shd w:val="clear" w:color="auto" w:fill="auto"/>
            <w:noWrap/>
            <w:vAlign w:val="center"/>
            <w:hideMark/>
          </w:tcPr>
          <w:p w14:paraId="10E4D42D" w14:textId="77777777" w:rsidR="001538BA" w:rsidRPr="001538BA" w:rsidRDefault="001538BA" w:rsidP="00CA3946">
            <w:pPr>
              <w:spacing w:line="360" w:lineRule="auto"/>
              <w:rPr>
                <w:rFonts w:ascii="Book Antiqua" w:eastAsia="宋体" w:hAnsi="Book Antiqua" w:cs="宋体"/>
                <w:color w:val="000000"/>
                <w:lang w:eastAsia="zh-CN"/>
              </w:rPr>
            </w:pPr>
            <w:r w:rsidRPr="001538BA">
              <w:rPr>
                <w:rFonts w:ascii="Book Antiqua" w:eastAsia="宋体" w:hAnsi="Book Antiqua" w:cs="宋体"/>
                <w:color w:val="000000"/>
                <w:lang w:eastAsia="zh-CN"/>
              </w:rPr>
              <w:t>82 (62</w:t>
            </w:r>
            <w:r>
              <w:rPr>
                <w:rFonts w:ascii="Book Antiqua" w:eastAsia="宋体" w:hAnsi="Book Antiqua" w:cs="宋体"/>
                <w:color w:val="000000"/>
                <w:lang w:eastAsia="zh-CN"/>
              </w:rPr>
              <w:t>)</w:t>
            </w:r>
          </w:p>
        </w:tc>
        <w:tc>
          <w:tcPr>
            <w:tcW w:w="1214" w:type="dxa"/>
            <w:tcBorders>
              <w:top w:val="nil"/>
              <w:left w:val="nil"/>
              <w:bottom w:val="nil"/>
              <w:right w:val="nil"/>
            </w:tcBorders>
            <w:shd w:val="clear" w:color="auto" w:fill="auto"/>
            <w:noWrap/>
            <w:vAlign w:val="center"/>
            <w:hideMark/>
          </w:tcPr>
          <w:p w14:paraId="35AC7FB7" w14:textId="77777777" w:rsidR="001538BA" w:rsidRPr="001538BA" w:rsidRDefault="001538BA" w:rsidP="00CA3946">
            <w:pPr>
              <w:spacing w:line="360" w:lineRule="auto"/>
              <w:rPr>
                <w:rFonts w:ascii="Book Antiqua" w:eastAsia="宋体" w:hAnsi="Book Antiqua" w:cs="宋体"/>
                <w:color w:val="000000"/>
                <w:lang w:eastAsia="zh-CN"/>
              </w:rPr>
            </w:pPr>
            <w:r w:rsidRPr="001538BA">
              <w:rPr>
                <w:rFonts w:ascii="Book Antiqua" w:eastAsia="宋体" w:hAnsi="Book Antiqua" w:cs="宋体"/>
                <w:color w:val="000000"/>
                <w:lang w:eastAsia="zh-CN"/>
              </w:rPr>
              <w:t>53 (61</w:t>
            </w:r>
            <w:r>
              <w:rPr>
                <w:rFonts w:ascii="Book Antiqua" w:eastAsia="宋体" w:hAnsi="Book Antiqua" w:cs="宋体"/>
                <w:color w:val="000000"/>
                <w:lang w:eastAsia="zh-CN"/>
              </w:rPr>
              <w:t>)</w:t>
            </w:r>
          </w:p>
        </w:tc>
      </w:tr>
      <w:tr w:rsidR="001538BA" w:rsidRPr="001538BA" w14:paraId="5AB80E3D" w14:textId="77777777" w:rsidTr="0099507B">
        <w:trPr>
          <w:trHeight w:val="311"/>
        </w:trPr>
        <w:tc>
          <w:tcPr>
            <w:tcW w:w="5596" w:type="dxa"/>
            <w:tcBorders>
              <w:top w:val="nil"/>
              <w:left w:val="nil"/>
              <w:bottom w:val="nil"/>
              <w:right w:val="nil"/>
            </w:tcBorders>
            <w:shd w:val="clear" w:color="auto" w:fill="auto"/>
            <w:noWrap/>
            <w:vAlign w:val="center"/>
            <w:hideMark/>
          </w:tcPr>
          <w:p w14:paraId="30F5701C" w14:textId="77777777" w:rsidR="001538BA" w:rsidRPr="001538BA" w:rsidRDefault="001538BA" w:rsidP="00CA3946">
            <w:pPr>
              <w:spacing w:line="360" w:lineRule="auto"/>
              <w:ind w:firstLineChars="300" w:firstLine="720"/>
              <w:rPr>
                <w:rFonts w:ascii="Book Antiqua" w:eastAsia="宋体" w:hAnsi="Book Antiqua" w:cs="宋体"/>
                <w:color w:val="000000"/>
                <w:lang w:eastAsia="zh-CN"/>
              </w:rPr>
            </w:pPr>
            <w:r w:rsidRPr="001538BA">
              <w:rPr>
                <w:rFonts w:ascii="Book Antiqua" w:eastAsia="宋体" w:hAnsi="Book Antiqua" w:cs="宋体"/>
                <w:color w:val="000000"/>
                <w:lang w:eastAsia="zh-CN"/>
              </w:rPr>
              <w:t>MTX</w:t>
            </w:r>
          </w:p>
        </w:tc>
        <w:tc>
          <w:tcPr>
            <w:tcW w:w="1287" w:type="dxa"/>
            <w:tcBorders>
              <w:top w:val="nil"/>
              <w:left w:val="nil"/>
              <w:bottom w:val="nil"/>
              <w:right w:val="nil"/>
            </w:tcBorders>
            <w:shd w:val="clear" w:color="auto" w:fill="auto"/>
            <w:noWrap/>
            <w:vAlign w:val="center"/>
            <w:hideMark/>
          </w:tcPr>
          <w:p w14:paraId="52DABB7C" w14:textId="77777777" w:rsidR="001538BA" w:rsidRPr="001538BA" w:rsidRDefault="001538BA" w:rsidP="00CA3946">
            <w:pPr>
              <w:spacing w:line="360" w:lineRule="auto"/>
              <w:rPr>
                <w:rFonts w:ascii="Book Antiqua" w:eastAsia="宋体" w:hAnsi="Book Antiqua" w:cs="宋体"/>
                <w:color w:val="000000"/>
                <w:lang w:eastAsia="zh-CN"/>
              </w:rPr>
            </w:pPr>
            <w:r w:rsidRPr="001538BA">
              <w:rPr>
                <w:rFonts w:ascii="Book Antiqua" w:eastAsia="宋体" w:hAnsi="Book Antiqua" w:cs="宋体"/>
                <w:color w:val="000000"/>
                <w:lang w:eastAsia="zh-CN"/>
              </w:rPr>
              <w:t>12 (5</w:t>
            </w:r>
            <w:r>
              <w:rPr>
                <w:rFonts w:ascii="Book Antiqua" w:eastAsia="宋体" w:hAnsi="Book Antiqua" w:cs="宋体"/>
                <w:color w:val="000000"/>
                <w:lang w:eastAsia="zh-CN"/>
              </w:rPr>
              <w:t>)</w:t>
            </w:r>
          </w:p>
        </w:tc>
        <w:tc>
          <w:tcPr>
            <w:tcW w:w="1220" w:type="dxa"/>
            <w:tcBorders>
              <w:top w:val="nil"/>
              <w:left w:val="nil"/>
              <w:bottom w:val="nil"/>
              <w:right w:val="nil"/>
            </w:tcBorders>
            <w:shd w:val="clear" w:color="auto" w:fill="auto"/>
            <w:noWrap/>
            <w:vAlign w:val="center"/>
            <w:hideMark/>
          </w:tcPr>
          <w:p w14:paraId="2C5771AB" w14:textId="77777777" w:rsidR="001538BA" w:rsidRPr="001538BA" w:rsidRDefault="001538BA" w:rsidP="00CA3946">
            <w:pPr>
              <w:spacing w:line="360" w:lineRule="auto"/>
              <w:rPr>
                <w:rFonts w:ascii="Book Antiqua" w:eastAsia="宋体" w:hAnsi="Book Antiqua" w:cs="宋体"/>
                <w:color w:val="000000"/>
                <w:lang w:eastAsia="zh-CN"/>
              </w:rPr>
            </w:pPr>
            <w:r w:rsidRPr="001538BA">
              <w:rPr>
                <w:rFonts w:ascii="Book Antiqua" w:eastAsia="宋体" w:hAnsi="Book Antiqua" w:cs="宋体"/>
                <w:color w:val="000000"/>
                <w:lang w:eastAsia="zh-CN"/>
              </w:rPr>
              <w:t>10 (8</w:t>
            </w:r>
            <w:r>
              <w:rPr>
                <w:rFonts w:ascii="Book Antiqua" w:eastAsia="宋体" w:hAnsi="Book Antiqua" w:cs="宋体"/>
                <w:color w:val="000000"/>
                <w:lang w:eastAsia="zh-CN"/>
              </w:rPr>
              <w:t>)</w:t>
            </w:r>
          </w:p>
        </w:tc>
        <w:tc>
          <w:tcPr>
            <w:tcW w:w="1214" w:type="dxa"/>
            <w:tcBorders>
              <w:top w:val="nil"/>
              <w:left w:val="nil"/>
              <w:bottom w:val="nil"/>
              <w:right w:val="nil"/>
            </w:tcBorders>
            <w:shd w:val="clear" w:color="auto" w:fill="auto"/>
            <w:noWrap/>
            <w:vAlign w:val="center"/>
            <w:hideMark/>
          </w:tcPr>
          <w:p w14:paraId="31B07CFF" w14:textId="77777777" w:rsidR="001538BA" w:rsidRPr="001538BA" w:rsidRDefault="001538BA" w:rsidP="00CA3946">
            <w:pPr>
              <w:spacing w:line="360" w:lineRule="auto"/>
              <w:rPr>
                <w:rFonts w:ascii="Book Antiqua" w:eastAsia="宋体" w:hAnsi="Book Antiqua" w:cs="宋体"/>
                <w:color w:val="000000"/>
                <w:lang w:eastAsia="zh-CN"/>
              </w:rPr>
            </w:pPr>
            <w:r w:rsidRPr="001538BA">
              <w:rPr>
                <w:rFonts w:ascii="Book Antiqua" w:eastAsia="宋体" w:hAnsi="Book Antiqua" w:cs="宋体"/>
                <w:color w:val="000000"/>
                <w:lang w:eastAsia="zh-CN"/>
              </w:rPr>
              <w:t>2 (2</w:t>
            </w:r>
            <w:r>
              <w:rPr>
                <w:rFonts w:ascii="Book Antiqua" w:eastAsia="宋体" w:hAnsi="Book Antiqua" w:cs="宋体"/>
                <w:color w:val="000000"/>
                <w:lang w:eastAsia="zh-CN"/>
              </w:rPr>
              <w:t>)</w:t>
            </w:r>
          </w:p>
        </w:tc>
      </w:tr>
      <w:tr w:rsidR="001538BA" w:rsidRPr="001538BA" w14:paraId="27BE41BA" w14:textId="77777777" w:rsidTr="0099507B">
        <w:trPr>
          <w:trHeight w:val="371"/>
        </w:trPr>
        <w:tc>
          <w:tcPr>
            <w:tcW w:w="5596" w:type="dxa"/>
            <w:tcBorders>
              <w:top w:val="nil"/>
              <w:left w:val="nil"/>
              <w:bottom w:val="nil"/>
              <w:right w:val="nil"/>
            </w:tcBorders>
            <w:shd w:val="clear" w:color="auto" w:fill="auto"/>
            <w:noWrap/>
            <w:vAlign w:val="center"/>
            <w:hideMark/>
          </w:tcPr>
          <w:p w14:paraId="62071E90" w14:textId="77777777" w:rsidR="001538BA" w:rsidRPr="001538BA" w:rsidRDefault="001538BA" w:rsidP="00CA3946">
            <w:pPr>
              <w:spacing w:line="360" w:lineRule="auto"/>
              <w:ind w:firstLineChars="300" w:firstLine="720"/>
              <w:rPr>
                <w:rFonts w:ascii="Book Antiqua" w:eastAsia="宋体" w:hAnsi="Book Antiqua" w:cs="宋体"/>
                <w:color w:val="000000"/>
                <w:lang w:eastAsia="zh-CN"/>
              </w:rPr>
            </w:pPr>
            <w:r w:rsidRPr="001538BA">
              <w:rPr>
                <w:rFonts w:ascii="Book Antiqua" w:eastAsia="宋体" w:hAnsi="Book Antiqua" w:cs="宋体"/>
                <w:color w:val="000000"/>
                <w:lang w:eastAsia="zh-CN"/>
              </w:rPr>
              <w:t>Remicade</w:t>
            </w:r>
            <w:r w:rsidRPr="001538BA">
              <w:rPr>
                <w:rFonts w:ascii="Book Antiqua" w:eastAsia="宋体" w:hAnsi="Book Antiqua" w:cs="宋体"/>
                <w:color w:val="000000"/>
                <w:vertAlign w:val="superscript"/>
                <w:lang w:eastAsia="zh-CN"/>
              </w:rPr>
              <w:t>®</w:t>
            </w:r>
          </w:p>
        </w:tc>
        <w:tc>
          <w:tcPr>
            <w:tcW w:w="1287" w:type="dxa"/>
            <w:tcBorders>
              <w:top w:val="nil"/>
              <w:left w:val="nil"/>
              <w:bottom w:val="nil"/>
              <w:right w:val="nil"/>
            </w:tcBorders>
            <w:shd w:val="clear" w:color="auto" w:fill="auto"/>
            <w:noWrap/>
            <w:vAlign w:val="center"/>
            <w:hideMark/>
          </w:tcPr>
          <w:p w14:paraId="462C6370" w14:textId="77777777" w:rsidR="001538BA" w:rsidRPr="001538BA" w:rsidRDefault="001538BA" w:rsidP="00CA3946">
            <w:pPr>
              <w:spacing w:line="360" w:lineRule="auto"/>
              <w:rPr>
                <w:rFonts w:ascii="Book Antiqua" w:eastAsia="宋体" w:hAnsi="Book Antiqua" w:cs="宋体"/>
                <w:color w:val="000000"/>
                <w:lang w:eastAsia="zh-CN"/>
              </w:rPr>
            </w:pPr>
            <w:r w:rsidRPr="001538BA">
              <w:rPr>
                <w:rFonts w:ascii="Book Antiqua" w:eastAsia="宋体" w:hAnsi="Book Antiqua" w:cs="宋体"/>
                <w:color w:val="000000"/>
                <w:lang w:eastAsia="zh-CN"/>
              </w:rPr>
              <w:t>35 (16</w:t>
            </w:r>
            <w:r>
              <w:rPr>
                <w:rFonts w:ascii="Book Antiqua" w:eastAsia="宋体" w:hAnsi="Book Antiqua" w:cs="宋体"/>
                <w:color w:val="000000"/>
                <w:lang w:eastAsia="zh-CN"/>
              </w:rPr>
              <w:t>)</w:t>
            </w:r>
          </w:p>
        </w:tc>
        <w:tc>
          <w:tcPr>
            <w:tcW w:w="1220" w:type="dxa"/>
            <w:tcBorders>
              <w:top w:val="nil"/>
              <w:left w:val="nil"/>
              <w:bottom w:val="nil"/>
              <w:right w:val="nil"/>
            </w:tcBorders>
            <w:shd w:val="clear" w:color="auto" w:fill="auto"/>
            <w:noWrap/>
            <w:vAlign w:val="center"/>
            <w:hideMark/>
          </w:tcPr>
          <w:p w14:paraId="2FEF9375" w14:textId="77777777" w:rsidR="001538BA" w:rsidRPr="001538BA" w:rsidRDefault="001538BA" w:rsidP="00CA3946">
            <w:pPr>
              <w:spacing w:line="360" w:lineRule="auto"/>
              <w:rPr>
                <w:rFonts w:ascii="Book Antiqua" w:eastAsia="宋体" w:hAnsi="Book Antiqua" w:cs="宋体"/>
                <w:color w:val="000000"/>
                <w:lang w:eastAsia="zh-CN"/>
              </w:rPr>
            </w:pPr>
            <w:r w:rsidRPr="001538BA">
              <w:rPr>
                <w:rFonts w:ascii="Book Antiqua" w:eastAsia="宋体" w:hAnsi="Book Antiqua" w:cs="宋体"/>
                <w:color w:val="000000"/>
                <w:lang w:eastAsia="zh-CN"/>
              </w:rPr>
              <w:t>21 (16</w:t>
            </w:r>
            <w:r>
              <w:rPr>
                <w:rFonts w:ascii="Book Antiqua" w:eastAsia="宋体" w:hAnsi="Book Antiqua" w:cs="宋体"/>
                <w:color w:val="000000"/>
                <w:lang w:eastAsia="zh-CN"/>
              </w:rPr>
              <w:t>)</w:t>
            </w:r>
          </w:p>
        </w:tc>
        <w:tc>
          <w:tcPr>
            <w:tcW w:w="1214" w:type="dxa"/>
            <w:tcBorders>
              <w:top w:val="nil"/>
              <w:left w:val="nil"/>
              <w:bottom w:val="nil"/>
              <w:right w:val="nil"/>
            </w:tcBorders>
            <w:shd w:val="clear" w:color="auto" w:fill="auto"/>
            <w:noWrap/>
            <w:vAlign w:val="center"/>
            <w:hideMark/>
          </w:tcPr>
          <w:p w14:paraId="14F8CC31" w14:textId="77777777" w:rsidR="001538BA" w:rsidRPr="001538BA" w:rsidRDefault="001538BA" w:rsidP="00CA3946">
            <w:pPr>
              <w:spacing w:line="360" w:lineRule="auto"/>
              <w:rPr>
                <w:rFonts w:ascii="Book Antiqua" w:eastAsia="宋体" w:hAnsi="Book Antiqua" w:cs="宋体"/>
                <w:color w:val="000000"/>
                <w:lang w:eastAsia="zh-CN"/>
              </w:rPr>
            </w:pPr>
            <w:r w:rsidRPr="001538BA">
              <w:rPr>
                <w:rFonts w:ascii="Book Antiqua" w:eastAsia="宋体" w:hAnsi="Book Antiqua" w:cs="宋体"/>
                <w:color w:val="000000"/>
                <w:lang w:eastAsia="zh-CN"/>
              </w:rPr>
              <w:t>14 (16</w:t>
            </w:r>
            <w:r>
              <w:rPr>
                <w:rFonts w:ascii="Book Antiqua" w:eastAsia="宋体" w:hAnsi="Book Antiqua" w:cs="宋体"/>
                <w:color w:val="000000"/>
                <w:lang w:eastAsia="zh-CN"/>
              </w:rPr>
              <w:t>)</w:t>
            </w:r>
          </w:p>
        </w:tc>
      </w:tr>
      <w:tr w:rsidR="001538BA" w:rsidRPr="001538BA" w14:paraId="5B82B7B5" w14:textId="77777777" w:rsidTr="0099507B">
        <w:trPr>
          <w:trHeight w:val="371"/>
        </w:trPr>
        <w:tc>
          <w:tcPr>
            <w:tcW w:w="5596" w:type="dxa"/>
            <w:tcBorders>
              <w:top w:val="nil"/>
              <w:left w:val="nil"/>
              <w:bottom w:val="nil"/>
              <w:right w:val="nil"/>
            </w:tcBorders>
            <w:shd w:val="clear" w:color="auto" w:fill="auto"/>
            <w:noWrap/>
            <w:vAlign w:val="center"/>
            <w:hideMark/>
          </w:tcPr>
          <w:p w14:paraId="48EC52D0" w14:textId="77777777" w:rsidR="001538BA" w:rsidRPr="001538BA" w:rsidRDefault="001538BA" w:rsidP="00CA3946">
            <w:pPr>
              <w:spacing w:line="360" w:lineRule="auto"/>
              <w:ind w:firstLineChars="300" w:firstLine="720"/>
              <w:rPr>
                <w:rFonts w:ascii="Book Antiqua" w:eastAsia="宋体" w:hAnsi="Book Antiqua" w:cs="宋体"/>
                <w:color w:val="000000"/>
                <w:lang w:eastAsia="zh-CN"/>
              </w:rPr>
            </w:pPr>
            <w:r w:rsidRPr="001538BA">
              <w:rPr>
                <w:rFonts w:ascii="Book Antiqua" w:eastAsia="宋体" w:hAnsi="Book Antiqua" w:cs="宋体"/>
                <w:color w:val="000000"/>
                <w:lang w:eastAsia="zh-CN"/>
              </w:rPr>
              <w:t>Humira</w:t>
            </w:r>
            <w:r w:rsidRPr="001538BA">
              <w:rPr>
                <w:rFonts w:ascii="Book Antiqua" w:eastAsia="宋体" w:hAnsi="Book Antiqua" w:cs="宋体"/>
                <w:color w:val="000000"/>
                <w:vertAlign w:val="superscript"/>
                <w:lang w:eastAsia="zh-CN"/>
              </w:rPr>
              <w:t>®</w:t>
            </w:r>
          </w:p>
        </w:tc>
        <w:tc>
          <w:tcPr>
            <w:tcW w:w="1287" w:type="dxa"/>
            <w:tcBorders>
              <w:top w:val="nil"/>
              <w:left w:val="nil"/>
              <w:bottom w:val="nil"/>
              <w:right w:val="nil"/>
            </w:tcBorders>
            <w:shd w:val="clear" w:color="auto" w:fill="auto"/>
            <w:noWrap/>
            <w:vAlign w:val="center"/>
            <w:hideMark/>
          </w:tcPr>
          <w:p w14:paraId="2D31D207" w14:textId="77777777" w:rsidR="001538BA" w:rsidRPr="001538BA" w:rsidRDefault="001538BA" w:rsidP="00CA3946">
            <w:pPr>
              <w:spacing w:line="360" w:lineRule="auto"/>
              <w:rPr>
                <w:rFonts w:ascii="Book Antiqua" w:eastAsia="宋体" w:hAnsi="Book Antiqua" w:cs="宋体"/>
                <w:color w:val="000000"/>
                <w:lang w:eastAsia="zh-CN"/>
              </w:rPr>
            </w:pPr>
            <w:r w:rsidRPr="001538BA">
              <w:rPr>
                <w:rFonts w:ascii="Book Antiqua" w:eastAsia="宋体" w:hAnsi="Book Antiqua" w:cs="宋体"/>
                <w:color w:val="000000"/>
                <w:lang w:eastAsia="zh-CN"/>
              </w:rPr>
              <w:t>22 (10</w:t>
            </w:r>
            <w:r>
              <w:rPr>
                <w:rFonts w:ascii="Book Antiqua" w:eastAsia="宋体" w:hAnsi="Book Antiqua" w:cs="宋体"/>
                <w:color w:val="000000"/>
                <w:lang w:eastAsia="zh-CN"/>
              </w:rPr>
              <w:t>)</w:t>
            </w:r>
          </w:p>
        </w:tc>
        <w:tc>
          <w:tcPr>
            <w:tcW w:w="1220" w:type="dxa"/>
            <w:tcBorders>
              <w:top w:val="nil"/>
              <w:left w:val="nil"/>
              <w:bottom w:val="nil"/>
              <w:right w:val="nil"/>
            </w:tcBorders>
            <w:shd w:val="clear" w:color="auto" w:fill="auto"/>
            <w:noWrap/>
            <w:vAlign w:val="center"/>
            <w:hideMark/>
          </w:tcPr>
          <w:p w14:paraId="6B530F90" w14:textId="77777777" w:rsidR="001538BA" w:rsidRPr="001538BA" w:rsidRDefault="001538BA" w:rsidP="00CA3946">
            <w:pPr>
              <w:spacing w:line="360" w:lineRule="auto"/>
              <w:rPr>
                <w:rFonts w:ascii="Book Antiqua" w:eastAsia="宋体" w:hAnsi="Book Antiqua" w:cs="宋体"/>
                <w:color w:val="000000"/>
                <w:lang w:eastAsia="zh-CN"/>
              </w:rPr>
            </w:pPr>
            <w:r w:rsidRPr="001538BA">
              <w:rPr>
                <w:rFonts w:ascii="Book Antiqua" w:eastAsia="宋体" w:hAnsi="Book Antiqua" w:cs="宋体"/>
                <w:color w:val="000000"/>
                <w:lang w:eastAsia="zh-CN"/>
              </w:rPr>
              <w:t>15 (11</w:t>
            </w:r>
            <w:r>
              <w:rPr>
                <w:rFonts w:ascii="Book Antiqua" w:eastAsia="宋体" w:hAnsi="Book Antiqua" w:cs="宋体"/>
                <w:color w:val="000000"/>
                <w:lang w:eastAsia="zh-CN"/>
              </w:rPr>
              <w:t>)</w:t>
            </w:r>
          </w:p>
        </w:tc>
        <w:tc>
          <w:tcPr>
            <w:tcW w:w="1214" w:type="dxa"/>
            <w:tcBorders>
              <w:top w:val="nil"/>
              <w:left w:val="nil"/>
              <w:bottom w:val="nil"/>
              <w:right w:val="nil"/>
            </w:tcBorders>
            <w:shd w:val="clear" w:color="auto" w:fill="auto"/>
            <w:noWrap/>
            <w:vAlign w:val="center"/>
            <w:hideMark/>
          </w:tcPr>
          <w:p w14:paraId="6C88E9EA" w14:textId="77777777" w:rsidR="001538BA" w:rsidRPr="001538BA" w:rsidRDefault="001538BA" w:rsidP="00CA3946">
            <w:pPr>
              <w:spacing w:line="360" w:lineRule="auto"/>
              <w:rPr>
                <w:rFonts w:ascii="Book Antiqua" w:eastAsia="宋体" w:hAnsi="Book Antiqua" w:cs="宋体"/>
                <w:color w:val="000000"/>
                <w:lang w:eastAsia="zh-CN"/>
              </w:rPr>
            </w:pPr>
            <w:r w:rsidRPr="001538BA">
              <w:rPr>
                <w:rFonts w:ascii="Book Antiqua" w:eastAsia="宋体" w:hAnsi="Book Antiqua" w:cs="宋体"/>
                <w:color w:val="000000"/>
                <w:lang w:eastAsia="zh-CN"/>
              </w:rPr>
              <w:t>7 (8</w:t>
            </w:r>
            <w:r>
              <w:rPr>
                <w:rFonts w:ascii="Book Antiqua" w:eastAsia="宋体" w:hAnsi="Book Antiqua" w:cs="宋体"/>
                <w:color w:val="000000"/>
                <w:lang w:eastAsia="zh-CN"/>
              </w:rPr>
              <w:t>)</w:t>
            </w:r>
          </w:p>
        </w:tc>
      </w:tr>
      <w:tr w:rsidR="001538BA" w:rsidRPr="001538BA" w14:paraId="24D3A89A" w14:textId="77777777" w:rsidTr="0099507B">
        <w:trPr>
          <w:trHeight w:val="311"/>
        </w:trPr>
        <w:tc>
          <w:tcPr>
            <w:tcW w:w="8103" w:type="dxa"/>
            <w:gridSpan w:val="3"/>
            <w:tcBorders>
              <w:top w:val="nil"/>
              <w:left w:val="nil"/>
              <w:bottom w:val="nil"/>
              <w:right w:val="nil"/>
            </w:tcBorders>
            <w:shd w:val="clear" w:color="auto" w:fill="auto"/>
            <w:noWrap/>
            <w:vAlign w:val="center"/>
            <w:hideMark/>
          </w:tcPr>
          <w:p w14:paraId="40CE84C7" w14:textId="77777777" w:rsidR="001538BA" w:rsidRPr="001538BA" w:rsidRDefault="001538BA" w:rsidP="00CA3946">
            <w:pPr>
              <w:spacing w:line="360" w:lineRule="auto"/>
              <w:rPr>
                <w:rFonts w:ascii="Book Antiqua" w:eastAsia="宋体" w:hAnsi="Book Antiqua" w:cs="宋体"/>
                <w:b/>
                <w:bCs/>
                <w:color w:val="000000"/>
                <w:lang w:eastAsia="zh-CN"/>
              </w:rPr>
            </w:pPr>
            <w:r w:rsidRPr="001538BA">
              <w:rPr>
                <w:rFonts w:ascii="Book Antiqua" w:eastAsia="宋体" w:hAnsi="Book Antiqua" w:cs="宋体"/>
                <w:b/>
                <w:bCs/>
                <w:color w:val="000000"/>
                <w:lang w:eastAsia="zh-CN"/>
              </w:rPr>
              <w:t>Concomitant treatments</w:t>
            </w:r>
          </w:p>
        </w:tc>
        <w:tc>
          <w:tcPr>
            <w:tcW w:w="1214" w:type="dxa"/>
            <w:tcBorders>
              <w:top w:val="nil"/>
              <w:left w:val="nil"/>
              <w:bottom w:val="nil"/>
              <w:right w:val="nil"/>
            </w:tcBorders>
            <w:shd w:val="clear" w:color="auto" w:fill="auto"/>
            <w:noWrap/>
            <w:vAlign w:val="bottom"/>
            <w:hideMark/>
          </w:tcPr>
          <w:p w14:paraId="4DC8A0F5" w14:textId="77777777" w:rsidR="001538BA" w:rsidRPr="001538BA" w:rsidRDefault="001538BA" w:rsidP="00CA3946">
            <w:pPr>
              <w:spacing w:line="360" w:lineRule="auto"/>
              <w:rPr>
                <w:rFonts w:ascii="Calibri" w:eastAsia="宋体" w:hAnsi="Calibri" w:cs="Calibri"/>
                <w:color w:val="000000"/>
                <w:sz w:val="22"/>
                <w:szCs w:val="22"/>
                <w:lang w:eastAsia="zh-CN"/>
              </w:rPr>
            </w:pPr>
          </w:p>
        </w:tc>
      </w:tr>
      <w:tr w:rsidR="001538BA" w:rsidRPr="001538BA" w14:paraId="5A148D43" w14:textId="77777777" w:rsidTr="0099507B">
        <w:trPr>
          <w:trHeight w:val="311"/>
        </w:trPr>
        <w:tc>
          <w:tcPr>
            <w:tcW w:w="5596" w:type="dxa"/>
            <w:tcBorders>
              <w:top w:val="nil"/>
              <w:left w:val="nil"/>
              <w:bottom w:val="nil"/>
              <w:right w:val="nil"/>
            </w:tcBorders>
            <w:shd w:val="clear" w:color="auto" w:fill="auto"/>
            <w:noWrap/>
            <w:vAlign w:val="center"/>
            <w:hideMark/>
          </w:tcPr>
          <w:p w14:paraId="66F7EE5D" w14:textId="77777777" w:rsidR="001538BA" w:rsidRPr="001538BA" w:rsidRDefault="001538BA" w:rsidP="00CA3946">
            <w:pPr>
              <w:spacing w:line="360" w:lineRule="auto"/>
              <w:ind w:firstLineChars="300" w:firstLine="720"/>
              <w:rPr>
                <w:rFonts w:ascii="Book Antiqua" w:eastAsia="宋体" w:hAnsi="Book Antiqua" w:cs="宋体"/>
                <w:color w:val="000000"/>
                <w:lang w:eastAsia="zh-CN"/>
              </w:rPr>
            </w:pPr>
            <w:proofErr w:type="spellStart"/>
            <w:r w:rsidRPr="001538BA">
              <w:rPr>
                <w:rFonts w:ascii="Book Antiqua" w:eastAsia="宋体" w:hAnsi="Book Antiqua" w:cs="宋体"/>
                <w:color w:val="000000"/>
                <w:lang w:eastAsia="zh-CN"/>
              </w:rPr>
              <w:t>Mesalazine</w:t>
            </w:r>
            <w:proofErr w:type="spellEnd"/>
          </w:p>
        </w:tc>
        <w:tc>
          <w:tcPr>
            <w:tcW w:w="1287" w:type="dxa"/>
            <w:tcBorders>
              <w:top w:val="nil"/>
              <w:left w:val="nil"/>
              <w:bottom w:val="nil"/>
              <w:right w:val="nil"/>
            </w:tcBorders>
            <w:shd w:val="clear" w:color="auto" w:fill="auto"/>
            <w:noWrap/>
            <w:vAlign w:val="center"/>
            <w:hideMark/>
          </w:tcPr>
          <w:p w14:paraId="50805E7E" w14:textId="77777777" w:rsidR="001538BA" w:rsidRPr="001538BA" w:rsidRDefault="001538BA" w:rsidP="00CA3946">
            <w:pPr>
              <w:spacing w:line="360" w:lineRule="auto"/>
              <w:rPr>
                <w:rFonts w:ascii="Book Antiqua" w:eastAsia="宋体" w:hAnsi="Book Antiqua" w:cs="宋体"/>
                <w:color w:val="000000"/>
                <w:lang w:eastAsia="zh-CN"/>
              </w:rPr>
            </w:pPr>
            <w:r w:rsidRPr="001538BA">
              <w:rPr>
                <w:rFonts w:ascii="Book Antiqua" w:eastAsia="宋体" w:hAnsi="Book Antiqua" w:cs="宋体"/>
                <w:color w:val="000000"/>
                <w:lang w:eastAsia="zh-CN"/>
              </w:rPr>
              <w:t>77 (35</w:t>
            </w:r>
            <w:r>
              <w:rPr>
                <w:rFonts w:ascii="Book Antiqua" w:eastAsia="宋体" w:hAnsi="Book Antiqua" w:cs="宋体"/>
                <w:color w:val="000000"/>
                <w:lang w:eastAsia="zh-CN"/>
              </w:rPr>
              <w:t>)</w:t>
            </w:r>
          </w:p>
        </w:tc>
        <w:tc>
          <w:tcPr>
            <w:tcW w:w="1220" w:type="dxa"/>
            <w:tcBorders>
              <w:top w:val="nil"/>
              <w:left w:val="nil"/>
              <w:bottom w:val="nil"/>
              <w:right w:val="nil"/>
            </w:tcBorders>
            <w:shd w:val="clear" w:color="auto" w:fill="auto"/>
            <w:noWrap/>
            <w:vAlign w:val="center"/>
            <w:hideMark/>
          </w:tcPr>
          <w:p w14:paraId="67B5F983" w14:textId="77777777" w:rsidR="001538BA" w:rsidRPr="001538BA" w:rsidRDefault="001538BA" w:rsidP="00CA3946">
            <w:pPr>
              <w:spacing w:line="360" w:lineRule="auto"/>
              <w:rPr>
                <w:rFonts w:ascii="Book Antiqua" w:eastAsia="宋体" w:hAnsi="Book Antiqua" w:cs="宋体"/>
                <w:color w:val="000000"/>
                <w:lang w:eastAsia="zh-CN"/>
              </w:rPr>
            </w:pPr>
            <w:r w:rsidRPr="001538BA">
              <w:rPr>
                <w:rFonts w:ascii="Book Antiqua" w:eastAsia="宋体" w:hAnsi="Book Antiqua" w:cs="宋体"/>
                <w:color w:val="000000"/>
                <w:lang w:eastAsia="zh-CN"/>
              </w:rPr>
              <w:t>28 (21</w:t>
            </w:r>
            <w:r>
              <w:rPr>
                <w:rFonts w:ascii="Book Antiqua" w:eastAsia="宋体" w:hAnsi="Book Antiqua" w:cs="宋体"/>
                <w:color w:val="000000"/>
                <w:lang w:eastAsia="zh-CN"/>
              </w:rPr>
              <w:t>)</w:t>
            </w:r>
          </w:p>
        </w:tc>
        <w:tc>
          <w:tcPr>
            <w:tcW w:w="1214" w:type="dxa"/>
            <w:tcBorders>
              <w:top w:val="nil"/>
              <w:left w:val="nil"/>
              <w:bottom w:val="nil"/>
              <w:right w:val="nil"/>
            </w:tcBorders>
            <w:shd w:val="clear" w:color="auto" w:fill="auto"/>
            <w:noWrap/>
            <w:vAlign w:val="center"/>
            <w:hideMark/>
          </w:tcPr>
          <w:p w14:paraId="4B320C74" w14:textId="77777777" w:rsidR="001538BA" w:rsidRPr="001538BA" w:rsidRDefault="001538BA" w:rsidP="00CA3946">
            <w:pPr>
              <w:spacing w:line="360" w:lineRule="auto"/>
              <w:rPr>
                <w:rFonts w:ascii="Book Antiqua" w:eastAsia="宋体" w:hAnsi="Book Antiqua" w:cs="宋体"/>
                <w:color w:val="000000"/>
                <w:lang w:eastAsia="zh-CN"/>
              </w:rPr>
            </w:pPr>
            <w:r w:rsidRPr="001538BA">
              <w:rPr>
                <w:rFonts w:ascii="Book Antiqua" w:eastAsia="宋体" w:hAnsi="Book Antiqua" w:cs="宋体"/>
                <w:color w:val="000000"/>
                <w:lang w:eastAsia="zh-CN"/>
              </w:rPr>
              <w:t>49 (56</w:t>
            </w:r>
            <w:r>
              <w:rPr>
                <w:rFonts w:ascii="Book Antiqua" w:eastAsia="宋体" w:hAnsi="Book Antiqua" w:cs="宋体"/>
                <w:color w:val="000000"/>
                <w:lang w:eastAsia="zh-CN"/>
              </w:rPr>
              <w:t>)</w:t>
            </w:r>
          </w:p>
        </w:tc>
      </w:tr>
      <w:tr w:rsidR="001538BA" w:rsidRPr="001538BA" w14:paraId="78867C9F" w14:textId="77777777" w:rsidTr="0099507B">
        <w:trPr>
          <w:trHeight w:val="311"/>
        </w:trPr>
        <w:tc>
          <w:tcPr>
            <w:tcW w:w="5596" w:type="dxa"/>
            <w:tcBorders>
              <w:top w:val="nil"/>
              <w:left w:val="nil"/>
              <w:bottom w:val="nil"/>
              <w:right w:val="nil"/>
            </w:tcBorders>
            <w:shd w:val="clear" w:color="auto" w:fill="auto"/>
            <w:noWrap/>
            <w:vAlign w:val="center"/>
            <w:hideMark/>
          </w:tcPr>
          <w:p w14:paraId="617C3C59" w14:textId="77777777" w:rsidR="001538BA" w:rsidRPr="001538BA" w:rsidRDefault="001538BA" w:rsidP="00CA3946">
            <w:pPr>
              <w:spacing w:line="360" w:lineRule="auto"/>
              <w:ind w:firstLineChars="300" w:firstLine="720"/>
              <w:rPr>
                <w:rFonts w:ascii="Book Antiqua" w:eastAsia="宋体" w:hAnsi="Book Antiqua" w:cs="宋体"/>
                <w:color w:val="000000"/>
                <w:lang w:eastAsia="zh-CN"/>
              </w:rPr>
            </w:pPr>
            <w:r w:rsidRPr="001538BA">
              <w:rPr>
                <w:rFonts w:ascii="Book Antiqua" w:eastAsia="宋体" w:hAnsi="Book Antiqua" w:cs="宋体"/>
                <w:color w:val="000000"/>
                <w:lang w:eastAsia="zh-CN"/>
              </w:rPr>
              <w:t>Corticosteroids</w:t>
            </w:r>
          </w:p>
        </w:tc>
        <w:tc>
          <w:tcPr>
            <w:tcW w:w="1287" w:type="dxa"/>
            <w:tcBorders>
              <w:top w:val="nil"/>
              <w:left w:val="nil"/>
              <w:bottom w:val="nil"/>
              <w:right w:val="nil"/>
            </w:tcBorders>
            <w:shd w:val="clear" w:color="auto" w:fill="auto"/>
            <w:noWrap/>
            <w:vAlign w:val="center"/>
            <w:hideMark/>
          </w:tcPr>
          <w:p w14:paraId="76240995" w14:textId="77777777" w:rsidR="001538BA" w:rsidRPr="001538BA" w:rsidRDefault="001538BA" w:rsidP="00CA3946">
            <w:pPr>
              <w:spacing w:line="360" w:lineRule="auto"/>
              <w:rPr>
                <w:rFonts w:ascii="Book Antiqua" w:eastAsia="宋体" w:hAnsi="Book Antiqua" w:cs="宋体"/>
                <w:color w:val="000000"/>
                <w:lang w:eastAsia="zh-CN"/>
              </w:rPr>
            </w:pPr>
            <w:r w:rsidRPr="001538BA">
              <w:rPr>
                <w:rFonts w:ascii="Book Antiqua" w:eastAsia="宋体" w:hAnsi="Book Antiqua" w:cs="宋体"/>
                <w:color w:val="000000"/>
                <w:lang w:eastAsia="zh-CN"/>
              </w:rPr>
              <w:t>74 (35</w:t>
            </w:r>
            <w:r>
              <w:rPr>
                <w:rFonts w:ascii="Book Antiqua" w:eastAsia="宋体" w:hAnsi="Book Antiqua" w:cs="宋体"/>
                <w:color w:val="000000"/>
                <w:lang w:eastAsia="zh-CN"/>
              </w:rPr>
              <w:t>)</w:t>
            </w:r>
          </w:p>
        </w:tc>
        <w:tc>
          <w:tcPr>
            <w:tcW w:w="1220" w:type="dxa"/>
            <w:tcBorders>
              <w:top w:val="nil"/>
              <w:left w:val="nil"/>
              <w:bottom w:val="nil"/>
              <w:right w:val="nil"/>
            </w:tcBorders>
            <w:shd w:val="clear" w:color="auto" w:fill="auto"/>
            <w:noWrap/>
            <w:vAlign w:val="center"/>
            <w:hideMark/>
          </w:tcPr>
          <w:p w14:paraId="5F907E81" w14:textId="77777777" w:rsidR="001538BA" w:rsidRPr="001538BA" w:rsidRDefault="001538BA" w:rsidP="00CA3946">
            <w:pPr>
              <w:spacing w:line="360" w:lineRule="auto"/>
              <w:rPr>
                <w:rFonts w:ascii="Book Antiqua" w:eastAsia="宋体" w:hAnsi="Book Antiqua" w:cs="宋体"/>
                <w:color w:val="000000"/>
                <w:lang w:eastAsia="zh-CN"/>
              </w:rPr>
            </w:pPr>
            <w:r w:rsidRPr="001538BA">
              <w:rPr>
                <w:rFonts w:ascii="Book Antiqua" w:eastAsia="宋体" w:hAnsi="Book Antiqua" w:cs="宋体"/>
                <w:color w:val="000000"/>
                <w:lang w:eastAsia="zh-CN"/>
              </w:rPr>
              <w:t>37 (28</w:t>
            </w:r>
            <w:r>
              <w:rPr>
                <w:rFonts w:ascii="Book Antiqua" w:eastAsia="宋体" w:hAnsi="Book Antiqua" w:cs="宋体"/>
                <w:color w:val="000000"/>
                <w:lang w:eastAsia="zh-CN"/>
              </w:rPr>
              <w:t>)</w:t>
            </w:r>
          </w:p>
        </w:tc>
        <w:tc>
          <w:tcPr>
            <w:tcW w:w="1214" w:type="dxa"/>
            <w:tcBorders>
              <w:top w:val="nil"/>
              <w:left w:val="nil"/>
              <w:bottom w:val="nil"/>
              <w:right w:val="nil"/>
            </w:tcBorders>
            <w:shd w:val="clear" w:color="auto" w:fill="auto"/>
            <w:noWrap/>
            <w:vAlign w:val="center"/>
            <w:hideMark/>
          </w:tcPr>
          <w:p w14:paraId="455211ED" w14:textId="77777777" w:rsidR="001538BA" w:rsidRPr="001538BA" w:rsidRDefault="001538BA" w:rsidP="00CA3946">
            <w:pPr>
              <w:spacing w:line="360" w:lineRule="auto"/>
              <w:rPr>
                <w:rFonts w:ascii="Book Antiqua" w:eastAsia="宋体" w:hAnsi="Book Antiqua" w:cs="宋体"/>
                <w:color w:val="000000"/>
                <w:lang w:eastAsia="zh-CN"/>
              </w:rPr>
            </w:pPr>
            <w:r w:rsidRPr="001538BA">
              <w:rPr>
                <w:rFonts w:ascii="Book Antiqua" w:eastAsia="宋体" w:hAnsi="Book Antiqua" w:cs="宋体"/>
                <w:color w:val="000000"/>
                <w:lang w:eastAsia="zh-CN"/>
              </w:rPr>
              <w:t>37 (43</w:t>
            </w:r>
            <w:r>
              <w:rPr>
                <w:rFonts w:ascii="Book Antiqua" w:eastAsia="宋体" w:hAnsi="Book Antiqua" w:cs="宋体"/>
                <w:color w:val="000000"/>
                <w:lang w:eastAsia="zh-CN"/>
              </w:rPr>
              <w:t>)</w:t>
            </w:r>
          </w:p>
        </w:tc>
      </w:tr>
      <w:tr w:rsidR="001538BA" w:rsidRPr="001538BA" w14:paraId="1E133A44" w14:textId="77777777" w:rsidTr="00B94526">
        <w:trPr>
          <w:trHeight w:val="311"/>
        </w:trPr>
        <w:tc>
          <w:tcPr>
            <w:tcW w:w="5596" w:type="dxa"/>
            <w:tcBorders>
              <w:top w:val="nil"/>
              <w:left w:val="nil"/>
              <w:right w:val="nil"/>
            </w:tcBorders>
            <w:shd w:val="clear" w:color="auto" w:fill="auto"/>
            <w:noWrap/>
            <w:vAlign w:val="center"/>
            <w:hideMark/>
          </w:tcPr>
          <w:p w14:paraId="5A67E38F" w14:textId="6DEFC058" w:rsidR="001538BA" w:rsidRPr="001538BA" w:rsidRDefault="001538BA" w:rsidP="00CA3946">
            <w:pPr>
              <w:spacing w:line="360" w:lineRule="auto"/>
              <w:ind w:firstLineChars="300" w:firstLine="720"/>
              <w:rPr>
                <w:rFonts w:ascii="Book Antiqua" w:eastAsia="宋体" w:hAnsi="Book Antiqua" w:cs="宋体"/>
                <w:color w:val="000000"/>
                <w:lang w:eastAsia="zh-CN"/>
              </w:rPr>
            </w:pPr>
            <w:r w:rsidRPr="001538BA">
              <w:rPr>
                <w:rFonts w:ascii="Book Antiqua" w:eastAsia="宋体" w:hAnsi="Book Antiqua" w:cs="宋体"/>
                <w:color w:val="000000"/>
                <w:lang w:eastAsia="zh-CN"/>
              </w:rPr>
              <w:t>AZA/6</w:t>
            </w:r>
            <w:r w:rsidR="0083055D">
              <w:rPr>
                <w:rFonts w:ascii="Book Antiqua" w:eastAsia="宋体" w:hAnsi="Book Antiqua" w:cs="宋体"/>
                <w:color w:val="000000"/>
                <w:lang w:eastAsia="zh-CN"/>
              </w:rPr>
              <w:t>-</w:t>
            </w:r>
            <w:r w:rsidRPr="001538BA">
              <w:rPr>
                <w:rFonts w:ascii="Book Antiqua" w:eastAsia="宋体" w:hAnsi="Book Antiqua" w:cs="宋体"/>
                <w:color w:val="000000"/>
                <w:lang w:eastAsia="zh-CN"/>
              </w:rPr>
              <w:t>MP</w:t>
            </w:r>
          </w:p>
        </w:tc>
        <w:tc>
          <w:tcPr>
            <w:tcW w:w="1287" w:type="dxa"/>
            <w:tcBorders>
              <w:top w:val="nil"/>
              <w:left w:val="nil"/>
              <w:right w:val="nil"/>
            </w:tcBorders>
            <w:shd w:val="clear" w:color="auto" w:fill="auto"/>
            <w:noWrap/>
            <w:vAlign w:val="center"/>
            <w:hideMark/>
          </w:tcPr>
          <w:p w14:paraId="5E91D245" w14:textId="77777777" w:rsidR="001538BA" w:rsidRPr="001538BA" w:rsidRDefault="001538BA" w:rsidP="00CA3946">
            <w:pPr>
              <w:spacing w:line="360" w:lineRule="auto"/>
              <w:rPr>
                <w:rFonts w:ascii="Book Antiqua" w:eastAsia="宋体" w:hAnsi="Book Antiqua" w:cs="宋体"/>
                <w:color w:val="000000"/>
                <w:lang w:eastAsia="zh-CN"/>
              </w:rPr>
            </w:pPr>
            <w:r w:rsidRPr="001538BA">
              <w:rPr>
                <w:rFonts w:ascii="Book Antiqua" w:eastAsia="宋体" w:hAnsi="Book Antiqua" w:cs="宋体"/>
                <w:color w:val="000000"/>
                <w:lang w:eastAsia="zh-CN"/>
              </w:rPr>
              <w:t>115 (52</w:t>
            </w:r>
            <w:r>
              <w:rPr>
                <w:rFonts w:ascii="Book Antiqua" w:eastAsia="宋体" w:hAnsi="Book Antiqua" w:cs="宋体"/>
                <w:color w:val="000000"/>
                <w:lang w:eastAsia="zh-CN"/>
              </w:rPr>
              <w:t>)</w:t>
            </w:r>
          </w:p>
        </w:tc>
        <w:tc>
          <w:tcPr>
            <w:tcW w:w="1220" w:type="dxa"/>
            <w:tcBorders>
              <w:top w:val="nil"/>
              <w:left w:val="nil"/>
              <w:right w:val="nil"/>
            </w:tcBorders>
            <w:shd w:val="clear" w:color="auto" w:fill="auto"/>
            <w:noWrap/>
            <w:vAlign w:val="center"/>
            <w:hideMark/>
          </w:tcPr>
          <w:p w14:paraId="1B3C7B6F" w14:textId="77777777" w:rsidR="001538BA" w:rsidRPr="001538BA" w:rsidRDefault="001538BA" w:rsidP="00CA3946">
            <w:pPr>
              <w:spacing w:line="360" w:lineRule="auto"/>
              <w:rPr>
                <w:rFonts w:ascii="Book Antiqua" w:eastAsia="宋体" w:hAnsi="Book Antiqua" w:cs="宋体"/>
                <w:color w:val="000000"/>
                <w:lang w:eastAsia="zh-CN"/>
              </w:rPr>
            </w:pPr>
            <w:r w:rsidRPr="001538BA">
              <w:rPr>
                <w:rFonts w:ascii="Book Antiqua" w:eastAsia="宋体" w:hAnsi="Book Antiqua" w:cs="宋体"/>
                <w:color w:val="000000"/>
                <w:lang w:eastAsia="zh-CN"/>
              </w:rPr>
              <w:t>67 (50</w:t>
            </w:r>
            <w:r>
              <w:rPr>
                <w:rFonts w:ascii="Book Antiqua" w:eastAsia="宋体" w:hAnsi="Book Antiqua" w:cs="宋体"/>
                <w:color w:val="000000"/>
                <w:lang w:eastAsia="zh-CN"/>
              </w:rPr>
              <w:t>)</w:t>
            </w:r>
          </w:p>
        </w:tc>
        <w:tc>
          <w:tcPr>
            <w:tcW w:w="1214" w:type="dxa"/>
            <w:tcBorders>
              <w:top w:val="nil"/>
              <w:left w:val="nil"/>
              <w:right w:val="nil"/>
            </w:tcBorders>
            <w:shd w:val="clear" w:color="auto" w:fill="auto"/>
            <w:noWrap/>
            <w:vAlign w:val="center"/>
            <w:hideMark/>
          </w:tcPr>
          <w:p w14:paraId="7A58070B" w14:textId="77777777" w:rsidR="001538BA" w:rsidRPr="001538BA" w:rsidRDefault="001538BA" w:rsidP="00CA3946">
            <w:pPr>
              <w:spacing w:line="360" w:lineRule="auto"/>
              <w:rPr>
                <w:rFonts w:ascii="Book Antiqua" w:eastAsia="宋体" w:hAnsi="Book Antiqua" w:cs="宋体"/>
                <w:color w:val="000000"/>
                <w:lang w:eastAsia="zh-CN"/>
              </w:rPr>
            </w:pPr>
            <w:r w:rsidRPr="001538BA">
              <w:rPr>
                <w:rFonts w:ascii="Book Antiqua" w:eastAsia="宋体" w:hAnsi="Book Antiqua" w:cs="宋体"/>
                <w:color w:val="000000"/>
                <w:lang w:eastAsia="zh-CN"/>
              </w:rPr>
              <w:t>48 (55</w:t>
            </w:r>
            <w:r>
              <w:rPr>
                <w:rFonts w:ascii="Book Antiqua" w:eastAsia="宋体" w:hAnsi="Book Antiqua" w:cs="宋体"/>
                <w:color w:val="000000"/>
                <w:lang w:eastAsia="zh-CN"/>
              </w:rPr>
              <w:t>)</w:t>
            </w:r>
          </w:p>
        </w:tc>
      </w:tr>
      <w:tr w:rsidR="001538BA" w:rsidRPr="001538BA" w14:paraId="694474D8" w14:textId="77777777" w:rsidTr="00B94526">
        <w:trPr>
          <w:trHeight w:val="321"/>
        </w:trPr>
        <w:tc>
          <w:tcPr>
            <w:tcW w:w="5596" w:type="dxa"/>
            <w:tcBorders>
              <w:top w:val="nil"/>
              <w:left w:val="nil"/>
              <w:bottom w:val="single" w:sz="4" w:space="0" w:color="auto"/>
              <w:right w:val="nil"/>
            </w:tcBorders>
            <w:shd w:val="clear" w:color="auto" w:fill="auto"/>
            <w:noWrap/>
            <w:vAlign w:val="center"/>
            <w:hideMark/>
          </w:tcPr>
          <w:p w14:paraId="62AF138D" w14:textId="77777777" w:rsidR="001538BA" w:rsidRPr="001538BA" w:rsidRDefault="001538BA" w:rsidP="00CA3946">
            <w:pPr>
              <w:spacing w:line="360" w:lineRule="auto"/>
              <w:ind w:firstLineChars="300" w:firstLine="720"/>
              <w:rPr>
                <w:rFonts w:ascii="Book Antiqua" w:eastAsia="宋体" w:hAnsi="Book Antiqua" w:cs="宋体"/>
                <w:color w:val="000000"/>
                <w:lang w:eastAsia="zh-CN"/>
              </w:rPr>
            </w:pPr>
            <w:r w:rsidRPr="001538BA">
              <w:rPr>
                <w:rFonts w:ascii="Book Antiqua" w:eastAsia="宋体" w:hAnsi="Book Antiqua" w:cs="宋体"/>
                <w:color w:val="000000"/>
                <w:lang w:eastAsia="zh-CN"/>
              </w:rPr>
              <w:lastRenderedPageBreak/>
              <w:t>MTX</w:t>
            </w:r>
          </w:p>
        </w:tc>
        <w:tc>
          <w:tcPr>
            <w:tcW w:w="1287" w:type="dxa"/>
            <w:tcBorders>
              <w:top w:val="nil"/>
              <w:left w:val="nil"/>
              <w:bottom w:val="single" w:sz="4" w:space="0" w:color="auto"/>
              <w:right w:val="nil"/>
            </w:tcBorders>
            <w:shd w:val="clear" w:color="auto" w:fill="auto"/>
            <w:noWrap/>
            <w:vAlign w:val="center"/>
            <w:hideMark/>
          </w:tcPr>
          <w:p w14:paraId="718DE1AF" w14:textId="77777777" w:rsidR="001538BA" w:rsidRPr="001538BA" w:rsidRDefault="001538BA" w:rsidP="00CA3946">
            <w:pPr>
              <w:spacing w:line="360" w:lineRule="auto"/>
              <w:rPr>
                <w:rFonts w:ascii="Book Antiqua" w:eastAsia="宋体" w:hAnsi="Book Antiqua" w:cs="宋体"/>
                <w:color w:val="000000"/>
                <w:lang w:eastAsia="zh-CN"/>
              </w:rPr>
            </w:pPr>
            <w:r w:rsidRPr="001538BA">
              <w:rPr>
                <w:rFonts w:ascii="Book Antiqua" w:eastAsia="宋体" w:hAnsi="Book Antiqua" w:cs="宋体"/>
                <w:color w:val="000000"/>
                <w:lang w:eastAsia="zh-CN"/>
              </w:rPr>
              <w:t>15 (7</w:t>
            </w:r>
            <w:r>
              <w:rPr>
                <w:rFonts w:ascii="Book Antiqua" w:eastAsia="宋体" w:hAnsi="Book Antiqua" w:cs="宋体"/>
                <w:color w:val="000000"/>
                <w:lang w:eastAsia="zh-CN"/>
              </w:rPr>
              <w:t>)</w:t>
            </w:r>
          </w:p>
        </w:tc>
        <w:tc>
          <w:tcPr>
            <w:tcW w:w="1220" w:type="dxa"/>
            <w:tcBorders>
              <w:top w:val="nil"/>
              <w:left w:val="nil"/>
              <w:bottom w:val="single" w:sz="4" w:space="0" w:color="auto"/>
              <w:right w:val="nil"/>
            </w:tcBorders>
            <w:shd w:val="clear" w:color="auto" w:fill="auto"/>
            <w:noWrap/>
            <w:vAlign w:val="center"/>
            <w:hideMark/>
          </w:tcPr>
          <w:p w14:paraId="6B17F221" w14:textId="77777777" w:rsidR="001538BA" w:rsidRPr="001538BA" w:rsidRDefault="001538BA" w:rsidP="00CA3946">
            <w:pPr>
              <w:spacing w:line="360" w:lineRule="auto"/>
              <w:rPr>
                <w:rFonts w:ascii="Book Antiqua" w:eastAsia="宋体" w:hAnsi="Book Antiqua" w:cs="宋体"/>
                <w:color w:val="000000"/>
                <w:lang w:eastAsia="zh-CN"/>
              </w:rPr>
            </w:pPr>
            <w:r w:rsidRPr="001538BA">
              <w:rPr>
                <w:rFonts w:ascii="Book Antiqua" w:eastAsia="宋体" w:hAnsi="Book Antiqua" w:cs="宋体"/>
                <w:color w:val="000000"/>
                <w:lang w:eastAsia="zh-CN"/>
              </w:rPr>
              <w:t>15 (11</w:t>
            </w:r>
            <w:r>
              <w:rPr>
                <w:rFonts w:ascii="Book Antiqua" w:eastAsia="宋体" w:hAnsi="Book Antiqua" w:cs="宋体"/>
                <w:color w:val="000000"/>
                <w:lang w:eastAsia="zh-CN"/>
              </w:rPr>
              <w:t>)</w:t>
            </w:r>
          </w:p>
        </w:tc>
        <w:tc>
          <w:tcPr>
            <w:tcW w:w="1214" w:type="dxa"/>
            <w:tcBorders>
              <w:top w:val="nil"/>
              <w:left w:val="nil"/>
              <w:bottom w:val="single" w:sz="4" w:space="0" w:color="auto"/>
              <w:right w:val="nil"/>
            </w:tcBorders>
            <w:shd w:val="clear" w:color="auto" w:fill="auto"/>
            <w:noWrap/>
            <w:vAlign w:val="center"/>
            <w:hideMark/>
          </w:tcPr>
          <w:p w14:paraId="10B0CA10" w14:textId="77777777" w:rsidR="001538BA" w:rsidRPr="001538BA" w:rsidRDefault="001538BA" w:rsidP="00CA3946">
            <w:pPr>
              <w:spacing w:line="360" w:lineRule="auto"/>
              <w:rPr>
                <w:rFonts w:ascii="Book Antiqua" w:eastAsia="宋体" w:hAnsi="Book Antiqua" w:cs="宋体"/>
                <w:color w:val="000000"/>
                <w:lang w:eastAsia="zh-CN"/>
              </w:rPr>
            </w:pPr>
            <w:r w:rsidRPr="001538BA">
              <w:rPr>
                <w:rFonts w:ascii="Book Antiqua" w:eastAsia="宋体" w:hAnsi="Book Antiqua" w:cs="宋体"/>
                <w:color w:val="000000"/>
                <w:lang w:eastAsia="zh-CN"/>
              </w:rPr>
              <w:t>0 (0</w:t>
            </w:r>
            <w:r>
              <w:rPr>
                <w:rFonts w:ascii="Book Antiqua" w:eastAsia="宋体" w:hAnsi="Book Antiqua" w:cs="宋体"/>
                <w:color w:val="000000"/>
                <w:lang w:eastAsia="zh-CN"/>
              </w:rPr>
              <w:t>)</w:t>
            </w:r>
          </w:p>
        </w:tc>
      </w:tr>
    </w:tbl>
    <w:p w14:paraId="024362AE" w14:textId="6618AF75" w:rsidR="001538BA" w:rsidRPr="00A63C5E" w:rsidRDefault="001538BA" w:rsidP="00CA3946">
      <w:pPr>
        <w:spacing w:line="360" w:lineRule="auto"/>
        <w:jc w:val="both"/>
        <w:rPr>
          <w:rFonts w:ascii="Book Antiqua" w:hAnsi="Book Antiqua"/>
          <w:lang w:eastAsia="zh-CN"/>
        </w:rPr>
      </w:pPr>
      <w:r w:rsidRPr="00A63C5E">
        <w:rPr>
          <w:rFonts w:ascii="Book Antiqua" w:hAnsi="Book Antiqua"/>
          <w:lang w:eastAsia="zh-CN"/>
        </w:rPr>
        <w:t xml:space="preserve">CD: </w:t>
      </w:r>
      <w:r w:rsidRPr="00A63C5E">
        <w:rPr>
          <w:rFonts w:ascii="Book Antiqua" w:eastAsia="Book Antiqua" w:hAnsi="Book Antiqua" w:cs="Book Antiqua"/>
          <w:color w:val="000000"/>
        </w:rPr>
        <w:t>Crohn’s disease</w:t>
      </w:r>
      <w:r w:rsidRPr="00A63C5E">
        <w:rPr>
          <w:rFonts w:ascii="Book Antiqua" w:hAnsi="Book Antiqua" w:cs="Book Antiqua"/>
          <w:color w:val="000000"/>
          <w:lang w:eastAsia="zh-CN"/>
        </w:rPr>
        <w:t>; UC:</w:t>
      </w:r>
      <w:r w:rsidRPr="00A63C5E">
        <w:rPr>
          <w:rFonts w:ascii="Book Antiqua" w:eastAsia="Book Antiqua" w:hAnsi="Book Antiqua" w:cs="Book Antiqua"/>
          <w:color w:val="000000"/>
        </w:rPr>
        <w:t xml:space="preserve"> </w:t>
      </w:r>
      <w:r w:rsidRPr="00A63C5E">
        <w:rPr>
          <w:rFonts w:ascii="Book Antiqua" w:eastAsia="Book Antiqua" w:hAnsi="Book Antiqua" w:cs="Book Antiqua"/>
          <w:caps/>
          <w:color w:val="000000"/>
        </w:rPr>
        <w:t>u</w:t>
      </w:r>
      <w:r w:rsidRPr="00A63C5E">
        <w:rPr>
          <w:rFonts w:ascii="Book Antiqua" w:eastAsia="Book Antiqua" w:hAnsi="Book Antiqua" w:cs="Book Antiqua"/>
          <w:color w:val="000000"/>
        </w:rPr>
        <w:t>lcerative colitis</w:t>
      </w:r>
      <w:r w:rsidRPr="00A63C5E">
        <w:rPr>
          <w:rFonts w:ascii="Book Antiqua" w:hAnsi="Book Antiqua"/>
          <w:lang w:eastAsia="zh-CN"/>
        </w:rPr>
        <w:t xml:space="preserve">; AZA: </w:t>
      </w:r>
      <w:r w:rsidRPr="00A63C5E">
        <w:rPr>
          <w:rFonts w:ascii="Book Antiqua" w:hAnsi="Book Antiqua"/>
          <w:caps/>
          <w:lang w:eastAsia="zh-CN"/>
        </w:rPr>
        <w:t>a</w:t>
      </w:r>
      <w:r w:rsidRPr="00A63C5E">
        <w:rPr>
          <w:rFonts w:ascii="Book Antiqua" w:hAnsi="Book Antiqua"/>
          <w:lang w:eastAsia="zh-CN"/>
        </w:rPr>
        <w:t>zathioprine; 6-MP: 6-</w:t>
      </w:r>
      <w:r w:rsidR="0083055D">
        <w:rPr>
          <w:rFonts w:ascii="Book Antiqua" w:hAnsi="Book Antiqua"/>
          <w:lang w:eastAsia="zh-CN"/>
        </w:rPr>
        <w:t>M</w:t>
      </w:r>
      <w:r w:rsidRPr="00A63C5E">
        <w:rPr>
          <w:rFonts w:ascii="Book Antiqua" w:hAnsi="Book Antiqua"/>
          <w:lang w:eastAsia="zh-CN"/>
        </w:rPr>
        <w:t xml:space="preserve">ercaptopurine; MTX: </w:t>
      </w:r>
      <w:r w:rsidRPr="00A63C5E">
        <w:rPr>
          <w:rFonts w:ascii="Book Antiqua" w:hAnsi="Book Antiqua"/>
          <w:caps/>
          <w:lang w:eastAsia="zh-CN"/>
        </w:rPr>
        <w:t>m</w:t>
      </w:r>
      <w:r w:rsidRPr="00A63C5E">
        <w:rPr>
          <w:rFonts w:ascii="Book Antiqua" w:hAnsi="Book Antiqua"/>
          <w:lang w:eastAsia="zh-CN"/>
        </w:rPr>
        <w:t>ethotrexate.</w:t>
      </w:r>
    </w:p>
    <w:p w14:paraId="6E2D6960" w14:textId="77777777" w:rsidR="005513F1" w:rsidRPr="005513F1" w:rsidRDefault="005513F1" w:rsidP="00CA3946">
      <w:pPr>
        <w:spacing w:line="360" w:lineRule="auto"/>
        <w:jc w:val="both"/>
        <w:rPr>
          <w:rFonts w:ascii="Book Antiqua" w:hAnsi="Book Antiqua" w:cs="Calibri"/>
          <w:b/>
          <w:color w:val="000000"/>
          <w:lang w:eastAsia="zh-CN"/>
        </w:rPr>
      </w:pPr>
      <w:r>
        <w:rPr>
          <w:lang w:eastAsia="zh-CN"/>
        </w:rPr>
        <w:br w:type="page"/>
      </w:r>
      <w:r w:rsidRPr="00E34634">
        <w:rPr>
          <w:rFonts w:ascii="Book Antiqua" w:eastAsia="Times New Roman" w:hAnsi="Book Antiqua" w:cs="Calibri"/>
          <w:b/>
          <w:bCs/>
          <w:color w:val="000000"/>
          <w:lang w:eastAsia="es-ES"/>
        </w:rPr>
        <w:lastRenderedPageBreak/>
        <w:t xml:space="preserve">Table 3 </w:t>
      </w:r>
      <w:r w:rsidRPr="00E34634">
        <w:rPr>
          <w:rFonts w:ascii="Book Antiqua" w:eastAsia="Times New Roman" w:hAnsi="Book Antiqua" w:cs="Calibri"/>
          <w:b/>
          <w:color w:val="000000"/>
          <w:lang w:eastAsia="es-ES"/>
        </w:rPr>
        <w:t xml:space="preserve">Montreal classification of </w:t>
      </w:r>
      <w:r w:rsidRPr="005513F1">
        <w:rPr>
          <w:rFonts w:ascii="Book Antiqua" w:eastAsia="Times New Roman" w:hAnsi="Book Antiqua" w:cs="Calibri"/>
          <w:b/>
          <w:color w:val="000000"/>
          <w:lang w:eastAsia="es-ES"/>
        </w:rPr>
        <w:t xml:space="preserve">Crohn’s disease </w:t>
      </w:r>
      <w:r w:rsidRPr="00E34634">
        <w:rPr>
          <w:rFonts w:ascii="Book Antiqua" w:eastAsia="Times New Roman" w:hAnsi="Book Antiqua" w:cs="Calibri"/>
          <w:b/>
          <w:color w:val="000000"/>
          <w:lang w:eastAsia="es-ES"/>
        </w:rPr>
        <w:t xml:space="preserve">and </w:t>
      </w:r>
      <w:r w:rsidRPr="005513F1">
        <w:rPr>
          <w:rFonts w:ascii="Book Antiqua" w:eastAsia="Times New Roman" w:hAnsi="Book Antiqua" w:cs="Calibri"/>
          <w:b/>
          <w:color w:val="000000"/>
          <w:lang w:eastAsia="es-ES"/>
        </w:rPr>
        <w:t>ulcerative colitis</w:t>
      </w:r>
      <w:r w:rsidRPr="00E34634">
        <w:rPr>
          <w:rFonts w:ascii="Book Antiqua" w:eastAsia="Times New Roman" w:hAnsi="Book Antiqua" w:cs="Calibri"/>
          <w:b/>
          <w:color w:val="000000"/>
          <w:lang w:eastAsia="es-ES"/>
        </w:rPr>
        <w:t xml:space="preserve"> at baseline</w:t>
      </w:r>
      <w:r>
        <w:rPr>
          <w:rFonts w:ascii="Book Antiqua" w:hAnsi="Book Antiqua" w:cs="Calibri" w:hint="eastAsia"/>
          <w:b/>
          <w:color w:val="000000"/>
          <w:lang w:eastAsia="zh-CN"/>
        </w:rPr>
        <w:t xml:space="preserve">, </w:t>
      </w:r>
      <w:r w:rsidRPr="00B66BA9">
        <w:rPr>
          <w:rFonts w:ascii="Book Antiqua" w:hAnsi="Book Antiqua" w:cs="Calibri" w:hint="eastAsia"/>
          <w:b/>
          <w:i/>
          <w:color w:val="000000"/>
          <w:lang w:eastAsia="zh-CN"/>
        </w:rPr>
        <w:t>n</w:t>
      </w:r>
      <w:r w:rsidR="00B66BA9">
        <w:rPr>
          <w:rFonts w:ascii="Book Antiqua" w:hAnsi="Book Antiqua" w:cs="Calibri" w:hint="eastAsia"/>
          <w:b/>
          <w:color w:val="000000"/>
          <w:lang w:eastAsia="zh-CN"/>
        </w:rPr>
        <w:t xml:space="preserve"> </w:t>
      </w:r>
      <w:r>
        <w:rPr>
          <w:rFonts w:ascii="Book Antiqua" w:hAnsi="Book Antiqua" w:cs="Calibri" w:hint="eastAsia"/>
          <w:b/>
          <w:color w:val="000000"/>
          <w:lang w:eastAsia="zh-CN"/>
        </w:rPr>
        <w:t>(%)</w:t>
      </w:r>
    </w:p>
    <w:tbl>
      <w:tblPr>
        <w:tblW w:w="9371" w:type="dxa"/>
        <w:tblInd w:w="93" w:type="dxa"/>
        <w:tblLook w:val="04A0" w:firstRow="1" w:lastRow="0" w:firstColumn="1" w:lastColumn="0" w:noHBand="0" w:noVBand="1"/>
      </w:tblPr>
      <w:tblGrid>
        <w:gridCol w:w="6961"/>
        <w:gridCol w:w="2410"/>
      </w:tblGrid>
      <w:tr w:rsidR="005513F1" w:rsidRPr="005513F1" w14:paraId="63B34EB9" w14:textId="77777777" w:rsidTr="00B94526">
        <w:trPr>
          <w:trHeight w:val="244"/>
        </w:trPr>
        <w:tc>
          <w:tcPr>
            <w:tcW w:w="6961" w:type="dxa"/>
            <w:tcBorders>
              <w:top w:val="single" w:sz="4" w:space="0" w:color="auto"/>
              <w:left w:val="nil"/>
              <w:bottom w:val="single" w:sz="4" w:space="0" w:color="auto"/>
              <w:right w:val="nil"/>
            </w:tcBorders>
            <w:shd w:val="clear" w:color="auto" w:fill="auto"/>
            <w:noWrap/>
            <w:vAlign w:val="center"/>
            <w:hideMark/>
          </w:tcPr>
          <w:p w14:paraId="5F30829C" w14:textId="77777777" w:rsidR="005513F1" w:rsidRPr="005513F1" w:rsidRDefault="005513F1" w:rsidP="00CA3946">
            <w:pPr>
              <w:spacing w:line="360" w:lineRule="auto"/>
              <w:rPr>
                <w:rFonts w:ascii="Book Antiqua" w:eastAsia="宋体" w:hAnsi="Book Antiqua" w:cs="宋体"/>
                <w:b/>
                <w:bCs/>
                <w:color w:val="000000"/>
                <w:lang w:eastAsia="zh-CN"/>
              </w:rPr>
            </w:pPr>
            <w:r w:rsidRPr="005513F1">
              <w:rPr>
                <w:rFonts w:ascii="Book Antiqua" w:eastAsia="宋体" w:hAnsi="Book Antiqua" w:cs="宋体"/>
                <w:b/>
                <w:bCs/>
                <w:color w:val="000000"/>
                <w:lang w:eastAsia="zh-CN"/>
              </w:rPr>
              <w:t>Montreal classification of CD</w:t>
            </w:r>
          </w:p>
        </w:tc>
        <w:tc>
          <w:tcPr>
            <w:tcW w:w="2410" w:type="dxa"/>
            <w:tcBorders>
              <w:top w:val="single" w:sz="4" w:space="0" w:color="auto"/>
              <w:left w:val="nil"/>
              <w:bottom w:val="single" w:sz="4" w:space="0" w:color="auto"/>
              <w:right w:val="nil"/>
            </w:tcBorders>
            <w:shd w:val="clear" w:color="auto" w:fill="auto"/>
            <w:noWrap/>
            <w:vAlign w:val="center"/>
            <w:hideMark/>
          </w:tcPr>
          <w:p w14:paraId="630F7974" w14:textId="77777777" w:rsidR="005513F1" w:rsidRPr="005513F1" w:rsidRDefault="005513F1" w:rsidP="00CA3946">
            <w:pPr>
              <w:spacing w:line="360" w:lineRule="auto"/>
              <w:rPr>
                <w:rFonts w:ascii="Book Antiqua" w:eastAsia="宋体" w:hAnsi="Book Antiqua" w:cs="宋体"/>
                <w:b/>
                <w:bCs/>
                <w:color w:val="000000"/>
                <w:lang w:eastAsia="zh-CN"/>
              </w:rPr>
            </w:pPr>
            <w:r w:rsidRPr="005513F1">
              <w:rPr>
                <w:rFonts w:ascii="Book Antiqua" w:eastAsia="宋体" w:hAnsi="Book Antiqua" w:cs="宋体"/>
                <w:b/>
                <w:bCs/>
                <w:color w:val="000000"/>
                <w:lang w:eastAsia="zh-CN"/>
              </w:rPr>
              <w:t>CD (</w:t>
            </w:r>
            <w:r w:rsidRPr="005513F1">
              <w:rPr>
                <w:rFonts w:ascii="Book Antiqua" w:eastAsia="宋体" w:hAnsi="Book Antiqua" w:cs="宋体"/>
                <w:b/>
                <w:bCs/>
                <w:i/>
                <w:iCs/>
                <w:color w:val="000000"/>
                <w:lang w:eastAsia="zh-CN"/>
              </w:rPr>
              <w:t>n</w:t>
            </w:r>
            <w:r w:rsidRPr="005513F1">
              <w:rPr>
                <w:rFonts w:ascii="Book Antiqua" w:eastAsia="宋体" w:hAnsi="Book Antiqua" w:cs="宋体"/>
                <w:b/>
                <w:bCs/>
                <w:color w:val="000000"/>
                <w:lang w:eastAsia="zh-CN"/>
              </w:rPr>
              <w:t xml:space="preserve"> = 133)</w:t>
            </w:r>
          </w:p>
        </w:tc>
      </w:tr>
      <w:tr w:rsidR="005513F1" w:rsidRPr="005513F1" w14:paraId="072AA928" w14:textId="77777777" w:rsidTr="00B94526">
        <w:trPr>
          <w:trHeight w:val="307"/>
        </w:trPr>
        <w:tc>
          <w:tcPr>
            <w:tcW w:w="6961" w:type="dxa"/>
            <w:tcBorders>
              <w:top w:val="single" w:sz="4" w:space="0" w:color="auto"/>
              <w:left w:val="nil"/>
              <w:bottom w:val="nil"/>
              <w:right w:val="nil"/>
            </w:tcBorders>
            <w:shd w:val="clear" w:color="auto" w:fill="auto"/>
            <w:noWrap/>
            <w:vAlign w:val="center"/>
            <w:hideMark/>
          </w:tcPr>
          <w:p w14:paraId="70E00B83" w14:textId="77777777" w:rsidR="005513F1" w:rsidRPr="005513F1" w:rsidRDefault="005513F1" w:rsidP="00CA3946">
            <w:pPr>
              <w:spacing w:line="360" w:lineRule="auto"/>
              <w:ind w:firstLineChars="100" w:firstLine="240"/>
              <w:rPr>
                <w:rFonts w:ascii="Book Antiqua" w:eastAsia="宋体" w:hAnsi="Book Antiqua" w:cs="宋体"/>
                <w:color w:val="000000"/>
                <w:lang w:eastAsia="zh-CN"/>
              </w:rPr>
            </w:pPr>
            <w:r w:rsidRPr="005513F1">
              <w:rPr>
                <w:rFonts w:ascii="Book Antiqua" w:eastAsia="宋体" w:hAnsi="Book Antiqua" w:cs="宋体"/>
                <w:color w:val="000000"/>
                <w:lang w:eastAsia="zh-CN"/>
              </w:rPr>
              <w:t>Age of diagnosis</w:t>
            </w:r>
          </w:p>
        </w:tc>
        <w:tc>
          <w:tcPr>
            <w:tcW w:w="2410" w:type="dxa"/>
            <w:tcBorders>
              <w:top w:val="single" w:sz="4" w:space="0" w:color="auto"/>
              <w:left w:val="nil"/>
              <w:bottom w:val="nil"/>
              <w:right w:val="nil"/>
            </w:tcBorders>
            <w:shd w:val="clear" w:color="auto" w:fill="auto"/>
            <w:noWrap/>
            <w:vAlign w:val="bottom"/>
            <w:hideMark/>
          </w:tcPr>
          <w:p w14:paraId="5E26878A" w14:textId="77777777" w:rsidR="005513F1" w:rsidRPr="005513F1" w:rsidRDefault="005513F1" w:rsidP="00CA3946">
            <w:pPr>
              <w:spacing w:line="360" w:lineRule="auto"/>
              <w:rPr>
                <w:rFonts w:ascii="Calibri" w:eastAsia="宋体" w:hAnsi="Calibri" w:cs="Calibri"/>
                <w:color w:val="000000"/>
                <w:sz w:val="22"/>
                <w:szCs w:val="22"/>
                <w:lang w:eastAsia="zh-CN"/>
              </w:rPr>
            </w:pPr>
          </w:p>
        </w:tc>
      </w:tr>
      <w:tr w:rsidR="005513F1" w:rsidRPr="005513F1" w14:paraId="5C4C5E7B" w14:textId="77777777" w:rsidTr="005C721E">
        <w:trPr>
          <w:trHeight w:val="307"/>
        </w:trPr>
        <w:tc>
          <w:tcPr>
            <w:tcW w:w="6961" w:type="dxa"/>
            <w:tcBorders>
              <w:top w:val="nil"/>
              <w:left w:val="nil"/>
              <w:bottom w:val="nil"/>
              <w:right w:val="nil"/>
            </w:tcBorders>
            <w:shd w:val="clear" w:color="auto" w:fill="auto"/>
            <w:noWrap/>
            <w:vAlign w:val="center"/>
            <w:hideMark/>
          </w:tcPr>
          <w:p w14:paraId="0AA805DA" w14:textId="77777777" w:rsidR="005513F1" w:rsidRPr="005513F1" w:rsidRDefault="00B66BA9" w:rsidP="00CA3946">
            <w:pPr>
              <w:spacing w:line="360" w:lineRule="auto"/>
              <w:ind w:firstLineChars="300" w:firstLine="720"/>
              <w:rPr>
                <w:rFonts w:ascii="Book Antiqua" w:eastAsia="宋体" w:hAnsi="Book Antiqua" w:cs="宋体"/>
                <w:color w:val="000000"/>
                <w:lang w:eastAsia="zh-CN"/>
              </w:rPr>
            </w:pPr>
            <w:r>
              <w:rPr>
                <w:rFonts w:ascii="Book Antiqua" w:eastAsia="宋体" w:hAnsi="Book Antiqua" w:cs="宋体"/>
                <w:color w:val="000000"/>
                <w:lang w:eastAsia="zh-CN"/>
              </w:rPr>
              <w:t xml:space="preserve">A1 (below 16 </w:t>
            </w:r>
            <w:proofErr w:type="spellStart"/>
            <w:r>
              <w:rPr>
                <w:rFonts w:ascii="Book Antiqua" w:eastAsia="宋体" w:hAnsi="Book Antiqua" w:cs="宋体"/>
                <w:color w:val="000000"/>
                <w:lang w:eastAsia="zh-CN"/>
              </w:rPr>
              <w:t>yr</w:t>
            </w:r>
            <w:proofErr w:type="spellEnd"/>
            <w:r w:rsidR="005513F1" w:rsidRPr="005513F1">
              <w:rPr>
                <w:rFonts w:ascii="Book Antiqua" w:eastAsia="宋体" w:hAnsi="Book Antiqua" w:cs="宋体"/>
                <w:color w:val="000000"/>
                <w:lang w:eastAsia="zh-CN"/>
              </w:rPr>
              <w:t>)</w:t>
            </w:r>
          </w:p>
        </w:tc>
        <w:tc>
          <w:tcPr>
            <w:tcW w:w="2410" w:type="dxa"/>
            <w:tcBorders>
              <w:top w:val="nil"/>
              <w:left w:val="nil"/>
              <w:bottom w:val="nil"/>
              <w:right w:val="nil"/>
            </w:tcBorders>
            <w:shd w:val="clear" w:color="auto" w:fill="auto"/>
            <w:noWrap/>
            <w:vAlign w:val="center"/>
            <w:hideMark/>
          </w:tcPr>
          <w:p w14:paraId="6AF53703" w14:textId="77777777" w:rsidR="005513F1" w:rsidRPr="005513F1" w:rsidRDefault="005513F1" w:rsidP="00CA3946">
            <w:pPr>
              <w:spacing w:line="360" w:lineRule="auto"/>
              <w:rPr>
                <w:rFonts w:ascii="Book Antiqua" w:eastAsia="宋体" w:hAnsi="Book Antiqua" w:cs="宋体"/>
                <w:color w:val="000000"/>
                <w:lang w:eastAsia="zh-CN"/>
              </w:rPr>
            </w:pPr>
            <w:r w:rsidRPr="005513F1">
              <w:rPr>
                <w:rFonts w:ascii="Book Antiqua" w:eastAsia="宋体" w:hAnsi="Book Antiqua" w:cs="宋体"/>
                <w:color w:val="000000"/>
                <w:lang w:eastAsia="zh-CN"/>
              </w:rPr>
              <w:t>15 (11)</w:t>
            </w:r>
          </w:p>
        </w:tc>
      </w:tr>
      <w:tr w:rsidR="005513F1" w:rsidRPr="005513F1" w14:paraId="0DC0E06F" w14:textId="77777777" w:rsidTr="005C721E">
        <w:trPr>
          <w:trHeight w:val="307"/>
        </w:trPr>
        <w:tc>
          <w:tcPr>
            <w:tcW w:w="6961" w:type="dxa"/>
            <w:tcBorders>
              <w:top w:val="nil"/>
              <w:left w:val="nil"/>
              <w:bottom w:val="nil"/>
              <w:right w:val="nil"/>
            </w:tcBorders>
            <w:shd w:val="clear" w:color="auto" w:fill="auto"/>
            <w:noWrap/>
            <w:vAlign w:val="center"/>
            <w:hideMark/>
          </w:tcPr>
          <w:p w14:paraId="78D18034" w14:textId="77777777" w:rsidR="005513F1" w:rsidRPr="005513F1" w:rsidRDefault="00B66BA9" w:rsidP="00CA3946">
            <w:pPr>
              <w:spacing w:line="360" w:lineRule="auto"/>
              <w:ind w:firstLineChars="300" w:firstLine="720"/>
              <w:rPr>
                <w:rFonts w:ascii="Book Antiqua" w:eastAsia="宋体" w:hAnsi="Book Antiqua" w:cs="宋体"/>
                <w:color w:val="000000"/>
                <w:lang w:eastAsia="zh-CN"/>
              </w:rPr>
            </w:pPr>
            <w:r>
              <w:rPr>
                <w:rFonts w:ascii="Book Antiqua" w:eastAsia="宋体" w:hAnsi="Book Antiqua" w:cs="宋体"/>
                <w:color w:val="000000"/>
                <w:lang w:eastAsia="zh-CN"/>
              </w:rPr>
              <w:t xml:space="preserve">A2 (between 17 and 40 </w:t>
            </w:r>
            <w:proofErr w:type="spellStart"/>
            <w:r>
              <w:rPr>
                <w:rFonts w:ascii="Book Antiqua" w:eastAsia="宋体" w:hAnsi="Book Antiqua" w:cs="宋体"/>
                <w:color w:val="000000"/>
                <w:lang w:eastAsia="zh-CN"/>
              </w:rPr>
              <w:t>yr</w:t>
            </w:r>
            <w:proofErr w:type="spellEnd"/>
            <w:r w:rsidR="005513F1" w:rsidRPr="005513F1">
              <w:rPr>
                <w:rFonts w:ascii="Book Antiqua" w:eastAsia="宋体" w:hAnsi="Book Antiqua" w:cs="宋体"/>
                <w:color w:val="000000"/>
                <w:lang w:eastAsia="zh-CN"/>
              </w:rPr>
              <w:t>)</w:t>
            </w:r>
          </w:p>
        </w:tc>
        <w:tc>
          <w:tcPr>
            <w:tcW w:w="2410" w:type="dxa"/>
            <w:tcBorders>
              <w:top w:val="nil"/>
              <w:left w:val="nil"/>
              <w:bottom w:val="nil"/>
              <w:right w:val="nil"/>
            </w:tcBorders>
            <w:shd w:val="clear" w:color="auto" w:fill="auto"/>
            <w:noWrap/>
            <w:vAlign w:val="center"/>
            <w:hideMark/>
          </w:tcPr>
          <w:p w14:paraId="18303DD5" w14:textId="77777777" w:rsidR="005513F1" w:rsidRPr="005513F1" w:rsidRDefault="005513F1" w:rsidP="00CA3946">
            <w:pPr>
              <w:spacing w:line="360" w:lineRule="auto"/>
              <w:rPr>
                <w:rFonts w:ascii="Book Antiqua" w:eastAsia="宋体" w:hAnsi="Book Antiqua" w:cs="宋体"/>
                <w:color w:val="000000"/>
                <w:lang w:eastAsia="zh-CN"/>
              </w:rPr>
            </w:pPr>
            <w:r w:rsidRPr="005513F1">
              <w:rPr>
                <w:rFonts w:ascii="Book Antiqua" w:eastAsia="宋体" w:hAnsi="Book Antiqua" w:cs="宋体"/>
                <w:color w:val="000000"/>
                <w:lang w:eastAsia="zh-CN"/>
              </w:rPr>
              <w:t>90 (68)</w:t>
            </w:r>
          </w:p>
        </w:tc>
      </w:tr>
      <w:tr w:rsidR="005513F1" w:rsidRPr="005513F1" w14:paraId="6E5BFD62" w14:textId="77777777" w:rsidTr="005C721E">
        <w:trPr>
          <w:trHeight w:val="307"/>
        </w:trPr>
        <w:tc>
          <w:tcPr>
            <w:tcW w:w="6961" w:type="dxa"/>
            <w:tcBorders>
              <w:top w:val="nil"/>
              <w:left w:val="nil"/>
              <w:bottom w:val="nil"/>
              <w:right w:val="nil"/>
            </w:tcBorders>
            <w:shd w:val="clear" w:color="auto" w:fill="auto"/>
            <w:noWrap/>
            <w:vAlign w:val="center"/>
            <w:hideMark/>
          </w:tcPr>
          <w:p w14:paraId="3B6EC3D0" w14:textId="77777777" w:rsidR="005513F1" w:rsidRPr="005513F1" w:rsidRDefault="00B66BA9" w:rsidP="00CA3946">
            <w:pPr>
              <w:spacing w:line="360" w:lineRule="auto"/>
              <w:ind w:firstLineChars="300" w:firstLine="720"/>
              <w:rPr>
                <w:rFonts w:ascii="Book Antiqua" w:eastAsia="宋体" w:hAnsi="Book Antiqua" w:cs="宋体"/>
                <w:color w:val="000000"/>
                <w:lang w:eastAsia="zh-CN"/>
              </w:rPr>
            </w:pPr>
            <w:r>
              <w:rPr>
                <w:rFonts w:ascii="Book Antiqua" w:eastAsia="宋体" w:hAnsi="Book Antiqua" w:cs="宋体"/>
                <w:color w:val="000000"/>
                <w:lang w:eastAsia="zh-CN"/>
              </w:rPr>
              <w:t xml:space="preserve">A3 (above 40 </w:t>
            </w:r>
            <w:proofErr w:type="spellStart"/>
            <w:r>
              <w:rPr>
                <w:rFonts w:ascii="Book Antiqua" w:eastAsia="宋体" w:hAnsi="Book Antiqua" w:cs="宋体"/>
                <w:color w:val="000000"/>
                <w:lang w:eastAsia="zh-CN"/>
              </w:rPr>
              <w:t>yr</w:t>
            </w:r>
            <w:proofErr w:type="spellEnd"/>
            <w:r w:rsidR="005513F1" w:rsidRPr="005513F1">
              <w:rPr>
                <w:rFonts w:ascii="Book Antiqua" w:eastAsia="宋体" w:hAnsi="Book Antiqua" w:cs="宋体"/>
                <w:color w:val="000000"/>
                <w:lang w:eastAsia="zh-CN"/>
              </w:rPr>
              <w:t>)</w:t>
            </w:r>
          </w:p>
        </w:tc>
        <w:tc>
          <w:tcPr>
            <w:tcW w:w="2410" w:type="dxa"/>
            <w:tcBorders>
              <w:top w:val="nil"/>
              <w:left w:val="nil"/>
              <w:bottom w:val="nil"/>
              <w:right w:val="nil"/>
            </w:tcBorders>
            <w:shd w:val="clear" w:color="auto" w:fill="auto"/>
            <w:noWrap/>
            <w:vAlign w:val="center"/>
            <w:hideMark/>
          </w:tcPr>
          <w:p w14:paraId="235AD2F6" w14:textId="77777777" w:rsidR="005513F1" w:rsidRPr="005513F1" w:rsidRDefault="005513F1" w:rsidP="00CA3946">
            <w:pPr>
              <w:spacing w:line="360" w:lineRule="auto"/>
              <w:rPr>
                <w:rFonts w:ascii="Book Antiqua" w:eastAsia="宋体" w:hAnsi="Book Antiqua" w:cs="宋体"/>
                <w:color w:val="000000"/>
                <w:lang w:eastAsia="zh-CN"/>
              </w:rPr>
            </w:pPr>
            <w:r w:rsidRPr="005513F1">
              <w:rPr>
                <w:rFonts w:ascii="Book Antiqua" w:eastAsia="宋体" w:hAnsi="Book Antiqua" w:cs="宋体"/>
                <w:color w:val="000000"/>
                <w:lang w:eastAsia="zh-CN"/>
              </w:rPr>
              <w:t>18 (14)</w:t>
            </w:r>
          </w:p>
        </w:tc>
      </w:tr>
      <w:tr w:rsidR="005513F1" w:rsidRPr="005513F1" w14:paraId="31688F2B" w14:textId="77777777" w:rsidTr="005C721E">
        <w:trPr>
          <w:trHeight w:val="307"/>
        </w:trPr>
        <w:tc>
          <w:tcPr>
            <w:tcW w:w="6961" w:type="dxa"/>
            <w:tcBorders>
              <w:top w:val="nil"/>
              <w:left w:val="nil"/>
              <w:bottom w:val="nil"/>
              <w:right w:val="nil"/>
            </w:tcBorders>
            <w:shd w:val="clear" w:color="auto" w:fill="auto"/>
            <w:noWrap/>
            <w:vAlign w:val="center"/>
            <w:hideMark/>
          </w:tcPr>
          <w:p w14:paraId="5A148685" w14:textId="77777777" w:rsidR="005513F1" w:rsidRPr="005513F1" w:rsidRDefault="005513F1" w:rsidP="00CA3946">
            <w:pPr>
              <w:spacing w:line="360" w:lineRule="auto"/>
              <w:ind w:firstLineChars="300" w:firstLine="720"/>
              <w:rPr>
                <w:rFonts w:ascii="Book Antiqua" w:eastAsia="宋体" w:hAnsi="Book Antiqua" w:cs="宋体"/>
                <w:color w:val="000000"/>
                <w:lang w:eastAsia="zh-CN"/>
              </w:rPr>
            </w:pPr>
            <w:r w:rsidRPr="005513F1">
              <w:rPr>
                <w:rFonts w:ascii="Book Antiqua" w:eastAsia="宋体" w:hAnsi="Book Antiqua" w:cs="宋体"/>
                <w:color w:val="000000"/>
                <w:lang w:eastAsia="zh-CN"/>
              </w:rPr>
              <w:t xml:space="preserve">- </w:t>
            </w:r>
          </w:p>
        </w:tc>
        <w:tc>
          <w:tcPr>
            <w:tcW w:w="2410" w:type="dxa"/>
            <w:tcBorders>
              <w:top w:val="nil"/>
              <w:left w:val="nil"/>
              <w:bottom w:val="nil"/>
              <w:right w:val="nil"/>
            </w:tcBorders>
            <w:shd w:val="clear" w:color="auto" w:fill="auto"/>
            <w:noWrap/>
            <w:vAlign w:val="center"/>
            <w:hideMark/>
          </w:tcPr>
          <w:p w14:paraId="60798823" w14:textId="77777777" w:rsidR="005513F1" w:rsidRPr="005513F1" w:rsidRDefault="005513F1" w:rsidP="00CA3946">
            <w:pPr>
              <w:spacing w:line="360" w:lineRule="auto"/>
              <w:rPr>
                <w:rFonts w:ascii="Book Antiqua" w:eastAsia="宋体" w:hAnsi="Book Antiqua" w:cs="宋体"/>
                <w:color w:val="000000"/>
                <w:lang w:eastAsia="zh-CN"/>
              </w:rPr>
            </w:pPr>
            <w:r w:rsidRPr="005513F1">
              <w:rPr>
                <w:rFonts w:ascii="Book Antiqua" w:eastAsia="宋体" w:hAnsi="Book Antiqua" w:cs="宋体"/>
                <w:color w:val="000000"/>
                <w:lang w:eastAsia="zh-CN"/>
              </w:rPr>
              <w:t>10 (8)</w:t>
            </w:r>
          </w:p>
        </w:tc>
      </w:tr>
      <w:tr w:rsidR="005513F1" w:rsidRPr="005513F1" w14:paraId="11D1C5EB" w14:textId="77777777" w:rsidTr="005C721E">
        <w:trPr>
          <w:trHeight w:val="307"/>
        </w:trPr>
        <w:tc>
          <w:tcPr>
            <w:tcW w:w="6961" w:type="dxa"/>
            <w:tcBorders>
              <w:top w:val="nil"/>
              <w:left w:val="nil"/>
              <w:bottom w:val="nil"/>
              <w:right w:val="nil"/>
            </w:tcBorders>
            <w:shd w:val="clear" w:color="auto" w:fill="auto"/>
            <w:noWrap/>
            <w:vAlign w:val="center"/>
            <w:hideMark/>
          </w:tcPr>
          <w:p w14:paraId="1349200B" w14:textId="77777777" w:rsidR="005513F1" w:rsidRPr="005513F1" w:rsidRDefault="005513F1" w:rsidP="00CA3946">
            <w:pPr>
              <w:spacing w:line="360" w:lineRule="auto"/>
              <w:ind w:firstLineChars="100" w:firstLine="240"/>
              <w:rPr>
                <w:rFonts w:ascii="Book Antiqua" w:eastAsia="宋体" w:hAnsi="Book Antiqua" w:cs="宋体"/>
                <w:color w:val="000000"/>
                <w:lang w:eastAsia="zh-CN"/>
              </w:rPr>
            </w:pPr>
            <w:r w:rsidRPr="005513F1">
              <w:rPr>
                <w:rFonts w:ascii="Book Antiqua" w:eastAsia="宋体" w:hAnsi="Book Antiqua" w:cs="宋体"/>
                <w:color w:val="000000"/>
                <w:lang w:eastAsia="zh-CN"/>
              </w:rPr>
              <w:t>Location</w:t>
            </w:r>
          </w:p>
        </w:tc>
        <w:tc>
          <w:tcPr>
            <w:tcW w:w="2410" w:type="dxa"/>
            <w:tcBorders>
              <w:top w:val="nil"/>
              <w:left w:val="nil"/>
              <w:bottom w:val="nil"/>
              <w:right w:val="nil"/>
            </w:tcBorders>
            <w:shd w:val="clear" w:color="auto" w:fill="auto"/>
            <w:noWrap/>
            <w:vAlign w:val="center"/>
            <w:hideMark/>
          </w:tcPr>
          <w:p w14:paraId="775EFB0B" w14:textId="77777777" w:rsidR="005513F1" w:rsidRPr="005513F1" w:rsidRDefault="005513F1" w:rsidP="00CA3946">
            <w:pPr>
              <w:spacing w:line="360" w:lineRule="auto"/>
              <w:rPr>
                <w:rFonts w:ascii="Calibri" w:eastAsia="宋体" w:hAnsi="Calibri" w:cs="Calibri"/>
                <w:color w:val="000000"/>
                <w:sz w:val="22"/>
                <w:szCs w:val="22"/>
                <w:lang w:eastAsia="zh-CN"/>
              </w:rPr>
            </w:pPr>
          </w:p>
        </w:tc>
      </w:tr>
      <w:tr w:rsidR="005513F1" w:rsidRPr="005513F1" w14:paraId="0855BE20" w14:textId="77777777" w:rsidTr="005C721E">
        <w:trPr>
          <w:trHeight w:val="307"/>
        </w:trPr>
        <w:tc>
          <w:tcPr>
            <w:tcW w:w="6961" w:type="dxa"/>
            <w:tcBorders>
              <w:top w:val="nil"/>
              <w:left w:val="nil"/>
              <w:bottom w:val="nil"/>
              <w:right w:val="nil"/>
            </w:tcBorders>
            <w:shd w:val="clear" w:color="auto" w:fill="auto"/>
            <w:noWrap/>
            <w:vAlign w:val="center"/>
            <w:hideMark/>
          </w:tcPr>
          <w:p w14:paraId="37A271A8" w14:textId="77777777" w:rsidR="005513F1" w:rsidRPr="005513F1" w:rsidRDefault="005513F1" w:rsidP="00CA3946">
            <w:pPr>
              <w:spacing w:line="360" w:lineRule="auto"/>
              <w:ind w:firstLineChars="300" w:firstLine="720"/>
              <w:rPr>
                <w:rFonts w:ascii="Book Antiqua" w:eastAsia="宋体" w:hAnsi="Book Antiqua" w:cs="宋体"/>
                <w:color w:val="000000"/>
                <w:lang w:eastAsia="zh-CN"/>
              </w:rPr>
            </w:pPr>
            <w:r w:rsidRPr="005513F1">
              <w:rPr>
                <w:rFonts w:ascii="Book Antiqua" w:eastAsia="宋体" w:hAnsi="Book Antiqua" w:cs="宋体"/>
                <w:color w:val="000000"/>
                <w:lang w:eastAsia="zh-CN"/>
              </w:rPr>
              <w:t>L1 (ileal)</w:t>
            </w:r>
          </w:p>
        </w:tc>
        <w:tc>
          <w:tcPr>
            <w:tcW w:w="2410" w:type="dxa"/>
            <w:tcBorders>
              <w:top w:val="nil"/>
              <w:left w:val="nil"/>
              <w:bottom w:val="nil"/>
              <w:right w:val="nil"/>
            </w:tcBorders>
            <w:shd w:val="clear" w:color="auto" w:fill="auto"/>
            <w:noWrap/>
            <w:vAlign w:val="center"/>
            <w:hideMark/>
          </w:tcPr>
          <w:p w14:paraId="6DEF1717" w14:textId="77777777" w:rsidR="005513F1" w:rsidRPr="005513F1" w:rsidRDefault="005513F1" w:rsidP="00CA3946">
            <w:pPr>
              <w:spacing w:line="360" w:lineRule="auto"/>
              <w:rPr>
                <w:rFonts w:ascii="Book Antiqua" w:eastAsia="宋体" w:hAnsi="Book Antiqua" w:cs="宋体"/>
                <w:color w:val="000000"/>
                <w:lang w:eastAsia="zh-CN"/>
              </w:rPr>
            </w:pPr>
            <w:r w:rsidRPr="005513F1">
              <w:rPr>
                <w:rFonts w:ascii="Book Antiqua" w:eastAsia="宋体" w:hAnsi="Book Antiqua" w:cs="宋体"/>
                <w:color w:val="000000"/>
                <w:lang w:eastAsia="zh-CN"/>
              </w:rPr>
              <w:t>62 (47)</w:t>
            </w:r>
          </w:p>
        </w:tc>
      </w:tr>
      <w:tr w:rsidR="005513F1" w:rsidRPr="005513F1" w14:paraId="702CD783" w14:textId="77777777" w:rsidTr="005C721E">
        <w:trPr>
          <w:trHeight w:val="307"/>
        </w:trPr>
        <w:tc>
          <w:tcPr>
            <w:tcW w:w="6961" w:type="dxa"/>
            <w:tcBorders>
              <w:top w:val="nil"/>
              <w:left w:val="nil"/>
              <w:bottom w:val="nil"/>
              <w:right w:val="nil"/>
            </w:tcBorders>
            <w:shd w:val="clear" w:color="auto" w:fill="auto"/>
            <w:noWrap/>
            <w:vAlign w:val="center"/>
            <w:hideMark/>
          </w:tcPr>
          <w:p w14:paraId="5C6B9356" w14:textId="77777777" w:rsidR="005513F1" w:rsidRPr="005513F1" w:rsidRDefault="005513F1" w:rsidP="00CA3946">
            <w:pPr>
              <w:spacing w:line="360" w:lineRule="auto"/>
              <w:ind w:firstLineChars="300" w:firstLine="720"/>
              <w:rPr>
                <w:rFonts w:ascii="Book Antiqua" w:eastAsia="宋体" w:hAnsi="Book Antiqua" w:cs="宋体"/>
                <w:color w:val="000000"/>
                <w:lang w:eastAsia="zh-CN"/>
              </w:rPr>
            </w:pPr>
            <w:r w:rsidRPr="005513F1">
              <w:rPr>
                <w:rFonts w:ascii="Book Antiqua" w:eastAsia="宋体" w:hAnsi="Book Antiqua" w:cs="宋体"/>
                <w:color w:val="000000"/>
                <w:lang w:eastAsia="zh-CN"/>
              </w:rPr>
              <w:t>L2 (colonic)</w:t>
            </w:r>
          </w:p>
        </w:tc>
        <w:tc>
          <w:tcPr>
            <w:tcW w:w="2410" w:type="dxa"/>
            <w:tcBorders>
              <w:top w:val="nil"/>
              <w:left w:val="nil"/>
              <w:bottom w:val="nil"/>
              <w:right w:val="nil"/>
            </w:tcBorders>
            <w:shd w:val="clear" w:color="auto" w:fill="auto"/>
            <w:noWrap/>
            <w:vAlign w:val="center"/>
            <w:hideMark/>
          </w:tcPr>
          <w:p w14:paraId="26002F8C" w14:textId="77777777" w:rsidR="005513F1" w:rsidRPr="005513F1" w:rsidRDefault="005513F1" w:rsidP="00CA3946">
            <w:pPr>
              <w:spacing w:line="360" w:lineRule="auto"/>
              <w:rPr>
                <w:rFonts w:ascii="Book Antiqua" w:eastAsia="宋体" w:hAnsi="Book Antiqua" w:cs="宋体"/>
                <w:color w:val="000000"/>
                <w:lang w:eastAsia="zh-CN"/>
              </w:rPr>
            </w:pPr>
            <w:r w:rsidRPr="005513F1">
              <w:rPr>
                <w:rFonts w:ascii="Book Antiqua" w:eastAsia="宋体" w:hAnsi="Book Antiqua" w:cs="宋体"/>
                <w:color w:val="000000"/>
                <w:lang w:eastAsia="zh-CN"/>
              </w:rPr>
              <w:t>16 (12)</w:t>
            </w:r>
          </w:p>
        </w:tc>
      </w:tr>
      <w:tr w:rsidR="005513F1" w:rsidRPr="005513F1" w14:paraId="303CAE0B" w14:textId="77777777" w:rsidTr="005C721E">
        <w:trPr>
          <w:trHeight w:val="307"/>
        </w:trPr>
        <w:tc>
          <w:tcPr>
            <w:tcW w:w="6961" w:type="dxa"/>
            <w:tcBorders>
              <w:top w:val="nil"/>
              <w:left w:val="nil"/>
              <w:bottom w:val="nil"/>
              <w:right w:val="nil"/>
            </w:tcBorders>
            <w:shd w:val="clear" w:color="auto" w:fill="auto"/>
            <w:noWrap/>
            <w:vAlign w:val="center"/>
            <w:hideMark/>
          </w:tcPr>
          <w:p w14:paraId="0354ABA3" w14:textId="77777777" w:rsidR="005513F1" w:rsidRPr="005513F1" w:rsidRDefault="005513F1" w:rsidP="00CA3946">
            <w:pPr>
              <w:spacing w:line="360" w:lineRule="auto"/>
              <w:ind w:firstLineChars="300" w:firstLine="720"/>
              <w:rPr>
                <w:rFonts w:ascii="Book Antiqua" w:eastAsia="宋体" w:hAnsi="Book Antiqua" w:cs="宋体"/>
                <w:color w:val="000000"/>
                <w:lang w:eastAsia="zh-CN"/>
              </w:rPr>
            </w:pPr>
            <w:r w:rsidRPr="005513F1">
              <w:rPr>
                <w:rFonts w:ascii="Book Antiqua" w:eastAsia="宋体" w:hAnsi="Book Antiqua" w:cs="宋体"/>
                <w:color w:val="000000"/>
                <w:lang w:eastAsia="zh-CN"/>
              </w:rPr>
              <w:t>L3 (ileocolonic)</w:t>
            </w:r>
          </w:p>
        </w:tc>
        <w:tc>
          <w:tcPr>
            <w:tcW w:w="2410" w:type="dxa"/>
            <w:tcBorders>
              <w:top w:val="nil"/>
              <w:left w:val="nil"/>
              <w:bottom w:val="nil"/>
              <w:right w:val="nil"/>
            </w:tcBorders>
            <w:shd w:val="clear" w:color="auto" w:fill="auto"/>
            <w:noWrap/>
            <w:vAlign w:val="center"/>
            <w:hideMark/>
          </w:tcPr>
          <w:p w14:paraId="6249472F" w14:textId="77777777" w:rsidR="005513F1" w:rsidRPr="005513F1" w:rsidRDefault="005513F1" w:rsidP="00CA3946">
            <w:pPr>
              <w:spacing w:line="360" w:lineRule="auto"/>
              <w:rPr>
                <w:rFonts w:ascii="Book Antiqua" w:eastAsia="宋体" w:hAnsi="Book Antiqua" w:cs="宋体"/>
                <w:color w:val="000000"/>
                <w:lang w:eastAsia="zh-CN"/>
              </w:rPr>
            </w:pPr>
            <w:r w:rsidRPr="005513F1">
              <w:rPr>
                <w:rFonts w:ascii="Book Antiqua" w:eastAsia="宋体" w:hAnsi="Book Antiqua" w:cs="宋体"/>
                <w:color w:val="000000"/>
                <w:lang w:eastAsia="zh-CN"/>
              </w:rPr>
              <w:t>47 (35)</w:t>
            </w:r>
          </w:p>
        </w:tc>
      </w:tr>
      <w:tr w:rsidR="005513F1" w:rsidRPr="005513F1" w14:paraId="12A6A28A" w14:textId="77777777" w:rsidTr="005C721E">
        <w:trPr>
          <w:trHeight w:val="307"/>
        </w:trPr>
        <w:tc>
          <w:tcPr>
            <w:tcW w:w="6961" w:type="dxa"/>
            <w:tcBorders>
              <w:top w:val="nil"/>
              <w:left w:val="nil"/>
              <w:bottom w:val="nil"/>
              <w:right w:val="nil"/>
            </w:tcBorders>
            <w:shd w:val="clear" w:color="auto" w:fill="auto"/>
            <w:noWrap/>
            <w:vAlign w:val="center"/>
            <w:hideMark/>
          </w:tcPr>
          <w:p w14:paraId="22EDAFEB" w14:textId="77777777" w:rsidR="005513F1" w:rsidRPr="005513F1" w:rsidRDefault="005513F1" w:rsidP="00CA3946">
            <w:pPr>
              <w:spacing w:line="360" w:lineRule="auto"/>
              <w:ind w:firstLineChars="300" w:firstLine="720"/>
              <w:rPr>
                <w:rFonts w:ascii="Book Antiqua" w:eastAsia="宋体" w:hAnsi="Book Antiqua" w:cs="宋体"/>
                <w:color w:val="000000"/>
                <w:lang w:eastAsia="zh-CN"/>
              </w:rPr>
            </w:pPr>
            <w:r w:rsidRPr="005513F1">
              <w:rPr>
                <w:rFonts w:ascii="Book Antiqua" w:eastAsia="宋体" w:hAnsi="Book Antiqua" w:cs="宋体"/>
                <w:color w:val="000000"/>
                <w:lang w:eastAsia="zh-CN"/>
              </w:rPr>
              <w:t xml:space="preserve">- </w:t>
            </w:r>
          </w:p>
        </w:tc>
        <w:tc>
          <w:tcPr>
            <w:tcW w:w="2410" w:type="dxa"/>
            <w:tcBorders>
              <w:top w:val="nil"/>
              <w:left w:val="nil"/>
              <w:bottom w:val="nil"/>
              <w:right w:val="nil"/>
            </w:tcBorders>
            <w:shd w:val="clear" w:color="auto" w:fill="auto"/>
            <w:noWrap/>
            <w:vAlign w:val="center"/>
            <w:hideMark/>
          </w:tcPr>
          <w:p w14:paraId="13828EA2" w14:textId="77777777" w:rsidR="005513F1" w:rsidRPr="005513F1" w:rsidRDefault="005513F1" w:rsidP="00CA3946">
            <w:pPr>
              <w:spacing w:line="360" w:lineRule="auto"/>
              <w:rPr>
                <w:rFonts w:ascii="Book Antiqua" w:eastAsia="宋体" w:hAnsi="Book Antiqua" w:cs="宋体"/>
                <w:color w:val="000000"/>
                <w:lang w:eastAsia="zh-CN"/>
              </w:rPr>
            </w:pPr>
            <w:r w:rsidRPr="005513F1">
              <w:rPr>
                <w:rFonts w:ascii="Book Antiqua" w:eastAsia="宋体" w:hAnsi="Book Antiqua" w:cs="宋体"/>
                <w:color w:val="000000"/>
                <w:lang w:eastAsia="zh-CN"/>
              </w:rPr>
              <w:t>8 (6)</w:t>
            </w:r>
          </w:p>
        </w:tc>
      </w:tr>
      <w:tr w:rsidR="005513F1" w:rsidRPr="005513F1" w14:paraId="72AC6641" w14:textId="77777777" w:rsidTr="005C721E">
        <w:trPr>
          <w:trHeight w:val="366"/>
        </w:trPr>
        <w:tc>
          <w:tcPr>
            <w:tcW w:w="9371" w:type="dxa"/>
            <w:gridSpan w:val="2"/>
            <w:tcBorders>
              <w:top w:val="nil"/>
              <w:left w:val="nil"/>
              <w:bottom w:val="nil"/>
              <w:right w:val="nil"/>
            </w:tcBorders>
            <w:shd w:val="clear" w:color="auto" w:fill="auto"/>
            <w:noWrap/>
            <w:vAlign w:val="center"/>
            <w:hideMark/>
          </w:tcPr>
          <w:p w14:paraId="1DB638C4" w14:textId="77777777" w:rsidR="005513F1" w:rsidRPr="005513F1" w:rsidRDefault="005513F1" w:rsidP="00CA3946">
            <w:pPr>
              <w:spacing w:line="360" w:lineRule="auto"/>
              <w:ind w:firstLineChars="300" w:firstLine="720"/>
              <w:rPr>
                <w:rFonts w:ascii="Book Antiqua" w:eastAsia="宋体" w:hAnsi="Book Antiqua" w:cs="宋体"/>
                <w:color w:val="000000"/>
                <w:lang w:eastAsia="zh-CN"/>
              </w:rPr>
            </w:pPr>
            <w:r w:rsidRPr="005513F1">
              <w:rPr>
                <w:rFonts w:ascii="Book Antiqua" w:eastAsia="宋体" w:hAnsi="Book Antiqua" w:cs="宋体"/>
                <w:color w:val="000000"/>
                <w:lang w:eastAsia="zh-CN"/>
              </w:rPr>
              <w:t>Location L4</w:t>
            </w:r>
            <w:r w:rsidR="00B66BA9">
              <w:rPr>
                <w:rFonts w:ascii="Book Antiqua" w:eastAsia="宋体" w:hAnsi="Book Antiqua" w:cs="宋体" w:hint="eastAsia"/>
                <w:color w:val="000000"/>
                <w:vertAlign w:val="superscript"/>
                <w:lang w:eastAsia="zh-CN"/>
              </w:rPr>
              <w:t>1</w:t>
            </w:r>
            <w:r w:rsidRPr="005513F1">
              <w:rPr>
                <w:rFonts w:ascii="Book Antiqua" w:eastAsia="宋体" w:hAnsi="Book Antiqua" w:cs="宋体"/>
                <w:color w:val="000000"/>
                <w:lang w:eastAsia="zh-CN"/>
              </w:rPr>
              <w:t xml:space="preserve"> (concomitant UGI disease)</w:t>
            </w:r>
          </w:p>
        </w:tc>
      </w:tr>
      <w:tr w:rsidR="005513F1" w:rsidRPr="005513F1" w14:paraId="19B9A4E9" w14:textId="77777777" w:rsidTr="005C721E">
        <w:trPr>
          <w:trHeight w:val="307"/>
        </w:trPr>
        <w:tc>
          <w:tcPr>
            <w:tcW w:w="6961" w:type="dxa"/>
            <w:tcBorders>
              <w:top w:val="nil"/>
              <w:left w:val="nil"/>
              <w:bottom w:val="nil"/>
              <w:right w:val="nil"/>
            </w:tcBorders>
            <w:shd w:val="clear" w:color="auto" w:fill="auto"/>
            <w:noWrap/>
            <w:vAlign w:val="center"/>
            <w:hideMark/>
          </w:tcPr>
          <w:p w14:paraId="5ADBCE83" w14:textId="77777777" w:rsidR="005513F1" w:rsidRPr="005513F1" w:rsidRDefault="005513F1" w:rsidP="00CA3946">
            <w:pPr>
              <w:spacing w:line="360" w:lineRule="auto"/>
              <w:ind w:firstLineChars="500" w:firstLine="1200"/>
              <w:rPr>
                <w:rFonts w:ascii="Book Antiqua" w:eastAsia="宋体" w:hAnsi="Book Antiqua" w:cs="宋体"/>
                <w:color w:val="000000"/>
                <w:lang w:eastAsia="zh-CN"/>
              </w:rPr>
            </w:pPr>
            <w:r w:rsidRPr="005513F1">
              <w:rPr>
                <w:rFonts w:ascii="Book Antiqua" w:eastAsia="宋体" w:hAnsi="Book Antiqua" w:cs="宋体"/>
                <w:color w:val="000000"/>
                <w:lang w:eastAsia="zh-CN"/>
              </w:rPr>
              <w:t>Yes</w:t>
            </w:r>
          </w:p>
        </w:tc>
        <w:tc>
          <w:tcPr>
            <w:tcW w:w="2410" w:type="dxa"/>
            <w:tcBorders>
              <w:top w:val="nil"/>
              <w:left w:val="nil"/>
              <w:bottom w:val="nil"/>
              <w:right w:val="nil"/>
            </w:tcBorders>
            <w:shd w:val="clear" w:color="auto" w:fill="auto"/>
            <w:noWrap/>
            <w:vAlign w:val="center"/>
            <w:hideMark/>
          </w:tcPr>
          <w:p w14:paraId="3D8E5E04" w14:textId="77777777" w:rsidR="005513F1" w:rsidRPr="005513F1" w:rsidRDefault="005513F1" w:rsidP="00CA3946">
            <w:pPr>
              <w:spacing w:line="360" w:lineRule="auto"/>
              <w:rPr>
                <w:rFonts w:ascii="Book Antiqua" w:eastAsia="宋体" w:hAnsi="Book Antiqua" w:cs="宋体"/>
                <w:color w:val="000000"/>
                <w:lang w:eastAsia="zh-CN"/>
              </w:rPr>
            </w:pPr>
            <w:r w:rsidRPr="005513F1">
              <w:rPr>
                <w:rFonts w:ascii="Book Antiqua" w:eastAsia="宋体" w:hAnsi="Book Antiqua" w:cs="宋体"/>
                <w:color w:val="000000"/>
                <w:lang w:eastAsia="zh-CN"/>
              </w:rPr>
              <w:t>4 (3)</w:t>
            </w:r>
          </w:p>
        </w:tc>
      </w:tr>
      <w:tr w:rsidR="005513F1" w:rsidRPr="005513F1" w14:paraId="3295617F" w14:textId="77777777" w:rsidTr="005C721E">
        <w:trPr>
          <w:trHeight w:val="307"/>
        </w:trPr>
        <w:tc>
          <w:tcPr>
            <w:tcW w:w="6961" w:type="dxa"/>
            <w:tcBorders>
              <w:top w:val="nil"/>
              <w:left w:val="nil"/>
              <w:bottom w:val="nil"/>
              <w:right w:val="nil"/>
            </w:tcBorders>
            <w:shd w:val="clear" w:color="auto" w:fill="auto"/>
            <w:noWrap/>
            <w:vAlign w:val="center"/>
            <w:hideMark/>
          </w:tcPr>
          <w:p w14:paraId="01F82FE0" w14:textId="77777777" w:rsidR="005513F1" w:rsidRPr="005513F1" w:rsidRDefault="005513F1" w:rsidP="00CA3946">
            <w:pPr>
              <w:spacing w:line="360" w:lineRule="auto"/>
              <w:ind w:firstLineChars="500" w:firstLine="1200"/>
              <w:rPr>
                <w:rFonts w:ascii="Book Antiqua" w:eastAsia="宋体" w:hAnsi="Book Antiqua" w:cs="宋体"/>
                <w:color w:val="000000"/>
                <w:lang w:eastAsia="zh-CN"/>
              </w:rPr>
            </w:pPr>
            <w:r w:rsidRPr="005513F1">
              <w:rPr>
                <w:rFonts w:ascii="Book Antiqua" w:eastAsia="宋体" w:hAnsi="Book Antiqua" w:cs="宋体"/>
                <w:color w:val="000000"/>
                <w:lang w:eastAsia="zh-CN"/>
              </w:rPr>
              <w:t>No</w:t>
            </w:r>
          </w:p>
        </w:tc>
        <w:tc>
          <w:tcPr>
            <w:tcW w:w="2410" w:type="dxa"/>
            <w:tcBorders>
              <w:top w:val="nil"/>
              <w:left w:val="nil"/>
              <w:bottom w:val="nil"/>
              <w:right w:val="nil"/>
            </w:tcBorders>
            <w:shd w:val="clear" w:color="auto" w:fill="auto"/>
            <w:noWrap/>
            <w:vAlign w:val="center"/>
            <w:hideMark/>
          </w:tcPr>
          <w:p w14:paraId="295164D1" w14:textId="77777777" w:rsidR="005513F1" w:rsidRPr="005513F1" w:rsidRDefault="005513F1" w:rsidP="00CA3946">
            <w:pPr>
              <w:spacing w:line="360" w:lineRule="auto"/>
              <w:rPr>
                <w:rFonts w:ascii="Book Antiqua" w:eastAsia="宋体" w:hAnsi="Book Antiqua" w:cs="宋体"/>
                <w:color w:val="000000"/>
                <w:lang w:eastAsia="zh-CN"/>
              </w:rPr>
            </w:pPr>
            <w:r w:rsidRPr="005513F1">
              <w:rPr>
                <w:rFonts w:ascii="Book Antiqua" w:eastAsia="宋体" w:hAnsi="Book Antiqua" w:cs="宋体"/>
                <w:color w:val="000000"/>
                <w:lang w:eastAsia="zh-CN"/>
              </w:rPr>
              <w:t>87 (65)</w:t>
            </w:r>
          </w:p>
        </w:tc>
      </w:tr>
      <w:tr w:rsidR="005513F1" w:rsidRPr="005513F1" w14:paraId="277844F2" w14:textId="77777777" w:rsidTr="005C721E">
        <w:trPr>
          <w:trHeight w:val="307"/>
        </w:trPr>
        <w:tc>
          <w:tcPr>
            <w:tcW w:w="6961" w:type="dxa"/>
            <w:tcBorders>
              <w:top w:val="nil"/>
              <w:left w:val="nil"/>
              <w:bottom w:val="nil"/>
              <w:right w:val="nil"/>
            </w:tcBorders>
            <w:shd w:val="clear" w:color="auto" w:fill="auto"/>
            <w:noWrap/>
            <w:vAlign w:val="center"/>
            <w:hideMark/>
          </w:tcPr>
          <w:p w14:paraId="27CA1F21" w14:textId="77777777" w:rsidR="005513F1" w:rsidRPr="005513F1" w:rsidRDefault="005513F1" w:rsidP="00CA3946">
            <w:pPr>
              <w:spacing w:line="360" w:lineRule="auto"/>
              <w:ind w:firstLineChars="500" w:firstLine="1200"/>
              <w:rPr>
                <w:rFonts w:ascii="Book Antiqua" w:eastAsia="宋体" w:hAnsi="Book Antiqua" w:cs="宋体"/>
                <w:color w:val="000000"/>
                <w:lang w:eastAsia="zh-CN"/>
              </w:rPr>
            </w:pPr>
            <w:r w:rsidRPr="005513F1">
              <w:rPr>
                <w:rFonts w:ascii="Book Antiqua" w:eastAsia="宋体" w:hAnsi="Book Antiqua" w:cs="宋体"/>
                <w:color w:val="000000"/>
                <w:lang w:eastAsia="zh-CN"/>
              </w:rPr>
              <w:t xml:space="preserve">- </w:t>
            </w:r>
          </w:p>
        </w:tc>
        <w:tc>
          <w:tcPr>
            <w:tcW w:w="2410" w:type="dxa"/>
            <w:tcBorders>
              <w:top w:val="nil"/>
              <w:left w:val="nil"/>
              <w:bottom w:val="nil"/>
              <w:right w:val="nil"/>
            </w:tcBorders>
            <w:shd w:val="clear" w:color="auto" w:fill="auto"/>
            <w:noWrap/>
            <w:vAlign w:val="center"/>
            <w:hideMark/>
          </w:tcPr>
          <w:p w14:paraId="1018EE3D" w14:textId="77777777" w:rsidR="005513F1" w:rsidRPr="005513F1" w:rsidRDefault="005513F1" w:rsidP="00CA3946">
            <w:pPr>
              <w:spacing w:line="360" w:lineRule="auto"/>
              <w:rPr>
                <w:rFonts w:ascii="Book Antiqua" w:eastAsia="宋体" w:hAnsi="Book Antiqua" w:cs="宋体"/>
                <w:color w:val="000000"/>
                <w:lang w:eastAsia="zh-CN"/>
              </w:rPr>
            </w:pPr>
            <w:r w:rsidRPr="005513F1">
              <w:rPr>
                <w:rFonts w:ascii="Book Antiqua" w:eastAsia="宋体" w:hAnsi="Book Antiqua" w:cs="宋体"/>
                <w:color w:val="000000"/>
                <w:lang w:eastAsia="zh-CN"/>
              </w:rPr>
              <w:t>42 (32)</w:t>
            </w:r>
          </w:p>
        </w:tc>
      </w:tr>
      <w:tr w:rsidR="005513F1" w:rsidRPr="005513F1" w14:paraId="3AF2C043" w14:textId="77777777" w:rsidTr="005C721E">
        <w:trPr>
          <w:trHeight w:val="307"/>
        </w:trPr>
        <w:tc>
          <w:tcPr>
            <w:tcW w:w="6961" w:type="dxa"/>
            <w:tcBorders>
              <w:top w:val="nil"/>
              <w:left w:val="nil"/>
              <w:bottom w:val="nil"/>
              <w:right w:val="nil"/>
            </w:tcBorders>
            <w:shd w:val="clear" w:color="auto" w:fill="auto"/>
            <w:noWrap/>
            <w:vAlign w:val="center"/>
            <w:hideMark/>
          </w:tcPr>
          <w:p w14:paraId="4BF9C6E3" w14:textId="77777777" w:rsidR="005513F1" w:rsidRPr="005513F1" w:rsidRDefault="005513F1" w:rsidP="00CA3946">
            <w:pPr>
              <w:spacing w:line="360" w:lineRule="auto"/>
              <w:ind w:firstLineChars="100" w:firstLine="240"/>
              <w:rPr>
                <w:rFonts w:ascii="Book Antiqua" w:eastAsia="宋体" w:hAnsi="Book Antiqua" w:cs="宋体"/>
                <w:color w:val="000000"/>
                <w:lang w:eastAsia="zh-CN"/>
              </w:rPr>
            </w:pPr>
            <w:r w:rsidRPr="005513F1">
              <w:rPr>
                <w:rFonts w:ascii="Book Antiqua" w:eastAsia="宋体" w:hAnsi="Book Antiqua" w:cs="宋体"/>
                <w:color w:val="000000"/>
                <w:lang w:eastAsia="zh-CN"/>
              </w:rPr>
              <w:t>Behavior</w:t>
            </w:r>
          </w:p>
        </w:tc>
        <w:tc>
          <w:tcPr>
            <w:tcW w:w="2410" w:type="dxa"/>
            <w:tcBorders>
              <w:top w:val="nil"/>
              <w:left w:val="nil"/>
              <w:bottom w:val="nil"/>
              <w:right w:val="nil"/>
            </w:tcBorders>
            <w:shd w:val="clear" w:color="auto" w:fill="auto"/>
            <w:noWrap/>
            <w:vAlign w:val="center"/>
            <w:hideMark/>
          </w:tcPr>
          <w:p w14:paraId="484FDD8A" w14:textId="77777777" w:rsidR="005513F1" w:rsidRPr="005513F1" w:rsidRDefault="005513F1" w:rsidP="00CA3946">
            <w:pPr>
              <w:spacing w:line="360" w:lineRule="auto"/>
              <w:rPr>
                <w:rFonts w:ascii="Calibri" w:eastAsia="宋体" w:hAnsi="Calibri" w:cs="Calibri"/>
                <w:color w:val="000000"/>
                <w:sz w:val="22"/>
                <w:szCs w:val="22"/>
                <w:lang w:eastAsia="zh-CN"/>
              </w:rPr>
            </w:pPr>
          </w:p>
        </w:tc>
      </w:tr>
      <w:tr w:rsidR="005513F1" w:rsidRPr="005513F1" w14:paraId="39EEFB3F" w14:textId="77777777" w:rsidTr="005C721E">
        <w:trPr>
          <w:trHeight w:val="307"/>
        </w:trPr>
        <w:tc>
          <w:tcPr>
            <w:tcW w:w="6961" w:type="dxa"/>
            <w:tcBorders>
              <w:top w:val="nil"/>
              <w:left w:val="nil"/>
              <w:bottom w:val="nil"/>
              <w:right w:val="nil"/>
            </w:tcBorders>
            <w:shd w:val="clear" w:color="auto" w:fill="auto"/>
            <w:noWrap/>
            <w:vAlign w:val="center"/>
            <w:hideMark/>
          </w:tcPr>
          <w:p w14:paraId="0DC6AEF9" w14:textId="77777777" w:rsidR="005513F1" w:rsidRPr="005513F1" w:rsidRDefault="005513F1" w:rsidP="00CA3946">
            <w:pPr>
              <w:spacing w:line="360" w:lineRule="auto"/>
              <w:ind w:firstLineChars="300" w:firstLine="720"/>
              <w:rPr>
                <w:rFonts w:ascii="Book Antiqua" w:eastAsia="宋体" w:hAnsi="Book Antiqua" w:cs="宋体"/>
                <w:color w:val="000000"/>
                <w:lang w:eastAsia="zh-CN"/>
              </w:rPr>
            </w:pPr>
            <w:r w:rsidRPr="005513F1">
              <w:rPr>
                <w:rFonts w:ascii="Book Antiqua" w:eastAsia="宋体" w:hAnsi="Book Antiqua" w:cs="宋体"/>
                <w:color w:val="000000"/>
                <w:lang w:eastAsia="zh-CN"/>
              </w:rPr>
              <w:t>B1 (non-</w:t>
            </w:r>
            <w:proofErr w:type="spellStart"/>
            <w:r w:rsidRPr="005513F1">
              <w:rPr>
                <w:rFonts w:ascii="Book Antiqua" w:eastAsia="宋体" w:hAnsi="Book Antiqua" w:cs="宋体"/>
                <w:color w:val="000000"/>
                <w:lang w:eastAsia="zh-CN"/>
              </w:rPr>
              <w:t>stricturing</w:t>
            </w:r>
            <w:proofErr w:type="spellEnd"/>
            <w:r w:rsidRPr="005513F1">
              <w:rPr>
                <w:rFonts w:ascii="Book Antiqua" w:eastAsia="宋体" w:hAnsi="Book Antiqua" w:cs="宋体"/>
                <w:color w:val="000000"/>
                <w:lang w:eastAsia="zh-CN"/>
              </w:rPr>
              <w:t>, non-penetrating)</w:t>
            </w:r>
          </w:p>
        </w:tc>
        <w:tc>
          <w:tcPr>
            <w:tcW w:w="2410" w:type="dxa"/>
            <w:tcBorders>
              <w:top w:val="nil"/>
              <w:left w:val="nil"/>
              <w:bottom w:val="nil"/>
              <w:right w:val="nil"/>
            </w:tcBorders>
            <w:shd w:val="clear" w:color="auto" w:fill="auto"/>
            <w:noWrap/>
            <w:vAlign w:val="center"/>
            <w:hideMark/>
          </w:tcPr>
          <w:p w14:paraId="1A3337C3" w14:textId="77777777" w:rsidR="005513F1" w:rsidRPr="005513F1" w:rsidRDefault="005513F1" w:rsidP="00CA3946">
            <w:pPr>
              <w:spacing w:line="360" w:lineRule="auto"/>
              <w:rPr>
                <w:rFonts w:ascii="Book Antiqua" w:eastAsia="宋体" w:hAnsi="Book Antiqua" w:cs="宋体"/>
                <w:color w:val="000000"/>
                <w:lang w:eastAsia="zh-CN"/>
              </w:rPr>
            </w:pPr>
            <w:r w:rsidRPr="005513F1">
              <w:rPr>
                <w:rFonts w:ascii="Book Antiqua" w:eastAsia="宋体" w:hAnsi="Book Antiqua" w:cs="宋体"/>
                <w:color w:val="000000"/>
                <w:lang w:eastAsia="zh-CN"/>
              </w:rPr>
              <w:t>60 (45)</w:t>
            </w:r>
          </w:p>
        </w:tc>
      </w:tr>
      <w:tr w:rsidR="005513F1" w:rsidRPr="005513F1" w14:paraId="7D9D5E1D" w14:textId="77777777" w:rsidTr="005C721E">
        <w:trPr>
          <w:trHeight w:val="307"/>
        </w:trPr>
        <w:tc>
          <w:tcPr>
            <w:tcW w:w="6961" w:type="dxa"/>
            <w:tcBorders>
              <w:top w:val="nil"/>
              <w:left w:val="nil"/>
              <w:bottom w:val="nil"/>
              <w:right w:val="nil"/>
            </w:tcBorders>
            <w:shd w:val="clear" w:color="auto" w:fill="auto"/>
            <w:noWrap/>
            <w:vAlign w:val="center"/>
            <w:hideMark/>
          </w:tcPr>
          <w:p w14:paraId="20297DB3" w14:textId="77777777" w:rsidR="005513F1" w:rsidRPr="005513F1" w:rsidRDefault="005513F1" w:rsidP="00CA3946">
            <w:pPr>
              <w:spacing w:line="360" w:lineRule="auto"/>
              <w:ind w:firstLineChars="300" w:firstLine="720"/>
              <w:rPr>
                <w:rFonts w:ascii="Book Antiqua" w:eastAsia="宋体" w:hAnsi="Book Antiqua" w:cs="宋体"/>
                <w:color w:val="000000"/>
                <w:lang w:eastAsia="zh-CN"/>
              </w:rPr>
            </w:pPr>
            <w:r w:rsidRPr="005513F1">
              <w:rPr>
                <w:rFonts w:ascii="Book Antiqua" w:eastAsia="宋体" w:hAnsi="Book Antiqua" w:cs="宋体"/>
                <w:color w:val="000000"/>
                <w:lang w:eastAsia="zh-CN"/>
              </w:rPr>
              <w:t>B2 (</w:t>
            </w:r>
            <w:proofErr w:type="spellStart"/>
            <w:r w:rsidRPr="005513F1">
              <w:rPr>
                <w:rFonts w:ascii="Book Antiqua" w:eastAsia="宋体" w:hAnsi="Book Antiqua" w:cs="宋体"/>
                <w:color w:val="000000"/>
                <w:lang w:eastAsia="zh-CN"/>
              </w:rPr>
              <w:t>stricturing</w:t>
            </w:r>
            <w:proofErr w:type="spellEnd"/>
            <w:r w:rsidRPr="005513F1">
              <w:rPr>
                <w:rFonts w:ascii="Book Antiqua" w:eastAsia="宋体" w:hAnsi="Book Antiqua" w:cs="宋体"/>
                <w:color w:val="000000"/>
                <w:lang w:eastAsia="zh-CN"/>
              </w:rPr>
              <w:t>)</w:t>
            </w:r>
          </w:p>
        </w:tc>
        <w:tc>
          <w:tcPr>
            <w:tcW w:w="2410" w:type="dxa"/>
            <w:tcBorders>
              <w:top w:val="nil"/>
              <w:left w:val="nil"/>
              <w:bottom w:val="nil"/>
              <w:right w:val="nil"/>
            </w:tcBorders>
            <w:shd w:val="clear" w:color="auto" w:fill="auto"/>
            <w:noWrap/>
            <w:vAlign w:val="center"/>
            <w:hideMark/>
          </w:tcPr>
          <w:p w14:paraId="72C7FF63" w14:textId="77777777" w:rsidR="005513F1" w:rsidRPr="005513F1" w:rsidRDefault="005513F1" w:rsidP="00CA3946">
            <w:pPr>
              <w:spacing w:line="360" w:lineRule="auto"/>
              <w:rPr>
                <w:rFonts w:ascii="Book Antiqua" w:eastAsia="宋体" w:hAnsi="Book Antiqua" w:cs="宋体"/>
                <w:color w:val="000000"/>
                <w:lang w:eastAsia="zh-CN"/>
              </w:rPr>
            </w:pPr>
            <w:r w:rsidRPr="005513F1">
              <w:rPr>
                <w:rFonts w:ascii="Book Antiqua" w:eastAsia="宋体" w:hAnsi="Book Antiqua" w:cs="宋体"/>
                <w:color w:val="000000"/>
                <w:lang w:eastAsia="zh-CN"/>
              </w:rPr>
              <w:t>24 (18)</w:t>
            </w:r>
          </w:p>
        </w:tc>
      </w:tr>
      <w:tr w:rsidR="005513F1" w:rsidRPr="005513F1" w14:paraId="694DCBE4" w14:textId="77777777" w:rsidTr="005C721E">
        <w:trPr>
          <w:trHeight w:val="307"/>
        </w:trPr>
        <w:tc>
          <w:tcPr>
            <w:tcW w:w="6961" w:type="dxa"/>
            <w:tcBorders>
              <w:top w:val="nil"/>
              <w:left w:val="nil"/>
              <w:bottom w:val="nil"/>
              <w:right w:val="nil"/>
            </w:tcBorders>
            <w:shd w:val="clear" w:color="auto" w:fill="auto"/>
            <w:noWrap/>
            <w:vAlign w:val="center"/>
            <w:hideMark/>
          </w:tcPr>
          <w:p w14:paraId="19308722" w14:textId="77777777" w:rsidR="005513F1" w:rsidRPr="005513F1" w:rsidRDefault="005513F1" w:rsidP="00CA3946">
            <w:pPr>
              <w:spacing w:line="360" w:lineRule="auto"/>
              <w:ind w:firstLineChars="300" w:firstLine="720"/>
              <w:rPr>
                <w:rFonts w:ascii="Book Antiqua" w:eastAsia="宋体" w:hAnsi="Book Antiqua" w:cs="宋体"/>
                <w:color w:val="000000"/>
                <w:lang w:eastAsia="zh-CN"/>
              </w:rPr>
            </w:pPr>
            <w:r w:rsidRPr="005513F1">
              <w:rPr>
                <w:rFonts w:ascii="Book Antiqua" w:eastAsia="宋体" w:hAnsi="Book Antiqua" w:cs="宋体"/>
                <w:color w:val="000000"/>
                <w:lang w:eastAsia="zh-CN"/>
              </w:rPr>
              <w:t>B3 (penetrating)</w:t>
            </w:r>
          </w:p>
        </w:tc>
        <w:tc>
          <w:tcPr>
            <w:tcW w:w="2410" w:type="dxa"/>
            <w:tcBorders>
              <w:top w:val="nil"/>
              <w:left w:val="nil"/>
              <w:bottom w:val="nil"/>
              <w:right w:val="nil"/>
            </w:tcBorders>
            <w:shd w:val="clear" w:color="auto" w:fill="auto"/>
            <w:noWrap/>
            <w:vAlign w:val="center"/>
            <w:hideMark/>
          </w:tcPr>
          <w:p w14:paraId="75BCDBEB" w14:textId="77777777" w:rsidR="005513F1" w:rsidRPr="005513F1" w:rsidRDefault="005513F1" w:rsidP="00CA3946">
            <w:pPr>
              <w:spacing w:line="360" w:lineRule="auto"/>
              <w:rPr>
                <w:rFonts w:ascii="Book Antiqua" w:eastAsia="宋体" w:hAnsi="Book Antiqua" w:cs="宋体"/>
                <w:color w:val="000000"/>
                <w:lang w:eastAsia="zh-CN"/>
              </w:rPr>
            </w:pPr>
            <w:r w:rsidRPr="005513F1">
              <w:rPr>
                <w:rFonts w:ascii="Book Antiqua" w:eastAsia="宋体" w:hAnsi="Book Antiqua" w:cs="宋体"/>
                <w:color w:val="000000"/>
                <w:lang w:eastAsia="zh-CN"/>
              </w:rPr>
              <w:t>38 (29)</w:t>
            </w:r>
          </w:p>
        </w:tc>
      </w:tr>
      <w:tr w:rsidR="005513F1" w:rsidRPr="005513F1" w14:paraId="7DB506A5" w14:textId="77777777" w:rsidTr="005C721E">
        <w:trPr>
          <w:trHeight w:val="307"/>
        </w:trPr>
        <w:tc>
          <w:tcPr>
            <w:tcW w:w="6961" w:type="dxa"/>
            <w:tcBorders>
              <w:top w:val="nil"/>
              <w:left w:val="nil"/>
              <w:bottom w:val="nil"/>
              <w:right w:val="nil"/>
            </w:tcBorders>
            <w:shd w:val="clear" w:color="auto" w:fill="auto"/>
            <w:noWrap/>
            <w:vAlign w:val="center"/>
            <w:hideMark/>
          </w:tcPr>
          <w:p w14:paraId="6893DE0A" w14:textId="77777777" w:rsidR="005513F1" w:rsidRPr="005513F1" w:rsidRDefault="005513F1" w:rsidP="00CA3946">
            <w:pPr>
              <w:spacing w:line="360" w:lineRule="auto"/>
              <w:ind w:firstLineChars="300" w:firstLine="720"/>
              <w:rPr>
                <w:rFonts w:ascii="Book Antiqua" w:eastAsia="宋体" w:hAnsi="Book Antiqua" w:cs="宋体"/>
                <w:color w:val="000000"/>
                <w:lang w:eastAsia="zh-CN"/>
              </w:rPr>
            </w:pPr>
            <w:r w:rsidRPr="005513F1">
              <w:rPr>
                <w:rFonts w:ascii="Book Antiqua" w:eastAsia="宋体" w:hAnsi="Book Antiqua" w:cs="宋体"/>
                <w:color w:val="000000"/>
                <w:lang w:eastAsia="zh-CN"/>
              </w:rPr>
              <w:t xml:space="preserve">- </w:t>
            </w:r>
          </w:p>
        </w:tc>
        <w:tc>
          <w:tcPr>
            <w:tcW w:w="2410" w:type="dxa"/>
            <w:tcBorders>
              <w:top w:val="nil"/>
              <w:left w:val="nil"/>
              <w:bottom w:val="nil"/>
              <w:right w:val="nil"/>
            </w:tcBorders>
            <w:shd w:val="clear" w:color="auto" w:fill="auto"/>
            <w:noWrap/>
            <w:vAlign w:val="center"/>
            <w:hideMark/>
          </w:tcPr>
          <w:p w14:paraId="0BBA1B46" w14:textId="77777777" w:rsidR="005513F1" w:rsidRPr="005513F1" w:rsidRDefault="005513F1" w:rsidP="00CA3946">
            <w:pPr>
              <w:spacing w:line="360" w:lineRule="auto"/>
              <w:rPr>
                <w:rFonts w:ascii="Book Antiqua" w:eastAsia="宋体" w:hAnsi="Book Antiqua" w:cs="宋体"/>
                <w:color w:val="000000"/>
                <w:lang w:eastAsia="zh-CN"/>
              </w:rPr>
            </w:pPr>
            <w:r w:rsidRPr="005513F1">
              <w:rPr>
                <w:rFonts w:ascii="Book Antiqua" w:eastAsia="宋体" w:hAnsi="Book Antiqua" w:cs="宋体"/>
                <w:color w:val="000000"/>
                <w:lang w:eastAsia="zh-CN"/>
              </w:rPr>
              <w:t>11 (8)</w:t>
            </w:r>
          </w:p>
        </w:tc>
      </w:tr>
      <w:tr w:rsidR="005513F1" w:rsidRPr="005513F1" w14:paraId="64B8FC30" w14:textId="77777777" w:rsidTr="005C721E">
        <w:trPr>
          <w:trHeight w:val="366"/>
        </w:trPr>
        <w:tc>
          <w:tcPr>
            <w:tcW w:w="9371" w:type="dxa"/>
            <w:gridSpan w:val="2"/>
            <w:tcBorders>
              <w:top w:val="nil"/>
              <w:left w:val="nil"/>
              <w:bottom w:val="nil"/>
              <w:right w:val="nil"/>
            </w:tcBorders>
            <w:shd w:val="clear" w:color="auto" w:fill="auto"/>
            <w:noWrap/>
            <w:vAlign w:val="center"/>
            <w:hideMark/>
          </w:tcPr>
          <w:p w14:paraId="24CCED51" w14:textId="77777777" w:rsidR="005513F1" w:rsidRPr="005513F1" w:rsidRDefault="005513F1" w:rsidP="00CA3946">
            <w:pPr>
              <w:spacing w:line="360" w:lineRule="auto"/>
              <w:ind w:firstLineChars="300" w:firstLine="720"/>
              <w:rPr>
                <w:rFonts w:ascii="Book Antiqua" w:eastAsia="宋体" w:hAnsi="Book Antiqua" w:cs="宋体"/>
                <w:color w:val="000000"/>
                <w:lang w:eastAsia="zh-CN"/>
              </w:rPr>
            </w:pPr>
            <w:r w:rsidRPr="005513F1">
              <w:rPr>
                <w:rFonts w:ascii="Book Antiqua" w:eastAsia="宋体" w:hAnsi="Book Antiqua" w:cs="宋体"/>
                <w:color w:val="000000"/>
                <w:lang w:eastAsia="zh-CN"/>
              </w:rPr>
              <w:t>P</w:t>
            </w:r>
            <w:r w:rsidR="00B66BA9">
              <w:rPr>
                <w:rFonts w:ascii="Book Antiqua" w:eastAsia="宋体" w:hAnsi="Book Antiqua" w:cs="宋体" w:hint="eastAsia"/>
                <w:color w:val="000000"/>
                <w:vertAlign w:val="superscript"/>
                <w:lang w:eastAsia="zh-CN"/>
              </w:rPr>
              <w:t>2</w:t>
            </w:r>
            <w:r w:rsidRPr="005513F1">
              <w:rPr>
                <w:rFonts w:ascii="Book Antiqua" w:eastAsia="宋体" w:hAnsi="Book Antiqua" w:cs="宋体"/>
                <w:color w:val="000000"/>
                <w:lang w:eastAsia="zh-CN"/>
              </w:rPr>
              <w:t xml:space="preserve"> (concomitant perianal disease)</w:t>
            </w:r>
          </w:p>
        </w:tc>
      </w:tr>
      <w:tr w:rsidR="005513F1" w:rsidRPr="005513F1" w14:paraId="757EC45D" w14:textId="77777777" w:rsidTr="005C721E">
        <w:trPr>
          <w:trHeight w:val="307"/>
        </w:trPr>
        <w:tc>
          <w:tcPr>
            <w:tcW w:w="6961" w:type="dxa"/>
            <w:tcBorders>
              <w:top w:val="nil"/>
              <w:left w:val="nil"/>
              <w:bottom w:val="nil"/>
              <w:right w:val="nil"/>
            </w:tcBorders>
            <w:shd w:val="clear" w:color="auto" w:fill="auto"/>
            <w:noWrap/>
            <w:vAlign w:val="center"/>
            <w:hideMark/>
          </w:tcPr>
          <w:p w14:paraId="27AFAD62" w14:textId="77777777" w:rsidR="005513F1" w:rsidRPr="005513F1" w:rsidRDefault="005513F1" w:rsidP="00CA3946">
            <w:pPr>
              <w:spacing w:line="360" w:lineRule="auto"/>
              <w:ind w:firstLineChars="500" w:firstLine="1200"/>
              <w:rPr>
                <w:rFonts w:ascii="Book Antiqua" w:eastAsia="宋体" w:hAnsi="Book Antiqua" w:cs="宋体"/>
                <w:color w:val="000000"/>
                <w:lang w:eastAsia="zh-CN"/>
              </w:rPr>
            </w:pPr>
            <w:r w:rsidRPr="005513F1">
              <w:rPr>
                <w:rFonts w:ascii="Book Antiqua" w:eastAsia="宋体" w:hAnsi="Book Antiqua" w:cs="宋体"/>
                <w:color w:val="000000"/>
                <w:lang w:eastAsia="zh-CN"/>
              </w:rPr>
              <w:t>Yes</w:t>
            </w:r>
          </w:p>
        </w:tc>
        <w:tc>
          <w:tcPr>
            <w:tcW w:w="2410" w:type="dxa"/>
            <w:tcBorders>
              <w:top w:val="nil"/>
              <w:left w:val="nil"/>
              <w:bottom w:val="nil"/>
              <w:right w:val="nil"/>
            </w:tcBorders>
            <w:shd w:val="clear" w:color="auto" w:fill="auto"/>
            <w:noWrap/>
            <w:vAlign w:val="center"/>
            <w:hideMark/>
          </w:tcPr>
          <w:p w14:paraId="199B4A51" w14:textId="77777777" w:rsidR="005513F1" w:rsidRPr="005513F1" w:rsidRDefault="005513F1" w:rsidP="00CA3946">
            <w:pPr>
              <w:spacing w:line="360" w:lineRule="auto"/>
              <w:rPr>
                <w:rFonts w:ascii="Book Antiqua" w:eastAsia="宋体" w:hAnsi="Book Antiqua" w:cs="宋体"/>
                <w:color w:val="000000"/>
                <w:lang w:eastAsia="zh-CN"/>
              </w:rPr>
            </w:pPr>
            <w:r w:rsidRPr="005513F1">
              <w:rPr>
                <w:rFonts w:ascii="Book Antiqua" w:eastAsia="宋体" w:hAnsi="Book Antiqua" w:cs="宋体"/>
                <w:color w:val="000000"/>
                <w:lang w:eastAsia="zh-CN"/>
              </w:rPr>
              <w:t>38 (29)</w:t>
            </w:r>
          </w:p>
        </w:tc>
      </w:tr>
      <w:tr w:rsidR="005513F1" w:rsidRPr="005513F1" w14:paraId="551F1F01" w14:textId="77777777" w:rsidTr="005C721E">
        <w:trPr>
          <w:trHeight w:val="307"/>
        </w:trPr>
        <w:tc>
          <w:tcPr>
            <w:tcW w:w="6961" w:type="dxa"/>
            <w:tcBorders>
              <w:top w:val="nil"/>
              <w:left w:val="nil"/>
              <w:bottom w:val="nil"/>
              <w:right w:val="nil"/>
            </w:tcBorders>
            <w:shd w:val="clear" w:color="auto" w:fill="auto"/>
            <w:noWrap/>
            <w:vAlign w:val="center"/>
            <w:hideMark/>
          </w:tcPr>
          <w:p w14:paraId="1B4013CE" w14:textId="77777777" w:rsidR="005513F1" w:rsidRPr="005513F1" w:rsidRDefault="005513F1" w:rsidP="00CA3946">
            <w:pPr>
              <w:spacing w:line="360" w:lineRule="auto"/>
              <w:ind w:firstLineChars="500" w:firstLine="1200"/>
              <w:rPr>
                <w:rFonts w:ascii="Book Antiqua" w:eastAsia="宋体" w:hAnsi="Book Antiqua" w:cs="宋体"/>
                <w:color w:val="000000"/>
                <w:lang w:eastAsia="zh-CN"/>
              </w:rPr>
            </w:pPr>
            <w:r w:rsidRPr="005513F1">
              <w:rPr>
                <w:rFonts w:ascii="Book Antiqua" w:eastAsia="宋体" w:hAnsi="Book Antiqua" w:cs="宋体"/>
                <w:color w:val="000000"/>
                <w:lang w:eastAsia="zh-CN"/>
              </w:rPr>
              <w:t>No</w:t>
            </w:r>
          </w:p>
        </w:tc>
        <w:tc>
          <w:tcPr>
            <w:tcW w:w="2410" w:type="dxa"/>
            <w:tcBorders>
              <w:top w:val="nil"/>
              <w:left w:val="nil"/>
              <w:bottom w:val="nil"/>
              <w:right w:val="nil"/>
            </w:tcBorders>
            <w:shd w:val="clear" w:color="auto" w:fill="auto"/>
            <w:noWrap/>
            <w:vAlign w:val="center"/>
            <w:hideMark/>
          </w:tcPr>
          <w:p w14:paraId="04448E98" w14:textId="77777777" w:rsidR="005513F1" w:rsidRPr="005513F1" w:rsidRDefault="005513F1" w:rsidP="00CA3946">
            <w:pPr>
              <w:spacing w:line="360" w:lineRule="auto"/>
              <w:rPr>
                <w:rFonts w:ascii="Book Antiqua" w:eastAsia="宋体" w:hAnsi="Book Antiqua" w:cs="宋体"/>
                <w:color w:val="000000"/>
                <w:lang w:eastAsia="zh-CN"/>
              </w:rPr>
            </w:pPr>
            <w:r w:rsidRPr="005513F1">
              <w:rPr>
                <w:rFonts w:ascii="Book Antiqua" w:eastAsia="宋体" w:hAnsi="Book Antiqua" w:cs="宋体"/>
                <w:color w:val="000000"/>
                <w:lang w:eastAsia="zh-CN"/>
              </w:rPr>
              <w:t>84 (63)</w:t>
            </w:r>
          </w:p>
        </w:tc>
      </w:tr>
      <w:tr w:rsidR="005513F1" w:rsidRPr="005513F1" w14:paraId="557975CE" w14:textId="77777777" w:rsidTr="00B94526">
        <w:trPr>
          <w:trHeight w:val="317"/>
        </w:trPr>
        <w:tc>
          <w:tcPr>
            <w:tcW w:w="6961" w:type="dxa"/>
            <w:tcBorders>
              <w:top w:val="nil"/>
              <w:left w:val="nil"/>
              <w:bottom w:val="single" w:sz="4" w:space="0" w:color="auto"/>
              <w:right w:val="nil"/>
            </w:tcBorders>
            <w:shd w:val="clear" w:color="auto" w:fill="auto"/>
            <w:noWrap/>
            <w:vAlign w:val="center"/>
            <w:hideMark/>
          </w:tcPr>
          <w:p w14:paraId="25F555A3" w14:textId="77777777" w:rsidR="005513F1" w:rsidRPr="005513F1" w:rsidRDefault="005513F1" w:rsidP="00CA3946">
            <w:pPr>
              <w:spacing w:line="360" w:lineRule="auto"/>
              <w:ind w:firstLineChars="500" w:firstLine="1200"/>
              <w:rPr>
                <w:rFonts w:ascii="Book Antiqua" w:eastAsia="宋体" w:hAnsi="Book Antiqua" w:cs="宋体"/>
                <w:color w:val="000000"/>
                <w:lang w:eastAsia="zh-CN"/>
              </w:rPr>
            </w:pPr>
            <w:r w:rsidRPr="005513F1">
              <w:rPr>
                <w:rFonts w:ascii="Book Antiqua" w:eastAsia="宋体" w:hAnsi="Book Antiqua" w:cs="宋体"/>
                <w:color w:val="000000"/>
                <w:lang w:eastAsia="zh-CN"/>
              </w:rPr>
              <w:t xml:space="preserve">- </w:t>
            </w:r>
          </w:p>
        </w:tc>
        <w:tc>
          <w:tcPr>
            <w:tcW w:w="2410" w:type="dxa"/>
            <w:tcBorders>
              <w:top w:val="nil"/>
              <w:left w:val="nil"/>
              <w:bottom w:val="single" w:sz="4" w:space="0" w:color="auto"/>
              <w:right w:val="nil"/>
            </w:tcBorders>
            <w:shd w:val="clear" w:color="auto" w:fill="auto"/>
            <w:noWrap/>
            <w:vAlign w:val="center"/>
            <w:hideMark/>
          </w:tcPr>
          <w:p w14:paraId="4FE313BF" w14:textId="77777777" w:rsidR="005513F1" w:rsidRPr="005513F1" w:rsidRDefault="005513F1" w:rsidP="00CA3946">
            <w:pPr>
              <w:spacing w:line="360" w:lineRule="auto"/>
              <w:rPr>
                <w:rFonts w:ascii="Book Antiqua" w:eastAsia="宋体" w:hAnsi="Book Antiqua" w:cs="宋体"/>
                <w:color w:val="000000"/>
                <w:lang w:eastAsia="zh-CN"/>
              </w:rPr>
            </w:pPr>
            <w:r w:rsidRPr="005513F1">
              <w:rPr>
                <w:rFonts w:ascii="Book Antiqua" w:eastAsia="宋体" w:hAnsi="Book Antiqua" w:cs="宋体"/>
                <w:color w:val="000000"/>
                <w:lang w:eastAsia="zh-CN"/>
              </w:rPr>
              <w:t>11 (8)</w:t>
            </w:r>
          </w:p>
        </w:tc>
      </w:tr>
      <w:tr w:rsidR="005513F1" w:rsidRPr="005513F1" w14:paraId="1261A722" w14:textId="77777777" w:rsidTr="00B94526">
        <w:trPr>
          <w:trHeight w:val="50"/>
        </w:trPr>
        <w:tc>
          <w:tcPr>
            <w:tcW w:w="6961" w:type="dxa"/>
            <w:tcBorders>
              <w:top w:val="single" w:sz="4" w:space="0" w:color="auto"/>
              <w:left w:val="nil"/>
              <w:bottom w:val="single" w:sz="4" w:space="0" w:color="auto"/>
              <w:right w:val="nil"/>
            </w:tcBorders>
            <w:shd w:val="clear" w:color="auto" w:fill="auto"/>
            <w:noWrap/>
            <w:vAlign w:val="center"/>
            <w:hideMark/>
          </w:tcPr>
          <w:p w14:paraId="2FA93D7F" w14:textId="77777777" w:rsidR="005513F1" w:rsidRPr="005513F1" w:rsidRDefault="005513F1" w:rsidP="00CA3946">
            <w:pPr>
              <w:spacing w:line="360" w:lineRule="auto"/>
              <w:rPr>
                <w:rFonts w:ascii="Book Antiqua" w:eastAsia="宋体" w:hAnsi="Book Antiqua" w:cs="宋体"/>
                <w:b/>
                <w:bCs/>
                <w:color w:val="000000"/>
                <w:lang w:eastAsia="zh-CN"/>
              </w:rPr>
            </w:pPr>
            <w:r w:rsidRPr="005513F1">
              <w:rPr>
                <w:rFonts w:ascii="Book Antiqua" w:eastAsia="宋体" w:hAnsi="Book Antiqua" w:cs="宋体"/>
                <w:b/>
                <w:bCs/>
                <w:color w:val="000000"/>
                <w:lang w:eastAsia="zh-CN"/>
              </w:rPr>
              <w:t>Montreal classification of UC</w:t>
            </w:r>
          </w:p>
        </w:tc>
        <w:tc>
          <w:tcPr>
            <w:tcW w:w="2410" w:type="dxa"/>
            <w:tcBorders>
              <w:top w:val="single" w:sz="4" w:space="0" w:color="auto"/>
              <w:left w:val="nil"/>
              <w:bottom w:val="single" w:sz="4" w:space="0" w:color="auto"/>
              <w:right w:val="nil"/>
            </w:tcBorders>
            <w:shd w:val="clear" w:color="auto" w:fill="auto"/>
            <w:noWrap/>
            <w:vAlign w:val="center"/>
            <w:hideMark/>
          </w:tcPr>
          <w:p w14:paraId="0AA90CED" w14:textId="77777777" w:rsidR="005513F1" w:rsidRPr="005513F1" w:rsidRDefault="005513F1" w:rsidP="00CA3946">
            <w:pPr>
              <w:spacing w:line="360" w:lineRule="auto"/>
              <w:rPr>
                <w:rFonts w:ascii="Book Antiqua" w:eastAsia="宋体" w:hAnsi="Book Antiqua" w:cs="宋体"/>
                <w:b/>
                <w:bCs/>
                <w:color w:val="000000"/>
                <w:lang w:eastAsia="zh-CN"/>
              </w:rPr>
            </w:pPr>
            <w:r w:rsidRPr="005513F1">
              <w:rPr>
                <w:rFonts w:ascii="Book Antiqua" w:eastAsia="宋体" w:hAnsi="Book Antiqua" w:cs="宋体"/>
                <w:b/>
                <w:bCs/>
                <w:color w:val="000000"/>
                <w:lang w:eastAsia="zh-CN"/>
              </w:rPr>
              <w:t>UC (</w:t>
            </w:r>
            <w:r w:rsidRPr="005513F1">
              <w:rPr>
                <w:rFonts w:ascii="Book Antiqua" w:eastAsia="宋体" w:hAnsi="Book Antiqua" w:cs="宋体"/>
                <w:b/>
                <w:bCs/>
                <w:i/>
                <w:color w:val="000000"/>
                <w:lang w:eastAsia="zh-CN"/>
              </w:rPr>
              <w:t>n</w:t>
            </w:r>
            <w:r>
              <w:rPr>
                <w:rFonts w:ascii="Book Antiqua" w:eastAsia="宋体" w:hAnsi="Book Antiqua" w:cs="宋体" w:hint="eastAsia"/>
                <w:b/>
                <w:bCs/>
                <w:color w:val="000000"/>
                <w:lang w:eastAsia="zh-CN"/>
              </w:rPr>
              <w:t xml:space="preserve"> </w:t>
            </w:r>
            <w:r w:rsidRPr="005513F1">
              <w:rPr>
                <w:rFonts w:ascii="Book Antiqua" w:eastAsia="宋体" w:hAnsi="Book Antiqua" w:cs="宋体"/>
                <w:b/>
                <w:bCs/>
                <w:color w:val="000000"/>
                <w:lang w:eastAsia="zh-CN"/>
              </w:rPr>
              <w:t>=</w:t>
            </w:r>
            <w:r>
              <w:rPr>
                <w:rFonts w:ascii="Book Antiqua" w:eastAsia="宋体" w:hAnsi="Book Antiqua" w:cs="宋体" w:hint="eastAsia"/>
                <w:b/>
                <w:bCs/>
                <w:color w:val="000000"/>
                <w:lang w:eastAsia="zh-CN"/>
              </w:rPr>
              <w:t xml:space="preserve"> </w:t>
            </w:r>
            <w:r w:rsidRPr="005513F1">
              <w:rPr>
                <w:rFonts w:ascii="Book Antiqua" w:eastAsia="宋体" w:hAnsi="Book Antiqua" w:cs="宋体"/>
                <w:b/>
                <w:bCs/>
                <w:color w:val="000000"/>
                <w:lang w:eastAsia="zh-CN"/>
              </w:rPr>
              <w:t>87)</w:t>
            </w:r>
          </w:p>
        </w:tc>
      </w:tr>
      <w:tr w:rsidR="005513F1" w:rsidRPr="005513F1" w14:paraId="5056BA65" w14:textId="77777777" w:rsidTr="00B94526">
        <w:trPr>
          <w:trHeight w:val="307"/>
        </w:trPr>
        <w:tc>
          <w:tcPr>
            <w:tcW w:w="6961" w:type="dxa"/>
            <w:tcBorders>
              <w:top w:val="single" w:sz="4" w:space="0" w:color="auto"/>
              <w:left w:val="nil"/>
              <w:bottom w:val="nil"/>
              <w:right w:val="nil"/>
            </w:tcBorders>
            <w:shd w:val="clear" w:color="auto" w:fill="auto"/>
            <w:noWrap/>
            <w:vAlign w:val="center"/>
            <w:hideMark/>
          </w:tcPr>
          <w:p w14:paraId="47557E52" w14:textId="77777777" w:rsidR="005513F1" w:rsidRPr="005513F1" w:rsidRDefault="005513F1" w:rsidP="00CA3946">
            <w:pPr>
              <w:spacing w:line="360" w:lineRule="auto"/>
              <w:ind w:firstLineChars="100" w:firstLine="240"/>
              <w:rPr>
                <w:rFonts w:ascii="Book Antiqua" w:eastAsia="宋体" w:hAnsi="Book Antiqua" w:cs="宋体"/>
                <w:color w:val="000000"/>
                <w:lang w:eastAsia="zh-CN"/>
              </w:rPr>
            </w:pPr>
            <w:r w:rsidRPr="005513F1">
              <w:rPr>
                <w:rFonts w:ascii="Book Antiqua" w:eastAsia="宋体" w:hAnsi="Book Antiqua" w:cs="宋体"/>
                <w:color w:val="000000"/>
                <w:lang w:eastAsia="zh-CN"/>
              </w:rPr>
              <w:t>Extent</w:t>
            </w:r>
          </w:p>
        </w:tc>
        <w:tc>
          <w:tcPr>
            <w:tcW w:w="2410" w:type="dxa"/>
            <w:tcBorders>
              <w:top w:val="single" w:sz="4" w:space="0" w:color="auto"/>
              <w:left w:val="nil"/>
              <w:bottom w:val="nil"/>
              <w:right w:val="nil"/>
            </w:tcBorders>
            <w:shd w:val="clear" w:color="auto" w:fill="auto"/>
            <w:noWrap/>
            <w:vAlign w:val="center"/>
            <w:hideMark/>
          </w:tcPr>
          <w:p w14:paraId="35DBE7C1" w14:textId="77777777" w:rsidR="005513F1" w:rsidRPr="005513F1" w:rsidRDefault="005513F1" w:rsidP="00CA3946">
            <w:pPr>
              <w:spacing w:line="360" w:lineRule="auto"/>
              <w:rPr>
                <w:rFonts w:ascii="Calibri" w:eastAsia="宋体" w:hAnsi="Calibri" w:cs="Calibri"/>
                <w:color w:val="000000"/>
                <w:sz w:val="22"/>
                <w:szCs w:val="22"/>
                <w:lang w:eastAsia="zh-CN"/>
              </w:rPr>
            </w:pPr>
          </w:p>
        </w:tc>
      </w:tr>
      <w:tr w:rsidR="005513F1" w:rsidRPr="005513F1" w14:paraId="0AC8C9EB" w14:textId="77777777" w:rsidTr="005C721E">
        <w:trPr>
          <w:trHeight w:val="307"/>
        </w:trPr>
        <w:tc>
          <w:tcPr>
            <w:tcW w:w="6961" w:type="dxa"/>
            <w:tcBorders>
              <w:top w:val="nil"/>
              <w:left w:val="nil"/>
              <w:bottom w:val="nil"/>
              <w:right w:val="nil"/>
            </w:tcBorders>
            <w:shd w:val="clear" w:color="auto" w:fill="auto"/>
            <w:noWrap/>
            <w:vAlign w:val="center"/>
            <w:hideMark/>
          </w:tcPr>
          <w:p w14:paraId="2A398205" w14:textId="77777777" w:rsidR="005513F1" w:rsidRPr="005513F1" w:rsidRDefault="005513F1" w:rsidP="00CA3946">
            <w:pPr>
              <w:spacing w:line="360" w:lineRule="auto"/>
              <w:ind w:firstLineChars="300" w:firstLine="720"/>
              <w:rPr>
                <w:rFonts w:ascii="Book Antiqua" w:eastAsia="宋体" w:hAnsi="Book Antiqua" w:cs="宋体"/>
                <w:color w:val="000000"/>
                <w:lang w:eastAsia="zh-CN"/>
              </w:rPr>
            </w:pPr>
            <w:r w:rsidRPr="005513F1">
              <w:rPr>
                <w:rFonts w:ascii="Book Antiqua" w:eastAsia="宋体" w:hAnsi="Book Antiqua" w:cs="宋体"/>
                <w:color w:val="000000"/>
                <w:lang w:eastAsia="zh-CN"/>
              </w:rPr>
              <w:lastRenderedPageBreak/>
              <w:t>E1 (Ulcerative proctitis)</w:t>
            </w:r>
          </w:p>
        </w:tc>
        <w:tc>
          <w:tcPr>
            <w:tcW w:w="2410" w:type="dxa"/>
            <w:tcBorders>
              <w:top w:val="nil"/>
              <w:left w:val="nil"/>
              <w:bottom w:val="nil"/>
              <w:right w:val="nil"/>
            </w:tcBorders>
            <w:shd w:val="clear" w:color="auto" w:fill="auto"/>
            <w:noWrap/>
            <w:vAlign w:val="center"/>
            <w:hideMark/>
          </w:tcPr>
          <w:p w14:paraId="7B3DBEAC" w14:textId="77777777" w:rsidR="005513F1" w:rsidRPr="005513F1" w:rsidRDefault="005513F1" w:rsidP="00CA3946">
            <w:pPr>
              <w:spacing w:line="360" w:lineRule="auto"/>
              <w:rPr>
                <w:rFonts w:ascii="Book Antiqua" w:eastAsia="宋体" w:hAnsi="Book Antiqua" w:cs="宋体"/>
                <w:color w:val="000000"/>
                <w:lang w:eastAsia="zh-CN"/>
              </w:rPr>
            </w:pPr>
            <w:r w:rsidRPr="005513F1">
              <w:rPr>
                <w:rFonts w:ascii="Book Antiqua" w:eastAsia="宋体" w:hAnsi="Book Antiqua" w:cs="宋体"/>
                <w:color w:val="000000"/>
                <w:lang w:eastAsia="zh-CN"/>
              </w:rPr>
              <w:t>10 (11)</w:t>
            </w:r>
          </w:p>
        </w:tc>
      </w:tr>
      <w:tr w:rsidR="005513F1" w:rsidRPr="005513F1" w14:paraId="4397F751" w14:textId="77777777" w:rsidTr="005C721E">
        <w:trPr>
          <w:trHeight w:val="307"/>
        </w:trPr>
        <w:tc>
          <w:tcPr>
            <w:tcW w:w="6961" w:type="dxa"/>
            <w:tcBorders>
              <w:top w:val="nil"/>
              <w:left w:val="nil"/>
              <w:bottom w:val="nil"/>
              <w:right w:val="nil"/>
            </w:tcBorders>
            <w:shd w:val="clear" w:color="auto" w:fill="auto"/>
            <w:noWrap/>
            <w:vAlign w:val="center"/>
            <w:hideMark/>
          </w:tcPr>
          <w:p w14:paraId="53F6F28B" w14:textId="77777777" w:rsidR="005513F1" w:rsidRPr="005513F1" w:rsidRDefault="005513F1" w:rsidP="00CA3946">
            <w:pPr>
              <w:spacing w:line="360" w:lineRule="auto"/>
              <w:ind w:firstLineChars="300" w:firstLine="720"/>
              <w:rPr>
                <w:rFonts w:ascii="Book Antiqua" w:eastAsia="宋体" w:hAnsi="Book Antiqua" w:cs="宋体"/>
                <w:color w:val="000000"/>
                <w:lang w:eastAsia="zh-CN"/>
              </w:rPr>
            </w:pPr>
            <w:r w:rsidRPr="005513F1">
              <w:rPr>
                <w:rFonts w:ascii="Book Antiqua" w:eastAsia="宋体" w:hAnsi="Book Antiqua" w:cs="宋体"/>
                <w:color w:val="000000"/>
                <w:lang w:eastAsia="zh-CN"/>
              </w:rPr>
              <w:t>E2 (Left-sided UC - distal UC)</w:t>
            </w:r>
          </w:p>
        </w:tc>
        <w:tc>
          <w:tcPr>
            <w:tcW w:w="2410" w:type="dxa"/>
            <w:tcBorders>
              <w:top w:val="nil"/>
              <w:left w:val="nil"/>
              <w:bottom w:val="nil"/>
              <w:right w:val="nil"/>
            </w:tcBorders>
            <w:shd w:val="clear" w:color="auto" w:fill="auto"/>
            <w:noWrap/>
            <w:vAlign w:val="center"/>
            <w:hideMark/>
          </w:tcPr>
          <w:p w14:paraId="43C3A4D9" w14:textId="77777777" w:rsidR="005513F1" w:rsidRPr="005513F1" w:rsidRDefault="005513F1" w:rsidP="00CA3946">
            <w:pPr>
              <w:spacing w:line="360" w:lineRule="auto"/>
              <w:rPr>
                <w:rFonts w:ascii="Book Antiqua" w:eastAsia="宋体" w:hAnsi="Book Antiqua" w:cs="宋体"/>
                <w:color w:val="000000"/>
                <w:lang w:eastAsia="zh-CN"/>
              </w:rPr>
            </w:pPr>
            <w:r w:rsidRPr="005513F1">
              <w:rPr>
                <w:rFonts w:ascii="Book Antiqua" w:eastAsia="宋体" w:hAnsi="Book Antiqua" w:cs="宋体"/>
                <w:color w:val="000000"/>
                <w:lang w:eastAsia="zh-CN"/>
              </w:rPr>
              <w:t>18 (21)</w:t>
            </w:r>
          </w:p>
        </w:tc>
      </w:tr>
      <w:tr w:rsidR="005513F1" w:rsidRPr="005513F1" w14:paraId="3DFAC588" w14:textId="77777777" w:rsidTr="005C721E">
        <w:trPr>
          <w:trHeight w:val="307"/>
        </w:trPr>
        <w:tc>
          <w:tcPr>
            <w:tcW w:w="6961" w:type="dxa"/>
            <w:tcBorders>
              <w:top w:val="nil"/>
              <w:left w:val="nil"/>
              <w:bottom w:val="nil"/>
              <w:right w:val="nil"/>
            </w:tcBorders>
            <w:shd w:val="clear" w:color="auto" w:fill="auto"/>
            <w:noWrap/>
            <w:vAlign w:val="center"/>
            <w:hideMark/>
          </w:tcPr>
          <w:p w14:paraId="37F7BA24" w14:textId="77777777" w:rsidR="005513F1" w:rsidRPr="005513F1" w:rsidRDefault="005513F1" w:rsidP="00CA3946">
            <w:pPr>
              <w:spacing w:line="360" w:lineRule="auto"/>
              <w:ind w:firstLineChars="300" w:firstLine="720"/>
              <w:rPr>
                <w:rFonts w:ascii="Book Antiqua" w:eastAsia="宋体" w:hAnsi="Book Antiqua" w:cs="宋体"/>
                <w:color w:val="000000"/>
                <w:lang w:eastAsia="zh-CN"/>
              </w:rPr>
            </w:pPr>
            <w:r w:rsidRPr="005513F1">
              <w:rPr>
                <w:rFonts w:ascii="Book Antiqua" w:eastAsia="宋体" w:hAnsi="Book Antiqua" w:cs="宋体"/>
                <w:color w:val="000000"/>
                <w:lang w:eastAsia="zh-CN"/>
              </w:rPr>
              <w:t>E3 (Extensive UC - pancolitis)</w:t>
            </w:r>
          </w:p>
        </w:tc>
        <w:tc>
          <w:tcPr>
            <w:tcW w:w="2410" w:type="dxa"/>
            <w:tcBorders>
              <w:top w:val="nil"/>
              <w:left w:val="nil"/>
              <w:bottom w:val="nil"/>
              <w:right w:val="nil"/>
            </w:tcBorders>
            <w:shd w:val="clear" w:color="auto" w:fill="auto"/>
            <w:noWrap/>
            <w:vAlign w:val="center"/>
            <w:hideMark/>
          </w:tcPr>
          <w:p w14:paraId="35ACB725" w14:textId="77777777" w:rsidR="005513F1" w:rsidRPr="005513F1" w:rsidRDefault="005513F1" w:rsidP="00CA3946">
            <w:pPr>
              <w:spacing w:line="360" w:lineRule="auto"/>
              <w:rPr>
                <w:rFonts w:ascii="Book Antiqua" w:eastAsia="宋体" w:hAnsi="Book Antiqua" w:cs="宋体"/>
                <w:color w:val="000000"/>
                <w:lang w:eastAsia="zh-CN"/>
              </w:rPr>
            </w:pPr>
            <w:r w:rsidRPr="005513F1">
              <w:rPr>
                <w:rFonts w:ascii="Book Antiqua" w:eastAsia="宋体" w:hAnsi="Book Antiqua" w:cs="宋体"/>
                <w:color w:val="000000"/>
                <w:lang w:eastAsia="zh-CN"/>
              </w:rPr>
              <w:t>48 (55)</w:t>
            </w:r>
          </w:p>
        </w:tc>
      </w:tr>
      <w:tr w:rsidR="005513F1" w:rsidRPr="005513F1" w14:paraId="2D38049F" w14:textId="77777777" w:rsidTr="005C721E">
        <w:trPr>
          <w:trHeight w:val="307"/>
        </w:trPr>
        <w:tc>
          <w:tcPr>
            <w:tcW w:w="6961" w:type="dxa"/>
            <w:tcBorders>
              <w:top w:val="nil"/>
              <w:left w:val="nil"/>
              <w:bottom w:val="nil"/>
              <w:right w:val="nil"/>
            </w:tcBorders>
            <w:shd w:val="clear" w:color="auto" w:fill="auto"/>
            <w:noWrap/>
            <w:vAlign w:val="center"/>
            <w:hideMark/>
          </w:tcPr>
          <w:p w14:paraId="5878C9FF" w14:textId="77777777" w:rsidR="005513F1" w:rsidRPr="005513F1" w:rsidRDefault="005513F1" w:rsidP="00CA3946">
            <w:pPr>
              <w:spacing w:line="360" w:lineRule="auto"/>
              <w:ind w:firstLineChars="300" w:firstLine="720"/>
              <w:rPr>
                <w:rFonts w:ascii="Book Antiqua" w:eastAsia="宋体" w:hAnsi="Book Antiqua" w:cs="宋体"/>
                <w:color w:val="000000"/>
                <w:lang w:eastAsia="zh-CN"/>
              </w:rPr>
            </w:pPr>
            <w:r w:rsidRPr="005513F1">
              <w:rPr>
                <w:rFonts w:ascii="Book Antiqua" w:eastAsia="宋体" w:hAnsi="Book Antiqua" w:cs="宋体"/>
                <w:color w:val="000000"/>
                <w:lang w:eastAsia="zh-CN"/>
              </w:rPr>
              <w:t xml:space="preserve">- </w:t>
            </w:r>
          </w:p>
        </w:tc>
        <w:tc>
          <w:tcPr>
            <w:tcW w:w="2410" w:type="dxa"/>
            <w:tcBorders>
              <w:top w:val="nil"/>
              <w:left w:val="nil"/>
              <w:bottom w:val="nil"/>
              <w:right w:val="nil"/>
            </w:tcBorders>
            <w:shd w:val="clear" w:color="auto" w:fill="auto"/>
            <w:noWrap/>
            <w:vAlign w:val="center"/>
            <w:hideMark/>
          </w:tcPr>
          <w:p w14:paraId="2CEA2271" w14:textId="77777777" w:rsidR="005513F1" w:rsidRPr="005513F1" w:rsidRDefault="005513F1" w:rsidP="00CA3946">
            <w:pPr>
              <w:spacing w:line="360" w:lineRule="auto"/>
              <w:rPr>
                <w:rFonts w:ascii="Book Antiqua" w:eastAsia="宋体" w:hAnsi="Book Antiqua" w:cs="宋体"/>
                <w:color w:val="000000"/>
                <w:lang w:eastAsia="zh-CN"/>
              </w:rPr>
            </w:pPr>
            <w:r w:rsidRPr="005513F1">
              <w:rPr>
                <w:rFonts w:ascii="Book Antiqua" w:eastAsia="宋体" w:hAnsi="Book Antiqua" w:cs="宋体"/>
                <w:color w:val="000000"/>
                <w:lang w:eastAsia="zh-CN"/>
              </w:rPr>
              <w:t>11 (13)</w:t>
            </w:r>
          </w:p>
        </w:tc>
      </w:tr>
      <w:tr w:rsidR="005513F1" w:rsidRPr="005513F1" w14:paraId="51057823" w14:textId="77777777" w:rsidTr="005C721E">
        <w:trPr>
          <w:trHeight w:val="307"/>
        </w:trPr>
        <w:tc>
          <w:tcPr>
            <w:tcW w:w="6961" w:type="dxa"/>
            <w:tcBorders>
              <w:top w:val="nil"/>
              <w:left w:val="nil"/>
              <w:bottom w:val="nil"/>
              <w:right w:val="nil"/>
            </w:tcBorders>
            <w:shd w:val="clear" w:color="auto" w:fill="auto"/>
            <w:noWrap/>
            <w:vAlign w:val="center"/>
            <w:hideMark/>
          </w:tcPr>
          <w:p w14:paraId="59160ABF" w14:textId="77777777" w:rsidR="005513F1" w:rsidRPr="005513F1" w:rsidRDefault="005513F1" w:rsidP="00CA3946">
            <w:pPr>
              <w:spacing w:line="360" w:lineRule="auto"/>
              <w:ind w:firstLineChars="100" w:firstLine="240"/>
              <w:rPr>
                <w:rFonts w:ascii="Book Antiqua" w:eastAsia="宋体" w:hAnsi="Book Antiqua" w:cs="宋体"/>
                <w:color w:val="000000"/>
                <w:lang w:eastAsia="zh-CN"/>
              </w:rPr>
            </w:pPr>
            <w:r w:rsidRPr="005513F1">
              <w:rPr>
                <w:rFonts w:ascii="Book Antiqua" w:eastAsia="宋体" w:hAnsi="Book Antiqua" w:cs="宋体"/>
                <w:color w:val="000000"/>
                <w:lang w:eastAsia="zh-CN"/>
              </w:rPr>
              <w:t>Severity</w:t>
            </w:r>
          </w:p>
        </w:tc>
        <w:tc>
          <w:tcPr>
            <w:tcW w:w="2410" w:type="dxa"/>
            <w:tcBorders>
              <w:top w:val="nil"/>
              <w:left w:val="nil"/>
              <w:bottom w:val="nil"/>
              <w:right w:val="nil"/>
            </w:tcBorders>
            <w:shd w:val="clear" w:color="auto" w:fill="auto"/>
            <w:noWrap/>
            <w:vAlign w:val="center"/>
            <w:hideMark/>
          </w:tcPr>
          <w:p w14:paraId="3DA72A10" w14:textId="77777777" w:rsidR="005513F1" w:rsidRPr="005513F1" w:rsidRDefault="005513F1" w:rsidP="00CA3946">
            <w:pPr>
              <w:spacing w:line="360" w:lineRule="auto"/>
              <w:rPr>
                <w:rFonts w:ascii="Calibri" w:eastAsia="宋体" w:hAnsi="Calibri" w:cs="Calibri"/>
                <w:color w:val="000000"/>
                <w:sz w:val="22"/>
                <w:szCs w:val="22"/>
                <w:lang w:eastAsia="zh-CN"/>
              </w:rPr>
            </w:pPr>
          </w:p>
        </w:tc>
      </w:tr>
      <w:tr w:rsidR="005513F1" w:rsidRPr="005513F1" w14:paraId="465C721C" w14:textId="77777777" w:rsidTr="005C721E">
        <w:trPr>
          <w:trHeight w:val="307"/>
        </w:trPr>
        <w:tc>
          <w:tcPr>
            <w:tcW w:w="6961" w:type="dxa"/>
            <w:tcBorders>
              <w:top w:val="nil"/>
              <w:left w:val="nil"/>
              <w:bottom w:val="nil"/>
              <w:right w:val="nil"/>
            </w:tcBorders>
            <w:shd w:val="clear" w:color="auto" w:fill="auto"/>
            <w:noWrap/>
            <w:vAlign w:val="center"/>
            <w:hideMark/>
          </w:tcPr>
          <w:p w14:paraId="59DEA5C3" w14:textId="77777777" w:rsidR="005513F1" w:rsidRPr="005513F1" w:rsidRDefault="005513F1" w:rsidP="00CA3946">
            <w:pPr>
              <w:spacing w:line="360" w:lineRule="auto"/>
              <w:ind w:firstLineChars="300" w:firstLine="720"/>
              <w:rPr>
                <w:rFonts w:ascii="Book Antiqua" w:eastAsia="宋体" w:hAnsi="Book Antiqua" w:cs="宋体"/>
                <w:color w:val="000000"/>
                <w:lang w:eastAsia="zh-CN"/>
              </w:rPr>
            </w:pPr>
            <w:r w:rsidRPr="005513F1">
              <w:rPr>
                <w:rFonts w:ascii="Book Antiqua" w:eastAsia="宋体" w:hAnsi="Book Antiqua" w:cs="宋体"/>
                <w:color w:val="000000"/>
                <w:lang w:eastAsia="zh-CN"/>
              </w:rPr>
              <w:t>S1 (Mild UC)</w:t>
            </w:r>
          </w:p>
        </w:tc>
        <w:tc>
          <w:tcPr>
            <w:tcW w:w="2410" w:type="dxa"/>
            <w:tcBorders>
              <w:top w:val="nil"/>
              <w:left w:val="nil"/>
              <w:bottom w:val="nil"/>
              <w:right w:val="nil"/>
            </w:tcBorders>
            <w:shd w:val="clear" w:color="auto" w:fill="auto"/>
            <w:noWrap/>
            <w:vAlign w:val="center"/>
            <w:hideMark/>
          </w:tcPr>
          <w:p w14:paraId="4D8A1BE1" w14:textId="77777777" w:rsidR="005513F1" w:rsidRPr="005513F1" w:rsidRDefault="005513F1" w:rsidP="00CA3946">
            <w:pPr>
              <w:spacing w:line="360" w:lineRule="auto"/>
              <w:rPr>
                <w:rFonts w:ascii="Book Antiqua" w:eastAsia="宋体" w:hAnsi="Book Antiqua" w:cs="宋体"/>
                <w:color w:val="000000"/>
                <w:lang w:eastAsia="zh-CN"/>
              </w:rPr>
            </w:pPr>
            <w:r w:rsidRPr="005513F1">
              <w:rPr>
                <w:rFonts w:ascii="Book Antiqua" w:eastAsia="宋体" w:hAnsi="Book Antiqua" w:cs="宋体"/>
                <w:color w:val="000000"/>
                <w:lang w:eastAsia="zh-CN"/>
              </w:rPr>
              <w:t>8 (9)</w:t>
            </w:r>
          </w:p>
        </w:tc>
      </w:tr>
      <w:tr w:rsidR="005513F1" w:rsidRPr="005513F1" w14:paraId="6F2C0DF0" w14:textId="77777777" w:rsidTr="005C721E">
        <w:trPr>
          <w:trHeight w:val="307"/>
        </w:trPr>
        <w:tc>
          <w:tcPr>
            <w:tcW w:w="6961" w:type="dxa"/>
            <w:tcBorders>
              <w:top w:val="nil"/>
              <w:left w:val="nil"/>
              <w:bottom w:val="nil"/>
              <w:right w:val="nil"/>
            </w:tcBorders>
            <w:shd w:val="clear" w:color="auto" w:fill="auto"/>
            <w:noWrap/>
            <w:vAlign w:val="center"/>
            <w:hideMark/>
          </w:tcPr>
          <w:p w14:paraId="6392812C" w14:textId="77777777" w:rsidR="005513F1" w:rsidRPr="005513F1" w:rsidRDefault="005513F1" w:rsidP="00CA3946">
            <w:pPr>
              <w:spacing w:line="360" w:lineRule="auto"/>
              <w:ind w:firstLineChars="300" w:firstLine="720"/>
              <w:rPr>
                <w:rFonts w:ascii="Book Antiqua" w:eastAsia="宋体" w:hAnsi="Book Antiqua" w:cs="宋体"/>
                <w:color w:val="000000"/>
                <w:lang w:eastAsia="zh-CN"/>
              </w:rPr>
            </w:pPr>
            <w:r w:rsidRPr="005513F1">
              <w:rPr>
                <w:rFonts w:ascii="Book Antiqua" w:eastAsia="宋体" w:hAnsi="Book Antiqua" w:cs="宋体"/>
                <w:color w:val="000000"/>
                <w:lang w:eastAsia="zh-CN"/>
              </w:rPr>
              <w:t>S2 (Moderate UC)</w:t>
            </w:r>
          </w:p>
        </w:tc>
        <w:tc>
          <w:tcPr>
            <w:tcW w:w="2410" w:type="dxa"/>
            <w:tcBorders>
              <w:top w:val="nil"/>
              <w:left w:val="nil"/>
              <w:bottom w:val="nil"/>
              <w:right w:val="nil"/>
            </w:tcBorders>
            <w:shd w:val="clear" w:color="auto" w:fill="auto"/>
            <w:noWrap/>
            <w:vAlign w:val="center"/>
            <w:hideMark/>
          </w:tcPr>
          <w:p w14:paraId="06726F7F" w14:textId="77777777" w:rsidR="005513F1" w:rsidRPr="005513F1" w:rsidRDefault="005513F1" w:rsidP="00CA3946">
            <w:pPr>
              <w:spacing w:line="360" w:lineRule="auto"/>
              <w:rPr>
                <w:rFonts w:ascii="Book Antiqua" w:eastAsia="宋体" w:hAnsi="Book Antiqua" w:cs="宋体"/>
                <w:color w:val="000000"/>
                <w:lang w:eastAsia="zh-CN"/>
              </w:rPr>
            </w:pPr>
            <w:r w:rsidRPr="005513F1">
              <w:rPr>
                <w:rFonts w:ascii="Book Antiqua" w:eastAsia="宋体" w:hAnsi="Book Antiqua" w:cs="宋体"/>
                <w:color w:val="000000"/>
                <w:lang w:eastAsia="zh-CN"/>
              </w:rPr>
              <w:t>54 (62)</w:t>
            </w:r>
          </w:p>
        </w:tc>
      </w:tr>
      <w:tr w:rsidR="005513F1" w:rsidRPr="005513F1" w14:paraId="372F3AB7" w14:textId="77777777" w:rsidTr="005C721E">
        <w:trPr>
          <w:trHeight w:val="307"/>
        </w:trPr>
        <w:tc>
          <w:tcPr>
            <w:tcW w:w="6961" w:type="dxa"/>
            <w:tcBorders>
              <w:top w:val="nil"/>
              <w:left w:val="nil"/>
              <w:bottom w:val="nil"/>
              <w:right w:val="nil"/>
            </w:tcBorders>
            <w:shd w:val="clear" w:color="auto" w:fill="auto"/>
            <w:noWrap/>
            <w:vAlign w:val="center"/>
            <w:hideMark/>
          </w:tcPr>
          <w:p w14:paraId="081F8FE0" w14:textId="77777777" w:rsidR="005513F1" w:rsidRPr="005513F1" w:rsidRDefault="005513F1" w:rsidP="00CA3946">
            <w:pPr>
              <w:spacing w:line="360" w:lineRule="auto"/>
              <w:ind w:firstLineChars="300" w:firstLine="720"/>
              <w:rPr>
                <w:rFonts w:ascii="Book Antiqua" w:eastAsia="宋体" w:hAnsi="Book Antiqua" w:cs="宋体"/>
                <w:color w:val="000000"/>
                <w:lang w:eastAsia="zh-CN"/>
              </w:rPr>
            </w:pPr>
            <w:r w:rsidRPr="005513F1">
              <w:rPr>
                <w:rFonts w:ascii="Book Antiqua" w:eastAsia="宋体" w:hAnsi="Book Antiqua" w:cs="宋体"/>
                <w:color w:val="000000"/>
                <w:lang w:eastAsia="zh-CN"/>
              </w:rPr>
              <w:t>S3 (Severe UC)</w:t>
            </w:r>
          </w:p>
        </w:tc>
        <w:tc>
          <w:tcPr>
            <w:tcW w:w="2410" w:type="dxa"/>
            <w:tcBorders>
              <w:top w:val="nil"/>
              <w:left w:val="nil"/>
              <w:bottom w:val="nil"/>
              <w:right w:val="nil"/>
            </w:tcBorders>
            <w:shd w:val="clear" w:color="auto" w:fill="auto"/>
            <w:noWrap/>
            <w:vAlign w:val="center"/>
            <w:hideMark/>
          </w:tcPr>
          <w:p w14:paraId="3DDF3634" w14:textId="77777777" w:rsidR="005513F1" w:rsidRPr="005513F1" w:rsidRDefault="005513F1" w:rsidP="00CA3946">
            <w:pPr>
              <w:spacing w:line="360" w:lineRule="auto"/>
              <w:rPr>
                <w:rFonts w:ascii="Book Antiqua" w:eastAsia="宋体" w:hAnsi="Book Antiqua" w:cs="宋体"/>
                <w:color w:val="000000"/>
                <w:lang w:eastAsia="zh-CN"/>
              </w:rPr>
            </w:pPr>
            <w:r w:rsidRPr="005513F1">
              <w:rPr>
                <w:rFonts w:ascii="Book Antiqua" w:eastAsia="宋体" w:hAnsi="Book Antiqua" w:cs="宋体"/>
                <w:color w:val="000000"/>
                <w:lang w:eastAsia="zh-CN"/>
              </w:rPr>
              <w:t>15 (17)</w:t>
            </w:r>
          </w:p>
        </w:tc>
      </w:tr>
      <w:tr w:rsidR="005513F1" w:rsidRPr="005513F1" w14:paraId="39771B8F" w14:textId="77777777" w:rsidTr="005C721E">
        <w:trPr>
          <w:trHeight w:val="317"/>
        </w:trPr>
        <w:tc>
          <w:tcPr>
            <w:tcW w:w="6961" w:type="dxa"/>
            <w:tcBorders>
              <w:top w:val="nil"/>
              <w:left w:val="nil"/>
              <w:bottom w:val="single" w:sz="4" w:space="0" w:color="auto"/>
              <w:right w:val="nil"/>
            </w:tcBorders>
            <w:shd w:val="clear" w:color="auto" w:fill="auto"/>
            <w:noWrap/>
            <w:vAlign w:val="center"/>
            <w:hideMark/>
          </w:tcPr>
          <w:p w14:paraId="29EC3F72" w14:textId="77777777" w:rsidR="005513F1" w:rsidRPr="005513F1" w:rsidRDefault="005513F1" w:rsidP="00CA3946">
            <w:pPr>
              <w:spacing w:line="360" w:lineRule="auto"/>
              <w:ind w:firstLineChars="300" w:firstLine="720"/>
              <w:rPr>
                <w:rFonts w:ascii="Book Antiqua" w:eastAsia="宋体" w:hAnsi="Book Antiqua" w:cs="宋体"/>
                <w:color w:val="000000"/>
                <w:lang w:eastAsia="zh-CN"/>
              </w:rPr>
            </w:pPr>
            <w:r w:rsidRPr="005513F1">
              <w:rPr>
                <w:rFonts w:ascii="Book Antiqua" w:eastAsia="宋体" w:hAnsi="Book Antiqua" w:cs="宋体"/>
                <w:color w:val="000000"/>
                <w:lang w:eastAsia="zh-CN"/>
              </w:rPr>
              <w:t xml:space="preserve">- </w:t>
            </w:r>
          </w:p>
        </w:tc>
        <w:tc>
          <w:tcPr>
            <w:tcW w:w="2410" w:type="dxa"/>
            <w:tcBorders>
              <w:top w:val="nil"/>
              <w:left w:val="nil"/>
              <w:bottom w:val="single" w:sz="4" w:space="0" w:color="auto"/>
              <w:right w:val="nil"/>
            </w:tcBorders>
            <w:shd w:val="clear" w:color="auto" w:fill="auto"/>
            <w:noWrap/>
            <w:vAlign w:val="center"/>
            <w:hideMark/>
          </w:tcPr>
          <w:p w14:paraId="674ABE65" w14:textId="77777777" w:rsidR="005513F1" w:rsidRPr="005513F1" w:rsidRDefault="005513F1" w:rsidP="00CA3946">
            <w:pPr>
              <w:spacing w:line="360" w:lineRule="auto"/>
              <w:rPr>
                <w:rFonts w:ascii="Book Antiqua" w:eastAsia="宋体" w:hAnsi="Book Antiqua" w:cs="宋体"/>
                <w:color w:val="000000"/>
                <w:lang w:eastAsia="zh-CN"/>
              </w:rPr>
            </w:pPr>
            <w:r w:rsidRPr="005513F1">
              <w:rPr>
                <w:rFonts w:ascii="Book Antiqua" w:eastAsia="宋体" w:hAnsi="Book Antiqua" w:cs="宋体"/>
                <w:color w:val="000000"/>
                <w:lang w:eastAsia="zh-CN"/>
              </w:rPr>
              <w:t>10 (11)</w:t>
            </w:r>
          </w:p>
        </w:tc>
      </w:tr>
    </w:tbl>
    <w:p w14:paraId="282A8C12" w14:textId="77777777" w:rsidR="00B94526" w:rsidRDefault="00B66BA9" w:rsidP="00CA3946">
      <w:pPr>
        <w:spacing w:line="360" w:lineRule="auto"/>
        <w:contextualSpacing/>
        <w:rPr>
          <w:rFonts w:ascii="Book Antiqua" w:eastAsia="Times New Roman" w:hAnsi="Book Antiqua" w:cs="Calibri"/>
          <w:color w:val="000000"/>
          <w:lang w:eastAsia="es-ES"/>
        </w:rPr>
      </w:pPr>
      <w:r>
        <w:rPr>
          <w:rFonts w:ascii="Book Antiqua" w:hAnsi="Book Antiqua" w:cs="Calibri" w:hint="eastAsia"/>
          <w:color w:val="000000"/>
          <w:vertAlign w:val="superscript"/>
          <w:lang w:eastAsia="zh-CN"/>
        </w:rPr>
        <w:t>1</w:t>
      </w:r>
      <w:r w:rsidRPr="00E34634">
        <w:rPr>
          <w:rFonts w:ascii="Book Antiqua" w:eastAsia="Times New Roman" w:hAnsi="Book Antiqua" w:cs="Calibri"/>
          <w:color w:val="000000"/>
          <w:lang w:eastAsia="es-ES"/>
        </w:rPr>
        <w:t xml:space="preserve">May coexist with L1–L3. </w:t>
      </w:r>
    </w:p>
    <w:p w14:paraId="2356198B" w14:textId="77777777" w:rsidR="00B94526" w:rsidRDefault="00B66BA9" w:rsidP="00CA3946">
      <w:pPr>
        <w:spacing w:line="360" w:lineRule="auto"/>
        <w:contextualSpacing/>
        <w:rPr>
          <w:rFonts w:ascii="Book Antiqua" w:hAnsi="Book Antiqua" w:cs="Calibri"/>
          <w:color w:val="000000"/>
          <w:lang w:eastAsia="zh-CN"/>
        </w:rPr>
      </w:pPr>
      <w:r>
        <w:rPr>
          <w:rFonts w:ascii="Book Antiqua" w:hAnsi="Book Antiqua" w:cs="Calibri" w:hint="eastAsia"/>
          <w:color w:val="000000"/>
          <w:vertAlign w:val="superscript"/>
          <w:lang w:eastAsia="zh-CN"/>
        </w:rPr>
        <w:t>2</w:t>
      </w:r>
      <w:r w:rsidRPr="00E34634">
        <w:rPr>
          <w:rFonts w:ascii="Book Antiqua" w:eastAsia="Times New Roman" w:hAnsi="Book Antiqua" w:cs="Calibri"/>
          <w:color w:val="000000"/>
          <w:lang w:eastAsia="es-ES"/>
        </w:rPr>
        <w:t>May coexist with B1–B3.</w:t>
      </w:r>
      <w:r>
        <w:rPr>
          <w:rFonts w:ascii="Book Antiqua" w:hAnsi="Book Antiqua" w:cs="Calibri" w:hint="eastAsia"/>
          <w:color w:val="000000"/>
          <w:lang w:eastAsia="zh-CN"/>
        </w:rPr>
        <w:t xml:space="preserve"> </w:t>
      </w:r>
    </w:p>
    <w:p w14:paraId="296901E3" w14:textId="034C5B45" w:rsidR="005513F1" w:rsidRDefault="00B66BA9" w:rsidP="00CA3946">
      <w:pPr>
        <w:spacing w:line="360" w:lineRule="auto"/>
        <w:contextualSpacing/>
        <w:rPr>
          <w:rFonts w:ascii="Book Antiqua" w:hAnsi="Book Antiqua" w:cs="Book Antiqua"/>
          <w:color w:val="000000"/>
          <w:lang w:eastAsia="zh-CN"/>
        </w:rPr>
      </w:pPr>
      <w:r>
        <w:rPr>
          <w:rFonts w:hint="eastAsia"/>
          <w:lang w:eastAsia="zh-CN"/>
        </w:rPr>
        <w:t xml:space="preserve">CD: </w:t>
      </w:r>
      <w:r>
        <w:rPr>
          <w:rFonts w:ascii="Book Antiqua" w:eastAsia="Book Antiqua" w:hAnsi="Book Antiqua" w:cs="Book Antiqua"/>
          <w:color w:val="000000"/>
        </w:rPr>
        <w:t>Crohn’s disease</w:t>
      </w:r>
      <w:r>
        <w:rPr>
          <w:rFonts w:ascii="Book Antiqua" w:hAnsi="Book Antiqua" w:cs="Book Antiqua" w:hint="eastAsia"/>
          <w:color w:val="000000"/>
          <w:lang w:eastAsia="zh-CN"/>
        </w:rPr>
        <w:t>; UC:</w:t>
      </w:r>
      <w:r>
        <w:rPr>
          <w:rFonts w:ascii="Book Antiqua" w:eastAsia="Book Antiqua" w:hAnsi="Book Antiqua" w:cs="Book Antiqua"/>
          <w:color w:val="000000"/>
        </w:rPr>
        <w:t xml:space="preserve"> </w:t>
      </w:r>
      <w:r w:rsidRPr="001538BA">
        <w:rPr>
          <w:rFonts w:ascii="Book Antiqua" w:eastAsia="Book Antiqua" w:hAnsi="Book Antiqua" w:cs="Book Antiqua"/>
          <w:caps/>
          <w:color w:val="000000"/>
        </w:rPr>
        <w:t>u</w:t>
      </w:r>
      <w:r>
        <w:rPr>
          <w:rFonts w:ascii="Book Antiqua" w:eastAsia="Book Antiqua" w:hAnsi="Book Antiqua" w:cs="Book Antiqua"/>
          <w:color w:val="000000"/>
        </w:rPr>
        <w:t>lcerative colitis</w:t>
      </w:r>
      <w:r>
        <w:rPr>
          <w:rFonts w:ascii="Book Antiqua" w:hAnsi="Book Antiqua" w:cs="Book Antiqua" w:hint="eastAsia"/>
          <w:color w:val="000000"/>
          <w:lang w:eastAsia="zh-CN"/>
        </w:rPr>
        <w:t xml:space="preserve">; </w:t>
      </w:r>
      <w:r w:rsidRPr="00B66BA9">
        <w:rPr>
          <w:rFonts w:ascii="Book Antiqua" w:hAnsi="Book Antiqua" w:cs="Book Antiqua"/>
          <w:color w:val="000000"/>
          <w:lang w:eastAsia="zh-CN"/>
        </w:rPr>
        <w:t xml:space="preserve">UGI: </w:t>
      </w:r>
      <w:r w:rsidRPr="00B66BA9">
        <w:rPr>
          <w:rFonts w:ascii="Book Antiqua" w:hAnsi="Book Antiqua" w:cs="Book Antiqua"/>
          <w:caps/>
          <w:color w:val="000000"/>
          <w:lang w:eastAsia="zh-CN"/>
        </w:rPr>
        <w:t>u</w:t>
      </w:r>
      <w:r w:rsidRPr="00B66BA9">
        <w:rPr>
          <w:rFonts w:ascii="Book Antiqua" w:hAnsi="Book Antiqua" w:cs="Book Antiqua"/>
          <w:color w:val="000000"/>
          <w:lang w:eastAsia="zh-CN"/>
        </w:rPr>
        <w:t>pper gastrointestinal.</w:t>
      </w:r>
    </w:p>
    <w:p w14:paraId="3C7A1923" w14:textId="5C0FFEEF" w:rsidR="00B66BA9" w:rsidRPr="00D95710" w:rsidRDefault="00B66BA9" w:rsidP="00CA3946">
      <w:pPr>
        <w:spacing w:line="360" w:lineRule="auto"/>
        <w:contextualSpacing/>
        <w:rPr>
          <w:rFonts w:ascii="Book Antiqua" w:hAnsi="Book Antiqua" w:cs="Book Antiqua"/>
          <w:b/>
          <w:color w:val="000000"/>
          <w:lang w:eastAsia="zh-CN"/>
        </w:rPr>
      </w:pPr>
      <w:r w:rsidRPr="00D95710">
        <w:rPr>
          <w:rFonts w:ascii="Book Antiqua" w:hAnsi="Book Antiqua" w:cs="Book Antiqua"/>
          <w:b/>
          <w:color w:val="000000"/>
          <w:lang w:eastAsia="zh-CN"/>
        </w:rPr>
        <w:br w:type="page"/>
      </w:r>
      <w:r w:rsidR="00D95710" w:rsidRPr="00D95710">
        <w:rPr>
          <w:rFonts w:ascii="Book Antiqua" w:hAnsi="Book Antiqua" w:cs="Book Antiqua"/>
          <w:b/>
          <w:color w:val="000000"/>
          <w:lang w:eastAsia="zh-CN"/>
        </w:rPr>
        <w:lastRenderedPageBreak/>
        <w:t>Table 4 Clinical course of all patients (Crohn’s disease + ulcerative colitis) (</w:t>
      </w:r>
      <w:r w:rsidR="00841D16" w:rsidRPr="00841D16">
        <w:rPr>
          <w:rFonts w:ascii="Book Antiqua" w:hAnsi="Book Antiqua" w:cs="Book Antiqua"/>
          <w:b/>
          <w:color w:val="000000"/>
          <w:lang w:eastAsia="zh-CN"/>
        </w:rPr>
        <w:t>those who switched from infliximab originator are excluded</w:t>
      </w:r>
      <w:r w:rsidR="00D95710" w:rsidRPr="00D95710">
        <w:rPr>
          <w:rFonts w:ascii="Book Antiqua" w:hAnsi="Book Antiqua" w:cs="Book Antiqua"/>
          <w:b/>
          <w:color w:val="000000"/>
          <w:lang w:eastAsia="zh-CN"/>
        </w:rPr>
        <w:t>)</w:t>
      </w:r>
      <w:r w:rsidR="002868DD">
        <w:rPr>
          <w:rFonts w:ascii="Book Antiqua" w:hAnsi="Book Antiqua" w:cs="Book Antiqua" w:hint="eastAsia"/>
          <w:b/>
          <w:color w:val="000000"/>
          <w:lang w:eastAsia="zh-CN"/>
        </w:rPr>
        <w:t xml:space="preserve">, </w:t>
      </w:r>
      <w:r w:rsidR="002868DD" w:rsidRPr="002868DD">
        <w:rPr>
          <w:rFonts w:ascii="Book Antiqua" w:hAnsi="Book Antiqua" w:cs="Book Antiqua"/>
          <w:b/>
          <w:i/>
          <w:color w:val="000000"/>
          <w:lang w:eastAsia="zh-CN"/>
        </w:rPr>
        <w:t>n</w:t>
      </w:r>
      <w:r w:rsidR="002868DD" w:rsidRPr="002868DD">
        <w:rPr>
          <w:rFonts w:ascii="Book Antiqua" w:hAnsi="Book Antiqua" w:cs="Book Antiqua"/>
          <w:b/>
          <w:color w:val="000000"/>
          <w:lang w:eastAsia="zh-CN"/>
        </w:rPr>
        <w:t xml:space="preserve"> (%)</w:t>
      </w:r>
    </w:p>
    <w:tbl>
      <w:tblPr>
        <w:tblW w:w="9240" w:type="dxa"/>
        <w:tblInd w:w="93" w:type="dxa"/>
        <w:tblBorders>
          <w:top w:val="single" w:sz="4" w:space="0" w:color="auto"/>
          <w:bottom w:val="single" w:sz="8" w:space="0" w:color="auto"/>
        </w:tblBorders>
        <w:tblLook w:val="04A0" w:firstRow="1" w:lastRow="0" w:firstColumn="1" w:lastColumn="0" w:noHBand="0" w:noVBand="1"/>
      </w:tblPr>
      <w:tblGrid>
        <w:gridCol w:w="2513"/>
        <w:gridCol w:w="2868"/>
        <w:gridCol w:w="2185"/>
        <w:gridCol w:w="1674"/>
      </w:tblGrid>
      <w:tr w:rsidR="00CA3946" w:rsidRPr="00CA3946" w14:paraId="44EEF6E1" w14:textId="77777777" w:rsidTr="00264128">
        <w:trPr>
          <w:trHeight w:val="386"/>
        </w:trPr>
        <w:tc>
          <w:tcPr>
            <w:tcW w:w="2513" w:type="dxa"/>
            <w:tcBorders>
              <w:top w:val="single" w:sz="4" w:space="0" w:color="auto"/>
              <w:bottom w:val="single" w:sz="4" w:space="0" w:color="auto"/>
            </w:tcBorders>
            <w:shd w:val="clear" w:color="auto" w:fill="auto"/>
            <w:noWrap/>
            <w:vAlign w:val="center"/>
            <w:hideMark/>
          </w:tcPr>
          <w:p w14:paraId="33232BFB" w14:textId="77777777" w:rsidR="00CA3946" w:rsidRPr="00CA3946" w:rsidRDefault="00CA3946" w:rsidP="00CA3946">
            <w:pPr>
              <w:spacing w:line="360" w:lineRule="auto"/>
              <w:rPr>
                <w:rFonts w:ascii="Book Antiqua" w:eastAsia="宋体" w:hAnsi="Book Antiqua" w:cs="宋体"/>
                <w:b/>
                <w:bCs/>
                <w:color w:val="000000"/>
                <w:lang w:eastAsia="zh-CN"/>
              </w:rPr>
            </w:pPr>
          </w:p>
        </w:tc>
        <w:tc>
          <w:tcPr>
            <w:tcW w:w="2868" w:type="dxa"/>
            <w:tcBorders>
              <w:top w:val="single" w:sz="4" w:space="0" w:color="auto"/>
              <w:bottom w:val="single" w:sz="4" w:space="0" w:color="auto"/>
            </w:tcBorders>
            <w:shd w:val="clear" w:color="auto" w:fill="auto"/>
            <w:noWrap/>
            <w:vAlign w:val="center"/>
            <w:hideMark/>
          </w:tcPr>
          <w:p w14:paraId="675B14F9" w14:textId="77777777" w:rsidR="00CA3946" w:rsidRPr="00CA3946" w:rsidRDefault="00CA3946" w:rsidP="00CA3946">
            <w:pPr>
              <w:spacing w:line="360" w:lineRule="auto"/>
              <w:rPr>
                <w:rFonts w:ascii="Book Antiqua" w:eastAsia="宋体" w:hAnsi="Book Antiqua" w:cs="宋体"/>
                <w:b/>
                <w:bCs/>
                <w:color w:val="000000"/>
                <w:lang w:eastAsia="zh-CN"/>
              </w:rPr>
            </w:pPr>
            <w:r w:rsidRPr="00CA3946">
              <w:rPr>
                <w:rFonts w:ascii="Book Antiqua" w:eastAsia="宋体" w:hAnsi="Book Antiqua" w:cs="宋体"/>
                <w:b/>
                <w:bCs/>
                <w:color w:val="000000"/>
                <w:lang w:eastAsia="zh-CN"/>
              </w:rPr>
              <w:t>Active disease</w:t>
            </w:r>
          </w:p>
        </w:tc>
        <w:tc>
          <w:tcPr>
            <w:tcW w:w="2185" w:type="dxa"/>
            <w:tcBorders>
              <w:top w:val="single" w:sz="4" w:space="0" w:color="auto"/>
              <w:bottom w:val="single" w:sz="4" w:space="0" w:color="auto"/>
            </w:tcBorders>
            <w:shd w:val="clear" w:color="auto" w:fill="auto"/>
            <w:vAlign w:val="center"/>
            <w:hideMark/>
          </w:tcPr>
          <w:p w14:paraId="2C4077AA" w14:textId="77777777" w:rsidR="00CA3946" w:rsidRPr="00CA3946" w:rsidRDefault="00CA3946" w:rsidP="00CA3946">
            <w:pPr>
              <w:spacing w:line="360" w:lineRule="auto"/>
              <w:rPr>
                <w:rFonts w:ascii="Book Antiqua" w:eastAsia="宋体" w:hAnsi="Book Antiqua" w:cs="宋体"/>
                <w:b/>
                <w:bCs/>
                <w:color w:val="000000"/>
                <w:lang w:eastAsia="zh-CN"/>
              </w:rPr>
            </w:pPr>
            <w:r w:rsidRPr="00CA3946">
              <w:rPr>
                <w:rFonts w:ascii="Book Antiqua" w:eastAsia="宋体" w:hAnsi="Book Antiqua" w:cs="宋体"/>
                <w:b/>
                <w:bCs/>
                <w:color w:val="000000"/>
                <w:lang w:eastAsia="zh-CN"/>
              </w:rPr>
              <w:t>Clinical remission</w:t>
            </w:r>
          </w:p>
        </w:tc>
        <w:tc>
          <w:tcPr>
            <w:tcW w:w="1674" w:type="dxa"/>
            <w:tcBorders>
              <w:top w:val="single" w:sz="4" w:space="0" w:color="auto"/>
              <w:bottom w:val="single" w:sz="4" w:space="0" w:color="auto"/>
            </w:tcBorders>
            <w:shd w:val="clear" w:color="auto" w:fill="auto"/>
            <w:noWrap/>
            <w:vAlign w:val="center"/>
            <w:hideMark/>
          </w:tcPr>
          <w:p w14:paraId="403B7B1E" w14:textId="77777777" w:rsidR="00CA3946" w:rsidRPr="00CA3946" w:rsidRDefault="00CA3946" w:rsidP="00CA3946">
            <w:pPr>
              <w:spacing w:line="360" w:lineRule="auto"/>
              <w:rPr>
                <w:rFonts w:ascii="Book Antiqua" w:eastAsia="宋体" w:hAnsi="Book Antiqua" w:cs="宋体"/>
                <w:b/>
                <w:bCs/>
                <w:color w:val="000000"/>
                <w:lang w:eastAsia="zh-CN"/>
              </w:rPr>
            </w:pPr>
            <w:r w:rsidRPr="00CA3946">
              <w:rPr>
                <w:rFonts w:ascii="Book Antiqua" w:eastAsia="宋体" w:hAnsi="Book Antiqua" w:cs="宋体"/>
                <w:b/>
                <w:bCs/>
                <w:color w:val="000000"/>
                <w:lang w:eastAsia="zh-CN"/>
              </w:rPr>
              <w:t xml:space="preserve">Clinical </w:t>
            </w:r>
            <w:proofErr w:type="spellStart"/>
            <w:r w:rsidRPr="00CA3946">
              <w:rPr>
                <w:rFonts w:ascii="Book Antiqua" w:eastAsia="宋体" w:hAnsi="Book Antiqua" w:cs="宋体"/>
                <w:b/>
                <w:bCs/>
                <w:color w:val="000000"/>
                <w:lang w:eastAsia="zh-CN"/>
              </w:rPr>
              <w:t>response</w:t>
            </w:r>
            <w:r w:rsidRPr="00CA3946">
              <w:rPr>
                <w:rFonts w:ascii="Book Antiqua" w:eastAsia="宋体" w:hAnsi="Book Antiqua" w:cs="宋体"/>
                <w:b/>
                <w:bCs/>
                <w:color w:val="000000"/>
                <w:vertAlign w:val="superscript"/>
                <w:lang w:eastAsia="zh-CN"/>
              </w:rPr>
              <w:t>c</w:t>
            </w:r>
            <w:proofErr w:type="spellEnd"/>
          </w:p>
        </w:tc>
      </w:tr>
      <w:tr w:rsidR="00CA3946" w:rsidRPr="00CA3946" w14:paraId="55ECFCE6" w14:textId="77777777" w:rsidTr="00F62FB1">
        <w:trPr>
          <w:trHeight w:val="305"/>
        </w:trPr>
        <w:tc>
          <w:tcPr>
            <w:tcW w:w="2513" w:type="dxa"/>
            <w:tcBorders>
              <w:top w:val="single" w:sz="4" w:space="0" w:color="auto"/>
            </w:tcBorders>
            <w:shd w:val="clear" w:color="auto" w:fill="auto"/>
            <w:noWrap/>
            <w:vAlign w:val="center"/>
            <w:hideMark/>
          </w:tcPr>
          <w:p w14:paraId="1E81EC6F" w14:textId="77777777" w:rsidR="00CA3946" w:rsidRPr="00CA3946" w:rsidRDefault="00CA3946" w:rsidP="00CA3946">
            <w:pPr>
              <w:spacing w:line="360" w:lineRule="auto"/>
              <w:rPr>
                <w:rFonts w:ascii="Book Antiqua" w:eastAsia="宋体" w:hAnsi="Book Antiqua" w:cs="宋体"/>
                <w:color w:val="000000"/>
                <w:lang w:eastAsia="zh-CN"/>
              </w:rPr>
            </w:pPr>
            <w:r w:rsidRPr="00CA3946">
              <w:rPr>
                <w:rFonts w:ascii="Book Antiqua" w:eastAsia="宋体" w:hAnsi="Book Antiqua" w:cs="宋体"/>
                <w:color w:val="000000"/>
                <w:lang w:eastAsia="zh-CN"/>
              </w:rPr>
              <w:t>Baseline (</w:t>
            </w:r>
            <w:r w:rsidRPr="00CA3946">
              <w:rPr>
                <w:rFonts w:ascii="Book Antiqua" w:eastAsia="宋体" w:hAnsi="Book Antiqua" w:cs="宋体"/>
                <w:i/>
                <w:color w:val="000000"/>
                <w:lang w:eastAsia="zh-CN"/>
              </w:rPr>
              <w:t>n</w:t>
            </w:r>
            <w:r w:rsidRPr="00CA3946">
              <w:rPr>
                <w:rFonts w:ascii="Book Antiqua" w:eastAsia="宋体" w:hAnsi="Book Antiqua" w:cs="宋体"/>
                <w:color w:val="000000"/>
                <w:lang w:eastAsia="zh-CN"/>
              </w:rPr>
              <w:t xml:space="preserve"> = 201)</w:t>
            </w:r>
          </w:p>
        </w:tc>
        <w:tc>
          <w:tcPr>
            <w:tcW w:w="2868" w:type="dxa"/>
            <w:tcBorders>
              <w:top w:val="single" w:sz="4" w:space="0" w:color="auto"/>
            </w:tcBorders>
            <w:shd w:val="clear" w:color="auto" w:fill="auto"/>
            <w:noWrap/>
            <w:vAlign w:val="center"/>
            <w:hideMark/>
          </w:tcPr>
          <w:p w14:paraId="795817DE" w14:textId="77777777" w:rsidR="00CA3946" w:rsidRPr="00CA3946" w:rsidRDefault="00CA3946" w:rsidP="00CA3946">
            <w:pPr>
              <w:spacing w:line="360" w:lineRule="auto"/>
              <w:rPr>
                <w:rFonts w:ascii="Book Antiqua" w:eastAsia="宋体" w:hAnsi="Book Antiqua" w:cs="宋体"/>
                <w:color w:val="000000"/>
                <w:lang w:eastAsia="zh-CN"/>
              </w:rPr>
            </w:pPr>
            <w:r w:rsidRPr="00CA3946">
              <w:rPr>
                <w:rFonts w:ascii="Book Antiqua" w:eastAsia="宋体" w:hAnsi="Book Antiqua" w:cs="宋体"/>
                <w:color w:val="000000"/>
                <w:lang w:eastAsia="zh-CN"/>
              </w:rPr>
              <w:t>138 (68.6)</w:t>
            </w:r>
          </w:p>
        </w:tc>
        <w:tc>
          <w:tcPr>
            <w:tcW w:w="2185" w:type="dxa"/>
            <w:tcBorders>
              <w:top w:val="single" w:sz="4" w:space="0" w:color="auto"/>
            </w:tcBorders>
            <w:shd w:val="clear" w:color="auto" w:fill="auto"/>
            <w:vAlign w:val="center"/>
            <w:hideMark/>
          </w:tcPr>
          <w:p w14:paraId="43988CAB" w14:textId="77777777" w:rsidR="00CA3946" w:rsidRPr="00CA3946" w:rsidRDefault="00CA3946" w:rsidP="00CA3946">
            <w:pPr>
              <w:spacing w:line="360" w:lineRule="auto"/>
              <w:rPr>
                <w:rFonts w:ascii="Book Antiqua" w:eastAsia="宋体" w:hAnsi="Book Antiqua" w:cs="宋体"/>
                <w:color w:val="000000"/>
                <w:lang w:eastAsia="zh-CN"/>
              </w:rPr>
            </w:pPr>
            <w:r w:rsidRPr="00CA3946">
              <w:rPr>
                <w:rFonts w:ascii="Book Antiqua" w:eastAsia="宋体" w:hAnsi="Book Antiqua" w:cs="宋体"/>
                <w:color w:val="000000"/>
                <w:lang w:eastAsia="zh-CN"/>
              </w:rPr>
              <w:t>-</w:t>
            </w:r>
          </w:p>
        </w:tc>
        <w:tc>
          <w:tcPr>
            <w:tcW w:w="1674" w:type="dxa"/>
            <w:tcBorders>
              <w:top w:val="single" w:sz="4" w:space="0" w:color="auto"/>
            </w:tcBorders>
            <w:shd w:val="clear" w:color="auto" w:fill="auto"/>
            <w:noWrap/>
            <w:vAlign w:val="center"/>
            <w:hideMark/>
          </w:tcPr>
          <w:p w14:paraId="4E59610D" w14:textId="77777777" w:rsidR="00CA3946" w:rsidRPr="00CA3946" w:rsidRDefault="00CA3946" w:rsidP="00CA3946">
            <w:pPr>
              <w:spacing w:line="360" w:lineRule="auto"/>
              <w:rPr>
                <w:rFonts w:ascii="Book Antiqua" w:eastAsia="宋体" w:hAnsi="Book Antiqua" w:cs="宋体"/>
                <w:color w:val="000000"/>
                <w:lang w:eastAsia="zh-CN"/>
              </w:rPr>
            </w:pPr>
            <w:r w:rsidRPr="00CA3946">
              <w:rPr>
                <w:rFonts w:ascii="Book Antiqua" w:eastAsia="宋体" w:hAnsi="Book Antiqua" w:cs="宋体"/>
                <w:color w:val="000000"/>
                <w:lang w:eastAsia="zh-CN"/>
              </w:rPr>
              <w:t>-</w:t>
            </w:r>
          </w:p>
        </w:tc>
      </w:tr>
      <w:tr w:rsidR="00CA3946" w:rsidRPr="00CA3946" w14:paraId="41344400" w14:textId="77777777" w:rsidTr="00F62FB1">
        <w:trPr>
          <w:trHeight w:val="315"/>
        </w:trPr>
        <w:tc>
          <w:tcPr>
            <w:tcW w:w="2513" w:type="dxa"/>
            <w:shd w:val="clear" w:color="auto" w:fill="auto"/>
            <w:noWrap/>
            <w:vAlign w:val="center"/>
            <w:hideMark/>
          </w:tcPr>
          <w:p w14:paraId="7FAEE0D6" w14:textId="77777777" w:rsidR="00CA3946" w:rsidRPr="00CA3946" w:rsidRDefault="00CA3946" w:rsidP="00CA3946">
            <w:pPr>
              <w:spacing w:line="360" w:lineRule="auto"/>
              <w:rPr>
                <w:rFonts w:ascii="Book Antiqua" w:eastAsia="宋体" w:hAnsi="Book Antiqua" w:cs="宋体"/>
                <w:color w:val="000000"/>
                <w:lang w:eastAsia="zh-CN"/>
              </w:rPr>
            </w:pPr>
            <w:r w:rsidRPr="00CA3946">
              <w:rPr>
                <w:rFonts w:ascii="Book Antiqua" w:eastAsia="宋体" w:hAnsi="Book Antiqua" w:cs="宋体"/>
                <w:color w:val="000000"/>
                <w:lang w:eastAsia="zh-CN"/>
              </w:rPr>
              <w:t xml:space="preserve">3 </w:t>
            </w:r>
            <w:proofErr w:type="spellStart"/>
            <w:r w:rsidRPr="00CA3946">
              <w:rPr>
                <w:rFonts w:ascii="Book Antiqua" w:eastAsia="宋体" w:hAnsi="Book Antiqua" w:cs="宋体"/>
                <w:color w:val="000000"/>
                <w:lang w:eastAsia="zh-CN"/>
              </w:rPr>
              <w:t>mo</w:t>
            </w:r>
            <w:proofErr w:type="spellEnd"/>
            <w:r w:rsidRPr="00CA3946">
              <w:rPr>
                <w:rFonts w:ascii="Book Antiqua" w:eastAsia="宋体" w:hAnsi="Book Antiqua" w:cs="宋体"/>
                <w:color w:val="000000"/>
                <w:lang w:eastAsia="zh-CN"/>
              </w:rPr>
              <w:t xml:space="preserve"> (</w:t>
            </w:r>
            <w:r w:rsidRPr="00CA3946">
              <w:rPr>
                <w:rFonts w:ascii="Book Antiqua" w:eastAsia="宋体" w:hAnsi="Book Antiqua" w:cs="宋体"/>
                <w:i/>
                <w:iCs/>
                <w:color w:val="000000"/>
                <w:lang w:eastAsia="zh-CN"/>
              </w:rPr>
              <w:t>n</w:t>
            </w:r>
            <w:r w:rsidRPr="00CA3946">
              <w:rPr>
                <w:rFonts w:ascii="Book Antiqua" w:eastAsia="宋体" w:hAnsi="Book Antiqua" w:cs="宋体"/>
                <w:color w:val="000000"/>
                <w:lang w:eastAsia="zh-CN"/>
              </w:rPr>
              <w:t xml:space="preserve"> = 152)</w:t>
            </w:r>
          </w:p>
        </w:tc>
        <w:tc>
          <w:tcPr>
            <w:tcW w:w="2868" w:type="dxa"/>
            <w:shd w:val="clear" w:color="auto" w:fill="auto"/>
            <w:noWrap/>
            <w:vAlign w:val="center"/>
            <w:hideMark/>
          </w:tcPr>
          <w:p w14:paraId="72F47769" w14:textId="77777777" w:rsidR="00CA3946" w:rsidRPr="00CA3946" w:rsidRDefault="00CA3946" w:rsidP="00CA3946">
            <w:pPr>
              <w:spacing w:line="360" w:lineRule="auto"/>
              <w:rPr>
                <w:rFonts w:ascii="Book Antiqua" w:eastAsia="宋体" w:hAnsi="Book Antiqua" w:cs="宋体"/>
                <w:color w:val="000000"/>
                <w:lang w:eastAsia="zh-CN"/>
              </w:rPr>
            </w:pPr>
            <w:r w:rsidRPr="00CA3946">
              <w:rPr>
                <w:rFonts w:ascii="Book Antiqua" w:eastAsia="宋体" w:hAnsi="Book Antiqua" w:cs="宋体"/>
                <w:color w:val="000000"/>
                <w:lang w:eastAsia="zh-CN"/>
              </w:rPr>
              <w:t>37 (24.4)</w:t>
            </w:r>
          </w:p>
        </w:tc>
        <w:tc>
          <w:tcPr>
            <w:tcW w:w="2185" w:type="dxa"/>
            <w:shd w:val="clear" w:color="auto" w:fill="auto"/>
            <w:vAlign w:val="center"/>
            <w:hideMark/>
          </w:tcPr>
          <w:p w14:paraId="2795F926" w14:textId="77777777" w:rsidR="00CA3946" w:rsidRPr="00CA3946" w:rsidRDefault="00CA3946" w:rsidP="00CA3946">
            <w:pPr>
              <w:spacing w:line="360" w:lineRule="auto"/>
              <w:rPr>
                <w:rFonts w:ascii="Book Antiqua" w:eastAsia="宋体" w:hAnsi="Book Antiqua" w:cs="宋体"/>
                <w:color w:val="000000"/>
                <w:lang w:eastAsia="zh-CN"/>
              </w:rPr>
            </w:pPr>
            <w:r w:rsidRPr="00CA3946">
              <w:rPr>
                <w:rFonts w:ascii="Book Antiqua" w:eastAsia="宋体" w:hAnsi="Book Antiqua" w:cs="宋体"/>
                <w:color w:val="000000"/>
                <w:lang w:eastAsia="zh-CN"/>
              </w:rPr>
              <w:t>81 (53.2)</w:t>
            </w:r>
          </w:p>
        </w:tc>
        <w:tc>
          <w:tcPr>
            <w:tcW w:w="1674" w:type="dxa"/>
            <w:shd w:val="clear" w:color="auto" w:fill="auto"/>
            <w:noWrap/>
            <w:vAlign w:val="center"/>
            <w:hideMark/>
          </w:tcPr>
          <w:p w14:paraId="3F83DFFA" w14:textId="77777777" w:rsidR="00CA3946" w:rsidRPr="00CA3946" w:rsidRDefault="00CA3946" w:rsidP="00CA3946">
            <w:pPr>
              <w:spacing w:line="360" w:lineRule="auto"/>
              <w:rPr>
                <w:rFonts w:ascii="Book Antiqua" w:eastAsia="宋体" w:hAnsi="Book Antiqua" w:cs="宋体"/>
                <w:color w:val="000000"/>
                <w:lang w:eastAsia="zh-CN"/>
              </w:rPr>
            </w:pPr>
            <w:r w:rsidRPr="00CA3946">
              <w:rPr>
                <w:rFonts w:ascii="Book Antiqua" w:eastAsia="宋体" w:hAnsi="Book Antiqua" w:cs="宋体"/>
                <w:color w:val="000000"/>
                <w:lang w:eastAsia="zh-CN"/>
              </w:rPr>
              <w:t>34 (22.3)</w:t>
            </w:r>
          </w:p>
        </w:tc>
      </w:tr>
      <w:tr w:rsidR="00CA3946" w:rsidRPr="00CA3946" w14:paraId="529EE504" w14:textId="77777777" w:rsidTr="00F62FB1">
        <w:trPr>
          <w:trHeight w:val="315"/>
        </w:trPr>
        <w:tc>
          <w:tcPr>
            <w:tcW w:w="2513" w:type="dxa"/>
            <w:shd w:val="clear" w:color="auto" w:fill="auto"/>
            <w:noWrap/>
            <w:vAlign w:val="center"/>
            <w:hideMark/>
          </w:tcPr>
          <w:p w14:paraId="0D218719" w14:textId="77777777" w:rsidR="00CA3946" w:rsidRPr="00CA3946" w:rsidRDefault="00CA3946" w:rsidP="00CA3946">
            <w:pPr>
              <w:spacing w:line="360" w:lineRule="auto"/>
              <w:rPr>
                <w:rFonts w:ascii="Book Antiqua" w:eastAsia="宋体" w:hAnsi="Book Antiqua" w:cs="宋体"/>
                <w:color w:val="000000"/>
                <w:lang w:eastAsia="zh-CN"/>
              </w:rPr>
            </w:pPr>
            <w:r w:rsidRPr="00CA3946">
              <w:rPr>
                <w:rFonts w:ascii="Book Antiqua" w:eastAsia="宋体" w:hAnsi="Book Antiqua" w:cs="宋体"/>
                <w:color w:val="000000"/>
                <w:lang w:eastAsia="zh-CN"/>
              </w:rPr>
              <w:t xml:space="preserve">6 </w:t>
            </w:r>
            <w:proofErr w:type="spellStart"/>
            <w:r w:rsidRPr="00CA3946">
              <w:rPr>
                <w:rFonts w:ascii="Book Antiqua" w:eastAsia="宋体" w:hAnsi="Book Antiqua" w:cs="宋体"/>
                <w:color w:val="000000"/>
                <w:lang w:eastAsia="zh-CN"/>
              </w:rPr>
              <w:t>mo</w:t>
            </w:r>
            <w:proofErr w:type="spellEnd"/>
            <w:r w:rsidRPr="00CA3946">
              <w:rPr>
                <w:rFonts w:ascii="Book Antiqua" w:eastAsia="宋体" w:hAnsi="Book Antiqua" w:cs="宋体"/>
                <w:color w:val="000000"/>
                <w:lang w:eastAsia="zh-CN"/>
              </w:rPr>
              <w:t xml:space="preserve"> (</w:t>
            </w:r>
            <w:r w:rsidRPr="00CA3946">
              <w:rPr>
                <w:rFonts w:ascii="Book Antiqua" w:eastAsia="宋体" w:hAnsi="Book Antiqua" w:cs="宋体"/>
                <w:i/>
                <w:iCs/>
                <w:color w:val="000000"/>
                <w:lang w:eastAsia="zh-CN"/>
              </w:rPr>
              <w:t>n</w:t>
            </w:r>
            <w:r w:rsidRPr="00CA3946">
              <w:rPr>
                <w:rFonts w:ascii="Book Antiqua" w:eastAsia="宋体" w:hAnsi="Book Antiqua" w:cs="宋体"/>
                <w:color w:val="000000"/>
                <w:lang w:eastAsia="zh-CN"/>
              </w:rPr>
              <w:t xml:space="preserve"> = 122)</w:t>
            </w:r>
          </w:p>
        </w:tc>
        <w:tc>
          <w:tcPr>
            <w:tcW w:w="2868" w:type="dxa"/>
            <w:shd w:val="clear" w:color="auto" w:fill="auto"/>
            <w:noWrap/>
            <w:vAlign w:val="center"/>
            <w:hideMark/>
          </w:tcPr>
          <w:p w14:paraId="5A488E6A" w14:textId="77777777" w:rsidR="00CA3946" w:rsidRPr="00CA3946" w:rsidRDefault="00CA3946" w:rsidP="00CA3946">
            <w:pPr>
              <w:spacing w:line="360" w:lineRule="auto"/>
              <w:rPr>
                <w:rFonts w:ascii="Book Antiqua" w:eastAsia="宋体" w:hAnsi="Book Antiqua" w:cs="宋体"/>
                <w:color w:val="000000"/>
                <w:lang w:eastAsia="zh-CN"/>
              </w:rPr>
            </w:pPr>
            <w:r w:rsidRPr="00CA3946">
              <w:rPr>
                <w:rFonts w:ascii="Book Antiqua" w:eastAsia="宋体" w:hAnsi="Book Antiqua" w:cs="宋体"/>
                <w:color w:val="000000"/>
                <w:lang w:eastAsia="zh-CN"/>
              </w:rPr>
              <w:t>21 (17.2)</w:t>
            </w:r>
          </w:p>
        </w:tc>
        <w:tc>
          <w:tcPr>
            <w:tcW w:w="2185" w:type="dxa"/>
            <w:shd w:val="clear" w:color="auto" w:fill="auto"/>
            <w:vAlign w:val="center"/>
            <w:hideMark/>
          </w:tcPr>
          <w:p w14:paraId="2C8C6B86" w14:textId="77777777" w:rsidR="00CA3946" w:rsidRPr="00CA3946" w:rsidRDefault="00CA3946" w:rsidP="00CA3946">
            <w:pPr>
              <w:spacing w:line="360" w:lineRule="auto"/>
              <w:rPr>
                <w:rFonts w:ascii="Book Antiqua" w:eastAsia="宋体" w:hAnsi="Book Antiqua" w:cs="宋体"/>
                <w:color w:val="000000"/>
                <w:lang w:eastAsia="zh-CN"/>
              </w:rPr>
            </w:pPr>
            <w:r w:rsidRPr="00CA3946">
              <w:rPr>
                <w:rFonts w:ascii="Book Antiqua" w:eastAsia="宋体" w:hAnsi="Book Antiqua" w:cs="宋体"/>
                <w:color w:val="000000"/>
                <w:lang w:eastAsia="zh-CN"/>
              </w:rPr>
              <w:t>74 (60.7)</w:t>
            </w:r>
          </w:p>
        </w:tc>
        <w:tc>
          <w:tcPr>
            <w:tcW w:w="1674" w:type="dxa"/>
            <w:shd w:val="clear" w:color="auto" w:fill="auto"/>
            <w:noWrap/>
            <w:vAlign w:val="center"/>
            <w:hideMark/>
          </w:tcPr>
          <w:p w14:paraId="2205C68D" w14:textId="77777777" w:rsidR="00CA3946" w:rsidRPr="00CA3946" w:rsidRDefault="00CA3946" w:rsidP="00CA3946">
            <w:pPr>
              <w:spacing w:line="360" w:lineRule="auto"/>
              <w:rPr>
                <w:rFonts w:ascii="Book Antiqua" w:eastAsia="宋体" w:hAnsi="Book Antiqua" w:cs="宋体"/>
                <w:color w:val="000000"/>
                <w:lang w:eastAsia="zh-CN"/>
              </w:rPr>
            </w:pPr>
            <w:r w:rsidRPr="00CA3946">
              <w:rPr>
                <w:rFonts w:ascii="Book Antiqua" w:eastAsia="宋体" w:hAnsi="Book Antiqua" w:cs="宋体"/>
                <w:color w:val="000000"/>
                <w:lang w:eastAsia="zh-CN"/>
              </w:rPr>
              <w:t>27 (22.1)</w:t>
            </w:r>
          </w:p>
        </w:tc>
      </w:tr>
      <w:tr w:rsidR="00CA3946" w:rsidRPr="00CA3946" w14:paraId="40F51B9C" w14:textId="77777777" w:rsidTr="00B94526">
        <w:trPr>
          <w:trHeight w:val="315"/>
        </w:trPr>
        <w:tc>
          <w:tcPr>
            <w:tcW w:w="2513" w:type="dxa"/>
            <w:tcBorders>
              <w:bottom w:val="nil"/>
            </w:tcBorders>
            <w:shd w:val="clear" w:color="auto" w:fill="auto"/>
            <w:noWrap/>
            <w:vAlign w:val="center"/>
            <w:hideMark/>
          </w:tcPr>
          <w:p w14:paraId="34C4A378" w14:textId="77777777" w:rsidR="00CA3946" w:rsidRPr="00CA3946" w:rsidRDefault="00CA3946" w:rsidP="00CA3946">
            <w:pPr>
              <w:spacing w:line="360" w:lineRule="auto"/>
              <w:rPr>
                <w:rFonts w:ascii="Book Antiqua" w:eastAsia="宋体" w:hAnsi="Book Antiqua" w:cs="宋体"/>
                <w:color w:val="000000"/>
                <w:lang w:eastAsia="zh-CN"/>
              </w:rPr>
            </w:pPr>
            <w:r w:rsidRPr="00CA3946">
              <w:rPr>
                <w:rFonts w:ascii="Book Antiqua" w:eastAsia="宋体" w:hAnsi="Book Antiqua" w:cs="宋体"/>
                <w:color w:val="000000"/>
                <w:lang w:eastAsia="zh-CN"/>
              </w:rPr>
              <w:t xml:space="preserve">9 </w:t>
            </w:r>
            <w:proofErr w:type="spellStart"/>
            <w:r w:rsidRPr="00CA3946">
              <w:rPr>
                <w:rFonts w:ascii="Book Antiqua" w:eastAsia="宋体" w:hAnsi="Book Antiqua" w:cs="宋体"/>
                <w:color w:val="000000"/>
                <w:lang w:eastAsia="zh-CN"/>
              </w:rPr>
              <w:t>mo</w:t>
            </w:r>
            <w:proofErr w:type="spellEnd"/>
            <w:r w:rsidRPr="00CA3946">
              <w:rPr>
                <w:rFonts w:ascii="Book Antiqua" w:eastAsia="宋体" w:hAnsi="Book Antiqua" w:cs="宋体"/>
                <w:color w:val="000000"/>
                <w:lang w:eastAsia="zh-CN"/>
              </w:rPr>
              <w:t xml:space="preserve"> (</w:t>
            </w:r>
            <w:r w:rsidRPr="00CA3946">
              <w:rPr>
                <w:rFonts w:ascii="Book Antiqua" w:eastAsia="宋体" w:hAnsi="Book Antiqua" w:cs="宋体"/>
                <w:i/>
                <w:iCs/>
                <w:color w:val="000000"/>
                <w:lang w:eastAsia="zh-CN"/>
              </w:rPr>
              <w:t>n</w:t>
            </w:r>
            <w:r w:rsidRPr="00CA3946">
              <w:rPr>
                <w:rFonts w:ascii="Book Antiqua" w:eastAsia="宋体" w:hAnsi="Book Antiqua" w:cs="宋体"/>
                <w:color w:val="000000"/>
                <w:lang w:eastAsia="zh-CN"/>
              </w:rPr>
              <w:t xml:space="preserve"> = 84)</w:t>
            </w:r>
          </w:p>
        </w:tc>
        <w:tc>
          <w:tcPr>
            <w:tcW w:w="2868" w:type="dxa"/>
            <w:tcBorders>
              <w:bottom w:val="nil"/>
            </w:tcBorders>
            <w:shd w:val="clear" w:color="auto" w:fill="auto"/>
            <w:noWrap/>
            <w:vAlign w:val="center"/>
            <w:hideMark/>
          </w:tcPr>
          <w:p w14:paraId="76C00456" w14:textId="77777777" w:rsidR="00CA3946" w:rsidRPr="00CA3946" w:rsidRDefault="00CA3946" w:rsidP="00CA3946">
            <w:pPr>
              <w:spacing w:line="360" w:lineRule="auto"/>
              <w:rPr>
                <w:rFonts w:ascii="Book Antiqua" w:eastAsia="宋体" w:hAnsi="Book Antiqua" w:cs="宋体"/>
                <w:color w:val="000000"/>
                <w:lang w:eastAsia="zh-CN"/>
              </w:rPr>
            </w:pPr>
            <w:r w:rsidRPr="00CA3946">
              <w:rPr>
                <w:rFonts w:ascii="Book Antiqua" w:eastAsia="宋体" w:hAnsi="Book Antiqua" w:cs="宋体"/>
                <w:color w:val="000000"/>
                <w:lang w:eastAsia="zh-CN"/>
              </w:rPr>
              <w:t>8 (9.5)</w:t>
            </w:r>
          </w:p>
        </w:tc>
        <w:tc>
          <w:tcPr>
            <w:tcW w:w="2185" w:type="dxa"/>
            <w:tcBorders>
              <w:bottom w:val="nil"/>
            </w:tcBorders>
            <w:shd w:val="clear" w:color="auto" w:fill="auto"/>
            <w:vAlign w:val="center"/>
            <w:hideMark/>
          </w:tcPr>
          <w:p w14:paraId="3F735DF7" w14:textId="77777777" w:rsidR="00CA3946" w:rsidRPr="00CA3946" w:rsidRDefault="00CA3946" w:rsidP="00CA3946">
            <w:pPr>
              <w:spacing w:line="360" w:lineRule="auto"/>
              <w:rPr>
                <w:rFonts w:ascii="Book Antiqua" w:eastAsia="宋体" w:hAnsi="Book Antiqua" w:cs="宋体"/>
                <w:color w:val="000000"/>
                <w:lang w:eastAsia="zh-CN"/>
              </w:rPr>
            </w:pPr>
            <w:r w:rsidRPr="00CA3946">
              <w:rPr>
                <w:rFonts w:ascii="Book Antiqua" w:eastAsia="宋体" w:hAnsi="Book Antiqua" w:cs="宋体"/>
                <w:color w:val="000000"/>
                <w:lang w:eastAsia="zh-CN"/>
              </w:rPr>
              <w:t>61 (72.6)</w:t>
            </w:r>
          </w:p>
        </w:tc>
        <w:tc>
          <w:tcPr>
            <w:tcW w:w="1674" w:type="dxa"/>
            <w:tcBorders>
              <w:bottom w:val="nil"/>
            </w:tcBorders>
            <w:shd w:val="clear" w:color="auto" w:fill="auto"/>
            <w:noWrap/>
            <w:vAlign w:val="center"/>
            <w:hideMark/>
          </w:tcPr>
          <w:p w14:paraId="47E896FC" w14:textId="77777777" w:rsidR="00CA3946" w:rsidRPr="00CA3946" w:rsidRDefault="00CA3946" w:rsidP="00CA3946">
            <w:pPr>
              <w:spacing w:line="360" w:lineRule="auto"/>
              <w:rPr>
                <w:rFonts w:ascii="Book Antiqua" w:eastAsia="宋体" w:hAnsi="Book Antiqua" w:cs="宋体"/>
                <w:color w:val="000000"/>
                <w:lang w:eastAsia="zh-CN"/>
              </w:rPr>
            </w:pPr>
            <w:r w:rsidRPr="00CA3946">
              <w:rPr>
                <w:rFonts w:ascii="Book Antiqua" w:eastAsia="宋体" w:hAnsi="Book Antiqua" w:cs="宋体"/>
                <w:color w:val="000000"/>
                <w:lang w:eastAsia="zh-CN"/>
              </w:rPr>
              <w:t>15 (17.9)</w:t>
            </w:r>
          </w:p>
        </w:tc>
      </w:tr>
      <w:tr w:rsidR="00CA3946" w:rsidRPr="00CA3946" w14:paraId="19E2AC40" w14:textId="77777777" w:rsidTr="00B94526">
        <w:trPr>
          <w:trHeight w:val="325"/>
        </w:trPr>
        <w:tc>
          <w:tcPr>
            <w:tcW w:w="2513" w:type="dxa"/>
            <w:tcBorders>
              <w:top w:val="nil"/>
              <w:bottom w:val="single" w:sz="4" w:space="0" w:color="auto"/>
            </w:tcBorders>
            <w:shd w:val="clear" w:color="auto" w:fill="auto"/>
            <w:noWrap/>
            <w:vAlign w:val="center"/>
            <w:hideMark/>
          </w:tcPr>
          <w:p w14:paraId="16311640" w14:textId="77777777" w:rsidR="00CA3946" w:rsidRPr="00CA3946" w:rsidRDefault="00CA3946" w:rsidP="00CA3946">
            <w:pPr>
              <w:spacing w:line="360" w:lineRule="auto"/>
              <w:rPr>
                <w:rFonts w:ascii="Book Antiqua" w:eastAsia="宋体" w:hAnsi="Book Antiqua" w:cs="宋体"/>
                <w:color w:val="000000"/>
                <w:lang w:eastAsia="zh-CN"/>
              </w:rPr>
            </w:pPr>
            <w:r w:rsidRPr="00CA3946">
              <w:rPr>
                <w:rFonts w:ascii="Book Antiqua" w:eastAsia="宋体" w:hAnsi="Book Antiqua" w:cs="宋体"/>
                <w:color w:val="000000"/>
                <w:lang w:eastAsia="zh-CN"/>
              </w:rPr>
              <w:t xml:space="preserve">12 </w:t>
            </w:r>
            <w:proofErr w:type="spellStart"/>
            <w:r w:rsidRPr="00CA3946">
              <w:rPr>
                <w:rFonts w:ascii="Book Antiqua" w:eastAsia="宋体" w:hAnsi="Book Antiqua" w:cs="宋体"/>
                <w:color w:val="000000"/>
                <w:lang w:eastAsia="zh-CN"/>
              </w:rPr>
              <w:t>mo</w:t>
            </w:r>
            <w:proofErr w:type="spellEnd"/>
            <w:r w:rsidRPr="00CA3946">
              <w:rPr>
                <w:rFonts w:ascii="Book Antiqua" w:eastAsia="宋体" w:hAnsi="Book Antiqua" w:cs="宋体"/>
                <w:color w:val="000000"/>
                <w:lang w:eastAsia="zh-CN"/>
              </w:rPr>
              <w:t xml:space="preserve"> (</w:t>
            </w:r>
            <w:r w:rsidRPr="00CA3946">
              <w:rPr>
                <w:rFonts w:ascii="Book Antiqua" w:eastAsia="宋体" w:hAnsi="Book Antiqua" w:cs="宋体"/>
                <w:i/>
                <w:iCs/>
                <w:color w:val="000000"/>
                <w:lang w:eastAsia="zh-CN"/>
              </w:rPr>
              <w:t>n</w:t>
            </w:r>
            <w:r w:rsidRPr="00CA3946">
              <w:rPr>
                <w:rFonts w:ascii="Book Antiqua" w:eastAsia="宋体" w:hAnsi="Book Antiqua" w:cs="宋体"/>
                <w:color w:val="000000"/>
                <w:lang w:eastAsia="zh-CN"/>
              </w:rPr>
              <w:t xml:space="preserve"> = 81)</w:t>
            </w:r>
          </w:p>
        </w:tc>
        <w:tc>
          <w:tcPr>
            <w:tcW w:w="2868" w:type="dxa"/>
            <w:tcBorders>
              <w:top w:val="nil"/>
              <w:bottom w:val="single" w:sz="4" w:space="0" w:color="auto"/>
            </w:tcBorders>
            <w:shd w:val="clear" w:color="auto" w:fill="auto"/>
            <w:noWrap/>
            <w:vAlign w:val="center"/>
            <w:hideMark/>
          </w:tcPr>
          <w:p w14:paraId="742F6246" w14:textId="77777777" w:rsidR="00CA3946" w:rsidRPr="00CA3946" w:rsidRDefault="00CA3946" w:rsidP="00CA3946">
            <w:pPr>
              <w:spacing w:line="360" w:lineRule="auto"/>
              <w:rPr>
                <w:rFonts w:ascii="Book Antiqua" w:eastAsia="宋体" w:hAnsi="Book Antiqua" w:cs="宋体"/>
                <w:color w:val="000000"/>
                <w:lang w:eastAsia="zh-CN"/>
              </w:rPr>
            </w:pPr>
            <w:r w:rsidRPr="00CA3946">
              <w:rPr>
                <w:rFonts w:ascii="Book Antiqua" w:eastAsia="宋体" w:hAnsi="Book Antiqua" w:cs="宋体"/>
                <w:color w:val="000000"/>
                <w:lang w:eastAsia="zh-CN"/>
              </w:rPr>
              <w:t>12 (14.8)</w:t>
            </w:r>
          </w:p>
        </w:tc>
        <w:tc>
          <w:tcPr>
            <w:tcW w:w="2185" w:type="dxa"/>
            <w:tcBorders>
              <w:top w:val="nil"/>
              <w:bottom w:val="single" w:sz="4" w:space="0" w:color="auto"/>
            </w:tcBorders>
            <w:shd w:val="clear" w:color="auto" w:fill="auto"/>
            <w:vAlign w:val="center"/>
            <w:hideMark/>
          </w:tcPr>
          <w:p w14:paraId="58DA0D24" w14:textId="77777777" w:rsidR="00CA3946" w:rsidRPr="00CA3946" w:rsidRDefault="00CA3946" w:rsidP="00CA3946">
            <w:pPr>
              <w:spacing w:line="360" w:lineRule="auto"/>
              <w:rPr>
                <w:rFonts w:ascii="Book Antiqua" w:eastAsia="宋体" w:hAnsi="Book Antiqua" w:cs="宋体"/>
                <w:color w:val="000000"/>
                <w:lang w:eastAsia="zh-CN"/>
              </w:rPr>
            </w:pPr>
            <w:r w:rsidRPr="00CA3946">
              <w:rPr>
                <w:rFonts w:ascii="Book Antiqua" w:eastAsia="宋体" w:hAnsi="Book Antiqua" w:cs="宋体"/>
                <w:color w:val="000000"/>
                <w:lang w:eastAsia="zh-CN"/>
              </w:rPr>
              <w:t>52 (64.2)</w:t>
            </w:r>
          </w:p>
        </w:tc>
        <w:tc>
          <w:tcPr>
            <w:tcW w:w="1674" w:type="dxa"/>
            <w:tcBorders>
              <w:top w:val="nil"/>
              <w:bottom w:val="single" w:sz="4" w:space="0" w:color="auto"/>
            </w:tcBorders>
            <w:shd w:val="clear" w:color="auto" w:fill="auto"/>
            <w:noWrap/>
            <w:vAlign w:val="center"/>
            <w:hideMark/>
          </w:tcPr>
          <w:p w14:paraId="403705B4" w14:textId="77777777" w:rsidR="00CA3946" w:rsidRPr="00CA3946" w:rsidRDefault="00CA3946" w:rsidP="00CA3946">
            <w:pPr>
              <w:spacing w:line="360" w:lineRule="auto"/>
              <w:rPr>
                <w:rFonts w:ascii="Book Antiqua" w:eastAsia="宋体" w:hAnsi="Book Antiqua" w:cs="宋体"/>
                <w:color w:val="000000"/>
                <w:lang w:eastAsia="zh-CN"/>
              </w:rPr>
            </w:pPr>
            <w:r w:rsidRPr="00CA3946">
              <w:rPr>
                <w:rFonts w:ascii="Book Antiqua" w:eastAsia="宋体" w:hAnsi="Book Antiqua" w:cs="宋体"/>
                <w:color w:val="000000"/>
                <w:lang w:eastAsia="zh-CN"/>
              </w:rPr>
              <w:t>17 (21)</w:t>
            </w:r>
          </w:p>
        </w:tc>
      </w:tr>
    </w:tbl>
    <w:p w14:paraId="27F6CF45" w14:textId="77777777" w:rsidR="00D95710" w:rsidRPr="00CA3946" w:rsidRDefault="00CA3946" w:rsidP="00CA3946">
      <w:pPr>
        <w:spacing w:line="360" w:lineRule="auto"/>
        <w:contextualSpacing/>
        <w:rPr>
          <w:rFonts w:ascii="Book Antiqua" w:hAnsi="Book Antiqua" w:cs="Calibri"/>
          <w:b/>
          <w:color w:val="000000"/>
          <w:lang w:eastAsia="zh-CN"/>
        </w:rPr>
      </w:pPr>
      <w:r>
        <w:rPr>
          <w:rFonts w:ascii="Book Antiqua" w:hAnsi="Book Antiqua" w:cs="Calibri"/>
          <w:color w:val="000000"/>
          <w:lang w:eastAsia="zh-CN"/>
        </w:rPr>
        <w:br w:type="page"/>
      </w:r>
      <w:r w:rsidRPr="00CA3946">
        <w:rPr>
          <w:rFonts w:ascii="Book Antiqua" w:hAnsi="Book Antiqua" w:cs="Calibri"/>
          <w:b/>
          <w:color w:val="000000"/>
          <w:lang w:eastAsia="zh-CN"/>
        </w:rPr>
        <w:lastRenderedPageBreak/>
        <w:t>Table 5 Type of adverse events reported</w:t>
      </w:r>
      <w:r>
        <w:rPr>
          <w:rFonts w:ascii="Book Antiqua" w:hAnsi="Book Antiqua" w:cs="Calibri" w:hint="eastAsia"/>
          <w:b/>
          <w:color w:val="000000"/>
          <w:lang w:eastAsia="zh-CN"/>
        </w:rPr>
        <w:t xml:space="preserve">, </w:t>
      </w:r>
      <w:r w:rsidRPr="00CA3946">
        <w:rPr>
          <w:rFonts w:ascii="Book Antiqua" w:eastAsia="Times New Roman" w:hAnsi="Book Antiqua" w:cs="Calibri"/>
          <w:b/>
          <w:i/>
          <w:color w:val="000000"/>
          <w:lang w:eastAsia="es-ES"/>
        </w:rPr>
        <w:t>n</w:t>
      </w:r>
      <w:r w:rsidRPr="00CA3946">
        <w:rPr>
          <w:rFonts w:ascii="Book Antiqua" w:eastAsia="Times New Roman" w:hAnsi="Book Antiqua" w:cs="Calibri"/>
          <w:b/>
          <w:color w:val="000000"/>
          <w:lang w:eastAsia="es-ES"/>
        </w:rPr>
        <w:t xml:space="preserve"> (%)</w:t>
      </w:r>
    </w:p>
    <w:tbl>
      <w:tblPr>
        <w:tblW w:w="7974" w:type="dxa"/>
        <w:tblInd w:w="70" w:type="dxa"/>
        <w:tblBorders>
          <w:top w:val="single" w:sz="4" w:space="0" w:color="auto"/>
          <w:bottom w:val="single" w:sz="4" w:space="0" w:color="auto"/>
        </w:tblBorders>
        <w:tblCellMar>
          <w:left w:w="70" w:type="dxa"/>
          <w:right w:w="70" w:type="dxa"/>
        </w:tblCellMar>
        <w:tblLook w:val="04A0" w:firstRow="1" w:lastRow="0" w:firstColumn="1" w:lastColumn="0" w:noHBand="0" w:noVBand="1"/>
      </w:tblPr>
      <w:tblGrid>
        <w:gridCol w:w="5718"/>
        <w:gridCol w:w="2256"/>
      </w:tblGrid>
      <w:tr w:rsidR="00CA3946" w:rsidRPr="00E34634" w14:paraId="648A2459" w14:textId="77777777" w:rsidTr="00264128">
        <w:trPr>
          <w:trHeight w:val="292"/>
        </w:trPr>
        <w:tc>
          <w:tcPr>
            <w:tcW w:w="5718" w:type="dxa"/>
            <w:tcBorders>
              <w:top w:val="single" w:sz="4" w:space="0" w:color="auto"/>
              <w:bottom w:val="single" w:sz="4" w:space="0" w:color="auto"/>
            </w:tcBorders>
            <w:shd w:val="clear" w:color="auto" w:fill="auto"/>
            <w:noWrap/>
            <w:vAlign w:val="bottom"/>
            <w:hideMark/>
          </w:tcPr>
          <w:p w14:paraId="427A5080" w14:textId="0B7B3199" w:rsidR="00CA3946" w:rsidRPr="00E34634" w:rsidRDefault="00CA3946" w:rsidP="00CA3946">
            <w:pPr>
              <w:spacing w:line="360" w:lineRule="auto"/>
              <w:rPr>
                <w:rFonts w:ascii="Book Antiqua" w:eastAsia="Times New Roman" w:hAnsi="Book Antiqua" w:cs="Calibri"/>
                <w:b/>
                <w:bCs/>
                <w:color w:val="000000"/>
                <w:lang w:eastAsia="es-ES"/>
              </w:rPr>
            </w:pPr>
            <w:r w:rsidRPr="00E34634">
              <w:rPr>
                <w:rFonts w:ascii="Book Antiqua" w:eastAsia="Times New Roman" w:hAnsi="Book Antiqua" w:cs="Calibri"/>
                <w:b/>
                <w:bCs/>
                <w:color w:val="000000"/>
                <w:lang w:eastAsia="es-ES"/>
              </w:rPr>
              <w:t>Number of AE</w:t>
            </w:r>
            <w:r w:rsidR="00841D16">
              <w:rPr>
                <w:rFonts w:ascii="Book Antiqua" w:eastAsia="Times New Roman" w:hAnsi="Book Antiqua" w:cs="Calibri"/>
                <w:b/>
                <w:bCs/>
                <w:color w:val="000000"/>
                <w:lang w:eastAsia="es-ES"/>
              </w:rPr>
              <w:t>s</w:t>
            </w:r>
            <w:r>
              <w:rPr>
                <w:rFonts w:ascii="Book Antiqua" w:eastAsia="Times New Roman" w:hAnsi="Book Antiqua" w:cs="Calibri"/>
                <w:b/>
                <w:bCs/>
                <w:color w:val="000000"/>
                <w:vertAlign w:val="superscript"/>
                <w:lang w:eastAsia="es-ES"/>
              </w:rPr>
              <w:t>1</w:t>
            </w:r>
            <w:r w:rsidRPr="00E34634">
              <w:rPr>
                <w:rFonts w:ascii="Book Antiqua" w:eastAsia="Times New Roman" w:hAnsi="Book Antiqua" w:cs="Calibri"/>
                <w:b/>
                <w:bCs/>
                <w:color w:val="000000"/>
                <w:lang w:eastAsia="es-ES"/>
              </w:rPr>
              <w:t xml:space="preserve"> </w:t>
            </w:r>
          </w:p>
        </w:tc>
        <w:tc>
          <w:tcPr>
            <w:tcW w:w="2256" w:type="dxa"/>
            <w:tcBorders>
              <w:top w:val="single" w:sz="4" w:space="0" w:color="auto"/>
              <w:bottom w:val="single" w:sz="4" w:space="0" w:color="auto"/>
            </w:tcBorders>
            <w:shd w:val="clear" w:color="auto" w:fill="auto"/>
            <w:vAlign w:val="bottom"/>
            <w:hideMark/>
          </w:tcPr>
          <w:p w14:paraId="696F0E72" w14:textId="77777777" w:rsidR="00CA3946" w:rsidRPr="00E34634" w:rsidRDefault="00CA3946" w:rsidP="00CA3946">
            <w:pPr>
              <w:spacing w:line="360" w:lineRule="auto"/>
              <w:rPr>
                <w:rFonts w:ascii="Book Antiqua" w:eastAsia="Times New Roman" w:hAnsi="Book Antiqua" w:cs="Calibri"/>
                <w:color w:val="000000"/>
                <w:lang w:eastAsia="es-ES"/>
              </w:rPr>
            </w:pPr>
            <w:r w:rsidRPr="00E34634">
              <w:rPr>
                <w:rFonts w:ascii="Book Antiqua" w:eastAsia="Times New Roman" w:hAnsi="Book Antiqua" w:cs="Calibri"/>
                <w:color w:val="000000"/>
                <w:lang w:eastAsia="es-ES"/>
              </w:rPr>
              <w:t>34</w:t>
            </w:r>
            <w:r>
              <w:rPr>
                <w:rFonts w:ascii="Book Antiqua" w:eastAsia="Times New Roman" w:hAnsi="Book Antiqua" w:cs="Calibri"/>
                <w:color w:val="000000"/>
                <w:lang w:eastAsia="es-ES"/>
              </w:rPr>
              <w:t xml:space="preserve"> (15.45)</w:t>
            </w:r>
          </w:p>
        </w:tc>
      </w:tr>
      <w:tr w:rsidR="00CA3946" w:rsidRPr="00E34634" w14:paraId="5A432204" w14:textId="77777777" w:rsidTr="00264128">
        <w:trPr>
          <w:trHeight w:val="292"/>
        </w:trPr>
        <w:tc>
          <w:tcPr>
            <w:tcW w:w="5718" w:type="dxa"/>
            <w:tcBorders>
              <w:top w:val="single" w:sz="4" w:space="0" w:color="auto"/>
            </w:tcBorders>
            <w:shd w:val="clear" w:color="auto" w:fill="auto"/>
            <w:noWrap/>
            <w:vAlign w:val="bottom"/>
            <w:hideMark/>
          </w:tcPr>
          <w:p w14:paraId="22A14A9E" w14:textId="77777777" w:rsidR="00CA3946" w:rsidRPr="00E34634" w:rsidRDefault="00CA3946" w:rsidP="00264128">
            <w:pPr>
              <w:spacing w:line="360" w:lineRule="auto"/>
              <w:rPr>
                <w:rFonts w:ascii="Book Antiqua" w:eastAsia="Times New Roman" w:hAnsi="Book Antiqua" w:cs="Calibri"/>
                <w:color w:val="000000"/>
                <w:lang w:eastAsia="es-ES"/>
              </w:rPr>
            </w:pPr>
            <w:r w:rsidRPr="00E34634">
              <w:rPr>
                <w:rFonts w:ascii="Book Antiqua" w:eastAsia="Times New Roman" w:hAnsi="Book Antiqua" w:cs="Calibri"/>
                <w:color w:val="000000"/>
                <w:lang w:eastAsia="es-ES"/>
              </w:rPr>
              <w:t>Hypersensitivity</w:t>
            </w:r>
          </w:p>
        </w:tc>
        <w:tc>
          <w:tcPr>
            <w:tcW w:w="2256" w:type="dxa"/>
            <w:tcBorders>
              <w:top w:val="single" w:sz="4" w:space="0" w:color="auto"/>
            </w:tcBorders>
            <w:shd w:val="clear" w:color="auto" w:fill="auto"/>
            <w:noWrap/>
            <w:vAlign w:val="bottom"/>
            <w:hideMark/>
          </w:tcPr>
          <w:p w14:paraId="20B85289" w14:textId="77777777" w:rsidR="00CA3946" w:rsidRPr="00E34634" w:rsidRDefault="00CA3946" w:rsidP="00CA3946">
            <w:pPr>
              <w:spacing w:line="360" w:lineRule="auto"/>
              <w:rPr>
                <w:rFonts w:ascii="Book Antiqua" w:eastAsia="Times New Roman" w:hAnsi="Book Antiqua" w:cs="Calibri"/>
                <w:color w:val="000000"/>
                <w:lang w:eastAsia="es-ES"/>
              </w:rPr>
            </w:pPr>
            <w:r w:rsidRPr="00E34634">
              <w:rPr>
                <w:rFonts w:ascii="Book Antiqua" w:eastAsia="Times New Roman" w:hAnsi="Book Antiqua" w:cs="Calibri"/>
                <w:color w:val="000000"/>
                <w:lang w:eastAsia="es-ES"/>
              </w:rPr>
              <w:t>9 (26.5)</w:t>
            </w:r>
          </w:p>
        </w:tc>
      </w:tr>
      <w:tr w:rsidR="00CA3946" w:rsidRPr="00E34634" w14:paraId="2EFADBB2" w14:textId="77777777" w:rsidTr="00264128">
        <w:trPr>
          <w:trHeight w:val="292"/>
        </w:trPr>
        <w:tc>
          <w:tcPr>
            <w:tcW w:w="5718" w:type="dxa"/>
            <w:shd w:val="clear" w:color="auto" w:fill="auto"/>
            <w:noWrap/>
            <w:vAlign w:val="bottom"/>
            <w:hideMark/>
          </w:tcPr>
          <w:p w14:paraId="5C7CE1E5" w14:textId="77777777" w:rsidR="00CA3946" w:rsidRPr="00E34634" w:rsidRDefault="00CA3946" w:rsidP="00264128">
            <w:pPr>
              <w:spacing w:line="360" w:lineRule="auto"/>
              <w:rPr>
                <w:rFonts w:ascii="Book Antiqua" w:eastAsia="Times New Roman" w:hAnsi="Book Antiqua" w:cs="Calibri"/>
                <w:color w:val="000000"/>
                <w:lang w:eastAsia="es-ES"/>
              </w:rPr>
            </w:pPr>
            <w:r w:rsidRPr="00E34634">
              <w:rPr>
                <w:rFonts w:ascii="Book Antiqua" w:eastAsia="Times New Roman" w:hAnsi="Book Antiqua" w:cs="Calibri"/>
                <w:color w:val="000000"/>
                <w:lang w:eastAsia="es-ES"/>
              </w:rPr>
              <w:t>Malignant neoplasm</w:t>
            </w:r>
          </w:p>
        </w:tc>
        <w:tc>
          <w:tcPr>
            <w:tcW w:w="2256" w:type="dxa"/>
            <w:shd w:val="clear" w:color="auto" w:fill="auto"/>
            <w:noWrap/>
            <w:vAlign w:val="bottom"/>
            <w:hideMark/>
          </w:tcPr>
          <w:p w14:paraId="3DF3045B" w14:textId="77777777" w:rsidR="00CA3946" w:rsidRPr="00E34634" w:rsidRDefault="00CA3946" w:rsidP="00CA3946">
            <w:pPr>
              <w:spacing w:line="360" w:lineRule="auto"/>
              <w:rPr>
                <w:rFonts w:ascii="Book Antiqua" w:eastAsia="Times New Roman" w:hAnsi="Book Antiqua" w:cs="Calibri"/>
                <w:color w:val="000000"/>
                <w:lang w:eastAsia="es-ES"/>
              </w:rPr>
            </w:pPr>
            <w:r w:rsidRPr="00E34634">
              <w:rPr>
                <w:rFonts w:ascii="Book Antiqua" w:eastAsia="Times New Roman" w:hAnsi="Book Antiqua" w:cs="Calibri"/>
                <w:color w:val="000000"/>
                <w:lang w:eastAsia="es-ES"/>
              </w:rPr>
              <w:t>1 (2.9)</w:t>
            </w:r>
          </w:p>
        </w:tc>
      </w:tr>
      <w:tr w:rsidR="00CA3946" w:rsidRPr="00E34634" w14:paraId="7D7CF6B5" w14:textId="77777777" w:rsidTr="00264128">
        <w:trPr>
          <w:trHeight w:val="292"/>
        </w:trPr>
        <w:tc>
          <w:tcPr>
            <w:tcW w:w="5718" w:type="dxa"/>
            <w:shd w:val="clear" w:color="auto" w:fill="auto"/>
            <w:noWrap/>
            <w:vAlign w:val="bottom"/>
            <w:hideMark/>
          </w:tcPr>
          <w:p w14:paraId="68CAFDD3" w14:textId="77777777" w:rsidR="00CA3946" w:rsidRPr="00E34634" w:rsidRDefault="00CA3946" w:rsidP="00264128">
            <w:pPr>
              <w:spacing w:line="360" w:lineRule="auto"/>
              <w:rPr>
                <w:rFonts w:ascii="Book Antiqua" w:eastAsia="Times New Roman" w:hAnsi="Book Antiqua" w:cs="Calibri"/>
                <w:color w:val="000000"/>
                <w:lang w:eastAsia="es-ES"/>
              </w:rPr>
            </w:pPr>
            <w:r w:rsidRPr="00E34634">
              <w:rPr>
                <w:rFonts w:ascii="Book Antiqua" w:eastAsia="Times New Roman" w:hAnsi="Book Antiqua" w:cs="Calibri"/>
                <w:color w:val="000000"/>
                <w:lang w:eastAsia="es-ES"/>
              </w:rPr>
              <w:t>Infections (any type)</w:t>
            </w:r>
          </w:p>
        </w:tc>
        <w:tc>
          <w:tcPr>
            <w:tcW w:w="2256" w:type="dxa"/>
            <w:shd w:val="clear" w:color="auto" w:fill="auto"/>
            <w:noWrap/>
            <w:vAlign w:val="bottom"/>
            <w:hideMark/>
          </w:tcPr>
          <w:p w14:paraId="4E787067" w14:textId="77777777" w:rsidR="00CA3946" w:rsidRPr="00E34634" w:rsidRDefault="00CA3946" w:rsidP="00CA3946">
            <w:pPr>
              <w:spacing w:line="360" w:lineRule="auto"/>
              <w:rPr>
                <w:rFonts w:ascii="Book Antiqua" w:eastAsia="Times New Roman" w:hAnsi="Book Antiqua" w:cs="Calibri"/>
                <w:color w:val="000000"/>
                <w:lang w:eastAsia="es-ES"/>
              </w:rPr>
            </w:pPr>
            <w:r w:rsidRPr="00E34634">
              <w:rPr>
                <w:rFonts w:ascii="Book Antiqua" w:eastAsia="Times New Roman" w:hAnsi="Book Antiqua" w:cs="Calibri"/>
                <w:color w:val="000000"/>
                <w:lang w:eastAsia="es-ES"/>
              </w:rPr>
              <w:t>8 (23.5)</w:t>
            </w:r>
          </w:p>
        </w:tc>
      </w:tr>
      <w:tr w:rsidR="00CA3946" w:rsidRPr="00E34634" w14:paraId="059D0300" w14:textId="77777777" w:rsidTr="00264128">
        <w:trPr>
          <w:trHeight w:val="292"/>
        </w:trPr>
        <w:tc>
          <w:tcPr>
            <w:tcW w:w="5718" w:type="dxa"/>
            <w:shd w:val="clear" w:color="auto" w:fill="auto"/>
            <w:noWrap/>
            <w:vAlign w:val="bottom"/>
            <w:hideMark/>
          </w:tcPr>
          <w:p w14:paraId="3E116F0C" w14:textId="77777777" w:rsidR="00CA3946" w:rsidRPr="00E34634" w:rsidRDefault="00CA3946" w:rsidP="00264128">
            <w:pPr>
              <w:spacing w:line="360" w:lineRule="auto"/>
              <w:ind w:firstLineChars="100" w:firstLine="240"/>
              <w:rPr>
                <w:rFonts w:ascii="Book Antiqua" w:eastAsia="Times New Roman" w:hAnsi="Book Antiqua" w:cs="Calibri"/>
                <w:color w:val="000000"/>
                <w:lang w:eastAsia="es-ES"/>
              </w:rPr>
            </w:pPr>
            <w:r w:rsidRPr="00E34634">
              <w:rPr>
                <w:rFonts w:ascii="Book Antiqua" w:eastAsia="Times New Roman" w:hAnsi="Book Antiqua" w:cs="Calibri"/>
                <w:color w:val="000000"/>
                <w:lang w:eastAsia="es-ES"/>
              </w:rPr>
              <w:t>Respiratory infections</w:t>
            </w:r>
          </w:p>
        </w:tc>
        <w:tc>
          <w:tcPr>
            <w:tcW w:w="2256" w:type="dxa"/>
            <w:shd w:val="clear" w:color="auto" w:fill="auto"/>
            <w:noWrap/>
            <w:vAlign w:val="bottom"/>
            <w:hideMark/>
          </w:tcPr>
          <w:p w14:paraId="3DDDEB69" w14:textId="77777777" w:rsidR="00CA3946" w:rsidRPr="00E34634" w:rsidRDefault="00CA3946" w:rsidP="00CA3946">
            <w:pPr>
              <w:spacing w:line="360" w:lineRule="auto"/>
              <w:rPr>
                <w:rFonts w:ascii="Book Antiqua" w:eastAsia="Times New Roman" w:hAnsi="Book Antiqua" w:cs="Calibri"/>
                <w:color w:val="000000"/>
                <w:lang w:eastAsia="es-ES"/>
              </w:rPr>
            </w:pPr>
            <w:r w:rsidRPr="00E34634">
              <w:rPr>
                <w:rFonts w:ascii="Book Antiqua" w:eastAsia="Times New Roman" w:hAnsi="Book Antiqua" w:cs="Calibri"/>
                <w:color w:val="000000"/>
                <w:lang w:eastAsia="es-ES"/>
              </w:rPr>
              <w:t>2 (5.9)</w:t>
            </w:r>
          </w:p>
        </w:tc>
      </w:tr>
      <w:tr w:rsidR="00CA3946" w:rsidRPr="00E34634" w14:paraId="36157A71" w14:textId="77777777" w:rsidTr="00264128">
        <w:trPr>
          <w:trHeight w:val="292"/>
        </w:trPr>
        <w:tc>
          <w:tcPr>
            <w:tcW w:w="5718" w:type="dxa"/>
            <w:shd w:val="clear" w:color="auto" w:fill="auto"/>
            <w:noWrap/>
            <w:vAlign w:val="bottom"/>
            <w:hideMark/>
          </w:tcPr>
          <w:p w14:paraId="7388C108" w14:textId="77777777" w:rsidR="00CA3946" w:rsidRPr="00E34634" w:rsidRDefault="00CA3946" w:rsidP="00264128">
            <w:pPr>
              <w:spacing w:line="360" w:lineRule="auto"/>
              <w:ind w:firstLineChars="100" w:firstLine="240"/>
              <w:rPr>
                <w:rFonts w:ascii="Book Antiqua" w:eastAsia="Times New Roman" w:hAnsi="Book Antiqua" w:cs="Calibri"/>
                <w:color w:val="000000"/>
                <w:lang w:eastAsia="es-ES"/>
              </w:rPr>
            </w:pPr>
            <w:r w:rsidRPr="00E34634">
              <w:rPr>
                <w:rFonts w:ascii="Book Antiqua" w:eastAsia="Times New Roman" w:hAnsi="Book Antiqua" w:cs="Calibri"/>
                <w:color w:val="000000"/>
                <w:lang w:eastAsia="es-ES"/>
              </w:rPr>
              <w:t>Other infections</w:t>
            </w:r>
          </w:p>
        </w:tc>
        <w:tc>
          <w:tcPr>
            <w:tcW w:w="2256" w:type="dxa"/>
            <w:shd w:val="clear" w:color="auto" w:fill="auto"/>
            <w:noWrap/>
            <w:vAlign w:val="bottom"/>
            <w:hideMark/>
          </w:tcPr>
          <w:p w14:paraId="60624C49" w14:textId="77777777" w:rsidR="00CA3946" w:rsidRPr="00E34634" w:rsidRDefault="00CA3946" w:rsidP="00CA3946">
            <w:pPr>
              <w:spacing w:line="360" w:lineRule="auto"/>
              <w:rPr>
                <w:rFonts w:ascii="Book Antiqua" w:eastAsia="Times New Roman" w:hAnsi="Book Antiqua" w:cs="Calibri"/>
                <w:color w:val="000000"/>
                <w:lang w:eastAsia="es-ES"/>
              </w:rPr>
            </w:pPr>
            <w:r w:rsidRPr="00E34634">
              <w:rPr>
                <w:rFonts w:ascii="Book Antiqua" w:eastAsia="Times New Roman" w:hAnsi="Book Antiqua" w:cs="Calibri"/>
                <w:color w:val="000000"/>
                <w:lang w:eastAsia="es-ES"/>
              </w:rPr>
              <w:t>6 (17.6)</w:t>
            </w:r>
          </w:p>
        </w:tc>
      </w:tr>
      <w:tr w:rsidR="00CA3946" w:rsidRPr="00E34634" w14:paraId="3E4811D0" w14:textId="77777777" w:rsidTr="00264128">
        <w:trPr>
          <w:trHeight w:val="292"/>
        </w:trPr>
        <w:tc>
          <w:tcPr>
            <w:tcW w:w="5718" w:type="dxa"/>
            <w:shd w:val="clear" w:color="auto" w:fill="auto"/>
            <w:noWrap/>
            <w:vAlign w:val="bottom"/>
            <w:hideMark/>
          </w:tcPr>
          <w:p w14:paraId="7107066F" w14:textId="77777777" w:rsidR="00CA3946" w:rsidRPr="00E34634" w:rsidRDefault="00CA3946" w:rsidP="00264128">
            <w:pPr>
              <w:spacing w:line="360" w:lineRule="auto"/>
              <w:rPr>
                <w:rFonts w:ascii="Book Antiqua" w:eastAsia="Times New Roman" w:hAnsi="Book Antiqua" w:cs="Calibri"/>
                <w:color w:val="000000"/>
                <w:lang w:eastAsia="es-ES"/>
              </w:rPr>
            </w:pPr>
            <w:r w:rsidRPr="00E34634">
              <w:rPr>
                <w:rFonts w:ascii="Book Antiqua" w:eastAsia="Times New Roman" w:hAnsi="Book Antiqua" w:cs="Calibri"/>
                <w:color w:val="000000"/>
                <w:lang w:eastAsia="es-ES"/>
              </w:rPr>
              <w:t>Other AEs</w:t>
            </w:r>
          </w:p>
        </w:tc>
        <w:tc>
          <w:tcPr>
            <w:tcW w:w="2256" w:type="dxa"/>
            <w:shd w:val="clear" w:color="auto" w:fill="auto"/>
            <w:noWrap/>
            <w:vAlign w:val="bottom"/>
            <w:hideMark/>
          </w:tcPr>
          <w:p w14:paraId="358EB1CF" w14:textId="77777777" w:rsidR="00CA3946" w:rsidRPr="00E34634" w:rsidRDefault="00CA3946" w:rsidP="00CA3946">
            <w:pPr>
              <w:spacing w:line="360" w:lineRule="auto"/>
              <w:rPr>
                <w:rFonts w:ascii="Book Antiqua" w:eastAsia="Times New Roman" w:hAnsi="Book Antiqua" w:cs="Calibri"/>
                <w:color w:val="000000"/>
                <w:lang w:eastAsia="es-ES"/>
              </w:rPr>
            </w:pPr>
            <w:r w:rsidRPr="00E34634">
              <w:rPr>
                <w:rFonts w:ascii="Book Antiqua" w:eastAsia="Times New Roman" w:hAnsi="Book Antiqua" w:cs="Calibri"/>
                <w:color w:val="000000"/>
                <w:lang w:eastAsia="es-ES"/>
              </w:rPr>
              <w:t>8 (23.5)</w:t>
            </w:r>
          </w:p>
        </w:tc>
      </w:tr>
      <w:tr w:rsidR="00CA3946" w:rsidRPr="00E34634" w14:paraId="31E640E7" w14:textId="77777777" w:rsidTr="00264128">
        <w:trPr>
          <w:trHeight w:val="292"/>
        </w:trPr>
        <w:tc>
          <w:tcPr>
            <w:tcW w:w="5718" w:type="dxa"/>
            <w:shd w:val="clear" w:color="auto" w:fill="auto"/>
            <w:noWrap/>
            <w:vAlign w:val="bottom"/>
            <w:hideMark/>
          </w:tcPr>
          <w:p w14:paraId="6DE03A91" w14:textId="77777777" w:rsidR="00CA3946" w:rsidRPr="00E34634" w:rsidRDefault="00CA3946" w:rsidP="00264128">
            <w:pPr>
              <w:spacing w:line="360" w:lineRule="auto"/>
              <w:rPr>
                <w:rFonts w:ascii="Book Antiqua" w:eastAsia="Times New Roman" w:hAnsi="Book Antiqua" w:cs="Calibri"/>
                <w:color w:val="000000"/>
                <w:lang w:eastAsia="es-ES"/>
              </w:rPr>
            </w:pPr>
            <w:r w:rsidRPr="00E34634">
              <w:rPr>
                <w:rFonts w:ascii="Book Antiqua" w:eastAsia="Times New Roman" w:hAnsi="Book Antiqua" w:cs="Calibri"/>
                <w:color w:val="000000"/>
                <w:lang w:eastAsia="es-ES"/>
              </w:rPr>
              <w:t>Non-specified</w:t>
            </w:r>
          </w:p>
        </w:tc>
        <w:tc>
          <w:tcPr>
            <w:tcW w:w="2256" w:type="dxa"/>
            <w:shd w:val="clear" w:color="auto" w:fill="auto"/>
            <w:noWrap/>
            <w:vAlign w:val="bottom"/>
            <w:hideMark/>
          </w:tcPr>
          <w:p w14:paraId="4E33BCFE" w14:textId="77777777" w:rsidR="00CA3946" w:rsidRPr="00E34634" w:rsidRDefault="00CA3946" w:rsidP="00CA3946">
            <w:pPr>
              <w:spacing w:line="360" w:lineRule="auto"/>
              <w:rPr>
                <w:rFonts w:ascii="Book Antiqua" w:eastAsia="Times New Roman" w:hAnsi="Book Antiqua" w:cs="Calibri"/>
                <w:color w:val="000000"/>
                <w:lang w:eastAsia="es-ES"/>
              </w:rPr>
            </w:pPr>
            <w:r w:rsidRPr="00E34634">
              <w:rPr>
                <w:rFonts w:ascii="Book Antiqua" w:eastAsia="Times New Roman" w:hAnsi="Book Antiqua" w:cs="Calibri"/>
                <w:color w:val="000000"/>
                <w:lang w:eastAsia="es-ES"/>
              </w:rPr>
              <w:t>8 (23.5)</w:t>
            </w:r>
          </w:p>
        </w:tc>
      </w:tr>
    </w:tbl>
    <w:p w14:paraId="6954B595" w14:textId="38C35135" w:rsidR="00CA3946" w:rsidRDefault="00001A00" w:rsidP="00CA3946">
      <w:pPr>
        <w:spacing w:line="360" w:lineRule="auto"/>
        <w:contextualSpacing/>
        <w:rPr>
          <w:rFonts w:ascii="Book Antiqua" w:hAnsi="Book Antiqua" w:cs="Book Antiqua"/>
          <w:color w:val="000000"/>
          <w:lang w:eastAsia="zh-CN"/>
        </w:rPr>
      </w:pPr>
      <w:r>
        <w:rPr>
          <w:rFonts w:ascii="Book Antiqua" w:hAnsi="Book Antiqua" w:cs="Book Antiqua"/>
          <w:color w:val="000000"/>
          <w:vertAlign w:val="superscript"/>
          <w:lang w:eastAsia="zh-CN"/>
        </w:rPr>
        <w:t>1</w:t>
      </w:r>
      <w:r w:rsidRPr="00630C4D">
        <w:rPr>
          <w:rFonts w:ascii="Book Antiqua" w:hAnsi="Book Antiqua" w:cs="Book Antiqua"/>
          <w:color w:val="000000"/>
          <w:lang w:eastAsia="zh-CN"/>
        </w:rPr>
        <w:t>Any type</w:t>
      </w:r>
      <w:r>
        <w:rPr>
          <w:rFonts w:ascii="Book Antiqua" w:hAnsi="Book Antiqua" w:cs="Book Antiqua" w:hint="eastAsia"/>
          <w:color w:val="000000"/>
          <w:lang w:eastAsia="zh-CN"/>
        </w:rPr>
        <w:t xml:space="preserve">. </w:t>
      </w:r>
      <w:r w:rsidR="00CA3946">
        <w:rPr>
          <w:rFonts w:ascii="Book Antiqua" w:eastAsia="Book Antiqua" w:hAnsi="Book Antiqua" w:cs="Book Antiqua"/>
          <w:color w:val="000000"/>
        </w:rPr>
        <w:t>AEs</w:t>
      </w:r>
      <w:r w:rsidR="00CA3946">
        <w:rPr>
          <w:rFonts w:ascii="Book Antiqua" w:hAnsi="Book Antiqua" w:cs="Calibri" w:hint="eastAsia"/>
          <w:color w:val="000000"/>
          <w:lang w:eastAsia="zh-CN"/>
        </w:rPr>
        <w:t xml:space="preserve">: </w:t>
      </w:r>
      <w:r w:rsidR="00CA3946" w:rsidRPr="00CA3946">
        <w:rPr>
          <w:rFonts w:ascii="Book Antiqua" w:eastAsia="Book Antiqua" w:hAnsi="Book Antiqua" w:cs="Book Antiqua"/>
          <w:caps/>
          <w:color w:val="000000"/>
        </w:rPr>
        <w:t>a</w:t>
      </w:r>
      <w:r w:rsidR="00CA3946">
        <w:rPr>
          <w:rFonts w:ascii="Book Antiqua" w:eastAsia="Book Antiqua" w:hAnsi="Book Antiqua" w:cs="Book Antiqua"/>
          <w:color w:val="000000"/>
        </w:rPr>
        <w:t>dverse events</w:t>
      </w:r>
      <w:r w:rsidR="00CA3946">
        <w:rPr>
          <w:rFonts w:ascii="Book Antiqua" w:hAnsi="Book Antiqua" w:cs="Book Antiqua" w:hint="eastAsia"/>
          <w:color w:val="000000"/>
          <w:lang w:eastAsia="zh-CN"/>
        </w:rPr>
        <w:t>.</w:t>
      </w:r>
    </w:p>
    <w:p w14:paraId="63490B9F" w14:textId="69D9AE78" w:rsidR="00612B93" w:rsidRDefault="00612B93">
      <w:pPr>
        <w:rPr>
          <w:rFonts w:ascii="Book Antiqua" w:hAnsi="Book Antiqua" w:cs="Calibri"/>
          <w:color w:val="000000"/>
          <w:lang w:eastAsia="zh-CN"/>
        </w:rPr>
      </w:pPr>
      <w:r>
        <w:rPr>
          <w:rFonts w:ascii="Book Antiqua" w:hAnsi="Book Antiqua" w:cs="Calibri"/>
          <w:color w:val="000000"/>
          <w:lang w:eastAsia="zh-CN"/>
        </w:rPr>
        <w:br w:type="page"/>
      </w:r>
    </w:p>
    <w:p w14:paraId="6DA5C736" w14:textId="77777777" w:rsidR="00612B93" w:rsidRDefault="00612B93" w:rsidP="00612B93">
      <w:pPr>
        <w:jc w:val="center"/>
        <w:rPr>
          <w:rFonts w:ascii="Book Antiqua" w:hAnsi="Book Antiqua"/>
          <w:lang w:eastAsia="zh-CN"/>
        </w:rPr>
      </w:pPr>
      <w:bookmarkStart w:id="10" w:name="OLE_LINK1"/>
      <w:bookmarkStart w:id="11" w:name="OLE_LINK2"/>
    </w:p>
    <w:p w14:paraId="0BD84560" w14:textId="77777777" w:rsidR="00612B93" w:rsidRDefault="00612B93" w:rsidP="00612B93">
      <w:pPr>
        <w:jc w:val="center"/>
        <w:rPr>
          <w:rFonts w:ascii="Book Antiqua" w:hAnsi="Book Antiqua"/>
          <w:lang w:eastAsia="zh-CN"/>
        </w:rPr>
      </w:pPr>
    </w:p>
    <w:p w14:paraId="02EA36CA" w14:textId="77777777" w:rsidR="00612B93" w:rsidRDefault="00612B93" w:rsidP="00612B93">
      <w:pPr>
        <w:jc w:val="center"/>
        <w:rPr>
          <w:rFonts w:ascii="Book Antiqua" w:hAnsi="Book Antiqua"/>
          <w:lang w:eastAsia="zh-CN"/>
        </w:rPr>
      </w:pPr>
    </w:p>
    <w:p w14:paraId="6E449EB9" w14:textId="77777777" w:rsidR="00612B93" w:rsidRDefault="00612B93" w:rsidP="00612B93">
      <w:pPr>
        <w:jc w:val="center"/>
        <w:rPr>
          <w:rFonts w:ascii="Book Antiqua" w:hAnsi="Book Antiqua"/>
          <w:lang w:eastAsia="zh-CN"/>
        </w:rPr>
      </w:pPr>
    </w:p>
    <w:p w14:paraId="598A1A04" w14:textId="77777777" w:rsidR="00612B93" w:rsidRDefault="00612B93" w:rsidP="00612B93">
      <w:pPr>
        <w:jc w:val="center"/>
        <w:rPr>
          <w:rFonts w:ascii="Book Antiqua" w:hAnsi="Book Antiqua"/>
          <w:lang w:eastAsia="zh-CN"/>
        </w:rPr>
      </w:pPr>
    </w:p>
    <w:p w14:paraId="2214F122" w14:textId="77777777" w:rsidR="00612B93" w:rsidRDefault="00612B93" w:rsidP="00612B93">
      <w:pPr>
        <w:jc w:val="center"/>
        <w:rPr>
          <w:rFonts w:ascii="Book Antiqua" w:hAnsi="Book Antiqua"/>
          <w:lang w:eastAsia="zh-CN"/>
        </w:rPr>
      </w:pPr>
      <w:r>
        <w:rPr>
          <w:rFonts w:ascii="Book Antiqua" w:hAnsi="Book Antiqua"/>
          <w:noProof/>
          <w:lang w:eastAsia="zh-CN"/>
        </w:rPr>
        <w:drawing>
          <wp:inline distT="0" distB="0" distL="0" distR="0" wp14:anchorId="618594E0" wp14:editId="5CAD4671">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18736B7D" w14:textId="77777777" w:rsidR="00612B93" w:rsidRDefault="00612B93" w:rsidP="00612B93">
      <w:pPr>
        <w:jc w:val="center"/>
        <w:rPr>
          <w:rFonts w:ascii="Book Antiqua" w:hAnsi="Book Antiqua"/>
          <w:lang w:eastAsia="zh-CN"/>
        </w:rPr>
      </w:pPr>
    </w:p>
    <w:p w14:paraId="1EEF4E7D" w14:textId="77777777" w:rsidR="00612B93" w:rsidRPr="00763D22" w:rsidRDefault="00612B93" w:rsidP="00612B93">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proofErr w:type="spellStart"/>
      <w:r w:rsidRPr="00763D22">
        <w:rPr>
          <w:rFonts w:ascii="Book Antiqua" w:eastAsia="Garamond-Bold" w:hAnsi="Book Antiqua" w:cs="Garamond-Bold"/>
          <w:b/>
          <w:bCs/>
          <w:color w:val="000000"/>
          <w:sz w:val="28"/>
          <w:szCs w:val="28"/>
        </w:rPr>
        <w:t>Baishideng</w:t>
      </w:r>
      <w:proofErr w:type="spellEnd"/>
      <w:r w:rsidRPr="00763D22">
        <w:rPr>
          <w:rFonts w:ascii="Book Antiqua" w:eastAsia="Garamond-Bold" w:hAnsi="Book Antiqua" w:cs="Garamond-Bold"/>
          <w:b/>
          <w:bCs/>
          <w:color w:val="000000"/>
          <w:sz w:val="28"/>
          <w:szCs w:val="28"/>
        </w:rPr>
        <w:t xml:space="preserve"> Publishing Group </w:t>
      </w:r>
      <w:proofErr w:type="spellStart"/>
      <w:r w:rsidRPr="00763D22">
        <w:rPr>
          <w:rFonts w:ascii="Book Antiqua" w:eastAsia="Garamond-Bold" w:hAnsi="Book Antiqua" w:cs="Garamond-Bold"/>
          <w:b/>
          <w:bCs/>
          <w:color w:val="000000"/>
          <w:sz w:val="28"/>
          <w:szCs w:val="28"/>
        </w:rPr>
        <w:t>Inc</w:t>
      </w:r>
      <w:proofErr w:type="spellEnd"/>
    </w:p>
    <w:p w14:paraId="5DA2CE1A" w14:textId="77777777" w:rsidR="00612B93" w:rsidRPr="00763D22" w:rsidRDefault="00612B93" w:rsidP="00612B93">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49C99A3B" w14:textId="77777777" w:rsidR="00612B93" w:rsidRPr="00763D22" w:rsidRDefault="00612B93" w:rsidP="00612B93">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562E9AA8" w14:textId="77777777" w:rsidR="00612B93" w:rsidRPr="00763D22" w:rsidRDefault="00612B93" w:rsidP="00612B93">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54EFF4F9" w14:textId="77777777" w:rsidR="00612B93" w:rsidRPr="00763D22" w:rsidRDefault="00612B93" w:rsidP="00612B93">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1495DB69" w14:textId="77777777" w:rsidR="00612B93" w:rsidRPr="00763D22" w:rsidRDefault="00612B93" w:rsidP="00612B93">
      <w:pPr>
        <w:jc w:val="center"/>
        <w:rPr>
          <w:rFonts w:ascii="Book Antiqua" w:hAnsi="Book Antiqua"/>
          <w:lang w:eastAsia="zh-CN"/>
        </w:rPr>
      </w:pPr>
      <w:r w:rsidRPr="00763D22">
        <w:rPr>
          <w:rFonts w:ascii="Book Antiqua" w:eastAsia="TimesNewRomanPSMT" w:hAnsi="Book Antiqua" w:cs="Garamond"/>
          <w:color w:val="D56400"/>
          <w:sz w:val="28"/>
          <w:szCs w:val="28"/>
        </w:rPr>
        <w:t>https://www.wjgnet.com</w:t>
      </w:r>
    </w:p>
    <w:p w14:paraId="540F14A6" w14:textId="77777777" w:rsidR="00612B93" w:rsidRDefault="00612B93" w:rsidP="00612B93">
      <w:pPr>
        <w:jc w:val="center"/>
        <w:rPr>
          <w:rFonts w:ascii="Book Antiqua" w:hAnsi="Book Antiqua"/>
          <w:lang w:eastAsia="zh-CN"/>
        </w:rPr>
      </w:pPr>
    </w:p>
    <w:p w14:paraId="61980569" w14:textId="77777777" w:rsidR="00612B93" w:rsidRDefault="00612B93" w:rsidP="00612B93">
      <w:pPr>
        <w:jc w:val="center"/>
        <w:rPr>
          <w:rFonts w:ascii="Book Antiqua" w:hAnsi="Book Antiqua"/>
          <w:lang w:eastAsia="zh-CN"/>
        </w:rPr>
      </w:pPr>
    </w:p>
    <w:p w14:paraId="20147692" w14:textId="77777777" w:rsidR="00612B93" w:rsidRDefault="00612B93" w:rsidP="00612B93">
      <w:pPr>
        <w:jc w:val="center"/>
        <w:rPr>
          <w:rFonts w:ascii="Book Antiqua" w:hAnsi="Book Antiqua"/>
          <w:lang w:eastAsia="zh-CN"/>
        </w:rPr>
      </w:pPr>
    </w:p>
    <w:p w14:paraId="4C158852" w14:textId="77777777" w:rsidR="00612B93" w:rsidRDefault="00612B93" w:rsidP="00612B93">
      <w:pPr>
        <w:jc w:val="center"/>
        <w:rPr>
          <w:rFonts w:ascii="Book Antiqua" w:hAnsi="Book Antiqua"/>
          <w:lang w:eastAsia="zh-CN"/>
        </w:rPr>
      </w:pPr>
      <w:r>
        <w:rPr>
          <w:rFonts w:ascii="Book Antiqua" w:hAnsi="Book Antiqua"/>
          <w:noProof/>
          <w:lang w:eastAsia="zh-CN"/>
        </w:rPr>
        <w:drawing>
          <wp:inline distT="0" distB="0" distL="0" distR="0" wp14:anchorId="7E743A8F" wp14:editId="4BF7742A">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711B7DFD" w14:textId="77777777" w:rsidR="00612B93" w:rsidRDefault="00612B93" w:rsidP="00612B93">
      <w:pPr>
        <w:jc w:val="center"/>
        <w:rPr>
          <w:rFonts w:ascii="Book Antiqua" w:hAnsi="Book Antiqua"/>
          <w:lang w:eastAsia="zh-CN"/>
        </w:rPr>
      </w:pPr>
    </w:p>
    <w:p w14:paraId="46BD48B3" w14:textId="77777777" w:rsidR="00612B93" w:rsidRDefault="00612B93" w:rsidP="00612B93">
      <w:pPr>
        <w:jc w:val="center"/>
        <w:rPr>
          <w:rFonts w:ascii="Book Antiqua" w:hAnsi="Book Antiqua"/>
          <w:lang w:eastAsia="zh-CN"/>
        </w:rPr>
      </w:pPr>
    </w:p>
    <w:p w14:paraId="669AC32E" w14:textId="77777777" w:rsidR="00612B93" w:rsidRDefault="00612B93" w:rsidP="00612B93">
      <w:pPr>
        <w:jc w:val="center"/>
        <w:rPr>
          <w:rFonts w:ascii="Book Antiqua" w:hAnsi="Book Antiqua"/>
          <w:lang w:eastAsia="zh-CN"/>
        </w:rPr>
      </w:pPr>
    </w:p>
    <w:p w14:paraId="5A3EB8D7" w14:textId="77777777" w:rsidR="00612B93" w:rsidRDefault="00612B93" w:rsidP="00612B93">
      <w:pPr>
        <w:jc w:val="center"/>
        <w:rPr>
          <w:rFonts w:ascii="Book Antiqua" w:hAnsi="Book Antiqua"/>
          <w:lang w:eastAsia="zh-CN"/>
        </w:rPr>
      </w:pPr>
    </w:p>
    <w:p w14:paraId="3345F6FC" w14:textId="77777777" w:rsidR="00612B93" w:rsidRDefault="00612B93" w:rsidP="00612B93">
      <w:pPr>
        <w:jc w:val="center"/>
        <w:rPr>
          <w:rFonts w:ascii="Book Antiqua" w:hAnsi="Book Antiqua"/>
          <w:lang w:eastAsia="zh-CN"/>
        </w:rPr>
      </w:pPr>
    </w:p>
    <w:p w14:paraId="1E20E416" w14:textId="77777777" w:rsidR="00612B93" w:rsidRDefault="00612B93" w:rsidP="00612B93">
      <w:pPr>
        <w:jc w:val="center"/>
        <w:rPr>
          <w:rFonts w:ascii="Book Antiqua" w:hAnsi="Book Antiqua"/>
          <w:lang w:eastAsia="zh-CN"/>
        </w:rPr>
      </w:pPr>
    </w:p>
    <w:p w14:paraId="6EDADEDB" w14:textId="77777777" w:rsidR="00612B93" w:rsidRDefault="00612B93" w:rsidP="00612B93">
      <w:pPr>
        <w:jc w:val="center"/>
        <w:rPr>
          <w:rFonts w:ascii="Book Antiqua" w:hAnsi="Book Antiqua"/>
          <w:lang w:eastAsia="zh-CN"/>
        </w:rPr>
      </w:pPr>
    </w:p>
    <w:p w14:paraId="5DA4609B" w14:textId="77777777" w:rsidR="00612B93" w:rsidRDefault="00612B93" w:rsidP="00612B93">
      <w:pPr>
        <w:jc w:val="center"/>
        <w:rPr>
          <w:rFonts w:ascii="Book Antiqua" w:hAnsi="Book Antiqua"/>
          <w:lang w:eastAsia="zh-CN"/>
        </w:rPr>
      </w:pPr>
    </w:p>
    <w:p w14:paraId="061B0D7A" w14:textId="77777777" w:rsidR="00612B93" w:rsidRDefault="00612B93" w:rsidP="00612B93">
      <w:pPr>
        <w:jc w:val="center"/>
        <w:rPr>
          <w:rFonts w:ascii="Book Antiqua" w:hAnsi="Book Antiqua"/>
          <w:lang w:eastAsia="zh-CN"/>
        </w:rPr>
      </w:pPr>
    </w:p>
    <w:p w14:paraId="56E0BBC3" w14:textId="77777777" w:rsidR="00612B93" w:rsidRPr="00763D22" w:rsidRDefault="00612B93" w:rsidP="00612B93">
      <w:pPr>
        <w:jc w:val="right"/>
        <w:rPr>
          <w:rFonts w:ascii="Book Antiqua" w:hAnsi="Book Antiqua"/>
          <w:color w:val="000000" w:themeColor="text1"/>
          <w:lang w:eastAsia="zh-CN"/>
        </w:rPr>
      </w:pPr>
    </w:p>
    <w:p w14:paraId="06901BC2" w14:textId="77777777" w:rsidR="00612B93" w:rsidRPr="00763D22" w:rsidRDefault="00612B93" w:rsidP="00612B93">
      <w:pPr>
        <w:jc w:val="center"/>
        <w:rPr>
          <w:rFonts w:ascii="Book Antiqua" w:hAnsi="Book Antiqua"/>
          <w:color w:val="000000" w:themeColor="text1"/>
          <w:lang w:eastAsia="zh-CN"/>
        </w:rPr>
      </w:pPr>
      <w:r w:rsidRPr="00763D22">
        <w:rPr>
          <w:rFonts w:ascii="Book Antiqua" w:eastAsia="BookAntiqua-Bold" w:hAnsi="Book Antiqua" w:cs="BookAntiqua-Bold"/>
          <w:b/>
          <w:bCs/>
          <w:color w:val="000000" w:themeColor="text1"/>
        </w:rPr>
        <w:t xml:space="preserve">© 2021 </w:t>
      </w:r>
      <w:proofErr w:type="spellStart"/>
      <w:r w:rsidRPr="00763D22">
        <w:rPr>
          <w:rFonts w:ascii="Book Antiqua" w:eastAsia="BookAntiqua-Bold" w:hAnsi="Book Antiqua" w:cs="BookAntiqua-Bold"/>
          <w:b/>
          <w:bCs/>
          <w:color w:val="000000" w:themeColor="text1"/>
        </w:rPr>
        <w:t>Baishideng</w:t>
      </w:r>
      <w:proofErr w:type="spellEnd"/>
      <w:r w:rsidRPr="00763D22">
        <w:rPr>
          <w:rFonts w:ascii="Book Antiqua" w:eastAsia="BookAntiqua-Bold" w:hAnsi="Book Antiqua" w:cs="BookAntiqua-Bold"/>
          <w:b/>
          <w:bCs/>
          <w:color w:val="000000" w:themeColor="text1"/>
        </w:rPr>
        <w:t xml:space="preserve"> Publishing Group Inc. All rights reserved.</w:t>
      </w:r>
      <w:r w:rsidRPr="00763D22">
        <w:rPr>
          <w:rFonts w:ascii="Book Antiqua" w:hAnsi="Book Antiqua"/>
          <w:color w:val="000000" w:themeColor="text1"/>
          <w:lang w:eastAsia="zh-CN"/>
        </w:rPr>
        <w:fldChar w:fldCharType="begin"/>
      </w:r>
      <w:r w:rsidRPr="00763D22">
        <w:rPr>
          <w:rFonts w:ascii="Book Antiqua" w:hAnsi="Book Antiqua"/>
          <w:color w:val="000000" w:themeColor="text1"/>
          <w:lang w:eastAsia="zh-CN"/>
        </w:rPr>
        <w:instrText xml:space="preserve"> ADDIN EN.REFLIST </w:instrText>
      </w:r>
      <w:r w:rsidRPr="00763D22">
        <w:rPr>
          <w:rFonts w:ascii="Book Antiqua" w:hAnsi="Book Antiqua"/>
          <w:color w:val="000000" w:themeColor="text1"/>
          <w:lang w:eastAsia="zh-CN"/>
        </w:rPr>
        <w:fldChar w:fldCharType="end"/>
      </w:r>
      <w:bookmarkEnd w:id="10"/>
      <w:bookmarkEnd w:id="11"/>
    </w:p>
    <w:p w14:paraId="5F072B47" w14:textId="77777777" w:rsidR="00630C4D" w:rsidRPr="00612B93" w:rsidRDefault="00630C4D" w:rsidP="00CA3946">
      <w:pPr>
        <w:spacing w:line="360" w:lineRule="auto"/>
        <w:contextualSpacing/>
        <w:rPr>
          <w:rFonts w:ascii="Book Antiqua" w:hAnsi="Book Antiqua" w:cs="Calibri"/>
          <w:color w:val="000000"/>
          <w:lang w:eastAsia="zh-CN"/>
        </w:rPr>
      </w:pPr>
      <w:bookmarkStart w:id="12" w:name="_GoBack"/>
      <w:bookmarkEnd w:id="12"/>
    </w:p>
    <w:sectPr w:rsidR="00630C4D" w:rsidRPr="00612B9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B550EA" w14:textId="77777777" w:rsidR="00D232CF" w:rsidRDefault="00D232CF" w:rsidP="00CA3946">
      <w:r>
        <w:separator/>
      </w:r>
    </w:p>
  </w:endnote>
  <w:endnote w:type="continuationSeparator" w:id="0">
    <w:p w14:paraId="14A2C724" w14:textId="77777777" w:rsidR="00D232CF" w:rsidRDefault="00D232CF" w:rsidP="00CA39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altName w:val="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2018545"/>
      <w:docPartObj>
        <w:docPartGallery w:val="Page Numbers (Bottom of Page)"/>
        <w:docPartUnique/>
      </w:docPartObj>
    </w:sdtPr>
    <w:sdtContent>
      <w:sdt>
        <w:sdtPr>
          <w:id w:val="98381352"/>
          <w:docPartObj>
            <w:docPartGallery w:val="Page Numbers (Top of Page)"/>
            <w:docPartUnique/>
          </w:docPartObj>
        </w:sdtPr>
        <w:sdtContent>
          <w:p w14:paraId="3175E416" w14:textId="77777777" w:rsidR="000A61A6" w:rsidRDefault="000A61A6" w:rsidP="00CA3946">
            <w:pPr>
              <w:pStyle w:val="a5"/>
              <w:jc w:val="right"/>
            </w:pPr>
            <w:r w:rsidRPr="00CA3946">
              <w:rPr>
                <w:rFonts w:ascii="Book Antiqua" w:hAnsi="Book Antiqua"/>
                <w:sz w:val="24"/>
                <w:szCs w:val="24"/>
                <w:lang w:val="zh-CN" w:eastAsia="zh-CN"/>
              </w:rPr>
              <w:t xml:space="preserve"> </w:t>
            </w:r>
            <w:r w:rsidRPr="00CA3946">
              <w:rPr>
                <w:rFonts w:ascii="Book Antiqua" w:hAnsi="Book Antiqua"/>
                <w:b/>
                <w:bCs/>
                <w:sz w:val="24"/>
                <w:szCs w:val="24"/>
              </w:rPr>
              <w:fldChar w:fldCharType="begin"/>
            </w:r>
            <w:r w:rsidRPr="00CA3946">
              <w:rPr>
                <w:rFonts w:ascii="Book Antiqua" w:hAnsi="Book Antiqua"/>
                <w:b/>
                <w:bCs/>
                <w:sz w:val="24"/>
                <w:szCs w:val="24"/>
              </w:rPr>
              <w:instrText>PAGE</w:instrText>
            </w:r>
            <w:r w:rsidRPr="00CA3946">
              <w:rPr>
                <w:rFonts w:ascii="Book Antiqua" w:hAnsi="Book Antiqua"/>
                <w:b/>
                <w:bCs/>
                <w:sz w:val="24"/>
                <w:szCs w:val="24"/>
              </w:rPr>
              <w:fldChar w:fldCharType="separate"/>
            </w:r>
            <w:r w:rsidR="00612B93">
              <w:rPr>
                <w:rFonts w:ascii="Book Antiqua" w:hAnsi="Book Antiqua"/>
                <w:b/>
                <w:bCs/>
                <w:noProof/>
                <w:sz w:val="24"/>
                <w:szCs w:val="24"/>
              </w:rPr>
              <w:t>37</w:t>
            </w:r>
            <w:r w:rsidRPr="00CA3946">
              <w:rPr>
                <w:rFonts w:ascii="Book Antiqua" w:hAnsi="Book Antiqua"/>
                <w:b/>
                <w:bCs/>
                <w:sz w:val="24"/>
                <w:szCs w:val="24"/>
              </w:rPr>
              <w:fldChar w:fldCharType="end"/>
            </w:r>
            <w:r w:rsidRPr="00CA3946">
              <w:rPr>
                <w:rFonts w:ascii="Book Antiqua" w:hAnsi="Book Antiqua"/>
                <w:sz w:val="24"/>
                <w:szCs w:val="24"/>
                <w:lang w:val="zh-CN" w:eastAsia="zh-CN"/>
              </w:rPr>
              <w:t xml:space="preserve"> / </w:t>
            </w:r>
            <w:r w:rsidRPr="00CA3946">
              <w:rPr>
                <w:rFonts w:ascii="Book Antiqua" w:hAnsi="Book Antiqua"/>
                <w:b/>
                <w:bCs/>
                <w:sz w:val="24"/>
                <w:szCs w:val="24"/>
              </w:rPr>
              <w:fldChar w:fldCharType="begin"/>
            </w:r>
            <w:r w:rsidRPr="00CA3946">
              <w:rPr>
                <w:rFonts w:ascii="Book Antiqua" w:hAnsi="Book Antiqua"/>
                <w:b/>
                <w:bCs/>
                <w:sz w:val="24"/>
                <w:szCs w:val="24"/>
              </w:rPr>
              <w:instrText>NUMPAGES</w:instrText>
            </w:r>
            <w:r w:rsidRPr="00CA3946">
              <w:rPr>
                <w:rFonts w:ascii="Book Antiqua" w:hAnsi="Book Antiqua"/>
                <w:b/>
                <w:bCs/>
                <w:sz w:val="24"/>
                <w:szCs w:val="24"/>
              </w:rPr>
              <w:fldChar w:fldCharType="separate"/>
            </w:r>
            <w:r w:rsidR="00612B93">
              <w:rPr>
                <w:rFonts w:ascii="Book Antiqua" w:hAnsi="Book Antiqua"/>
                <w:b/>
                <w:bCs/>
                <w:noProof/>
                <w:sz w:val="24"/>
                <w:szCs w:val="24"/>
              </w:rPr>
              <w:t>37</w:t>
            </w:r>
            <w:r w:rsidRPr="00CA3946">
              <w:rPr>
                <w:rFonts w:ascii="Book Antiqua" w:hAnsi="Book Antiqua"/>
                <w:b/>
                <w:bCs/>
                <w:sz w:val="24"/>
                <w:szCs w:val="24"/>
              </w:rPr>
              <w:fldChar w:fldCharType="end"/>
            </w:r>
          </w:p>
        </w:sdtContent>
      </w:sdt>
    </w:sdtContent>
  </w:sdt>
  <w:p w14:paraId="12BBF257" w14:textId="77777777" w:rsidR="000A61A6" w:rsidRDefault="000A61A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4A3246" w14:textId="77777777" w:rsidR="00D232CF" w:rsidRDefault="00D232CF" w:rsidP="00CA3946">
      <w:r>
        <w:separator/>
      </w:r>
    </w:p>
  </w:footnote>
  <w:footnote w:type="continuationSeparator" w:id="0">
    <w:p w14:paraId="2F95187A" w14:textId="77777777" w:rsidR="00D232CF" w:rsidRDefault="00D232CF" w:rsidP="00CA39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pt-BR" w:vendorID="64" w:dllVersion="4096" w:nlCheck="1" w:checkStyle="0"/>
  <w:activeWritingStyle w:appName="MSWord" w:lang="en-US" w:vendorID="64" w:dllVersion="4096" w:nlCheck="1" w:checkStyle="0"/>
  <w:activeWritingStyle w:appName="MSWord" w:lang="fr-FR" w:vendorID="64" w:dllVersion="4096"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01A00"/>
    <w:rsid w:val="000062AF"/>
    <w:rsid w:val="00047AFE"/>
    <w:rsid w:val="00070B59"/>
    <w:rsid w:val="000740C9"/>
    <w:rsid w:val="00075173"/>
    <w:rsid w:val="000A61A6"/>
    <w:rsid w:val="000E3782"/>
    <w:rsid w:val="00115515"/>
    <w:rsid w:val="001538BA"/>
    <w:rsid w:val="001605EB"/>
    <w:rsid w:val="00174A7A"/>
    <w:rsid w:val="00185DA7"/>
    <w:rsid w:val="002319EB"/>
    <w:rsid w:val="00264128"/>
    <w:rsid w:val="002868DD"/>
    <w:rsid w:val="00297CD3"/>
    <w:rsid w:val="002B2717"/>
    <w:rsid w:val="003446DE"/>
    <w:rsid w:val="003D7699"/>
    <w:rsid w:val="003E4A41"/>
    <w:rsid w:val="004408BE"/>
    <w:rsid w:val="00451C0F"/>
    <w:rsid w:val="00471F63"/>
    <w:rsid w:val="004970DC"/>
    <w:rsid w:val="004A2105"/>
    <w:rsid w:val="004B240F"/>
    <w:rsid w:val="004B521A"/>
    <w:rsid w:val="004D4D85"/>
    <w:rsid w:val="00500E10"/>
    <w:rsid w:val="00525CF6"/>
    <w:rsid w:val="005513F1"/>
    <w:rsid w:val="00581D1D"/>
    <w:rsid w:val="005C721E"/>
    <w:rsid w:val="005D69A0"/>
    <w:rsid w:val="00612B93"/>
    <w:rsid w:val="00614EE0"/>
    <w:rsid w:val="00630C4D"/>
    <w:rsid w:val="00666304"/>
    <w:rsid w:val="006D2E25"/>
    <w:rsid w:val="006D6C0E"/>
    <w:rsid w:val="0075547D"/>
    <w:rsid w:val="0078602D"/>
    <w:rsid w:val="007B5295"/>
    <w:rsid w:val="00814300"/>
    <w:rsid w:val="008270A3"/>
    <w:rsid w:val="0083055D"/>
    <w:rsid w:val="00841D16"/>
    <w:rsid w:val="00842481"/>
    <w:rsid w:val="00880BE9"/>
    <w:rsid w:val="008A0443"/>
    <w:rsid w:val="008E0476"/>
    <w:rsid w:val="0094773F"/>
    <w:rsid w:val="0099507B"/>
    <w:rsid w:val="009D6398"/>
    <w:rsid w:val="009F2FAC"/>
    <w:rsid w:val="00A63C5E"/>
    <w:rsid w:val="00A77B3E"/>
    <w:rsid w:val="00A83EC2"/>
    <w:rsid w:val="00AC06C5"/>
    <w:rsid w:val="00B17B8C"/>
    <w:rsid w:val="00B371E7"/>
    <w:rsid w:val="00B4403A"/>
    <w:rsid w:val="00B66BA9"/>
    <w:rsid w:val="00B94526"/>
    <w:rsid w:val="00BE08F7"/>
    <w:rsid w:val="00C848CC"/>
    <w:rsid w:val="00C94B24"/>
    <w:rsid w:val="00CA2A55"/>
    <w:rsid w:val="00CA3946"/>
    <w:rsid w:val="00CE0690"/>
    <w:rsid w:val="00CE7110"/>
    <w:rsid w:val="00D232CF"/>
    <w:rsid w:val="00D40B6B"/>
    <w:rsid w:val="00D42AC1"/>
    <w:rsid w:val="00D95710"/>
    <w:rsid w:val="00D963D7"/>
    <w:rsid w:val="00E7248E"/>
    <w:rsid w:val="00E915ED"/>
    <w:rsid w:val="00EE7441"/>
    <w:rsid w:val="00F051F4"/>
    <w:rsid w:val="00F06224"/>
    <w:rsid w:val="00F62FB1"/>
    <w:rsid w:val="00FE73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9BD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sid w:val="00F051F4"/>
    <w:rPr>
      <w:sz w:val="18"/>
      <w:szCs w:val="18"/>
    </w:rPr>
  </w:style>
  <w:style w:type="character" w:customStyle="1" w:styleId="Char">
    <w:name w:val="批注框文本 Char"/>
    <w:basedOn w:val="a0"/>
    <w:link w:val="a3"/>
    <w:rsid w:val="00F051F4"/>
    <w:rPr>
      <w:sz w:val="18"/>
      <w:szCs w:val="18"/>
    </w:rPr>
  </w:style>
  <w:style w:type="paragraph" w:styleId="a4">
    <w:name w:val="header"/>
    <w:basedOn w:val="a"/>
    <w:link w:val="Char0"/>
    <w:rsid w:val="00CA3946"/>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rsid w:val="00CA3946"/>
    <w:rPr>
      <w:sz w:val="18"/>
      <w:szCs w:val="18"/>
    </w:rPr>
  </w:style>
  <w:style w:type="paragraph" w:styleId="a5">
    <w:name w:val="footer"/>
    <w:basedOn w:val="a"/>
    <w:link w:val="Char1"/>
    <w:uiPriority w:val="99"/>
    <w:rsid w:val="00CA3946"/>
    <w:pPr>
      <w:tabs>
        <w:tab w:val="center" w:pos="4153"/>
        <w:tab w:val="right" w:pos="8306"/>
      </w:tabs>
      <w:snapToGrid w:val="0"/>
    </w:pPr>
    <w:rPr>
      <w:sz w:val="18"/>
      <w:szCs w:val="18"/>
    </w:rPr>
  </w:style>
  <w:style w:type="character" w:customStyle="1" w:styleId="Char1">
    <w:name w:val="页脚 Char"/>
    <w:basedOn w:val="a0"/>
    <w:link w:val="a5"/>
    <w:uiPriority w:val="99"/>
    <w:rsid w:val="00CA3946"/>
    <w:rPr>
      <w:sz w:val="18"/>
      <w:szCs w:val="18"/>
    </w:rPr>
  </w:style>
  <w:style w:type="paragraph" w:styleId="a6">
    <w:name w:val="Revision"/>
    <w:hidden/>
    <w:uiPriority w:val="99"/>
    <w:semiHidden/>
    <w:rsid w:val="00841D16"/>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sid w:val="00F051F4"/>
    <w:rPr>
      <w:sz w:val="18"/>
      <w:szCs w:val="18"/>
    </w:rPr>
  </w:style>
  <w:style w:type="character" w:customStyle="1" w:styleId="Char">
    <w:name w:val="批注框文本 Char"/>
    <w:basedOn w:val="a0"/>
    <w:link w:val="a3"/>
    <w:rsid w:val="00F051F4"/>
    <w:rPr>
      <w:sz w:val="18"/>
      <w:szCs w:val="18"/>
    </w:rPr>
  </w:style>
  <w:style w:type="paragraph" w:styleId="a4">
    <w:name w:val="header"/>
    <w:basedOn w:val="a"/>
    <w:link w:val="Char0"/>
    <w:rsid w:val="00CA3946"/>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rsid w:val="00CA3946"/>
    <w:rPr>
      <w:sz w:val="18"/>
      <w:szCs w:val="18"/>
    </w:rPr>
  </w:style>
  <w:style w:type="paragraph" w:styleId="a5">
    <w:name w:val="footer"/>
    <w:basedOn w:val="a"/>
    <w:link w:val="Char1"/>
    <w:uiPriority w:val="99"/>
    <w:rsid w:val="00CA3946"/>
    <w:pPr>
      <w:tabs>
        <w:tab w:val="center" w:pos="4153"/>
        <w:tab w:val="right" w:pos="8306"/>
      </w:tabs>
      <w:snapToGrid w:val="0"/>
    </w:pPr>
    <w:rPr>
      <w:sz w:val="18"/>
      <w:szCs w:val="18"/>
    </w:rPr>
  </w:style>
  <w:style w:type="character" w:customStyle="1" w:styleId="Char1">
    <w:name w:val="页脚 Char"/>
    <w:basedOn w:val="a0"/>
    <w:link w:val="a5"/>
    <w:uiPriority w:val="99"/>
    <w:rsid w:val="00CA3946"/>
    <w:rPr>
      <w:sz w:val="18"/>
      <w:szCs w:val="18"/>
    </w:rPr>
  </w:style>
  <w:style w:type="paragraph" w:styleId="a6">
    <w:name w:val="Revision"/>
    <w:hidden/>
    <w:uiPriority w:val="99"/>
    <w:semiHidden/>
    <w:rsid w:val="00841D1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287244">
      <w:bodyDiv w:val="1"/>
      <w:marLeft w:val="0"/>
      <w:marRight w:val="0"/>
      <w:marTop w:val="0"/>
      <w:marBottom w:val="0"/>
      <w:divBdr>
        <w:top w:val="none" w:sz="0" w:space="0" w:color="auto"/>
        <w:left w:val="none" w:sz="0" w:space="0" w:color="auto"/>
        <w:bottom w:val="none" w:sz="0" w:space="0" w:color="auto"/>
        <w:right w:val="none" w:sz="0" w:space="0" w:color="auto"/>
      </w:divBdr>
    </w:div>
    <w:div w:id="880089645">
      <w:bodyDiv w:val="1"/>
      <w:marLeft w:val="0"/>
      <w:marRight w:val="0"/>
      <w:marTop w:val="0"/>
      <w:marBottom w:val="0"/>
      <w:divBdr>
        <w:top w:val="none" w:sz="0" w:space="0" w:color="auto"/>
        <w:left w:val="none" w:sz="0" w:space="0" w:color="auto"/>
        <w:bottom w:val="none" w:sz="0" w:space="0" w:color="auto"/>
        <w:right w:val="none" w:sz="0" w:space="0" w:color="auto"/>
      </w:divBdr>
    </w:div>
    <w:div w:id="963852402">
      <w:bodyDiv w:val="1"/>
      <w:marLeft w:val="0"/>
      <w:marRight w:val="0"/>
      <w:marTop w:val="0"/>
      <w:marBottom w:val="0"/>
      <w:divBdr>
        <w:top w:val="none" w:sz="0" w:space="0" w:color="auto"/>
        <w:left w:val="none" w:sz="0" w:space="0" w:color="auto"/>
        <w:bottom w:val="none" w:sz="0" w:space="0" w:color="auto"/>
        <w:right w:val="none" w:sz="0" w:space="0" w:color="auto"/>
      </w:divBdr>
    </w:div>
    <w:div w:id="1284923467">
      <w:bodyDiv w:val="1"/>
      <w:marLeft w:val="0"/>
      <w:marRight w:val="0"/>
      <w:marTop w:val="0"/>
      <w:marBottom w:val="0"/>
      <w:divBdr>
        <w:top w:val="none" w:sz="0" w:space="0" w:color="auto"/>
        <w:left w:val="none" w:sz="0" w:space="0" w:color="auto"/>
        <w:bottom w:val="none" w:sz="0" w:space="0" w:color="auto"/>
        <w:right w:val="none" w:sz="0" w:space="0" w:color="auto"/>
      </w:divBdr>
    </w:div>
    <w:div w:id="21458471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464012-BBBE-44A5-AA2B-F2D24088D0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37</Pages>
  <Words>7761</Words>
  <Characters>44241</Characters>
  <Application>Microsoft Office Word</Application>
  <DocSecurity>0</DocSecurity>
  <Lines>368</Lines>
  <Paragraphs>103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51899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dc:creator>
  <cp:lastModifiedBy>liujihong2008@qq.con</cp:lastModifiedBy>
  <cp:revision>9</cp:revision>
  <dcterms:created xsi:type="dcterms:W3CDTF">2021-11-17T15:56:00Z</dcterms:created>
  <dcterms:modified xsi:type="dcterms:W3CDTF">2021-12-20T02:10:00Z</dcterms:modified>
</cp:coreProperties>
</file>