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4D73A" w14:textId="77777777" w:rsidR="00A77B3E" w:rsidRDefault="0097381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F21BC77" w14:textId="77777777" w:rsidR="00A77B3E" w:rsidRDefault="0097381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59730</w:t>
      </w:r>
    </w:p>
    <w:p w14:paraId="3C47E664" w14:textId="77777777" w:rsidR="00A77B3E" w:rsidRDefault="0097381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D5E56E8" w14:textId="77777777" w:rsidR="00A77B3E" w:rsidRDefault="00A77B3E">
      <w:pPr>
        <w:spacing w:line="360" w:lineRule="auto"/>
        <w:jc w:val="both"/>
      </w:pPr>
    </w:p>
    <w:p w14:paraId="1738CE30" w14:textId="5FD1DED7" w:rsidR="00A77B3E" w:rsidRDefault="00973819">
      <w:pPr>
        <w:spacing w:line="360" w:lineRule="auto"/>
        <w:jc w:val="both"/>
      </w:pPr>
      <w:r>
        <w:rPr>
          <w:rFonts w:ascii="Book Antiqua" w:eastAsia="Book Antiqua" w:hAnsi="Book Antiqua" w:cs="Book Antiqua"/>
          <w:b/>
          <w:color w:val="000000"/>
        </w:rPr>
        <w:t xml:space="preserve">Wilson </w:t>
      </w:r>
      <w:r w:rsidR="005044F0">
        <w:rPr>
          <w:rFonts w:ascii="Book Antiqua" w:eastAsia="Book Antiqua" w:hAnsi="Book Antiqua" w:cs="Book Antiqua"/>
          <w:b/>
          <w:color w:val="000000"/>
        </w:rPr>
        <w:t>d</w:t>
      </w:r>
      <w:r>
        <w:rPr>
          <w:rFonts w:ascii="Book Antiqua" w:eastAsia="Book Antiqua" w:hAnsi="Book Antiqua" w:cs="Book Antiqua"/>
          <w:b/>
          <w:color w:val="000000"/>
        </w:rPr>
        <w:t>isease</w:t>
      </w:r>
      <w:r w:rsidR="00B2303C">
        <w:rPr>
          <w:rFonts w:ascii="Book Antiqua" w:eastAsia="Book Antiqua" w:hAnsi="Book Antiqua" w:cs="Book Antiqua"/>
          <w:b/>
          <w:color w:val="000000"/>
        </w:rPr>
        <w:t xml:space="preserve"> </w:t>
      </w:r>
      <w:r w:rsidR="005044F0" w:rsidRPr="00131904">
        <w:rPr>
          <w:rFonts w:ascii="Book Antiqua" w:eastAsia="Book Antiqua" w:hAnsi="Book Antiqua" w:cs="Book Antiqua"/>
          <w:b/>
          <w:color w:val="000000"/>
        </w:rPr>
        <w:t>—</w:t>
      </w:r>
      <w:r w:rsidR="00B2303C">
        <w:rPr>
          <w:rFonts w:ascii="Book Antiqua" w:eastAsia="Book Antiqua" w:hAnsi="Book Antiqua" w:cs="Book Antiqua"/>
          <w:b/>
          <w:color w:val="000000"/>
        </w:rPr>
        <w:t xml:space="preserve"> </w:t>
      </w:r>
      <w:r w:rsidR="005044F0">
        <w:rPr>
          <w:rFonts w:ascii="Book Antiqua" w:eastAsia="Book Antiqua" w:hAnsi="Book Antiqua" w:cs="Book Antiqua"/>
          <w:b/>
          <w:color w:val="000000"/>
        </w:rPr>
        <w:t>the impact of hyperimmunity on disease activity</w:t>
      </w:r>
      <w:r>
        <w:rPr>
          <w:rFonts w:ascii="Book Antiqua" w:eastAsia="Book Antiqua" w:hAnsi="Book Antiqua" w:cs="Book Antiqua"/>
          <w:b/>
          <w:color w:val="000000"/>
        </w:rPr>
        <w:t xml:space="preserve">: A </w:t>
      </w:r>
      <w:r w:rsidR="005044F0">
        <w:rPr>
          <w:rFonts w:ascii="Book Antiqua" w:eastAsia="Book Antiqua" w:hAnsi="Book Antiqua" w:cs="Book Antiqua"/>
          <w:b/>
          <w:color w:val="000000"/>
        </w:rPr>
        <w:t>case re</w:t>
      </w:r>
      <w:r>
        <w:rPr>
          <w:rFonts w:ascii="Book Antiqua" w:eastAsia="Book Antiqua" w:hAnsi="Book Antiqua" w:cs="Book Antiqua"/>
          <w:b/>
          <w:color w:val="000000"/>
        </w:rPr>
        <w:t>port</w:t>
      </w:r>
    </w:p>
    <w:p w14:paraId="794ABAFC" w14:textId="77777777" w:rsidR="00A77B3E" w:rsidRDefault="00A77B3E">
      <w:pPr>
        <w:spacing w:line="360" w:lineRule="auto"/>
        <w:jc w:val="both"/>
      </w:pPr>
    </w:p>
    <w:p w14:paraId="42F4548D" w14:textId="401FBC7C" w:rsidR="00A77B3E" w:rsidRDefault="005044F0">
      <w:pPr>
        <w:spacing w:line="360" w:lineRule="auto"/>
        <w:jc w:val="both"/>
      </w:pPr>
      <w:r>
        <w:rPr>
          <w:rFonts w:ascii="Book Antiqua" w:eastAsia="Book Antiqua" w:hAnsi="Book Antiqua" w:cs="Book Antiqua"/>
          <w:color w:val="000000"/>
        </w:rPr>
        <w:t xml:space="preserve">Stremmel W </w:t>
      </w:r>
      <w:r w:rsidRPr="0013190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A2B91">
        <w:rPr>
          <w:rFonts w:ascii="Book Antiqua" w:eastAsia="Book Antiqua" w:hAnsi="Book Antiqua" w:cs="Book Antiqua"/>
          <w:color w:val="000000"/>
        </w:rPr>
        <w:t>U</w:t>
      </w:r>
      <w:r w:rsidR="00973819">
        <w:rPr>
          <w:rFonts w:ascii="Book Antiqua" w:eastAsia="Book Antiqua" w:hAnsi="Book Antiqua" w:cs="Book Antiqua"/>
          <w:color w:val="000000"/>
        </w:rPr>
        <w:t>nusual Wilson disease case</w:t>
      </w:r>
    </w:p>
    <w:p w14:paraId="325C7A91" w14:textId="77777777" w:rsidR="00A77B3E" w:rsidRDefault="00A77B3E">
      <w:pPr>
        <w:spacing w:line="360" w:lineRule="auto"/>
        <w:jc w:val="both"/>
      </w:pPr>
    </w:p>
    <w:p w14:paraId="20D6E23F" w14:textId="77777777" w:rsidR="00A77B3E" w:rsidRPr="00C046A6" w:rsidRDefault="00973819">
      <w:pPr>
        <w:spacing w:line="360" w:lineRule="auto"/>
        <w:jc w:val="both"/>
        <w:rPr>
          <w:lang w:val="de-DE"/>
        </w:rPr>
      </w:pPr>
      <w:r w:rsidRPr="00C046A6">
        <w:rPr>
          <w:rFonts w:ascii="Book Antiqua" w:eastAsia="Book Antiqua" w:hAnsi="Book Antiqua" w:cs="Book Antiqua"/>
          <w:color w:val="000000"/>
          <w:lang w:val="de-DE"/>
        </w:rPr>
        <w:t>Wolfgang Stremmel, Thomas Longerich, René Liere, Vladimir Vacata, Josef van Helden, Ralf Weiskirchen</w:t>
      </w:r>
    </w:p>
    <w:p w14:paraId="6EB24EFE" w14:textId="77777777" w:rsidR="00A77B3E" w:rsidRPr="00C046A6" w:rsidRDefault="00A77B3E">
      <w:pPr>
        <w:spacing w:line="360" w:lineRule="auto"/>
        <w:jc w:val="both"/>
        <w:rPr>
          <w:lang w:val="de-DE"/>
        </w:rPr>
      </w:pPr>
    </w:p>
    <w:p w14:paraId="498D6ABF" w14:textId="76B82FFB" w:rsidR="00A77B3E" w:rsidRDefault="00973819">
      <w:pPr>
        <w:spacing w:line="360" w:lineRule="auto"/>
        <w:jc w:val="both"/>
      </w:pPr>
      <w:r>
        <w:rPr>
          <w:rFonts w:ascii="Book Antiqua" w:eastAsia="Book Antiqua" w:hAnsi="Book Antiqua" w:cs="Book Antiqua"/>
          <w:b/>
          <w:bCs/>
          <w:color w:val="000000"/>
        </w:rPr>
        <w:t xml:space="preserve">Wolfgang Stremmel, </w:t>
      </w:r>
      <w:r>
        <w:rPr>
          <w:rFonts w:ascii="Book Antiqua" w:eastAsia="Book Antiqua" w:hAnsi="Book Antiqua" w:cs="Book Antiqua"/>
          <w:color w:val="000000"/>
        </w:rPr>
        <w:t xml:space="preserve">Department of Gastroenterology and Hepatology, Medical Center Baden-Baden, Baden-Baden </w:t>
      </w:r>
      <w:r w:rsidR="00C046A6">
        <w:rPr>
          <w:rFonts w:ascii="Book Antiqua" w:eastAsia="Book Antiqua" w:hAnsi="Book Antiqua" w:cs="Book Antiqua"/>
          <w:color w:val="000000"/>
        </w:rPr>
        <w:t>D-</w:t>
      </w:r>
      <w:r>
        <w:rPr>
          <w:rFonts w:ascii="Book Antiqua" w:eastAsia="Book Antiqua" w:hAnsi="Book Antiqua" w:cs="Book Antiqua"/>
          <w:color w:val="000000"/>
        </w:rPr>
        <w:t>76530, Germany</w:t>
      </w:r>
    </w:p>
    <w:p w14:paraId="5145009F" w14:textId="77777777" w:rsidR="00A77B3E" w:rsidRDefault="00A77B3E">
      <w:pPr>
        <w:spacing w:line="360" w:lineRule="auto"/>
        <w:jc w:val="both"/>
      </w:pPr>
    </w:p>
    <w:p w14:paraId="5F35A86E" w14:textId="13159D6F" w:rsidR="00A77B3E" w:rsidRDefault="00973819">
      <w:pPr>
        <w:spacing w:line="360" w:lineRule="auto"/>
        <w:jc w:val="both"/>
      </w:pPr>
      <w:r>
        <w:rPr>
          <w:rFonts w:ascii="Book Antiqua" w:eastAsia="Book Antiqua" w:hAnsi="Book Antiqua" w:cs="Book Antiqua"/>
          <w:b/>
          <w:bCs/>
          <w:color w:val="000000"/>
        </w:rPr>
        <w:t xml:space="preserve">Thomas Longerich, </w:t>
      </w:r>
      <w:r>
        <w:rPr>
          <w:rFonts w:ascii="Book Antiqua" w:eastAsia="Book Antiqua" w:hAnsi="Book Antiqua" w:cs="Book Antiqua"/>
          <w:color w:val="000000"/>
        </w:rPr>
        <w:t xml:space="preserve">Department of General Pathology, University Heidelberg Hospital, Institute of Pathology, University of Heidelberg, Heidelberg </w:t>
      </w:r>
      <w:r w:rsidR="00C046A6">
        <w:rPr>
          <w:rFonts w:ascii="Book Antiqua" w:eastAsia="Book Antiqua" w:hAnsi="Book Antiqua" w:cs="Book Antiqua"/>
          <w:color w:val="000000"/>
        </w:rPr>
        <w:t>D-</w:t>
      </w:r>
      <w:r>
        <w:rPr>
          <w:rFonts w:ascii="Book Antiqua" w:eastAsia="Book Antiqua" w:hAnsi="Book Antiqua" w:cs="Book Antiqua"/>
          <w:color w:val="000000"/>
        </w:rPr>
        <w:t>69115, Germany</w:t>
      </w:r>
    </w:p>
    <w:p w14:paraId="288B678B" w14:textId="77777777" w:rsidR="00A77B3E" w:rsidRDefault="00A77B3E">
      <w:pPr>
        <w:spacing w:line="360" w:lineRule="auto"/>
        <w:jc w:val="both"/>
      </w:pPr>
    </w:p>
    <w:p w14:paraId="07100256" w14:textId="077E3927" w:rsidR="00A77B3E" w:rsidRPr="00C046A6" w:rsidRDefault="00973819">
      <w:pPr>
        <w:spacing w:line="360" w:lineRule="auto"/>
        <w:jc w:val="both"/>
        <w:rPr>
          <w:lang w:val="de-DE"/>
        </w:rPr>
      </w:pPr>
      <w:r w:rsidRPr="00C046A6">
        <w:rPr>
          <w:rFonts w:ascii="Book Antiqua" w:eastAsia="Book Antiqua" w:hAnsi="Book Antiqua" w:cs="Book Antiqua"/>
          <w:b/>
          <w:bCs/>
          <w:color w:val="000000"/>
          <w:lang w:val="de-DE"/>
        </w:rPr>
        <w:t xml:space="preserve">René Liere, Vladimir Vacata, Josef van Helden, </w:t>
      </w:r>
      <w:r w:rsidRPr="00C046A6">
        <w:rPr>
          <w:rFonts w:ascii="Book Antiqua" w:eastAsia="Book Antiqua" w:hAnsi="Book Antiqua" w:cs="Book Antiqua"/>
          <w:color w:val="000000"/>
          <w:lang w:val="de-DE"/>
        </w:rPr>
        <w:t xml:space="preserve">MVZ Dr. Stein + Kollegen, Labor Mönchengladbach , Mönchengladbach </w:t>
      </w:r>
      <w:r w:rsidR="00C046A6">
        <w:rPr>
          <w:rFonts w:ascii="Book Antiqua" w:eastAsia="Book Antiqua" w:hAnsi="Book Antiqua" w:cs="Book Antiqua"/>
          <w:color w:val="000000"/>
          <w:lang w:val="de-DE"/>
        </w:rPr>
        <w:t>D-</w:t>
      </w:r>
      <w:r w:rsidRPr="00C046A6">
        <w:rPr>
          <w:rFonts w:ascii="Book Antiqua" w:eastAsia="Book Antiqua" w:hAnsi="Book Antiqua" w:cs="Book Antiqua"/>
          <w:color w:val="000000"/>
          <w:lang w:val="de-DE"/>
        </w:rPr>
        <w:t>4106</w:t>
      </w:r>
      <w:r w:rsidR="00A76F9D">
        <w:rPr>
          <w:rFonts w:ascii="Book Antiqua" w:eastAsia="Book Antiqua" w:hAnsi="Book Antiqua" w:cs="Book Antiqua"/>
          <w:color w:val="000000"/>
          <w:lang w:val="de-DE"/>
        </w:rPr>
        <w:t>9</w:t>
      </w:r>
      <w:r w:rsidRPr="00C046A6">
        <w:rPr>
          <w:rFonts w:ascii="Book Antiqua" w:eastAsia="Book Antiqua" w:hAnsi="Book Antiqua" w:cs="Book Antiqua"/>
          <w:color w:val="000000"/>
          <w:lang w:val="de-DE"/>
        </w:rPr>
        <w:t>, Germany</w:t>
      </w:r>
    </w:p>
    <w:p w14:paraId="0C36519F" w14:textId="77777777" w:rsidR="00A77B3E" w:rsidRPr="00C046A6" w:rsidRDefault="00A77B3E">
      <w:pPr>
        <w:spacing w:line="360" w:lineRule="auto"/>
        <w:jc w:val="both"/>
        <w:rPr>
          <w:lang w:val="de-DE"/>
        </w:rPr>
      </w:pPr>
    </w:p>
    <w:p w14:paraId="1AE5F2F7" w14:textId="76BCA47F" w:rsidR="00A77B3E" w:rsidRPr="00B961C6" w:rsidRDefault="00973819">
      <w:pPr>
        <w:spacing w:line="360" w:lineRule="auto"/>
        <w:jc w:val="both"/>
      </w:pPr>
      <w:r w:rsidRPr="00B961C6">
        <w:rPr>
          <w:rFonts w:ascii="Book Antiqua" w:eastAsia="Book Antiqua" w:hAnsi="Book Antiqua" w:cs="Book Antiqua"/>
          <w:b/>
          <w:bCs/>
          <w:color w:val="000000"/>
        </w:rPr>
        <w:t xml:space="preserve">Ralf Weiskirchen, </w:t>
      </w:r>
      <w:r w:rsidR="00C046A6" w:rsidRPr="00B961C6">
        <w:rPr>
          <w:rFonts w:ascii="Book Antiqua" w:eastAsia="Book Antiqua" w:hAnsi="Book Antiqua" w:cs="Book Antiqua"/>
          <w:color w:val="000000"/>
        </w:rPr>
        <w:t>Institute</w:t>
      </w:r>
      <w:r w:rsidRPr="00B961C6">
        <w:rPr>
          <w:rFonts w:ascii="Book Antiqua" w:eastAsia="Book Antiqua" w:hAnsi="Book Antiqua" w:cs="Book Antiqua"/>
          <w:color w:val="000000"/>
        </w:rPr>
        <w:t xml:space="preserve"> of Molecular Pathobiochemistry, Experimental Gene Therapy and Clinical Chemistry, Rheinisch-Westfaelische Technische Hochschule University </w:t>
      </w:r>
      <w:r w:rsidR="00C046A6" w:rsidRPr="00B961C6">
        <w:rPr>
          <w:rFonts w:ascii="Book Antiqua" w:eastAsia="Book Antiqua" w:hAnsi="Book Antiqua" w:cs="Book Antiqua"/>
          <w:color w:val="000000"/>
        </w:rPr>
        <w:t xml:space="preserve">Hospital </w:t>
      </w:r>
      <w:r w:rsidRPr="00B961C6">
        <w:rPr>
          <w:rFonts w:ascii="Book Antiqua" w:eastAsia="Book Antiqua" w:hAnsi="Book Antiqua" w:cs="Book Antiqua"/>
          <w:color w:val="000000"/>
        </w:rPr>
        <w:t>Aachen, Aachen D-52074, Germany</w:t>
      </w:r>
    </w:p>
    <w:p w14:paraId="02A6BC09" w14:textId="77777777" w:rsidR="00A77B3E" w:rsidRPr="00B961C6" w:rsidRDefault="00A77B3E">
      <w:pPr>
        <w:spacing w:line="360" w:lineRule="auto"/>
        <w:jc w:val="both"/>
      </w:pPr>
    </w:p>
    <w:p w14:paraId="518851A0" w14:textId="762C9201" w:rsidR="00A77B3E" w:rsidRDefault="00973819">
      <w:pPr>
        <w:spacing w:line="360" w:lineRule="auto"/>
        <w:jc w:val="both"/>
      </w:pPr>
      <w:r>
        <w:rPr>
          <w:rFonts w:ascii="Book Antiqua" w:eastAsia="Book Antiqua" w:hAnsi="Book Antiqua" w:cs="Book Antiqua"/>
          <w:b/>
          <w:bCs/>
          <w:color w:val="000000"/>
        </w:rPr>
        <w:t xml:space="preserve">Author </w:t>
      </w:r>
      <w:bookmarkStart w:id="0" w:name="_Hlk58848957"/>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5044F0">
        <w:rPr>
          <w:rFonts w:ascii="Book Antiqua" w:eastAsia="Book Antiqua" w:hAnsi="Book Antiqua" w:cs="Book Antiqua"/>
          <w:color w:val="000000"/>
        </w:rPr>
        <w:t xml:space="preserve">Stremmel W </w:t>
      </w:r>
      <w:r w:rsidR="005044F0" w:rsidRPr="005044F0">
        <w:rPr>
          <w:rFonts w:ascii="Book Antiqua" w:eastAsia="Book Antiqua" w:hAnsi="Book Antiqua" w:cs="Book Antiqua"/>
          <w:color w:val="000000"/>
        </w:rPr>
        <w:t>contribut</w:t>
      </w:r>
      <w:r w:rsidR="005044F0">
        <w:rPr>
          <w:rFonts w:ascii="Book Antiqua" w:eastAsia="Book Antiqua" w:hAnsi="Book Antiqua" w:cs="Book Antiqua"/>
          <w:color w:val="000000"/>
        </w:rPr>
        <w:t>ed the c</w:t>
      </w:r>
      <w:r>
        <w:rPr>
          <w:rFonts w:ascii="Book Antiqua" w:eastAsia="Book Antiqua" w:hAnsi="Book Antiqua" w:cs="Book Antiqua"/>
          <w:color w:val="000000"/>
        </w:rPr>
        <w:t xml:space="preserve">onceptualization; </w:t>
      </w:r>
      <w:r w:rsidR="005044F0">
        <w:rPr>
          <w:rFonts w:ascii="Book Antiqua" w:eastAsia="Book Antiqua" w:hAnsi="Book Antiqua" w:cs="Book Antiqua"/>
          <w:color w:val="000000"/>
        </w:rPr>
        <w:t xml:space="preserve">Stremmel W, Longerich </w:t>
      </w:r>
      <w:r w:rsidR="005C74F1">
        <w:rPr>
          <w:rFonts w:ascii="Book Antiqua" w:eastAsia="Book Antiqua" w:hAnsi="Book Antiqua" w:cs="Book Antiqua"/>
          <w:color w:val="000000"/>
        </w:rPr>
        <w:t>T</w:t>
      </w:r>
      <w:r w:rsidR="005044F0">
        <w:rPr>
          <w:rFonts w:ascii="Book Antiqua" w:eastAsia="Book Antiqua" w:hAnsi="Book Antiqua" w:cs="Book Antiqua"/>
          <w:color w:val="000000"/>
        </w:rPr>
        <w:t xml:space="preserve">, Liere R, Vacata V, van Helden J and Weiskirchen R </w:t>
      </w:r>
      <w:r w:rsidR="005044F0" w:rsidRPr="005044F0">
        <w:rPr>
          <w:rFonts w:ascii="Book Antiqua" w:eastAsia="Book Antiqua" w:hAnsi="Book Antiqua" w:cs="Book Antiqua"/>
          <w:color w:val="000000"/>
        </w:rPr>
        <w:t>contribut</w:t>
      </w:r>
      <w:r w:rsidR="005044F0">
        <w:rPr>
          <w:rFonts w:ascii="Book Antiqua" w:eastAsia="Book Antiqua" w:hAnsi="Book Antiqua" w:cs="Book Antiqua"/>
          <w:color w:val="000000"/>
        </w:rPr>
        <w:t xml:space="preserve">ed </w:t>
      </w:r>
      <w:r>
        <w:rPr>
          <w:rFonts w:ascii="Book Antiqua" w:eastAsia="Book Antiqua" w:hAnsi="Book Antiqua" w:cs="Book Antiqua"/>
          <w:color w:val="000000"/>
        </w:rPr>
        <w:t xml:space="preserve">validation; </w:t>
      </w:r>
      <w:r w:rsidR="005044F0">
        <w:rPr>
          <w:rFonts w:ascii="Book Antiqua" w:eastAsia="Book Antiqua" w:hAnsi="Book Antiqua" w:cs="Book Antiqua"/>
          <w:color w:val="000000"/>
        </w:rPr>
        <w:t xml:space="preserve">Stremmel W and Weiskirchen R wrote </w:t>
      </w:r>
      <w:r>
        <w:rPr>
          <w:rFonts w:ascii="Book Antiqua" w:eastAsia="Book Antiqua" w:hAnsi="Book Antiqua" w:cs="Book Antiqua"/>
          <w:color w:val="000000"/>
        </w:rPr>
        <w:t xml:space="preserve">original draft preparation; </w:t>
      </w:r>
      <w:r w:rsidR="005044F0">
        <w:rPr>
          <w:rFonts w:ascii="Book Antiqua" w:eastAsia="Book Antiqua" w:hAnsi="Book Antiqua" w:cs="Book Antiqua"/>
          <w:color w:val="000000"/>
        </w:rPr>
        <w:t>Stremmel W</w:t>
      </w:r>
      <w:r w:rsidR="005C74F1">
        <w:rPr>
          <w:rFonts w:ascii="Book Antiqua" w:eastAsia="Book Antiqua" w:hAnsi="Book Antiqua" w:cs="Book Antiqua"/>
          <w:color w:val="000000"/>
        </w:rPr>
        <w:t>,</w:t>
      </w:r>
      <w:r w:rsidR="005044F0">
        <w:rPr>
          <w:rFonts w:ascii="Book Antiqua" w:eastAsia="Book Antiqua" w:hAnsi="Book Antiqua" w:cs="Book Antiqua"/>
          <w:color w:val="000000"/>
        </w:rPr>
        <w:t xml:space="preserve"> </w:t>
      </w:r>
      <w:r w:rsidR="005C74F1">
        <w:rPr>
          <w:rFonts w:ascii="Book Antiqua" w:eastAsia="Book Antiqua" w:hAnsi="Book Antiqua" w:cs="Book Antiqua"/>
          <w:color w:val="000000"/>
        </w:rPr>
        <w:t xml:space="preserve">Longerich T and Weiskirchen R wrote </w:t>
      </w:r>
      <w:r>
        <w:rPr>
          <w:rFonts w:ascii="Book Antiqua" w:eastAsia="Book Antiqua" w:hAnsi="Book Antiqua" w:cs="Book Antiqua"/>
          <w:color w:val="000000"/>
        </w:rPr>
        <w:t xml:space="preserve">review and editing; </w:t>
      </w:r>
      <w:r w:rsidR="005C74F1">
        <w:rPr>
          <w:rFonts w:ascii="Book Antiqua" w:eastAsia="Book Antiqua" w:hAnsi="Book Antiqua" w:cs="Book Antiqua"/>
          <w:color w:val="000000"/>
        </w:rPr>
        <w:t xml:space="preserve">Liere R and Vacata V </w:t>
      </w:r>
      <w:r w:rsidR="005C74F1" w:rsidRPr="005044F0">
        <w:rPr>
          <w:rFonts w:ascii="Book Antiqua" w:eastAsia="Book Antiqua" w:hAnsi="Book Antiqua" w:cs="Book Antiqua"/>
          <w:color w:val="000000"/>
        </w:rPr>
        <w:t>contribut</w:t>
      </w:r>
      <w:r w:rsidR="005C74F1">
        <w:rPr>
          <w:rFonts w:ascii="Book Antiqua" w:eastAsia="Book Antiqua" w:hAnsi="Book Antiqua" w:cs="Book Antiqua"/>
          <w:color w:val="000000"/>
        </w:rPr>
        <w:t xml:space="preserve">ed the </w:t>
      </w:r>
      <w:r>
        <w:rPr>
          <w:rFonts w:ascii="Book Antiqua" w:eastAsia="Book Antiqua" w:hAnsi="Book Antiqua" w:cs="Book Antiqua"/>
          <w:color w:val="000000"/>
        </w:rPr>
        <w:t>software.</w:t>
      </w:r>
    </w:p>
    <w:p w14:paraId="75B05558" w14:textId="77777777" w:rsidR="00A77B3E" w:rsidRDefault="00A77B3E">
      <w:pPr>
        <w:spacing w:line="360" w:lineRule="auto"/>
        <w:jc w:val="both"/>
      </w:pPr>
    </w:p>
    <w:p w14:paraId="08C7093B" w14:textId="493722D4" w:rsidR="00A77B3E" w:rsidRDefault="00973819">
      <w:pPr>
        <w:spacing w:line="360" w:lineRule="auto"/>
        <w:jc w:val="both"/>
      </w:pPr>
      <w:r>
        <w:rPr>
          <w:rFonts w:ascii="Book Antiqua" w:eastAsia="Book Antiqua" w:hAnsi="Book Antiqua" w:cs="Book Antiqua"/>
          <w:b/>
          <w:bCs/>
          <w:color w:val="000000"/>
        </w:rPr>
        <w:lastRenderedPageBreak/>
        <w:t xml:space="preserve">Corresponding author: Wolfgang Stremmel, MD, Senior Scientist, </w:t>
      </w:r>
      <w:r>
        <w:rPr>
          <w:rFonts w:ascii="Book Antiqua" w:eastAsia="Book Antiqua" w:hAnsi="Book Antiqua" w:cs="Book Antiqua"/>
          <w:color w:val="000000"/>
        </w:rPr>
        <w:t xml:space="preserve">Department of Gastroenterology and Hepatology, Medical Center Baden-Baden, Im Neuenheimer Feld 410, Baden-Baden </w:t>
      </w:r>
      <w:r w:rsidR="006360D0">
        <w:rPr>
          <w:rFonts w:ascii="Book Antiqua" w:eastAsia="Book Antiqua" w:hAnsi="Book Antiqua" w:cs="Book Antiqua"/>
          <w:color w:val="000000"/>
        </w:rPr>
        <w:t>D-</w:t>
      </w:r>
      <w:r>
        <w:rPr>
          <w:rFonts w:ascii="Book Antiqua" w:eastAsia="Book Antiqua" w:hAnsi="Book Antiqua" w:cs="Book Antiqua"/>
          <w:color w:val="000000"/>
        </w:rPr>
        <w:t>76530, Germany. wolfgangstremmel@aol.com</w:t>
      </w:r>
    </w:p>
    <w:p w14:paraId="56B9E470" w14:textId="77777777" w:rsidR="00A77B3E" w:rsidRDefault="00A77B3E">
      <w:pPr>
        <w:spacing w:line="360" w:lineRule="auto"/>
        <w:jc w:val="both"/>
      </w:pPr>
    </w:p>
    <w:p w14:paraId="347D8BE2" w14:textId="77777777" w:rsidR="00A77B3E" w:rsidRDefault="0097381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24, 2020</w:t>
      </w:r>
    </w:p>
    <w:p w14:paraId="4F6C25DB" w14:textId="77777777" w:rsidR="00A77B3E" w:rsidRDefault="0097381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02F52AB7" w14:textId="75AD5876" w:rsidR="00A77B3E" w:rsidRDefault="00973819">
      <w:pPr>
        <w:spacing w:line="360" w:lineRule="auto"/>
        <w:jc w:val="both"/>
      </w:pPr>
      <w:r>
        <w:rPr>
          <w:rFonts w:ascii="Book Antiqua" w:eastAsia="Book Antiqua" w:hAnsi="Book Antiqua" w:cs="Book Antiqua"/>
          <w:b/>
          <w:bCs/>
          <w:color w:val="000000"/>
        </w:rPr>
        <w:t xml:space="preserve">Accepted: </w:t>
      </w:r>
      <w:r w:rsidR="00054745" w:rsidRPr="00054745">
        <w:rPr>
          <w:rFonts w:ascii="Book Antiqua" w:eastAsia="Book Antiqua" w:hAnsi="Book Antiqua" w:cs="Book Antiqua"/>
          <w:color w:val="000000"/>
        </w:rPr>
        <w:t>December 23, 2020</w:t>
      </w:r>
    </w:p>
    <w:p w14:paraId="12744E07" w14:textId="701AFDFF" w:rsidR="00A77B3E" w:rsidRDefault="00973819">
      <w:pPr>
        <w:spacing w:line="360" w:lineRule="auto"/>
        <w:jc w:val="both"/>
      </w:pPr>
      <w:r>
        <w:rPr>
          <w:rFonts w:ascii="Book Antiqua" w:eastAsia="Book Antiqua" w:hAnsi="Book Antiqua" w:cs="Book Antiqua"/>
          <w:b/>
          <w:bCs/>
          <w:color w:val="000000"/>
        </w:rPr>
        <w:t xml:space="preserve">Published online: </w:t>
      </w:r>
      <w:r w:rsidR="00596E0F" w:rsidRPr="00D74001">
        <w:rPr>
          <w:rFonts w:ascii="Book Antiqua" w:eastAsia="Book Antiqua" w:hAnsi="Book Antiqua" w:cs="Book Antiqua"/>
          <w:bCs/>
          <w:color w:val="000000"/>
        </w:rPr>
        <w:t>February</w:t>
      </w:r>
      <w:r w:rsidR="00596E0F">
        <w:rPr>
          <w:rFonts w:ascii="Book Antiqua" w:hAnsi="Book Antiqua" w:cs="Book Antiqua" w:hint="eastAsia"/>
          <w:bCs/>
          <w:color w:val="000000"/>
          <w:lang w:eastAsia="zh-CN"/>
        </w:rPr>
        <w:t xml:space="preserve"> </w:t>
      </w:r>
      <w:r w:rsidR="00E93749">
        <w:rPr>
          <w:rFonts w:ascii="Book Antiqua" w:hAnsi="Book Antiqua" w:cs="Book Antiqua" w:hint="eastAsia"/>
          <w:bCs/>
          <w:color w:val="000000"/>
          <w:lang w:eastAsia="zh-CN"/>
        </w:rPr>
        <w:t>2</w:t>
      </w:r>
      <w:r w:rsidR="00596E0F" w:rsidRPr="0018648F">
        <w:rPr>
          <w:rFonts w:ascii="Book Antiqua" w:hAnsi="Book Antiqua" w:cs="Book Antiqua" w:hint="eastAsia"/>
          <w:bCs/>
          <w:color w:val="000000"/>
          <w:lang w:eastAsia="zh-CN"/>
        </w:rPr>
        <w:t>6, 2021</w:t>
      </w:r>
    </w:p>
    <w:p w14:paraId="12E2281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9286754" w14:textId="77777777" w:rsidR="00A77B3E" w:rsidRDefault="00973819">
      <w:pPr>
        <w:spacing w:line="360" w:lineRule="auto"/>
        <w:jc w:val="both"/>
      </w:pPr>
      <w:r>
        <w:rPr>
          <w:rFonts w:ascii="Book Antiqua" w:eastAsia="Book Antiqua" w:hAnsi="Book Antiqua" w:cs="Book Antiqua"/>
          <w:b/>
          <w:color w:val="000000"/>
        </w:rPr>
        <w:t>Abstract</w:t>
      </w:r>
    </w:p>
    <w:p w14:paraId="6E10AFBE" w14:textId="77777777" w:rsidR="00A77B3E" w:rsidRDefault="00973819">
      <w:pPr>
        <w:spacing w:line="360" w:lineRule="auto"/>
        <w:jc w:val="both"/>
      </w:pPr>
      <w:r>
        <w:rPr>
          <w:rFonts w:ascii="Book Antiqua" w:eastAsia="Book Antiqua" w:hAnsi="Book Antiqua" w:cs="Book Antiqua"/>
          <w:color w:val="000000"/>
        </w:rPr>
        <w:t>BACKGROUND</w:t>
      </w:r>
    </w:p>
    <w:p w14:paraId="11330F00" w14:textId="77777777" w:rsidR="00A77B3E" w:rsidRDefault="00973819">
      <w:pPr>
        <w:spacing w:line="360" w:lineRule="auto"/>
        <w:jc w:val="both"/>
      </w:pPr>
      <w:r>
        <w:rPr>
          <w:rFonts w:ascii="Book Antiqua" w:eastAsia="Book Antiqua" w:hAnsi="Book Antiqua" w:cs="Book Antiqua"/>
          <w:color w:val="000000"/>
          <w:szCs w:val="20"/>
        </w:rPr>
        <w:t>In Wilson disease lack of biliary copper excretion causes hepatocellular injury by accumulation of free toxic copper. Its overspill to serum accounts for neuronal damage as second common manifestation. Therapy with copper chelators or zinc targets the removal of this free copper. However, in some patients liver disease persists for unknown reason despite normalized free copper. The discovery of a hyperimmunity as a contributing pathogenetic factor was discovered in this case report with implication also for other liver diseases.</w:t>
      </w:r>
    </w:p>
    <w:p w14:paraId="6ED339F4" w14:textId="77777777" w:rsidR="00A77B3E" w:rsidRDefault="00A77B3E">
      <w:pPr>
        <w:spacing w:line="360" w:lineRule="auto"/>
        <w:jc w:val="both"/>
      </w:pPr>
    </w:p>
    <w:p w14:paraId="3863465E" w14:textId="77777777" w:rsidR="00A77B3E" w:rsidRDefault="00973819">
      <w:pPr>
        <w:spacing w:line="360" w:lineRule="auto"/>
        <w:jc w:val="both"/>
      </w:pPr>
      <w:r>
        <w:rPr>
          <w:rFonts w:ascii="Book Antiqua" w:eastAsia="Book Antiqua" w:hAnsi="Book Antiqua" w:cs="Book Antiqua"/>
          <w:color w:val="000000"/>
        </w:rPr>
        <w:t>CASE SUMMARY</w:t>
      </w:r>
    </w:p>
    <w:p w14:paraId="3E718072" w14:textId="63A52C45" w:rsidR="00A77B3E" w:rsidRDefault="00973819">
      <w:pPr>
        <w:spacing w:line="360" w:lineRule="auto"/>
        <w:jc w:val="both"/>
      </w:pPr>
      <w:r>
        <w:rPr>
          <w:rFonts w:ascii="Book Antiqua" w:eastAsia="Book Antiqua" w:hAnsi="Book Antiqua" w:cs="Book Antiqua"/>
          <w:color w:val="000000"/>
          <w:szCs w:val="20"/>
        </w:rPr>
        <w:t>A 9-year-old girl was diagnosed in August 2009 by family screening of having asymptomatic Wilson disease with elevated transaminases. Already at time of diagnosis antinuclear antibodies (ANA) were elevated without hyperimmunoglobulinemia (</w:t>
      </w:r>
      <w:bookmarkStart w:id="1" w:name="_Hlk56435039"/>
      <w:r w:rsidR="000F213E" w:rsidRPr="00346603">
        <w:rPr>
          <w:rFonts w:ascii="Book Antiqua" w:eastAsia="Book Antiqua" w:hAnsi="Book Antiqua" w:cs="Book Antiqua"/>
          <w:color w:val="000000"/>
        </w:rPr>
        <w:t>immunoglobulin</w:t>
      </w:r>
      <w:bookmarkEnd w:id="1"/>
      <w:r w:rsidR="000F213E">
        <w:rPr>
          <w:rFonts w:ascii="Book Antiqua" w:eastAsia="Book Antiqua" w:hAnsi="Book Antiqua" w:cs="Book Antiqua"/>
          <w:color w:val="000000"/>
          <w:szCs w:val="20"/>
        </w:rPr>
        <w:t xml:space="preserve"> G, </w:t>
      </w:r>
      <w:r>
        <w:rPr>
          <w:rFonts w:ascii="Book Antiqua" w:eastAsia="Book Antiqua" w:hAnsi="Book Antiqua" w:cs="Book Antiqua"/>
          <w:color w:val="000000"/>
          <w:szCs w:val="20"/>
        </w:rPr>
        <w:t xml:space="preserve">IgG). After one year of therapy with D-penicillamine transaminases normalized together with free serum copper. Under continuous therapy with copper chelators free copper remained normal until today, whereas transaminases raised to various degrees until </w:t>
      </w:r>
      <w:bookmarkStart w:id="2" w:name="_Hlk57819308"/>
      <w:r w:rsidR="000F213E" w:rsidRPr="00313B45">
        <w:rPr>
          <w:rFonts w:ascii="Book Antiqua" w:eastAsia="Book Antiqua" w:hAnsi="Book Antiqua" w:cs="Book Antiqua"/>
          <w:color w:val="000000"/>
        </w:rPr>
        <w:t>alanine aminotransferase</w:t>
      </w:r>
      <w:bookmarkEnd w:id="2"/>
      <w:r>
        <w:rPr>
          <w:rFonts w:ascii="Book Antiqua" w:eastAsia="Book Antiqua" w:hAnsi="Book Antiqua" w:cs="Book Antiqua"/>
          <w:color w:val="000000"/>
          <w:szCs w:val="20"/>
        </w:rPr>
        <w:t xml:space="preserve"> values of 571 U/L in December 2019. For hyperimmunity a tentative steroid course on top of D-penicillamine improved transaminases. Thus</w:t>
      </w:r>
      <w:r>
        <w:rPr>
          <w:rFonts w:ascii="Book Antiqua" w:eastAsia="Book Antiqua" w:hAnsi="Book Antiqua" w:cs="Book Antiqua"/>
          <w:b/>
          <w:bCs/>
          <w:color w:val="000000"/>
          <w:szCs w:val="20"/>
        </w:rPr>
        <w:t>,</w:t>
      </w:r>
      <w:r>
        <w:rPr>
          <w:rFonts w:ascii="Book Antiqua" w:eastAsia="Book Antiqua" w:hAnsi="Book Antiqua" w:cs="Book Antiqua"/>
          <w:color w:val="000000"/>
          <w:szCs w:val="20"/>
        </w:rPr>
        <w:t xml:space="preserve"> hyperimmunity may have impact on liver inflammation after control of the metabolic disturbance.</w:t>
      </w:r>
      <w:r w:rsidR="000F213E">
        <w:rPr>
          <w:rFonts w:hint="eastAsia"/>
          <w:lang w:eastAsia="zh-CN"/>
        </w:rPr>
        <w:t xml:space="preserve"> </w:t>
      </w:r>
      <w:r>
        <w:rPr>
          <w:rFonts w:ascii="Book Antiqua" w:eastAsia="Book Antiqua" w:hAnsi="Book Antiqua" w:cs="Book Antiqua"/>
          <w:color w:val="000000"/>
          <w:szCs w:val="20"/>
        </w:rPr>
        <w:t>A retrospective cohort study confirmed the common association of elevated transaminases with ANA, but no IgG elevation.</w:t>
      </w:r>
    </w:p>
    <w:p w14:paraId="23595E06" w14:textId="77777777" w:rsidR="00A77B3E" w:rsidRDefault="00A77B3E">
      <w:pPr>
        <w:spacing w:line="360" w:lineRule="auto"/>
        <w:jc w:val="both"/>
      </w:pPr>
    </w:p>
    <w:p w14:paraId="3678C008" w14:textId="77777777" w:rsidR="00A77B3E" w:rsidRDefault="00973819">
      <w:pPr>
        <w:spacing w:line="360" w:lineRule="auto"/>
        <w:jc w:val="both"/>
      </w:pPr>
      <w:r>
        <w:rPr>
          <w:rFonts w:ascii="Book Antiqua" w:eastAsia="Book Antiqua" w:hAnsi="Book Antiqua" w:cs="Book Antiqua"/>
          <w:color w:val="000000"/>
        </w:rPr>
        <w:t>CONCLUSION</w:t>
      </w:r>
    </w:p>
    <w:p w14:paraId="516BC10E" w14:textId="77777777" w:rsidR="00A77B3E" w:rsidRDefault="00973819">
      <w:pPr>
        <w:spacing w:line="360" w:lineRule="auto"/>
        <w:jc w:val="both"/>
      </w:pPr>
      <w:r>
        <w:rPr>
          <w:rFonts w:ascii="Book Antiqua" w:eastAsia="Book Antiqua" w:hAnsi="Book Antiqua" w:cs="Book Antiqua"/>
          <w:color w:val="000000"/>
          <w:szCs w:val="20"/>
        </w:rPr>
        <w:t>This hyperimmune-triggered condition may represent a new entity which per se or on top of other liver diseases induces liver inflammation responsive to steroids.</w:t>
      </w:r>
    </w:p>
    <w:p w14:paraId="2DDA213C" w14:textId="77777777" w:rsidR="00A77B3E" w:rsidRDefault="00A77B3E">
      <w:pPr>
        <w:spacing w:line="360" w:lineRule="auto"/>
        <w:jc w:val="both"/>
      </w:pPr>
    </w:p>
    <w:p w14:paraId="2439CAE6" w14:textId="29368715" w:rsidR="00A77B3E" w:rsidRDefault="0097381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Wilson disease; </w:t>
      </w:r>
      <w:r w:rsidR="000F213E">
        <w:rPr>
          <w:rFonts w:ascii="Book Antiqua" w:eastAsia="Book Antiqua" w:hAnsi="Book Antiqua" w:cs="Book Antiqua"/>
          <w:color w:val="000000"/>
        </w:rPr>
        <w:t>C</w:t>
      </w:r>
      <w:r>
        <w:rPr>
          <w:rFonts w:ascii="Book Antiqua" w:eastAsia="Book Antiqua" w:hAnsi="Book Antiqua" w:cs="Book Antiqua"/>
          <w:color w:val="000000"/>
        </w:rPr>
        <w:t xml:space="preserve">opper metabolism; </w:t>
      </w:r>
      <w:r w:rsidR="000F213E">
        <w:rPr>
          <w:rFonts w:ascii="Book Antiqua" w:eastAsia="Book Antiqua" w:hAnsi="Book Antiqua" w:cs="Book Antiqua"/>
          <w:color w:val="000000"/>
        </w:rPr>
        <w:t>A</w:t>
      </w:r>
      <w:r>
        <w:rPr>
          <w:rFonts w:ascii="Book Antiqua" w:eastAsia="Book Antiqua" w:hAnsi="Book Antiqua" w:cs="Book Antiqua"/>
          <w:color w:val="000000"/>
        </w:rPr>
        <w:t xml:space="preserve">ntinuclear antibodies; </w:t>
      </w:r>
      <w:r w:rsidR="000F213E">
        <w:rPr>
          <w:rFonts w:ascii="Book Antiqua" w:eastAsia="Book Antiqua" w:hAnsi="Book Antiqua" w:cs="Book Antiqua"/>
          <w:color w:val="000000"/>
        </w:rPr>
        <w:t>D</w:t>
      </w:r>
      <w:r>
        <w:rPr>
          <w:rFonts w:ascii="Book Antiqua" w:eastAsia="Book Antiqua" w:hAnsi="Book Antiqua" w:cs="Book Antiqua"/>
          <w:color w:val="000000"/>
        </w:rPr>
        <w:t xml:space="preserve">iagnosis; </w:t>
      </w:r>
      <w:r w:rsidR="000F213E">
        <w:rPr>
          <w:rFonts w:ascii="Book Antiqua" w:eastAsia="Book Antiqua" w:hAnsi="Book Antiqua" w:cs="Book Antiqua"/>
          <w:color w:val="000000"/>
        </w:rPr>
        <w:t>S</w:t>
      </w:r>
      <w:r>
        <w:rPr>
          <w:rFonts w:ascii="Book Antiqua" w:eastAsia="Book Antiqua" w:hAnsi="Book Antiqua" w:cs="Book Antiqua"/>
          <w:color w:val="000000"/>
        </w:rPr>
        <w:t xml:space="preserve">teroid therapy; </w:t>
      </w:r>
      <w:r w:rsidR="000F213E">
        <w:rPr>
          <w:rFonts w:ascii="Book Antiqua" w:eastAsia="Book Antiqua" w:hAnsi="Book Antiqua" w:cs="Book Antiqua"/>
          <w:color w:val="000000"/>
        </w:rPr>
        <w:t>C</w:t>
      </w:r>
      <w:r>
        <w:rPr>
          <w:rFonts w:ascii="Book Antiqua" w:eastAsia="Book Antiqua" w:hAnsi="Book Antiqua" w:cs="Book Antiqua"/>
          <w:color w:val="000000"/>
        </w:rPr>
        <w:t>ase report</w:t>
      </w:r>
    </w:p>
    <w:p w14:paraId="69B220E8" w14:textId="77777777" w:rsidR="00056D6B" w:rsidRDefault="00056D6B" w:rsidP="00056D6B">
      <w:pPr>
        <w:spacing w:line="360" w:lineRule="auto"/>
        <w:jc w:val="both"/>
        <w:rPr>
          <w:lang w:eastAsia="zh-CN"/>
        </w:rPr>
      </w:pPr>
    </w:p>
    <w:p w14:paraId="71A55AD1" w14:textId="77777777" w:rsidR="00056D6B" w:rsidRPr="00026CB8" w:rsidRDefault="00056D6B" w:rsidP="00056D6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82993B3" w14:textId="77777777" w:rsidR="00A77B3E" w:rsidRDefault="00A77B3E">
      <w:pPr>
        <w:spacing w:line="360" w:lineRule="auto"/>
        <w:jc w:val="both"/>
      </w:pPr>
    </w:p>
    <w:p w14:paraId="43FCAB3C" w14:textId="03ECB071" w:rsidR="00C578AF" w:rsidRDefault="00056D6B" w:rsidP="00C578AF">
      <w:pPr>
        <w:spacing w:line="360" w:lineRule="auto"/>
        <w:jc w:val="both"/>
        <w:rPr>
          <w:rFonts w:ascii="Book Antiqua" w:hAnsi="Book Antiqua" w:cs="Book Antiqua"/>
          <w:color w:val="000000"/>
          <w:lang w:eastAsia="zh-CN"/>
        </w:rPr>
      </w:pPr>
      <w:r w:rsidRPr="00056D6B">
        <w:rPr>
          <w:rFonts w:ascii="Book Antiqua" w:hAnsi="Book Antiqua" w:cs="Book Antiqua" w:hint="eastAsia"/>
          <w:b/>
          <w:color w:val="000000"/>
          <w:lang w:eastAsia="zh-CN"/>
        </w:rPr>
        <w:t xml:space="preserve">Citation: </w:t>
      </w:r>
      <w:r w:rsidR="00973819">
        <w:rPr>
          <w:rFonts w:ascii="Book Antiqua" w:eastAsia="Book Antiqua" w:hAnsi="Book Antiqua" w:cs="Book Antiqua"/>
          <w:color w:val="000000"/>
        </w:rPr>
        <w:t xml:space="preserve">Stremmel W, Longerich T, Liere R, Vacata V, van Helden J, Weiskirchen R. Wilson </w:t>
      </w:r>
      <w:r w:rsidR="005044F0">
        <w:rPr>
          <w:rFonts w:ascii="Book Antiqua" w:eastAsia="Book Antiqua" w:hAnsi="Book Antiqua" w:cs="Book Antiqua"/>
          <w:color w:val="000000"/>
        </w:rPr>
        <w:t>d</w:t>
      </w:r>
      <w:r w:rsidR="00973819">
        <w:rPr>
          <w:rFonts w:ascii="Book Antiqua" w:eastAsia="Book Antiqua" w:hAnsi="Book Antiqua" w:cs="Book Antiqua"/>
          <w:color w:val="000000"/>
        </w:rPr>
        <w:t>isease</w:t>
      </w:r>
      <w:r w:rsidR="00F20EC4">
        <w:rPr>
          <w:rFonts w:ascii="Book Antiqua" w:eastAsia="Book Antiqua" w:hAnsi="Book Antiqua" w:cs="Book Antiqua"/>
          <w:color w:val="000000"/>
        </w:rPr>
        <w:t xml:space="preserve"> </w:t>
      </w:r>
      <w:r w:rsidR="005044F0" w:rsidRPr="00131904">
        <w:rPr>
          <w:rFonts w:ascii="Book Antiqua" w:eastAsia="Book Antiqua" w:hAnsi="Book Antiqua" w:cs="Book Antiqua"/>
          <w:color w:val="000000"/>
        </w:rPr>
        <w:t>—</w:t>
      </w:r>
      <w:r w:rsidR="00F20EC4">
        <w:rPr>
          <w:rFonts w:ascii="Book Antiqua" w:eastAsia="Book Antiqua" w:hAnsi="Book Antiqua" w:cs="Book Antiqua"/>
          <w:color w:val="000000"/>
        </w:rPr>
        <w:t xml:space="preserve"> </w:t>
      </w:r>
      <w:r w:rsidR="005044F0" w:rsidRPr="005044F0">
        <w:rPr>
          <w:rFonts w:ascii="Book Antiqua" w:eastAsia="Book Antiqua" w:hAnsi="Book Antiqua" w:cs="Book Antiqua"/>
          <w:color w:val="000000"/>
        </w:rPr>
        <w:t>the impact of hyperimmunity on disease activity</w:t>
      </w:r>
      <w:r w:rsidR="00973819">
        <w:rPr>
          <w:rFonts w:ascii="Book Antiqua" w:eastAsia="Book Antiqua" w:hAnsi="Book Antiqua" w:cs="Book Antiqua"/>
          <w:color w:val="000000"/>
        </w:rPr>
        <w:t>: A</w:t>
      </w:r>
      <w:r w:rsidR="005044F0">
        <w:rPr>
          <w:rFonts w:ascii="Book Antiqua" w:eastAsia="Book Antiqua" w:hAnsi="Book Antiqua" w:cs="Book Antiqua"/>
          <w:color w:val="000000"/>
        </w:rPr>
        <w:t xml:space="preserve"> case re</w:t>
      </w:r>
      <w:r w:rsidR="00973819">
        <w:rPr>
          <w:rFonts w:ascii="Book Antiqua" w:eastAsia="Book Antiqua" w:hAnsi="Book Antiqua" w:cs="Book Antiqua"/>
          <w:color w:val="000000"/>
        </w:rPr>
        <w:t xml:space="preserve">port. </w:t>
      </w:r>
      <w:r w:rsidR="00973819">
        <w:rPr>
          <w:rFonts w:ascii="Book Antiqua" w:eastAsia="Book Antiqua" w:hAnsi="Book Antiqua" w:cs="Book Antiqua"/>
          <w:i/>
          <w:iCs/>
          <w:color w:val="000000"/>
        </w:rPr>
        <w:t>World J Clin Cases</w:t>
      </w:r>
      <w:r w:rsidR="00973819">
        <w:rPr>
          <w:rFonts w:ascii="Book Antiqua" w:eastAsia="Book Antiqua" w:hAnsi="Book Antiqua" w:cs="Book Antiqua"/>
          <w:color w:val="000000"/>
        </w:rPr>
        <w:t xml:space="preserve"> </w:t>
      </w:r>
      <w:bookmarkStart w:id="3" w:name="OLE_LINK138"/>
      <w:r w:rsidR="00C578AF" w:rsidRPr="00E03888">
        <w:rPr>
          <w:rFonts w:ascii="Book Antiqua" w:eastAsia="Book Antiqua" w:hAnsi="Book Antiqua" w:cs="Book Antiqua"/>
          <w:color w:val="000000"/>
        </w:rPr>
        <w:t>202</w:t>
      </w:r>
      <w:r w:rsidR="00C578AF">
        <w:rPr>
          <w:rFonts w:ascii="Book Antiqua" w:hAnsi="Book Antiqua" w:cs="Book Antiqua" w:hint="eastAsia"/>
          <w:color w:val="000000"/>
          <w:lang w:eastAsia="zh-CN"/>
        </w:rPr>
        <w:t>1</w:t>
      </w:r>
      <w:r w:rsidR="00C578AF" w:rsidRPr="00E03888">
        <w:rPr>
          <w:rFonts w:ascii="Book Antiqua" w:eastAsia="Book Antiqua" w:hAnsi="Book Antiqua" w:cs="Book Antiqua"/>
          <w:color w:val="000000"/>
        </w:rPr>
        <w:t xml:space="preserve">; </w:t>
      </w:r>
      <w:r w:rsidR="00C578AF" w:rsidRPr="00DD2DF8">
        <w:rPr>
          <w:rFonts w:ascii="Book Antiqua" w:eastAsia="Book Antiqua" w:hAnsi="Book Antiqua" w:cs="Book Antiqua"/>
          <w:color w:val="000000"/>
        </w:rPr>
        <w:t xml:space="preserve">9(6): </w:t>
      </w:r>
      <w:bookmarkEnd w:id="3"/>
      <w:r w:rsidR="00C90613" w:rsidRPr="00C90613">
        <w:rPr>
          <w:rFonts w:ascii="Book Antiqua" w:eastAsia="Book Antiqua" w:hAnsi="Book Antiqua" w:cs="Book Antiqua"/>
          <w:color w:val="000000"/>
        </w:rPr>
        <w:t>1386-1393</w:t>
      </w:r>
      <w:r w:rsidR="00C578AF" w:rsidRPr="00DD2DF8">
        <w:rPr>
          <w:rFonts w:ascii="Book Antiqua" w:eastAsia="Book Antiqua" w:hAnsi="Book Antiqua" w:cs="Book Antiqua"/>
          <w:color w:val="000000"/>
        </w:rPr>
        <w:t xml:space="preserve"> </w:t>
      </w:r>
    </w:p>
    <w:p w14:paraId="4F4203F9" w14:textId="36AA6304" w:rsidR="00C578AF" w:rsidRDefault="00C578AF" w:rsidP="00C578AF">
      <w:pPr>
        <w:spacing w:line="360" w:lineRule="auto"/>
        <w:jc w:val="both"/>
        <w:rPr>
          <w:rFonts w:ascii="Book Antiqua" w:hAnsi="Book Antiqua" w:cs="Book Antiqua"/>
          <w:color w:val="000000"/>
          <w:lang w:eastAsia="zh-CN"/>
        </w:rPr>
      </w:pPr>
      <w:r w:rsidRPr="0009439F">
        <w:rPr>
          <w:rFonts w:ascii="Book Antiqua" w:eastAsia="Book Antiqua" w:hAnsi="Book Antiqua" w:cs="Book Antiqua"/>
          <w:b/>
          <w:color w:val="000000"/>
        </w:rPr>
        <w:t>URL:</w:t>
      </w:r>
      <w:r w:rsidRPr="00DD2DF8">
        <w:rPr>
          <w:rFonts w:ascii="Book Antiqua" w:eastAsia="Book Antiqua" w:hAnsi="Book Antiqua" w:cs="Book Antiqua"/>
          <w:color w:val="000000"/>
        </w:rPr>
        <w:t xml:space="preserve"> https://www.wjgnet.com/2307-8960/full/v9/i6/</w:t>
      </w:r>
      <w:r>
        <w:rPr>
          <w:rFonts w:ascii="Book Antiqua" w:hAnsi="Book Antiqua" w:cs="Book Antiqua" w:hint="eastAsia"/>
          <w:color w:val="000000"/>
          <w:lang w:eastAsia="zh-CN"/>
        </w:rPr>
        <w:t>13</w:t>
      </w:r>
      <w:r w:rsidR="004155FE">
        <w:rPr>
          <w:rFonts w:ascii="Book Antiqua" w:hAnsi="Book Antiqua" w:cs="Book Antiqua" w:hint="eastAsia"/>
          <w:color w:val="000000"/>
          <w:lang w:eastAsia="zh-CN"/>
        </w:rPr>
        <w:t>86</w:t>
      </w:r>
      <w:r w:rsidRPr="00DD2DF8">
        <w:rPr>
          <w:rFonts w:ascii="Book Antiqua" w:eastAsia="Book Antiqua" w:hAnsi="Book Antiqua" w:cs="Book Antiqua"/>
          <w:color w:val="000000"/>
        </w:rPr>
        <w:t xml:space="preserve">.htm </w:t>
      </w:r>
    </w:p>
    <w:p w14:paraId="329F45DE" w14:textId="69854560" w:rsidR="00C578AF" w:rsidRPr="00162ED8" w:rsidRDefault="00C578AF" w:rsidP="00C578AF">
      <w:pPr>
        <w:spacing w:line="360" w:lineRule="auto"/>
        <w:jc w:val="both"/>
        <w:rPr>
          <w:rFonts w:ascii="Book Antiqua" w:hAnsi="Book Antiqua"/>
          <w:lang w:eastAsia="zh-CN"/>
        </w:rPr>
      </w:pPr>
      <w:r w:rsidRPr="0009439F">
        <w:rPr>
          <w:rFonts w:ascii="Book Antiqua" w:eastAsia="Book Antiqua" w:hAnsi="Book Antiqua" w:cs="Book Antiqua"/>
          <w:b/>
          <w:color w:val="000000"/>
        </w:rPr>
        <w:t xml:space="preserve">DOI: </w:t>
      </w:r>
      <w:bookmarkStart w:id="4" w:name="OLE_LINK139"/>
      <w:r w:rsidRPr="00DD2DF8">
        <w:rPr>
          <w:rFonts w:ascii="Book Antiqua" w:eastAsia="Book Antiqua" w:hAnsi="Book Antiqua" w:cs="Book Antiqua"/>
          <w:color w:val="000000"/>
        </w:rPr>
        <w:t>https://dx.doi.org/10.12998/wjcc.v9.i6.</w:t>
      </w:r>
      <w:r>
        <w:rPr>
          <w:rFonts w:ascii="Book Antiqua" w:hAnsi="Book Antiqua" w:cs="Book Antiqua" w:hint="eastAsia"/>
          <w:color w:val="000000"/>
          <w:lang w:eastAsia="zh-CN"/>
        </w:rPr>
        <w:t>13</w:t>
      </w:r>
      <w:bookmarkEnd w:id="4"/>
      <w:r w:rsidR="007A1FE1">
        <w:rPr>
          <w:rFonts w:ascii="Book Antiqua" w:hAnsi="Book Antiqua" w:cs="Book Antiqua" w:hint="eastAsia"/>
          <w:color w:val="000000"/>
          <w:lang w:eastAsia="zh-CN"/>
        </w:rPr>
        <w:t>86</w:t>
      </w:r>
    </w:p>
    <w:p w14:paraId="4E141211" w14:textId="6A11B293" w:rsidR="00A77B3E" w:rsidRDefault="00A77B3E">
      <w:pPr>
        <w:spacing w:line="360" w:lineRule="auto"/>
        <w:jc w:val="both"/>
      </w:pPr>
    </w:p>
    <w:p w14:paraId="7306006C" w14:textId="77777777" w:rsidR="00A77B3E" w:rsidRDefault="00A77B3E">
      <w:pPr>
        <w:spacing w:line="360" w:lineRule="auto"/>
        <w:jc w:val="both"/>
      </w:pPr>
    </w:p>
    <w:p w14:paraId="484B1ECD" w14:textId="46D7DB20" w:rsidR="00A77B3E" w:rsidRDefault="0097381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Variable courses of metabolic liver diseases remain obscure. A 9-year-old girl with Wilson disease had concomitant </w:t>
      </w:r>
      <w:r w:rsidR="000F213E">
        <w:rPr>
          <w:rFonts w:ascii="Book Antiqua" w:eastAsia="Book Antiqua" w:hAnsi="Book Antiqua" w:cs="Book Antiqua"/>
          <w:color w:val="000000"/>
        </w:rPr>
        <w:t>antinuclear antibodies</w:t>
      </w:r>
      <w:r>
        <w:rPr>
          <w:rFonts w:ascii="Book Antiqua" w:eastAsia="Book Antiqua" w:hAnsi="Book Antiqua" w:cs="Book Antiqua"/>
          <w:color w:val="000000"/>
        </w:rPr>
        <w:t xml:space="preserve"> elevation without </w:t>
      </w:r>
      <w:r w:rsidR="000F213E" w:rsidRPr="00346603">
        <w:rPr>
          <w:rFonts w:ascii="Book Antiqua" w:eastAsia="Book Antiqua" w:hAnsi="Book Antiqua" w:cs="Book Antiqua"/>
          <w:color w:val="000000"/>
        </w:rPr>
        <w:t>immunoglobulin</w:t>
      </w:r>
      <w:r w:rsidR="000F213E" w:rsidDel="000F213E">
        <w:rPr>
          <w:rFonts w:ascii="Book Antiqua" w:eastAsia="Book Antiqua" w:hAnsi="Book Antiqua" w:cs="Book Antiqua"/>
          <w:color w:val="000000"/>
        </w:rPr>
        <w:t xml:space="preserve"> </w:t>
      </w:r>
      <w:r>
        <w:rPr>
          <w:rFonts w:ascii="Book Antiqua" w:eastAsia="Book Antiqua" w:hAnsi="Book Antiqua" w:cs="Book Antiqua"/>
          <w:color w:val="000000"/>
        </w:rPr>
        <w:t>G elevation. Already after one year of therapy with copper chelators the free copper as treatment target was normalized as well as transaminases. Six years later transaminases (</w:t>
      </w:r>
      <w:r w:rsidR="000F213E" w:rsidRPr="00313B45">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rose despite normalized free copper up to 571 U/L in December 2019. A short-term steroid therapy, improved transaminases significantly. As underlying course, such a neglected hyperimmune state without immunoglobulin elevation was verified in a cohort of 5.789 </w:t>
      </w:r>
      <w:r w:rsidR="003B1DC6">
        <w:rPr>
          <w:rFonts w:ascii="Book Antiqua" w:eastAsia="Book Antiqua" w:hAnsi="Book Antiqua" w:cs="Book Antiqua"/>
          <w:color w:val="000000"/>
        </w:rPr>
        <w:t>l</w:t>
      </w:r>
      <w:r>
        <w:rPr>
          <w:rFonts w:ascii="Book Antiqua" w:eastAsia="Book Antiqua" w:hAnsi="Book Antiqua" w:cs="Book Antiqua"/>
          <w:color w:val="000000"/>
        </w:rPr>
        <w:t>iver disease patients and may represent a new entity explaining liver disease activation.</w:t>
      </w:r>
    </w:p>
    <w:p w14:paraId="0E6587F5" w14:textId="3B12C990" w:rsidR="00A77B3E" w:rsidRDefault="000F213E">
      <w:pPr>
        <w:spacing w:line="360" w:lineRule="auto"/>
        <w:jc w:val="both"/>
      </w:pPr>
      <w:r>
        <w:br w:type="page"/>
      </w:r>
      <w:r w:rsidR="00973819">
        <w:rPr>
          <w:rFonts w:ascii="Book Antiqua" w:eastAsia="Book Antiqua" w:hAnsi="Book Antiqua" w:cs="Book Antiqua"/>
          <w:b/>
          <w:caps/>
          <w:color w:val="000000"/>
          <w:u w:val="single"/>
        </w:rPr>
        <w:t>INTRODUCTION</w:t>
      </w:r>
    </w:p>
    <w:p w14:paraId="681D85A9" w14:textId="783E5336" w:rsidR="00A77B3E" w:rsidRDefault="00973819">
      <w:pPr>
        <w:spacing w:line="360" w:lineRule="auto"/>
        <w:jc w:val="both"/>
      </w:pPr>
      <w:r>
        <w:rPr>
          <w:rFonts w:ascii="Book Antiqua" w:eastAsia="Book Antiqua" w:hAnsi="Book Antiqua" w:cs="Book Antiqua"/>
          <w:color w:val="000000"/>
          <w:szCs w:val="20"/>
        </w:rPr>
        <w:t>In liver disease physicians are puzzled by the versatile clinical presentation within the same entity. Why only a fraction of heavy drinkers develop overt alcoholic liver diseases</w:t>
      </w:r>
      <w:r w:rsidR="000F213E" w:rsidRPr="000F213E">
        <w:rPr>
          <w:rFonts w:ascii="Book Antiqua" w:eastAsia="Book Antiqua" w:hAnsi="Book Antiqua" w:cs="Book Antiqua"/>
          <w:color w:val="000000"/>
          <w:szCs w:val="20"/>
          <w:vertAlign w:val="superscript"/>
        </w:rPr>
        <w:t>[</w:t>
      </w:r>
      <w:r w:rsidRPr="000F213E">
        <w:rPr>
          <w:rFonts w:ascii="Book Antiqua" w:eastAsia="Book Antiqua" w:hAnsi="Book Antiqua" w:cs="Book Antiqua"/>
          <w:color w:val="000000"/>
          <w:szCs w:val="20"/>
          <w:vertAlign w:val="superscript"/>
        </w:rPr>
        <w:t>1</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and why only 25% of </w:t>
      </w:r>
      <w:r w:rsidR="000F213E" w:rsidRPr="000F213E">
        <w:rPr>
          <w:rFonts w:ascii="Book Antiqua" w:eastAsia="Book Antiqua" w:hAnsi="Book Antiqua" w:cs="Book Antiqua"/>
          <w:color w:val="000000"/>
          <w:szCs w:val="20"/>
        </w:rPr>
        <w:t xml:space="preserve">non-alcoholic fatty liver disease </w:t>
      </w:r>
      <w:r w:rsidR="000F213E">
        <w:rPr>
          <w:rFonts w:ascii="Book Antiqua" w:eastAsia="Book Antiqua" w:hAnsi="Book Antiqua" w:cs="Book Antiqua"/>
          <w:color w:val="000000"/>
          <w:szCs w:val="20"/>
        </w:rPr>
        <w:t>(</w:t>
      </w:r>
      <w:r>
        <w:rPr>
          <w:rFonts w:ascii="Book Antiqua" w:eastAsia="Book Antiqua" w:hAnsi="Book Antiqua" w:cs="Book Antiqua"/>
          <w:color w:val="000000"/>
          <w:szCs w:val="20"/>
        </w:rPr>
        <w:t>NAFLD</w:t>
      </w:r>
      <w:r w:rsidR="000F213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patients come down with </w:t>
      </w:r>
      <w:r w:rsidR="000F213E">
        <w:rPr>
          <w:rFonts w:ascii="Book Antiqua" w:eastAsia="Book Antiqua" w:hAnsi="Book Antiqua" w:cs="Book Antiqua"/>
          <w:color w:val="000000"/>
          <w:szCs w:val="20"/>
        </w:rPr>
        <w:t>non-alcoholic steatohepatitis (</w:t>
      </w:r>
      <w:r>
        <w:rPr>
          <w:rFonts w:ascii="Book Antiqua" w:eastAsia="Book Antiqua" w:hAnsi="Book Antiqua" w:cs="Book Antiqua"/>
          <w:color w:val="000000"/>
          <w:szCs w:val="20"/>
        </w:rPr>
        <w:t>NASH</w:t>
      </w:r>
      <w:r w:rsidR="000F213E">
        <w:rPr>
          <w:rFonts w:ascii="Book Antiqua" w:eastAsia="Book Antiqua" w:hAnsi="Book Antiqua" w:cs="Book Antiqua"/>
          <w:color w:val="000000"/>
          <w:szCs w:val="20"/>
        </w:rPr>
        <w:t>)</w:t>
      </w:r>
      <w:r w:rsidR="000F213E" w:rsidRPr="000F213E">
        <w:rPr>
          <w:rFonts w:ascii="Book Antiqua" w:eastAsia="Book Antiqua" w:hAnsi="Book Antiqua" w:cs="Book Antiqua"/>
          <w:color w:val="000000"/>
          <w:szCs w:val="20"/>
          <w:vertAlign w:val="superscript"/>
        </w:rPr>
        <w:t>[</w:t>
      </w:r>
      <w:r w:rsidR="000F213E">
        <w:rPr>
          <w:rFonts w:ascii="Book Antiqua" w:eastAsia="Book Antiqua" w:hAnsi="Book Antiqua" w:cs="Book Antiqua"/>
          <w:color w:val="000000"/>
          <w:szCs w:val="20"/>
          <w:vertAlign w:val="superscript"/>
        </w:rPr>
        <w:t>2</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This is also obvious in genetic liver diseases, </w:t>
      </w:r>
      <w:r>
        <w:rPr>
          <w:rFonts w:ascii="Book Antiqua" w:eastAsia="Book Antiqua" w:hAnsi="Book Antiqua" w:cs="Book Antiqua"/>
          <w:i/>
          <w:iCs/>
          <w:color w:val="000000"/>
          <w:szCs w:val="20"/>
        </w:rPr>
        <w:t>e.g.</w:t>
      </w:r>
      <w:r w:rsidR="000F213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HFE</w:t>
      </w:r>
      <w:r>
        <w:rPr>
          <w:rFonts w:ascii="Book Antiqua" w:eastAsia="Book Antiqua" w:hAnsi="Book Antiqua" w:cs="Book Antiqua"/>
          <w:color w:val="000000"/>
          <w:szCs w:val="20"/>
        </w:rPr>
        <w:t>-related hemochromatosis, such that in former times some argued it is the concomitant alcohol consumption leading to disease</w:t>
      </w:r>
      <w:r w:rsidR="000F213E" w:rsidRPr="000F213E">
        <w:rPr>
          <w:rFonts w:ascii="Book Antiqua" w:eastAsia="Book Antiqua" w:hAnsi="Book Antiqua" w:cs="Book Antiqua"/>
          <w:color w:val="000000"/>
          <w:szCs w:val="20"/>
          <w:vertAlign w:val="superscript"/>
        </w:rPr>
        <w:t>[</w:t>
      </w:r>
      <w:r w:rsidR="000F213E">
        <w:rPr>
          <w:rFonts w:ascii="Book Antiqua" w:eastAsia="Book Antiqua" w:hAnsi="Book Antiqua" w:cs="Book Antiqua"/>
          <w:color w:val="000000"/>
          <w:szCs w:val="20"/>
          <w:vertAlign w:val="superscript"/>
        </w:rPr>
        <w:t>3</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Wilson disease presents with a plethora of symptoms, which reveal a predominant hepatic or neurologic phenotype, but sometimes patients are also asymptomatic despite the identical </w:t>
      </w:r>
      <w:r>
        <w:rPr>
          <w:rFonts w:ascii="Book Antiqua" w:eastAsia="Book Antiqua" w:hAnsi="Book Antiqua" w:cs="Book Antiqua"/>
          <w:i/>
          <w:iCs/>
          <w:color w:val="000000"/>
          <w:szCs w:val="20"/>
        </w:rPr>
        <w:t>ATP7B</w:t>
      </w:r>
      <w:r>
        <w:rPr>
          <w:rFonts w:ascii="Book Antiqua" w:eastAsia="Book Antiqua" w:hAnsi="Book Antiqua" w:cs="Book Antiqua"/>
          <w:color w:val="000000"/>
          <w:szCs w:val="20"/>
        </w:rPr>
        <w:t xml:space="preserve"> mutation</w:t>
      </w:r>
      <w:r w:rsidR="000F213E" w:rsidRPr="000F213E">
        <w:rPr>
          <w:rFonts w:ascii="Book Antiqua" w:eastAsia="Book Antiqua" w:hAnsi="Book Antiqua" w:cs="Book Antiqua"/>
          <w:color w:val="000000"/>
          <w:szCs w:val="20"/>
          <w:vertAlign w:val="superscript"/>
        </w:rPr>
        <w:t>[</w:t>
      </w:r>
      <w:r w:rsidR="000F213E">
        <w:rPr>
          <w:rFonts w:ascii="Book Antiqua" w:eastAsia="Book Antiqua" w:hAnsi="Book Antiqua" w:cs="Book Antiqua"/>
          <w:color w:val="000000"/>
          <w:szCs w:val="20"/>
          <w:vertAlign w:val="superscript"/>
        </w:rPr>
        <w:t>4</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Epigenetic factors were suggested to be responsible although this could never be proven</w:t>
      </w:r>
      <w:r w:rsidR="000F213E" w:rsidRPr="000F213E">
        <w:rPr>
          <w:rFonts w:ascii="Book Antiqua" w:eastAsia="Book Antiqua" w:hAnsi="Book Antiqua" w:cs="Book Antiqua"/>
          <w:color w:val="000000"/>
          <w:szCs w:val="20"/>
          <w:vertAlign w:val="superscript"/>
        </w:rPr>
        <w:t>[</w:t>
      </w:r>
      <w:r w:rsidR="000F213E">
        <w:rPr>
          <w:rFonts w:ascii="Book Antiqua" w:eastAsia="Book Antiqua" w:hAnsi="Book Antiqua" w:cs="Book Antiqua"/>
          <w:color w:val="000000"/>
          <w:szCs w:val="20"/>
          <w:vertAlign w:val="superscript"/>
        </w:rPr>
        <w:t>5</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In this report, we present a case of Wilson disease where an added co-factor effect determined the course of clinical presentation.</w:t>
      </w:r>
    </w:p>
    <w:p w14:paraId="4F9DA56C" w14:textId="77777777" w:rsidR="00A77B3E" w:rsidRDefault="00A77B3E">
      <w:pPr>
        <w:spacing w:line="360" w:lineRule="auto"/>
        <w:jc w:val="both"/>
      </w:pPr>
    </w:p>
    <w:p w14:paraId="6DDFF1D4" w14:textId="77777777" w:rsidR="00A77B3E" w:rsidRDefault="00973819">
      <w:pPr>
        <w:spacing w:line="360" w:lineRule="auto"/>
        <w:jc w:val="both"/>
      </w:pPr>
      <w:r>
        <w:rPr>
          <w:rFonts w:ascii="Book Antiqua" w:eastAsia="Book Antiqua" w:hAnsi="Book Antiqua" w:cs="Book Antiqua"/>
          <w:b/>
          <w:caps/>
          <w:color w:val="000000"/>
          <w:u w:val="single"/>
        </w:rPr>
        <w:t>CASE PRESENTATION</w:t>
      </w:r>
    </w:p>
    <w:p w14:paraId="434D4ACD" w14:textId="77777777" w:rsidR="00A77B3E" w:rsidRDefault="00973819">
      <w:pPr>
        <w:spacing w:line="360" w:lineRule="auto"/>
        <w:jc w:val="both"/>
      </w:pPr>
      <w:r>
        <w:rPr>
          <w:rFonts w:ascii="Book Antiqua" w:eastAsia="Book Antiqua" w:hAnsi="Book Antiqua" w:cs="Book Antiqua"/>
          <w:b/>
          <w:i/>
          <w:color w:val="000000"/>
        </w:rPr>
        <w:t>Chief complaints</w:t>
      </w:r>
    </w:p>
    <w:p w14:paraId="073B6CD3" w14:textId="77777777" w:rsidR="00A77B3E" w:rsidRDefault="00973819">
      <w:pPr>
        <w:spacing w:line="360" w:lineRule="auto"/>
        <w:jc w:val="both"/>
      </w:pPr>
      <w:r>
        <w:rPr>
          <w:rFonts w:ascii="Book Antiqua" w:eastAsia="Book Antiqua" w:hAnsi="Book Antiqua" w:cs="Book Antiqua"/>
          <w:color w:val="000000"/>
          <w:szCs w:val="20"/>
        </w:rPr>
        <w:t>A today 20-year-old female patient was diagnosed in August 2009 of having asymptomatic Wilson disease by a genetic family screening. Her transaminases were elevated.</w:t>
      </w:r>
    </w:p>
    <w:p w14:paraId="0DCA7FAC" w14:textId="77777777" w:rsidR="00A77B3E" w:rsidRDefault="00A77B3E">
      <w:pPr>
        <w:spacing w:line="360" w:lineRule="auto"/>
        <w:jc w:val="both"/>
      </w:pPr>
    </w:p>
    <w:p w14:paraId="2C90929F" w14:textId="77777777" w:rsidR="00A77B3E" w:rsidRDefault="00973819">
      <w:pPr>
        <w:spacing w:line="360" w:lineRule="auto"/>
        <w:jc w:val="both"/>
      </w:pPr>
      <w:r>
        <w:rPr>
          <w:rFonts w:ascii="Book Antiqua" w:eastAsia="Book Antiqua" w:hAnsi="Book Antiqua" w:cs="Book Antiqua"/>
          <w:b/>
          <w:i/>
          <w:color w:val="000000"/>
        </w:rPr>
        <w:t>History of present illness</w:t>
      </w:r>
    </w:p>
    <w:p w14:paraId="4155ACE3" w14:textId="77777777" w:rsidR="00A77B3E" w:rsidRDefault="00973819">
      <w:pPr>
        <w:spacing w:line="360" w:lineRule="auto"/>
        <w:jc w:val="both"/>
      </w:pPr>
      <w:r>
        <w:rPr>
          <w:rFonts w:ascii="Book Antiqua" w:eastAsia="Book Antiqua" w:hAnsi="Book Antiqua" w:cs="Book Antiqua"/>
          <w:color w:val="000000"/>
          <w:szCs w:val="20"/>
        </w:rPr>
        <w:t>The patient had no clinical presentation.</w:t>
      </w:r>
    </w:p>
    <w:p w14:paraId="0ED6531D" w14:textId="77777777" w:rsidR="00A77B3E" w:rsidRDefault="00A77B3E">
      <w:pPr>
        <w:spacing w:line="360" w:lineRule="auto"/>
        <w:jc w:val="both"/>
      </w:pPr>
    </w:p>
    <w:p w14:paraId="4F3F406C" w14:textId="77777777" w:rsidR="00A77B3E" w:rsidRDefault="00973819">
      <w:pPr>
        <w:spacing w:line="360" w:lineRule="auto"/>
        <w:jc w:val="both"/>
      </w:pPr>
      <w:r>
        <w:rPr>
          <w:rFonts w:ascii="Book Antiqua" w:eastAsia="Book Antiqua" w:hAnsi="Book Antiqua" w:cs="Book Antiqua"/>
          <w:b/>
          <w:i/>
          <w:color w:val="000000"/>
        </w:rPr>
        <w:t>History of past illness</w:t>
      </w:r>
    </w:p>
    <w:p w14:paraId="4897549D" w14:textId="77777777" w:rsidR="00A77B3E" w:rsidRDefault="00973819">
      <w:pPr>
        <w:spacing w:line="360" w:lineRule="auto"/>
        <w:jc w:val="both"/>
      </w:pPr>
      <w:r>
        <w:rPr>
          <w:rFonts w:ascii="Book Antiqua" w:eastAsia="Book Antiqua" w:hAnsi="Book Antiqua" w:cs="Book Antiqua"/>
          <w:color w:val="000000"/>
          <w:szCs w:val="20"/>
        </w:rPr>
        <w:t>The patient had a free previous history.</w:t>
      </w:r>
    </w:p>
    <w:p w14:paraId="7095DBA8" w14:textId="77777777" w:rsidR="00A77B3E" w:rsidRDefault="00A77B3E">
      <w:pPr>
        <w:spacing w:line="360" w:lineRule="auto"/>
        <w:jc w:val="both"/>
      </w:pPr>
    </w:p>
    <w:p w14:paraId="4018A6F4" w14:textId="77777777" w:rsidR="00A77B3E" w:rsidRDefault="00973819">
      <w:pPr>
        <w:spacing w:line="360" w:lineRule="auto"/>
        <w:jc w:val="both"/>
      </w:pPr>
      <w:r>
        <w:rPr>
          <w:rFonts w:ascii="Book Antiqua" w:eastAsia="Book Antiqua" w:hAnsi="Book Antiqua" w:cs="Book Antiqua"/>
          <w:b/>
          <w:i/>
          <w:color w:val="000000"/>
        </w:rPr>
        <w:t>Personal and family history</w:t>
      </w:r>
    </w:p>
    <w:p w14:paraId="0CC9C047" w14:textId="77777777" w:rsidR="00A77B3E" w:rsidRDefault="00973819">
      <w:pPr>
        <w:spacing w:line="360" w:lineRule="auto"/>
        <w:jc w:val="both"/>
      </w:pPr>
      <w:r>
        <w:rPr>
          <w:rFonts w:ascii="Book Antiqua" w:eastAsia="Book Antiqua" w:hAnsi="Book Antiqua" w:cs="Book Antiqua"/>
          <w:color w:val="000000"/>
          <w:szCs w:val="20"/>
        </w:rPr>
        <w:t xml:space="preserve">Her 1-year older sister was just diagnosed, and family screening revealed in both girls compound heterozygous mutations for the </w:t>
      </w:r>
      <w:r>
        <w:rPr>
          <w:rFonts w:ascii="Book Antiqua" w:eastAsia="Book Antiqua" w:hAnsi="Book Antiqua" w:cs="Book Antiqua"/>
          <w:i/>
          <w:iCs/>
          <w:color w:val="000000"/>
          <w:szCs w:val="20"/>
        </w:rPr>
        <w:t>ATP7B</w:t>
      </w:r>
      <w:r>
        <w:rPr>
          <w:rFonts w:ascii="Book Antiqua" w:eastAsia="Book Antiqua" w:hAnsi="Book Antiqua" w:cs="Book Antiqua"/>
          <w:color w:val="000000"/>
          <w:szCs w:val="20"/>
        </w:rPr>
        <w:t xml:space="preserve"> gene at positions H1069Q and R778P.</w:t>
      </w:r>
    </w:p>
    <w:p w14:paraId="32E20AE8" w14:textId="77777777" w:rsidR="00A77B3E" w:rsidRDefault="00A77B3E">
      <w:pPr>
        <w:spacing w:line="360" w:lineRule="auto"/>
        <w:jc w:val="both"/>
      </w:pPr>
    </w:p>
    <w:p w14:paraId="24C93914" w14:textId="77777777" w:rsidR="00A77B3E" w:rsidRDefault="00973819">
      <w:pPr>
        <w:spacing w:line="360" w:lineRule="auto"/>
        <w:jc w:val="both"/>
      </w:pPr>
      <w:r>
        <w:rPr>
          <w:rFonts w:ascii="Book Antiqua" w:eastAsia="Book Antiqua" w:hAnsi="Book Antiqua" w:cs="Book Antiqua"/>
          <w:b/>
          <w:i/>
          <w:color w:val="000000"/>
        </w:rPr>
        <w:t>Physical examination</w:t>
      </w:r>
    </w:p>
    <w:p w14:paraId="4074E67E" w14:textId="000B26FC" w:rsidR="00A77B3E" w:rsidRDefault="00973819">
      <w:pPr>
        <w:spacing w:line="360" w:lineRule="auto"/>
        <w:jc w:val="both"/>
      </w:pPr>
      <w:r>
        <w:rPr>
          <w:rFonts w:ascii="Book Antiqua" w:eastAsia="Book Antiqua" w:hAnsi="Book Antiqua" w:cs="Book Antiqua"/>
          <w:color w:val="000000"/>
          <w:szCs w:val="20"/>
        </w:rPr>
        <w:t>Height: 137.7 cm; body weight: 30.5 kg.</w:t>
      </w:r>
      <w:r w:rsidR="000F213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Good physical and mental condition, skin and mucus membranes unremarkable, soft abdomen, no liver or spleen enlargement. Heart, lung, lymph-node status normal, neurological evaluation normal, no Kayser-Fleischer corneal rings.</w:t>
      </w:r>
    </w:p>
    <w:p w14:paraId="5FBB4125" w14:textId="77777777" w:rsidR="00A77B3E" w:rsidRDefault="00A77B3E">
      <w:pPr>
        <w:spacing w:line="360" w:lineRule="auto"/>
        <w:jc w:val="both"/>
      </w:pPr>
    </w:p>
    <w:p w14:paraId="2DBF0C52" w14:textId="77777777" w:rsidR="00A77B3E" w:rsidRDefault="00973819">
      <w:pPr>
        <w:spacing w:line="360" w:lineRule="auto"/>
        <w:jc w:val="both"/>
      </w:pPr>
      <w:r>
        <w:rPr>
          <w:rFonts w:ascii="Book Antiqua" w:eastAsia="Book Antiqua" w:hAnsi="Book Antiqua" w:cs="Book Antiqua"/>
          <w:b/>
          <w:i/>
          <w:color w:val="000000"/>
        </w:rPr>
        <w:t>Laboratory examinations</w:t>
      </w:r>
    </w:p>
    <w:p w14:paraId="15488480" w14:textId="699BB0E2" w:rsidR="00A77B3E" w:rsidRDefault="00973819">
      <w:pPr>
        <w:spacing w:line="360" w:lineRule="auto"/>
        <w:jc w:val="both"/>
      </w:pPr>
      <w:r>
        <w:rPr>
          <w:rFonts w:ascii="Book Antiqua" w:eastAsia="Book Antiqua" w:hAnsi="Book Antiqua" w:cs="Book Antiqua"/>
          <w:color w:val="000000"/>
          <w:szCs w:val="20"/>
        </w:rPr>
        <w:t>Initially, the serum copper of the patient was 8.9 µmol/L (normal 12.6-25.1), ceruloplasmin 0.1 g/L (normal 0.2-0.6), “free” copper (non-ceruloplasmin bound copper) 26.8 µg/dL (normal &lt;</w:t>
      </w:r>
      <w:r w:rsidR="000F213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15 µg/dL) and the daily urinary copper excretion 116 µg/d (normal 60 µg/d). The liver enzymes were elevated: </w:t>
      </w:r>
      <w:bookmarkStart w:id="5" w:name="_Hlk57819330"/>
      <w:r w:rsidR="0026657A" w:rsidRPr="007B27E7">
        <w:rPr>
          <w:rFonts w:ascii="Book Antiqua" w:eastAsia="Book Antiqua" w:hAnsi="Book Antiqua" w:cs="Book Antiqua"/>
          <w:color w:val="000000"/>
        </w:rPr>
        <w:t>aspartate aminotransferase</w:t>
      </w:r>
      <w:bookmarkEnd w:id="5"/>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AST</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65 U/L (normal -39 U/L) and </w:t>
      </w:r>
      <w:r w:rsidR="0026657A" w:rsidRPr="00313B45">
        <w:rPr>
          <w:rFonts w:ascii="Book Antiqua" w:eastAsia="Book Antiqua" w:hAnsi="Book Antiqua" w:cs="Book Antiqua"/>
          <w:color w:val="000000"/>
        </w:rPr>
        <w:t>alanine aminotransferase</w:t>
      </w:r>
      <w:r w:rsidR="0026657A">
        <w:rPr>
          <w:rFonts w:ascii="Book Antiqua" w:eastAsia="Book Antiqua" w:hAnsi="Book Antiqua" w:cs="Book Antiqua"/>
          <w:color w:val="000000"/>
        </w:rPr>
        <w:t xml:space="preserve"> (</w:t>
      </w:r>
      <w:r>
        <w:rPr>
          <w:rFonts w:ascii="Book Antiqua" w:eastAsia="Book Antiqua" w:hAnsi="Book Antiqua" w:cs="Book Antiqua"/>
          <w:color w:val="000000"/>
          <w:szCs w:val="20"/>
        </w:rPr>
        <w:t>ALT</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114 U/L (normal -35 U/L).</w:t>
      </w:r>
    </w:p>
    <w:p w14:paraId="1A0FECC2" w14:textId="39C33663" w:rsidR="00A77B3E" w:rsidRDefault="00973819" w:rsidP="00131904">
      <w:pPr>
        <w:spacing w:line="360" w:lineRule="auto"/>
        <w:ind w:firstLineChars="100" w:firstLine="240"/>
        <w:jc w:val="both"/>
      </w:pPr>
      <w:r>
        <w:rPr>
          <w:rFonts w:ascii="Book Antiqua" w:eastAsia="Book Antiqua" w:hAnsi="Book Antiqua" w:cs="Book Antiqua"/>
          <w:color w:val="000000"/>
          <w:szCs w:val="20"/>
        </w:rPr>
        <w:t xml:space="preserve">At time of diagnosis the </w:t>
      </w:r>
      <w:r w:rsidR="000F213E">
        <w:rPr>
          <w:rFonts w:ascii="Book Antiqua" w:eastAsia="Book Antiqua" w:hAnsi="Book Antiqua" w:cs="Book Antiqua"/>
          <w:color w:val="000000"/>
          <w:szCs w:val="20"/>
        </w:rPr>
        <w:t>antinuclear antibodies (</w:t>
      </w:r>
      <w:r>
        <w:rPr>
          <w:rFonts w:ascii="Book Antiqua" w:eastAsia="Book Antiqua" w:hAnsi="Book Antiqua" w:cs="Book Antiqua"/>
          <w:color w:val="000000"/>
          <w:szCs w:val="20"/>
        </w:rPr>
        <w:t>ANA</w:t>
      </w:r>
      <w:r w:rsidR="000F213E">
        <w:rPr>
          <w:rFonts w:ascii="Book Antiqua" w:eastAsia="Book Antiqua" w:hAnsi="Book Antiqua" w:cs="Book Antiqua"/>
          <w:color w:val="000000"/>
          <w:szCs w:val="20"/>
        </w:rPr>
        <w:t>)</w:t>
      </w:r>
      <w:r>
        <w:rPr>
          <w:rFonts w:ascii="Book Antiqua" w:eastAsia="Book Antiqua" w:hAnsi="Book Antiqua" w:cs="Book Antiqua"/>
          <w:color w:val="000000"/>
          <w:szCs w:val="20"/>
        </w:rPr>
        <w:t>-titer was 1:2560 (sparkled pattern) and varied during the course of the disease down to 1:640, extractable nuclear antigens (ENA) were positive at that time, but intermittently also negative later in the course. In August 2011 for the first time double standard DNA was determined with 178.0 IU/mL (normal &lt;</w:t>
      </w:r>
      <w:r w:rsidR="000F213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40 IU/mL). Immunoglobulins were in the normal range. A slight proteinuria with 167 mg protein (57.5 mg albumin) per day was detected. A later laboratory workup did not detect an underlying cause. A kidney biopsy was not performed. The urinary protein excretion varied over the course of the disease and was periodically not detectable anymore. The alkaline phosphatase varied due to physiologic periods of growth in adolescence. Accordingly, these values are not provided. All other laboratory values were in the normal range.</w:t>
      </w:r>
    </w:p>
    <w:p w14:paraId="519C35EB" w14:textId="77777777" w:rsidR="00A77B3E" w:rsidRDefault="00A77B3E">
      <w:pPr>
        <w:spacing w:line="360" w:lineRule="auto"/>
        <w:jc w:val="both"/>
      </w:pPr>
    </w:p>
    <w:p w14:paraId="70CD62C4" w14:textId="77777777" w:rsidR="00A77B3E" w:rsidRDefault="00973819">
      <w:pPr>
        <w:spacing w:line="360" w:lineRule="auto"/>
        <w:jc w:val="both"/>
      </w:pPr>
      <w:r>
        <w:rPr>
          <w:rFonts w:ascii="Book Antiqua" w:eastAsia="Book Antiqua" w:hAnsi="Book Antiqua" w:cs="Book Antiqua"/>
          <w:b/>
          <w:caps/>
          <w:color w:val="000000"/>
          <w:u w:val="single"/>
        </w:rPr>
        <w:t>FINAL DIAGNOSIS</w:t>
      </w:r>
    </w:p>
    <w:p w14:paraId="1252F6B6" w14:textId="77777777" w:rsidR="00A77B3E" w:rsidRDefault="00973819">
      <w:pPr>
        <w:spacing w:line="360" w:lineRule="auto"/>
        <w:jc w:val="both"/>
      </w:pPr>
      <w:r>
        <w:rPr>
          <w:rFonts w:ascii="Book Antiqua" w:eastAsia="Book Antiqua" w:hAnsi="Book Antiqua" w:cs="Book Antiqua"/>
          <w:color w:val="000000"/>
          <w:szCs w:val="20"/>
        </w:rPr>
        <w:t>Wilson disease with concomitant ANA elevation without hyperimmunoglobulinemia.</w:t>
      </w:r>
    </w:p>
    <w:p w14:paraId="13CF6130" w14:textId="77777777" w:rsidR="00A77B3E" w:rsidRDefault="00A77B3E">
      <w:pPr>
        <w:spacing w:line="360" w:lineRule="auto"/>
        <w:jc w:val="both"/>
      </w:pPr>
    </w:p>
    <w:p w14:paraId="15D02357" w14:textId="77777777" w:rsidR="00A77B3E" w:rsidRDefault="00973819">
      <w:pPr>
        <w:spacing w:line="360" w:lineRule="auto"/>
        <w:jc w:val="both"/>
      </w:pPr>
      <w:r>
        <w:rPr>
          <w:rFonts w:ascii="Book Antiqua" w:eastAsia="Book Antiqua" w:hAnsi="Book Antiqua" w:cs="Book Antiqua"/>
          <w:b/>
          <w:caps/>
          <w:color w:val="000000"/>
          <w:u w:val="single"/>
        </w:rPr>
        <w:t>TREATMENT</w:t>
      </w:r>
    </w:p>
    <w:p w14:paraId="6CE87D38" w14:textId="72A4CDAE" w:rsidR="00A77B3E" w:rsidRDefault="00973819">
      <w:pPr>
        <w:spacing w:line="360" w:lineRule="auto"/>
        <w:jc w:val="both"/>
      </w:pPr>
      <w:r>
        <w:rPr>
          <w:rFonts w:ascii="Book Antiqua" w:eastAsia="Book Antiqua" w:hAnsi="Book Antiqua" w:cs="Book Antiqua"/>
          <w:color w:val="000000"/>
          <w:szCs w:val="20"/>
        </w:rPr>
        <w:t>The therapy was started with D-penicillamine together with 40 mg vitamin B6 on August 21</w:t>
      </w:r>
      <w:r>
        <w:rPr>
          <w:rFonts w:ascii="Book Antiqua" w:eastAsia="Book Antiqua" w:hAnsi="Book Antiqua" w:cs="Book Antiqua"/>
          <w:color w:val="000000"/>
          <w:szCs w:val="25"/>
          <w:vertAlign w:val="superscript"/>
        </w:rPr>
        <w:t>st</w:t>
      </w:r>
      <w:r>
        <w:rPr>
          <w:rFonts w:ascii="Book Antiqua" w:eastAsia="Book Antiqua" w:hAnsi="Book Antiqua" w:cs="Book Antiqua"/>
          <w:color w:val="000000"/>
          <w:szCs w:val="20"/>
        </w:rPr>
        <w:t>, 2009 in a dose of 150 mg daily and was weekly increased by 150 mg until 2</w:t>
      </w:r>
      <w:r w:rsidR="000F213E">
        <w:rPr>
          <w:rFonts w:ascii="Book Antiqua" w:eastAsia="Book Antiqua" w:hAnsi="Book Antiqua" w:cs="Book Antiqua"/>
          <w:color w:val="000000"/>
          <w:szCs w:val="20"/>
        </w:rPr>
        <w:t xml:space="preserve"> × </w:t>
      </w:r>
      <w:r>
        <w:rPr>
          <w:rFonts w:ascii="Book Antiqua" w:eastAsia="Book Antiqua" w:hAnsi="Book Antiqua" w:cs="Book Antiqua"/>
          <w:color w:val="000000"/>
          <w:szCs w:val="20"/>
        </w:rPr>
        <w:t>300 mg at September 11</w:t>
      </w:r>
      <w:r>
        <w:rPr>
          <w:rFonts w:ascii="Book Antiqua" w:eastAsia="Book Antiqua" w:hAnsi="Book Antiqua" w:cs="Book Antiqua"/>
          <w:color w:val="000000"/>
          <w:szCs w:val="25"/>
          <w:vertAlign w:val="superscript"/>
        </w:rPr>
        <w:t>th</w:t>
      </w:r>
      <w:r>
        <w:rPr>
          <w:rFonts w:ascii="Book Antiqua" w:eastAsia="Book Antiqua" w:hAnsi="Book Antiqua" w:cs="Book Antiqua"/>
          <w:color w:val="000000"/>
          <w:szCs w:val="20"/>
        </w:rPr>
        <w:t>, 2009.</w:t>
      </w:r>
    </w:p>
    <w:p w14:paraId="2E18CB86" w14:textId="22AEA03E" w:rsidR="00A77B3E" w:rsidRDefault="00973819" w:rsidP="000F213E">
      <w:pPr>
        <w:spacing w:line="360" w:lineRule="auto"/>
        <w:ind w:firstLineChars="100" w:firstLine="240"/>
        <w:jc w:val="both"/>
      </w:pPr>
      <w:r>
        <w:rPr>
          <w:rFonts w:ascii="Book Antiqua" w:eastAsia="Book Antiqua" w:hAnsi="Book Antiqua" w:cs="Book Antiqua"/>
          <w:color w:val="000000"/>
          <w:szCs w:val="20"/>
        </w:rPr>
        <w:t>Overall, the therapy was well tolerated. Liver enzymes started to drop at end of November 2009 (AST 49 U/L, ALT 90 U/L), and became completely normal in June 2010 (Table 1). Ceruloplasmin remained in the range at the time of diagnosis. Serum copper fell simultaneously to transaminases as well as the “free” (non-ceruloplasmin bound) copper which became normal in June 2010 and remained there throughout the entire further course of treatment. Urinary copper under D-penicillamine was in August 2009 3.88 mmol/d (= 248 mg/d) and weekly dropped over time finally to normal values (&lt;</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0.94 mmol/d or &lt;</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60 mg/d) recorded after a 2 d D-penicillamine holiday in November 2010 and remained in normal range thereafter.</w:t>
      </w:r>
    </w:p>
    <w:p w14:paraId="0844A907" w14:textId="77777777" w:rsidR="00A77B3E" w:rsidRDefault="00A77B3E">
      <w:pPr>
        <w:spacing w:line="360" w:lineRule="auto"/>
        <w:jc w:val="both"/>
      </w:pPr>
    </w:p>
    <w:p w14:paraId="4D1520BF" w14:textId="77777777" w:rsidR="00A77B3E" w:rsidRDefault="00973819">
      <w:pPr>
        <w:spacing w:line="360" w:lineRule="auto"/>
        <w:jc w:val="both"/>
      </w:pPr>
      <w:r>
        <w:rPr>
          <w:rFonts w:ascii="Book Antiqua" w:eastAsia="Book Antiqua" w:hAnsi="Book Antiqua" w:cs="Book Antiqua"/>
          <w:b/>
          <w:caps/>
          <w:color w:val="000000"/>
          <w:u w:val="single"/>
        </w:rPr>
        <w:t>OUTCOME AND FOLLOW-UP</w:t>
      </w:r>
    </w:p>
    <w:p w14:paraId="3E9629DC" w14:textId="77777777" w:rsidR="00A77B3E" w:rsidRDefault="00973819">
      <w:pPr>
        <w:spacing w:line="360" w:lineRule="auto"/>
        <w:jc w:val="both"/>
      </w:pPr>
      <w:r>
        <w:rPr>
          <w:rFonts w:ascii="Book Antiqua" w:eastAsia="Book Antiqua" w:hAnsi="Book Antiqua" w:cs="Book Antiqua"/>
          <w:b/>
          <w:bCs/>
          <w:i/>
          <w:iCs/>
          <w:color w:val="000000"/>
          <w:szCs w:val="20"/>
        </w:rPr>
        <w:t>The lupus event</w:t>
      </w:r>
    </w:p>
    <w:p w14:paraId="21D0BB09" w14:textId="49B0F886" w:rsidR="00A77B3E" w:rsidRDefault="0097381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In August 2011 a cutaneous lupus with hypopigmentation in the right axilla and at the presternal area was clinically diagnosed (without biopsy) by a dermatologist. At that time the ANA titer was 1:1,280 and double stranded DNA was 178 IU/mL. It was assumed to be due to D-penicillamine medication which was discontinued and trientine-2HCl was put on with increasing doses reaching finally 1,200 mg. Vitamin B6 was stopped.</w:t>
      </w:r>
    </w:p>
    <w:p w14:paraId="253B143C" w14:textId="77777777" w:rsidR="0026657A" w:rsidRDefault="0026657A">
      <w:pPr>
        <w:spacing w:line="360" w:lineRule="auto"/>
        <w:jc w:val="both"/>
      </w:pPr>
    </w:p>
    <w:p w14:paraId="5FA40123" w14:textId="77777777" w:rsidR="00A77B3E" w:rsidRDefault="00973819">
      <w:pPr>
        <w:spacing w:line="360" w:lineRule="auto"/>
        <w:jc w:val="both"/>
      </w:pPr>
      <w:r>
        <w:rPr>
          <w:rFonts w:ascii="Book Antiqua" w:eastAsia="Book Antiqua" w:hAnsi="Book Antiqua" w:cs="Book Antiqua"/>
          <w:b/>
          <w:bCs/>
          <w:i/>
          <w:iCs/>
          <w:color w:val="000000"/>
          <w:szCs w:val="20"/>
        </w:rPr>
        <w:t>Further treatment course</w:t>
      </w:r>
    </w:p>
    <w:p w14:paraId="31CC96C0" w14:textId="204633BB" w:rsidR="00A77B3E" w:rsidRDefault="00973819">
      <w:pPr>
        <w:spacing w:line="360" w:lineRule="auto"/>
        <w:jc w:val="both"/>
      </w:pPr>
      <w:r>
        <w:rPr>
          <w:rFonts w:ascii="Book Antiqua" w:eastAsia="Book Antiqua" w:hAnsi="Book Antiqua" w:cs="Book Antiqua"/>
          <w:color w:val="000000"/>
          <w:szCs w:val="20"/>
        </w:rPr>
        <w:t xml:space="preserve">From February 2016, ALT fluctuated around 40-50 U/L despite persistent normal “free” non-ceruloplasmin bound copper (Table 2). An elevated urinary copper excretion up to 239 µg/d was observed. However, urine was collected under chelator therapy. The ANA titer was 1:1280 and </w:t>
      </w:r>
      <w:r w:rsidR="0026657A" w:rsidRPr="00346603">
        <w:rPr>
          <w:rFonts w:ascii="Book Antiqua" w:eastAsia="Book Antiqua" w:hAnsi="Book Antiqua" w:cs="Book Antiqua"/>
          <w:color w:val="000000"/>
        </w:rPr>
        <w:t>immunoglobulin</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Ig</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G was normal. To optimize the copper metabolism, the therapy with 600 mg trientine-2HCl in the morning was supplemented with zinc (Wilzin 50 mg) provided 3x daily (given separately from trientine) in January 2018.</w:t>
      </w:r>
    </w:p>
    <w:p w14:paraId="10C000F8" w14:textId="1ACBE987" w:rsidR="00A77B3E" w:rsidRDefault="00973819" w:rsidP="0026657A">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The regimen did not dramatically change the course of the disorder. Indeed, the patient did not tolerate zinc very well and complained about abdominal pain. Therefore, zinc administration was stopped in October 2018.</w:t>
      </w:r>
    </w:p>
    <w:p w14:paraId="1BCA96D1" w14:textId="77777777" w:rsidR="0026657A" w:rsidRDefault="0026657A" w:rsidP="00A12B72">
      <w:pPr>
        <w:spacing w:line="360" w:lineRule="auto"/>
        <w:jc w:val="both"/>
      </w:pPr>
    </w:p>
    <w:p w14:paraId="30F1ECEE" w14:textId="77777777" w:rsidR="00A77B3E" w:rsidRDefault="00973819">
      <w:pPr>
        <w:spacing w:line="360" w:lineRule="auto"/>
        <w:jc w:val="both"/>
      </w:pPr>
      <w:r>
        <w:rPr>
          <w:rFonts w:ascii="Book Antiqua" w:eastAsia="Book Antiqua" w:hAnsi="Book Antiqua" w:cs="Book Antiqua"/>
          <w:b/>
          <w:bCs/>
          <w:i/>
          <w:iCs/>
          <w:color w:val="000000"/>
          <w:szCs w:val="20"/>
        </w:rPr>
        <w:t>Time of worry</w:t>
      </w:r>
    </w:p>
    <w:p w14:paraId="4C1B4133" w14:textId="77777777" w:rsidR="00A77B3E" w:rsidRDefault="00973819">
      <w:pPr>
        <w:spacing w:line="360" w:lineRule="auto"/>
        <w:jc w:val="both"/>
      </w:pPr>
      <w:r>
        <w:rPr>
          <w:rFonts w:ascii="Book Antiqua" w:eastAsia="Book Antiqua" w:hAnsi="Book Antiqua" w:cs="Book Antiqua"/>
          <w:color w:val="000000"/>
          <w:szCs w:val="20"/>
        </w:rPr>
        <w:t>The slightly elevated ALT started to increase dramatically from May 2019. At that time ALT was 174 U/L, AST 61 U/L and ANA titer was 1:640.</w:t>
      </w:r>
    </w:p>
    <w:p w14:paraId="4CA11A18" w14:textId="0808E121" w:rsidR="00A77B3E" w:rsidRDefault="00973819" w:rsidP="0026657A">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In July 2019 trientine-2HCl was switched to trientine-4HCl (Cuprior 150 1-0-1). Nevertheless, liver function tests further deteriorated and constantly increased until December 4</w:t>
      </w:r>
      <w:r>
        <w:rPr>
          <w:rFonts w:ascii="Book Antiqua" w:eastAsia="Book Antiqua" w:hAnsi="Book Antiqua" w:cs="Book Antiqua"/>
          <w:color w:val="000000"/>
          <w:szCs w:val="25"/>
          <w:vertAlign w:val="superscript"/>
        </w:rPr>
        <w:t>th</w:t>
      </w:r>
      <w:r>
        <w:rPr>
          <w:rFonts w:ascii="Book Antiqua" w:eastAsia="Book Antiqua" w:hAnsi="Book Antiqua" w:cs="Book Antiqua"/>
          <w:color w:val="000000"/>
          <w:szCs w:val="20"/>
        </w:rPr>
        <w:t>, 2019 to ALT 505 U/L, AST 128 U/L, GGT 79 U/L. Furthermore, the patient lost during the last 2 years in total 7 kg body weight with fluctuating liver enzymes. She also had frequent headache episodes and often a bad (almost depressive) mood. One hypothesis argued that this transaminase elevation might be due to trientine and the treatment was stopped and D-penicillamine (the presumable lupus inducer) was reinstalled on December 5</w:t>
      </w:r>
      <w:r>
        <w:rPr>
          <w:rFonts w:ascii="Book Antiqua" w:eastAsia="Book Antiqua" w:hAnsi="Book Antiqua" w:cs="Book Antiqua"/>
          <w:color w:val="000000"/>
          <w:szCs w:val="25"/>
          <w:vertAlign w:val="superscript"/>
        </w:rPr>
        <w:t>th</w:t>
      </w:r>
      <w:r>
        <w:rPr>
          <w:rFonts w:ascii="Book Antiqua" w:eastAsia="Book Antiqua" w:hAnsi="Book Antiqua" w:cs="Book Antiqua"/>
          <w:color w:val="000000"/>
          <w:szCs w:val="20"/>
        </w:rPr>
        <w:t xml:space="preserve"> with 600 mg daily together with 100 mg vitamin B6 wkly. However, thereafter the transaminases remained highly elevated despite normal parameters of copper metabolism. The ANA titer was at 1:640 with still normal γ-globulins. Liver stiffness was increased to 6.8 </w:t>
      </w:r>
      <w:r w:rsidR="0026657A">
        <w:rPr>
          <w:rFonts w:ascii="Book Antiqua" w:eastAsia="Book Antiqua" w:hAnsi="Book Antiqua" w:cs="Book Antiqua"/>
          <w:color w:val="000000"/>
          <w:szCs w:val="20"/>
        </w:rPr>
        <w:t>K</w:t>
      </w:r>
      <w:r>
        <w:rPr>
          <w:rFonts w:ascii="Book Antiqua" w:eastAsia="Book Antiqua" w:hAnsi="Book Antiqua" w:cs="Book Antiqua"/>
          <w:color w:val="000000"/>
          <w:szCs w:val="20"/>
        </w:rPr>
        <w:t>Pa.</w:t>
      </w:r>
    </w:p>
    <w:p w14:paraId="57B16DB4" w14:textId="77777777" w:rsidR="0026657A" w:rsidRDefault="0026657A" w:rsidP="00A12B72">
      <w:pPr>
        <w:spacing w:line="360" w:lineRule="auto"/>
        <w:jc w:val="both"/>
      </w:pPr>
    </w:p>
    <w:p w14:paraId="5B72D904" w14:textId="77777777" w:rsidR="00A77B3E" w:rsidRDefault="00973819">
      <w:pPr>
        <w:spacing w:line="360" w:lineRule="auto"/>
        <w:jc w:val="both"/>
      </w:pPr>
      <w:r>
        <w:rPr>
          <w:rFonts w:ascii="Book Antiqua" w:eastAsia="Book Antiqua" w:hAnsi="Book Antiqua" w:cs="Book Antiqua"/>
          <w:b/>
          <w:bCs/>
          <w:i/>
          <w:iCs/>
          <w:color w:val="000000"/>
          <w:szCs w:val="20"/>
        </w:rPr>
        <w:t>The biopsy</w:t>
      </w:r>
    </w:p>
    <w:p w14:paraId="5FFC6789" w14:textId="4CCA6D81" w:rsidR="00A77B3E" w:rsidRDefault="0097381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liver biopsy that was conducted in December 2019 was dominated by ballooned hepatocytes and revealed discrete steatosis as well as portal, perisinusoidal and initial septal fibrosis, and only very discrete copper deposits (Figure 1).</w:t>
      </w:r>
    </w:p>
    <w:p w14:paraId="0CD7C2E9" w14:textId="77777777" w:rsidR="0026657A" w:rsidRDefault="0026657A">
      <w:pPr>
        <w:spacing w:line="360" w:lineRule="auto"/>
        <w:jc w:val="both"/>
      </w:pPr>
    </w:p>
    <w:p w14:paraId="711CE0FD" w14:textId="77777777" w:rsidR="00A77B3E" w:rsidRDefault="00973819">
      <w:pPr>
        <w:spacing w:line="360" w:lineRule="auto"/>
        <w:jc w:val="both"/>
      </w:pPr>
      <w:r>
        <w:rPr>
          <w:rFonts w:ascii="Book Antiqua" w:eastAsia="Book Antiqua" w:hAnsi="Book Antiqua" w:cs="Book Antiqua"/>
          <w:b/>
          <w:bCs/>
          <w:i/>
          <w:iCs/>
          <w:color w:val="000000"/>
          <w:szCs w:val="20"/>
        </w:rPr>
        <w:t>The question</w:t>
      </w:r>
    </w:p>
    <w:p w14:paraId="7BF02B2A" w14:textId="4C5D1E57" w:rsidR="00A77B3E" w:rsidRDefault="0097381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In January 2020 the question arose whether this all may be due to Wilson disease and its therapy. The diagnosis was doubted because the therapy varied so much without change for the patient and persistent normal parameters of copper metabolism, but deterioration of the liver disease. It was considered whether this might be an atypical autoimmune liver disease. Fitting to this option was the observation of an elevated ANA titer, but the autoimmune hepatitis (AIH) score was only 15. Normal concentrations of immunoglobulins and histology were also not consistent with AIH. Nevertheless, a therapeutic trial with a short-term course of a moderate dose prednisolone with weekly deescalating doses (40, 20, 15, 10, 5 mg daily) was started.</w:t>
      </w:r>
    </w:p>
    <w:p w14:paraId="2B61C433" w14:textId="77777777" w:rsidR="0026657A" w:rsidRDefault="0026657A">
      <w:pPr>
        <w:spacing w:line="360" w:lineRule="auto"/>
        <w:jc w:val="both"/>
      </w:pPr>
    </w:p>
    <w:p w14:paraId="47B4E1C5" w14:textId="77777777" w:rsidR="00A77B3E" w:rsidRDefault="00973819">
      <w:pPr>
        <w:spacing w:line="360" w:lineRule="auto"/>
        <w:jc w:val="both"/>
      </w:pPr>
      <w:r>
        <w:rPr>
          <w:rFonts w:ascii="Book Antiqua" w:eastAsia="Book Antiqua" w:hAnsi="Book Antiqua" w:cs="Book Antiqua"/>
          <w:b/>
          <w:bCs/>
          <w:i/>
          <w:iCs/>
          <w:color w:val="000000"/>
          <w:szCs w:val="20"/>
        </w:rPr>
        <w:t>Course after additional application of prednisolone</w:t>
      </w:r>
    </w:p>
    <w:p w14:paraId="0146119F" w14:textId="60B0B523" w:rsidR="00A77B3E" w:rsidRDefault="0097381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rapid decrease of transaminases after installment of prednisolone is remarkable. After a period of only 2 wk, the values were significantly improved and continued to drop down thereafter. Withdrawal of prednisolone immediately worsened the case and transaminases raised and maintained elevated (Table 2).</w:t>
      </w:r>
    </w:p>
    <w:p w14:paraId="7621ED08" w14:textId="77777777" w:rsidR="0026657A" w:rsidRDefault="0026657A">
      <w:pPr>
        <w:spacing w:line="360" w:lineRule="auto"/>
        <w:jc w:val="both"/>
      </w:pPr>
    </w:p>
    <w:p w14:paraId="781EA613" w14:textId="77777777" w:rsidR="00A77B3E" w:rsidRDefault="00973819">
      <w:pPr>
        <w:spacing w:line="360" w:lineRule="auto"/>
        <w:jc w:val="both"/>
      </w:pPr>
      <w:r>
        <w:rPr>
          <w:rFonts w:ascii="Book Antiqua" w:eastAsia="Book Antiqua" w:hAnsi="Book Antiqua" w:cs="Book Antiqua"/>
          <w:b/>
          <w:bCs/>
          <w:i/>
          <w:iCs/>
          <w:color w:val="000000"/>
          <w:szCs w:val="20"/>
        </w:rPr>
        <w:t>The course of the disease in her 1-year older sister</w:t>
      </w:r>
    </w:p>
    <w:p w14:paraId="4AD61247" w14:textId="0E8F4CA3" w:rsidR="00A77B3E" w:rsidRDefault="00973819">
      <w:pPr>
        <w:spacing w:line="360" w:lineRule="auto"/>
        <w:jc w:val="both"/>
      </w:pPr>
      <w:r>
        <w:rPr>
          <w:rFonts w:ascii="Book Antiqua" w:eastAsia="Book Antiqua" w:hAnsi="Book Antiqua" w:cs="Book Antiqua"/>
          <w:color w:val="000000"/>
          <w:szCs w:val="20"/>
        </w:rPr>
        <w:t>She was born 1999. After a viral infection with nasopharyngeal manifestation, bronchitis and fever up to 38.8</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 in April 2009, transaminases were elevated (ALT 126 and AST 78 U/L). A liver biopsy showed a prominent small droplet steatosis, portal fibrosis without cirrhosis and an elevated liver copper content of 1335 µg/g liver (normal</w:t>
      </w:r>
      <w:r>
        <w:rPr>
          <w:rFonts w:ascii="Book Antiqua" w:eastAsia="Book Antiqua" w:hAnsi="Book Antiqua" w:cs="Book Antiqua"/>
          <w:i/>
          <w:iCs/>
          <w:color w:val="000000"/>
          <w:szCs w:val="20"/>
        </w:rPr>
        <w:t> </w:t>
      </w:r>
      <w:r>
        <w:rPr>
          <w:rFonts w:ascii="Book Antiqua" w:eastAsia="Book Antiqua" w:hAnsi="Book Antiqua" w:cs="Book Antiqua"/>
          <w:color w:val="000000"/>
          <w:szCs w:val="20"/>
        </w:rPr>
        <w:t>below</w:t>
      </w:r>
      <w:r>
        <w:rPr>
          <w:rFonts w:ascii="Book Antiqua" w:eastAsia="Book Antiqua" w:hAnsi="Book Antiqua" w:cs="Book Antiqua"/>
          <w:i/>
          <w:iCs/>
          <w:color w:val="000000"/>
          <w:szCs w:val="20"/>
        </w:rPr>
        <w:t> </w:t>
      </w:r>
      <w:r>
        <w:rPr>
          <w:rFonts w:ascii="Book Antiqua" w:eastAsia="Book Antiqua" w:hAnsi="Book Antiqua" w:cs="Book Antiqua"/>
          <w:color w:val="000000"/>
          <w:szCs w:val="20"/>
        </w:rPr>
        <w:t>50 µg/g).</w:t>
      </w:r>
    </w:p>
    <w:p w14:paraId="1187F80D" w14:textId="403B522B" w:rsidR="00A77B3E" w:rsidRDefault="00973819" w:rsidP="00131904">
      <w:pPr>
        <w:spacing w:line="360" w:lineRule="auto"/>
        <w:ind w:firstLineChars="100" w:firstLine="240"/>
        <w:jc w:val="both"/>
      </w:pPr>
      <w:r>
        <w:rPr>
          <w:rFonts w:ascii="Book Antiqua" w:eastAsia="Book Antiqua" w:hAnsi="Book Antiqua" w:cs="Book Antiqua"/>
          <w:color w:val="000000"/>
          <w:szCs w:val="20"/>
        </w:rPr>
        <w:t>At time of diagnosis ceruloplasmin was 0.1 g/L, serum copper 63.4 mg/dL, calculated free non-ceruloplasmin bound copper 33.4 mg/dL and the urinary copper excretion 96 µg/d. The ANA titer (1:80) was borderline. Antibodies to smooth muscles (ASMA) were elevated to a titer of 1:20 up to 1:80 throughout the course. Intermittently elevated ds-DNA (79 IU/mL), a discrete proteinuria and microhematuria were registered. In May 2009 a therapy with D-penicillamine (750 mg) together with vitamin B6 (40 mg) was started. The ALT dropped continuously to 75 U/L in November 2009, 44 U/L in March 2010 and 30 U/L in June 2010. Later on, ALT was normal or slightly elevated (27-51 U/L). AST was initially elevated until August 2009. Thereafter, values dropped to 43-47 U/L until end of 2009 and became normal in 2010. Non-cerulosplasmin bound copper and urinary copper were constantly normal. Due to a vitiligo in March 2011, D-penicillamine was stopped and trientine-2HCl (900 mg) was started. The copper parameters and transaminases remained stable until February 2016. Without any explainable reason, ALT raised to 145 and AST to 63 U/L and in March to 155 and 61 U/L, respectively. The patient was then treated with trientine-2HCl in reduced dosage of 600 mg together with an oral zinc preparation (Wilzin, 3-times 50 mg zinc). Until January 2017 ALT and AST remained in that range. Thereafter values dropped with only marginal elevated ALT (24-48 U/L). Trientine-2HCl was stopped in November 2017 and she maintained a zinc monotherapy until today.</w:t>
      </w:r>
    </w:p>
    <w:p w14:paraId="2843BE6D" w14:textId="77777777" w:rsidR="00A77B3E" w:rsidRDefault="00A77B3E">
      <w:pPr>
        <w:spacing w:line="360" w:lineRule="auto"/>
        <w:jc w:val="both"/>
      </w:pPr>
    </w:p>
    <w:p w14:paraId="49ED1BD0" w14:textId="77777777" w:rsidR="00A77B3E" w:rsidRDefault="00973819">
      <w:pPr>
        <w:spacing w:line="360" w:lineRule="auto"/>
        <w:jc w:val="both"/>
      </w:pPr>
      <w:r>
        <w:rPr>
          <w:rFonts w:ascii="Book Antiqua" w:eastAsia="Book Antiqua" w:hAnsi="Book Antiqua" w:cs="Book Antiqua"/>
          <w:b/>
          <w:caps/>
          <w:color w:val="000000"/>
          <w:u w:val="single"/>
        </w:rPr>
        <w:t>DISCUSSION</w:t>
      </w:r>
    </w:p>
    <w:p w14:paraId="2850C797" w14:textId="6AA2F8CC" w:rsidR="00A77B3E" w:rsidRDefault="00973819">
      <w:pPr>
        <w:spacing w:line="360" w:lineRule="auto"/>
        <w:jc w:val="both"/>
      </w:pPr>
      <w:r>
        <w:rPr>
          <w:rFonts w:ascii="Book Antiqua" w:eastAsia="Book Antiqua" w:hAnsi="Book Antiqua" w:cs="Book Antiqua"/>
          <w:color w:val="000000"/>
          <w:szCs w:val="20"/>
        </w:rPr>
        <w:t>One could argue that it is not only Wilson disease alone but also another disorder in this patient causing deterioration of liver injury. The diagnosis of Wilson disease is established by genetic analysis, typical laboratory features and good response to the initial therapy with chelators</w:t>
      </w:r>
      <w:r w:rsidR="0026657A" w:rsidRPr="00131904">
        <w:rPr>
          <w:rFonts w:ascii="Book Antiqua" w:eastAsia="Book Antiqua" w:hAnsi="Book Antiqua" w:cs="Book Antiqua"/>
          <w:color w:val="000000"/>
          <w:szCs w:val="20"/>
          <w:vertAlign w:val="superscript"/>
        </w:rPr>
        <w:t>[6,7]</w:t>
      </w:r>
      <w:r>
        <w:rPr>
          <w:rFonts w:ascii="Book Antiqua" w:eastAsia="Book Antiqua" w:hAnsi="Book Antiqua" w:cs="Book Antiqua"/>
          <w:color w:val="000000"/>
          <w:szCs w:val="20"/>
        </w:rPr>
        <w:t xml:space="preserve">. The biopsy taken after decoppering therapy revealed </w:t>
      </w:r>
      <w:r w:rsidR="0033392C">
        <w:rPr>
          <w:rFonts w:ascii="Book Antiqua" w:eastAsia="Book Antiqua" w:hAnsi="Book Antiqua" w:cs="Book Antiqua"/>
          <w:color w:val="000000"/>
          <w:szCs w:val="20"/>
        </w:rPr>
        <w:t>only few</w:t>
      </w:r>
      <w:r>
        <w:rPr>
          <w:rFonts w:ascii="Book Antiqua" w:eastAsia="Book Antiqua" w:hAnsi="Book Antiqua" w:cs="Book Antiqua"/>
          <w:color w:val="000000"/>
          <w:szCs w:val="20"/>
        </w:rPr>
        <w:t xml:space="preserve"> copper deposits compatible with Wilson disease</w:t>
      </w:r>
      <w:r w:rsidR="0026657A" w:rsidRPr="00131904">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rPr>
        <w:t>. It may reflect over the course of treatment a shift from lysosomal copper (Rhodamine staining positive) to harmless non-visible metallothionein bound cytoplasmatic copper which is harmless</w:t>
      </w:r>
      <w:r w:rsidR="0026657A" w:rsidRPr="00946211">
        <w:rPr>
          <w:rFonts w:ascii="Book Antiqua" w:eastAsia="Book Antiqua" w:hAnsi="Book Antiqua" w:cs="Book Antiqua"/>
          <w:color w:val="000000"/>
          <w:szCs w:val="20"/>
          <w:vertAlign w:val="superscript"/>
        </w:rPr>
        <w:t>[</w:t>
      </w:r>
      <w:r w:rsidR="0026657A">
        <w:rPr>
          <w:rFonts w:ascii="Book Antiqua" w:eastAsia="Book Antiqua" w:hAnsi="Book Antiqua" w:cs="Book Antiqua"/>
          <w:color w:val="000000"/>
          <w:szCs w:val="20"/>
          <w:vertAlign w:val="superscript"/>
        </w:rPr>
        <w:t>4</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A quantitative copper determination was not performed. However, in histology there were signs of cell damage. The patient did not receive any other liver affecting medications, including phytotherapeutics, nutritional additives or paramedications. Metabolic diseases were excluded, </w:t>
      </w:r>
      <w:r>
        <w:rPr>
          <w:rFonts w:ascii="Book Antiqua" w:eastAsia="Book Antiqua" w:hAnsi="Book Antiqua" w:cs="Book Antiqua"/>
          <w:i/>
          <w:iCs/>
          <w:color w:val="000000"/>
          <w:szCs w:val="20"/>
        </w:rPr>
        <w:t>e.g.</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hemochromatosis, NASH due to hypercholesterinemia or diabetes, alpha1-antitrypsin deficiency and celiac disease. Inflammation of the biliary system (primary sclerosing cholangitis or primary biliary cirrhosis) were also not detectable.</w:t>
      </w:r>
    </w:p>
    <w:p w14:paraId="3E05BB34" w14:textId="2AB4871C" w:rsidR="00A77B3E" w:rsidRDefault="00973819" w:rsidP="00131904">
      <w:pPr>
        <w:spacing w:line="360" w:lineRule="auto"/>
        <w:ind w:firstLineChars="100" w:firstLine="240"/>
        <w:jc w:val="both"/>
      </w:pPr>
      <w:r>
        <w:rPr>
          <w:rFonts w:ascii="Book Antiqua" w:eastAsia="Book Antiqua" w:hAnsi="Book Antiqua" w:cs="Book Antiqua"/>
          <w:color w:val="000000"/>
          <w:szCs w:val="20"/>
        </w:rPr>
        <w:t>The constantly deteriorating clinical and laboratory course could not be reversed by any of the applied copper depleting therapies which were taken most trustworthy (Table 2). Apparently, none of the applied drugs was reported to induce transaminases, including the new trientine-4HCl</w:t>
      </w:r>
      <w:r w:rsidR="0026657A" w:rsidRPr="00946211">
        <w:rPr>
          <w:rFonts w:ascii="Book Antiqua" w:eastAsia="Book Antiqua" w:hAnsi="Book Antiqua" w:cs="Book Antiqua"/>
          <w:color w:val="000000"/>
          <w:szCs w:val="20"/>
          <w:vertAlign w:val="superscript"/>
        </w:rPr>
        <w:t>[6,7]</w:t>
      </w:r>
      <w:r>
        <w:rPr>
          <w:rFonts w:ascii="Book Antiqua" w:eastAsia="Book Antiqua" w:hAnsi="Book Antiqua" w:cs="Book Antiqua"/>
          <w:color w:val="000000"/>
          <w:szCs w:val="20"/>
        </w:rPr>
        <w:t>. During the entire course, copper metabolism was well compensated which excludes exacerbation of Wilson disease due to ineffective therapy.</w:t>
      </w:r>
    </w:p>
    <w:p w14:paraId="7CEBA170" w14:textId="4C2DA3E1" w:rsidR="00A77B3E" w:rsidRDefault="00973819" w:rsidP="00131904">
      <w:pPr>
        <w:spacing w:line="360" w:lineRule="auto"/>
        <w:ind w:firstLineChars="100" w:firstLine="240"/>
        <w:jc w:val="both"/>
      </w:pPr>
      <w:r>
        <w:rPr>
          <w:rFonts w:ascii="Book Antiqua" w:eastAsia="Book Antiqua" w:hAnsi="Book Antiqua" w:cs="Book Antiqua"/>
          <w:color w:val="000000"/>
          <w:szCs w:val="20"/>
        </w:rPr>
        <w:t>However, before the diagnosis of Wilson disease was established in this patient ANA levels were found to be increased. Could it be an atypical autoimmune hepatitis (AIH) variant? It seemed unlikely because γ-globulins (IgG) were always normal and the later performed liver biopsy showed no interface hepatitis</w:t>
      </w:r>
      <w:r w:rsidR="0026657A" w:rsidRPr="00946211">
        <w:rPr>
          <w:rFonts w:ascii="Book Antiqua" w:eastAsia="Book Antiqua" w:hAnsi="Book Antiqua" w:cs="Book Antiqua"/>
          <w:color w:val="000000"/>
          <w:szCs w:val="20"/>
          <w:vertAlign w:val="superscript"/>
        </w:rPr>
        <w:t>[</w:t>
      </w:r>
      <w:r w:rsidR="0026657A">
        <w:rPr>
          <w:rFonts w:ascii="Book Antiqua" w:eastAsia="Book Antiqua" w:hAnsi="Book Antiqua" w:cs="Book Antiqua"/>
          <w:color w:val="000000"/>
          <w:szCs w:val="20"/>
          <w:vertAlign w:val="superscript"/>
        </w:rPr>
        <w:t>8</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During the course of the disease autoimmune parameters were recorded</w:t>
      </w:r>
      <w:r w:rsidR="0033392C">
        <w:rPr>
          <w:rFonts w:ascii="Book Antiqua" w:eastAsia="Book Antiqua" w:hAnsi="Book Antiqua" w:cs="Book Antiqua"/>
          <w:color w:val="000000"/>
          <w:szCs w:val="20"/>
        </w:rPr>
        <w:t>, namely</w:t>
      </w:r>
      <w:r>
        <w:rPr>
          <w:rFonts w:ascii="Book Antiqua" w:eastAsia="Book Antiqua" w:hAnsi="Book Antiqua" w:cs="Book Antiqua"/>
          <w:color w:val="000000"/>
          <w:szCs w:val="20"/>
        </w:rPr>
        <w:t xml:space="preserve"> ANA-titer up to 1:2560 and intermittently double stranded DNA (178 IU/mL), detection of ENA, proteinuria and a cutaneous lupus. The AIH score yielded just 15 points which does not suggest overt AIH</w:t>
      </w:r>
      <w:r w:rsidR="0026657A" w:rsidRPr="00946211">
        <w:rPr>
          <w:rFonts w:ascii="Book Antiqua" w:eastAsia="Book Antiqua" w:hAnsi="Book Antiqua" w:cs="Book Antiqua"/>
          <w:color w:val="000000"/>
          <w:szCs w:val="20"/>
          <w:vertAlign w:val="superscript"/>
        </w:rPr>
        <w:t>[</w:t>
      </w:r>
      <w:r w:rsidR="0026657A">
        <w:rPr>
          <w:rFonts w:ascii="Book Antiqua" w:eastAsia="Book Antiqua" w:hAnsi="Book Antiqua" w:cs="Book Antiqua"/>
          <w:color w:val="000000"/>
          <w:szCs w:val="20"/>
          <w:vertAlign w:val="superscript"/>
        </w:rPr>
        <w:t>8</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Despite this uncertainty, the patient was put on 40 mg prednisolone and significantly improved in regard to her physical and mental condition. Most importantly, the transaminases dropped within </w:t>
      </w:r>
      <w:r w:rsidR="00B961C6">
        <w:rPr>
          <w:rFonts w:ascii="Book Antiqua" w:eastAsia="Book Antiqua" w:hAnsi="Book Antiqua" w:cs="Book Antiqua"/>
          <w:color w:val="000000"/>
          <w:szCs w:val="20"/>
        </w:rPr>
        <w:t>two</w:t>
      </w:r>
      <w:r>
        <w:rPr>
          <w:rFonts w:ascii="Book Antiqua" w:eastAsia="Book Antiqua" w:hAnsi="Book Antiqua" w:cs="Book Antiqua"/>
          <w:color w:val="000000"/>
          <w:szCs w:val="20"/>
        </w:rPr>
        <w:t xml:space="preserve"> w</w:t>
      </w:r>
      <w:r w:rsidR="0033392C">
        <w:rPr>
          <w:rFonts w:ascii="Book Antiqua" w:eastAsia="Book Antiqua" w:hAnsi="Book Antiqua" w:cs="Book Antiqua"/>
          <w:color w:val="000000"/>
          <w:szCs w:val="20"/>
        </w:rPr>
        <w:t>ee</w:t>
      </w:r>
      <w:r>
        <w:rPr>
          <w:rFonts w:ascii="Book Antiqua" w:eastAsia="Book Antiqua" w:hAnsi="Book Antiqua" w:cs="Book Antiqua"/>
          <w:color w:val="000000"/>
          <w:szCs w:val="20"/>
        </w:rPr>
        <w:t>k</w:t>
      </w:r>
      <w:r w:rsidR="0033392C">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to significantly lower levels and continued to drop over the course of steroid therapy.</w:t>
      </w:r>
    </w:p>
    <w:p w14:paraId="769D46F0" w14:textId="040478D4" w:rsidR="00A77B3E" w:rsidRDefault="00973819" w:rsidP="0026657A">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Two disorders attacked the liver: Wilson disease and a concomitant idiopathic (non therapeutically-induced) ANA elevation. The later was shown to be responsible for fluctuating liver inflammation (ALT raise), although copper metabolism was normalized. It is unclear whether there are two separate disorders or a condition of mutual aggravation. Until today, it was unknown that elevation of ANA without hyperimmunoglobulinemia (possibl</w:t>
      </w:r>
      <w:r w:rsidR="0033392C">
        <w:rPr>
          <w:rFonts w:ascii="Book Antiqua" w:eastAsia="Book Antiqua" w:hAnsi="Book Antiqua" w:cs="Book Antiqua"/>
          <w:color w:val="000000"/>
          <w:szCs w:val="20"/>
        </w:rPr>
        <w:t>y</w:t>
      </w:r>
      <w:r>
        <w:rPr>
          <w:rFonts w:ascii="Book Antiqua" w:eastAsia="Book Antiqua" w:hAnsi="Book Antiqua" w:cs="Book Antiqua"/>
          <w:color w:val="000000"/>
          <w:szCs w:val="20"/>
        </w:rPr>
        <w:t xml:space="preserve"> not visible due to its minor extend) causes active liver disease. It has been fallen through the grid of attention because the definition criteria for autoimmune hepatitis, even atypical courses, </w:t>
      </w:r>
      <w:r w:rsidR="0033392C">
        <w:rPr>
          <w:rFonts w:ascii="Book Antiqua" w:eastAsia="Book Antiqua" w:hAnsi="Book Antiqua" w:cs="Book Antiqua"/>
          <w:color w:val="000000"/>
          <w:szCs w:val="20"/>
        </w:rPr>
        <w:t>may be</w:t>
      </w:r>
      <w:r>
        <w:rPr>
          <w:rFonts w:ascii="Book Antiqua" w:eastAsia="Book Antiqua" w:hAnsi="Book Antiqua" w:cs="Book Antiqua"/>
          <w:color w:val="000000"/>
          <w:szCs w:val="20"/>
        </w:rPr>
        <w:t xml:space="preserve"> too strict to cover all aspects of a hyperimmune triggered pathophysiology. AIH is defined by elevation of ANA or ASMA (type 1) and LKM-antibodies (type 2), elevated gamma-globulins and interface hepatitis in histology</w:t>
      </w:r>
      <w:r w:rsidR="0026657A" w:rsidRPr="00946211">
        <w:rPr>
          <w:rFonts w:ascii="Book Antiqua" w:eastAsia="Book Antiqua" w:hAnsi="Book Antiqua" w:cs="Book Antiqua"/>
          <w:color w:val="000000"/>
          <w:szCs w:val="20"/>
          <w:vertAlign w:val="superscript"/>
        </w:rPr>
        <w:t>[</w:t>
      </w:r>
      <w:r w:rsidR="0026657A">
        <w:rPr>
          <w:rFonts w:ascii="Book Antiqua" w:eastAsia="Book Antiqua" w:hAnsi="Book Antiqua" w:cs="Book Antiqua"/>
          <w:color w:val="000000"/>
          <w:szCs w:val="20"/>
          <w:vertAlign w:val="superscript"/>
        </w:rPr>
        <w:t>8</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p>
    <w:p w14:paraId="65C3F502" w14:textId="77777777" w:rsidR="0026657A" w:rsidRDefault="0026657A" w:rsidP="00A12B72">
      <w:pPr>
        <w:spacing w:line="360" w:lineRule="auto"/>
        <w:jc w:val="both"/>
      </w:pPr>
    </w:p>
    <w:p w14:paraId="0AB74BC5" w14:textId="0F542D68" w:rsidR="00A77B3E" w:rsidRDefault="00973819">
      <w:pPr>
        <w:spacing w:line="360" w:lineRule="auto"/>
        <w:jc w:val="both"/>
      </w:pPr>
      <w:r>
        <w:rPr>
          <w:rFonts w:ascii="Book Antiqua" w:eastAsia="Book Antiqua" w:hAnsi="Book Antiqua" w:cs="Book Antiqua"/>
          <w:b/>
          <w:bCs/>
          <w:i/>
          <w:iCs/>
          <w:color w:val="000000"/>
          <w:szCs w:val="20"/>
        </w:rPr>
        <w:t>Verification of ANA elevation without hyperimmunoglob</w:t>
      </w:r>
      <w:r w:rsidR="0033392C">
        <w:rPr>
          <w:rFonts w:ascii="Book Antiqua" w:eastAsia="Book Antiqua" w:hAnsi="Book Antiqua" w:cs="Book Antiqua"/>
          <w:b/>
          <w:bCs/>
          <w:i/>
          <w:iCs/>
          <w:color w:val="000000"/>
          <w:szCs w:val="20"/>
        </w:rPr>
        <w:t>u</w:t>
      </w:r>
      <w:r>
        <w:rPr>
          <w:rFonts w:ascii="Book Antiqua" w:eastAsia="Book Antiqua" w:hAnsi="Book Antiqua" w:cs="Book Antiqua"/>
          <w:b/>
          <w:bCs/>
          <w:i/>
          <w:iCs/>
          <w:color w:val="000000"/>
          <w:szCs w:val="20"/>
        </w:rPr>
        <w:t>linemia as trigger for liver inflammation</w:t>
      </w:r>
    </w:p>
    <w:p w14:paraId="34E26B4E" w14:textId="0D7A3F26" w:rsidR="00A77B3E" w:rsidRDefault="00973819">
      <w:pPr>
        <w:spacing w:line="360" w:lineRule="auto"/>
        <w:jc w:val="both"/>
      </w:pPr>
      <w:r>
        <w:rPr>
          <w:rFonts w:ascii="Book Antiqua" w:eastAsia="Book Antiqua" w:hAnsi="Book Antiqua" w:cs="Book Antiqua"/>
          <w:color w:val="000000"/>
          <w:szCs w:val="20"/>
        </w:rPr>
        <w:t>To follow the hypothesis of a hyperimmune triggered liver disease, we evaluated 26,096 blood samples of different patients where ANA, IgG, AST, and ALT were simultaneously determined, irrespective of underlying diagnoses. Of these patients 5789 (22%) showed elevated transaminases, representing the group of interest. Among them, ANA and IgG negative patients were predominant, representing metabolic, toxic or infectious diseases affecting the liver. The ANA and IgG positive pattern is a characteristic feature of autoimmune hepatitis (AIH)</w:t>
      </w:r>
      <w:r w:rsidR="0026657A" w:rsidRPr="00946211">
        <w:rPr>
          <w:rFonts w:ascii="Book Antiqua" w:eastAsia="Book Antiqua" w:hAnsi="Book Antiqua" w:cs="Book Antiqua"/>
          <w:color w:val="000000"/>
          <w:szCs w:val="20"/>
          <w:vertAlign w:val="superscript"/>
        </w:rPr>
        <w:t>[</w:t>
      </w:r>
      <w:r w:rsidR="0026657A">
        <w:rPr>
          <w:rFonts w:ascii="Book Antiqua" w:eastAsia="Book Antiqua" w:hAnsi="Book Antiqua" w:cs="Book Antiqua"/>
          <w:color w:val="000000"/>
          <w:szCs w:val="20"/>
          <w:vertAlign w:val="superscript"/>
        </w:rPr>
        <w:t>8</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In presence of cirrhosis a relative increase of IgG compared to albumin is common in absence of ANA elevation. The ANA positive but IgG negative patients resemble patients with hyperimmune-triggered liver disease as described in this report. This group accounted for 20% of the ANA positive cohort which is significantly higher as the AIH group (</w:t>
      </w:r>
      <w:r w:rsidR="0026657A" w:rsidRPr="0026657A">
        <w:rPr>
          <w:rFonts w:ascii="Book Antiqua" w:eastAsia="Book Antiqua" w:hAnsi="Book Antiqua" w:cs="Book Antiqua"/>
          <w:i/>
          <w:iCs/>
          <w:color w:val="000000"/>
          <w:szCs w:val="20"/>
        </w:rPr>
        <w:t>P</w:t>
      </w:r>
      <w:r w:rsidR="0026657A">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&lt;</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0.00001) (Figure 2).</w:t>
      </w:r>
    </w:p>
    <w:p w14:paraId="6D3B65A7" w14:textId="25D55B2A" w:rsidR="00A77B3E" w:rsidRDefault="00973819" w:rsidP="00131904">
      <w:pPr>
        <w:spacing w:line="360" w:lineRule="auto"/>
        <w:ind w:firstLineChars="100" w:firstLine="240"/>
        <w:jc w:val="both"/>
      </w:pPr>
      <w:r>
        <w:rPr>
          <w:rFonts w:ascii="Book Antiqua" w:eastAsia="Book Antiqua" w:hAnsi="Book Antiqua" w:cs="Book Antiqua"/>
          <w:color w:val="000000"/>
          <w:szCs w:val="20"/>
        </w:rPr>
        <w:t>The observation that patients with elevation of ANA or ASMA (as in type 1 AIH) but normal immunoglobulins often present with elevation of ALT as the most prominent transaminase, opens the perspective for a new disease entity. In case it can be confirmed by other studies, its immunologic and genetic background, pathogenesis and reliable diagnostic criteria have to be explored. Furthermore, as shown in this case, the efficiency of immunosuppressive therapy (</w:t>
      </w:r>
      <w:r w:rsidRPr="00131904">
        <w:rPr>
          <w:rFonts w:ascii="Book Antiqua" w:eastAsia="Book Antiqua" w:hAnsi="Book Antiqua" w:cs="Book Antiqua"/>
          <w:i/>
          <w:iCs/>
          <w:color w:val="000000"/>
          <w:szCs w:val="20"/>
        </w:rPr>
        <w:t>e.g.</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steroids, budesonide, azathioprine) has to be evaluated in regard to doses and length of treatment. Furthermore, the impact of therapy on the natural course and prognosis needs clinical trials and the evaluation of beneficial effects </w:t>
      </w:r>
      <w:r w:rsidRPr="00131904">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adverse events.</w:t>
      </w:r>
    </w:p>
    <w:p w14:paraId="1AB79B1A" w14:textId="3B224F6F" w:rsidR="00A77B3E" w:rsidRDefault="00973819" w:rsidP="00131904">
      <w:pPr>
        <w:spacing w:line="360" w:lineRule="auto"/>
        <w:ind w:firstLineChars="100" w:firstLine="240"/>
        <w:jc w:val="both"/>
      </w:pPr>
      <w:r>
        <w:rPr>
          <w:rFonts w:ascii="Book Antiqua" w:eastAsia="Book Antiqua" w:hAnsi="Book Antiqua" w:cs="Book Antiqua"/>
          <w:color w:val="000000"/>
          <w:szCs w:val="20"/>
        </w:rPr>
        <w:t xml:space="preserve">It would be a challenge if it represents a key to treat those until now not therapeutically targetable inflammatory liver diseases, </w:t>
      </w:r>
      <w:r>
        <w:rPr>
          <w:rFonts w:ascii="Book Antiqua" w:eastAsia="Book Antiqua" w:hAnsi="Book Antiqua" w:cs="Book Antiqua"/>
          <w:i/>
          <w:iCs/>
          <w:color w:val="000000"/>
          <w:szCs w:val="20"/>
        </w:rPr>
        <w:t>e.g.</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NASH. At present no medication against this progressive NASH is available. Only metabolic risk factors for NAFLD are defined and preventable.</w:t>
      </w:r>
    </w:p>
    <w:p w14:paraId="10C5E96C" w14:textId="77777777" w:rsidR="00A77B3E" w:rsidRDefault="00A77B3E">
      <w:pPr>
        <w:spacing w:line="360" w:lineRule="auto"/>
        <w:jc w:val="both"/>
      </w:pPr>
    </w:p>
    <w:p w14:paraId="139897D3" w14:textId="77777777" w:rsidR="00A77B3E" w:rsidRDefault="00973819">
      <w:pPr>
        <w:spacing w:line="360" w:lineRule="auto"/>
        <w:jc w:val="both"/>
      </w:pPr>
      <w:r>
        <w:rPr>
          <w:rFonts w:ascii="Book Antiqua" w:eastAsia="Book Antiqua" w:hAnsi="Book Antiqua" w:cs="Book Antiqua"/>
          <w:b/>
          <w:caps/>
          <w:color w:val="000000"/>
          <w:u w:val="single"/>
        </w:rPr>
        <w:t>CONCLUSION</w:t>
      </w:r>
    </w:p>
    <w:p w14:paraId="600526FB" w14:textId="27F1F111" w:rsidR="00A77B3E" w:rsidRDefault="00973819">
      <w:pPr>
        <w:spacing w:line="360" w:lineRule="auto"/>
        <w:jc w:val="both"/>
      </w:pPr>
      <w:r>
        <w:rPr>
          <w:rFonts w:ascii="Book Antiqua" w:eastAsia="Book Antiqua" w:hAnsi="Book Antiqua" w:cs="Book Antiqua"/>
          <w:color w:val="000000"/>
          <w:szCs w:val="20"/>
        </w:rPr>
        <w:t xml:space="preserve">We describe a new entity of hepatocellular injury on top of other metabolic disorders, like Wilson disease, which leads to an inflammatory phenotype with transaminase elevation, predominantly ALT: a hyperimmune state with autoantibody elevation, </w:t>
      </w:r>
      <w:r w:rsidRPr="00131904">
        <w:rPr>
          <w:rFonts w:ascii="Book Antiqua" w:eastAsia="Book Antiqua" w:hAnsi="Book Antiqua" w:cs="Book Antiqua"/>
          <w:i/>
          <w:iCs/>
          <w:color w:val="000000"/>
          <w:szCs w:val="20"/>
        </w:rPr>
        <w:t>i.e.</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ANA, without immunoglobulin elevation. It responses well to steroid therapy.</w:t>
      </w:r>
    </w:p>
    <w:p w14:paraId="40B56744" w14:textId="77777777" w:rsidR="00A77B3E" w:rsidRDefault="00973819" w:rsidP="00131904">
      <w:pPr>
        <w:spacing w:line="360" w:lineRule="auto"/>
        <w:ind w:firstLineChars="100" w:firstLine="240"/>
        <w:jc w:val="both"/>
      </w:pPr>
      <w:r>
        <w:rPr>
          <w:rFonts w:ascii="Book Antiqua" w:eastAsia="Book Antiqua" w:hAnsi="Book Antiqua" w:cs="Book Antiqua"/>
          <w:color w:val="000000"/>
          <w:szCs w:val="20"/>
        </w:rPr>
        <w:t>The cohort study of patients with simultaneous determination of transaminases, ANA and immunoglobulins revealed that those with transaminases and ANA, but no hyperimmunoglobulinemia are more frequent as expected compared to those with concomitant IgG elevation. Thus, it may be a novel entity not yet described as such. A more detailed analysis of this entity is required. However, a course of steroid therapy was shown to be effective and may be considered in these cases. This is still far from an evidence-based recommendation.</w:t>
      </w:r>
    </w:p>
    <w:p w14:paraId="0A476DC1" w14:textId="77777777" w:rsidR="00A77B3E" w:rsidRDefault="00A77B3E">
      <w:pPr>
        <w:spacing w:line="360" w:lineRule="auto"/>
        <w:jc w:val="both"/>
      </w:pPr>
    </w:p>
    <w:p w14:paraId="128193AD" w14:textId="77777777" w:rsidR="00A77B3E" w:rsidRDefault="00973819">
      <w:pPr>
        <w:spacing w:line="360" w:lineRule="auto"/>
        <w:jc w:val="both"/>
      </w:pPr>
      <w:r>
        <w:rPr>
          <w:rFonts w:ascii="Book Antiqua" w:eastAsia="Book Antiqua" w:hAnsi="Book Antiqua" w:cs="Book Antiqua"/>
          <w:b/>
          <w:color w:val="000000"/>
        </w:rPr>
        <w:t>REFERENCES</w:t>
      </w:r>
    </w:p>
    <w:p w14:paraId="100B1650" w14:textId="41DE23F4" w:rsidR="00A77B3E" w:rsidRDefault="00973819">
      <w:pPr>
        <w:spacing w:line="360" w:lineRule="auto"/>
        <w:jc w:val="both"/>
      </w:pPr>
      <w:r>
        <w:rPr>
          <w:rFonts w:ascii="Book Antiqua" w:eastAsia="Book Antiqua" w:hAnsi="Book Antiqua" w:cs="Book Antiqua"/>
          <w:color w:val="000000"/>
        </w:rPr>
        <w:t>1</w:t>
      </w:r>
      <w:r w:rsidR="00AB4355">
        <w:rPr>
          <w:rFonts w:ascii="Book Antiqua" w:eastAsia="Book Antiqua" w:hAnsi="Book Antiqua" w:cs="Book Antiqua"/>
          <w:color w:val="000000"/>
        </w:rPr>
        <w:t xml:space="preserve"> </w:t>
      </w:r>
      <w:r w:rsidR="00AB4355" w:rsidRPr="00AB4355">
        <w:rPr>
          <w:rFonts w:ascii="Book Antiqua" w:eastAsia="Book Antiqua" w:hAnsi="Book Antiqua" w:cs="Book Antiqua"/>
          <w:b/>
          <w:bCs/>
          <w:color w:val="000000"/>
        </w:rPr>
        <w:t>European Association for the Study of the Liver</w:t>
      </w:r>
      <w:r w:rsidR="00AB4355" w:rsidRPr="00AB4355">
        <w:rPr>
          <w:rFonts w:ascii="Book Antiqua" w:eastAsia="Book Antiqua" w:hAnsi="Book Antiqua" w:cs="Book Antiqua"/>
          <w:color w:val="000000"/>
        </w:rPr>
        <w:t xml:space="preserve">. EASL Clinical Practice Guidelines: Management of alcohol-related liver disease. </w:t>
      </w:r>
      <w:r w:rsidR="00AB4355" w:rsidRPr="00AB4355">
        <w:rPr>
          <w:rFonts w:ascii="Book Antiqua" w:eastAsia="Book Antiqua" w:hAnsi="Book Antiqua" w:cs="Book Antiqua"/>
          <w:i/>
          <w:iCs/>
          <w:color w:val="000000"/>
        </w:rPr>
        <w:t>J Hepatol</w:t>
      </w:r>
      <w:r w:rsidR="00AB4355" w:rsidRPr="00AB4355">
        <w:rPr>
          <w:rFonts w:ascii="Book Antiqua" w:eastAsia="Book Antiqua" w:hAnsi="Book Antiqua" w:cs="Book Antiqua"/>
          <w:color w:val="000000"/>
        </w:rPr>
        <w:t xml:space="preserve"> 2018; </w:t>
      </w:r>
      <w:r w:rsidR="00AB4355" w:rsidRPr="00AB4355">
        <w:rPr>
          <w:rFonts w:ascii="Book Antiqua" w:eastAsia="Book Antiqua" w:hAnsi="Book Antiqua" w:cs="Book Antiqua"/>
          <w:b/>
          <w:bCs/>
          <w:color w:val="000000"/>
        </w:rPr>
        <w:t>69</w:t>
      </w:r>
      <w:r w:rsidR="00AB4355" w:rsidRPr="00AB4355">
        <w:rPr>
          <w:rFonts w:ascii="Book Antiqua" w:eastAsia="Book Antiqua" w:hAnsi="Book Antiqua" w:cs="Book Antiqua"/>
          <w:color w:val="000000"/>
        </w:rPr>
        <w:t>: 154-181 [PMID: 29628280 DOI: 10.1016/j.jhep.2018.03.018]</w:t>
      </w:r>
    </w:p>
    <w:p w14:paraId="1463B2F6" w14:textId="021616FE" w:rsidR="00A77B3E" w:rsidRDefault="00973819">
      <w:pPr>
        <w:spacing w:line="360" w:lineRule="auto"/>
        <w:jc w:val="both"/>
      </w:pPr>
      <w:r>
        <w:rPr>
          <w:rFonts w:ascii="Book Antiqua" w:eastAsia="Book Antiqua" w:hAnsi="Book Antiqua" w:cs="Book Antiqua"/>
          <w:color w:val="000000"/>
        </w:rPr>
        <w:t xml:space="preserve">2 </w:t>
      </w:r>
      <w:r w:rsidR="00AB4355" w:rsidRPr="00AB4355">
        <w:rPr>
          <w:rFonts w:ascii="Book Antiqua" w:eastAsia="Book Antiqua" w:hAnsi="Book Antiqua" w:cs="Book Antiqua"/>
          <w:b/>
          <w:bCs/>
          <w:color w:val="000000"/>
        </w:rPr>
        <w:t>European Association for the Study of the Liver (EASL)</w:t>
      </w:r>
      <w:r w:rsidR="00AB4355" w:rsidRPr="00AB4355">
        <w:rPr>
          <w:rFonts w:ascii="Book Antiqua" w:eastAsia="Book Antiqua" w:hAnsi="Book Antiqua" w:cs="Book Antiqua"/>
          <w:color w:val="000000"/>
        </w:rPr>
        <w:t xml:space="preserve">; European Association for the Study of Diabetes (EASD); European Association for the Study of Obesity (EASO). EASL-EASD-EASO Clinical Practice Guidelines for the management of non-alcoholic fatty liver disease. </w:t>
      </w:r>
      <w:r w:rsidR="00AB4355" w:rsidRPr="00AB4355">
        <w:rPr>
          <w:rFonts w:ascii="Book Antiqua" w:eastAsia="Book Antiqua" w:hAnsi="Book Antiqua" w:cs="Book Antiqua"/>
          <w:i/>
          <w:iCs/>
          <w:color w:val="000000"/>
        </w:rPr>
        <w:t>J Hepatol</w:t>
      </w:r>
      <w:r w:rsidR="00AB4355" w:rsidRPr="00AB4355">
        <w:rPr>
          <w:rFonts w:ascii="Book Antiqua" w:eastAsia="Book Antiqua" w:hAnsi="Book Antiqua" w:cs="Book Antiqua"/>
          <w:color w:val="000000"/>
        </w:rPr>
        <w:t xml:space="preserve"> 2016; </w:t>
      </w:r>
      <w:r w:rsidR="00AB4355" w:rsidRPr="00AB4355">
        <w:rPr>
          <w:rFonts w:ascii="Book Antiqua" w:eastAsia="Book Antiqua" w:hAnsi="Book Antiqua" w:cs="Book Antiqua"/>
          <w:b/>
          <w:bCs/>
          <w:color w:val="000000"/>
        </w:rPr>
        <w:t>64</w:t>
      </w:r>
      <w:r w:rsidR="00AB4355" w:rsidRPr="00AB4355">
        <w:rPr>
          <w:rFonts w:ascii="Book Antiqua" w:eastAsia="Book Antiqua" w:hAnsi="Book Antiqua" w:cs="Book Antiqua"/>
          <w:color w:val="000000"/>
        </w:rPr>
        <w:t>: 1388-1402 [PMID: 27062661 DOI: 10.1016/j.jhep.2015.11.004]</w:t>
      </w:r>
    </w:p>
    <w:p w14:paraId="4FD54E2C" w14:textId="074F6BE0" w:rsidR="00A77B3E" w:rsidRDefault="0097381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Fletcher LM</w:t>
      </w:r>
      <w:r w:rsidRPr="00AB4355">
        <w:rPr>
          <w:rFonts w:ascii="Book Antiqua" w:eastAsia="Book Antiqua" w:hAnsi="Book Antiqua" w:cs="Book Antiqua"/>
          <w:color w:val="000000"/>
        </w:rPr>
        <w:t xml:space="preserve">, </w:t>
      </w:r>
      <w:r>
        <w:rPr>
          <w:rFonts w:ascii="Book Antiqua" w:eastAsia="Book Antiqua" w:hAnsi="Book Antiqua" w:cs="Book Antiqua"/>
          <w:color w:val="000000"/>
        </w:rPr>
        <w:t xml:space="preserve">Powell LW. Hemochromatosis and alcoholic liver disease. </w:t>
      </w:r>
      <w:r w:rsidRPr="00AB4355">
        <w:rPr>
          <w:rFonts w:ascii="Book Antiqua" w:eastAsia="Book Antiqua" w:hAnsi="Book Antiqua" w:cs="Book Antiqua"/>
          <w:i/>
          <w:iCs/>
          <w:color w:val="000000"/>
        </w:rPr>
        <w:t>Alcohol</w:t>
      </w:r>
      <w:r>
        <w:rPr>
          <w:rFonts w:ascii="Book Antiqua" w:eastAsia="Book Antiqua" w:hAnsi="Book Antiqua" w:cs="Book Antiqua"/>
          <w:color w:val="000000"/>
        </w:rPr>
        <w:t xml:space="preserve"> 2003;</w:t>
      </w:r>
      <w:r w:rsidR="00AB4355">
        <w:rPr>
          <w:rFonts w:ascii="Book Antiqua" w:eastAsia="Book Antiqua" w:hAnsi="Book Antiqua" w:cs="Book Antiqua"/>
          <w:color w:val="000000"/>
        </w:rPr>
        <w:t xml:space="preserve"> </w:t>
      </w:r>
      <w:r w:rsidRPr="00AB4355">
        <w:rPr>
          <w:rFonts w:ascii="Book Antiqua" w:eastAsia="Book Antiqua" w:hAnsi="Book Antiqua" w:cs="Book Antiqua"/>
          <w:b/>
          <w:bCs/>
          <w:color w:val="000000"/>
        </w:rPr>
        <w:t>30</w:t>
      </w:r>
      <w:r>
        <w:rPr>
          <w:rFonts w:ascii="Book Antiqua" w:eastAsia="Book Antiqua" w:hAnsi="Book Antiqua" w:cs="Book Antiqua"/>
          <w:color w:val="000000"/>
        </w:rPr>
        <w:t>:</w:t>
      </w:r>
      <w:r w:rsidR="00AB4355">
        <w:rPr>
          <w:rFonts w:ascii="Book Antiqua" w:eastAsia="Book Antiqua" w:hAnsi="Book Antiqua" w:cs="Book Antiqua"/>
          <w:color w:val="000000"/>
        </w:rPr>
        <w:t xml:space="preserve"> </w:t>
      </w:r>
      <w:r>
        <w:rPr>
          <w:rFonts w:ascii="Book Antiqua" w:eastAsia="Book Antiqua" w:hAnsi="Book Antiqua" w:cs="Book Antiqua"/>
          <w:color w:val="000000"/>
        </w:rPr>
        <w:t>131-136</w:t>
      </w:r>
      <w:r w:rsidR="00AB4355">
        <w:rPr>
          <w:rFonts w:ascii="Book Antiqua" w:eastAsia="Book Antiqua" w:hAnsi="Book Antiqua" w:cs="Book Antiqua"/>
          <w:color w:val="000000"/>
        </w:rPr>
        <w:t xml:space="preserve"> [</w:t>
      </w:r>
      <w:r w:rsidR="00AB4355" w:rsidRPr="00AB4355">
        <w:rPr>
          <w:rFonts w:ascii="Book Antiqua" w:eastAsia="Book Antiqua" w:hAnsi="Book Antiqua" w:cs="Book Antiqua"/>
          <w:color w:val="000000"/>
        </w:rPr>
        <w:t>PMID: 12957297 DOI: 10.1016/s0741-8329(03)00128-9</w:t>
      </w:r>
      <w:r w:rsidR="00AB4355">
        <w:rPr>
          <w:rFonts w:ascii="Book Antiqua" w:eastAsia="Book Antiqua" w:hAnsi="Book Antiqua" w:cs="Book Antiqua"/>
          <w:color w:val="000000"/>
        </w:rPr>
        <w:t>]</w:t>
      </w:r>
    </w:p>
    <w:p w14:paraId="4524E0C6" w14:textId="5AC1ED94" w:rsidR="00A77B3E" w:rsidRPr="0018618B" w:rsidRDefault="00973819">
      <w:pPr>
        <w:spacing w:line="360" w:lineRule="auto"/>
        <w:jc w:val="both"/>
        <w:rPr>
          <w:rFonts w:ascii="Book Antiqua" w:hAnsi="Book Antiqua"/>
        </w:rPr>
      </w:pPr>
      <w:r w:rsidRPr="009F7659">
        <w:rPr>
          <w:rFonts w:ascii="Book Antiqua" w:eastAsia="Book Antiqua" w:hAnsi="Book Antiqua" w:cs="Book Antiqua"/>
          <w:color w:val="000000"/>
        </w:rPr>
        <w:t xml:space="preserve">4 </w:t>
      </w:r>
      <w:r w:rsidRPr="009F7659">
        <w:rPr>
          <w:rFonts w:ascii="Book Antiqua" w:eastAsia="Book Antiqua" w:hAnsi="Book Antiqua" w:cs="Book Antiqua"/>
          <w:b/>
          <w:bCs/>
          <w:color w:val="000000"/>
        </w:rPr>
        <w:t>Stremmel W</w:t>
      </w:r>
      <w:r w:rsidRPr="009F7659">
        <w:rPr>
          <w:rFonts w:ascii="Book Antiqua" w:eastAsia="Book Antiqua" w:hAnsi="Book Antiqua" w:cs="Book Antiqua"/>
          <w:color w:val="000000"/>
        </w:rPr>
        <w:t xml:space="preserve">, Weiskirchen R. Therapeutic strategies in Wilson disease: pathophysiology and mode of action. </w:t>
      </w:r>
      <w:r w:rsidRPr="009F7659">
        <w:rPr>
          <w:rFonts w:ascii="Book Antiqua" w:eastAsia="Book Antiqua" w:hAnsi="Book Antiqua" w:cs="Book Antiqua"/>
          <w:i/>
          <w:iCs/>
          <w:color w:val="000000"/>
        </w:rPr>
        <w:t>Annals Trans Med</w:t>
      </w:r>
      <w:r w:rsidR="009F7659">
        <w:rPr>
          <w:rFonts w:ascii="Book Antiqua" w:eastAsia="Book Antiqua" w:hAnsi="Book Antiqua" w:cs="Book Antiqua"/>
          <w:color w:val="000000"/>
        </w:rPr>
        <w:t xml:space="preserve"> 2020</w:t>
      </w:r>
    </w:p>
    <w:p w14:paraId="32CFF043" w14:textId="5FC34B08" w:rsidR="00A77B3E" w:rsidRDefault="0097381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Medici V</w:t>
      </w:r>
      <w:r w:rsidRPr="00AB4355">
        <w:rPr>
          <w:rFonts w:ascii="Book Antiqua" w:eastAsia="Book Antiqua" w:hAnsi="Book Antiqua" w:cs="Book Antiqua"/>
          <w:color w:val="000000"/>
        </w:rPr>
        <w:t xml:space="preserve">, </w:t>
      </w:r>
      <w:r>
        <w:rPr>
          <w:rFonts w:ascii="Book Antiqua" w:eastAsia="Book Antiqua" w:hAnsi="Book Antiqua" w:cs="Book Antiqua"/>
          <w:color w:val="000000"/>
        </w:rPr>
        <w:t xml:space="preserve">LaSalle JM. Genetics and epigenetic factors of Wilson disease. </w:t>
      </w:r>
      <w:r w:rsidRPr="00AB4355">
        <w:rPr>
          <w:rFonts w:ascii="Book Antiqua" w:eastAsia="Book Antiqua" w:hAnsi="Book Antiqua" w:cs="Book Antiqua"/>
          <w:i/>
          <w:iCs/>
          <w:color w:val="000000"/>
        </w:rPr>
        <w:t>Ann Transl Med</w:t>
      </w:r>
      <w:r w:rsidR="00AB4355">
        <w:rPr>
          <w:rFonts w:ascii="Book Antiqua" w:eastAsia="Book Antiqua" w:hAnsi="Book Antiqua" w:cs="Book Antiqua"/>
          <w:color w:val="000000"/>
        </w:rPr>
        <w:t xml:space="preserve"> </w:t>
      </w:r>
      <w:r>
        <w:rPr>
          <w:rFonts w:ascii="Book Antiqua" w:eastAsia="Book Antiqua" w:hAnsi="Book Antiqua" w:cs="Book Antiqua"/>
          <w:color w:val="000000"/>
        </w:rPr>
        <w:t>2019;</w:t>
      </w:r>
      <w:r w:rsidR="00AB4355" w:rsidRPr="00AB4355">
        <w:rPr>
          <w:rFonts w:ascii="Book Antiqua" w:eastAsia="Book Antiqua" w:hAnsi="Book Antiqua" w:cs="Book Antiqua"/>
          <w:b/>
          <w:bCs/>
          <w:color w:val="000000"/>
        </w:rPr>
        <w:t xml:space="preserve"> </w:t>
      </w:r>
      <w:r w:rsidRPr="00AB4355">
        <w:rPr>
          <w:rFonts w:ascii="Book Antiqua" w:eastAsia="Book Antiqua" w:hAnsi="Book Antiqua" w:cs="Book Antiqua"/>
          <w:b/>
          <w:bCs/>
          <w:color w:val="000000"/>
        </w:rPr>
        <w:t>7</w:t>
      </w:r>
      <w:r>
        <w:rPr>
          <w:rFonts w:ascii="Book Antiqua" w:eastAsia="Book Antiqua" w:hAnsi="Book Antiqua" w:cs="Book Antiqua"/>
          <w:color w:val="000000"/>
        </w:rPr>
        <w:t>:</w:t>
      </w:r>
      <w:r w:rsidR="00AB4355">
        <w:rPr>
          <w:rFonts w:ascii="Book Antiqua" w:eastAsia="Book Antiqua" w:hAnsi="Book Antiqua" w:cs="Book Antiqua"/>
          <w:color w:val="000000"/>
        </w:rPr>
        <w:t xml:space="preserve"> </w:t>
      </w:r>
      <w:r>
        <w:rPr>
          <w:rFonts w:ascii="Book Antiqua" w:eastAsia="Book Antiqua" w:hAnsi="Book Antiqua" w:cs="Book Antiqua"/>
          <w:color w:val="000000"/>
        </w:rPr>
        <w:t>S58</w:t>
      </w:r>
      <w:r w:rsidR="00AB4355">
        <w:rPr>
          <w:rFonts w:ascii="Book Antiqua" w:eastAsia="Book Antiqua" w:hAnsi="Book Antiqua" w:cs="Book Antiqua"/>
          <w:color w:val="000000"/>
        </w:rPr>
        <w:t xml:space="preserve"> [</w:t>
      </w:r>
      <w:r w:rsidR="00AB4355" w:rsidRPr="00AB4355">
        <w:rPr>
          <w:rFonts w:ascii="Book Antiqua" w:eastAsia="Book Antiqua" w:hAnsi="Book Antiqua" w:cs="Book Antiqua"/>
          <w:color w:val="000000"/>
        </w:rPr>
        <w:t>PMID: 31179295</w:t>
      </w:r>
      <w:r w:rsidR="00AB4355">
        <w:rPr>
          <w:rFonts w:ascii="Book Antiqua" w:eastAsia="Book Antiqua" w:hAnsi="Book Antiqua" w:cs="Book Antiqua"/>
          <w:color w:val="000000"/>
        </w:rPr>
        <w:t xml:space="preserve"> DOI</w:t>
      </w:r>
      <w:r>
        <w:rPr>
          <w:rFonts w:ascii="Book Antiqua" w:eastAsia="Book Antiqua" w:hAnsi="Book Antiqua" w:cs="Book Antiqua"/>
          <w:color w:val="000000"/>
        </w:rPr>
        <w:t>:</w:t>
      </w:r>
      <w:r w:rsidR="00AB4355">
        <w:rPr>
          <w:rFonts w:ascii="Book Antiqua" w:eastAsia="Book Antiqua" w:hAnsi="Book Antiqua" w:cs="Book Antiqua"/>
          <w:color w:val="000000"/>
        </w:rPr>
        <w:t xml:space="preserve"> </w:t>
      </w:r>
      <w:r>
        <w:rPr>
          <w:rFonts w:ascii="Book Antiqua" w:eastAsia="Book Antiqua" w:hAnsi="Book Antiqua" w:cs="Book Antiqua"/>
          <w:color w:val="000000"/>
        </w:rPr>
        <w:t>10.21037/atm.2019.01.67</w:t>
      </w:r>
      <w:r w:rsidR="00AB4355">
        <w:rPr>
          <w:rFonts w:ascii="Book Antiqua" w:eastAsia="Book Antiqua" w:hAnsi="Book Antiqua" w:cs="Book Antiqua"/>
          <w:color w:val="000000"/>
        </w:rPr>
        <w:t>]</w:t>
      </w:r>
    </w:p>
    <w:p w14:paraId="6E40F621" w14:textId="1BB45CB4" w:rsidR="00A77B3E" w:rsidRDefault="00973819">
      <w:pPr>
        <w:spacing w:line="360" w:lineRule="auto"/>
        <w:jc w:val="both"/>
      </w:pPr>
      <w:r>
        <w:rPr>
          <w:rFonts w:ascii="Book Antiqua" w:eastAsia="Book Antiqua" w:hAnsi="Book Antiqua" w:cs="Book Antiqua"/>
          <w:color w:val="000000"/>
        </w:rPr>
        <w:t xml:space="preserve">6 </w:t>
      </w:r>
      <w:r w:rsidR="00C8447C" w:rsidRPr="00C8447C">
        <w:rPr>
          <w:rFonts w:ascii="Book Antiqua" w:eastAsia="Book Antiqua" w:hAnsi="Book Antiqua" w:cs="Book Antiqua"/>
          <w:b/>
          <w:bCs/>
          <w:color w:val="000000"/>
        </w:rPr>
        <w:t>European Association for Study of Liver</w:t>
      </w:r>
      <w:r w:rsidR="00C8447C" w:rsidRPr="00C8447C">
        <w:rPr>
          <w:rFonts w:ascii="Book Antiqua" w:eastAsia="Book Antiqua" w:hAnsi="Book Antiqua" w:cs="Book Antiqua"/>
          <w:color w:val="000000"/>
        </w:rPr>
        <w:t xml:space="preserve">. EASL Clinical Practice Guidelines: Wilson's disease. </w:t>
      </w:r>
      <w:r w:rsidR="00C8447C" w:rsidRPr="00C8447C">
        <w:rPr>
          <w:rFonts w:ascii="Book Antiqua" w:eastAsia="Book Antiqua" w:hAnsi="Book Antiqua" w:cs="Book Antiqua"/>
          <w:i/>
          <w:iCs/>
          <w:color w:val="000000"/>
        </w:rPr>
        <w:t>J Hepatol</w:t>
      </w:r>
      <w:r w:rsidR="00C8447C" w:rsidRPr="00C8447C">
        <w:rPr>
          <w:rFonts w:ascii="Book Antiqua" w:eastAsia="Book Antiqua" w:hAnsi="Book Antiqua" w:cs="Book Antiqua"/>
          <w:color w:val="000000"/>
        </w:rPr>
        <w:t xml:space="preserve"> 2012; </w:t>
      </w:r>
      <w:r w:rsidR="00C8447C" w:rsidRPr="00C8447C">
        <w:rPr>
          <w:rFonts w:ascii="Book Antiqua" w:eastAsia="Book Antiqua" w:hAnsi="Book Antiqua" w:cs="Book Antiqua"/>
          <w:b/>
          <w:bCs/>
          <w:color w:val="000000"/>
        </w:rPr>
        <w:t>56</w:t>
      </w:r>
      <w:r w:rsidR="00C8447C" w:rsidRPr="00C8447C">
        <w:rPr>
          <w:rFonts w:ascii="Book Antiqua" w:eastAsia="Book Antiqua" w:hAnsi="Book Antiqua" w:cs="Book Antiqua"/>
          <w:color w:val="000000"/>
        </w:rPr>
        <w:t>: 671-685 [PMID: 22340672 DOI: 10.1016/j.jhep.2011.11.007]</w:t>
      </w:r>
    </w:p>
    <w:p w14:paraId="4D2F4E3E" w14:textId="1E3C7ACA" w:rsidR="00A77B3E" w:rsidRDefault="00973819">
      <w:pPr>
        <w:spacing w:line="360" w:lineRule="auto"/>
        <w:jc w:val="both"/>
      </w:pPr>
      <w:r>
        <w:rPr>
          <w:rFonts w:ascii="Book Antiqua" w:eastAsia="Book Antiqua" w:hAnsi="Book Antiqua" w:cs="Book Antiqua"/>
          <w:color w:val="000000"/>
        </w:rPr>
        <w:t xml:space="preserve">7 </w:t>
      </w:r>
      <w:r w:rsidR="00C8447C" w:rsidRPr="00C8447C">
        <w:rPr>
          <w:rFonts w:ascii="Book Antiqua" w:eastAsia="Book Antiqua" w:hAnsi="Book Antiqua" w:cs="Book Antiqua"/>
          <w:b/>
          <w:bCs/>
          <w:color w:val="000000"/>
        </w:rPr>
        <w:t>Roberts EA</w:t>
      </w:r>
      <w:r w:rsidR="00C8447C" w:rsidRPr="00C8447C">
        <w:rPr>
          <w:rFonts w:ascii="Book Antiqua" w:eastAsia="Book Antiqua" w:hAnsi="Book Antiqua" w:cs="Book Antiqua"/>
          <w:color w:val="000000"/>
        </w:rPr>
        <w:t xml:space="preserve">, Schilsky ML; American Association for Study of Liver Diseases (AASLD). Diagnosis and treatment of Wilson disease: an update. </w:t>
      </w:r>
      <w:r w:rsidR="00C8447C" w:rsidRPr="00C8447C">
        <w:rPr>
          <w:rFonts w:ascii="Book Antiqua" w:eastAsia="Book Antiqua" w:hAnsi="Book Antiqua" w:cs="Book Antiqua"/>
          <w:i/>
          <w:iCs/>
          <w:color w:val="000000"/>
        </w:rPr>
        <w:t>Hepatology</w:t>
      </w:r>
      <w:r w:rsidR="00C8447C" w:rsidRPr="00C8447C">
        <w:rPr>
          <w:rFonts w:ascii="Book Antiqua" w:eastAsia="Book Antiqua" w:hAnsi="Book Antiqua" w:cs="Book Antiqua"/>
          <w:color w:val="000000"/>
        </w:rPr>
        <w:t xml:space="preserve"> 2008; </w:t>
      </w:r>
      <w:r w:rsidR="00C8447C" w:rsidRPr="00C8447C">
        <w:rPr>
          <w:rFonts w:ascii="Book Antiqua" w:eastAsia="Book Antiqua" w:hAnsi="Book Antiqua" w:cs="Book Antiqua"/>
          <w:b/>
          <w:bCs/>
          <w:color w:val="000000"/>
        </w:rPr>
        <w:t>47</w:t>
      </w:r>
      <w:r w:rsidR="00C8447C" w:rsidRPr="00C8447C">
        <w:rPr>
          <w:rFonts w:ascii="Book Antiqua" w:eastAsia="Book Antiqua" w:hAnsi="Book Antiqua" w:cs="Book Antiqua"/>
          <w:color w:val="000000"/>
        </w:rPr>
        <w:t>: 2089-2111 [PMID: 18506894 DOI: 10.1002/hep.22261]</w:t>
      </w:r>
    </w:p>
    <w:p w14:paraId="2AD97CE9" w14:textId="71551305" w:rsidR="00A77B3E" w:rsidRDefault="00973819">
      <w:pPr>
        <w:spacing w:line="360" w:lineRule="auto"/>
        <w:jc w:val="both"/>
      </w:pPr>
      <w:r>
        <w:rPr>
          <w:rFonts w:ascii="Book Antiqua" w:eastAsia="Book Antiqua" w:hAnsi="Book Antiqua" w:cs="Book Antiqua"/>
          <w:color w:val="000000"/>
        </w:rPr>
        <w:t xml:space="preserve">8 </w:t>
      </w:r>
      <w:r w:rsidR="00C8447C" w:rsidRPr="00C8447C">
        <w:rPr>
          <w:rFonts w:ascii="Book Antiqua" w:eastAsia="Book Antiqua" w:hAnsi="Book Antiqua" w:cs="Book Antiqua"/>
          <w:b/>
          <w:bCs/>
          <w:color w:val="000000"/>
        </w:rPr>
        <w:t>European Association for the Study of the Liver</w:t>
      </w:r>
      <w:r w:rsidR="00C8447C" w:rsidRPr="00C8447C">
        <w:rPr>
          <w:rFonts w:ascii="Book Antiqua" w:eastAsia="Book Antiqua" w:hAnsi="Book Antiqua" w:cs="Book Antiqua"/>
          <w:color w:val="000000"/>
        </w:rPr>
        <w:t xml:space="preserve">. EASL Clinical Practice Guidelines: Autoimmune hepatitis. </w:t>
      </w:r>
      <w:r w:rsidR="00C8447C" w:rsidRPr="00EF4C1F">
        <w:rPr>
          <w:rFonts w:ascii="Book Antiqua" w:eastAsia="Book Antiqua" w:hAnsi="Book Antiqua" w:cs="Book Antiqua"/>
          <w:i/>
          <w:color w:val="000000"/>
        </w:rPr>
        <w:t>J Hepatol</w:t>
      </w:r>
      <w:r w:rsidR="00C8447C" w:rsidRPr="00C8447C">
        <w:rPr>
          <w:rFonts w:ascii="Book Antiqua" w:eastAsia="Book Antiqua" w:hAnsi="Book Antiqua" w:cs="Book Antiqua"/>
          <w:color w:val="000000"/>
        </w:rPr>
        <w:t xml:space="preserve"> 2015; </w:t>
      </w:r>
      <w:r w:rsidR="00C8447C" w:rsidRPr="00EF4C1F">
        <w:rPr>
          <w:rFonts w:ascii="Book Antiqua" w:eastAsia="Book Antiqua" w:hAnsi="Book Antiqua" w:cs="Book Antiqua"/>
          <w:b/>
          <w:color w:val="000000"/>
        </w:rPr>
        <w:t>63</w:t>
      </w:r>
      <w:r w:rsidR="00C8447C" w:rsidRPr="00C8447C">
        <w:rPr>
          <w:rFonts w:ascii="Book Antiqua" w:eastAsia="Book Antiqua" w:hAnsi="Book Antiqua" w:cs="Book Antiqua"/>
          <w:color w:val="000000"/>
        </w:rPr>
        <w:t>: 971-1004 [PMID: 26341719 DOI: 10.1016/j.jhep.2015.06.030]</w:t>
      </w:r>
    </w:p>
    <w:p w14:paraId="7499CF0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BA9592D" w14:textId="77777777" w:rsidR="00A77B3E" w:rsidRDefault="00973819">
      <w:pPr>
        <w:spacing w:line="360" w:lineRule="auto"/>
        <w:jc w:val="both"/>
      </w:pPr>
      <w:r>
        <w:rPr>
          <w:rFonts w:ascii="Book Antiqua" w:eastAsia="Book Antiqua" w:hAnsi="Book Antiqua" w:cs="Book Antiqua"/>
          <w:b/>
          <w:color w:val="000000"/>
        </w:rPr>
        <w:t>Footnotes</w:t>
      </w:r>
    </w:p>
    <w:p w14:paraId="3ACEEE63" w14:textId="77777777" w:rsidR="00A77B3E" w:rsidRDefault="0097381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given from the patient and her family.</w:t>
      </w:r>
    </w:p>
    <w:p w14:paraId="2F9C1A0B" w14:textId="77777777" w:rsidR="00A77B3E" w:rsidRDefault="00A77B3E">
      <w:pPr>
        <w:spacing w:line="360" w:lineRule="auto"/>
        <w:jc w:val="both"/>
      </w:pPr>
    </w:p>
    <w:p w14:paraId="129FD5D1" w14:textId="77777777" w:rsidR="00A77B3E" w:rsidRDefault="0097381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nothing to declare.</w:t>
      </w:r>
    </w:p>
    <w:p w14:paraId="18DA60C9" w14:textId="77777777" w:rsidR="00A77B3E" w:rsidRDefault="00A77B3E">
      <w:pPr>
        <w:spacing w:line="360" w:lineRule="auto"/>
        <w:jc w:val="both"/>
      </w:pPr>
    </w:p>
    <w:p w14:paraId="0CBFB8CB" w14:textId="77777777" w:rsidR="00A77B3E" w:rsidRDefault="0097381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220F8F2" w14:textId="77777777" w:rsidR="00A77B3E" w:rsidRDefault="00A77B3E">
      <w:pPr>
        <w:spacing w:line="360" w:lineRule="auto"/>
        <w:jc w:val="both"/>
      </w:pPr>
    </w:p>
    <w:p w14:paraId="35FB3468" w14:textId="77777777" w:rsidR="00A77B3E" w:rsidRDefault="0097381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16411E" w14:textId="77777777" w:rsidR="00A77B3E" w:rsidRDefault="00A77B3E">
      <w:pPr>
        <w:spacing w:line="360" w:lineRule="auto"/>
        <w:jc w:val="both"/>
      </w:pPr>
    </w:p>
    <w:p w14:paraId="4DCCCC60" w14:textId="3B035AF8" w:rsidR="00A77B3E" w:rsidRDefault="0097381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472048">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28AD5D91" w14:textId="77777777" w:rsidR="00587E75" w:rsidRDefault="00587E75">
      <w:pPr>
        <w:spacing w:line="360" w:lineRule="auto"/>
        <w:jc w:val="both"/>
        <w:rPr>
          <w:rFonts w:ascii="Book Antiqua" w:eastAsia="Book Antiqua" w:hAnsi="Book Antiqua" w:cs="Book Antiqua"/>
          <w:color w:val="000000"/>
        </w:rPr>
      </w:pPr>
    </w:p>
    <w:p w14:paraId="0AC5B856" w14:textId="6C3B4445" w:rsidR="004F4BDC" w:rsidRDefault="004F4BDC">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German Society for Gastroenterology, Digestive and Metabolic Diseases.</w:t>
      </w:r>
    </w:p>
    <w:p w14:paraId="44C96CB9" w14:textId="77777777" w:rsidR="00A77B3E" w:rsidRDefault="00A77B3E">
      <w:pPr>
        <w:spacing w:line="360" w:lineRule="auto"/>
        <w:jc w:val="both"/>
      </w:pPr>
    </w:p>
    <w:p w14:paraId="7E5CBF15" w14:textId="77777777" w:rsidR="00A77B3E" w:rsidRDefault="0097381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24, 2020</w:t>
      </w:r>
    </w:p>
    <w:p w14:paraId="471B8C94" w14:textId="77777777" w:rsidR="00A77B3E" w:rsidRDefault="0097381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4, 2020</w:t>
      </w:r>
    </w:p>
    <w:p w14:paraId="06ECDEAA" w14:textId="69691611" w:rsidR="00A77B3E" w:rsidRDefault="00973819">
      <w:pPr>
        <w:spacing w:line="360" w:lineRule="auto"/>
        <w:jc w:val="both"/>
      </w:pPr>
      <w:r>
        <w:rPr>
          <w:rFonts w:ascii="Book Antiqua" w:eastAsia="Book Antiqua" w:hAnsi="Book Antiqua" w:cs="Book Antiqua"/>
          <w:b/>
          <w:color w:val="000000"/>
        </w:rPr>
        <w:t xml:space="preserve">Article in press: </w:t>
      </w:r>
      <w:r w:rsidR="00596E0F" w:rsidRPr="00054745">
        <w:rPr>
          <w:rFonts w:ascii="Book Antiqua" w:eastAsia="Book Antiqua" w:hAnsi="Book Antiqua" w:cs="Book Antiqua"/>
          <w:color w:val="000000"/>
        </w:rPr>
        <w:t>December 23, 2020</w:t>
      </w:r>
    </w:p>
    <w:p w14:paraId="4826CB84" w14:textId="77777777" w:rsidR="00A77B3E" w:rsidRDefault="00A77B3E">
      <w:pPr>
        <w:spacing w:line="360" w:lineRule="auto"/>
        <w:jc w:val="both"/>
      </w:pPr>
    </w:p>
    <w:p w14:paraId="135A63CB" w14:textId="46DD4A77" w:rsidR="00A77B3E" w:rsidRDefault="00973819">
      <w:pPr>
        <w:spacing w:line="360" w:lineRule="auto"/>
        <w:jc w:val="both"/>
      </w:pPr>
      <w:r>
        <w:rPr>
          <w:rFonts w:ascii="Book Antiqua" w:eastAsia="Book Antiqua" w:hAnsi="Book Antiqua" w:cs="Book Antiqua"/>
          <w:b/>
          <w:color w:val="000000"/>
        </w:rPr>
        <w:t xml:space="preserve">Specialty type: </w:t>
      </w:r>
      <w:r w:rsidR="00472048" w:rsidRPr="00E700C2">
        <w:rPr>
          <w:rFonts w:ascii="Book Antiqua" w:eastAsia="微软雅黑" w:hAnsi="Book Antiqua" w:cs="宋体"/>
        </w:rPr>
        <w:t>Medicine, research and experimental</w:t>
      </w:r>
    </w:p>
    <w:p w14:paraId="0DB31840" w14:textId="77777777" w:rsidR="00A77B3E" w:rsidRDefault="0097381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2AB5F6E4" w14:textId="77777777" w:rsidR="00A77B3E" w:rsidRDefault="00973819">
      <w:pPr>
        <w:spacing w:line="360" w:lineRule="auto"/>
        <w:jc w:val="both"/>
      </w:pPr>
      <w:r>
        <w:rPr>
          <w:rFonts w:ascii="Book Antiqua" w:eastAsia="Book Antiqua" w:hAnsi="Book Antiqua" w:cs="Book Antiqua"/>
          <w:b/>
          <w:color w:val="000000"/>
        </w:rPr>
        <w:t>Peer-review report’s scientific quality classification</w:t>
      </w:r>
    </w:p>
    <w:p w14:paraId="21CD3FAE" w14:textId="77777777" w:rsidR="00A77B3E" w:rsidRDefault="00973819">
      <w:pPr>
        <w:spacing w:line="360" w:lineRule="auto"/>
        <w:jc w:val="both"/>
      </w:pPr>
      <w:r>
        <w:rPr>
          <w:rFonts w:ascii="Book Antiqua" w:eastAsia="Book Antiqua" w:hAnsi="Book Antiqua" w:cs="Book Antiqua"/>
          <w:color w:val="000000"/>
        </w:rPr>
        <w:t>Grade A (Excellent): 0</w:t>
      </w:r>
    </w:p>
    <w:p w14:paraId="5A10A830" w14:textId="0E2DC37F" w:rsidR="00A77B3E" w:rsidRDefault="00973819">
      <w:pPr>
        <w:spacing w:line="360" w:lineRule="auto"/>
        <w:jc w:val="both"/>
      </w:pPr>
      <w:r>
        <w:rPr>
          <w:rFonts w:ascii="Book Antiqua" w:eastAsia="Book Antiqua" w:hAnsi="Book Antiqua" w:cs="Book Antiqua"/>
          <w:color w:val="000000"/>
        </w:rPr>
        <w:t>Grade B (Very good): B</w:t>
      </w:r>
      <w:r w:rsidR="00472048">
        <w:rPr>
          <w:rFonts w:ascii="Book Antiqua" w:eastAsia="Book Antiqua" w:hAnsi="Book Antiqua" w:cs="Book Antiqua"/>
          <w:color w:val="000000"/>
        </w:rPr>
        <w:t>, B</w:t>
      </w:r>
    </w:p>
    <w:p w14:paraId="4C111932" w14:textId="77777777" w:rsidR="00A77B3E" w:rsidRDefault="00973819">
      <w:pPr>
        <w:spacing w:line="360" w:lineRule="auto"/>
        <w:jc w:val="both"/>
      </w:pPr>
      <w:r>
        <w:rPr>
          <w:rFonts w:ascii="Book Antiqua" w:eastAsia="Book Antiqua" w:hAnsi="Book Antiqua" w:cs="Book Antiqua"/>
          <w:color w:val="000000"/>
        </w:rPr>
        <w:t>Grade C (Good): 0</w:t>
      </w:r>
    </w:p>
    <w:p w14:paraId="4700723F" w14:textId="77777777" w:rsidR="00A77B3E" w:rsidRDefault="00973819">
      <w:pPr>
        <w:spacing w:line="360" w:lineRule="auto"/>
        <w:jc w:val="both"/>
      </w:pPr>
      <w:r>
        <w:rPr>
          <w:rFonts w:ascii="Book Antiqua" w:eastAsia="Book Antiqua" w:hAnsi="Book Antiqua" w:cs="Book Antiqua"/>
          <w:color w:val="000000"/>
        </w:rPr>
        <w:t>Grade D (Fair): 0</w:t>
      </w:r>
    </w:p>
    <w:p w14:paraId="772BC7FB" w14:textId="77777777" w:rsidR="00A77B3E" w:rsidRDefault="00973819">
      <w:pPr>
        <w:spacing w:line="360" w:lineRule="auto"/>
        <w:jc w:val="both"/>
      </w:pPr>
      <w:r>
        <w:rPr>
          <w:rFonts w:ascii="Book Antiqua" w:eastAsia="Book Antiqua" w:hAnsi="Book Antiqua" w:cs="Book Antiqua"/>
          <w:color w:val="000000"/>
        </w:rPr>
        <w:t>Grade E (Poor): 0</w:t>
      </w:r>
    </w:p>
    <w:p w14:paraId="65A3D401" w14:textId="77777777" w:rsidR="00A77B3E" w:rsidRDefault="00A77B3E">
      <w:pPr>
        <w:spacing w:line="360" w:lineRule="auto"/>
        <w:jc w:val="both"/>
      </w:pPr>
    </w:p>
    <w:p w14:paraId="590912E3" w14:textId="56467609" w:rsidR="00A77B3E" w:rsidRPr="00596E0F" w:rsidRDefault="0097381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Quarleri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96E0F" w:rsidRPr="00596E0F">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596E0F" w:rsidRPr="00596E0F">
        <w:rPr>
          <w:rFonts w:ascii="Book Antiqua" w:hAnsi="Book Antiqua" w:cs="Book Antiqua" w:hint="eastAsia"/>
          <w:color w:val="000000"/>
          <w:lang w:eastAsia="zh-CN"/>
        </w:rPr>
        <w:t>Liu JH</w:t>
      </w:r>
    </w:p>
    <w:p w14:paraId="7F8085E1" w14:textId="77777777" w:rsidR="00596E0F" w:rsidRPr="00596E0F" w:rsidRDefault="00596E0F">
      <w:pPr>
        <w:spacing w:line="360" w:lineRule="auto"/>
        <w:jc w:val="both"/>
        <w:rPr>
          <w:rFonts w:ascii="Book Antiqua" w:hAnsi="Book Antiqua" w:cs="Book Antiqua"/>
          <w:b/>
          <w:color w:val="000000"/>
          <w:lang w:eastAsia="zh-CN"/>
        </w:rPr>
      </w:pPr>
    </w:p>
    <w:p w14:paraId="41079B4E" w14:textId="77777777" w:rsidR="004437FE" w:rsidRDefault="004437FE">
      <w:pPr>
        <w:spacing w:line="360" w:lineRule="auto"/>
        <w:jc w:val="both"/>
        <w:sectPr w:rsidR="004437FE">
          <w:pgSz w:w="12240" w:h="15840"/>
          <w:pgMar w:top="1440" w:right="1440" w:bottom="1440" w:left="1440" w:header="720" w:footer="720" w:gutter="0"/>
          <w:cols w:space="720"/>
          <w:docGrid w:linePitch="360"/>
        </w:sectPr>
      </w:pPr>
    </w:p>
    <w:p w14:paraId="4C267737" w14:textId="621BC4B3" w:rsidR="00A77B3E" w:rsidRDefault="0097381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E55EAFB" w14:textId="273806FF" w:rsidR="00256BA1" w:rsidRDefault="00AF4071">
      <w:pPr>
        <w:spacing w:line="360" w:lineRule="auto"/>
        <w:jc w:val="both"/>
      </w:pPr>
      <w:r>
        <w:rPr>
          <w:noProof/>
          <w:lang w:eastAsia="zh-CN"/>
        </w:rPr>
        <w:drawing>
          <wp:inline distT="0" distB="0" distL="0" distR="0" wp14:anchorId="2B7135EF" wp14:editId="27568456">
            <wp:extent cx="5943600" cy="4519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19930"/>
                    </a:xfrm>
                    <a:prstGeom prst="rect">
                      <a:avLst/>
                    </a:prstGeom>
                  </pic:spPr>
                </pic:pic>
              </a:graphicData>
            </a:graphic>
          </wp:inline>
        </w:drawing>
      </w:r>
    </w:p>
    <w:p w14:paraId="7AB85045" w14:textId="5F6E4C66" w:rsidR="00F23AA2" w:rsidRDefault="00973819">
      <w:pPr>
        <w:spacing w:line="360" w:lineRule="auto"/>
        <w:ind w:firstLine="5"/>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1</w:t>
      </w:r>
      <w:r w:rsidR="00256BA1">
        <w:rPr>
          <w:rFonts w:ascii="Book Antiqua" w:eastAsia="Book Antiqua" w:hAnsi="Book Antiqua" w:cs="Book Antiqua"/>
          <w:b/>
          <w:bCs/>
          <w:color w:val="000000"/>
          <w:szCs w:val="20"/>
        </w:rPr>
        <w:t xml:space="preserve"> </w:t>
      </w:r>
      <w:r w:rsidR="00256BA1" w:rsidRPr="00256BA1">
        <w:rPr>
          <w:rFonts w:ascii="Book Antiqua" w:eastAsia="Book Antiqua" w:hAnsi="Book Antiqua" w:cs="Book Antiqua"/>
          <w:b/>
          <w:bCs/>
          <w:color w:val="000000"/>
          <w:szCs w:val="20"/>
        </w:rPr>
        <w:t>The liver biopsy</w:t>
      </w:r>
      <w:r w:rsidR="00256BA1">
        <w:rPr>
          <w:rFonts w:ascii="Book Antiqua" w:eastAsia="Book Antiqua" w:hAnsi="Book Antiqua" w:cs="Book Antiqua"/>
          <w:b/>
          <w:bCs/>
          <w:color w:val="000000"/>
          <w:szCs w:val="20"/>
        </w:rPr>
        <w:t xml:space="preserve"> images</w:t>
      </w:r>
      <w:r>
        <w:rPr>
          <w:rFonts w:ascii="Book Antiqua" w:eastAsia="Book Antiqua" w:hAnsi="Book Antiqua" w:cs="Book Antiqua"/>
          <w:b/>
          <w:bCs/>
          <w:color w:val="000000"/>
          <w:szCs w:val="20"/>
        </w:rPr>
        <w:t xml:space="preserve">. </w:t>
      </w:r>
      <w:r w:rsidR="00256BA1">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Liver biopsy revealing mild microvesicular steatosis as several single as well as grouped ballooned hepatocytes (arrows, </w:t>
      </w:r>
      <w:r w:rsidR="00256BA1" w:rsidRPr="00256BA1">
        <w:rPr>
          <w:rFonts w:ascii="Book Antiqua" w:eastAsia="Book Antiqua" w:hAnsi="Book Antiqua" w:cs="Book Antiqua"/>
          <w:color w:val="000000"/>
          <w:szCs w:val="20"/>
        </w:rPr>
        <w:t>hematoxylin-eosin</w:t>
      </w:r>
      <w:r>
        <w:rPr>
          <w:rFonts w:ascii="Book Antiqua" w:eastAsia="Book Antiqua" w:hAnsi="Book Antiqua" w:cs="Book Antiqua"/>
          <w:color w:val="000000"/>
          <w:szCs w:val="20"/>
        </w:rPr>
        <w:t>)</w:t>
      </w:r>
      <w:r w:rsidR="00256BA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256BA1">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Ceroid-laden macrophages (asterisks) are present in portal tracts indicating past cell damage (D-</w:t>
      </w:r>
      <w:r w:rsidR="00F23AA2" w:rsidRPr="00F23AA2">
        <w:rPr>
          <w:rFonts w:ascii="Book Antiqua" w:eastAsia="Book Antiqua" w:hAnsi="Book Antiqua" w:cs="Book Antiqua"/>
          <w:color w:val="000000"/>
          <w:szCs w:val="20"/>
        </w:rPr>
        <w:t>Periodic Acid-Schiff</w:t>
      </w:r>
      <w:r>
        <w:rPr>
          <w:rFonts w:ascii="Book Antiqua" w:eastAsia="Book Antiqua" w:hAnsi="Book Antiqua" w:cs="Book Antiqua"/>
          <w:color w:val="000000"/>
          <w:szCs w:val="20"/>
        </w:rPr>
        <w:t>)</w:t>
      </w:r>
      <w:r w:rsidR="00F23AA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23AA2">
        <w:rPr>
          <w:rFonts w:ascii="Book Antiqua" w:eastAsia="Book Antiqua" w:hAnsi="Book Antiqua" w:cs="Book Antiqua"/>
          <w:color w:val="000000"/>
          <w:szCs w:val="20"/>
        </w:rPr>
        <w:t>C:</w:t>
      </w:r>
      <w:r>
        <w:rPr>
          <w:rFonts w:ascii="Book Antiqua" w:eastAsia="Book Antiqua" w:hAnsi="Book Antiqua" w:cs="Book Antiqua"/>
          <w:color w:val="000000"/>
          <w:szCs w:val="20"/>
        </w:rPr>
        <w:t xml:space="preserve"> Copper staining revealed mild copper accumulation (arrow). Note, several glycogenated nuclei (asterisk)</w:t>
      </w:r>
      <w:r w:rsidR="00F23AA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23AA2">
        <w:rPr>
          <w:rFonts w:ascii="Book Antiqua" w:eastAsia="Book Antiqua" w:hAnsi="Book Antiqua" w:cs="Book Antiqua"/>
          <w:color w:val="000000"/>
          <w:szCs w:val="20"/>
        </w:rPr>
        <w:t>D:</w:t>
      </w:r>
      <w:r>
        <w:rPr>
          <w:rFonts w:ascii="Book Antiqua" w:eastAsia="Book Antiqua" w:hAnsi="Book Antiqua" w:cs="Book Antiqua"/>
          <w:color w:val="000000"/>
          <w:szCs w:val="20"/>
        </w:rPr>
        <w:t xml:space="preserve"> Mild portal, perisinusoidal and initial septal fibrosis (modified Gomori). Original magnification: 200-fold.</w:t>
      </w:r>
    </w:p>
    <w:p w14:paraId="7EBE23BF" w14:textId="4217309D" w:rsidR="00A77B3E" w:rsidRDefault="00F23AA2">
      <w:pPr>
        <w:spacing w:line="360" w:lineRule="auto"/>
        <w:ind w:firstLine="5"/>
        <w:jc w:val="both"/>
      </w:pPr>
      <w:r>
        <w:rPr>
          <w:rFonts w:ascii="Book Antiqua" w:eastAsia="Book Antiqua" w:hAnsi="Book Antiqua" w:cs="Book Antiqua"/>
          <w:color w:val="000000"/>
          <w:szCs w:val="20"/>
        </w:rPr>
        <w:br w:type="page"/>
      </w:r>
      <w:r>
        <w:rPr>
          <w:rFonts w:ascii="Book Antiqua" w:eastAsia="Book Antiqua" w:hAnsi="Book Antiqua" w:cs="Book Antiqua"/>
          <w:noProof/>
          <w:color w:val="000000"/>
          <w:szCs w:val="20"/>
          <w:lang w:eastAsia="zh-CN"/>
        </w:rPr>
        <w:drawing>
          <wp:inline distT="0" distB="0" distL="0" distR="0" wp14:anchorId="32EBA017" wp14:editId="51AC3D28">
            <wp:extent cx="4285753" cy="23060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596" cy="2326928"/>
                    </a:xfrm>
                    <a:prstGeom prst="rect">
                      <a:avLst/>
                    </a:prstGeom>
                    <a:noFill/>
                  </pic:spPr>
                </pic:pic>
              </a:graphicData>
            </a:graphic>
          </wp:inline>
        </w:drawing>
      </w:r>
    </w:p>
    <w:p w14:paraId="0BEC585D" w14:textId="1930940E" w:rsidR="00E57D18" w:rsidRDefault="00973819">
      <w:pPr>
        <w:spacing w:line="360" w:lineRule="auto"/>
        <w:ind w:firstLine="5"/>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F23AA2" w:rsidRPr="00826865">
        <w:rPr>
          <w:rFonts w:ascii="Book Antiqua" w:eastAsia="Book Antiqua" w:hAnsi="Book Antiqua" w:cs="Book Antiqua"/>
          <w:b/>
          <w:bCs/>
          <w:color w:val="000000"/>
        </w:rPr>
        <w:t xml:space="preserve"> </w:t>
      </w:r>
      <w:r w:rsidRPr="00826865">
        <w:rPr>
          <w:rFonts w:ascii="Book Antiqua" w:eastAsia="Book Antiqua" w:hAnsi="Book Antiqua" w:cs="Book Antiqua"/>
          <w:b/>
          <w:bCs/>
          <w:color w:val="000000"/>
        </w:rPr>
        <w:t>Elevated transaminases (</w:t>
      </w:r>
      <w:r w:rsidR="00F23AA2" w:rsidRPr="00826865">
        <w:rPr>
          <w:rFonts w:ascii="Book Antiqua" w:eastAsia="Book Antiqua" w:hAnsi="Book Antiqua" w:cs="Book Antiqua"/>
          <w:b/>
          <w:bCs/>
          <w:color w:val="000000"/>
        </w:rPr>
        <w:t>aspartate aminotransferase</w:t>
      </w:r>
      <w:r w:rsidRPr="00826865">
        <w:rPr>
          <w:rFonts w:ascii="Book Antiqua" w:eastAsia="Book Antiqua" w:hAnsi="Book Antiqua" w:cs="Book Antiqua"/>
          <w:b/>
          <w:bCs/>
          <w:color w:val="000000"/>
        </w:rPr>
        <w:t xml:space="preserve"> or </w:t>
      </w:r>
      <w:r w:rsidR="00F23AA2" w:rsidRPr="00826865">
        <w:rPr>
          <w:rFonts w:ascii="Book Antiqua" w:eastAsia="Book Antiqua" w:hAnsi="Book Antiqua" w:cs="Book Antiqua"/>
          <w:b/>
          <w:bCs/>
          <w:color w:val="000000"/>
        </w:rPr>
        <w:t>alanine aminotransferase</w:t>
      </w:r>
      <w:r w:rsidRPr="00826865">
        <w:rPr>
          <w:rFonts w:ascii="Book Antiqua" w:eastAsia="Book Antiqua" w:hAnsi="Book Antiqua" w:cs="Book Antiqua"/>
          <w:b/>
          <w:bCs/>
          <w:color w:val="000000"/>
        </w:rPr>
        <w:t xml:space="preserve">) as function of </w:t>
      </w:r>
      <w:r w:rsidR="00F23AA2" w:rsidRPr="00826865">
        <w:rPr>
          <w:rFonts w:ascii="Book Antiqua" w:eastAsia="Book Antiqua" w:hAnsi="Book Antiqua" w:cs="Book Antiqua"/>
          <w:b/>
          <w:bCs/>
          <w:color w:val="000000"/>
          <w:szCs w:val="20"/>
        </w:rPr>
        <w:t>antinuclear antibodies</w:t>
      </w:r>
      <w:r w:rsidRPr="00826865">
        <w:rPr>
          <w:rFonts w:ascii="Book Antiqua" w:eastAsia="Book Antiqua" w:hAnsi="Book Antiqua" w:cs="Book Antiqua"/>
          <w:b/>
          <w:bCs/>
          <w:color w:val="000000"/>
        </w:rPr>
        <w:t xml:space="preserve"> and </w:t>
      </w:r>
      <w:r w:rsidR="00F23AA2" w:rsidRPr="00826865">
        <w:rPr>
          <w:rFonts w:ascii="Book Antiqua" w:eastAsia="Book Antiqua" w:hAnsi="Book Antiqua" w:cs="Book Antiqua"/>
          <w:b/>
          <w:bCs/>
          <w:color w:val="000000"/>
        </w:rPr>
        <w:t xml:space="preserve">immunoglobulin </w:t>
      </w:r>
      <w:r w:rsidRPr="00826865">
        <w:rPr>
          <w:rFonts w:ascii="Book Antiqua" w:eastAsia="Book Antiqua" w:hAnsi="Book Antiqua" w:cs="Book Antiqua"/>
          <w:b/>
          <w:bCs/>
          <w:color w:val="000000"/>
        </w:rPr>
        <w:t xml:space="preserve">G levels. </w:t>
      </w:r>
      <w:r>
        <w:rPr>
          <w:rFonts w:ascii="Book Antiqua" w:eastAsia="Book Antiqua" w:hAnsi="Book Antiqua" w:cs="Book Antiqua"/>
          <w:color w:val="000000"/>
        </w:rPr>
        <w:t>Statistical analysis calculated the difference in prevalence of liver inflammation between the groups. The Chi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statistics with Yates correction is 172.484. The </w:t>
      </w:r>
      <w:r w:rsidR="00F23AA2">
        <w:rPr>
          <w:rFonts w:ascii="Book Antiqua" w:eastAsia="Book Antiqua" w:hAnsi="Book Antiqua" w:cs="Book Antiqua"/>
          <w:i/>
          <w:iCs/>
          <w:color w:val="000000"/>
        </w:rPr>
        <w:t xml:space="preserve">P </w:t>
      </w:r>
      <w:r>
        <w:rPr>
          <w:rFonts w:ascii="Book Antiqua" w:eastAsia="Book Antiqua" w:hAnsi="Book Antiqua" w:cs="Book Antiqua"/>
          <w:color w:val="000000"/>
        </w:rPr>
        <w:t>value is &lt;</w:t>
      </w:r>
      <w:r w:rsidR="00F23AA2">
        <w:rPr>
          <w:rFonts w:ascii="Book Antiqua" w:eastAsia="Book Antiqua" w:hAnsi="Book Antiqua" w:cs="Book Antiqua"/>
          <w:color w:val="000000"/>
        </w:rPr>
        <w:t xml:space="preserve"> </w:t>
      </w:r>
      <w:r>
        <w:rPr>
          <w:rFonts w:ascii="Book Antiqua" w:eastAsia="Book Antiqua" w:hAnsi="Book Antiqua" w:cs="Book Antiqua"/>
          <w:color w:val="000000"/>
        </w:rPr>
        <w:t>0.00001.</w:t>
      </w:r>
      <w:r w:rsidR="00F23AA2">
        <w:rPr>
          <w:rFonts w:ascii="Book Antiqua" w:eastAsia="Book Antiqua" w:hAnsi="Book Antiqua" w:cs="Book Antiqua"/>
          <w:color w:val="000000"/>
        </w:rPr>
        <w:t xml:space="preserve"> ANA: </w:t>
      </w:r>
      <w:r w:rsidR="00F23AA2">
        <w:rPr>
          <w:rFonts w:ascii="Book Antiqua" w:eastAsia="Book Antiqua" w:hAnsi="Book Antiqua" w:cs="Book Antiqua"/>
          <w:color w:val="000000"/>
          <w:szCs w:val="20"/>
        </w:rPr>
        <w:t xml:space="preserve">Antinuclear antibodies; </w:t>
      </w:r>
      <w:r w:rsidR="00F23AA2" w:rsidRPr="00313B45">
        <w:rPr>
          <w:rFonts w:ascii="Book Antiqua" w:eastAsia="Book Antiqua" w:hAnsi="Book Antiqua" w:cs="Book Antiqua"/>
          <w:color w:val="000000"/>
        </w:rPr>
        <w:t xml:space="preserve">ALT: </w:t>
      </w:r>
      <w:r w:rsidR="00F23AA2">
        <w:rPr>
          <w:rFonts w:ascii="Book Antiqua" w:eastAsia="Book Antiqua" w:hAnsi="Book Antiqua" w:cs="Book Antiqua"/>
          <w:color w:val="000000"/>
        </w:rPr>
        <w:t>A</w:t>
      </w:r>
      <w:r w:rsidR="00F23AA2" w:rsidRPr="00313B45">
        <w:rPr>
          <w:rFonts w:ascii="Book Antiqua" w:eastAsia="Book Antiqua" w:hAnsi="Book Antiqua" w:cs="Book Antiqua"/>
          <w:color w:val="000000"/>
        </w:rPr>
        <w:t xml:space="preserve">lanine aminotransferase; </w:t>
      </w:r>
      <w:r w:rsidR="00F23AA2" w:rsidRPr="007B27E7">
        <w:rPr>
          <w:rFonts w:ascii="Book Antiqua" w:eastAsia="Book Antiqua" w:hAnsi="Book Antiqua" w:cs="Book Antiqua"/>
          <w:color w:val="000000"/>
        </w:rPr>
        <w:t xml:space="preserve">AST: </w:t>
      </w:r>
      <w:r w:rsidR="00F23AA2">
        <w:rPr>
          <w:rFonts w:ascii="Book Antiqua" w:eastAsia="Book Antiqua" w:hAnsi="Book Antiqua" w:cs="Book Antiqua"/>
          <w:color w:val="000000"/>
        </w:rPr>
        <w:t>A</w:t>
      </w:r>
      <w:r w:rsidR="00F23AA2" w:rsidRPr="007B27E7">
        <w:rPr>
          <w:rFonts w:ascii="Book Antiqua" w:eastAsia="Book Antiqua" w:hAnsi="Book Antiqua" w:cs="Book Antiqua"/>
          <w:color w:val="000000"/>
        </w:rPr>
        <w:t>spartate aminotransferase</w:t>
      </w:r>
      <w:r w:rsidR="00265EB3">
        <w:rPr>
          <w:rFonts w:ascii="Book Antiqua" w:eastAsia="Book Antiqua" w:hAnsi="Book Antiqua" w:cs="Book Antiqua"/>
          <w:color w:val="000000"/>
        </w:rPr>
        <w:t>.</w:t>
      </w:r>
    </w:p>
    <w:p w14:paraId="7F74AF37" w14:textId="6BDE72CB" w:rsidR="00E57D18" w:rsidRPr="00E57D18" w:rsidRDefault="00E57D18" w:rsidP="00E57D18">
      <w:pPr>
        <w:pStyle w:val="MDPI41tablecaption"/>
        <w:spacing w:before="0" w:line="360" w:lineRule="auto"/>
        <w:ind w:left="0"/>
        <w:rPr>
          <w:rFonts w:ascii="Book Antiqua" w:hAnsi="Book Antiqua"/>
          <w:b/>
          <w:sz w:val="24"/>
          <w:szCs w:val="24"/>
        </w:rPr>
      </w:pPr>
      <w:r>
        <w:rPr>
          <w:rFonts w:ascii="Book Antiqua" w:eastAsia="Book Antiqua" w:hAnsi="Book Antiqua" w:cs="Book Antiqua"/>
        </w:rPr>
        <w:br w:type="page"/>
      </w:r>
      <w:r w:rsidRPr="00E57D18">
        <w:rPr>
          <w:rFonts w:ascii="Book Antiqua" w:hAnsi="Book Antiqua"/>
          <w:b/>
          <w:sz w:val="24"/>
          <w:szCs w:val="24"/>
        </w:rPr>
        <w:t>Table 1</w:t>
      </w:r>
      <w:r>
        <w:rPr>
          <w:rFonts w:ascii="Book Antiqua" w:hAnsi="Book Antiqua"/>
          <w:b/>
          <w:sz w:val="24"/>
          <w:szCs w:val="24"/>
        </w:rPr>
        <w:t xml:space="preserve"> </w:t>
      </w:r>
      <w:r w:rsidRPr="00E57D18">
        <w:rPr>
          <w:rFonts w:ascii="Book Antiqua" w:hAnsi="Book Antiqua"/>
          <w:b/>
          <w:sz w:val="24"/>
          <w:szCs w:val="24"/>
        </w:rPr>
        <w:t>Laboratory values at start of treatment with D-penicilliamine</w:t>
      </w:r>
    </w:p>
    <w:tbl>
      <w:tblPr>
        <w:tblW w:w="9781" w:type="dxa"/>
        <w:tblInd w:w="108" w:type="dxa"/>
        <w:tblLook w:val="04A0" w:firstRow="1" w:lastRow="0" w:firstColumn="1" w:lastColumn="0" w:noHBand="0" w:noVBand="1"/>
      </w:tblPr>
      <w:tblGrid>
        <w:gridCol w:w="1843"/>
        <w:gridCol w:w="1418"/>
        <w:gridCol w:w="1417"/>
        <w:gridCol w:w="1418"/>
        <w:gridCol w:w="3685"/>
      </w:tblGrid>
      <w:tr w:rsidR="00E57D18" w:rsidRPr="00E57D18" w14:paraId="00364791" w14:textId="77777777" w:rsidTr="001E24E8">
        <w:tc>
          <w:tcPr>
            <w:tcW w:w="1843" w:type="dxa"/>
            <w:tcBorders>
              <w:top w:val="single" w:sz="4" w:space="0" w:color="auto"/>
              <w:bottom w:val="single" w:sz="4" w:space="0" w:color="auto"/>
            </w:tcBorders>
          </w:tcPr>
          <w:p w14:paraId="3A72DD2C" w14:textId="77777777" w:rsidR="00E57D18" w:rsidRPr="00E57D18" w:rsidRDefault="00E57D18" w:rsidP="00E57D18">
            <w:pPr>
              <w:pStyle w:val="MDPI42tablebody"/>
              <w:spacing w:line="360" w:lineRule="auto"/>
              <w:jc w:val="both"/>
              <w:rPr>
                <w:rFonts w:ascii="Book Antiqua" w:hAnsi="Book Antiqua"/>
                <w:b/>
                <w:snapToGrid/>
                <w:sz w:val="24"/>
                <w:szCs w:val="24"/>
              </w:rPr>
            </w:pPr>
            <w:r w:rsidRPr="00E57D18">
              <w:rPr>
                <w:rFonts w:ascii="Book Antiqua" w:hAnsi="Book Antiqua"/>
                <w:b/>
                <w:snapToGrid/>
                <w:sz w:val="24"/>
                <w:szCs w:val="24"/>
              </w:rPr>
              <w:t>Date of testing</w:t>
            </w:r>
          </w:p>
        </w:tc>
        <w:tc>
          <w:tcPr>
            <w:tcW w:w="1418" w:type="dxa"/>
            <w:tcBorders>
              <w:top w:val="single" w:sz="4" w:space="0" w:color="auto"/>
              <w:bottom w:val="single" w:sz="4" w:space="0" w:color="auto"/>
            </w:tcBorders>
            <w:shd w:val="clear" w:color="auto" w:fill="auto"/>
          </w:tcPr>
          <w:p w14:paraId="67808C27" w14:textId="52284F12" w:rsidR="00E57D18" w:rsidRPr="00E57D18" w:rsidRDefault="00E57D18" w:rsidP="001E24E8">
            <w:pPr>
              <w:pStyle w:val="MDPI42tablebody"/>
              <w:spacing w:line="360" w:lineRule="auto"/>
              <w:rPr>
                <w:rFonts w:ascii="Book Antiqua" w:hAnsi="Book Antiqua"/>
                <w:b/>
                <w:snapToGrid/>
                <w:sz w:val="24"/>
                <w:szCs w:val="24"/>
              </w:rPr>
            </w:pPr>
            <w:r w:rsidRPr="00E57D18">
              <w:rPr>
                <w:rFonts w:ascii="Book Antiqua" w:hAnsi="Book Antiqua"/>
                <w:b/>
                <w:snapToGrid/>
                <w:sz w:val="24"/>
                <w:szCs w:val="24"/>
              </w:rPr>
              <w:t>ALT</w:t>
            </w:r>
            <w:r>
              <w:rPr>
                <w:rFonts w:ascii="Book Antiqua" w:hAnsi="Book Antiqua"/>
                <w:b/>
                <w:snapToGrid/>
                <w:sz w:val="24"/>
                <w:szCs w:val="24"/>
              </w:rPr>
              <w:t xml:space="preserve"> </w:t>
            </w:r>
            <w:r w:rsidRPr="00E57D18">
              <w:rPr>
                <w:rFonts w:ascii="Book Antiqua" w:hAnsi="Book Antiqua"/>
                <w:b/>
                <w:snapToGrid/>
                <w:sz w:val="24"/>
                <w:szCs w:val="24"/>
              </w:rPr>
              <w:t>(U/</w:t>
            </w:r>
            <w:r>
              <w:rPr>
                <w:rFonts w:ascii="Book Antiqua" w:hAnsi="Book Antiqua"/>
                <w:b/>
                <w:snapToGrid/>
                <w:sz w:val="24"/>
                <w:szCs w:val="24"/>
              </w:rPr>
              <w:t>L</w:t>
            </w:r>
            <w:r w:rsidRPr="00E57D18">
              <w:rPr>
                <w:rFonts w:ascii="Book Antiqua" w:hAnsi="Book Antiqua"/>
                <w:b/>
                <w:snapToGrid/>
                <w:sz w:val="24"/>
                <w:szCs w:val="24"/>
              </w:rPr>
              <w:t>)</w:t>
            </w:r>
          </w:p>
        </w:tc>
        <w:tc>
          <w:tcPr>
            <w:tcW w:w="1417" w:type="dxa"/>
            <w:tcBorders>
              <w:top w:val="single" w:sz="4" w:space="0" w:color="auto"/>
              <w:bottom w:val="single" w:sz="4" w:space="0" w:color="auto"/>
            </w:tcBorders>
            <w:shd w:val="clear" w:color="auto" w:fill="auto"/>
          </w:tcPr>
          <w:p w14:paraId="576DEA4F" w14:textId="283CC447" w:rsidR="00E57D18" w:rsidRPr="00E57D18" w:rsidRDefault="00E57D18" w:rsidP="001E24E8">
            <w:pPr>
              <w:pStyle w:val="MDPI42tablebody"/>
              <w:spacing w:line="360" w:lineRule="auto"/>
              <w:rPr>
                <w:rFonts w:ascii="Book Antiqua" w:hAnsi="Book Antiqua"/>
                <w:b/>
                <w:snapToGrid/>
                <w:sz w:val="24"/>
                <w:szCs w:val="24"/>
              </w:rPr>
            </w:pPr>
            <w:r w:rsidRPr="00E57D18">
              <w:rPr>
                <w:rFonts w:ascii="Book Antiqua" w:hAnsi="Book Antiqua"/>
                <w:b/>
                <w:snapToGrid/>
                <w:sz w:val="24"/>
                <w:szCs w:val="24"/>
              </w:rPr>
              <w:t>AST</w:t>
            </w:r>
            <w:r>
              <w:rPr>
                <w:rFonts w:ascii="Book Antiqua" w:hAnsi="Book Antiqua"/>
                <w:b/>
                <w:snapToGrid/>
                <w:sz w:val="24"/>
                <w:szCs w:val="24"/>
              </w:rPr>
              <w:t xml:space="preserve"> </w:t>
            </w:r>
            <w:r w:rsidRPr="00E57D18">
              <w:rPr>
                <w:rFonts w:ascii="Book Antiqua" w:hAnsi="Book Antiqua"/>
                <w:b/>
                <w:snapToGrid/>
                <w:sz w:val="24"/>
                <w:szCs w:val="24"/>
              </w:rPr>
              <w:t>(U/</w:t>
            </w:r>
            <w:r>
              <w:rPr>
                <w:rFonts w:ascii="Book Antiqua" w:hAnsi="Book Antiqua"/>
                <w:b/>
                <w:snapToGrid/>
                <w:sz w:val="24"/>
                <w:szCs w:val="24"/>
              </w:rPr>
              <w:t>L</w:t>
            </w:r>
            <w:r w:rsidRPr="00E57D18">
              <w:rPr>
                <w:rFonts w:ascii="Book Antiqua" w:hAnsi="Book Antiqua"/>
                <w:b/>
                <w:snapToGrid/>
                <w:sz w:val="24"/>
                <w:szCs w:val="24"/>
              </w:rPr>
              <w:t>)</w:t>
            </w:r>
          </w:p>
        </w:tc>
        <w:tc>
          <w:tcPr>
            <w:tcW w:w="1418" w:type="dxa"/>
            <w:tcBorders>
              <w:top w:val="single" w:sz="4" w:space="0" w:color="auto"/>
              <w:bottom w:val="single" w:sz="4" w:space="0" w:color="auto"/>
            </w:tcBorders>
          </w:tcPr>
          <w:p w14:paraId="01C90176" w14:textId="1DD97A38" w:rsidR="00E57D18" w:rsidRPr="00E57D18" w:rsidRDefault="00E57D18" w:rsidP="001E24E8">
            <w:pPr>
              <w:pStyle w:val="MDPI42tablebody"/>
              <w:spacing w:line="360" w:lineRule="auto"/>
              <w:rPr>
                <w:rFonts w:ascii="Book Antiqua" w:hAnsi="Book Antiqua"/>
                <w:b/>
                <w:snapToGrid/>
                <w:sz w:val="24"/>
                <w:szCs w:val="24"/>
              </w:rPr>
            </w:pPr>
            <w:r w:rsidRPr="00E57D18">
              <w:rPr>
                <w:rFonts w:ascii="Book Antiqua" w:hAnsi="Book Antiqua"/>
                <w:b/>
                <w:snapToGrid/>
                <w:sz w:val="24"/>
                <w:szCs w:val="24"/>
              </w:rPr>
              <w:t>GGT</w:t>
            </w:r>
            <w:r>
              <w:rPr>
                <w:rFonts w:ascii="Book Antiqua" w:hAnsi="Book Antiqua"/>
                <w:b/>
                <w:snapToGrid/>
                <w:sz w:val="24"/>
                <w:szCs w:val="24"/>
              </w:rPr>
              <w:t xml:space="preserve"> </w:t>
            </w:r>
            <w:r w:rsidRPr="00E57D18">
              <w:rPr>
                <w:rFonts w:ascii="Book Antiqua" w:hAnsi="Book Antiqua"/>
                <w:b/>
                <w:snapToGrid/>
                <w:sz w:val="24"/>
                <w:szCs w:val="24"/>
              </w:rPr>
              <w:t>(U/</w:t>
            </w:r>
            <w:r>
              <w:rPr>
                <w:rFonts w:ascii="Book Antiqua" w:hAnsi="Book Antiqua"/>
                <w:b/>
                <w:snapToGrid/>
                <w:sz w:val="24"/>
                <w:szCs w:val="24"/>
              </w:rPr>
              <w:t>L</w:t>
            </w:r>
            <w:r w:rsidRPr="00E57D18">
              <w:rPr>
                <w:rFonts w:ascii="Book Antiqua" w:hAnsi="Book Antiqua"/>
                <w:b/>
                <w:snapToGrid/>
                <w:sz w:val="24"/>
                <w:szCs w:val="24"/>
              </w:rPr>
              <w:t>)</w:t>
            </w:r>
          </w:p>
        </w:tc>
        <w:tc>
          <w:tcPr>
            <w:tcW w:w="3685" w:type="dxa"/>
            <w:tcBorders>
              <w:top w:val="single" w:sz="4" w:space="0" w:color="auto"/>
              <w:bottom w:val="single" w:sz="4" w:space="0" w:color="auto"/>
            </w:tcBorders>
            <w:shd w:val="clear" w:color="auto" w:fill="auto"/>
          </w:tcPr>
          <w:p w14:paraId="1749AB1D" w14:textId="19152353" w:rsidR="00E57D18" w:rsidRPr="00E57D18" w:rsidRDefault="00E57D18" w:rsidP="001E24E8">
            <w:pPr>
              <w:pStyle w:val="MDPI42tablebody"/>
              <w:spacing w:line="360" w:lineRule="auto"/>
              <w:rPr>
                <w:rFonts w:ascii="Book Antiqua" w:hAnsi="Book Antiqua"/>
                <w:b/>
                <w:snapToGrid/>
                <w:sz w:val="24"/>
                <w:szCs w:val="24"/>
              </w:rPr>
            </w:pPr>
            <w:r w:rsidRPr="00E57D18">
              <w:rPr>
                <w:rFonts w:ascii="Book Antiqua" w:hAnsi="Book Antiqua"/>
                <w:b/>
                <w:snapToGrid/>
                <w:sz w:val="24"/>
                <w:szCs w:val="24"/>
              </w:rPr>
              <w:t>Non-CP-bound copper (µg/d</w:t>
            </w:r>
            <w:r>
              <w:rPr>
                <w:rFonts w:ascii="Book Antiqua" w:hAnsi="Book Antiqua"/>
                <w:b/>
                <w:snapToGrid/>
                <w:sz w:val="24"/>
                <w:szCs w:val="24"/>
              </w:rPr>
              <w:t>L</w:t>
            </w:r>
            <w:r w:rsidRPr="00E57D18">
              <w:rPr>
                <w:rFonts w:ascii="Book Antiqua" w:hAnsi="Book Antiqua"/>
                <w:b/>
                <w:snapToGrid/>
                <w:sz w:val="24"/>
                <w:szCs w:val="24"/>
              </w:rPr>
              <w:t>)</w:t>
            </w:r>
          </w:p>
        </w:tc>
      </w:tr>
      <w:tr w:rsidR="00E57D18" w:rsidRPr="00E57D18" w14:paraId="6A5F0998" w14:textId="77777777" w:rsidTr="001E24E8">
        <w:tc>
          <w:tcPr>
            <w:tcW w:w="1843" w:type="dxa"/>
            <w:tcBorders>
              <w:top w:val="single" w:sz="4" w:space="0" w:color="auto"/>
            </w:tcBorders>
          </w:tcPr>
          <w:p w14:paraId="3D64297E"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08/09</w:t>
            </w:r>
          </w:p>
        </w:tc>
        <w:tc>
          <w:tcPr>
            <w:tcW w:w="1418" w:type="dxa"/>
            <w:tcBorders>
              <w:top w:val="single" w:sz="4" w:space="0" w:color="auto"/>
            </w:tcBorders>
            <w:shd w:val="clear" w:color="auto" w:fill="auto"/>
          </w:tcPr>
          <w:p w14:paraId="469899DF"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114</w:t>
            </w:r>
          </w:p>
        </w:tc>
        <w:tc>
          <w:tcPr>
            <w:tcW w:w="1417" w:type="dxa"/>
            <w:tcBorders>
              <w:top w:val="single" w:sz="4" w:space="0" w:color="auto"/>
            </w:tcBorders>
            <w:shd w:val="clear" w:color="auto" w:fill="auto"/>
          </w:tcPr>
          <w:p w14:paraId="6753D2BB"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65</w:t>
            </w:r>
          </w:p>
        </w:tc>
        <w:tc>
          <w:tcPr>
            <w:tcW w:w="1418" w:type="dxa"/>
            <w:tcBorders>
              <w:top w:val="single" w:sz="4" w:space="0" w:color="auto"/>
            </w:tcBorders>
          </w:tcPr>
          <w:p w14:paraId="15C83E2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28</w:t>
            </w:r>
          </w:p>
        </w:tc>
        <w:tc>
          <w:tcPr>
            <w:tcW w:w="3685" w:type="dxa"/>
            <w:tcBorders>
              <w:top w:val="single" w:sz="4" w:space="0" w:color="auto"/>
            </w:tcBorders>
            <w:shd w:val="clear" w:color="auto" w:fill="auto"/>
          </w:tcPr>
          <w:p w14:paraId="3E053F6D" w14:textId="712DE1F6"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27</w:t>
            </w:r>
          </w:p>
        </w:tc>
      </w:tr>
      <w:tr w:rsidR="00E57D18" w:rsidRPr="00E57D18" w14:paraId="66B642F5" w14:textId="77777777" w:rsidTr="001E24E8">
        <w:tc>
          <w:tcPr>
            <w:tcW w:w="1843" w:type="dxa"/>
          </w:tcPr>
          <w:p w14:paraId="5AFFF39E"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10/09</w:t>
            </w:r>
          </w:p>
        </w:tc>
        <w:tc>
          <w:tcPr>
            <w:tcW w:w="1418" w:type="dxa"/>
            <w:shd w:val="clear" w:color="auto" w:fill="auto"/>
          </w:tcPr>
          <w:p w14:paraId="2831E7B7"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113</w:t>
            </w:r>
          </w:p>
        </w:tc>
        <w:tc>
          <w:tcPr>
            <w:tcW w:w="1417" w:type="dxa"/>
            <w:shd w:val="clear" w:color="auto" w:fill="auto"/>
          </w:tcPr>
          <w:p w14:paraId="1D931FDD"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55</w:t>
            </w:r>
          </w:p>
        </w:tc>
        <w:tc>
          <w:tcPr>
            <w:tcW w:w="1418" w:type="dxa"/>
          </w:tcPr>
          <w:p w14:paraId="303A269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30</w:t>
            </w:r>
          </w:p>
        </w:tc>
        <w:tc>
          <w:tcPr>
            <w:tcW w:w="3685" w:type="dxa"/>
            <w:shd w:val="clear" w:color="auto" w:fill="auto"/>
          </w:tcPr>
          <w:p w14:paraId="41E76FBB" w14:textId="59D23AFD"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21</w:t>
            </w:r>
          </w:p>
        </w:tc>
      </w:tr>
      <w:tr w:rsidR="00E57D18" w:rsidRPr="00E57D18" w14:paraId="428B4F26" w14:textId="77777777" w:rsidTr="001E24E8">
        <w:tc>
          <w:tcPr>
            <w:tcW w:w="1843" w:type="dxa"/>
          </w:tcPr>
          <w:p w14:paraId="79338BAA"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03/10</w:t>
            </w:r>
          </w:p>
        </w:tc>
        <w:tc>
          <w:tcPr>
            <w:tcW w:w="1418" w:type="dxa"/>
            <w:shd w:val="clear" w:color="auto" w:fill="auto"/>
          </w:tcPr>
          <w:p w14:paraId="4981F0B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61</w:t>
            </w:r>
          </w:p>
        </w:tc>
        <w:tc>
          <w:tcPr>
            <w:tcW w:w="1417" w:type="dxa"/>
            <w:shd w:val="clear" w:color="auto" w:fill="auto"/>
          </w:tcPr>
          <w:p w14:paraId="18FC955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43</w:t>
            </w:r>
          </w:p>
        </w:tc>
        <w:tc>
          <w:tcPr>
            <w:tcW w:w="1418" w:type="dxa"/>
          </w:tcPr>
          <w:p w14:paraId="2CFA03EC"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27</w:t>
            </w:r>
          </w:p>
        </w:tc>
        <w:tc>
          <w:tcPr>
            <w:tcW w:w="3685" w:type="dxa"/>
            <w:shd w:val="clear" w:color="auto" w:fill="auto"/>
          </w:tcPr>
          <w:p w14:paraId="0E753BFF" w14:textId="08B9C549"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16</w:t>
            </w:r>
          </w:p>
        </w:tc>
      </w:tr>
      <w:tr w:rsidR="00E57D18" w:rsidRPr="00E57D18" w14:paraId="5A1F779C" w14:textId="77777777" w:rsidTr="001E24E8">
        <w:tc>
          <w:tcPr>
            <w:tcW w:w="1843" w:type="dxa"/>
          </w:tcPr>
          <w:p w14:paraId="75683068"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06/10</w:t>
            </w:r>
          </w:p>
        </w:tc>
        <w:tc>
          <w:tcPr>
            <w:tcW w:w="1418" w:type="dxa"/>
            <w:shd w:val="clear" w:color="auto" w:fill="auto"/>
          </w:tcPr>
          <w:p w14:paraId="3915EA30"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28</w:t>
            </w:r>
          </w:p>
        </w:tc>
        <w:tc>
          <w:tcPr>
            <w:tcW w:w="1417" w:type="dxa"/>
            <w:shd w:val="clear" w:color="auto" w:fill="auto"/>
          </w:tcPr>
          <w:p w14:paraId="18C5F634"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31</w:t>
            </w:r>
          </w:p>
        </w:tc>
        <w:tc>
          <w:tcPr>
            <w:tcW w:w="1418" w:type="dxa"/>
          </w:tcPr>
          <w:p w14:paraId="7D82D64B"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20</w:t>
            </w:r>
          </w:p>
        </w:tc>
        <w:tc>
          <w:tcPr>
            <w:tcW w:w="3685" w:type="dxa"/>
            <w:shd w:val="clear" w:color="auto" w:fill="auto"/>
          </w:tcPr>
          <w:p w14:paraId="1F63FE4C"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r w:rsidR="00E57D18" w:rsidRPr="00E57D18" w14:paraId="0BA4B613" w14:textId="77777777" w:rsidTr="001E24E8">
        <w:tc>
          <w:tcPr>
            <w:tcW w:w="1843" w:type="dxa"/>
          </w:tcPr>
          <w:p w14:paraId="043C78E3"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10/10</w:t>
            </w:r>
          </w:p>
        </w:tc>
        <w:tc>
          <w:tcPr>
            <w:tcW w:w="1418" w:type="dxa"/>
            <w:shd w:val="clear" w:color="auto" w:fill="auto"/>
          </w:tcPr>
          <w:p w14:paraId="1EF64E72"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33</w:t>
            </w:r>
          </w:p>
        </w:tc>
        <w:tc>
          <w:tcPr>
            <w:tcW w:w="1417" w:type="dxa"/>
            <w:shd w:val="clear" w:color="auto" w:fill="auto"/>
          </w:tcPr>
          <w:p w14:paraId="6A2C24CF"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27</w:t>
            </w:r>
          </w:p>
        </w:tc>
        <w:tc>
          <w:tcPr>
            <w:tcW w:w="1418" w:type="dxa"/>
          </w:tcPr>
          <w:p w14:paraId="3A8CF849"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21</w:t>
            </w:r>
          </w:p>
        </w:tc>
        <w:tc>
          <w:tcPr>
            <w:tcW w:w="3685" w:type="dxa"/>
            <w:shd w:val="clear" w:color="auto" w:fill="auto"/>
          </w:tcPr>
          <w:p w14:paraId="4D1DCF40"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r w:rsidR="00E57D18" w:rsidRPr="00E57D18" w14:paraId="0BA0E391" w14:textId="77777777" w:rsidTr="001E24E8">
        <w:tc>
          <w:tcPr>
            <w:tcW w:w="1843" w:type="dxa"/>
          </w:tcPr>
          <w:p w14:paraId="48E9B8FD"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12/10</w:t>
            </w:r>
          </w:p>
        </w:tc>
        <w:tc>
          <w:tcPr>
            <w:tcW w:w="1418" w:type="dxa"/>
            <w:shd w:val="clear" w:color="auto" w:fill="auto"/>
          </w:tcPr>
          <w:p w14:paraId="496AA3B1"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24</w:t>
            </w:r>
          </w:p>
        </w:tc>
        <w:tc>
          <w:tcPr>
            <w:tcW w:w="1417" w:type="dxa"/>
            <w:shd w:val="clear" w:color="auto" w:fill="auto"/>
          </w:tcPr>
          <w:p w14:paraId="1B1698B7"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25</w:t>
            </w:r>
          </w:p>
        </w:tc>
        <w:tc>
          <w:tcPr>
            <w:tcW w:w="1418" w:type="dxa"/>
          </w:tcPr>
          <w:p w14:paraId="4CED6F09"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19</w:t>
            </w:r>
          </w:p>
        </w:tc>
        <w:tc>
          <w:tcPr>
            <w:tcW w:w="3685" w:type="dxa"/>
            <w:shd w:val="clear" w:color="auto" w:fill="auto"/>
          </w:tcPr>
          <w:p w14:paraId="4BC97BD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r w:rsidR="00E57D18" w:rsidRPr="00E57D18" w14:paraId="207A271C" w14:textId="77777777" w:rsidTr="001E24E8">
        <w:tc>
          <w:tcPr>
            <w:tcW w:w="1843" w:type="dxa"/>
          </w:tcPr>
          <w:p w14:paraId="3646D9D7"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03/11</w:t>
            </w:r>
          </w:p>
        </w:tc>
        <w:tc>
          <w:tcPr>
            <w:tcW w:w="1418" w:type="dxa"/>
            <w:shd w:val="clear" w:color="auto" w:fill="auto"/>
          </w:tcPr>
          <w:p w14:paraId="571FCE5E"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19</w:t>
            </w:r>
          </w:p>
        </w:tc>
        <w:tc>
          <w:tcPr>
            <w:tcW w:w="1417" w:type="dxa"/>
            <w:shd w:val="clear" w:color="auto" w:fill="auto"/>
          </w:tcPr>
          <w:p w14:paraId="7A3CCE00"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24</w:t>
            </w:r>
          </w:p>
        </w:tc>
        <w:tc>
          <w:tcPr>
            <w:tcW w:w="1418" w:type="dxa"/>
          </w:tcPr>
          <w:p w14:paraId="09B7DEBF"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18</w:t>
            </w:r>
          </w:p>
        </w:tc>
        <w:tc>
          <w:tcPr>
            <w:tcW w:w="3685" w:type="dxa"/>
            <w:shd w:val="clear" w:color="auto" w:fill="auto"/>
          </w:tcPr>
          <w:p w14:paraId="6DE90BE4"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r w:rsidR="00E57D18" w:rsidRPr="00E57D18" w14:paraId="0FE65D02" w14:textId="77777777" w:rsidTr="001E24E8">
        <w:tc>
          <w:tcPr>
            <w:tcW w:w="1843" w:type="dxa"/>
            <w:tcBorders>
              <w:bottom w:val="single" w:sz="4" w:space="0" w:color="auto"/>
            </w:tcBorders>
          </w:tcPr>
          <w:p w14:paraId="093B2BA0"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10/11</w:t>
            </w:r>
          </w:p>
        </w:tc>
        <w:tc>
          <w:tcPr>
            <w:tcW w:w="1418" w:type="dxa"/>
            <w:tcBorders>
              <w:bottom w:val="single" w:sz="4" w:space="0" w:color="auto"/>
            </w:tcBorders>
            <w:shd w:val="clear" w:color="auto" w:fill="auto"/>
          </w:tcPr>
          <w:p w14:paraId="3E05536B"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17</w:t>
            </w:r>
          </w:p>
        </w:tc>
        <w:tc>
          <w:tcPr>
            <w:tcW w:w="1417" w:type="dxa"/>
            <w:tcBorders>
              <w:bottom w:val="single" w:sz="4" w:space="0" w:color="auto"/>
            </w:tcBorders>
            <w:shd w:val="clear" w:color="auto" w:fill="auto"/>
          </w:tcPr>
          <w:p w14:paraId="6D5E15D9"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25</w:t>
            </w:r>
          </w:p>
        </w:tc>
        <w:tc>
          <w:tcPr>
            <w:tcW w:w="1418" w:type="dxa"/>
            <w:tcBorders>
              <w:bottom w:val="single" w:sz="4" w:space="0" w:color="auto"/>
            </w:tcBorders>
          </w:tcPr>
          <w:p w14:paraId="4D7907D6"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13</w:t>
            </w:r>
          </w:p>
        </w:tc>
        <w:tc>
          <w:tcPr>
            <w:tcW w:w="3685" w:type="dxa"/>
            <w:tcBorders>
              <w:bottom w:val="single" w:sz="4" w:space="0" w:color="auto"/>
            </w:tcBorders>
            <w:shd w:val="clear" w:color="auto" w:fill="auto"/>
          </w:tcPr>
          <w:p w14:paraId="372E8D10"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bl>
    <w:p w14:paraId="2B95497A" w14:textId="784FC3FD" w:rsidR="00973819" w:rsidRDefault="00E57D18" w:rsidP="00E57D18">
      <w:pPr>
        <w:spacing w:line="360" w:lineRule="auto"/>
        <w:ind w:firstLine="5"/>
        <w:jc w:val="both"/>
        <w:rPr>
          <w:rFonts w:ascii="Book Antiqua" w:eastAsia="Book Antiqua" w:hAnsi="Book Antiqua" w:cs="Book Antiqua"/>
          <w:color w:val="000000"/>
        </w:rPr>
      </w:pPr>
      <w:r w:rsidRPr="00313B45">
        <w:rPr>
          <w:rFonts w:ascii="Book Antiqua" w:eastAsia="Book Antiqua" w:hAnsi="Book Antiqua" w:cs="Book Antiqua"/>
          <w:color w:val="000000"/>
        </w:rPr>
        <w:t xml:space="preserve">ALT: </w:t>
      </w:r>
      <w:r>
        <w:rPr>
          <w:rFonts w:ascii="Book Antiqua" w:eastAsia="Book Antiqua" w:hAnsi="Book Antiqua" w:cs="Book Antiqua"/>
          <w:color w:val="000000"/>
        </w:rPr>
        <w:t>A</w:t>
      </w:r>
      <w:r w:rsidRPr="00313B45">
        <w:rPr>
          <w:rFonts w:ascii="Book Antiqua" w:eastAsia="Book Antiqua" w:hAnsi="Book Antiqua" w:cs="Book Antiqua"/>
          <w:color w:val="000000"/>
        </w:rPr>
        <w:t xml:space="preserve">lanine aminotransferase; </w:t>
      </w:r>
      <w:r w:rsidRPr="007B27E7">
        <w:rPr>
          <w:rFonts w:ascii="Book Antiqua" w:eastAsia="Book Antiqua" w:hAnsi="Book Antiqua" w:cs="Book Antiqua"/>
          <w:color w:val="000000"/>
        </w:rPr>
        <w:t xml:space="preserve">AST: </w:t>
      </w:r>
      <w:r>
        <w:rPr>
          <w:rFonts w:ascii="Book Antiqua" w:eastAsia="Book Antiqua" w:hAnsi="Book Antiqua" w:cs="Book Antiqua"/>
          <w:color w:val="000000"/>
        </w:rPr>
        <w:t>A</w:t>
      </w:r>
      <w:r w:rsidRPr="007B27E7">
        <w:rPr>
          <w:rFonts w:ascii="Book Antiqua" w:eastAsia="Book Antiqua" w:hAnsi="Book Antiqua" w:cs="Book Antiqua"/>
          <w:color w:val="000000"/>
        </w:rPr>
        <w:t>spartate aminotransferase</w:t>
      </w:r>
      <w:r>
        <w:rPr>
          <w:rFonts w:ascii="Book Antiqua" w:eastAsia="Book Antiqua" w:hAnsi="Book Antiqua" w:cs="Book Antiqua"/>
          <w:color w:val="000000"/>
        </w:rPr>
        <w:t xml:space="preserve">; GGT: </w:t>
      </w:r>
      <w:r w:rsidRPr="00E57D18">
        <w:rPr>
          <w:rFonts w:ascii="Book Antiqua" w:eastAsia="Book Antiqua" w:hAnsi="Book Antiqua" w:cs="Book Antiqua"/>
          <w:color w:val="000000"/>
        </w:rPr>
        <w:t>Gamma-glutamyl transferase</w:t>
      </w:r>
      <w:r>
        <w:rPr>
          <w:rFonts w:ascii="Book Antiqua" w:eastAsia="Book Antiqua" w:hAnsi="Book Antiqua" w:cs="Book Antiqua"/>
          <w:color w:val="000000"/>
        </w:rPr>
        <w:t xml:space="preserve">; </w:t>
      </w:r>
      <w:r w:rsidRPr="00E57D18">
        <w:rPr>
          <w:rFonts w:ascii="Book Antiqua" w:eastAsia="Book Antiqua" w:hAnsi="Book Antiqua" w:cs="Book Antiqua"/>
          <w:color w:val="000000"/>
        </w:rPr>
        <w:t>CP</w:t>
      </w:r>
      <w:r>
        <w:rPr>
          <w:rFonts w:ascii="Book Antiqua" w:eastAsia="Book Antiqua" w:hAnsi="Book Antiqua" w:cs="Book Antiqua"/>
          <w:color w:val="000000"/>
        </w:rPr>
        <w:t>: C</w:t>
      </w:r>
      <w:r w:rsidRPr="00E57D18">
        <w:rPr>
          <w:rFonts w:ascii="Book Antiqua" w:eastAsia="Book Antiqua" w:hAnsi="Book Antiqua" w:cs="Book Antiqua"/>
          <w:color w:val="000000"/>
        </w:rPr>
        <w:t>eruloplasmin</w:t>
      </w:r>
      <w:r>
        <w:rPr>
          <w:rFonts w:ascii="Book Antiqua" w:eastAsia="Book Antiqua" w:hAnsi="Book Antiqua" w:cs="Book Antiqua"/>
          <w:color w:val="000000"/>
        </w:rPr>
        <w:t>.</w:t>
      </w:r>
    </w:p>
    <w:p w14:paraId="1547A348" w14:textId="196C7D7B" w:rsidR="00A77B3E" w:rsidRPr="00973819" w:rsidRDefault="00973819" w:rsidP="00E57D18">
      <w:pPr>
        <w:spacing w:line="360" w:lineRule="auto"/>
        <w:ind w:firstLine="5"/>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973819">
        <w:rPr>
          <w:rFonts w:ascii="Book Antiqua" w:eastAsia="Book Antiqua" w:hAnsi="Book Antiqua" w:cs="Book Antiqua"/>
          <w:b/>
          <w:bCs/>
          <w:color w:val="000000"/>
        </w:rPr>
        <w:t>Table 2</w:t>
      </w:r>
      <w:r>
        <w:rPr>
          <w:rFonts w:ascii="Book Antiqua" w:eastAsia="Book Antiqua" w:hAnsi="Book Antiqua" w:cs="Book Antiqua"/>
          <w:b/>
          <w:bCs/>
          <w:color w:val="000000"/>
        </w:rPr>
        <w:t xml:space="preserve"> </w:t>
      </w:r>
      <w:r w:rsidRPr="00973819">
        <w:rPr>
          <w:rFonts w:ascii="Book Antiqua" w:eastAsia="Book Antiqua" w:hAnsi="Book Antiqua" w:cs="Book Antiqua"/>
          <w:b/>
          <w:bCs/>
          <w:color w:val="000000"/>
        </w:rPr>
        <w:t>Increase of transaminases during different chelator therapies</w:t>
      </w:r>
    </w:p>
    <w:tbl>
      <w:tblPr>
        <w:tblW w:w="0" w:type="auto"/>
        <w:tblLook w:val="04A0" w:firstRow="1" w:lastRow="0" w:firstColumn="1" w:lastColumn="0" w:noHBand="0" w:noVBand="1"/>
      </w:tblPr>
      <w:tblGrid>
        <w:gridCol w:w="2199"/>
        <w:gridCol w:w="1531"/>
        <w:gridCol w:w="1123"/>
        <w:gridCol w:w="1123"/>
        <w:gridCol w:w="1325"/>
        <w:gridCol w:w="2093"/>
      </w:tblGrid>
      <w:tr w:rsidR="00973819" w:rsidRPr="00973819" w14:paraId="23845EA1" w14:textId="77777777" w:rsidTr="009A38DB">
        <w:trPr>
          <w:trHeight w:val="860"/>
        </w:trPr>
        <w:tc>
          <w:tcPr>
            <w:tcW w:w="2199" w:type="dxa"/>
            <w:tcBorders>
              <w:top w:val="single" w:sz="4" w:space="0" w:color="auto"/>
              <w:bottom w:val="single" w:sz="4" w:space="0" w:color="auto"/>
            </w:tcBorders>
          </w:tcPr>
          <w:p w14:paraId="66F7B13C" w14:textId="77777777"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Therapy</w:t>
            </w:r>
          </w:p>
        </w:tc>
        <w:tc>
          <w:tcPr>
            <w:tcW w:w="1531" w:type="dxa"/>
            <w:tcBorders>
              <w:top w:val="single" w:sz="4" w:space="0" w:color="auto"/>
              <w:bottom w:val="single" w:sz="4" w:space="0" w:color="auto"/>
            </w:tcBorders>
          </w:tcPr>
          <w:p w14:paraId="7AF64FE5" w14:textId="77777777"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Date of testing</w:t>
            </w:r>
          </w:p>
        </w:tc>
        <w:tc>
          <w:tcPr>
            <w:tcW w:w="1123" w:type="dxa"/>
            <w:tcBorders>
              <w:top w:val="single" w:sz="4" w:space="0" w:color="auto"/>
              <w:bottom w:val="single" w:sz="4" w:space="0" w:color="auto"/>
            </w:tcBorders>
            <w:shd w:val="clear" w:color="auto" w:fill="auto"/>
          </w:tcPr>
          <w:p w14:paraId="524393E4" w14:textId="3779414C"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ALT</w:t>
            </w:r>
            <w:r>
              <w:rPr>
                <w:rFonts w:ascii="Book Antiqua" w:hAnsi="Book Antiqua"/>
                <w:b/>
                <w:snapToGrid/>
                <w:sz w:val="24"/>
                <w:szCs w:val="24"/>
              </w:rPr>
              <w:t xml:space="preserve"> </w:t>
            </w:r>
            <w:r w:rsidRPr="00973819">
              <w:rPr>
                <w:rFonts w:ascii="Book Antiqua" w:hAnsi="Book Antiqua"/>
                <w:b/>
                <w:snapToGrid/>
                <w:sz w:val="24"/>
                <w:szCs w:val="24"/>
              </w:rPr>
              <w:t>(U/</w:t>
            </w:r>
            <w:r>
              <w:rPr>
                <w:rFonts w:ascii="Book Antiqua" w:hAnsi="Book Antiqua"/>
                <w:b/>
                <w:snapToGrid/>
                <w:sz w:val="24"/>
                <w:szCs w:val="24"/>
              </w:rPr>
              <w:t>L</w:t>
            </w:r>
            <w:r w:rsidRPr="00973819">
              <w:rPr>
                <w:rFonts w:ascii="Book Antiqua" w:hAnsi="Book Antiqua"/>
                <w:b/>
                <w:snapToGrid/>
                <w:sz w:val="24"/>
                <w:szCs w:val="24"/>
              </w:rPr>
              <w:t>)</w:t>
            </w:r>
          </w:p>
        </w:tc>
        <w:tc>
          <w:tcPr>
            <w:tcW w:w="1123" w:type="dxa"/>
            <w:tcBorders>
              <w:top w:val="single" w:sz="4" w:space="0" w:color="auto"/>
              <w:bottom w:val="single" w:sz="4" w:space="0" w:color="auto"/>
            </w:tcBorders>
            <w:shd w:val="clear" w:color="auto" w:fill="auto"/>
          </w:tcPr>
          <w:p w14:paraId="1EEC5F56" w14:textId="1B3A2156"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AST</w:t>
            </w:r>
            <w:r>
              <w:rPr>
                <w:rFonts w:ascii="Book Antiqua" w:hAnsi="Book Antiqua"/>
                <w:b/>
                <w:snapToGrid/>
                <w:sz w:val="24"/>
                <w:szCs w:val="24"/>
              </w:rPr>
              <w:t xml:space="preserve"> </w:t>
            </w:r>
            <w:r w:rsidRPr="00973819">
              <w:rPr>
                <w:rFonts w:ascii="Book Antiqua" w:hAnsi="Book Antiqua"/>
                <w:b/>
                <w:snapToGrid/>
                <w:sz w:val="24"/>
                <w:szCs w:val="24"/>
              </w:rPr>
              <w:t>(U/</w:t>
            </w:r>
            <w:r>
              <w:rPr>
                <w:rFonts w:ascii="Book Antiqua" w:hAnsi="Book Antiqua"/>
                <w:b/>
                <w:snapToGrid/>
                <w:sz w:val="24"/>
                <w:szCs w:val="24"/>
              </w:rPr>
              <w:t>L</w:t>
            </w:r>
            <w:r w:rsidRPr="00973819">
              <w:rPr>
                <w:rFonts w:ascii="Book Antiqua" w:hAnsi="Book Antiqua"/>
                <w:b/>
                <w:snapToGrid/>
                <w:sz w:val="24"/>
                <w:szCs w:val="24"/>
              </w:rPr>
              <w:t>)</w:t>
            </w:r>
          </w:p>
        </w:tc>
        <w:tc>
          <w:tcPr>
            <w:tcW w:w="1325" w:type="dxa"/>
            <w:tcBorders>
              <w:top w:val="single" w:sz="4" w:space="0" w:color="auto"/>
              <w:bottom w:val="single" w:sz="4" w:space="0" w:color="auto"/>
            </w:tcBorders>
          </w:tcPr>
          <w:p w14:paraId="6D3D3950" w14:textId="2A7C42B9"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GGT</w:t>
            </w:r>
            <w:r>
              <w:rPr>
                <w:rFonts w:ascii="Book Antiqua" w:hAnsi="Book Antiqua"/>
                <w:b/>
                <w:snapToGrid/>
                <w:sz w:val="24"/>
                <w:szCs w:val="24"/>
              </w:rPr>
              <w:t xml:space="preserve"> </w:t>
            </w:r>
            <w:r w:rsidRPr="00973819">
              <w:rPr>
                <w:rFonts w:ascii="Book Antiqua" w:hAnsi="Book Antiqua"/>
                <w:b/>
                <w:snapToGrid/>
                <w:sz w:val="24"/>
                <w:szCs w:val="24"/>
              </w:rPr>
              <w:t>(U/</w:t>
            </w:r>
            <w:r>
              <w:rPr>
                <w:rFonts w:ascii="Book Antiqua" w:hAnsi="Book Antiqua"/>
                <w:b/>
                <w:snapToGrid/>
                <w:sz w:val="24"/>
                <w:szCs w:val="24"/>
              </w:rPr>
              <w:t>L</w:t>
            </w:r>
            <w:r w:rsidRPr="00973819">
              <w:rPr>
                <w:rFonts w:ascii="Book Antiqua" w:hAnsi="Book Antiqua"/>
                <w:b/>
                <w:snapToGrid/>
                <w:sz w:val="24"/>
                <w:szCs w:val="24"/>
              </w:rPr>
              <w:t>)</w:t>
            </w:r>
          </w:p>
        </w:tc>
        <w:tc>
          <w:tcPr>
            <w:tcW w:w="2093" w:type="dxa"/>
            <w:tcBorders>
              <w:top w:val="single" w:sz="4" w:space="0" w:color="auto"/>
              <w:bottom w:val="single" w:sz="4" w:space="0" w:color="auto"/>
            </w:tcBorders>
            <w:shd w:val="clear" w:color="auto" w:fill="auto"/>
          </w:tcPr>
          <w:p w14:paraId="60CC9531" w14:textId="1288B6A1"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Non-CP-bound copper (µg/d</w:t>
            </w:r>
            <w:r>
              <w:rPr>
                <w:rFonts w:ascii="Book Antiqua" w:hAnsi="Book Antiqua"/>
                <w:b/>
                <w:snapToGrid/>
                <w:sz w:val="24"/>
                <w:szCs w:val="24"/>
              </w:rPr>
              <w:t>L</w:t>
            </w:r>
            <w:r w:rsidRPr="00973819">
              <w:rPr>
                <w:rFonts w:ascii="Book Antiqua" w:hAnsi="Book Antiqua"/>
                <w:b/>
                <w:snapToGrid/>
                <w:sz w:val="24"/>
                <w:szCs w:val="24"/>
              </w:rPr>
              <w:t>)</w:t>
            </w:r>
          </w:p>
        </w:tc>
      </w:tr>
      <w:tr w:rsidR="00973819" w:rsidRPr="00973819" w14:paraId="7A7E44B5" w14:textId="77777777" w:rsidTr="009A38DB">
        <w:trPr>
          <w:trHeight w:val="436"/>
        </w:trPr>
        <w:tc>
          <w:tcPr>
            <w:tcW w:w="2199" w:type="dxa"/>
            <w:vMerge w:val="restart"/>
            <w:tcBorders>
              <w:top w:val="single" w:sz="4" w:space="0" w:color="auto"/>
            </w:tcBorders>
          </w:tcPr>
          <w:p w14:paraId="321AB226" w14:textId="66D6FFB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Trientine-2HCl</w:t>
            </w:r>
          </w:p>
        </w:tc>
        <w:tc>
          <w:tcPr>
            <w:tcW w:w="1531" w:type="dxa"/>
            <w:tcBorders>
              <w:top w:val="single" w:sz="4" w:space="0" w:color="auto"/>
            </w:tcBorders>
          </w:tcPr>
          <w:p w14:paraId="07A25DA2"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02/16</w:t>
            </w:r>
          </w:p>
        </w:tc>
        <w:tc>
          <w:tcPr>
            <w:tcW w:w="1123" w:type="dxa"/>
            <w:tcBorders>
              <w:top w:val="single" w:sz="4" w:space="0" w:color="auto"/>
            </w:tcBorders>
            <w:shd w:val="clear" w:color="auto" w:fill="auto"/>
          </w:tcPr>
          <w:p w14:paraId="7AEEB7DC"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38</w:t>
            </w:r>
          </w:p>
        </w:tc>
        <w:tc>
          <w:tcPr>
            <w:tcW w:w="1123" w:type="dxa"/>
            <w:tcBorders>
              <w:top w:val="single" w:sz="4" w:space="0" w:color="auto"/>
            </w:tcBorders>
            <w:shd w:val="clear" w:color="auto" w:fill="auto"/>
          </w:tcPr>
          <w:p w14:paraId="331072FA"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24</w:t>
            </w:r>
          </w:p>
        </w:tc>
        <w:tc>
          <w:tcPr>
            <w:tcW w:w="1325" w:type="dxa"/>
            <w:tcBorders>
              <w:top w:val="single" w:sz="4" w:space="0" w:color="auto"/>
            </w:tcBorders>
          </w:tcPr>
          <w:p w14:paraId="1917A4A2"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tcBorders>
              <w:top w:val="single" w:sz="4" w:space="0" w:color="auto"/>
            </w:tcBorders>
            <w:shd w:val="clear" w:color="auto" w:fill="auto"/>
          </w:tcPr>
          <w:p w14:paraId="3B139D17"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42196D87" w14:textId="77777777" w:rsidTr="009A38DB">
        <w:trPr>
          <w:trHeight w:val="449"/>
        </w:trPr>
        <w:tc>
          <w:tcPr>
            <w:tcW w:w="2199" w:type="dxa"/>
            <w:vMerge/>
          </w:tcPr>
          <w:p w14:paraId="591ECD49"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27DAC8B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03/16</w:t>
            </w:r>
          </w:p>
        </w:tc>
        <w:tc>
          <w:tcPr>
            <w:tcW w:w="1123" w:type="dxa"/>
            <w:shd w:val="clear" w:color="auto" w:fill="auto"/>
          </w:tcPr>
          <w:p w14:paraId="0F52B920"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47</w:t>
            </w:r>
          </w:p>
        </w:tc>
        <w:tc>
          <w:tcPr>
            <w:tcW w:w="1123" w:type="dxa"/>
            <w:shd w:val="clear" w:color="auto" w:fill="auto"/>
          </w:tcPr>
          <w:p w14:paraId="7394AD48"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28</w:t>
            </w:r>
          </w:p>
        </w:tc>
        <w:tc>
          <w:tcPr>
            <w:tcW w:w="1325" w:type="dxa"/>
          </w:tcPr>
          <w:p w14:paraId="29C886E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0CEB8351"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29424DB7" w14:textId="77777777" w:rsidTr="009A38DB">
        <w:trPr>
          <w:trHeight w:val="449"/>
        </w:trPr>
        <w:tc>
          <w:tcPr>
            <w:tcW w:w="2199" w:type="dxa"/>
            <w:vMerge/>
          </w:tcPr>
          <w:p w14:paraId="648BA93C"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5770481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07/16</w:t>
            </w:r>
          </w:p>
        </w:tc>
        <w:tc>
          <w:tcPr>
            <w:tcW w:w="1123" w:type="dxa"/>
            <w:shd w:val="clear" w:color="auto" w:fill="auto"/>
          </w:tcPr>
          <w:p w14:paraId="098AC472"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44</w:t>
            </w:r>
          </w:p>
        </w:tc>
        <w:tc>
          <w:tcPr>
            <w:tcW w:w="1123" w:type="dxa"/>
            <w:shd w:val="clear" w:color="auto" w:fill="auto"/>
          </w:tcPr>
          <w:p w14:paraId="2B9F0954"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30</w:t>
            </w:r>
          </w:p>
        </w:tc>
        <w:tc>
          <w:tcPr>
            <w:tcW w:w="1325" w:type="dxa"/>
          </w:tcPr>
          <w:p w14:paraId="0F35B30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A2219BE"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1738E774" w14:textId="77777777" w:rsidTr="009A38DB">
        <w:trPr>
          <w:trHeight w:val="436"/>
        </w:trPr>
        <w:tc>
          <w:tcPr>
            <w:tcW w:w="2199" w:type="dxa"/>
            <w:vMerge/>
          </w:tcPr>
          <w:p w14:paraId="6FAC2817"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7DBB942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09/16</w:t>
            </w:r>
          </w:p>
        </w:tc>
        <w:tc>
          <w:tcPr>
            <w:tcW w:w="1123" w:type="dxa"/>
            <w:shd w:val="clear" w:color="auto" w:fill="auto"/>
          </w:tcPr>
          <w:p w14:paraId="202F695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42</w:t>
            </w:r>
          </w:p>
        </w:tc>
        <w:tc>
          <w:tcPr>
            <w:tcW w:w="1123" w:type="dxa"/>
            <w:shd w:val="clear" w:color="auto" w:fill="auto"/>
          </w:tcPr>
          <w:p w14:paraId="55E93267"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30</w:t>
            </w:r>
          </w:p>
        </w:tc>
        <w:tc>
          <w:tcPr>
            <w:tcW w:w="1325" w:type="dxa"/>
          </w:tcPr>
          <w:p w14:paraId="6E3F86A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61DFB28"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5F76C33" w14:textId="77777777" w:rsidTr="009A38DB">
        <w:trPr>
          <w:trHeight w:val="449"/>
        </w:trPr>
        <w:tc>
          <w:tcPr>
            <w:tcW w:w="2199" w:type="dxa"/>
            <w:vMerge/>
          </w:tcPr>
          <w:p w14:paraId="7D141046"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625C222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10/16</w:t>
            </w:r>
          </w:p>
        </w:tc>
        <w:tc>
          <w:tcPr>
            <w:tcW w:w="1123" w:type="dxa"/>
            <w:shd w:val="clear" w:color="auto" w:fill="auto"/>
          </w:tcPr>
          <w:p w14:paraId="039708F0"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39</w:t>
            </w:r>
          </w:p>
        </w:tc>
        <w:tc>
          <w:tcPr>
            <w:tcW w:w="1123" w:type="dxa"/>
            <w:shd w:val="clear" w:color="auto" w:fill="auto"/>
          </w:tcPr>
          <w:p w14:paraId="543E9FB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21</w:t>
            </w:r>
          </w:p>
        </w:tc>
        <w:tc>
          <w:tcPr>
            <w:tcW w:w="1325" w:type="dxa"/>
          </w:tcPr>
          <w:p w14:paraId="01817EEE"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5FEF2F5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01255CC4" w14:textId="77777777" w:rsidTr="009A38DB">
        <w:trPr>
          <w:trHeight w:val="449"/>
        </w:trPr>
        <w:tc>
          <w:tcPr>
            <w:tcW w:w="2199" w:type="dxa"/>
            <w:vMerge/>
          </w:tcPr>
          <w:p w14:paraId="2FFEDF28"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77A11EBB"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11/17</w:t>
            </w:r>
          </w:p>
        </w:tc>
        <w:tc>
          <w:tcPr>
            <w:tcW w:w="1123" w:type="dxa"/>
            <w:shd w:val="clear" w:color="auto" w:fill="auto"/>
          </w:tcPr>
          <w:p w14:paraId="7B24F6C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34</w:t>
            </w:r>
          </w:p>
        </w:tc>
        <w:tc>
          <w:tcPr>
            <w:tcW w:w="1123" w:type="dxa"/>
            <w:shd w:val="clear" w:color="auto" w:fill="auto"/>
          </w:tcPr>
          <w:p w14:paraId="541BFA1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24</w:t>
            </w:r>
          </w:p>
        </w:tc>
        <w:tc>
          <w:tcPr>
            <w:tcW w:w="1325" w:type="dxa"/>
          </w:tcPr>
          <w:p w14:paraId="505667C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DD7F6D7"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05DFE23D" w14:textId="77777777" w:rsidTr="009A38DB">
        <w:trPr>
          <w:trHeight w:val="449"/>
        </w:trPr>
        <w:tc>
          <w:tcPr>
            <w:tcW w:w="2199" w:type="dxa"/>
            <w:vMerge/>
          </w:tcPr>
          <w:p w14:paraId="116489B2"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6B8352EB"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05/17</w:t>
            </w:r>
          </w:p>
        </w:tc>
        <w:tc>
          <w:tcPr>
            <w:tcW w:w="1123" w:type="dxa"/>
            <w:shd w:val="clear" w:color="auto" w:fill="auto"/>
          </w:tcPr>
          <w:p w14:paraId="2810EEEB"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39</w:t>
            </w:r>
          </w:p>
        </w:tc>
        <w:tc>
          <w:tcPr>
            <w:tcW w:w="1123" w:type="dxa"/>
            <w:shd w:val="clear" w:color="auto" w:fill="auto"/>
          </w:tcPr>
          <w:p w14:paraId="2CAA766D"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24</w:t>
            </w:r>
          </w:p>
        </w:tc>
        <w:tc>
          <w:tcPr>
            <w:tcW w:w="1325" w:type="dxa"/>
          </w:tcPr>
          <w:p w14:paraId="228E114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3F38ECC4"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4A2F5EE6" w14:textId="77777777" w:rsidTr="009A38DB">
        <w:trPr>
          <w:trHeight w:val="436"/>
        </w:trPr>
        <w:tc>
          <w:tcPr>
            <w:tcW w:w="2199" w:type="dxa"/>
            <w:vMerge/>
          </w:tcPr>
          <w:p w14:paraId="78F6F920"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2B3BFA12"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10/17</w:t>
            </w:r>
          </w:p>
        </w:tc>
        <w:tc>
          <w:tcPr>
            <w:tcW w:w="1123" w:type="dxa"/>
            <w:shd w:val="clear" w:color="auto" w:fill="auto"/>
          </w:tcPr>
          <w:p w14:paraId="36F55FCD"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56</w:t>
            </w:r>
          </w:p>
        </w:tc>
        <w:tc>
          <w:tcPr>
            <w:tcW w:w="1123" w:type="dxa"/>
            <w:shd w:val="clear" w:color="auto" w:fill="auto"/>
          </w:tcPr>
          <w:p w14:paraId="7E691E7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30</w:t>
            </w:r>
          </w:p>
        </w:tc>
        <w:tc>
          <w:tcPr>
            <w:tcW w:w="1325" w:type="dxa"/>
          </w:tcPr>
          <w:p w14:paraId="21C21FF5"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2F50CF5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E175A35" w14:textId="77777777" w:rsidTr="009A38DB">
        <w:trPr>
          <w:trHeight w:val="449"/>
        </w:trPr>
        <w:tc>
          <w:tcPr>
            <w:tcW w:w="2199" w:type="dxa"/>
            <w:vMerge w:val="restart"/>
          </w:tcPr>
          <w:p w14:paraId="5D6752A7" w14:textId="611D0245"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Trientine-2HCl + zinc</w:t>
            </w:r>
          </w:p>
        </w:tc>
        <w:tc>
          <w:tcPr>
            <w:tcW w:w="1531" w:type="dxa"/>
          </w:tcPr>
          <w:p w14:paraId="639B059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01/18</w:t>
            </w:r>
          </w:p>
        </w:tc>
        <w:tc>
          <w:tcPr>
            <w:tcW w:w="1123" w:type="dxa"/>
            <w:shd w:val="clear" w:color="auto" w:fill="auto"/>
          </w:tcPr>
          <w:p w14:paraId="4D322F1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69</w:t>
            </w:r>
          </w:p>
        </w:tc>
        <w:tc>
          <w:tcPr>
            <w:tcW w:w="1123" w:type="dxa"/>
            <w:shd w:val="clear" w:color="auto" w:fill="auto"/>
          </w:tcPr>
          <w:p w14:paraId="1944AEB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36</w:t>
            </w:r>
          </w:p>
        </w:tc>
        <w:tc>
          <w:tcPr>
            <w:tcW w:w="1325" w:type="dxa"/>
          </w:tcPr>
          <w:p w14:paraId="7AF06365"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7322189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9FD8B03" w14:textId="77777777" w:rsidTr="009A38DB">
        <w:trPr>
          <w:trHeight w:val="449"/>
        </w:trPr>
        <w:tc>
          <w:tcPr>
            <w:tcW w:w="2199" w:type="dxa"/>
            <w:vMerge/>
          </w:tcPr>
          <w:p w14:paraId="60ECAA59"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02EA328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04/18</w:t>
            </w:r>
          </w:p>
        </w:tc>
        <w:tc>
          <w:tcPr>
            <w:tcW w:w="1123" w:type="dxa"/>
            <w:shd w:val="clear" w:color="auto" w:fill="auto"/>
          </w:tcPr>
          <w:p w14:paraId="6DA2119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24</w:t>
            </w:r>
          </w:p>
        </w:tc>
        <w:tc>
          <w:tcPr>
            <w:tcW w:w="1123" w:type="dxa"/>
            <w:shd w:val="clear" w:color="auto" w:fill="auto"/>
          </w:tcPr>
          <w:p w14:paraId="7D894A1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23</w:t>
            </w:r>
          </w:p>
        </w:tc>
        <w:tc>
          <w:tcPr>
            <w:tcW w:w="1325" w:type="dxa"/>
          </w:tcPr>
          <w:p w14:paraId="16ED01F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D705870"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AD0CB54" w14:textId="77777777" w:rsidTr="009A38DB">
        <w:trPr>
          <w:trHeight w:val="449"/>
        </w:trPr>
        <w:tc>
          <w:tcPr>
            <w:tcW w:w="2199" w:type="dxa"/>
            <w:vMerge/>
          </w:tcPr>
          <w:p w14:paraId="0ECAF97D"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5F6DBE2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08/18</w:t>
            </w:r>
          </w:p>
        </w:tc>
        <w:tc>
          <w:tcPr>
            <w:tcW w:w="1123" w:type="dxa"/>
            <w:shd w:val="clear" w:color="auto" w:fill="auto"/>
          </w:tcPr>
          <w:p w14:paraId="10240C6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41</w:t>
            </w:r>
          </w:p>
        </w:tc>
        <w:tc>
          <w:tcPr>
            <w:tcW w:w="1123" w:type="dxa"/>
            <w:shd w:val="clear" w:color="auto" w:fill="auto"/>
          </w:tcPr>
          <w:p w14:paraId="51FD5E8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40</w:t>
            </w:r>
          </w:p>
        </w:tc>
        <w:tc>
          <w:tcPr>
            <w:tcW w:w="1325" w:type="dxa"/>
          </w:tcPr>
          <w:p w14:paraId="002146D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7A6F34F"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11574BE6" w14:textId="77777777" w:rsidTr="009A38DB">
        <w:trPr>
          <w:trHeight w:val="436"/>
        </w:trPr>
        <w:tc>
          <w:tcPr>
            <w:tcW w:w="2199" w:type="dxa"/>
            <w:vMerge/>
          </w:tcPr>
          <w:p w14:paraId="3715557A"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7BC47208"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10/18</w:t>
            </w:r>
          </w:p>
        </w:tc>
        <w:tc>
          <w:tcPr>
            <w:tcW w:w="1123" w:type="dxa"/>
            <w:shd w:val="clear" w:color="auto" w:fill="auto"/>
          </w:tcPr>
          <w:p w14:paraId="3A57A7E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66</w:t>
            </w:r>
          </w:p>
        </w:tc>
        <w:tc>
          <w:tcPr>
            <w:tcW w:w="1123" w:type="dxa"/>
            <w:shd w:val="clear" w:color="auto" w:fill="auto"/>
          </w:tcPr>
          <w:p w14:paraId="4FD0FA4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30</w:t>
            </w:r>
          </w:p>
        </w:tc>
        <w:tc>
          <w:tcPr>
            <w:tcW w:w="1325" w:type="dxa"/>
          </w:tcPr>
          <w:p w14:paraId="1F1F03F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03E8B43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61D705A0" w14:textId="77777777" w:rsidTr="009A38DB">
        <w:trPr>
          <w:trHeight w:val="898"/>
        </w:trPr>
        <w:tc>
          <w:tcPr>
            <w:tcW w:w="2199" w:type="dxa"/>
          </w:tcPr>
          <w:p w14:paraId="01A67922" w14:textId="30ECF566"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Trientine-2HCl</w:t>
            </w:r>
          </w:p>
        </w:tc>
        <w:tc>
          <w:tcPr>
            <w:tcW w:w="1531" w:type="dxa"/>
          </w:tcPr>
          <w:p w14:paraId="0DC122D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05/19</w:t>
            </w:r>
          </w:p>
        </w:tc>
        <w:tc>
          <w:tcPr>
            <w:tcW w:w="1123" w:type="dxa"/>
            <w:shd w:val="clear" w:color="auto" w:fill="auto"/>
          </w:tcPr>
          <w:p w14:paraId="4562A11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174</w:t>
            </w:r>
          </w:p>
        </w:tc>
        <w:tc>
          <w:tcPr>
            <w:tcW w:w="1123" w:type="dxa"/>
            <w:shd w:val="clear" w:color="auto" w:fill="auto"/>
          </w:tcPr>
          <w:p w14:paraId="73C9F8E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61</w:t>
            </w:r>
          </w:p>
        </w:tc>
        <w:tc>
          <w:tcPr>
            <w:tcW w:w="1325" w:type="dxa"/>
          </w:tcPr>
          <w:p w14:paraId="265E3C5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ND</w:t>
            </w:r>
          </w:p>
        </w:tc>
        <w:tc>
          <w:tcPr>
            <w:tcW w:w="2093" w:type="dxa"/>
            <w:shd w:val="clear" w:color="auto" w:fill="auto"/>
          </w:tcPr>
          <w:p w14:paraId="083E873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A1F187B" w14:textId="77777777" w:rsidTr="009A38DB">
        <w:trPr>
          <w:trHeight w:val="436"/>
        </w:trPr>
        <w:tc>
          <w:tcPr>
            <w:tcW w:w="2199" w:type="dxa"/>
            <w:vMerge w:val="restart"/>
          </w:tcPr>
          <w:p w14:paraId="3DEF00CB" w14:textId="0D8F05DA"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Trientine-4HCl</w:t>
            </w:r>
          </w:p>
        </w:tc>
        <w:tc>
          <w:tcPr>
            <w:tcW w:w="1531" w:type="dxa"/>
          </w:tcPr>
          <w:p w14:paraId="7B3BCC17"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07/19</w:t>
            </w:r>
          </w:p>
        </w:tc>
        <w:tc>
          <w:tcPr>
            <w:tcW w:w="1123" w:type="dxa"/>
            <w:shd w:val="clear" w:color="auto" w:fill="auto"/>
          </w:tcPr>
          <w:p w14:paraId="40118737"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245</w:t>
            </w:r>
          </w:p>
        </w:tc>
        <w:tc>
          <w:tcPr>
            <w:tcW w:w="1123" w:type="dxa"/>
            <w:shd w:val="clear" w:color="auto" w:fill="auto"/>
          </w:tcPr>
          <w:p w14:paraId="7B7D225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74</w:t>
            </w:r>
          </w:p>
        </w:tc>
        <w:tc>
          <w:tcPr>
            <w:tcW w:w="1325" w:type="dxa"/>
          </w:tcPr>
          <w:p w14:paraId="0A9C64B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51</w:t>
            </w:r>
          </w:p>
        </w:tc>
        <w:tc>
          <w:tcPr>
            <w:tcW w:w="2093" w:type="dxa"/>
            <w:shd w:val="clear" w:color="auto" w:fill="auto"/>
          </w:tcPr>
          <w:p w14:paraId="2CD1726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10</w:t>
            </w:r>
          </w:p>
        </w:tc>
      </w:tr>
      <w:tr w:rsidR="00973819" w:rsidRPr="00973819" w14:paraId="032CFA29" w14:textId="77777777" w:rsidTr="009A38DB">
        <w:trPr>
          <w:trHeight w:val="449"/>
        </w:trPr>
        <w:tc>
          <w:tcPr>
            <w:tcW w:w="2199" w:type="dxa"/>
            <w:vMerge/>
          </w:tcPr>
          <w:p w14:paraId="15FB2DEF"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73F66DB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08/19</w:t>
            </w:r>
          </w:p>
        </w:tc>
        <w:tc>
          <w:tcPr>
            <w:tcW w:w="1123" w:type="dxa"/>
            <w:shd w:val="clear" w:color="auto" w:fill="auto"/>
          </w:tcPr>
          <w:p w14:paraId="4FDB32F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285</w:t>
            </w:r>
          </w:p>
        </w:tc>
        <w:tc>
          <w:tcPr>
            <w:tcW w:w="1123" w:type="dxa"/>
            <w:shd w:val="clear" w:color="auto" w:fill="auto"/>
          </w:tcPr>
          <w:p w14:paraId="273FC7F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80</w:t>
            </w:r>
          </w:p>
        </w:tc>
        <w:tc>
          <w:tcPr>
            <w:tcW w:w="1325" w:type="dxa"/>
          </w:tcPr>
          <w:p w14:paraId="54E7F19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76</w:t>
            </w:r>
          </w:p>
        </w:tc>
        <w:tc>
          <w:tcPr>
            <w:tcW w:w="2093" w:type="dxa"/>
            <w:shd w:val="clear" w:color="auto" w:fill="auto"/>
          </w:tcPr>
          <w:p w14:paraId="612C7FB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0874AEC1" w14:textId="77777777" w:rsidTr="009A38DB">
        <w:trPr>
          <w:trHeight w:val="449"/>
        </w:trPr>
        <w:tc>
          <w:tcPr>
            <w:tcW w:w="2199" w:type="dxa"/>
            <w:vMerge/>
          </w:tcPr>
          <w:p w14:paraId="6F85A679"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2623093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09/19</w:t>
            </w:r>
          </w:p>
        </w:tc>
        <w:tc>
          <w:tcPr>
            <w:tcW w:w="1123" w:type="dxa"/>
            <w:shd w:val="clear" w:color="auto" w:fill="auto"/>
          </w:tcPr>
          <w:p w14:paraId="2925D528"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297</w:t>
            </w:r>
          </w:p>
        </w:tc>
        <w:tc>
          <w:tcPr>
            <w:tcW w:w="1123" w:type="dxa"/>
            <w:shd w:val="clear" w:color="auto" w:fill="auto"/>
          </w:tcPr>
          <w:p w14:paraId="2B6F264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90</w:t>
            </w:r>
          </w:p>
        </w:tc>
        <w:tc>
          <w:tcPr>
            <w:tcW w:w="1325" w:type="dxa"/>
          </w:tcPr>
          <w:p w14:paraId="621BC42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67</w:t>
            </w:r>
          </w:p>
        </w:tc>
        <w:tc>
          <w:tcPr>
            <w:tcW w:w="2093" w:type="dxa"/>
            <w:shd w:val="clear" w:color="auto" w:fill="auto"/>
          </w:tcPr>
          <w:p w14:paraId="5E414158"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19FABE16" w14:textId="77777777" w:rsidTr="009A38DB">
        <w:trPr>
          <w:trHeight w:val="449"/>
        </w:trPr>
        <w:tc>
          <w:tcPr>
            <w:tcW w:w="2199" w:type="dxa"/>
            <w:vMerge/>
          </w:tcPr>
          <w:p w14:paraId="7F60D729"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30FC6B3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10/19</w:t>
            </w:r>
          </w:p>
        </w:tc>
        <w:tc>
          <w:tcPr>
            <w:tcW w:w="1123" w:type="dxa"/>
            <w:shd w:val="clear" w:color="auto" w:fill="auto"/>
          </w:tcPr>
          <w:p w14:paraId="5EA9D3A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367</w:t>
            </w:r>
          </w:p>
        </w:tc>
        <w:tc>
          <w:tcPr>
            <w:tcW w:w="1123" w:type="dxa"/>
            <w:shd w:val="clear" w:color="auto" w:fill="auto"/>
          </w:tcPr>
          <w:p w14:paraId="342A849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81</w:t>
            </w:r>
          </w:p>
        </w:tc>
        <w:tc>
          <w:tcPr>
            <w:tcW w:w="1325" w:type="dxa"/>
          </w:tcPr>
          <w:p w14:paraId="5E2E630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87</w:t>
            </w:r>
          </w:p>
        </w:tc>
        <w:tc>
          <w:tcPr>
            <w:tcW w:w="2093" w:type="dxa"/>
            <w:shd w:val="clear" w:color="auto" w:fill="auto"/>
          </w:tcPr>
          <w:p w14:paraId="349A2E9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5C63DAC3" w14:textId="77777777" w:rsidTr="009A38DB">
        <w:trPr>
          <w:trHeight w:val="436"/>
        </w:trPr>
        <w:tc>
          <w:tcPr>
            <w:tcW w:w="2199" w:type="dxa"/>
            <w:vMerge/>
          </w:tcPr>
          <w:p w14:paraId="435B1A4C"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18546DB3"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11/19</w:t>
            </w:r>
          </w:p>
        </w:tc>
        <w:tc>
          <w:tcPr>
            <w:tcW w:w="1123" w:type="dxa"/>
            <w:shd w:val="clear" w:color="auto" w:fill="auto"/>
          </w:tcPr>
          <w:p w14:paraId="7A012F4F"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417</w:t>
            </w:r>
          </w:p>
        </w:tc>
        <w:tc>
          <w:tcPr>
            <w:tcW w:w="1123" w:type="dxa"/>
            <w:shd w:val="clear" w:color="auto" w:fill="auto"/>
          </w:tcPr>
          <w:p w14:paraId="1A80EE40"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107</w:t>
            </w:r>
          </w:p>
        </w:tc>
        <w:tc>
          <w:tcPr>
            <w:tcW w:w="1325" w:type="dxa"/>
          </w:tcPr>
          <w:p w14:paraId="5F40CD2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76</w:t>
            </w:r>
          </w:p>
        </w:tc>
        <w:tc>
          <w:tcPr>
            <w:tcW w:w="2093" w:type="dxa"/>
            <w:shd w:val="clear" w:color="auto" w:fill="auto"/>
          </w:tcPr>
          <w:p w14:paraId="540B9BC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D44DF0C" w14:textId="77777777" w:rsidTr="009A38DB">
        <w:trPr>
          <w:trHeight w:val="449"/>
        </w:trPr>
        <w:tc>
          <w:tcPr>
            <w:tcW w:w="2199" w:type="dxa"/>
            <w:vMerge w:val="restart"/>
          </w:tcPr>
          <w:p w14:paraId="7DCC50E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D-penicillamine</w:t>
            </w:r>
          </w:p>
        </w:tc>
        <w:tc>
          <w:tcPr>
            <w:tcW w:w="1531" w:type="dxa"/>
          </w:tcPr>
          <w:p w14:paraId="44925BB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04/12/19</w:t>
            </w:r>
          </w:p>
        </w:tc>
        <w:tc>
          <w:tcPr>
            <w:tcW w:w="1123" w:type="dxa"/>
            <w:shd w:val="clear" w:color="auto" w:fill="auto"/>
          </w:tcPr>
          <w:p w14:paraId="3DD673E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505</w:t>
            </w:r>
          </w:p>
        </w:tc>
        <w:tc>
          <w:tcPr>
            <w:tcW w:w="1123" w:type="dxa"/>
            <w:shd w:val="clear" w:color="auto" w:fill="auto"/>
          </w:tcPr>
          <w:p w14:paraId="6729EDC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128</w:t>
            </w:r>
          </w:p>
        </w:tc>
        <w:tc>
          <w:tcPr>
            <w:tcW w:w="1325" w:type="dxa"/>
          </w:tcPr>
          <w:p w14:paraId="4E943C0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79</w:t>
            </w:r>
          </w:p>
        </w:tc>
        <w:tc>
          <w:tcPr>
            <w:tcW w:w="2093" w:type="dxa"/>
            <w:shd w:val="clear" w:color="auto" w:fill="auto"/>
          </w:tcPr>
          <w:p w14:paraId="27D04DC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33F3F0AF" w14:textId="77777777" w:rsidTr="009A38DB">
        <w:trPr>
          <w:trHeight w:val="449"/>
        </w:trPr>
        <w:tc>
          <w:tcPr>
            <w:tcW w:w="2199" w:type="dxa"/>
            <w:vMerge/>
          </w:tcPr>
          <w:p w14:paraId="562DD70E"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11FE11E0"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10/12/19</w:t>
            </w:r>
          </w:p>
        </w:tc>
        <w:tc>
          <w:tcPr>
            <w:tcW w:w="1123" w:type="dxa"/>
            <w:shd w:val="clear" w:color="auto" w:fill="auto"/>
          </w:tcPr>
          <w:p w14:paraId="5B00879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571</w:t>
            </w:r>
          </w:p>
        </w:tc>
        <w:tc>
          <w:tcPr>
            <w:tcW w:w="1123" w:type="dxa"/>
            <w:shd w:val="clear" w:color="auto" w:fill="auto"/>
          </w:tcPr>
          <w:p w14:paraId="3E5E245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147</w:t>
            </w:r>
          </w:p>
        </w:tc>
        <w:tc>
          <w:tcPr>
            <w:tcW w:w="1325" w:type="dxa"/>
          </w:tcPr>
          <w:p w14:paraId="3CA5D755"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77</w:t>
            </w:r>
          </w:p>
        </w:tc>
        <w:tc>
          <w:tcPr>
            <w:tcW w:w="2093" w:type="dxa"/>
            <w:shd w:val="clear" w:color="auto" w:fill="auto"/>
          </w:tcPr>
          <w:p w14:paraId="41429FA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4830DD18" w14:textId="77777777" w:rsidTr="009A38DB">
        <w:trPr>
          <w:trHeight w:val="449"/>
        </w:trPr>
        <w:tc>
          <w:tcPr>
            <w:tcW w:w="2199" w:type="dxa"/>
            <w:vMerge/>
          </w:tcPr>
          <w:p w14:paraId="30653EB2"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52DDADF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17/12/19</w:t>
            </w:r>
          </w:p>
        </w:tc>
        <w:tc>
          <w:tcPr>
            <w:tcW w:w="1123" w:type="dxa"/>
            <w:shd w:val="clear" w:color="auto" w:fill="auto"/>
          </w:tcPr>
          <w:p w14:paraId="1D689FE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409</w:t>
            </w:r>
          </w:p>
        </w:tc>
        <w:tc>
          <w:tcPr>
            <w:tcW w:w="1123" w:type="dxa"/>
            <w:shd w:val="clear" w:color="auto" w:fill="auto"/>
          </w:tcPr>
          <w:p w14:paraId="51CAFDF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109</w:t>
            </w:r>
          </w:p>
        </w:tc>
        <w:tc>
          <w:tcPr>
            <w:tcW w:w="1325" w:type="dxa"/>
          </w:tcPr>
          <w:p w14:paraId="737EBF07"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78</w:t>
            </w:r>
          </w:p>
        </w:tc>
        <w:tc>
          <w:tcPr>
            <w:tcW w:w="2093" w:type="dxa"/>
            <w:shd w:val="clear" w:color="auto" w:fill="auto"/>
          </w:tcPr>
          <w:p w14:paraId="607373D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6C08A522" w14:textId="77777777" w:rsidTr="009A38DB">
        <w:trPr>
          <w:trHeight w:val="121"/>
        </w:trPr>
        <w:tc>
          <w:tcPr>
            <w:tcW w:w="2199" w:type="dxa"/>
          </w:tcPr>
          <w:p w14:paraId="1B50D5EF"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D-penicillamine</w:t>
            </w:r>
          </w:p>
          <w:p w14:paraId="46F234E7" w14:textId="072BE155"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+Prednisolone</w:t>
            </w:r>
          </w:p>
        </w:tc>
        <w:tc>
          <w:tcPr>
            <w:tcW w:w="1531" w:type="dxa"/>
          </w:tcPr>
          <w:p w14:paraId="581F6D75" w14:textId="6415461E" w:rsidR="00973819" w:rsidRPr="00973819" w:rsidRDefault="00973819" w:rsidP="00A12B72">
            <w:pPr>
              <w:pStyle w:val="MDPI42tablebody"/>
              <w:spacing w:line="360" w:lineRule="auto"/>
              <w:jc w:val="both"/>
              <w:rPr>
                <w:rFonts w:ascii="Book Antiqua" w:hAnsi="Book Antiqua"/>
                <w:sz w:val="24"/>
                <w:szCs w:val="24"/>
              </w:rPr>
            </w:pPr>
          </w:p>
        </w:tc>
        <w:tc>
          <w:tcPr>
            <w:tcW w:w="1123" w:type="dxa"/>
            <w:shd w:val="clear" w:color="auto" w:fill="auto"/>
          </w:tcPr>
          <w:p w14:paraId="48B70562" w14:textId="11BCCA1F" w:rsidR="00973819" w:rsidRPr="00973819" w:rsidRDefault="00973819" w:rsidP="00A12B72">
            <w:pPr>
              <w:pStyle w:val="MDPI42tablebody"/>
              <w:spacing w:line="360" w:lineRule="auto"/>
              <w:jc w:val="both"/>
              <w:rPr>
                <w:rFonts w:ascii="Book Antiqua" w:hAnsi="Book Antiqua"/>
                <w:sz w:val="24"/>
                <w:szCs w:val="24"/>
              </w:rPr>
            </w:pPr>
          </w:p>
        </w:tc>
        <w:tc>
          <w:tcPr>
            <w:tcW w:w="1123" w:type="dxa"/>
            <w:shd w:val="clear" w:color="auto" w:fill="auto"/>
          </w:tcPr>
          <w:p w14:paraId="30565F50" w14:textId="564F2072" w:rsidR="00973819" w:rsidRPr="00973819" w:rsidRDefault="00973819" w:rsidP="00A12B72">
            <w:pPr>
              <w:pStyle w:val="MDPI42tablebody"/>
              <w:spacing w:line="360" w:lineRule="auto"/>
              <w:jc w:val="both"/>
              <w:rPr>
                <w:rFonts w:ascii="Book Antiqua" w:hAnsi="Book Antiqua"/>
                <w:sz w:val="24"/>
                <w:szCs w:val="24"/>
              </w:rPr>
            </w:pPr>
          </w:p>
        </w:tc>
        <w:tc>
          <w:tcPr>
            <w:tcW w:w="1325" w:type="dxa"/>
          </w:tcPr>
          <w:p w14:paraId="7C934A50" w14:textId="76D9EF24" w:rsidR="00973819" w:rsidRPr="00973819" w:rsidRDefault="00973819" w:rsidP="00A12B72">
            <w:pPr>
              <w:pStyle w:val="MDPI42tablebody"/>
              <w:spacing w:line="360" w:lineRule="auto"/>
              <w:jc w:val="both"/>
              <w:rPr>
                <w:rFonts w:ascii="Book Antiqua" w:hAnsi="Book Antiqua"/>
                <w:sz w:val="24"/>
                <w:szCs w:val="24"/>
              </w:rPr>
            </w:pPr>
          </w:p>
        </w:tc>
        <w:tc>
          <w:tcPr>
            <w:tcW w:w="2093" w:type="dxa"/>
            <w:shd w:val="clear" w:color="auto" w:fill="auto"/>
          </w:tcPr>
          <w:p w14:paraId="3996DF7E" w14:textId="3413683A" w:rsidR="00973819" w:rsidRPr="00973819" w:rsidRDefault="00973819" w:rsidP="00A12B72">
            <w:pPr>
              <w:pStyle w:val="MDPI42tablebody"/>
              <w:spacing w:line="360" w:lineRule="auto"/>
              <w:jc w:val="both"/>
              <w:rPr>
                <w:rFonts w:ascii="Book Antiqua" w:hAnsi="Book Antiqua"/>
                <w:sz w:val="24"/>
                <w:szCs w:val="24"/>
              </w:rPr>
            </w:pPr>
          </w:p>
        </w:tc>
      </w:tr>
      <w:tr w:rsidR="00973819" w:rsidRPr="00973819" w14:paraId="37E3319B" w14:textId="77777777" w:rsidTr="009A38DB">
        <w:trPr>
          <w:trHeight w:val="121"/>
        </w:trPr>
        <w:tc>
          <w:tcPr>
            <w:tcW w:w="2199" w:type="dxa"/>
          </w:tcPr>
          <w:p w14:paraId="0388BA47" w14:textId="66984C07" w:rsidR="00973819" w:rsidRPr="00973819" w:rsidRDefault="00973819" w:rsidP="00A12B72">
            <w:pPr>
              <w:pStyle w:val="MDPI42tablebody"/>
              <w:spacing w:line="360" w:lineRule="auto"/>
              <w:ind w:firstLineChars="100" w:firstLine="240"/>
              <w:jc w:val="both"/>
              <w:rPr>
                <w:rFonts w:ascii="Book Antiqua" w:hAnsi="Book Antiqua"/>
                <w:sz w:val="24"/>
                <w:szCs w:val="24"/>
              </w:rPr>
            </w:pPr>
            <w:r w:rsidRPr="00973819">
              <w:rPr>
                <w:rFonts w:ascii="Book Antiqua" w:hAnsi="Book Antiqua"/>
                <w:sz w:val="24"/>
                <w:szCs w:val="24"/>
              </w:rPr>
              <w:t>40 mg</w:t>
            </w:r>
          </w:p>
        </w:tc>
        <w:tc>
          <w:tcPr>
            <w:tcW w:w="1531" w:type="dxa"/>
          </w:tcPr>
          <w:p w14:paraId="66FF8F8C" w14:textId="7BA9A3CC"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15/01/20</w:t>
            </w:r>
          </w:p>
        </w:tc>
        <w:tc>
          <w:tcPr>
            <w:tcW w:w="1123" w:type="dxa"/>
            <w:shd w:val="clear" w:color="auto" w:fill="auto"/>
          </w:tcPr>
          <w:p w14:paraId="7532DA94" w14:textId="35FDC198"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416</w:t>
            </w:r>
          </w:p>
        </w:tc>
        <w:tc>
          <w:tcPr>
            <w:tcW w:w="1123" w:type="dxa"/>
            <w:shd w:val="clear" w:color="auto" w:fill="auto"/>
          </w:tcPr>
          <w:p w14:paraId="3AF84F1C" w14:textId="62F8C10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135</w:t>
            </w:r>
          </w:p>
        </w:tc>
        <w:tc>
          <w:tcPr>
            <w:tcW w:w="1325" w:type="dxa"/>
          </w:tcPr>
          <w:p w14:paraId="62FFBC03" w14:textId="7C1311F2"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59</w:t>
            </w:r>
          </w:p>
        </w:tc>
        <w:tc>
          <w:tcPr>
            <w:tcW w:w="2093" w:type="dxa"/>
            <w:shd w:val="clear" w:color="auto" w:fill="auto"/>
          </w:tcPr>
          <w:p w14:paraId="07DCACF0" w14:textId="02A46548"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2FFE18F3" w14:textId="77777777" w:rsidTr="009A38DB">
        <w:trPr>
          <w:trHeight w:val="121"/>
        </w:trPr>
        <w:tc>
          <w:tcPr>
            <w:tcW w:w="2199" w:type="dxa"/>
          </w:tcPr>
          <w:p w14:paraId="22B40AAE" w14:textId="3827F38C" w:rsidR="00973819" w:rsidRPr="00973819" w:rsidRDefault="00973819" w:rsidP="00A12B72">
            <w:pPr>
              <w:pStyle w:val="MDPI42tablebody"/>
              <w:spacing w:line="360" w:lineRule="auto"/>
              <w:ind w:firstLineChars="100" w:firstLine="240"/>
              <w:jc w:val="both"/>
              <w:rPr>
                <w:rFonts w:ascii="Book Antiqua" w:hAnsi="Book Antiqua"/>
                <w:sz w:val="24"/>
                <w:szCs w:val="24"/>
              </w:rPr>
            </w:pPr>
            <w:r w:rsidRPr="00973819">
              <w:rPr>
                <w:rFonts w:ascii="Book Antiqua" w:hAnsi="Book Antiqua"/>
                <w:sz w:val="24"/>
                <w:szCs w:val="24"/>
              </w:rPr>
              <w:t>40 mg</w:t>
            </w:r>
          </w:p>
        </w:tc>
        <w:tc>
          <w:tcPr>
            <w:tcW w:w="1531" w:type="dxa"/>
          </w:tcPr>
          <w:p w14:paraId="5D55D777" w14:textId="478F76A5"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30/01/20</w:t>
            </w:r>
          </w:p>
        </w:tc>
        <w:tc>
          <w:tcPr>
            <w:tcW w:w="1123" w:type="dxa"/>
            <w:shd w:val="clear" w:color="auto" w:fill="auto"/>
          </w:tcPr>
          <w:p w14:paraId="4137E259" w14:textId="65C77C1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268</w:t>
            </w:r>
          </w:p>
        </w:tc>
        <w:tc>
          <w:tcPr>
            <w:tcW w:w="1123" w:type="dxa"/>
            <w:shd w:val="clear" w:color="auto" w:fill="auto"/>
          </w:tcPr>
          <w:p w14:paraId="17F33C50" w14:textId="30F1857B"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79</w:t>
            </w:r>
          </w:p>
        </w:tc>
        <w:tc>
          <w:tcPr>
            <w:tcW w:w="1325" w:type="dxa"/>
          </w:tcPr>
          <w:p w14:paraId="695D8394" w14:textId="3C9A9FD1"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56</w:t>
            </w:r>
          </w:p>
        </w:tc>
        <w:tc>
          <w:tcPr>
            <w:tcW w:w="2093" w:type="dxa"/>
            <w:shd w:val="clear" w:color="auto" w:fill="auto"/>
          </w:tcPr>
          <w:p w14:paraId="438DBFA6" w14:textId="12F1F07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4DFD0C04" w14:textId="77777777" w:rsidTr="009A38DB">
        <w:trPr>
          <w:trHeight w:val="121"/>
        </w:trPr>
        <w:tc>
          <w:tcPr>
            <w:tcW w:w="2199" w:type="dxa"/>
          </w:tcPr>
          <w:p w14:paraId="420FED5B" w14:textId="6FB72523" w:rsidR="00973819" w:rsidRPr="00973819" w:rsidRDefault="00973819" w:rsidP="00A12B72">
            <w:pPr>
              <w:pStyle w:val="MDPI42tablebody"/>
              <w:spacing w:line="360" w:lineRule="auto"/>
              <w:ind w:firstLineChars="100" w:firstLine="240"/>
              <w:jc w:val="both"/>
              <w:rPr>
                <w:rFonts w:ascii="Book Antiqua" w:hAnsi="Book Antiqua"/>
                <w:sz w:val="24"/>
                <w:szCs w:val="24"/>
              </w:rPr>
            </w:pPr>
            <w:r w:rsidRPr="00973819">
              <w:rPr>
                <w:rFonts w:ascii="Book Antiqua" w:hAnsi="Book Antiqua"/>
                <w:sz w:val="24"/>
                <w:szCs w:val="24"/>
              </w:rPr>
              <w:t>20 mg</w:t>
            </w:r>
          </w:p>
        </w:tc>
        <w:tc>
          <w:tcPr>
            <w:tcW w:w="1531" w:type="dxa"/>
          </w:tcPr>
          <w:p w14:paraId="55B629F8" w14:textId="66A3C3E6"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18/02/20</w:t>
            </w:r>
          </w:p>
        </w:tc>
        <w:tc>
          <w:tcPr>
            <w:tcW w:w="1123" w:type="dxa"/>
            <w:shd w:val="clear" w:color="auto" w:fill="auto"/>
          </w:tcPr>
          <w:p w14:paraId="4874E03E" w14:textId="339F3C40"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170</w:t>
            </w:r>
          </w:p>
        </w:tc>
        <w:tc>
          <w:tcPr>
            <w:tcW w:w="1123" w:type="dxa"/>
            <w:shd w:val="clear" w:color="auto" w:fill="auto"/>
          </w:tcPr>
          <w:p w14:paraId="46CB797F" w14:textId="7ED73A1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47</w:t>
            </w:r>
          </w:p>
        </w:tc>
        <w:tc>
          <w:tcPr>
            <w:tcW w:w="1325" w:type="dxa"/>
          </w:tcPr>
          <w:p w14:paraId="0700E837" w14:textId="21DC7234"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54</w:t>
            </w:r>
          </w:p>
        </w:tc>
        <w:tc>
          <w:tcPr>
            <w:tcW w:w="2093" w:type="dxa"/>
            <w:shd w:val="clear" w:color="auto" w:fill="auto"/>
          </w:tcPr>
          <w:p w14:paraId="48D928BF" w14:textId="2115F375"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69A3D710" w14:textId="77777777" w:rsidTr="009A38DB">
        <w:trPr>
          <w:trHeight w:val="121"/>
        </w:trPr>
        <w:tc>
          <w:tcPr>
            <w:tcW w:w="2199" w:type="dxa"/>
          </w:tcPr>
          <w:p w14:paraId="7FC2CD1E" w14:textId="6018A367" w:rsidR="00973819" w:rsidRPr="00973819" w:rsidRDefault="00973819" w:rsidP="00A12B72">
            <w:pPr>
              <w:pStyle w:val="MDPI42tablebody"/>
              <w:spacing w:line="360" w:lineRule="auto"/>
              <w:ind w:firstLineChars="100" w:firstLine="240"/>
              <w:jc w:val="both"/>
              <w:rPr>
                <w:rFonts w:ascii="Book Antiqua" w:hAnsi="Book Antiqua"/>
                <w:sz w:val="24"/>
                <w:szCs w:val="24"/>
              </w:rPr>
            </w:pPr>
            <w:r w:rsidRPr="00973819">
              <w:rPr>
                <w:rFonts w:ascii="Book Antiqua" w:hAnsi="Book Antiqua"/>
                <w:sz w:val="24"/>
                <w:szCs w:val="24"/>
              </w:rPr>
              <w:t>5 mg</w:t>
            </w:r>
          </w:p>
        </w:tc>
        <w:tc>
          <w:tcPr>
            <w:tcW w:w="1531" w:type="dxa"/>
          </w:tcPr>
          <w:p w14:paraId="1ACEAF02" w14:textId="62299CA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15/03/20</w:t>
            </w:r>
          </w:p>
        </w:tc>
        <w:tc>
          <w:tcPr>
            <w:tcW w:w="1123" w:type="dxa"/>
            <w:shd w:val="clear" w:color="auto" w:fill="auto"/>
          </w:tcPr>
          <w:p w14:paraId="061CAA22" w14:textId="716C9C7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84</w:t>
            </w:r>
          </w:p>
        </w:tc>
        <w:tc>
          <w:tcPr>
            <w:tcW w:w="1123" w:type="dxa"/>
            <w:shd w:val="clear" w:color="auto" w:fill="auto"/>
          </w:tcPr>
          <w:p w14:paraId="14B79BFE" w14:textId="6EBC9371"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37</w:t>
            </w:r>
          </w:p>
        </w:tc>
        <w:tc>
          <w:tcPr>
            <w:tcW w:w="1325" w:type="dxa"/>
          </w:tcPr>
          <w:p w14:paraId="62E8173E" w14:textId="5371580D"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33</w:t>
            </w:r>
          </w:p>
        </w:tc>
        <w:tc>
          <w:tcPr>
            <w:tcW w:w="2093" w:type="dxa"/>
            <w:shd w:val="clear" w:color="auto" w:fill="auto"/>
          </w:tcPr>
          <w:p w14:paraId="7CD099A9" w14:textId="3E4BCA42"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2DD95E75" w14:textId="77777777" w:rsidTr="009A38DB">
        <w:trPr>
          <w:trHeight w:val="121"/>
        </w:trPr>
        <w:tc>
          <w:tcPr>
            <w:tcW w:w="2199" w:type="dxa"/>
            <w:vMerge w:val="restart"/>
            <w:tcBorders>
              <w:bottom w:val="single" w:sz="4" w:space="0" w:color="auto"/>
            </w:tcBorders>
          </w:tcPr>
          <w:p w14:paraId="5C3E339A" w14:textId="53304912"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D-penicillamine alone</w:t>
            </w:r>
            <w:r w:rsidR="00A12B72" w:rsidRPr="00A12B72">
              <w:rPr>
                <w:rFonts w:ascii="Book Antiqua" w:hAnsi="Book Antiqua"/>
                <w:sz w:val="24"/>
                <w:szCs w:val="24"/>
                <w:vertAlign w:val="superscript"/>
              </w:rPr>
              <w:t>1</w:t>
            </w:r>
          </w:p>
        </w:tc>
        <w:tc>
          <w:tcPr>
            <w:tcW w:w="1531" w:type="dxa"/>
          </w:tcPr>
          <w:p w14:paraId="341C3B1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25/03/20</w:t>
            </w:r>
          </w:p>
        </w:tc>
        <w:tc>
          <w:tcPr>
            <w:tcW w:w="1123" w:type="dxa"/>
            <w:shd w:val="clear" w:color="auto" w:fill="auto"/>
          </w:tcPr>
          <w:p w14:paraId="3A138A0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168</w:t>
            </w:r>
          </w:p>
        </w:tc>
        <w:tc>
          <w:tcPr>
            <w:tcW w:w="1123" w:type="dxa"/>
            <w:shd w:val="clear" w:color="auto" w:fill="auto"/>
          </w:tcPr>
          <w:p w14:paraId="1AA393A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60</w:t>
            </w:r>
          </w:p>
        </w:tc>
        <w:tc>
          <w:tcPr>
            <w:tcW w:w="1325" w:type="dxa"/>
          </w:tcPr>
          <w:p w14:paraId="106518D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ND</w:t>
            </w:r>
          </w:p>
        </w:tc>
        <w:tc>
          <w:tcPr>
            <w:tcW w:w="2093" w:type="dxa"/>
            <w:shd w:val="clear" w:color="auto" w:fill="auto"/>
          </w:tcPr>
          <w:p w14:paraId="11776E91"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02908044" w14:textId="77777777" w:rsidTr="009A38DB">
        <w:trPr>
          <w:trHeight w:val="121"/>
        </w:trPr>
        <w:tc>
          <w:tcPr>
            <w:tcW w:w="2199" w:type="dxa"/>
            <w:vMerge/>
            <w:tcBorders>
              <w:bottom w:val="single" w:sz="4" w:space="0" w:color="auto"/>
            </w:tcBorders>
          </w:tcPr>
          <w:p w14:paraId="070987AC"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7727D8F3"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color w:val="000000" w:themeColor="text1"/>
                <w:sz w:val="24"/>
                <w:szCs w:val="24"/>
              </w:rPr>
              <w:t>20/4/20</w:t>
            </w:r>
          </w:p>
        </w:tc>
        <w:tc>
          <w:tcPr>
            <w:tcW w:w="1123" w:type="dxa"/>
            <w:shd w:val="clear" w:color="auto" w:fill="auto"/>
          </w:tcPr>
          <w:p w14:paraId="4EBAD37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color w:val="000000" w:themeColor="text1"/>
                <w:sz w:val="24"/>
                <w:szCs w:val="24"/>
              </w:rPr>
              <w:t>117</w:t>
            </w:r>
          </w:p>
        </w:tc>
        <w:tc>
          <w:tcPr>
            <w:tcW w:w="1123" w:type="dxa"/>
            <w:shd w:val="clear" w:color="auto" w:fill="auto"/>
          </w:tcPr>
          <w:p w14:paraId="7050744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color w:val="000000" w:themeColor="text1"/>
                <w:sz w:val="24"/>
                <w:szCs w:val="24"/>
              </w:rPr>
              <w:t>48</w:t>
            </w:r>
          </w:p>
        </w:tc>
        <w:tc>
          <w:tcPr>
            <w:tcW w:w="1325" w:type="dxa"/>
          </w:tcPr>
          <w:p w14:paraId="598A542F" w14:textId="77777777" w:rsidR="00973819" w:rsidRPr="00973819" w:rsidRDefault="00973819" w:rsidP="00A12B72">
            <w:pPr>
              <w:pStyle w:val="MDPI42tablebody"/>
              <w:spacing w:line="360" w:lineRule="auto"/>
              <w:jc w:val="both"/>
              <w:rPr>
                <w:rFonts w:ascii="Book Antiqua" w:hAnsi="Book Antiqua"/>
                <w:sz w:val="24"/>
                <w:szCs w:val="24"/>
              </w:rPr>
            </w:pPr>
          </w:p>
        </w:tc>
        <w:tc>
          <w:tcPr>
            <w:tcW w:w="2093" w:type="dxa"/>
            <w:shd w:val="clear" w:color="auto" w:fill="auto"/>
          </w:tcPr>
          <w:p w14:paraId="2ACC817E" w14:textId="77777777" w:rsidR="00973819" w:rsidRPr="00973819" w:rsidRDefault="00973819" w:rsidP="00A12B72">
            <w:pPr>
              <w:pStyle w:val="MDPI42tablebody"/>
              <w:spacing w:line="360" w:lineRule="auto"/>
              <w:jc w:val="both"/>
              <w:rPr>
                <w:rFonts w:ascii="Book Antiqua" w:hAnsi="Book Antiqua"/>
                <w:sz w:val="24"/>
                <w:szCs w:val="24"/>
              </w:rPr>
            </w:pPr>
          </w:p>
        </w:tc>
      </w:tr>
      <w:tr w:rsidR="00973819" w:rsidRPr="00973819" w14:paraId="4A6CFA0D" w14:textId="77777777" w:rsidTr="009A38DB">
        <w:trPr>
          <w:trHeight w:val="121"/>
        </w:trPr>
        <w:tc>
          <w:tcPr>
            <w:tcW w:w="2199" w:type="dxa"/>
            <w:vMerge/>
            <w:tcBorders>
              <w:bottom w:val="single" w:sz="4" w:space="0" w:color="auto"/>
            </w:tcBorders>
          </w:tcPr>
          <w:p w14:paraId="7C955ABC"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Borders>
              <w:bottom w:val="single" w:sz="4" w:space="0" w:color="auto"/>
            </w:tcBorders>
          </w:tcPr>
          <w:p w14:paraId="4FC023D8"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29/5/20</w:t>
            </w:r>
          </w:p>
        </w:tc>
        <w:tc>
          <w:tcPr>
            <w:tcW w:w="1123" w:type="dxa"/>
            <w:tcBorders>
              <w:bottom w:val="single" w:sz="4" w:space="0" w:color="auto"/>
            </w:tcBorders>
            <w:shd w:val="clear" w:color="auto" w:fill="auto"/>
          </w:tcPr>
          <w:p w14:paraId="192BFF1F"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127</w:t>
            </w:r>
          </w:p>
        </w:tc>
        <w:tc>
          <w:tcPr>
            <w:tcW w:w="1123" w:type="dxa"/>
            <w:tcBorders>
              <w:bottom w:val="single" w:sz="4" w:space="0" w:color="auto"/>
            </w:tcBorders>
            <w:shd w:val="clear" w:color="auto" w:fill="auto"/>
          </w:tcPr>
          <w:p w14:paraId="47E70015"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46</w:t>
            </w:r>
          </w:p>
        </w:tc>
        <w:tc>
          <w:tcPr>
            <w:tcW w:w="1325" w:type="dxa"/>
            <w:tcBorders>
              <w:bottom w:val="single" w:sz="4" w:space="0" w:color="auto"/>
            </w:tcBorders>
          </w:tcPr>
          <w:p w14:paraId="03FB0BD6" w14:textId="77777777" w:rsidR="00973819" w:rsidRPr="00973819" w:rsidRDefault="00973819" w:rsidP="00A12B72">
            <w:pPr>
              <w:pStyle w:val="MDPI42tablebody"/>
              <w:spacing w:line="360" w:lineRule="auto"/>
              <w:jc w:val="both"/>
              <w:rPr>
                <w:rFonts w:ascii="Book Antiqua" w:hAnsi="Book Antiqua"/>
                <w:sz w:val="24"/>
                <w:szCs w:val="24"/>
              </w:rPr>
            </w:pPr>
          </w:p>
        </w:tc>
        <w:tc>
          <w:tcPr>
            <w:tcW w:w="2093" w:type="dxa"/>
            <w:tcBorders>
              <w:bottom w:val="single" w:sz="4" w:space="0" w:color="auto"/>
            </w:tcBorders>
            <w:shd w:val="clear" w:color="auto" w:fill="auto"/>
          </w:tcPr>
          <w:p w14:paraId="5101BAED" w14:textId="77777777" w:rsidR="00973819" w:rsidRPr="00973819" w:rsidRDefault="00973819" w:rsidP="00A12B72">
            <w:pPr>
              <w:pStyle w:val="MDPI42tablebody"/>
              <w:spacing w:line="360" w:lineRule="auto"/>
              <w:jc w:val="both"/>
              <w:rPr>
                <w:rFonts w:ascii="Book Antiqua" w:hAnsi="Book Antiqua"/>
                <w:sz w:val="24"/>
                <w:szCs w:val="24"/>
              </w:rPr>
            </w:pPr>
          </w:p>
        </w:tc>
      </w:tr>
    </w:tbl>
    <w:p w14:paraId="0FFAEBB2" w14:textId="0EAC98DB" w:rsidR="00BD23E4" w:rsidRDefault="00A12B72" w:rsidP="00A12B72">
      <w:pPr>
        <w:spacing w:line="360" w:lineRule="auto"/>
        <w:ind w:firstLine="5"/>
        <w:jc w:val="both"/>
        <w:rPr>
          <w:rFonts w:ascii="Book Antiqua" w:eastAsia="Book Antiqua" w:hAnsi="Book Antiqua" w:cs="Book Antiqua"/>
          <w:color w:val="000000"/>
        </w:rPr>
      </w:pPr>
      <w:r w:rsidRPr="00A12B72">
        <w:rPr>
          <w:rFonts w:ascii="Book Antiqua" w:eastAsia="Book Antiqua" w:hAnsi="Book Antiqua" w:cs="Book Antiqua"/>
          <w:color w:val="000000"/>
          <w:vertAlign w:val="superscript"/>
        </w:rPr>
        <w:t>1</w:t>
      </w:r>
      <w:r w:rsidRPr="00A12B72">
        <w:rPr>
          <w:rFonts w:ascii="Book Antiqua" w:eastAsia="Book Antiqua" w:hAnsi="Book Antiqua" w:cs="Book Antiqua"/>
          <w:color w:val="000000"/>
        </w:rPr>
        <w:t>Prednisolone was stopped on 15/03/20</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sidRPr="00A12B72">
        <w:rPr>
          <w:rFonts w:ascii="Book Antiqua" w:eastAsia="Book Antiqua" w:hAnsi="Book Antiqua" w:cs="Book Antiqua"/>
          <w:color w:val="000000"/>
        </w:rPr>
        <w:t>AST</w:t>
      </w:r>
      <w:r>
        <w:rPr>
          <w:rFonts w:ascii="Book Antiqua" w:eastAsia="Book Antiqua" w:hAnsi="Book Antiqua" w:cs="Book Antiqua"/>
          <w:color w:val="000000"/>
        </w:rPr>
        <w:t>: A</w:t>
      </w:r>
      <w:r w:rsidRPr="00A12B72">
        <w:rPr>
          <w:rFonts w:ascii="Book Antiqua" w:eastAsia="Book Antiqua" w:hAnsi="Book Antiqua" w:cs="Book Antiqua"/>
          <w:color w:val="000000"/>
        </w:rPr>
        <w:t>spartate aminotransferase; ALT</w:t>
      </w:r>
      <w:r>
        <w:rPr>
          <w:rFonts w:ascii="Book Antiqua" w:eastAsia="Book Antiqua" w:hAnsi="Book Antiqua" w:cs="Book Antiqua"/>
          <w:color w:val="000000"/>
        </w:rPr>
        <w:t>: A</w:t>
      </w:r>
      <w:r w:rsidRPr="00A12B72">
        <w:rPr>
          <w:rFonts w:ascii="Book Antiqua" w:eastAsia="Book Antiqua" w:hAnsi="Book Antiqua" w:cs="Book Antiqua"/>
          <w:color w:val="000000"/>
        </w:rPr>
        <w:t>lanine aminotransferase; CP</w:t>
      </w:r>
      <w:r>
        <w:rPr>
          <w:rFonts w:ascii="Book Antiqua" w:eastAsia="Book Antiqua" w:hAnsi="Book Antiqua" w:cs="Book Antiqua"/>
          <w:color w:val="000000"/>
        </w:rPr>
        <w:t>: C</w:t>
      </w:r>
      <w:r w:rsidRPr="00A12B72">
        <w:rPr>
          <w:rFonts w:ascii="Book Antiqua" w:eastAsia="Book Antiqua" w:hAnsi="Book Antiqua" w:cs="Book Antiqua"/>
          <w:color w:val="000000"/>
        </w:rPr>
        <w:t>eruloplasmin; GGT</w:t>
      </w:r>
      <w:r>
        <w:rPr>
          <w:rFonts w:ascii="Book Antiqua" w:eastAsia="Book Antiqua" w:hAnsi="Book Antiqua" w:cs="Book Antiqua"/>
          <w:color w:val="000000"/>
        </w:rPr>
        <w:t>:</w:t>
      </w:r>
      <w:r w:rsidRPr="00A12B72">
        <w:rPr>
          <w:rFonts w:ascii="Book Antiqua" w:eastAsia="Book Antiqua" w:hAnsi="Book Antiqua" w:cs="Book Antiqua"/>
          <w:color w:val="000000"/>
        </w:rPr>
        <w:t xml:space="preserve"> </w:t>
      </w:r>
      <w:r>
        <w:rPr>
          <w:rFonts w:ascii="Book Antiqua" w:eastAsia="Book Antiqua" w:hAnsi="Book Antiqua" w:cs="Book Antiqua"/>
          <w:color w:val="000000"/>
        </w:rPr>
        <w:t>Gamma</w:t>
      </w:r>
      <w:r w:rsidRPr="00A12B72">
        <w:rPr>
          <w:rFonts w:ascii="Book Antiqua" w:eastAsia="Book Antiqua" w:hAnsi="Book Antiqua" w:cs="Book Antiqua"/>
          <w:color w:val="000000"/>
        </w:rPr>
        <w:t>-glutamyltransferase; ND</w:t>
      </w:r>
      <w:r>
        <w:rPr>
          <w:rFonts w:ascii="Book Antiqua" w:eastAsia="Book Antiqua" w:hAnsi="Book Antiqua" w:cs="Book Antiqua"/>
          <w:color w:val="000000"/>
        </w:rPr>
        <w:t>: N</w:t>
      </w:r>
      <w:r w:rsidRPr="00A12B72">
        <w:rPr>
          <w:rFonts w:ascii="Book Antiqua" w:eastAsia="Book Antiqua" w:hAnsi="Book Antiqua" w:cs="Book Antiqua"/>
          <w:color w:val="000000"/>
        </w:rPr>
        <w:t>ot determined.</w:t>
      </w:r>
    </w:p>
    <w:p w14:paraId="0E70D22B" w14:textId="77777777" w:rsidR="00BD23E4" w:rsidRDefault="00BD23E4">
      <w:pPr>
        <w:rPr>
          <w:rFonts w:ascii="Book Antiqua" w:eastAsia="Book Antiqua" w:hAnsi="Book Antiqua" w:cs="Book Antiqua"/>
          <w:color w:val="000000"/>
        </w:rPr>
      </w:pPr>
      <w:r>
        <w:rPr>
          <w:rFonts w:ascii="Book Antiqua" w:eastAsia="Book Antiqua" w:hAnsi="Book Antiqua" w:cs="Book Antiqua"/>
          <w:color w:val="000000"/>
        </w:rPr>
        <w:br w:type="page"/>
      </w:r>
    </w:p>
    <w:p w14:paraId="6D94CA4E" w14:textId="77777777" w:rsidR="00BD23E4" w:rsidRDefault="00BD23E4" w:rsidP="00BD23E4">
      <w:pPr>
        <w:jc w:val="center"/>
        <w:rPr>
          <w:rFonts w:ascii="Book Antiqua" w:hAnsi="Book Antiqua"/>
          <w:lang w:eastAsia="zh-CN"/>
        </w:rPr>
      </w:pPr>
    </w:p>
    <w:p w14:paraId="0021F2FF" w14:textId="77777777" w:rsidR="00BD23E4" w:rsidRDefault="00BD23E4" w:rsidP="00BD23E4">
      <w:pPr>
        <w:jc w:val="center"/>
        <w:rPr>
          <w:rFonts w:ascii="Book Antiqua" w:hAnsi="Book Antiqua"/>
          <w:lang w:eastAsia="zh-CN"/>
        </w:rPr>
      </w:pPr>
    </w:p>
    <w:p w14:paraId="3173E041" w14:textId="77777777" w:rsidR="00BD23E4" w:rsidRDefault="00BD23E4" w:rsidP="00BD23E4">
      <w:pPr>
        <w:jc w:val="center"/>
        <w:rPr>
          <w:rFonts w:ascii="Book Antiqua" w:hAnsi="Book Antiqua"/>
          <w:lang w:eastAsia="zh-CN"/>
        </w:rPr>
      </w:pPr>
    </w:p>
    <w:p w14:paraId="456ED942" w14:textId="77777777" w:rsidR="00BD23E4" w:rsidRDefault="00BD23E4" w:rsidP="00BD23E4">
      <w:pPr>
        <w:jc w:val="center"/>
        <w:rPr>
          <w:rFonts w:ascii="Book Antiqua" w:hAnsi="Book Antiqua"/>
          <w:lang w:eastAsia="zh-CN"/>
        </w:rPr>
      </w:pPr>
    </w:p>
    <w:p w14:paraId="48919151" w14:textId="77777777" w:rsidR="00BD23E4" w:rsidRDefault="00BD23E4" w:rsidP="00BD23E4">
      <w:pPr>
        <w:jc w:val="center"/>
        <w:rPr>
          <w:rFonts w:ascii="Book Antiqua" w:hAnsi="Book Antiqua"/>
          <w:lang w:eastAsia="zh-CN"/>
        </w:rPr>
      </w:pPr>
    </w:p>
    <w:p w14:paraId="1380B030" w14:textId="77777777" w:rsidR="00BD23E4" w:rsidRDefault="00BD23E4" w:rsidP="00BD23E4">
      <w:pPr>
        <w:jc w:val="center"/>
        <w:rPr>
          <w:rFonts w:ascii="Book Antiqua" w:hAnsi="Book Antiqua"/>
          <w:lang w:eastAsia="zh-CN"/>
        </w:rPr>
      </w:pPr>
      <w:r>
        <w:rPr>
          <w:rFonts w:ascii="Book Antiqua" w:hAnsi="Book Antiqua"/>
          <w:noProof/>
          <w:lang w:eastAsia="zh-CN"/>
        </w:rPr>
        <w:drawing>
          <wp:inline distT="0" distB="0" distL="0" distR="0" wp14:anchorId="0BF68281" wp14:editId="0AF9514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F3DA28" w14:textId="77777777" w:rsidR="00BD23E4" w:rsidRDefault="00BD23E4" w:rsidP="00BD23E4">
      <w:pPr>
        <w:jc w:val="center"/>
        <w:rPr>
          <w:rFonts w:ascii="Book Antiqua" w:hAnsi="Book Antiqua"/>
          <w:lang w:eastAsia="zh-CN"/>
        </w:rPr>
      </w:pPr>
    </w:p>
    <w:p w14:paraId="08051DA1" w14:textId="77777777" w:rsidR="00BD23E4" w:rsidRPr="00763D22" w:rsidRDefault="00BD23E4" w:rsidP="00BD23E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74E6EF2" w14:textId="77777777" w:rsidR="00BD23E4" w:rsidRPr="00763D22" w:rsidRDefault="00BD23E4" w:rsidP="00BD23E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703225E" w14:textId="77777777" w:rsidR="00BD23E4" w:rsidRPr="00763D22" w:rsidRDefault="00BD23E4" w:rsidP="00BD23E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E4A2B91" w14:textId="77777777" w:rsidR="00BD23E4" w:rsidRPr="00763D22" w:rsidRDefault="00BD23E4" w:rsidP="00BD23E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E763517" w14:textId="77777777" w:rsidR="00BD23E4" w:rsidRPr="00763D22" w:rsidRDefault="00BD23E4" w:rsidP="00BD23E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7DF7DE8" w14:textId="77777777" w:rsidR="00BD23E4" w:rsidRPr="00763D22" w:rsidRDefault="00BD23E4" w:rsidP="00BD23E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3EE2338" w14:textId="77777777" w:rsidR="00BD23E4" w:rsidRDefault="00BD23E4" w:rsidP="00BD23E4">
      <w:pPr>
        <w:jc w:val="center"/>
        <w:rPr>
          <w:rFonts w:ascii="Book Antiqua" w:hAnsi="Book Antiqua"/>
          <w:lang w:eastAsia="zh-CN"/>
        </w:rPr>
      </w:pPr>
    </w:p>
    <w:p w14:paraId="51C9F170" w14:textId="77777777" w:rsidR="00BD23E4" w:rsidRDefault="00BD23E4" w:rsidP="00BD23E4">
      <w:pPr>
        <w:jc w:val="center"/>
        <w:rPr>
          <w:rFonts w:ascii="Book Antiqua" w:hAnsi="Book Antiqua"/>
          <w:lang w:eastAsia="zh-CN"/>
        </w:rPr>
      </w:pPr>
    </w:p>
    <w:p w14:paraId="4B402436" w14:textId="77777777" w:rsidR="00BD23E4" w:rsidRDefault="00BD23E4" w:rsidP="00BD23E4">
      <w:pPr>
        <w:jc w:val="center"/>
        <w:rPr>
          <w:rFonts w:ascii="Book Antiqua" w:hAnsi="Book Antiqua"/>
          <w:lang w:eastAsia="zh-CN"/>
        </w:rPr>
      </w:pPr>
    </w:p>
    <w:p w14:paraId="76BA133D" w14:textId="77777777" w:rsidR="00BD23E4" w:rsidRDefault="00BD23E4" w:rsidP="00BD23E4">
      <w:pPr>
        <w:jc w:val="center"/>
        <w:rPr>
          <w:rFonts w:ascii="Book Antiqua" w:hAnsi="Book Antiqua"/>
          <w:lang w:eastAsia="zh-CN"/>
        </w:rPr>
      </w:pPr>
      <w:r>
        <w:rPr>
          <w:rFonts w:ascii="Book Antiqua" w:hAnsi="Book Antiqua"/>
          <w:noProof/>
          <w:lang w:eastAsia="zh-CN"/>
        </w:rPr>
        <w:drawing>
          <wp:inline distT="0" distB="0" distL="0" distR="0" wp14:anchorId="19AEDB8B" wp14:editId="64292E6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811361" w14:textId="77777777" w:rsidR="00BD23E4" w:rsidRDefault="00BD23E4" w:rsidP="00BD23E4">
      <w:pPr>
        <w:jc w:val="center"/>
        <w:rPr>
          <w:rFonts w:ascii="Book Antiqua" w:hAnsi="Book Antiqua"/>
          <w:lang w:eastAsia="zh-CN"/>
        </w:rPr>
      </w:pPr>
    </w:p>
    <w:p w14:paraId="01D152A0" w14:textId="77777777" w:rsidR="00BD23E4" w:rsidRDefault="00BD23E4" w:rsidP="00BD23E4">
      <w:pPr>
        <w:jc w:val="center"/>
        <w:rPr>
          <w:rFonts w:ascii="Book Antiqua" w:hAnsi="Book Antiqua"/>
          <w:lang w:eastAsia="zh-CN"/>
        </w:rPr>
      </w:pPr>
    </w:p>
    <w:p w14:paraId="565B6431" w14:textId="77777777" w:rsidR="00BD23E4" w:rsidRDefault="00BD23E4" w:rsidP="00BD23E4">
      <w:pPr>
        <w:jc w:val="center"/>
        <w:rPr>
          <w:rFonts w:ascii="Book Antiqua" w:hAnsi="Book Antiqua"/>
          <w:lang w:eastAsia="zh-CN"/>
        </w:rPr>
      </w:pPr>
    </w:p>
    <w:p w14:paraId="0B1FA21E" w14:textId="77777777" w:rsidR="00BD23E4" w:rsidRDefault="00BD23E4" w:rsidP="00BD23E4">
      <w:pPr>
        <w:jc w:val="center"/>
        <w:rPr>
          <w:rFonts w:ascii="Book Antiqua" w:hAnsi="Book Antiqua"/>
          <w:lang w:eastAsia="zh-CN"/>
        </w:rPr>
      </w:pPr>
    </w:p>
    <w:p w14:paraId="579B1C1C" w14:textId="77777777" w:rsidR="00BD23E4" w:rsidRDefault="00BD23E4" w:rsidP="00BD23E4">
      <w:pPr>
        <w:jc w:val="center"/>
        <w:rPr>
          <w:rFonts w:ascii="Book Antiqua" w:hAnsi="Book Antiqua"/>
          <w:lang w:eastAsia="zh-CN"/>
        </w:rPr>
      </w:pPr>
    </w:p>
    <w:p w14:paraId="74923563" w14:textId="77777777" w:rsidR="00BD23E4" w:rsidRDefault="00BD23E4" w:rsidP="00BD23E4">
      <w:pPr>
        <w:jc w:val="center"/>
        <w:rPr>
          <w:rFonts w:ascii="Book Antiqua" w:hAnsi="Book Antiqua"/>
          <w:lang w:eastAsia="zh-CN"/>
        </w:rPr>
      </w:pPr>
    </w:p>
    <w:p w14:paraId="2817014A" w14:textId="77777777" w:rsidR="00BD23E4" w:rsidRDefault="00BD23E4" w:rsidP="00BD23E4">
      <w:pPr>
        <w:jc w:val="center"/>
        <w:rPr>
          <w:rFonts w:ascii="Book Antiqua" w:hAnsi="Book Antiqua"/>
          <w:lang w:eastAsia="zh-CN"/>
        </w:rPr>
      </w:pPr>
    </w:p>
    <w:p w14:paraId="15994422" w14:textId="77777777" w:rsidR="00BD23E4" w:rsidRDefault="00BD23E4" w:rsidP="00BD23E4">
      <w:pPr>
        <w:jc w:val="center"/>
        <w:rPr>
          <w:rFonts w:ascii="Book Antiqua" w:hAnsi="Book Antiqua"/>
          <w:lang w:eastAsia="zh-CN"/>
        </w:rPr>
      </w:pPr>
    </w:p>
    <w:p w14:paraId="33D7946F" w14:textId="77777777" w:rsidR="00BD23E4" w:rsidRDefault="00BD23E4" w:rsidP="00BD23E4">
      <w:pPr>
        <w:jc w:val="center"/>
        <w:rPr>
          <w:rFonts w:ascii="Book Antiqua" w:hAnsi="Book Antiqua"/>
          <w:lang w:eastAsia="zh-CN"/>
        </w:rPr>
      </w:pPr>
    </w:p>
    <w:p w14:paraId="7066361F" w14:textId="77777777" w:rsidR="00BD23E4" w:rsidRPr="00763D22" w:rsidRDefault="00BD23E4" w:rsidP="00BD23E4">
      <w:pPr>
        <w:jc w:val="right"/>
        <w:rPr>
          <w:rFonts w:ascii="Book Antiqua" w:hAnsi="Book Antiqua"/>
          <w:color w:val="000000" w:themeColor="text1"/>
          <w:lang w:eastAsia="zh-CN"/>
        </w:rPr>
      </w:pPr>
    </w:p>
    <w:p w14:paraId="1C372E43" w14:textId="77777777" w:rsidR="00BD23E4" w:rsidRPr="00763D22" w:rsidRDefault="00BD23E4" w:rsidP="00BD23E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C4F70F0" w14:textId="77777777" w:rsidR="00973819" w:rsidRPr="00A12B72" w:rsidRDefault="00973819" w:rsidP="00A12B72">
      <w:pPr>
        <w:spacing w:line="360" w:lineRule="auto"/>
        <w:ind w:firstLine="5"/>
        <w:jc w:val="both"/>
        <w:rPr>
          <w:rFonts w:ascii="Book Antiqua" w:eastAsia="Book Antiqua" w:hAnsi="Book Antiqua" w:cs="Book Antiqua"/>
          <w:color w:val="000000"/>
        </w:rPr>
      </w:pPr>
      <w:bookmarkStart w:id="6" w:name="_GoBack"/>
      <w:bookmarkEnd w:id="6"/>
    </w:p>
    <w:sectPr w:rsidR="00973819" w:rsidRPr="00A12B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8BCA5" w14:textId="77777777" w:rsidR="008A2E3C" w:rsidRDefault="008A2E3C" w:rsidP="002A02A4">
      <w:r>
        <w:separator/>
      </w:r>
    </w:p>
  </w:endnote>
  <w:endnote w:type="continuationSeparator" w:id="0">
    <w:p w14:paraId="60A34E07" w14:textId="77777777" w:rsidR="008A2E3C" w:rsidRDefault="008A2E3C" w:rsidP="002A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60277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E3B8237" w14:textId="2A85D2E6" w:rsidR="002A02A4" w:rsidRPr="002A02A4" w:rsidRDefault="002A02A4" w:rsidP="002A02A4">
            <w:pPr>
              <w:pStyle w:val="a5"/>
              <w:jc w:val="right"/>
              <w:rPr>
                <w:rFonts w:ascii="Book Antiqua" w:hAnsi="Book Antiqua"/>
                <w:sz w:val="24"/>
                <w:szCs w:val="24"/>
              </w:rPr>
            </w:pPr>
            <w:r>
              <w:rPr>
                <w:lang w:val="zh-CN" w:eastAsia="zh-CN"/>
              </w:rPr>
              <w:t xml:space="preserve"> </w:t>
            </w:r>
            <w:r w:rsidRPr="002A02A4">
              <w:rPr>
                <w:rFonts w:ascii="Book Antiqua" w:hAnsi="Book Antiqua"/>
                <w:sz w:val="24"/>
                <w:szCs w:val="24"/>
              </w:rPr>
              <w:fldChar w:fldCharType="begin"/>
            </w:r>
            <w:r w:rsidRPr="002A02A4">
              <w:rPr>
                <w:rFonts w:ascii="Book Antiqua" w:hAnsi="Book Antiqua"/>
                <w:sz w:val="24"/>
                <w:szCs w:val="24"/>
              </w:rPr>
              <w:instrText>PAGE</w:instrText>
            </w:r>
            <w:r w:rsidRPr="002A02A4">
              <w:rPr>
                <w:rFonts w:ascii="Book Antiqua" w:hAnsi="Book Antiqua"/>
                <w:sz w:val="24"/>
                <w:szCs w:val="24"/>
              </w:rPr>
              <w:fldChar w:fldCharType="separate"/>
            </w:r>
            <w:r w:rsidR="008A2E3C">
              <w:rPr>
                <w:rFonts w:ascii="Book Antiqua" w:hAnsi="Book Antiqua"/>
                <w:noProof/>
                <w:sz w:val="24"/>
                <w:szCs w:val="24"/>
              </w:rPr>
              <w:t>1</w:t>
            </w:r>
            <w:r w:rsidRPr="002A02A4">
              <w:rPr>
                <w:rFonts w:ascii="Book Antiqua" w:hAnsi="Book Antiqua"/>
                <w:sz w:val="24"/>
                <w:szCs w:val="24"/>
              </w:rPr>
              <w:fldChar w:fldCharType="end"/>
            </w:r>
            <w:r w:rsidRPr="002A02A4">
              <w:rPr>
                <w:rFonts w:ascii="Book Antiqua" w:hAnsi="Book Antiqua"/>
                <w:sz w:val="24"/>
                <w:szCs w:val="24"/>
                <w:lang w:val="zh-CN" w:eastAsia="zh-CN"/>
              </w:rPr>
              <w:t xml:space="preserve"> / </w:t>
            </w:r>
            <w:r w:rsidRPr="002A02A4">
              <w:rPr>
                <w:rFonts w:ascii="Book Antiqua" w:hAnsi="Book Antiqua"/>
                <w:sz w:val="24"/>
                <w:szCs w:val="24"/>
              </w:rPr>
              <w:fldChar w:fldCharType="begin"/>
            </w:r>
            <w:r w:rsidRPr="002A02A4">
              <w:rPr>
                <w:rFonts w:ascii="Book Antiqua" w:hAnsi="Book Antiqua"/>
                <w:sz w:val="24"/>
                <w:szCs w:val="24"/>
              </w:rPr>
              <w:instrText>NUMPAGES</w:instrText>
            </w:r>
            <w:r w:rsidRPr="002A02A4">
              <w:rPr>
                <w:rFonts w:ascii="Book Antiqua" w:hAnsi="Book Antiqua"/>
                <w:sz w:val="24"/>
                <w:szCs w:val="24"/>
              </w:rPr>
              <w:fldChar w:fldCharType="separate"/>
            </w:r>
            <w:r w:rsidR="008A2E3C">
              <w:rPr>
                <w:rFonts w:ascii="Book Antiqua" w:hAnsi="Book Antiqua"/>
                <w:noProof/>
                <w:sz w:val="24"/>
                <w:szCs w:val="24"/>
              </w:rPr>
              <w:t>1</w:t>
            </w:r>
            <w:r w:rsidRPr="002A02A4">
              <w:rPr>
                <w:rFonts w:ascii="Book Antiqua" w:hAnsi="Book Antiqua"/>
                <w:sz w:val="24"/>
                <w:szCs w:val="24"/>
              </w:rPr>
              <w:fldChar w:fldCharType="end"/>
            </w:r>
          </w:p>
        </w:sdtContent>
      </w:sdt>
    </w:sdtContent>
  </w:sdt>
  <w:p w14:paraId="786DE8D3" w14:textId="77777777" w:rsidR="002A02A4" w:rsidRPr="002A02A4" w:rsidRDefault="002A02A4" w:rsidP="002A02A4">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053C3" w14:textId="77777777" w:rsidR="008A2E3C" w:rsidRDefault="008A2E3C" w:rsidP="002A02A4">
      <w:r>
        <w:separator/>
      </w:r>
    </w:p>
  </w:footnote>
  <w:footnote w:type="continuationSeparator" w:id="0">
    <w:p w14:paraId="7C02650F" w14:textId="77777777" w:rsidR="008A2E3C" w:rsidRDefault="008A2E3C" w:rsidP="002A02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33F"/>
    <w:rsid w:val="00054745"/>
    <w:rsid w:val="00056D6B"/>
    <w:rsid w:val="000A3A29"/>
    <w:rsid w:val="000B3BB0"/>
    <w:rsid w:val="000D77A5"/>
    <w:rsid w:val="000F213E"/>
    <w:rsid w:val="00125686"/>
    <w:rsid w:val="00131904"/>
    <w:rsid w:val="0018618B"/>
    <w:rsid w:val="001A2B91"/>
    <w:rsid w:val="001D569F"/>
    <w:rsid w:val="001D6544"/>
    <w:rsid w:val="001E24E8"/>
    <w:rsid w:val="00227F0C"/>
    <w:rsid w:val="00256BA1"/>
    <w:rsid w:val="00265EB3"/>
    <w:rsid w:val="0026657A"/>
    <w:rsid w:val="002A02A4"/>
    <w:rsid w:val="0030726E"/>
    <w:rsid w:val="0033392C"/>
    <w:rsid w:val="00352BA3"/>
    <w:rsid w:val="003B1DC6"/>
    <w:rsid w:val="003C0641"/>
    <w:rsid w:val="004155FE"/>
    <w:rsid w:val="004437FE"/>
    <w:rsid w:val="00447617"/>
    <w:rsid w:val="00472048"/>
    <w:rsid w:val="00486B3D"/>
    <w:rsid w:val="004F4BDC"/>
    <w:rsid w:val="005044F0"/>
    <w:rsid w:val="00587E75"/>
    <w:rsid w:val="00596E0F"/>
    <w:rsid w:val="005C74F1"/>
    <w:rsid w:val="006360D0"/>
    <w:rsid w:val="00642DAB"/>
    <w:rsid w:val="00772D13"/>
    <w:rsid w:val="007A1FE1"/>
    <w:rsid w:val="007F071C"/>
    <w:rsid w:val="00826865"/>
    <w:rsid w:val="008A2E3C"/>
    <w:rsid w:val="00973819"/>
    <w:rsid w:val="009A38DB"/>
    <w:rsid w:val="009F7659"/>
    <w:rsid w:val="00A12B72"/>
    <w:rsid w:val="00A47914"/>
    <w:rsid w:val="00A67AA7"/>
    <w:rsid w:val="00A76F9D"/>
    <w:rsid w:val="00A77B3E"/>
    <w:rsid w:val="00AB4355"/>
    <w:rsid w:val="00AF4071"/>
    <w:rsid w:val="00B2303C"/>
    <w:rsid w:val="00B272E4"/>
    <w:rsid w:val="00B961C6"/>
    <w:rsid w:val="00BD23E4"/>
    <w:rsid w:val="00BE05CA"/>
    <w:rsid w:val="00BE55B7"/>
    <w:rsid w:val="00C046A6"/>
    <w:rsid w:val="00C20851"/>
    <w:rsid w:val="00C578AF"/>
    <w:rsid w:val="00C8447C"/>
    <w:rsid w:val="00C90613"/>
    <w:rsid w:val="00CA18F6"/>
    <w:rsid w:val="00CA2A55"/>
    <w:rsid w:val="00CC061C"/>
    <w:rsid w:val="00D119DF"/>
    <w:rsid w:val="00D25559"/>
    <w:rsid w:val="00D4554E"/>
    <w:rsid w:val="00E31674"/>
    <w:rsid w:val="00E439AB"/>
    <w:rsid w:val="00E57D18"/>
    <w:rsid w:val="00E93749"/>
    <w:rsid w:val="00E942D1"/>
    <w:rsid w:val="00EE090D"/>
    <w:rsid w:val="00EF4C1F"/>
    <w:rsid w:val="00F1128F"/>
    <w:rsid w:val="00F11AF9"/>
    <w:rsid w:val="00F20EC4"/>
    <w:rsid w:val="00F23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6E4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044F0"/>
    <w:rPr>
      <w:sz w:val="18"/>
      <w:szCs w:val="18"/>
    </w:rPr>
  </w:style>
  <w:style w:type="character" w:customStyle="1" w:styleId="Char">
    <w:name w:val="批注框文本 Char"/>
    <w:basedOn w:val="a0"/>
    <w:link w:val="a3"/>
    <w:rsid w:val="005044F0"/>
    <w:rPr>
      <w:sz w:val="18"/>
      <w:szCs w:val="18"/>
    </w:rPr>
  </w:style>
  <w:style w:type="paragraph" w:customStyle="1" w:styleId="MDPI41tablecaption">
    <w:name w:val="MDPI_4.1_table_caption"/>
    <w:basedOn w:val="a"/>
    <w:qFormat/>
    <w:rsid w:val="00E57D18"/>
    <w:pPr>
      <w:adjustRightInd w:val="0"/>
      <w:snapToGrid w:val="0"/>
      <w:spacing w:before="240" w:after="120" w:line="260" w:lineRule="atLeast"/>
      <w:ind w:left="425" w:right="425"/>
      <w:jc w:val="both"/>
    </w:pPr>
    <w:rPr>
      <w:rFonts w:ascii="Palatino Linotype" w:eastAsia="Times New Roman" w:hAnsi="Palatino Linotype"/>
      <w:color w:val="000000"/>
      <w:sz w:val="18"/>
      <w:szCs w:val="22"/>
      <w:lang w:eastAsia="de-DE" w:bidi="en-US"/>
    </w:rPr>
  </w:style>
  <w:style w:type="paragraph" w:customStyle="1" w:styleId="MDPI42tablebody">
    <w:name w:val="MDPI_4.2_table_body"/>
    <w:qFormat/>
    <w:rsid w:val="00E57D1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31text">
    <w:name w:val="MDPI_3.1_text"/>
    <w:link w:val="MDPI31textZchn"/>
    <w:qFormat/>
    <w:rsid w:val="00E57D18"/>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character" w:customStyle="1" w:styleId="MDPI31textZchn">
    <w:name w:val="MDPI_3.1_text Zchn"/>
    <w:basedOn w:val="a0"/>
    <w:link w:val="MDPI31text"/>
    <w:rsid w:val="00E57D18"/>
    <w:rPr>
      <w:rFonts w:ascii="Palatino Linotype" w:eastAsia="Times New Roman" w:hAnsi="Palatino Linotype"/>
      <w:snapToGrid w:val="0"/>
      <w:color w:val="000000"/>
      <w:szCs w:val="22"/>
      <w:lang w:eastAsia="de-DE" w:bidi="en-US"/>
    </w:rPr>
  </w:style>
  <w:style w:type="paragraph" w:styleId="a4">
    <w:name w:val="header"/>
    <w:basedOn w:val="a"/>
    <w:link w:val="Char0"/>
    <w:unhideWhenUsed/>
    <w:rsid w:val="002A02A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A02A4"/>
    <w:rPr>
      <w:sz w:val="18"/>
      <w:szCs w:val="18"/>
    </w:rPr>
  </w:style>
  <w:style w:type="paragraph" w:styleId="a5">
    <w:name w:val="footer"/>
    <w:basedOn w:val="a"/>
    <w:link w:val="Char1"/>
    <w:uiPriority w:val="99"/>
    <w:unhideWhenUsed/>
    <w:rsid w:val="002A02A4"/>
    <w:pPr>
      <w:tabs>
        <w:tab w:val="center" w:pos="4153"/>
        <w:tab w:val="right" w:pos="8306"/>
      </w:tabs>
      <w:snapToGrid w:val="0"/>
    </w:pPr>
    <w:rPr>
      <w:sz w:val="18"/>
      <w:szCs w:val="18"/>
    </w:rPr>
  </w:style>
  <w:style w:type="character" w:customStyle="1" w:styleId="Char1">
    <w:name w:val="页脚 Char"/>
    <w:basedOn w:val="a0"/>
    <w:link w:val="a5"/>
    <w:uiPriority w:val="99"/>
    <w:rsid w:val="002A02A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044F0"/>
    <w:rPr>
      <w:sz w:val="18"/>
      <w:szCs w:val="18"/>
    </w:rPr>
  </w:style>
  <w:style w:type="character" w:customStyle="1" w:styleId="Char">
    <w:name w:val="批注框文本 Char"/>
    <w:basedOn w:val="a0"/>
    <w:link w:val="a3"/>
    <w:rsid w:val="005044F0"/>
    <w:rPr>
      <w:sz w:val="18"/>
      <w:szCs w:val="18"/>
    </w:rPr>
  </w:style>
  <w:style w:type="paragraph" w:customStyle="1" w:styleId="MDPI41tablecaption">
    <w:name w:val="MDPI_4.1_table_caption"/>
    <w:basedOn w:val="a"/>
    <w:qFormat/>
    <w:rsid w:val="00E57D18"/>
    <w:pPr>
      <w:adjustRightInd w:val="0"/>
      <w:snapToGrid w:val="0"/>
      <w:spacing w:before="240" w:after="120" w:line="260" w:lineRule="atLeast"/>
      <w:ind w:left="425" w:right="425"/>
      <w:jc w:val="both"/>
    </w:pPr>
    <w:rPr>
      <w:rFonts w:ascii="Palatino Linotype" w:eastAsia="Times New Roman" w:hAnsi="Palatino Linotype"/>
      <w:color w:val="000000"/>
      <w:sz w:val="18"/>
      <w:szCs w:val="22"/>
      <w:lang w:eastAsia="de-DE" w:bidi="en-US"/>
    </w:rPr>
  </w:style>
  <w:style w:type="paragraph" w:customStyle="1" w:styleId="MDPI42tablebody">
    <w:name w:val="MDPI_4.2_table_body"/>
    <w:qFormat/>
    <w:rsid w:val="00E57D1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31text">
    <w:name w:val="MDPI_3.1_text"/>
    <w:link w:val="MDPI31textZchn"/>
    <w:qFormat/>
    <w:rsid w:val="00E57D18"/>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character" w:customStyle="1" w:styleId="MDPI31textZchn">
    <w:name w:val="MDPI_3.1_text Zchn"/>
    <w:basedOn w:val="a0"/>
    <w:link w:val="MDPI31text"/>
    <w:rsid w:val="00E57D18"/>
    <w:rPr>
      <w:rFonts w:ascii="Palatino Linotype" w:eastAsia="Times New Roman" w:hAnsi="Palatino Linotype"/>
      <w:snapToGrid w:val="0"/>
      <w:color w:val="000000"/>
      <w:szCs w:val="22"/>
      <w:lang w:eastAsia="de-DE" w:bidi="en-US"/>
    </w:rPr>
  </w:style>
  <w:style w:type="paragraph" w:styleId="a4">
    <w:name w:val="header"/>
    <w:basedOn w:val="a"/>
    <w:link w:val="Char0"/>
    <w:unhideWhenUsed/>
    <w:rsid w:val="002A02A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A02A4"/>
    <w:rPr>
      <w:sz w:val="18"/>
      <w:szCs w:val="18"/>
    </w:rPr>
  </w:style>
  <w:style w:type="paragraph" w:styleId="a5">
    <w:name w:val="footer"/>
    <w:basedOn w:val="a"/>
    <w:link w:val="Char1"/>
    <w:uiPriority w:val="99"/>
    <w:unhideWhenUsed/>
    <w:rsid w:val="002A02A4"/>
    <w:pPr>
      <w:tabs>
        <w:tab w:val="center" w:pos="4153"/>
        <w:tab w:val="right" w:pos="8306"/>
      </w:tabs>
      <w:snapToGrid w:val="0"/>
    </w:pPr>
    <w:rPr>
      <w:sz w:val="18"/>
      <w:szCs w:val="18"/>
    </w:rPr>
  </w:style>
  <w:style w:type="character" w:customStyle="1" w:styleId="Char1">
    <w:name w:val="页脚 Char"/>
    <w:basedOn w:val="a0"/>
    <w:link w:val="a5"/>
    <w:uiPriority w:val="99"/>
    <w:rsid w:val="002A02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4851">
      <w:bodyDiv w:val="1"/>
      <w:marLeft w:val="0"/>
      <w:marRight w:val="0"/>
      <w:marTop w:val="0"/>
      <w:marBottom w:val="0"/>
      <w:divBdr>
        <w:top w:val="none" w:sz="0" w:space="0" w:color="auto"/>
        <w:left w:val="none" w:sz="0" w:space="0" w:color="auto"/>
        <w:bottom w:val="none" w:sz="0" w:space="0" w:color="auto"/>
        <w:right w:val="none" w:sz="0" w:space="0" w:color="auto"/>
      </w:divBdr>
    </w:div>
    <w:div w:id="489904898">
      <w:bodyDiv w:val="1"/>
      <w:marLeft w:val="0"/>
      <w:marRight w:val="0"/>
      <w:marTop w:val="0"/>
      <w:marBottom w:val="0"/>
      <w:divBdr>
        <w:top w:val="none" w:sz="0" w:space="0" w:color="auto"/>
        <w:left w:val="none" w:sz="0" w:space="0" w:color="auto"/>
        <w:bottom w:val="none" w:sz="0" w:space="0" w:color="auto"/>
        <w:right w:val="none" w:sz="0" w:space="0" w:color="auto"/>
      </w:divBdr>
    </w:div>
    <w:div w:id="875122884">
      <w:bodyDiv w:val="1"/>
      <w:marLeft w:val="0"/>
      <w:marRight w:val="0"/>
      <w:marTop w:val="0"/>
      <w:marBottom w:val="0"/>
      <w:divBdr>
        <w:top w:val="none" w:sz="0" w:space="0" w:color="auto"/>
        <w:left w:val="none" w:sz="0" w:space="0" w:color="auto"/>
        <w:bottom w:val="none" w:sz="0" w:space="0" w:color="auto"/>
        <w:right w:val="none" w:sz="0" w:space="0" w:color="auto"/>
      </w:divBdr>
    </w:div>
    <w:div w:id="903953928">
      <w:bodyDiv w:val="1"/>
      <w:marLeft w:val="0"/>
      <w:marRight w:val="0"/>
      <w:marTop w:val="0"/>
      <w:marBottom w:val="0"/>
      <w:divBdr>
        <w:top w:val="none" w:sz="0" w:space="0" w:color="auto"/>
        <w:left w:val="none" w:sz="0" w:space="0" w:color="auto"/>
        <w:bottom w:val="none" w:sz="0" w:space="0" w:color="auto"/>
        <w:right w:val="none" w:sz="0" w:space="0" w:color="auto"/>
      </w:divBdr>
    </w:div>
    <w:div w:id="1122262919">
      <w:bodyDiv w:val="1"/>
      <w:marLeft w:val="0"/>
      <w:marRight w:val="0"/>
      <w:marTop w:val="0"/>
      <w:marBottom w:val="0"/>
      <w:divBdr>
        <w:top w:val="none" w:sz="0" w:space="0" w:color="auto"/>
        <w:left w:val="none" w:sz="0" w:space="0" w:color="auto"/>
        <w:bottom w:val="none" w:sz="0" w:space="0" w:color="auto"/>
        <w:right w:val="none" w:sz="0" w:space="0" w:color="auto"/>
      </w:divBdr>
    </w:div>
    <w:div w:id="1443959125">
      <w:bodyDiv w:val="1"/>
      <w:marLeft w:val="0"/>
      <w:marRight w:val="0"/>
      <w:marTop w:val="0"/>
      <w:marBottom w:val="0"/>
      <w:divBdr>
        <w:top w:val="none" w:sz="0" w:space="0" w:color="auto"/>
        <w:left w:val="none" w:sz="0" w:space="0" w:color="auto"/>
        <w:bottom w:val="none" w:sz="0" w:space="0" w:color="auto"/>
        <w:right w:val="none" w:sz="0" w:space="0" w:color="auto"/>
      </w:divBdr>
    </w:div>
    <w:div w:id="1535456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3928</Words>
  <Characters>22394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10</cp:revision>
  <dcterms:created xsi:type="dcterms:W3CDTF">2020-12-23T03:26:00Z</dcterms:created>
  <dcterms:modified xsi:type="dcterms:W3CDTF">2021-02-04T12:18:00Z</dcterms:modified>
</cp:coreProperties>
</file>