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2F0F" w14:textId="77777777" w:rsidR="000F0D29" w:rsidRDefault="00712A8D">
      <w:pPr>
        <w:spacing w:line="360" w:lineRule="auto"/>
        <w:jc w:val="both"/>
      </w:pPr>
      <w:bookmarkStart w:id="0" w:name="_Hlk67220298"/>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241FCF0" w14:textId="77777777" w:rsidR="000F0D29" w:rsidRDefault="00712A8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61227</w:t>
      </w:r>
    </w:p>
    <w:p w14:paraId="3891364A" w14:textId="77777777" w:rsidR="000F0D29" w:rsidRDefault="00712A8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EXPERT CONSENSUS</w:t>
      </w:r>
    </w:p>
    <w:p w14:paraId="35DC8A14" w14:textId="77777777" w:rsidR="000F0D29" w:rsidRDefault="000F0D29">
      <w:pPr>
        <w:spacing w:line="360" w:lineRule="auto"/>
        <w:jc w:val="both"/>
      </w:pPr>
    </w:p>
    <w:p w14:paraId="5CBCAFBC" w14:textId="6BE59098" w:rsidR="00AF22CB" w:rsidRPr="00FB49B6" w:rsidRDefault="00FB49B6" w:rsidP="00FB49B6">
      <w:pPr>
        <w:spacing w:line="360" w:lineRule="auto"/>
        <w:jc w:val="both"/>
        <w:rPr>
          <w:rFonts w:ascii="Book Antiqua" w:eastAsia="Book Antiqua" w:hAnsi="Book Antiqua" w:cs="Book Antiqua" w:hint="eastAsia"/>
          <w:b/>
          <w:color w:val="000000"/>
        </w:rPr>
      </w:pPr>
      <w:r w:rsidRPr="00FB49B6">
        <w:rPr>
          <w:rFonts w:ascii="Book Antiqua" w:eastAsia="Book Antiqua" w:hAnsi="Book Antiqua" w:cs="Book Antiqua"/>
          <w:b/>
          <w:color w:val="000000"/>
        </w:rPr>
        <w:t>Expert consensus of Chinese Association for the Study of Pain on</w:t>
      </w:r>
      <w:r>
        <w:rPr>
          <w:rFonts w:ascii="Book Antiqua" w:hAnsi="Book Antiqua" w:cs="Book Antiqua" w:hint="eastAsia"/>
          <w:b/>
          <w:color w:val="000000"/>
          <w:lang w:eastAsia="zh-CN"/>
        </w:rPr>
        <w:t xml:space="preserve"> </w:t>
      </w:r>
      <w:r w:rsidRPr="00FB49B6">
        <w:rPr>
          <w:rFonts w:ascii="Book Antiqua" w:eastAsia="Book Antiqua" w:hAnsi="Book Antiqua" w:cs="Book Antiqua"/>
          <w:b/>
          <w:color w:val="000000"/>
        </w:rPr>
        <w:t>the non-opioid analgesics for chronic musculoskeletal pain</w:t>
      </w:r>
    </w:p>
    <w:p w14:paraId="73196B31" w14:textId="77777777" w:rsidR="00FB49B6" w:rsidRPr="00FB49B6" w:rsidRDefault="00FB49B6" w:rsidP="00FB49B6">
      <w:pPr>
        <w:spacing w:line="360" w:lineRule="auto"/>
        <w:jc w:val="both"/>
        <w:rPr>
          <w:rFonts w:hint="eastAsia"/>
          <w:lang w:eastAsia="zh-CN"/>
        </w:rPr>
      </w:pPr>
    </w:p>
    <w:p w14:paraId="736D1D13" w14:textId="77777777" w:rsidR="000F0D29" w:rsidRDefault="00712A8D">
      <w:pPr>
        <w:spacing w:line="360" w:lineRule="auto"/>
        <w:jc w:val="both"/>
      </w:pP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D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Expert consensus on chronic musculoskeletal pain</w:t>
      </w:r>
    </w:p>
    <w:p w14:paraId="3C01481B" w14:textId="77777777" w:rsidR="000F0D29" w:rsidRDefault="000F0D29">
      <w:pPr>
        <w:spacing w:line="360" w:lineRule="auto"/>
        <w:jc w:val="both"/>
      </w:pPr>
    </w:p>
    <w:p w14:paraId="1838045C" w14:textId="77777777" w:rsidR="000F0D29" w:rsidRDefault="00712A8D">
      <w:pPr>
        <w:spacing w:line="360" w:lineRule="auto"/>
        <w:jc w:val="both"/>
      </w:pPr>
      <w:r>
        <w:rPr>
          <w:rFonts w:ascii="Book Antiqua" w:eastAsia="Book Antiqua" w:hAnsi="Book Antiqua" w:cs="Book Antiqua"/>
          <w:color w:val="000000"/>
        </w:rPr>
        <w:t>Dong Huang, Yan-Qing Liu, Ling-Jie Xia, Xian</w:t>
      </w:r>
      <w:r>
        <w:rPr>
          <w:rFonts w:ascii="Book Antiqua" w:hAnsi="Book Antiqua" w:cs="Book Antiqua" w:hint="eastAsia"/>
          <w:color w:val="000000"/>
          <w:lang w:eastAsia="zh-CN"/>
        </w:rPr>
        <w:t>-G</w:t>
      </w:r>
      <w:r>
        <w:rPr>
          <w:rFonts w:ascii="Book Antiqua" w:eastAsia="Book Antiqua" w:hAnsi="Book Antiqua" w:cs="Book Antiqua"/>
          <w:color w:val="000000"/>
        </w:rPr>
        <w:t>uo Liu, Ke Ma, Guang-</w:t>
      </w:r>
      <w:r>
        <w:rPr>
          <w:rFonts w:ascii="Book Antiqua" w:hAnsi="Book Antiqua" w:cs="Book Antiqua" w:hint="eastAsia"/>
          <w:color w:val="000000"/>
          <w:lang w:eastAsia="zh-CN"/>
        </w:rPr>
        <w:t>Z</w:t>
      </w:r>
      <w:r>
        <w:rPr>
          <w:rFonts w:ascii="Book Antiqua" w:eastAsia="Book Antiqua" w:hAnsi="Book Antiqua" w:cs="Book Antiqua"/>
          <w:color w:val="000000"/>
        </w:rPr>
        <w:t>hao Liu, L</w:t>
      </w:r>
      <w:r>
        <w:rPr>
          <w:rFonts w:ascii="Book Antiqua" w:hAnsi="Book Antiqua" w:cs="Book Antiqua" w:hint="eastAsia"/>
          <w:color w:val="000000"/>
          <w:lang w:eastAsia="zh-CN"/>
        </w:rPr>
        <w:t>i-</w:t>
      </w:r>
      <w:r>
        <w:rPr>
          <w:rFonts w:ascii="Book Antiqua" w:eastAsia="Book Antiqua" w:hAnsi="Book Antiqua" w:cs="Book Antiqua"/>
          <w:color w:val="000000"/>
        </w:rPr>
        <w:t>Z</w:t>
      </w:r>
      <w:r>
        <w:rPr>
          <w:rFonts w:ascii="Book Antiqua" w:hAnsi="Book Antiqua" w:cs="Book Antiqua" w:hint="eastAsia"/>
          <w:color w:val="000000"/>
          <w:lang w:eastAsia="zh-CN"/>
        </w:rPr>
        <w:t>u</w:t>
      </w:r>
      <w:r>
        <w:rPr>
          <w:rFonts w:ascii="Book Antiqua" w:eastAsia="Book Antiqua" w:hAnsi="Book Antiqua" w:cs="Book Antiqua"/>
          <w:color w:val="000000"/>
        </w:rPr>
        <w:t xml:space="preserve"> Xiao, Tao Song, Xiao-Qiu Yang, Zhi-Jian Fu, Min Yan</w:t>
      </w:r>
    </w:p>
    <w:p w14:paraId="380BFB04" w14:textId="77777777" w:rsidR="000F0D29" w:rsidRDefault="000F0D29">
      <w:pPr>
        <w:spacing w:line="360" w:lineRule="auto"/>
        <w:jc w:val="both"/>
      </w:pPr>
    </w:p>
    <w:p w14:paraId="3EA987C5" w14:textId="52F91624" w:rsidR="000F0D29" w:rsidRDefault="00712A8D">
      <w:pPr>
        <w:spacing w:line="360" w:lineRule="auto"/>
        <w:jc w:val="both"/>
      </w:pPr>
      <w:r>
        <w:rPr>
          <w:rFonts w:ascii="Book Antiqua" w:eastAsia="Book Antiqua" w:hAnsi="Book Antiqua" w:cs="Book Antiqua"/>
          <w:b/>
          <w:bCs/>
          <w:color w:val="000000"/>
        </w:rPr>
        <w:t xml:space="preserve">Dong Huang, </w:t>
      </w:r>
      <w:r w:rsidR="00496A7E" w:rsidRPr="00496A7E">
        <w:rPr>
          <w:rFonts w:ascii="Book Antiqua" w:eastAsia="Book Antiqua" w:hAnsi="Book Antiqua" w:cs="Book Antiqua"/>
          <w:color w:val="000000"/>
        </w:rPr>
        <w:t>Department of Algology</w:t>
      </w:r>
      <w:r>
        <w:rPr>
          <w:rFonts w:ascii="Book Antiqua" w:eastAsia="Book Antiqua" w:hAnsi="Book Antiqua" w:cs="Book Antiqua"/>
          <w:color w:val="000000"/>
        </w:rPr>
        <w:t xml:space="preserve">, Third Xiangya Hospital of Central South University, </w:t>
      </w:r>
      <w:r>
        <w:rPr>
          <w:rFonts w:ascii="Book Antiqua" w:hAnsi="Book Antiqua" w:cs="Book Antiqua" w:hint="eastAsia"/>
          <w:color w:val="000000"/>
          <w:lang w:eastAsia="zh-CN"/>
        </w:rPr>
        <w:t>C</w:t>
      </w:r>
      <w:r>
        <w:rPr>
          <w:rFonts w:ascii="Book Antiqua" w:eastAsia="Book Antiqua" w:hAnsi="Book Antiqua" w:cs="Book Antiqua"/>
          <w:color w:val="000000"/>
        </w:rPr>
        <w:t xml:space="preserve">hangsha 410013, </w:t>
      </w:r>
      <w:r>
        <w:rPr>
          <w:rFonts w:ascii="Book Antiqua" w:hAnsi="Book Antiqua" w:cs="Book Antiqua" w:hint="eastAsia"/>
          <w:color w:val="000000"/>
          <w:lang w:eastAsia="zh-CN"/>
        </w:rPr>
        <w:t xml:space="preserve">Hunan Province, </w:t>
      </w:r>
      <w:r>
        <w:rPr>
          <w:rFonts w:ascii="Book Antiqua" w:eastAsia="Book Antiqua" w:hAnsi="Book Antiqua" w:cs="Book Antiqua"/>
          <w:color w:val="000000"/>
        </w:rPr>
        <w:t>China</w:t>
      </w:r>
    </w:p>
    <w:p w14:paraId="08CA56B4" w14:textId="77777777" w:rsidR="000F0D29" w:rsidRDefault="000F0D29">
      <w:pPr>
        <w:spacing w:line="360" w:lineRule="auto"/>
        <w:jc w:val="both"/>
      </w:pPr>
    </w:p>
    <w:p w14:paraId="556CEB77" w14:textId="77777777" w:rsidR="000F0D29" w:rsidRDefault="00712A8D">
      <w:pPr>
        <w:spacing w:line="360" w:lineRule="auto"/>
        <w:jc w:val="both"/>
      </w:pPr>
      <w:r>
        <w:rPr>
          <w:rFonts w:ascii="Book Antiqua" w:eastAsia="Book Antiqua" w:hAnsi="Book Antiqua" w:cs="Book Antiqua"/>
          <w:b/>
          <w:bCs/>
          <w:color w:val="000000"/>
        </w:rPr>
        <w:t xml:space="preserve">Yan-Qing Liu, </w:t>
      </w:r>
      <w:r>
        <w:rPr>
          <w:rFonts w:ascii="Book Antiqua" w:eastAsia="Book Antiqua" w:hAnsi="Book Antiqua" w:cs="Book Antiqua"/>
          <w:color w:val="000000"/>
        </w:rPr>
        <w:t>Department of Algology, Beijing Tiantan Hospital, Capital Medicine University, Beijing 100070, China</w:t>
      </w:r>
    </w:p>
    <w:p w14:paraId="4E921749" w14:textId="77777777" w:rsidR="000F0D29" w:rsidRDefault="000F0D29">
      <w:pPr>
        <w:spacing w:line="360" w:lineRule="auto"/>
        <w:jc w:val="both"/>
      </w:pPr>
    </w:p>
    <w:p w14:paraId="55942A4E" w14:textId="77777777" w:rsidR="000F0D29" w:rsidRDefault="00712A8D">
      <w:pPr>
        <w:spacing w:line="360" w:lineRule="auto"/>
        <w:jc w:val="both"/>
      </w:pPr>
      <w:r>
        <w:rPr>
          <w:rFonts w:ascii="Book Antiqua" w:eastAsia="Book Antiqua" w:hAnsi="Book Antiqua" w:cs="Book Antiqua"/>
          <w:b/>
          <w:bCs/>
          <w:color w:val="000000"/>
        </w:rPr>
        <w:t xml:space="preserve">Ling-Jie Xia, </w:t>
      </w:r>
      <w:r>
        <w:rPr>
          <w:rFonts w:ascii="Book Antiqua" w:eastAsia="Book Antiqua" w:hAnsi="Book Antiqua" w:cs="Book Antiqua"/>
          <w:color w:val="000000"/>
        </w:rPr>
        <w:t xml:space="preserve">Department of Algology, Henan Provincial People's Hospital, Zhengzhou 450008, </w:t>
      </w:r>
      <w:r>
        <w:rPr>
          <w:rFonts w:ascii="Book Antiqua" w:hAnsi="Book Antiqua" w:cs="Book Antiqua" w:hint="eastAsia"/>
          <w:color w:val="000000"/>
          <w:lang w:eastAsia="zh-CN"/>
        </w:rPr>
        <w:t xml:space="preserve">Henan Province, </w:t>
      </w:r>
      <w:r>
        <w:rPr>
          <w:rFonts w:ascii="Book Antiqua" w:eastAsia="Book Antiqua" w:hAnsi="Book Antiqua" w:cs="Book Antiqua"/>
          <w:color w:val="000000"/>
        </w:rPr>
        <w:t>China</w:t>
      </w:r>
    </w:p>
    <w:p w14:paraId="3027C38F" w14:textId="77777777" w:rsidR="000F0D29" w:rsidRDefault="000F0D29">
      <w:pPr>
        <w:spacing w:line="360" w:lineRule="auto"/>
        <w:jc w:val="both"/>
      </w:pPr>
    </w:p>
    <w:p w14:paraId="00861AE5" w14:textId="2BEBF3CA" w:rsidR="000F0D29" w:rsidRDefault="00712A8D">
      <w:pPr>
        <w:spacing w:line="360" w:lineRule="auto"/>
        <w:jc w:val="both"/>
      </w:pPr>
      <w:r>
        <w:rPr>
          <w:rFonts w:ascii="Book Antiqua" w:eastAsia="Book Antiqua" w:hAnsi="Book Antiqua" w:cs="Book Antiqua"/>
          <w:b/>
          <w:bCs/>
          <w:color w:val="000000"/>
        </w:rPr>
        <w:t>Xian</w:t>
      </w:r>
      <w:r>
        <w:rPr>
          <w:rFonts w:ascii="Book Antiqua" w:hAnsi="Book Antiqua" w:cs="Book Antiqua" w:hint="eastAsia"/>
          <w:b/>
          <w:bCs/>
          <w:color w:val="000000"/>
          <w:lang w:eastAsia="zh-CN"/>
        </w:rPr>
        <w:t>-G</w:t>
      </w:r>
      <w:r>
        <w:rPr>
          <w:rFonts w:ascii="Book Antiqua" w:eastAsia="Book Antiqua" w:hAnsi="Book Antiqua" w:cs="Book Antiqua"/>
          <w:b/>
          <w:bCs/>
          <w:color w:val="000000"/>
        </w:rPr>
        <w:t xml:space="preserve">uo Liu, </w:t>
      </w:r>
      <w:r>
        <w:rPr>
          <w:rFonts w:ascii="Book Antiqua" w:eastAsia="Book Antiqua" w:hAnsi="Book Antiqua" w:cs="Book Antiqua"/>
          <w:color w:val="000000"/>
        </w:rPr>
        <w:t>Department of Physiology and Pain Research Center, Sun Yat-</w:t>
      </w:r>
      <w:r w:rsidR="00D54247">
        <w:rPr>
          <w:rFonts w:ascii="Book Antiqua" w:eastAsia="Book Antiqua" w:hAnsi="Book Antiqua" w:cs="Book Antiqua"/>
          <w:color w:val="000000"/>
        </w:rPr>
        <w:t>S</w:t>
      </w:r>
      <w:r>
        <w:rPr>
          <w:rFonts w:ascii="Book Antiqua" w:eastAsia="Book Antiqua" w:hAnsi="Book Antiqua" w:cs="Book Antiqua"/>
          <w:color w:val="000000"/>
        </w:rPr>
        <w:t xml:space="preserve">en University, Guangzhou 510089, </w:t>
      </w:r>
      <w:r>
        <w:rPr>
          <w:rFonts w:ascii="Book Antiqua" w:hAnsi="Book Antiqua" w:cs="Book Antiqua" w:hint="eastAsia"/>
          <w:color w:val="000000"/>
          <w:lang w:eastAsia="zh-CN"/>
        </w:rPr>
        <w:t xml:space="preserve">Guangdong Province, </w:t>
      </w:r>
      <w:r>
        <w:rPr>
          <w:rFonts w:ascii="Book Antiqua" w:eastAsia="Book Antiqua" w:hAnsi="Book Antiqua" w:cs="Book Antiqua"/>
          <w:color w:val="000000"/>
        </w:rPr>
        <w:t>China</w:t>
      </w:r>
    </w:p>
    <w:p w14:paraId="33C283C8" w14:textId="77777777" w:rsidR="000F0D29" w:rsidRDefault="000F0D29">
      <w:pPr>
        <w:spacing w:line="360" w:lineRule="auto"/>
        <w:jc w:val="both"/>
      </w:pPr>
    </w:p>
    <w:p w14:paraId="48465929" w14:textId="77777777" w:rsidR="000F0D29" w:rsidRDefault="00712A8D">
      <w:pPr>
        <w:spacing w:line="360" w:lineRule="auto"/>
        <w:jc w:val="both"/>
      </w:pPr>
      <w:r>
        <w:rPr>
          <w:rFonts w:ascii="Book Antiqua" w:eastAsia="Book Antiqua" w:hAnsi="Book Antiqua" w:cs="Book Antiqua"/>
          <w:b/>
          <w:bCs/>
          <w:color w:val="000000"/>
        </w:rPr>
        <w:t xml:space="preserve">Ke Ma, </w:t>
      </w:r>
      <w:r>
        <w:rPr>
          <w:rFonts w:ascii="Book Antiqua" w:eastAsia="Book Antiqua" w:hAnsi="Book Antiqua" w:cs="Book Antiqua"/>
          <w:color w:val="000000"/>
        </w:rPr>
        <w:t xml:space="preserve">Department of Algology, Xin Hua Hospital Affiliated to Shanghai Jiao Tong University School of Medicine, </w:t>
      </w:r>
      <w:r>
        <w:rPr>
          <w:rFonts w:ascii="Book Antiqua" w:hAnsi="Book Antiqua" w:cs="Book Antiqua" w:hint="eastAsia"/>
          <w:color w:val="000000"/>
          <w:lang w:eastAsia="zh-CN"/>
        </w:rPr>
        <w:t>S</w:t>
      </w:r>
      <w:r>
        <w:rPr>
          <w:rFonts w:ascii="Book Antiqua" w:eastAsia="Book Antiqua" w:hAnsi="Book Antiqua" w:cs="Book Antiqua"/>
          <w:color w:val="000000"/>
        </w:rPr>
        <w:t>hanghai 200092, China</w:t>
      </w:r>
    </w:p>
    <w:p w14:paraId="4DD76681" w14:textId="77777777" w:rsidR="000F0D29" w:rsidRDefault="000F0D29">
      <w:pPr>
        <w:spacing w:line="360" w:lineRule="auto"/>
        <w:jc w:val="both"/>
      </w:pPr>
    </w:p>
    <w:p w14:paraId="5B843489" w14:textId="081EE58C" w:rsidR="000F0D29" w:rsidRDefault="00712A8D">
      <w:pPr>
        <w:spacing w:line="360" w:lineRule="auto"/>
        <w:jc w:val="both"/>
        <w:rPr>
          <w:lang w:eastAsia="zh-CN"/>
        </w:rPr>
      </w:pPr>
      <w:r>
        <w:rPr>
          <w:rFonts w:ascii="Book Antiqua" w:eastAsia="Book Antiqua" w:hAnsi="Book Antiqua" w:cs="Book Antiqua"/>
          <w:b/>
          <w:bCs/>
          <w:color w:val="000000"/>
        </w:rPr>
        <w:t>Guang-</w:t>
      </w:r>
      <w:r>
        <w:rPr>
          <w:rFonts w:ascii="Book Antiqua" w:hAnsi="Book Antiqua" w:cs="Book Antiqua" w:hint="eastAsia"/>
          <w:b/>
          <w:bCs/>
          <w:color w:val="000000"/>
          <w:lang w:eastAsia="zh-CN"/>
        </w:rPr>
        <w:t>Z</w:t>
      </w:r>
      <w:r>
        <w:rPr>
          <w:rFonts w:ascii="Book Antiqua" w:eastAsia="Book Antiqua" w:hAnsi="Book Antiqua" w:cs="Book Antiqua"/>
          <w:b/>
          <w:bCs/>
          <w:color w:val="000000"/>
        </w:rPr>
        <w:t xml:space="preserve">hao Liu, </w:t>
      </w:r>
      <w:r>
        <w:rPr>
          <w:rFonts w:ascii="Book Antiqua" w:eastAsia="Book Antiqua" w:hAnsi="Book Antiqua" w:cs="Book Antiqua"/>
          <w:color w:val="000000"/>
        </w:rPr>
        <w:t>Department of Algology, The Second Hospital of He</w:t>
      </w:r>
      <w:r w:rsidR="007137E2">
        <w:rPr>
          <w:rFonts w:ascii="Book Antiqua" w:eastAsia="Book Antiqua" w:hAnsi="Book Antiqua" w:cs="Book Antiqua"/>
          <w:color w:val="000000"/>
        </w:rPr>
        <w:t>b</w:t>
      </w:r>
      <w:r>
        <w:rPr>
          <w:rFonts w:ascii="Book Antiqua" w:eastAsia="Book Antiqua" w:hAnsi="Book Antiqua" w:cs="Book Antiqua"/>
          <w:color w:val="000000"/>
        </w:rPr>
        <w:t xml:space="preserve">ei Medical University, Shijiazhuang 050000, </w:t>
      </w:r>
      <w:r>
        <w:rPr>
          <w:rFonts w:ascii="Book Antiqua" w:hAnsi="Book Antiqua" w:cs="Book Antiqua" w:hint="eastAsia"/>
          <w:color w:val="000000"/>
          <w:lang w:eastAsia="zh-CN"/>
        </w:rPr>
        <w:t xml:space="preserve">Hebei Province, </w:t>
      </w:r>
      <w:r>
        <w:rPr>
          <w:rFonts w:ascii="Book Antiqua" w:eastAsia="Book Antiqua" w:hAnsi="Book Antiqua" w:cs="Book Antiqua"/>
          <w:color w:val="000000"/>
        </w:rPr>
        <w:t>China</w:t>
      </w:r>
    </w:p>
    <w:p w14:paraId="79E04528" w14:textId="77777777" w:rsidR="000F0D29" w:rsidRDefault="000F0D29">
      <w:pPr>
        <w:spacing w:line="360" w:lineRule="auto"/>
        <w:jc w:val="both"/>
      </w:pPr>
    </w:p>
    <w:p w14:paraId="2BCA041F" w14:textId="3B09571A" w:rsidR="000F0D29" w:rsidRDefault="00712A8D">
      <w:pPr>
        <w:spacing w:line="360" w:lineRule="auto"/>
        <w:jc w:val="both"/>
      </w:pPr>
      <w:r>
        <w:rPr>
          <w:rFonts w:ascii="Book Antiqua" w:eastAsia="Book Antiqua" w:hAnsi="Book Antiqua" w:cs="Book Antiqua"/>
          <w:b/>
          <w:bCs/>
          <w:color w:val="000000"/>
        </w:rPr>
        <w:lastRenderedPageBreak/>
        <w:t>L</w:t>
      </w:r>
      <w:r>
        <w:rPr>
          <w:rFonts w:ascii="Book Antiqua" w:hAnsi="Book Antiqua" w:cs="Book Antiqua" w:hint="eastAsia"/>
          <w:b/>
          <w:bCs/>
          <w:color w:val="000000"/>
          <w:lang w:eastAsia="zh-CN"/>
        </w:rPr>
        <w:t>i-</w:t>
      </w:r>
      <w:r>
        <w:rPr>
          <w:rFonts w:ascii="Book Antiqua" w:eastAsia="Book Antiqua" w:hAnsi="Book Antiqua" w:cs="Book Antiqua"/>
          <w:b/>
          <w:bCs/>
          <w:color w:val="000000"/>
        </w:rPr>
        <w:t>Z</w:t>
      </w:r>
      <w:r>
        <w:rPr>
          <w:rFonts w:ascii="Book Antiqua" w:hAnsi="Book Antiqua" w:cs="Book Antiqua" w:hint="eastAsia"/>
          <w:b/>
          <w:bCs/>
          <w:color w:val="000000"/>
          <w:lang w:eastAsia="zh-CN"/>
        </w:rPr>
        <w:t>u</w:t>
      </w:r>
      <w:r>
        <w:rPr>
          <w:rFonts w:ascii="Book Antiqua" w:eastAsia="Book Antiqua" w:hAnsi="Book Antiqua" w:cs="Book Antiqua"/>
          <w:b/>
          <w:bCs/>
          <w:color w:val="000000"/>
        </w:rPr>
        <w:t xml:space="preserve"> Xiao, </w:t>
      </w:r>
      <w:r w:rsidR="00496A7E" w:rsidRPr="00496A7E">
        <w:rPr>
          <w:rFonts w:ascii="Book Antiqua" w:eastAsia="Book Antiqua" w:hAnsi="Book Antiqua" w:cs="Book Antiqua"/>
          <w:color w:val="000000"/>
        </w:rPr>
        <w:t>Department of Algology</w:t>
      </w:r>
      <w:r>
        <w:rPr>
          <w:rFonts w:ascii="Book Antiqua" w:eastAsia="Book Antiqua" w:hAnsi="Book Antiqua" w:cs="Book Antiqua"/>
          <w:color w:val="000000"/>
        </w:rPr>
        <w:t>, Huazhong University of Science and Technology Union Shenzhen Hospital, Shenzhen 518052,</w:t>
      </w:r>
      <w:r>
        <w:rPr>
          <w:rFonts w:ascii="Book Antiqua" w:hAnsi="Book Antiqua" w:cs="Book Antiqua" w:hint="eastAsia"/>
          <w:color w:val="000000"/>
          <w:lang w:eastAsia="zh-CN"/>
        </w:rPr>
        <w:t xml:space="preserve"> Guangdong Province,</w:t>
      </w:r>
      <w:r>
        <w:rPr>
          <w:rFonts w:ascii="Book Antiqua" w:eastAsia="Book Antiqua" w:hAnsi="Book Antiqua" w:cs="Book Antiqua"/>
          <w:color w:val="000000"/>
        </w:rPr>
        <w:t xml:space="preserve"> China</w:t>
      </w:r>
    </w:p>
    <w:p w14:paraId="000CE505" w14:textId="77777777" w:rsidR="000F0D29" w:rsidRDefault="000F0D29">
      <w:pPr>
        <w:spacing w:line="360" w:lineRule="auto"/>
        <w:jc w:val="both"/>
      </w:pPr>
    </w:p>
    <w:p w14:paraId="09BA966F" w14:textId="77777777" w:rsidR="000F0D29" w:rsidRDefault="00712A8D">
      <w:pPr>
        <w:spacing w:line="360" w:lineRule="auto"/>
        <w:jc w:val="both"/>
      </w:pPr>
      <w:r>
        <w:rPr>
          <w:rFonts w:ascii="Book Antiqua" w:eastAsia="Book Antiqua" w:hAnsi="Book Antiqua" w:cs="Book Antiqua"/>
          <w:b/>
          <w:bCs/>
          <w:color w:val="000000"/>
        </w:rPr>
        <w:t xml:space="preserve">Tao Song, </w:t>
      </w:r>
      <w:r>
        <w:rPr>
          <w:rFonts w:ascii="Book Antiqua" w:eastAsia="Book Antiqua" w:hAnsi="Book Antiqua" w:cs="Book Antiqua"/>
          <w:color w:val="000000"/>
        </w:rPr>
        <w:t>Department of Algology, First Affiliated Hospital of China Medical University, Shenyang 110001,</w:t>
      </w:r>
      <w:r>
        <w:rPr>
          <w:rFonts w:ascii="Book Antiqua" w:hAnsi="Book Antiqua" w:cs="Book Antiqua" w:hint="eastAsia"/>
          <w:color w:val="000000"/>
          <w:lang w:eastAsia="zh-CN"/>
        </w:rPr>
        <w:t xml:space="preserve"> Liaoning Province,</w:t>
      </w:r>
      <w:r>
        <w:rPr>
          <w:rFonts w:ascii="Book Antiqua" w:eastAsia="Book Antiqua" w:hAnsi="Book Antiqua" w:cs="Book Antiqua"/>
          <w:color w:val="000000"/>
        </w:rPr>
        <w:t xml:space="preserve"> </w:t>
      </w:r>
      <w:bookmarkStart w:id="1" w:name="OLE_LINK2"/>
      <w:bookmarkStart w:id="2" w:name="OLE_LINK1"/>
      <w:r>
        <w:rPr>
          <w:rFonts w:ascii="Book Antiqua" w:eastAsia="Book Antiqua" w:hAnsi="Book Antiqua" w:cs="Book Antiqua"/>
          <w:color w:val="000000"/>
        </w:rPr>
        <w:t>China</w:t>
      </w:r>
      <w:bookmarkEnd w:id="1"/>
      <w:bookmarkEnd w:id="2"/>
    </w:p>
    <w:p w14:paraId="5629DAD8" w14:textId="77777777" w:rsidR="000F0D29" w:rsidRDefault="000F0D29">
      <w:pPr>
        <w:spacing w:line="360" w:lineRule="auto"/>
        <w:jc w:val="both"/>
      </w:pPr>
    </w:p>
    <w:p w14:paraId="1EBD72A5" w14:textId="77777777" w:rsidR="000F0D29" w:rsidRDefault="00712A8D">
      <w:pPr>
        <w:spacing w:line="360" w:lineRule="auto"/>
        <w:jc w:val="both"/>
      </w:pPr>
      <w:r>
        <w:rPr>
          <w:rFonts w:ascii="Book Antiqua" w:eastAsia="Book Antiqua" w:hAnsi="Book Antiqua" w:cs="Book Antiqua"/>
          <w:b/>
          <w:bCs/>
          <w:color w:val="000000"/>
        </w:rPr>
        <w:t xml:space="preserve">Xiao-Qiu Yang, </w:t>
      </w:r>
      <w:r>
        <w:rPr>
          <w:rFonts w:ascii="Book Antiqua" w:eastAsia="Book Antiqua" w:hAnsi="Book Antiqua" w:cs="Book Antiqua"/>
          <w:color w:val="000000"/>
        </w:rPr>
        <w:t xml:space="preserve">Department of Neurology, First Affiliated Hospital of Chongqing Medical University, Changsha 410008, </w:t>
      </w:r>
      <w:r>
        <w:rPr>
          <w:rFonts w:ascii="Book Antiqua" w:hAnsi="Book Antiqua" w:cs="Book Antiqua" w:hint="eastAsia"/>
          <w:color w:val="000000"/>
          <w:lang w:eastAsia="zh-CN"/>
        </w:rPr>
        <w:t>Hunan Province,</w:t>
      </w:r>
      <w:r>
        <w:rPr>
          <w:rFonts w:ascii="Book Antiqua" w:eastAsia="Book Antiqua" w:hAnsi="Book Antiqua" w:cs="Book Antiqua"/>
          <w:color w:val="000000"/>
        </w:rPr>
        <w:t xml:space="preserve"> China</w:t>
      </w:r>
    </w:p>
    <w:p w14:paraId="64E3F3F7" w14:textId="77777777" w:rsidR="000F0D29" w:rsidRDefault="000F0D29">
      <w:pPr>
        <w:spacing w:line="360" w:lineRule="auto"/>
        <w:jc w:val="both"/>
      </w:pPr>
    </w:p>
    <w:p w14:paraId="18132446" w14:textId="77777777" w:rsidR="000F0D29" w:rsidRDefault="00712A8D">
      <w:pPr>
        <w:spacing w:line="360" w:lineRule="auto"/>
        <w:jc w:val="both"/>
      </w:pPr>
      <w:r>
        <w:rPr>
          <w:rFonts w:ascii="Book Antiqua" w:eastAsia="Book Antiqua" w:hAnsi="Book Antiqua" w:cs="Book Antiqua"/>
          <w:b/>
          <w:bCs/>
          <w:color w:val="000000"/>
        </w:rPr>
        <w:t xml:space="preserve">Zhi-Jian Fu, </w:t>
      </w:r>
      <w:r>
        <w:rPr>
          <w:rFonts w:ascii="Book Antiqua" w:eastAsia="Book Antiqua" w:hAnsi="Book Antiqua" w:cs="Book Antiqua"/>
          <w:color w:val="000000"/>
        </w:rPr>
        <w:t xml:space="preserve">Department of Algology, Shandong Provincial Hospital, Jinan 250021, </w:t>
      </w:r>
      <w:r>
        <w:rPr>
          <w:rFonts w:ascii="Book Antiqua" w:hAnsi="Book Antiqua" w:cs="Book Antiqua" w:hint="eastAsia"/>
          <w:color w:val="000000"/>
          <w:lang w:eastAsia="zh-CN"/>
        </w:rPr>
        <w:t xml:space="preserve">Shandong Province, </w:t>
      </w:r>
      <w:r>
        <w:rPr>
          <w:rFonts w:ascii="Book Antiqua" w:eastAsia="Book Antiqua" w:hAnsi="Book Antiqua" w:cs="Book Antiqua"/>
          <w:color w:val="000000"/>
        </w:rPr>
        <w:t>China</w:t>
      </w:r>
    </w:p>
    <w:p w14:paraId="3163473B" w14:textId="77777777" w:rsidR="000F0D29" w:rsidRDefault="000F0D29">
      <w:pPr>
        <w:spacing w:line="360" w:lineRule="auto"/>
        <w:jc w:val="both"/>
      </w:pPr>
    </w:p>
    <w:p w14:paraId="48B065F2" w14:textId="77777777" w:rsidR="000F0D29" w:rsidRDefault="00712A8D">
      <w:pPr>
        <w:spacing w:line="360" w:lineRule="auto"/>
        <w:jc w:val="both"/>
      </w:pPr>
      <w:r>
        <w:rPr>
          <w:rFonts w:ascii="Book Antiqua" w:eastAsia="Book Antiqua" w:hAnsi="Book Antiqua" w:cs="Book Antiqua"/>
          <w:b/>
          <w:bCs/>
          <w:color w:val="000000"/>
        </w:rPr>
        <w:t xml:space="preserve">Min Yan, </w:t>
      </w:r>
      <w:r>
        <w:rPr>
          <w:rFonts w:ascii="Book Antiqua" w:eastAsia="Book Antiqua" w:hAnsi="Book Antiqua" w:cs="Book Antiqua"/>
          <w:color w:val="000000"/>
        </w:rPr>
        <w:t>Department of Algology, The Second Affiliated Hospital of Zhejiang University School of Medicine, Hangzhou 310009,</w:t>
      </w:r>
      <w:r>
        <w:rPr>
          <w:rFonts w:ascii="Book Antiqua" w:hAnsi="Book Antiqua" w:cs="Book Antiqua" w:hint="eastAsia"/>
          <w:color w:val="000000"/>
          <w:lang w:eastAsia="zh-CN"/>
        </w:rPr>
        <w:t xml:space="preserve"> Zhejiang Province,</w:t>
      </w:r>
      <w:r>
        <w:rPr>
          <w:rFonts w:ascii="Book Antiqua" w:eastAsia="Book Antiqua" w:hAnsi="Book Antiqua" w:cs="Book Antiqua"/>
          <w:color w:val="000000"/>
        </w:rPr>
        <w:t xml:space="preserve"> China</w:t>
      </w:r>
    </w:p>
    <w:p w14:paraId="3243C1A4" w14:textId="77777777" w:rsidR="000F0D29" w:rsidRDefault="000F0D29">
      <w:pPr>
        <w:spacing w:line="360" w:lineRule="auto"/>
        <w:jc w:val="both"/>
      </w:pPr>
    </w:p>
    <w:p w14:paraId="6C688A6A" w14:textId="77777777" w:rsidR="000F0D29" w:rsidRDefault="00712A8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w:t>
      </w:r>
      <w:r>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Liu </w:t>
      </w:r>
      <w:r>
        <w:rPr>
          <w:rFonts w:ascii="Book Antiqua" w:hAnsi="Book Antiqua" w:cs="Book Antiqua" w:hint="eastAsia"/>
          <w:color w:val="000000"/>
          <w:lang w:eastAsia="zh-CN"/>
        </w:rPr>
        <w:t xml:space="preserve">YQ </w:t>
      </w:r>
      <w:r>
        <w:rPr>
          <w:rFonts w:ascii="Book Antiqua" w:eastAsia="Book Antiqua" w:hAnsi="Book Antiqua" w:cs="Book Antiqua"/>
          <w:color w:val="000000"/>
        </w:rPr>
        <w:t>and Xia</w:t>
      </w:r>
      <w:r>
        <w:rPr>
          <w:rFonts w:ascii="Book Antiqua" w:hAnsi="Book Antiqua" w:cs="Book Antiqua" w:hint="eastAsia"/>
          <w:color w:val="000000"/>
          <w:lang w:eastAsia="zh-CN"/>
        </w:rPr>
        <w:t xml:space="preserve"> LJ</w:t>
      </w:r>
      <w:r>
        <w:rPr>
          <w:rFonts w:ascii="Book Antiqua" w:eastAsia="Book Antiqua" w:hAnsi="Book Antiqua" w:cs="Book Antiqua"/>
          <w:color w:val="000000"/>
        </w:rPr>
        <w:t xml:space="preserve"> reviewed the literature and contributed to manuscript drafting; Liu</w:t>
      </w:r>
      <w:r>
        <w:rPr>
          <w:rFonts w:ascii="Book Antiqua" w:hAnsi="Book Antiqua" w:cs="Book Antiqua" w:hint="eastAsia"/>
          <w:color w:val="000000"/>
          <w:lang w:eastAsia="zh-CN"/>
        </w:rPr>
        <w:t xml:space="preserve"> XG</w:t>
      </w:r>
      <w:r>
        <w:rPr>
          <w:rFonts w:ascii="Book Antiqua" w:eastAsia="Book Antiqua" w:hAnsi="Book Antiqua" w:cs="Book Antiqua"/>
          <w:color w:val="000000"/>
        </w:rPr>
        <w:t>, Ma</w:t>
      </w:r>
      <w:r>
        <w:rPr>
          <w:rFonts w:ascii="Book Antiqua" w:hAnsi="Book Antiqua" w:cs="Book Antiqua" w:hint="eastAsia"/>
          <w:color w:val="000000"/>
          <w:lang w:eastAsia="zh-CN"/>
        </w:rPr>
        <w:t xml:space="preserve"> K</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GZ</w:t>
      </w:r>
      <w:r>
        <w:rPr>
          <w:rFonts w:ascii="Book Antiqua" w:eastAsia="Book Antiqua" w:hAnsi="Book Antiqua" w:cs="Book Antiqua"/>
          <w:color w:val="000000"/>
        </w:rPr>
        <w:t xml:space="preserve"> and Xiao</w:t>
      </w:r>
      <w:r>
        <w:rPr>
          <w:rFonts w:ascii="Book Antiqua" w:hAnsi="Book Antiqua" w:cs="Book Antiqua" w:hint="eastAsia"/>
          <w:color w:val="000000"/>
          <w:lang w:eastAsia="zh-CN"/>
        </w:rPr>
        <w:t xml:space="preserve"> LZ</w:t>
      </w:r>
      <w:r>
        <w:rPr>
          <w:rFonts w:ascii="Book Antiqua" w:eastAsia="Book Antiqua" w:hAnsi="Book Antiqua" w:cs="Book Antiqua"/>
          <w:color w:val="000000"/>
        </w:rPr>
        <w:t xml:space="preserve"> reviewed the literature and drafted the manuscript; Song</w:t>
      </w:r>
      <w:r>
        <w:rPr>
          <w:rFonts w:ascii="Book Antiqua" w:hAnsi="Book Antiqua" w:cs="Book Antiqua" w:hint="eastAsia"/>
          <w:color w:val="000000"/>
          <w:lang w:eastAsia="zh-CN"/>
        </w:rPr>
        <w:t xml:space="preserve"> T,</w:t>
      </w:r>
      <w:r>
        <w:rPr>
          <w:rFonts w:ascii="Book Antiqua" w:eastAsia="Book Antiqua" w:hAnsi="Book Antiqua" w:cs="Book Antiqua"/>
          <w:color w:val="000000"/>
        </w:rPr>
        <w:t xml:space="preserve"> Yang</w:t>
      </w:r>
      <w:r>
        <w:rPr>
          <w:rFonts w:ascii="Book Antiqua" w:hAnsi="Book Antiqua" w:cs="Book Antiqua" w:hint="eastAsia"/>
          <w:color w:val="000000"/>
          <w:lang w:eastAsia="zh-CN"/>
        </w:rPr>
        <w:t xml:space="preserve"> XQ</w:t>
      </w:r>
      <w:r>
        <w:rPr>
          <w:rFonts w:ascii="Book Antiqua" w:eastAsia="Book Antiqua" w:hAnsi="Book Antiqua" w:cs="Book Antiqua"/>
          <w:color w:val="000000"/>
        </w:rPr>
        <w:t>, Fu</w:t>
      </w:r>
      <w:r>
        <w:rPr>
          <w:rFonts w:ascii="Book Antiqua" w:hAnsi="Book Antiqua" w:cs="Book Antiqua" w:hint="eastAsia"/>
          <w:color w:val="000000"/>
          <w:lang w:eastAsia="zh-CN"/>
        </w:rPr>
        <w:t xml:space="preserve"> ZJ</w:t>
      </w:r>
      <w:r>
        <w:rPr>
          <w:rFonts w:ascii="Book Antiqua" w:eastAsia="Book Antiqua" w:hAnsi="Book Antiqua" w:cs="Book Antiqua"/>
          <w:color w:val="000000"/>
        </w:rPr>
        <w:t xml:space="preserve"> and Yan</w:t>
      </w:r>
      <w:r>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were responsible for the revision of the manuscript for important intellectual content; all authors issued final approval for the version to be submitted.</w:t>
      </w:r>
    </w:p>
    <w:p w14:paraId="0192FC8C" w14:textId="77777777" w:rsidR="000F0D29" w:rsidRDefault="000F0D29">
      <w:pPr>
        <w:spacing w:line="360" w:lineRule="auto"/>
        <w:jc w:val="both"/>
      </w:pPr>
    </w:p>
    <w:p w14:paraId="7EEF3A08" w14:textId="5B908EA2" w:rsidR="000F0D29" w:rsidRDefault="00712A8D">
      <w:pPr>
        <w:spacing w:line="360" w:lineRule="auto"/>
        <w:jc w:val="both"/>
      </w:pPr>
      <w:r>
        <w:rPr>
          <w:rFonts w:ascii="Book Antiqua" w:eastAsia="Book Antiqua" w:hAnsi="Book Antiqua" w:cs="Book Antiqua"/>
          <w:b/>
          <w:bCs/>
          <w:color w:val="000000"/>
        </w:rPr>
        <w:t xml:space="preserve">Corresponding author: Yan-Qing Liu, MD, </w:t>
      </w:r>
      <w:r>
        <w:rPr>
          <w:rFonts w:ascii="Book Antiqua" w:eastAsia="宋体" w:hAnsi="Book Antiqua" w:cs="Book Antiqua" w:hint="eastAsia"/>
          <w:b/>
          <w:bCs/>
          <w:color w:val="000000"/>
          <w:lang w:eastAsia="zh-CN"/>
        </w:rPr>
        <w:t>Professor,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Algology, Beijing Tiantan Hospital, Capital Medicine University, </w:t>
      </w:r>
      <w:r w:rsidR="007137E2">
        <w:rPr>
          <w:rFonts w:ascii="Book Antiqua" w:eastAsia="Book Antiqua" w:hAnsi="Book Antiqua" w:cs="Book Antiqua"/>
          <w:color w:val="000000"/>
        </w:rPr>
        <w:t xml:space="preserve">No. </w:t>
      </w:r>
      <w:r>
        <w:rPr>
          <w:rFonts w:ascii="Book Antiqua" w:eastAsia="Book Antiqua" w:hAnsi="Book Antiqua" w:cs="Book Antiqua"/>
          <w:color w:val="000000"/>
        </w:rPr>
        <w:t>119 South Fourth Ring West Road, Beijing 100070, China. lyqttyy@126.com</w:t>
      </w:r>
    </w:p>
    <w:p w14:paraId="3A92476F" w14:textId="77777777" w:rsidR="000F0D29" w:rsidRDefault="000F0D29">
      <w:pPr>
        <w:spacing w:line="360" w:lineRule="auto"/>
        <w:jc w:val="both"/>
      </w:pPr>
    </w:p>
    <w:p w14:paraId="18CB3C60" w14:textId="77777777" w:rsidR="000F0D29" w:rsidRDefault="00712A8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30, 2020</w:t>
      </w:r>
    </w:p>
    <w:p w14:paraId="47D7FA8D" w14:textId="77777777" w:rsidR="000F0D29" w:rsidRDefault="00712A8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 2021</w:t>
      </w:r>
    </w:p>
    <w:p w14:paraId="43B3DE98" w14:textId="538FD213" w:rsidR="000F0D29" w:rsidRDefault="00712A8D">
      <w:pPr>
        <w:spacing w:line="360" w:lineRule="auto"/>
        <w:jc w:val="both"/>
      </w:pPr>
      <w:r>
        <w:rPr>
          <w:rFonts w:ascii="Book Antiqua" w:eastAsia="Book Antiqua" w:hAnsi="Book Antiqua" w:cs="Book Antiqua"/>
          <w:b/>
          <w:bCs/>
          <w:color w:val="000000"/>
        </w:rPr>
        <w:t>Accepted:</w:t>
      </w:r>
      <w:r w:rsidR="00747931" w:rsidRPr="00747931">
        <w:t xml:space="preserve"> </w:t>
      </w:r>
      <w:r w:rsidR="00747931" w:rsidRPr="00747931">
        <w:rPr>
          <w:rFonts w:ascii="Book Antiqua" w:eastAsia="Book Antiqua" w:hAnsi="Book Antiqua" w:cs="Book Antiqua"/>
          <w:color w:val="000000"/>
        </w:rPr>
        <w:t>March 9, 2021</w:t>
      </w:r>
      <w:r w:rsidRPr="00747931">
        <w:rPr>
          <w:rFonts w:ascii="Book Antiqua" w:eastAsia="Book Antiqua" w:hAnsi="Book Antiqua" w:cs="Book Antiqua"/>
          <w:color w:val="000000"/>
        </w:rPr>
        <w:t xml:space="preserve"> </w:t>
      </w:r>
    </w:p>
    <w:p w14:paraId="666F5238" w14:textId="40CC0CB8" w:rsidR="000F0D29" w:rsidRDefault="00712A8D">
      <w:pPr>
        <w:spacing w:line="360" w:lineRule="auto"/>
        <w:jc w:val="both"/>
      </w:pPr>
      <w:r>
        <w:rPr>
          <w:rFonts w:ascii="Book Antiqua" w:eastAsia="Book Antiqua" w:hAnsi="Book Antiqua" w:cs="Book Antiqua"/>
          <w:b/>
          <w:bCs/>
          <w:color w:val="000000"/>
        </w:rPr>
        <w:t xml:space="preserve">Published online: </w:t>
      </w:r>
      <w:r w:rsidR="00462F71" w:rsidRPr="000B1DCA">
        <w:rPr>
          <w:rFonts w:ascii="Book Antiqua" w:eastAsia="Book Antiqua" w:hAnsi="Book Antiqua" w:cs="Book Antiqua"/>
          <w:color w:val="000000"/>
        </w:rPr>
        <w:t xml:space="preserve">March </w:t>
      </w:r>
      <w:r w:rsidR="00462F71">
        <w:rPr>
          <w:rFonts w:ascii="Book Antiqua" w:hAnsi="Book Antiqua" w:cs="Book Antiqua" w:hint="eastAsia"/>
          <w:color w:val="000000"/>
          <w:lang w:eastAsia="zh-CN"/>
        </w:rPr>
        <w:t>26</w:t>
      </w:r>
      <w:r w:rsidR="00462F71" w:rsidRPr="000B1DCA">
        <w:rPr>
          <w:rFonts w:ascii="Book Antiqua" w:eastAsia="Book Antiqua" w:hAnsi="Book Antiqua" w:cs="Book Antiqua"/>
          <w:color w:val="000000"/>
        </w:rPr>
        <w:t>, 2021</w:t>
      </w:r>
    </w:p>
    <w:p w14:paraId="57B228DA" w14:textId="77777777" w:rsidR="000F0D29" w:rsidRDefault="000F0D29">
      <w:pPr>
        <w:spacing w:line="360" w:lineRule="auto"/>
        <w:jc w:val="both"/>
        <w:sectPr w:rsidR="000F0D29">
          <w:footerReference w:type="default" r:id="rId8"/>
          <w:pgSz w:w="12240" w:h="15840"/>
          <w:pgMar w:top="1440" w:right="1440" w:bottom="1440" w:left="1440" w:header="720" w:footer="720" w:gutter="0"/>
          <w:cols w:space="720"/>
          <w:docGrid w:linePitch="360"/>
        </w:sectPr>
      </w:pPr>
    </w:p>
    <w:p w14:paraId="68D60C5C" w14:textId="77777777" w:rsidR="000F0D29" w:rsidRDefault="00712A8D">
      <w:pPr>
        <w:spacing w:line="360" w:lineRule="auto"/>
        <w:jc w:val="both"/>
      </w:pPr>
      <w:r>
        <w:rPr>
          <w:rFonts w:ascii="Book Antiqua" w:eastAsia="Book Antiqua" w:hAnsi="Book Antiqua" w:cs="Book Antiqua"/>
          <w:b/>
          <w:color w:val="000000"/>
        </w:rPr>
        <w:t>Abstract</w:t>
      </w:r>
    </w:p>
    <w:p w14:paraId="76A5051A" w14:textId="77777777" w:rsidR="000F0D29" w:rsidRDefault="00712A8D">
      <w:pPr>
        <w:spacing w:line="360" w:lineRule="auto"/>
        <w:jc w:val="both"/>
      </w:pPr>
      <w:r>
        <w:rPr>
          <w:rFonts w:ascii="Book Antiqua" w:eastAsia="Book Antiqua" w:hAnsi="Book Antiqua" w:cs="Book Antiqua"/>
          <w:color w:val="000000"/>
        </w:rPr>
        <w:t>Chronic musculoskeletal pain (CMP) is a common occurrence in clinical practice and there are a variety of options for the treatment of it. However, the pharmacological therapy is still considered to be a primary treatment. The recent years have witnessed the emergence of opioid crisis, yet there are no relevant guidelines on how to treat CMP with non-opioid analgesics properly. The Chinese Medical Association for the Study of Pain convened a panel meeting to develop clinical practice consensus for the treatment of CMP with non-opioid analgesics. The purpose of this consensus is to present the application of nonsteroidal anti-inflammatory drugs, serotonin norepinephrine reuptake inhibitors, serotonin and norepinephrine reuptake inhibitors, muscle relaxants, ion channel drugs and topical drugs in CMP.</w:t>
      </w:r>
    </w:p>
    <w:p w14:paraId="33C1B4ED" w14:textId="77777777" w:rsidR="000F0D29" w:rsidRDefault="000F0D29">
      <w:pPr>
        <w:spacing w:line="360" w:lineRule="auto"/>
        <w:jc w:val="both"/>
      </w:pPr>
    </w:p>
    <w:p w14:paraId="2946B2F4" w14:textId="77777777" w:rsidR="000F0D29" w:rsidRDefault="00712A8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Chronic musculoskeletal pain; Non-opioid analgesics; </w:t>
      </w:r>
      <w:r>
        <w:rPr>
          <w:rFonts w:ascii="Book Antiqua" w:hAnsi="Book Antiqua" w:cs="Book Antiqua" w:hint="eastAsia"/>
          <w:color w:val="000000"/>
          <w:lang w:eastAsia="zh-CN"/>
        </w:rPr>
        <w:t>N</w:t>
      </w:r>
      <w:r>
        <w:rPr>
          <w:rFonts w:ascii="Book Antiqua" w:eastAsia="Book Antiqua" w:hAnsi="Book Antiqua" w:cs="Book Antiqua"/>
          <w:color w:val="000000"/>
        </w:rPr>
        <w:t xml:space="preserve">onsteroidal anti-inflammatory drugs; Noradrenaline reuptake inhibitor; </w:t>
      </w:r>
      <w:r>
        <w:rPr>
          <w:rFonts w:ascii="Book Antiqua" w:hAnsi="Book Antiqua" w:cs="Book Antiqua" w:hint="eastAsia"/>
          <w:color w:val="000000"/>
          <w:lang w:eastAsia="zh-CN"/>
        </w:rPr>
        <w:t>N</w:t>
      </w:r>
      <w:r>
        <w:rPr>
          <w:rFonts w:ascii="Book Antiqua" w:eastAsia="Book Antiqua" w:hAnsi="Book Antiqua" w:cs="Book Antiqua"/>
          <w:color w:val="000000"/>
        </w:rPr>
        <w:t xml:space="preserve">ociceptor; </w:t>
      </w:r>
      <w:r>
        <w:rPr>
          <w:rFonts w:ascii="Book Antiqua" w:hAnsi="Book Antiqua" w:cs="Book Antiqua" w:hint="eastAsia"/>
          <w:color w:val="000000"/>
          <w:lang w:eastAsia="zh-CN"/>
        </w:rPr>
        <w:t>C</w:t>
      </w:r>
      <w:r>
        <w:rPr>
          <w:rFonts w:ascii="Book Antiqua" w:eastAsia="Book Antiqua" w:hAnsi="Book Antiqua" w:cs="Book Antiqua"/>
          <w:color w:val="000000"/>
        </w:rPr>
        <w:t>yclooxygenase</w:t>
      </w:r>
    </w:p>
    <w:p w14:paraId="3A3B2829" w14:textId="77777777" w:rsidR="006911CA" w:rsidRDefault="006911CA" w:rsidP="006911CA">
      <w:pPr>
        <w:spacing w:line="360" w:lineRule="auto"/>
        <w:jc w:val="both"/>
        <w:rPr>
          <w:lang w:eastAsia="zh-CN"/>
        </w:rPr>
      </w:pPr>
    </w:p>
    <w:p w14:paraId="0A808C48" w14:textId="77777777" w:rsidR="006911CA" w:rsidRPr="00026CB8" w:rsidRDefault="006911CA" w:rsidP="006911C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84BFFBA" w14:textId="77777777" w:rsidR="000F0D29" w:rsidRDefault="000F0D29">
      <w:pPr>
        <w:spacing w:line="360" w:lineRule="auto"/>
        <w:jc w:val="both"/>
      </w:pPr>
    </w:p>
    <w:p w14:paraId="6F7001D3" w14:textId="42451606" w:rsidR="0070330B" w:rsidRPr="003A3EB1" w:rsidRDefault="0070330B" w:rsidP="003A3EB1">
      <w:pPr>
        <w:spacing w:line="360" w:lineRule="auto"/>
        <w:jc w:val="both"/>
        <w:rPr>
          <w:rFonts w:ascii="Book Antiqua" w:eastAsia="Book Antiqua" w:hAnsi="Book Antiqua" w:cs="Book Antiqua"/>
          <w:color w:val="000000"/>
        </w:rPr>
      </w:pPr>
      <w:r w:rsidRPr="0070330B">
        <w:rPr>
          <w:rFonts w:ascii="Book Antiqua" w:hAnsi="Book Antiqua" w:cs="Book Antiqua" w:hint="eastAsia"/>
          <w:b/>
          <w:color w:val="000000"/>
          <w:lang w:eastAsia="zh-CN"/>
        </w:rPr>
        <w:t xml:space="preserve">Citation: </w:t>
      </w:r>
      <w:r w:rsidR="00712A8D">
        <w:rPr>
          <w:rFonts w:ascii="Book Antiqua" w:eastAsia="Book Antiqua" w:hAnsi="Book Antiqua" w:cs="Book Antiqua"/>
          <w:color w:val="000000"/>
        </w:rPr>
        <w:t>Huang D, Liu YQ, Xia LJ, Liu X</w:t>
      </w:r>
      <w:r w:rsidR="00712A8D">
        <w:rPr>
          <w:rFonts w:ascii="Book Antiqua" w:hAnsi="Book Antiqua" w:cs="Book Antiqua" w:hint="eastAsia"/>
          <w:color w:val="000000"/>
          <w:lang w:eastAsia="zh-CN"/>
        </w:rPr>
        <w:t>G</w:t>
      </w:r>
      <w:r w:rsidR="00712A8D">
        <w:rPr>
          <w:rFonts w:ascii="Book Antiqua" w:eastAsia="Book Antiqua" w:hAnsi="Book Antiqua" w:cs="Book Antiqua"/>
          <w:color w:val="000000"/>
        </w:rPr>
        <w:t>, Ma K, Liu GZ, Xiao L</w:t>
      </w:r>
      <w:r w:rsidR="00712A8D">
        <w:rPr>
          <w:rFonts w:ascii="Book Antiqua" w:hAnsi="Book Antiqua" w:cs="Book Antiqua" w:hint="eastAsia"/>
          <w:color w:val="000000"/>
          <w:lang w:eastAsia="zh-CN"/>
        </w:rPr>
        <w:t>Z</w:t>
      </w:r>
      <w:r w:rsidR="00712A8D">
        <w:rPr>
          <w:rFonts w:ascii="Book Antiqua" w:eastAsia="Book Antiqua" w:hAnsi="Book Antiqua" w:cs="Book Antiqua"/>
          <w:color w:val="000000"/>
        </w:rPr>
        <w:t xml:space="preserve">, Song T, Yang XQ, Fu ZJ, Yan M. </w:t>
      </w:r>
      <w:r w:rsidR="003A3EB1" w:rsidRPr="003A3EB1">
        <w:rPr>
          <w:rFonts w:ascii="Book Antiqua" w:eastAsia="Book Antiqua" w:hAnsi="Book Antiqua" w:cs="Book Antiqua"/>
          <w:color w:val="000000"/>
        </w:rPr>
        <w:t>Expert consensus of Chinese Association for the Study of Pain on</w:t>
      </w:r>
      <w:r w:rsidR="003A3EB1">
        <w:rPr>
          <w:rFonts w:ascii="Book Antiqua" w:hAnsi="Book Antiqua" w:cs="Book Antiqua" w:hint="eastAsia"/>
          <w:color w:val="000000"/>
          <w:lang w:eastAsia="zh-CN"/>
        </w:rPr>
        <w:t xml:space="preserve"> </w:t>
      </w:r>
      <w:bookmarkStart w:id="3" w:name="_GoBack"/>
      <w:bookmarkEnd w:id="3"/>
      <w:r w:rsidR="003A3EB1" w:rsidRPr="003A3EB1">
        <w:rPr>
          <w:rFonts w:ascii="Book Antiqua" w:eastAsia="Book Antiqua" w:hAnsi="Book Antiqua" w:cs="Book Antiqua"/>
          <w:color w:val="000000"/>
        </w:rPr>
        <w:t>the non-opioid analgesics for chronic musculoskeletal pain</w:t>
      </w:r>
      <w:r w:rsidR="00712A8D">
        <w:rPr>
          <w:rFonts w:ascii="Book Antiqua" w:eastAsia="Book Antiqua" w:hAnsi="Book Antiqua" w:cs="Book Antiqua"/>
          <w:color w:val="000000"/>
        </w:rPr>
        <w:t xml:space="preserve">. </w:t>
      </w:r>
      <w:r w:rsidR="00712A8D">
        <w:rPr>
          <w:rFonts w:ascii="Book Antiqua" w:eastAsia="Book Antiqua" w:hAnsi="Book Antiqua" w:cs="Book Antiqua"/>
          <w:i/>
          <w:iCs/>
          <w:color w:val="000000"/>
        </w:rPr>
        <w:t>World J Clin Cases</w:t>
      </w:r>
      <w:r w:rsidR="00712A8D">
        <w:rPr>
          <w:rFonts w:ascii="Book Antiqua" w:eastAsia="Book Antiqua" w:hAnsi="Book Antiqua" w:cs="Book Antiqua"/>
          <w:color w:val="000000"/>
        </w:rPr>
        <w:t xml:space="preserve"> 2021; </w:t>
      </w:r>
      <w:r w:rsidR="00462F71">
        <w:rPr>
          <w:rFonts w:ascii="Book Antiqua" w:hAnsi="Book Antiqua" w:cs="Book Antiqua" w:hint="eastAsia"/>
          <w:color w:val="000000"/>
          <w:lang w:eastAsia="zh-CN"/>
        </w:rPr>
        <w:t>9</w:t>
      </w:r>
      <w:r w:rsidR="00462F71" w:rsidRPr="008963A2">
        <w:rPr>
          <w:rFonts w:ascii="Book Antiqua" w:eastAsia="Book Antiqua" w:hAnsi="Book Antiqua" w:cs="Book Antiqua"/>
          <w:color w:val="000000"/>
        </w:rPr>
        <w:t>(</w:t>
      </w:r>
      <w:r w:rsidR="00462F71">
        <w:rPr>
          <w:rFonts w:ascii="Book Antiqua" w:hAnsi="Book Antiqua" w:cs="Book Antiqua" w:hint="eastAsia"/>
          <w:color w:val="000000"/>
          <w:lang w:eastAsia="zh-CN"/>
        </w:rPr>
        <w:t>9</w:t>
      </w:r>
      <w:r w:rsidR="00462F71" w:rsidRPr="008963A2">
        <w:rPr>
          <w:rFonts w:ascii="Book Antiqua" w:eastAsia="Book Antiqua" w:hAnsi="Book Antiqua" w:cs="Book Antiqua"/>
          <w:color w:val="000000"/>
        </w:rPr>
        <w:t xml:space="preserve">): </w:t>
      </w:r>
      <w:r w:rsidRPr="0070330B">
        <w:rPr>
          <w:rFonts w:ascii="Book Antiqua" w:eastAsia="Book Antiqua" w:hAnsi="Book Antiqua" w:cs="Book Antiqua"/>
          <w:color w:val="000000"/>
        </w:rPr>
        <w:t>2068-2076</w:t>
      </w:r>
      <w:r w:rsidR="00462F71" w:rsidRPr="008963A2">
        <w:rPr>
          <w:rFonts w:ascii="Book Antiqua" w:eastAsia="Book Antiqua" w:hAnsi="Book Antiqua" w:cs="Book Antiqua"/>
          <w:color w:val="000000"/>
        </w:rPr>
        <w:t xml:space="preserve">  </w:t>
      </w:r>
    </w:p>
    <w:p w14:paraId="04F87B2D" w14:textId="1685C984" w:rsidR="0070330B" w:rsidRDefault="00462F71">
      <w:pPr>
        <w:spacing w:line="360" w:lineRule="auto"/>
        <w:jc w:val="both"/>
        <w:rPr>
          <w:rFonts w:ascii="Book Antiqua" w:hAnsi="Book Antiqua" w:cs="Book Antiqua"/>
          <w:color w:val="000000"/>
          <w:lang w:eastAsia="zh-CN"/>
        </w:rPr>
      </w:pPr>
      <w:r w:rsidRPr="0070330B">
        <w:rPr>
          <w:rFonts w:ascii="Book Antiqua" w:eastAsia="Book Antiqua" w:hAnsi="Book Antiqua" w:cs="Book Antiqua"/>
          <w:b/>
          <w:color w:val="000000"/>
        </w:rPr>
        <w:t>URL:</w:t>
      </w:r>
      <w:r w:rsidRPr="008963A2">
        <w:rPr>
          <w:rFonts w:ascii="Book Antiqua" w:eastAsia="Book Antiqua" w:hAnsi="Book Antiqua" w:cs="Book Antiqua"/>
          <w:color w:val="000000"/>
        </w:rPr>
        <w:t xml:space="preserve"> https://www.wjgnet.com/2307-8960/full/v</w:t>
      </w:r>
      <w:r>
        <w:rPr>
          <w:rFonts w:ascii="Book Antiqua" w:hAnsi="Book Antiqua" w:cs="Book Antiqua" w:hint="eastAsia"/>
          <w:color w:val="000000"/>
          <w:lang w:eastAsia="zh-CN"/>
        </w:rPr>
        <w:t>9</w:t>
      </w:r>
      <w:r w:rsidRPr="008963A2">
        <w:rPr>
          <w:rFonts w:ascii="Book Antiqua" w:eastAsia="Book Antiqua" w:hAnsi="Book Antiqua" w:cs="Book Antiqua"/>
          <w:color w:val="000000"/>
        </w:rPr>
        <w:t>/i</w:t>
      </w:r>
      <w:r>
        <w:rPr>
          <w:rFonts w:ascii="Book Antiqua" w:hAnsi="Book Antiqua" w:cs="Book Antiqua" w:hint="eastAsia"/>
          <w:color w:val="000000"/>
          <w:lang w:eastAsia="zh-CN"/>
        </w:rPr>
        <w:t>9</w:t>
      </w:r>
      <w:r w:rsidRPr="008963A2">
        <w:rPr>
          <w:rFonts w:ascii="Book Antiqua" w:eastAsia="Book Antiqua" w:hAnsi="Book Antiqua" w:cs="Book Antiqua"/>
          <w:color w:val="000000"/>
        </w:rPr>
        <w:t>/</w:t>
      </w:r>
      <w:r w:rsidR="006F15B0">
        <w:rPr>
          <w:rFonts w:ascii="Book Antiqua" w:hAnsi="Book Antiqua" w:cs="Book Antiqua" w:hint="eastAsia"/>
          <w:color w:val="000000"/>
          <w:lang w:eastAsia="zh-CN"/>
        </w:rPr>
        <w:t>2068</w:t>
      </w:r>
      <w:r w:rsidRPr="008963A2">
        <w:rPr>
          <w:rFonts w:ascii="Book Antiqua" w:eastAsia="Book Antiqua" w:hAnsi="Book Antiqua" w:cs="Book Antiqua"/>
          <w:color w:val="000000"/>
        </w:rPr>
        <w:t xml:space="preserve">.htm  </w:t>
      </w:r>
    </w:p>
    <w:p w14:paraId="369E482E" w14:textId="1BDFED9D" w:rsidR="000F0D29" w:rsidRPr="006F15B0" w:rsidRDefault="00462F71">
      <w:pPr>
        <w:spacing w:line="360" w:lineRule="auto"/>
        <w:jc w:val="both"/>
        <w:rPr>
          <w:lang w:eastAsia="zh-CN"/>
        </w:rPr>
      </w:pPr>
      <w:r w:rsidRPr="0070330B">
        <w:rPr>
          <w:rFonts w:ascii="Book Antiqua" w:eastAsia="Book Antiqua" w:hAnsi="Book Antiqua" w:cs="Book Antiqua"/>
          <w:b/>
          <w:color w:val="000000"/>
        </w:rPr>
        <w:t>DOI:</w:t>
      </w:r>
      <w:r w:rsidRPr="008963A2">
        <w:rPr>
          <w:rFonts w:ascii="Book Antiqua" w:eastAsia="Book Antiqua" w:hAnsi="Book Antiqua" w:cs="Book Antiqua"/>
          <w:color w:val="000000"/>
        </w:rPr>
        <w:t xml:space="preserve"> https://dx.doi.org/10.12998/wjcc.v</w:t>
      </w:r>
      <w:r>
        <w:rPr>
          <w:rFonts w:ascii="Book Antiqua" w:hAnsi="Book Antiqua" w:cs="Book Antiqua" w:hint="eastAsia"/>
          <w:color w:val="000000"/>
          <w:lang w:eastAsia="zh-CN"/>
        </w:rPr>
        <w:t>9</w:t>
      </w:r>
      <w:r w:rsidRPr="008963A2">
        <w:rPr>
          <w:rFonts w:ascii="Book Antiqua" w:eastAsia="Book Antiqua" w:hAnsi="Book Antiqua" w:cs="Book Antiqua"/>
          <w:color w:val="000000"/>
        </w:rPr>
        <w:t>.i</w:t>
      </w:r>
      <w:r>
        <w:rPr>
          <w:rFonts w:ascii="Book Antiqua" w:hAnsi="Book Antiqua" w:cs="Book Antiqua" w:hint="eastAsia"/>
          <w:color w:val="000000"/>
          <w:lang w:eastAsia="zh-CN"/>
        </w:rPr>
        <w:t>9</w:t>
      </w:r>
      <w:r w:rsidRPr="008963A2">
        <w:rPr>
          <w:rFonts w:ascii="Book Antiqua" w:eastAsia="Book Antiqua" w:hAnsi="Book Antiqua" w:cs="Book Antiqua"/>
          <w:color w:val="000000"/>
        </w:rPr>
        <w:t>.</w:t>
      </w:r>
      <w:r w:rsidR="006F15B0">
        <w:rPr>
          <w:rFonts w:ascii="Book Antiqua" w:hAnsi="Book Antiqua" w:cs="Book Antiqua" w:hint="eastAsia"/>
          <w:color w:val="000000"/>
          <w:lang w:eastAsia="zh-CN"/>
        </w:rPr>
        <w:t>2068</w:t>
      </w:r>
    </w:p>
    <w:p w14:paraId="7143DCBB" w14:textId="77777777" w:rsidR="000F0D29" w:rsidRDefault="000F0D29">
      <w:pPr>
        <w:spacing w:line="360" w:lineRule="auto"/>
        <w:jc w:val="both"/>
      </w:pPr>
    </w:p>
    <w:p w14:paraId="5377F1D6" w14:textId="77777777" w:rsidR="000F0D29" w:rsidRDefault="00712A8D">
      <w:pPr>
        <w:adjustRightInd w:val="0"/>
        <w:snapToGrid w:val="0"/>
        <w:spacing w:line="360" w:lineRule="auto"/>
        <w:jc w:val="both"/>
        <w:rPr>
          <w:rFonts w:ascii="Book Antiqua" w:hAnsi="Book Antiqua"/>
        </w:rPr>
      </w:pPr>
      <w:bookmarkStart w:id="4" w:name="OLE_LINK6"/>
      <w:bookmarkStart w:id="5" w:name="OLE_LINK5"/>
      <w:r>
        <w:rPr>
          <w:rFonts w:ascii="Book Antiqua" w:eastAsia="Book Antiqua" w:hAnsi="Book Antiqua" w:cs="Book Antiqua"/>
          <w:b/>
          <w:bCs/>
          <w:color w:val="000000"/>
        </w:rPr>
        <w:t xml:space="preserve">Core Tip: </w:t>
      </w:r>
      <w:r>
        <w:rPr>
          <w:rFonts w:ascii="Book Antiqua" w:eastAsia="Book Antiqua" w:hAnsi="Book Antiqua" w:cs="Book Antiqua"/>
          <w:color w:val="000000"/>
        </w:rPr>
        <w:t>Chronic musculoskeletal pain (CMP) is a common disease seen in pain clinics. There are a variety of treatment options available for CMP, among which pharmacological treatment is considered to be a simple and effective basic treatment. The opioid crisis caused by excessive dependence on opioids for CMP treatment has drawn much attention and causes high vigilance to opioid safety in China and other countries. Therefore, the Chinese Association for the Study of Pain, a branch of Chinese Medical Association, convenes a panel meeting to provide guidance to the treatment of CMP with non-opioid analgesics.</w:t>
      </w:r>
    </w:p>
    <w:bookmarkEnd w:id="4"/>
    <w:bookmarkEnd w:id="5"/>
    <w:p w14:paraId="3B857AFB" w14:textId="77777777" w:rsidR="000F0D29" w:rsidRDefault="000F0D29">
      <w:pPr>
        <w:adjustRightInd w:val="0"/>
        <w:snapToGrid w:val="0"/>
        <w:spacing w:line="360" w:lineRule="auto"/>
        <w:jc w:val="both"/>
        <w:rPr>
          <w:rFonts w:ascii="Book Antiqua" w:hAnsi="Book Antiqua"/>
        </w:rPr>
      </w:pPr>
    </w:p>
    <w:p w14:paraId="0ACBB9AA" w14:textId="77777777" w:rsidR="000F0D29" w:rsidRDefault="00712A8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br w:type="page"/>
        <w:t>INTRODUCTION</w:t>
      </w:r>
    </w:p>
    <w:p w14:paraId="449E775D" w14:textId="44F861DE" w:rsidR="000F0D29" w:rsidRDefault="00712A8D">
      <w:pPr>
        <w:adjustRightInd w:val="0"/>
        <w:snapToGrid w:val="0"/>
        <w:spacing w:line="360" w:lineRule="auto"/>
        <w:jc w:val="both"/>
        <w:rPr>
          <w:rFonts w:ascii="Book Antiqua" w:hAnsi="Book Antiqua"/>
        </w:rPr>
      </w:pPr>
      <w:r>
        <w:rPr>
          <w:rFonts w:ascii="Book Antiqua" w:eastAsia="Book Antiqua" w:hAnsi="Book Antiqua" w:cs="Book Antiqua"/>
          <w:color w:val="000000"/>
        </w:rPr>
        <w:t>Chronic musculoskeletal pain (CMP</w:t>
      </w:r>
      <w:r w:rsidR="00BB2263">
        <w:rPr>
          <w:rFonts w:ascii="Book Antiqua" w:eastAsia="Book Antiqua" w:hAnsi="Book Antiqua" w:cs="Book Antiqua"/>
          <w:color w:val="000000"/>
        </w:rPr>
        <w:t>)</w:t>
      </w:r>
      <w:r w:rsidR="00BB2263">
        <w:rPr>
          <w:rFonts w:ascii="宋体" w:eastAsia="宋体" w:hAnsi="宋体" w:cs="宋体"/>
          <w:color w:val="000000"/>
          <w:lang w:eastAsia="zh-CN"/>
        </w:rPr>
        <w:t>,</w:t>
      </w:r>
      <w:r w:rsidR="00BB2263">
        <w:rPr>
          <w:rFonts w:ascii="Book Antiqua" w:eastAsia="Book Antiqua" w:hAnsi="Book Antiqua" w:cs="Book Antiqua"/>
          <w:color w:val="000000"/>
        </w:rPr>
        <w:t xml:space="preserve"> characterized</w:t>
      </w:r>
      <w:r>
        <w:rPr>
          <w:rFonts w:ascii="Book Antiqua" w:eastAsia="Book Antiqua" w:hAnsi="Book Antiqua" w:cs="Book Antiqua"/>
          <w:color w:val="000000"/>
        </w:rPr>
        <w:t xml:space="preserve"> by persistent or recurrent pain in muscles, tendons, bones and related soft tissues, is a common disease seen in pain clinics. CMP involves a wide range of tissues and </w:t>
      </w:r>
      <w:r w:rsidR="00BB2263">
        <w:rPr>
          <w:rFonts w:ascii="Book Antiqua" w:eastAsia="Book Antiqua" w:hAnsi="Book Antiqua" w:cs="Book Antiqua"/>
          <w:color w:val="000000"/>
        </w:rPr>
        <w:t xml:space="preserve">causes a lot of </w:t>
      </w:r>
      <w:r>
        <w:rPr>
          <w:rFonts w:ascii="Book Antiqua" w:eastAsia="Book Antiqua" w:hAnsi="Book Antiqua" w:cs="Book Antiqua"/>
          <w:color w:val="000000"/>
        </w:rPr>
        <w:t xml:space="preserve">comorbidities. </w:t>
      </w:r>
      <w:r w:rsidR="00F025A1">
        <w:rPr>
          <w:rFonts w:ascii="Book Antiqua" w:eastAsia="Book Antiqua" w:hAnsi="Book Antiqua" w:cs="Book Antiqua"/>
          <w:color w:val="000000"/>
        </w:rPr>
        <w:t xml:space="preserve">Sometimes the </w:t>
      </w:r>
      <w:r>
        <w:rPr>
          <w:rFonts w:ascii="Book Antiqua" w:eastAsia="Book Antiqua" w:hAnsi="Book Antiqua" w:cs="Book Antiqua"/>
          <w:color w:val="000000"/>
        </w:rPr>
        <w:t>severe and persist</w:t>
      </w:r>
      <w:r w:rsidR="00BB2263">
        <w:rPr>
          <w:rFonts w:ascii="Book Antiqua" w:eastAsia="Book Antiqua" w:hAnsi="Book Antiqua" w:cs="Book Antiqua"/>
          <w:color w:val="000000"/>
        </w:rPr>
        <w:t>ent</w:t>
      </w:r>
      <w:r>
        <w:rPr>
          <w:rFonts w:ascii="Book Antiqua" w:eastAsia="Book Antiqua" w:hAnsi="Book Antiqua" w:cs="Book Antiqua"/>
          <w:color w:val="000000"/>
        </w:rPr>
        <w:t xml:space="preserve"> pain may lead to psychological disorders. CMP seriously affects patient</w:t>
      </w:r>
      <w:r w:rsidR="00F025A1">
        <w:rPr>
          <w:rFonts w:ascii="Book Antiqua" w:eastAsia="Book Antiqua" w:hAnsi="Book Antiqua" w:cs="Book Antiqua"/>
          <w:color w:val="000000"/>
        </w:rPr>
        <w:t>s</w:t>
      </w:r>
      <w:r>
        <w:rPr>
          <w:rFonts w:ascii="Book Antiqua" w:eastAsia="Book Antiqua" w:hAnsi="Book Antiqua" w:cs="Book Antiqua"/>
          <w:color w:val="000000"/>
        </w:rPr>
        <w:t xml:space="preserve">’ quality of life, and results in excessive medical cost and </w:t>
      </w:r>
      <w:r w:rsidR="00F025A1">
        <w:rPr>
          <w:rFonts w:ascii="Book Antiqua" w:eastAsia="Book Antiqua" w:hAnsi="Book Antiqua" w:cs="Book Antiqua"/>
          <w:color w:val="000000"/>
        </w:rPr>
        <w:t xml:space="preserve">heavy </w:t>
      </w:r>
      <w:r>
        <w:rPr>
          <w:rFonts w:ascii="Book Antiqua" w:eastAsia="Book Antiqua" w:hAnsi="Book Antiqua" w:cs="Book Antiqua"/>
          <w:color w:val="000000"/>
        </w:rPr>
        <w:t xml:space="preserve">social burden. In recent years, with population aging and social pressure caused by the modern lifestyle, along with other factors, the incidence of CMP has been increasing drastically, which highlights the significance of the treatment for CMP. There are a variety of treatment options available for CMP, among which pharmacological treatment is considered to be a simple and effective basic treatment. It is important to use the pharmacological treatment in a safe and effective way, which can be a challenge in many aspects. For example, the improper use of </w:t>
      </w:r>
      <w:r>
        <w:rPr>
          <w:rFonts w:ascii="Book Antiqua" w:hAnsi="Book Antiqua" w:cs="Book Antiqua" w:hint="eastAsia"/>
          <w:color w:val="000000"/>
          <w:lang w:eastAsia="zh-CN"/>
        </w:rPr>
        <w:t>n</w:t>
      </w:r>
      <w:r>
        <w:rPr>
          <w:rFonts w:ascii="Book Antiqua" w:eastAsia="Book Antiqua" w:hAnsi="Book Antiqua" w:cs="Book Antiqua"/>
          <w:color w:val="000000"/>
        </w:rPr>
        <w:t xml:space="preserve">onsteroidal anti-inflammatory drugs (NSAIDs) for CMP is very common in China. The knowledge on alternative drug is insufficient when NSAIDs fail to effectively relieving pain or result in intolerable side effects. In Western countries, the opioid crisis caused by excessive dependence on opioids for CMP treatment has drawn much attention and causes high vigilance to opioid safety in China and other countries. In this context, how to use non-opioid analgesics to treat CMP is of great social significance. Therefore, the Chinese Association for the Study of Pain, a branch of Chinese </w:t>
      </w:r>
      <w:r w:rsidR="009306BF">
        <w:rPr>
          <w:rFonts w:ascii="Book Antiqua" w:eastAsia="Book Antiqua" w:hAnsi="Book Antiqua" w:cs="Book Antiqua"/>
          <w:color w:val="000000"/>
        </w:rPr>
        <w:t>Medical Association, convenes a</w:t>
      </w:r>
      <w:r>
        <w:rPr>
          <w:rFonts w:ascii="Book Antiqua" w:eastAsia="Book Antiqua" w:hAnsi="Book Antiqua" w:cs="Book Antiqua"/>
          <w:color w:val="000000"/>
        </w:rPr>
        <w:t xml:space="preserve"> panel meeting to develop this expert consensus to provide guidance to the treatment of CMP with non-opioid analgesics.</w:t>
      </w:r>
    </w:p>
    <w:p w14:paraId="0E560501" w14:textId="77777777" w:rsidR="000F0D29" w:rsidRDefault="000F0D29">
      <w:pPr>
        <w:adjustRightInd w:val="0"/>
        <w:snapToGrid w:val="0"/>
        <w:spacing w:line="360" w:lineRule="auto"/>
        <w:jc w:val="both"/>
        <w:rPr>
          <w:rFonts w:ascii="Book Antiqua" w:hAnsi="Book Antiqua"/>
          <w:lang w:eastAsia="zh-CN"/>
        </w:rPr>
      </w:pPr>
    </w:p>
    <w:p w14:paraId="150A9F27" w14:textId="77777777" w:rsidR="000F0D29" w:rsidRDefault="00712A8D">
      <w:pPr>
        <w:widowControl w:val="0"/>
        <w:adjustRightInd w:val="0"/>
        <w:snapToGrid w:val="0"/>
        <w:spacing w:line="360" w:lineRule="auto"/>
        <w:jc w:val="both"/>
        <w:rPr>
          <w:rFonts w:ascii="Book Antiqua" w:eastAsia="宋体" w:hAnsi="Book Antiqua"/>
          <w:kern w:val="2"/>
          <w:u w:val="single"/>
          <w:lang w:eastAsia="zh-CN"/>
        </w:rPr>
      </w:pPr>
      <w:r>
        <w:rPr>
          <w:rFonts w:ascii="Book Antiqua" w:eastAsia="宋体" w:hAnsi="Book Antiqua"/>
          <w:b/>
          <w:bCs/>
          <w:kern w:val="2"/>
          <w:u w:val="single"/>
          <w:lang w:eastAsia="zh-CN"/>
        </w:rPr>
        <w:t>PATHOGENESIS</w:t>
      </w:r>
    </w:p>
    <w:p w14:paraId="53885FF4" w14:textId="07CF67C8"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CMP involves more than 150 diseases of the human </w:t>
      </w:r>
      <w:r w:rsidR="00890A23" w:rsidRPr="00890A23">
        <w:rPr>
          <w:rFonts w:ascii="Book Antiqua" w:eastAsia="宋体" w:hAnsi="Book Antiqua"/>
          <w:kern w:val="2"/>
          <w:lang w:eastAsia="zh-CN"/>
        </w:rPr>
        <w:t>locomotor</w:t>
      </w:r>
      <w:r>
        <w:rPr>
          <w:rFonts w:ascii="Book Antiqua" w:eastAsia="宋体" w:hAnsi="Book Antiqua"/>
          <w:kern w:val="2"/>
          <w:lang w:eastAsia="zh-CN"/>
        </w:rPr>
        <w:t xml:space="preserve"> system with complex pathogenesis and numerous etiology, which can be generally divided into three major categories: neuropathic, mechanical, and inflammatory</w:t>
      </w:r>
      <w:r>
        <w:rPr>
          <w:rFonts w:ascii="Book Antiqua" w:eastAsia="宋体" w:hAnsi="Book Antiqua"/>
          <w:bCs/>
          <w:kern w:val="2"/>
          <w:vertAlign w:val="superscript"/>
          <w:lang w:eastAsia="zh-CN"/>
        </w:rPr>
        <w:t>[1,2]</w:t>
      </w:r>
      <w:r>
        <w:rPr>
          <w:rFonts w:ascii="Book Antiqua" w:eastAsia="宋体" w:hAnsi="Book Antiqua"/>
          <w:kern w:val="2"/>
          <w:lang w:eastAsia="zh-CN"/>
        </w:rPr>
        <w:t>. Nerve injury or entrapment due to various causes, muscle mechanical instability due to degenerative changes in muscles, and increased release of local inflammatory factors can, in most cases, directly stimulate nociceptors and sensitize them. Regardless of which category the CMP is, its pathological changes include local histopathological changes and systemic pathological changes, resulting in neurological dysfunction or structural changes</w:t>
      </w:r>
      <w:r>
        <w:rPr>
          <w:rFonts w:ascii="Book Antiqua" w:eastAsia="宋体" w:hAnsi="Book Antiqua"/>
          <w:bCs/>
          <w:kern w:val="2"/>
          <w:vertAlign w:val="superscript"/>
          <w:lang w:eastAsia="zh-CN"/>
        </w:rPr>
        <w:t>[3]</w:t>
      </w:r>
      <w:r>
        <w:rPr>
          <w:rFonts w:ascii="Book Antiqua" w:eastAsia="宋体" w:hAnsi="Book Antiqua"/>
          <w:kern w:val="2"/>
          <w:lang w:eastAsia="zh-CN"/>
        </w:rPr>
        <w:t>.</w:t>
      </w:r>
    </w:p>
    <w:p w14:paraId="31D5E3BD" w14:textId="668D8116"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Similar to other types of chronic pain, peripheral sensitization and central sensitization represent the basic pathogenesis of CMP. Overexpression of the proinflammatory factors, IL-1β, TNF-α, IL-6, and IL-8</w:t>
      </w:r>
      <w:r>
        <w:rPr>
          <w:rFonts w:ascii="Book Antiqua" w:eastAsia="宋体" w:hAnsi="Book Antiqua"/>
          <w:bCs/>
          <w:kern w:val="2"/>
          <w:vertAlign w:val="superscript"/>
          <w:lang w:eastAsia="zh-CN"/>
        </w:rPr>
        <w:t>[4]</w:t>
      </w:r>
      <w:r>
        <w:rPr>
          <w:rFonts w:ascii="Book Antiqua" w:eastAsia="宋体" w:hAnsi="Book Antiqua"/>
          <w:kern w:val="2"/>
          <w:lang w:eastAsia="zh-CN"/>
        </w:rPr>
        <w:t>, and down-regulation of the anti-inflammatory factors IL-4 and IL-10 play an important role in CMP</w:t>
      </w:r>
      <w:r>
        <w:rPr>
          <w:rFonts w:ascii="Book Antiqua" w:eastAsia="宋体" w:hAnsi="Book Antiqua"/>
          <w:bCs/>
          <w:kern w:val="2"/>
          <w:vertAlign w:val="superscript"/>
          <w:lang w:eastAsia="zh-CN"/>
        </w:rPr>
        <w:t>[5]</w:t>
      </w:r>
      <w:r>
        <w:rPr>
          <w:rFonts w:ascii="Book Antiqua" w:eastAsia="宋体" w:hAnsi="Book Antiqua"/>
          <w:kern w:val="2"/>
          <w:lang w:eastAsia="zh-CN"/>
        </w:rPr>
        <w:t xml:space="preserve"> . Persistent inflammatory reactions also cause an imbalance in the osteogenic-osteoclastic process, leading to osteophyte formation and osteoporosis</w:t>
      </w:r>
      <w:r>
        <w:rPr>
          <w:rFonts w:ascii="Book Antiqua" w:eastAsia="宋体" w:hAnsi="Book Antiqua"/>
          <w:bCs/>
          <w:kern w:val="2"/>
          <w:vertAlign w:val="superscript"/>
          <w:lang w:eastAsia="zh-CN"/>
        </w:rPr>
        <w:t>[6]</w:t>
      </w:r>
      <w:r>
        <w:rPr>
          <w:rFonts w:ascii="Book Antiqua" w:eastAsia="宋体" w:hAnsi="Book Antiqua"/>
          <w:kern w:val="2"/>
          <w:lang w:eastAsia="zh-CN"/>
        </w:rPr>
        <w:t xml:space="preserve"> as well as muscle fibrosis and/or calcification which further </w:t>
      </w:r>
      <w:r w:rsidR="000C50AB">
        <w:rPr>
          <w:rFonts w:ascii="Book Antiqua" w:eastAsia="宋体" w:hAnsi="Book Antiqua"/>
          <w:kern w:val="2"/>
          <w:lang w:eastAsia="zh-CN"/>
        </w:rPr>
        <w:t>cause</w:t>
      </w:r>
      <w:r>
        <w:rPr>
          <w:rFonts w:ascii="Book Antiqua" w:eastAsia="宋体" w:hAnsi="Book Antiqua"/>
          <w:kern w:val="2"/>
          <w:lang w:eastAsia="zh-CN"/>
        </w:rPr>
        <w:t xml:space="preserve"> pain.</w:t>
      </w:r>
    </w:p>
    <w:p w14:paraId="758EAA2A" w14:textId="5D9E0E4B"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 xml:space="preserve">Protracted chronic pain leads to local structural changes such as sclerosis and/or softening of bones, muscle spasms, joint contractures, </w:t>
      </w:r>
      <w:r>
        <w:rPr>
          <w:rFonts w:ascii="Book Antiqua" w:eastAsia="宋体" w:hAnsi="Book Antiqua"/>
          <w:i/>
          <w:kern w:val="2"/>
          <w:lang w:eastAsia="zh-CN"/>
        </w:rPr>
        <w:t>etc</w:t>
      </w:r>
      <w:r>
        <w:rPr>
          <w:rFonts w:ascii="Book Antiqua" w:eastAsia="宋体" w:hAnsi="Book Antiqua"/>
          <w:kern w:val="2"/>
          <w:lang w:eastAsia="zh-CN"/>
        </w:rPr>
        <w:t>. which will further result in functional impairment, including motor limitation, cognitive and affective disorders such as memory loss, and anxiety/depressive symptoms</w:t>
      </w:r>
      <w:r>
        <w:rPr>
          <w:rFonts w:ascii="Book Antiqua" w:eastAsia="宋体" w:hAnsi="Book Antiqua"/>
          <w:bCs/>
          <w:kern w:val="2"/>
          <w:vertAlign w:val="superscript"/>
          <w:lang w:eastAsia="zh-CN"/>
        </w:rPr>
        <w:t>[7]</w:t>
      </w:r>
      <w:r>
        <w:rPr>
          <w:rFonts w:ascii="Book Antiqua" w:eastAsia="宋体" w:hAnsi="Book Antiqua"/>
          <w:kern w:val="2"/>
          <w:lang w:eastAsia="zh-CN"/>
        </w:rPr>
        <w:t>. Cognitive and affective disorders cause decline in social skills and deterioration of decision-making systems. It is now clear that structural and functional abnormalities in high centers such as the anterior cingulate cortex and insular cortex may mediate cognitive and affective disorders in chronic pain, and in addition, they may cause and maintain central sensitization through descending facilitation pathways</w:t>
      </w:r>
      <w:r>
        <w:rPr>
          <w:rFonts w:ascii="Book Antiqua" w:eastAsia="宋体" w:hAnsi="Book Antiqua"/>
          <w:bCs/>
          <w:kern w:val="2"/>
          <w:vertAlign w:val="superscript"/>
          <w:lang w:eastAsia="zh-CN"/>
        </w:rPr>
        <w:t>[8]</w:t>
      </w:r>
      <w:r>
        <w:rPr>
          <w:rFonts w:ascii="Book Antiqua" w:eastAsia="宋体" w:hAnsi="Book Antiqua"/>
          <w:kern w:val="2"/>
          <w:lang w:eastAsia="zh-CN"/>
        </w:rPr>
        <w:t xml:space="preserve">. This </w:t>
      </w:r>
      <w:r w:rsidR="000C50AB" w:rsidRPr="000C50AB">
        <w:rPr>
          <w:rFonts w:ascii="Book Antiqua" w:eastAsia="宋体" w:hAnsi="Book Antiqua"/>
          <w:kern w:val="2"/>
          <w:lang w:eastAsia="zh-CN"/>
        </w:rPr>
        <w:t>Synaptic plasticity</w:t>
      </w:r>
      <w:r>
        <w:rPr>
          <w:rFonts w:ascii="Book Antiqua" w:eastAsia="宋体" w:hAnsi="Book Antiqua"/>
          <w:kern w:val="2"/>
          <w:lang w:eastAsia="zh-CN"/>
        </w:rPr>
        <w:t xml:space="preserve"> makes CMP a type of chronic intractable pain disorder with affective disorders or dysfunction.</w:t>
      </w:r>
    </w:p>
    <w:p w14:paraId="7D230BA9" w14:textId="77777777" w:rsidR="000F0D29" w:rsidRDefault="000F0D29">
      <w:pPr>
        <w:widowControl w:val="0"/>
        <w:adjustRightInd w:val="0"/>
        <w:snapToGrid w:val="0"/>
        <w:spacing w:line="360" w:lineRule="auto"/>
        <w:jc w:val="both"/>
        <w:rPr>
          <w:rFonts w:ascii="Book Antiqua" w:eastAsia="宋体" w:hAnsi="Book Antiqua"/>
          <w:kern w:val="2"/>
          <w:lang w:eastAsia="zh-CN"/>
        </w:rPr>
      </w:pPr>
    </w:p>
    <w:p w14:paraId="44833CB8" w14:textId="77777777" w:rsidR="000F0D29" w:rsidRDefault="00712A8D">
      <w:pPr>
        <w:widowControl w:val="0"/>
        <w:adjustRightInd w:val="0"/>
        <w:snapToGrid w:val="0"/>
        <w:spacing w:line="360" w:lineRule="auto"/>
        <w:jc w:val="both"/>
        <w:rPr>
          <w:rFonts w:ascii="Book Antiqua" w:eastAsia="宋体" w:hAnsi="Book Antiqua"/>
          <w:b/>
          <w:bCs/>
          <w:kern w:val="2"/>
          <w:u w:val="single"/>
          <w:lang w:eastAsia="zh-CN"/>
        </w:rPr>
      </w:pPr>
      <w:r>
        <w:rPr>
          <w:rFonts w:ascii="Book Antiqua" w:eastAsia="宋体" w:hAnsi="Book Antiqua"/>
          <w:b/>
          <w:bCs/>
          <w:kern w:val="2"/>
          <w:u w:val="single"/>
          <w:lang w:eastAsia="zh-CN"/>
        </w:rPr>
        <w:t xml:space="preserve">NSAIDS </w:t>
      </w:r>
    </w:p>
    <w:p w14:paraId="79BD2F17" w14:textId="77777777"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NSAIDs are a class of non-steroidal drugs with antipyretic and analgesic effects. The main mechanism of action of NSAIDs is to inhibit the activity of cyclooxygenase (COX) and further reduce the synthesis of prostaglandins</w:t>
      </w:r>
      <w:r w:rsidRPr="007137E2">
        <w:rPr>
          <w:rFonts w:ascii="Book Antiqua" w:eastAsia="宋体" w:hAnsi="Book Antiqua"/>
          <w:kern w:val="2"/>
          <w:vertAlign w:val="superscript"/>
          <w:lang w:eastAsia="zh-CN"/>
        </w:rPr>
        <w:t>[9]</w:t>
      </w:r>
      <w:r w:rsidRPr="007137E2">
        <w:rPr>
          <w:rFonts w:ascii="Book Antiqua" w:eastAsia="宋体" w:hAnsi="Book Antiqua"/>
          <w:kern w:val="2"/>
          <w:lang w:eastAsia="zh-CN"/>
        </w:rPr>
        <w:t>.</w:t>
      </w:r>
      <w:r>
        <w:rPr>
          <w:rFonts w:ascii="Book Antiqua" w:eastAsia="宋体" w:hAnsi="Book Antiqua"/>
          <w:kern w:val="2"/>
          <w:lang w:eastAsia="zh-CN"/>
        </w:rPr>
        <w:t xml:space="preserve"> There are many types of NSAIDs, which can be divided into non-selective COX inhibitors and selective COX-2 inhibitors according to their selectivity for cyclooxygenase subtypes. According to their different chemical structures, they can be divided into salicylic acids, indoles, anilines, pyrroles, enolic acids, arylacetic acids, and ibufenac, and commonly used drugs include indomethacin, ibuprofen, diclofenac, meloxicam, celecoxib, and etoricoxib. NSAIDs have good analgesic effects on mild to moderate CMP caused by inflammation.</w:t>
      </w:r>
    </w:p>
    <w:p w14:paraId="69C473CC" w14:textId="77777777"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A ceiling effect has been confirmed for NSAIDs. Dose escalation should be avoided, as well as the combination of two NSAIDs drugs. The adverse effects of NSAIDs are of increasing concern, with non-selective COX inhibitors predisposing to the risk of gastrointestinal bleeding and selective COX</w:t>
      </w:r>
      <w:r>
        <w:rPr>
          <w:rFonts w:ascii="Book Antiqua" w:eastAsia="宋体" w:hAnsi="Book Antiqua" w:hint="eastAsia"/>
          <w:kern w:val="2"/>
          <w:lang w:eastAsia="zh-CN"/>
        </w:rPr>
        <w:t>-</w:t>
      </w:r>
      <w:r>
        <w:rPr>
          <w:rFonts w:ascii="Book Antiqua" w:eastAsia="宋体" w:hAnsi="Book Antiqua"/>
          <w:kern w:val="2"/>
          <w:lang w:eastAsia="zh-CN"/>
        </w:rPr>
        <w:t>2 inhibitors predisposing to cardiovascular and adverse renal effects</w:t>
      </w:r>
      <w:r w:rsidRPr="007137E2">
        <w:rPr>
          <w:rFonts w:ascii="Book Antiqua" w:eastAsia="宋体" w:hAnsi="Book Antiqua"/>
          <w:kern w:val="2"/>
          <w:vertAlign w:val="superscript"/>
          <w:lang w:eastAsia="zh-CN"/>
        </w:rPr>
        <w:t>[10]</w:t>
      </w:r>
      <w:r w:rsidRPr="007137E2">
        <w:rPr>
          <w:rFonts w:ascii="Book Antiqua" w:eastAsia="宋体" w:hAnsi="Book Antiqua"/>
          <w:kern w:val="2"/>
          <w:lang w:eastAsia="zh-CN"/>
        </w:rPr>
        <w:t>.</w:t>
      </w:r>
      <w:r>
        <w:rPr>
          <w:rFonts w:ascii="Book Antiqua" w:eastAsia="宋体" w:hAnsi="Book Antiqua"/>
          <w:kern w:val="2"/>
          <w:lang w:eastAsia="zh-CN"/>
        </w:rPr>
        <w:t xml:space="preserve"> Therefore, in clinical practice, it is important to prescribe NSAIDs according to the approved labels and use these drugs in consideration with the general condition of the patient. NSAIDs should be used with caution or avoided in patients with previous history of upper gastrointestinal ulcer bleeding, ischemic heart disease or kidney disease.</w:t>
      </w:r>
    </w:p>
    <w:p w14:paraId="309B4F6C" w14:textId="77777777" w:rsidR="000F0D29" w:rsidRDefault="000F0D29">
      <w:pPr>
        <w:widowControl w:val="0"/>
        <w:adjustRightInd w:val="0"/>
        <w:snapToGrid w:val="0"/>
        <w:spacing w:line="360" w:lineRule="auto"/>
        <w:jc w:val="both"/>
        <w:rPr>
          <w:rFonts w:ascii="Book Antiqua" w:eastAsia="宋体" w:hAnsi="Book Antiqua"/>
          <w:kern w:val="2"/>
          <w:lang w:eastAsia="zh-CN"/>
        </w:rPr>
      </w:pPr>
    </w:p>
    <w:p w14:paraId="5142B4CE" w14:textId="77777777" w:rsidR="000F0D29" w:rsidRDefault="00712A8D">
      <w:pPr>
        <w:widowControl w:val="0"/>
        <w:adjustRightInd w:val="0"/>
        <w:snapToGrid w:val="0"/>
        <w:spacing w:line="360" w:lineRule="auto"/>
        <w:jc w:val="both"/>
        <w:rPr>
          <w:rFonts w:ascii="Book Antiqua" w:eastAsia="宋体" w:hAnsi="Book Antiqua"/>
          <w:b/>
          <w:bCs/>
          <w:kern w:val="2"/>
          <w:u w:val="single"/>
          <w:lang w:eastAsia="zh-CN"/>
        </w:rPr>
      </w:pPr>
      <w:r>
        <w:rPr>
          <w:rFonts w:ascii="Book Antiqua" w:eastAsia="宋体" w:hAnsi="Book Antiqua"/>
          <w:b/>
          <w:bCs/>
          <w:kern w:val="2"/>
          <w:u w:val="single"/>
          <w:lang w:eastAsia="zh-CN"/>
        </w:rPr>
        <w:t xml:space="preserve">SEROTONIN-NORADRENALINE REUPTAKE INHIBITOR  </w:t>
      </w:r>
    </w:p>
    <w:p w14:paraId="071F231F" w14:textId="2CFC5063" w:rsidR="000F0D29" w:rsidRDefault="00712A8D">
      <w:pPr>
        <w:widowControl w:val="0"/>
        <w:adjustRightInd w:val="0"/>
        <w:snapToGrid w:val="0"/>
        <w:spacing w:line="360" w:lineRule="auto"/>
        <w:jc w:val="both"/>
        <w:rPr>
          <w:rFonts w:ascii="Book Antiqua" w:eastAsia="宋体" w:hAnsi="Book Antiqua"/>
          <w:kern w:val="2"/>
          <w:lang w:eastAsia="zh-CN"/>
        </w:rPr>
      </w:pPr>
      <w:bookmarkStart w:id="6" w:name="OLE_LINK14"/>
      <w:r>
        <w:rPr>
          <w:rFonts w:ascii="Book Antiqua" w:eastAsia="宋体" w:hAnsi="Book Antiqua"/>
          <w:kern w:val="2"/>
          <w:lang w:eastAsia="zh-CN"/>
        </w:rPr>
        <w:t>Serotonin-noradrenaline reuptake inhibitor</w:t>
      </w:r>
      <w:bookmarkEnd w:id="6"/>
      <w:r w:rsidR="000C50AB">
        <w:rPr>
          <w:rFonts w:ascii="Book Antiqua" w:eastAsia="宋体" w:hAnsi="Book Antiqua"/>
          <w:kern w:val="2"/>
          <w:lang w:eastAsia="zh-CN"/>
        </w:rPr>
        <w:t>s</w:t>
      </w:r>
      <w:r>
        <w:rPr>
          <w:rFonts w:ascii="Book Antiqua" w:eastAsia="宋体" w:hAnsi="Book Antiqua"/>
          <w:kern w:val="2"/>
          <w:lang w:eastAsia="zh-CN"/>
        </w:rPr>
        <w:t xml:space="preserve"> (SNRIs) </w:t>
      </w:r>
      <w:r w:rsidR="00543064">
        <w:rPr>
          <w:rFonts w:ascii="Book Antiqua" w:eastAsia="宋体" w:hAnsi="Book Antiqua"/>
          <w:kern w:val="2"/>
          <w:lang w:eastAsia="zh-CN"/>
        </w:rPr>
        <w:t xml:space="preserve">are </w:t>
      </w:r>
      <w:r>
        <w:rPr>
          <w:rFonts w:ascii="Book Antiqua" w:eastAsia="宋体" w:hAnsi="Book Antiqua"/>
          <w:kern w:val="2"/>
          <w:lang w:eastAsia="zh-CN"/>
        </w:rPr>
        <w:t xml:space="preserve">a </w:t>
      </w:r>
      <w:r w:rsidR="00543064">
        <w:rPr>
          <w:rFonts w:ascii="Book Antiqua" w:eastAsia="宋体" w:hAnsi="Book Antiqua"/>
          <w:kern w:val="2"/>
          <w:lang w:eastAsia="zh-CN"/>
        </w:rPr>
        <w:t xml:space="preserve">class of </w:t>
      </w:r>
      <w:r>
        <w:rPr>
          <w:rFonts w:ascii="Book Antiqua" w:eastAsia="宋体" w:hAnsi="Book Antiqua"/>
          <w:kern w:val="2"/>
          <w:lang w:eastAsia="zh-CN"/>
        </w:rPr>
        <w:t xml:space="preserve">commonly used antidepressant </w:t>
      </w:r>
      <w:r w:rsidR="00543064">
        <w:rPr>
          <w:rFonts w:ascii="Book Antiqua" w:eastAsia="宋体" w:hAnsi="Book Antiqua"/>
          <w:kern w:val="2"/>
          <w:lang w:eastAsia="zh-CN"/>
        </w:rPr>
        <w:t>medications</w:t>
      </w:r>
      <w:r>
        <w:rPr>
          <w:rFonts w:ascii="Book Antiqua" w:eastAsia="宋体" w:hAnsi="Book Antiqua"/>
          <w:kern w:val="2"/>
          <w:lang w:eastAsia="zh-CN"/>
        </w:rPr>
        <w:t xml:space="preserve"> with representative products of duloxetine and venlafaxine, which act as analgesic and antidepressant in CMP management. Their analgesic mechanism is to enhance the role of the descending inhibitory system of pain and reduce the uploading of nociceptive stimulation signals through the spinal cord.</w:t>
      </w:r>
    </w:p>
    <w:p w14:paraId="50931F66" w14:textId="66A4A0C8"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A number of international studies and guidelines have shown that SNRIs have considerable therapeutic effects on various chronic musculoskeletal pains</w:t>
      </w:r>
      <w:r>
        <w:rPr>
          <w:rFonts w:ascii="Book Antiqua" w:eastAsia="宋体" w:hAnsi="Book Antiqua"/>
          <w:bCs/>
          <w:kern w:val="2"/>
          <w:vertAlign w:val="superscript"/>
          <w:lang w:eastAsia="zh-CN"/>
        </w:rPr>
        <w:t>[11,12]</w:t>
      </w:r>
      <w:r>
        <w:rPr>
          <w:rFonts w:ascii="Book Antiqua" w:eastAsia="宋体" w:hAnsi="Book Antiqua"/>
          <w:kern w:val="2"/>
          <w:lang w:eastAsia="zh-CN"/>
        </w:rPr>
        <w:t>. The first guidance that includes duloxetine as recommended treatment option is the 2014 Guidelines for the Treatment of Knee Osteoarthritis by the Osteoarthritis Research Society International (OARSI). Duloxetine has demonstrated a better therapeutic effect when used in combination with NSAIDs, with additional benefit in depressive symptoms</w:t>
      </w:r>
      <w:r>
        <w:rPr>
          <w:rFonts w:ascii="Book Antiqua" w:eastAsia="宋体" w:hAnsi="Book Antiqua"/>
          <w:bCs/>
          <w:kern w:val="2"/>
          <w:vertAlign w:val="superscript"/>
          <w:lang w:eastAsia="zh-CN"/>
        </w:rPr>
        <w:t>[13-15]</w:t>
      </w:r>
      <w:r>
        <w:rPr>
          <w:rFonts w:ascii="Book Antiqua" w:eastAsia="宋体" w:hAnsi="Book Antiqua"/>
          <w:kern w:val="2"/>
          <w:lang w:eastAsia="zh-CN"/>
        </w:rPr>
        <w:t xml:space="preserve">. In a double-blind, randomized controlled study of 407 Chinese patients in 2017, the BPI pain score in the treatment group was significantly lower than that in the placebo group. The secondary efficacy endpoints such as Patient Global Impression, </w:t>
      </w:r>
      <w:bookmarkStart w:id="7" w:name="OLE_LINK16"/>
      <w:r>
        <w:rPr>
          <w:rFonts w:ascii="Book Antiqua" w:eastAsia="宋体" w:hAnsi="Book Antiqua"/>
          <w:kern w:val="2"/>
          <w:lang w:eastAsia="zh-CN"/>
        </w:rPr>
        <w:t xml:space="preserve">Western Ontario and McMaster Osteoarthritis Index </w:t>
      </w:r>
      <w:bookmarkEnd w:id="7"/>
      <w:r>
        <w:rPr>
          <w:rFonts w:ascii="Book Antiqua" w:eastAsia="宋体" w:hAnsi="Book Antiqua"/>
          <w:kern w:val="2"/>
          <w:lang w:eastAsia="zh-CN"/>
        </w:rPr>
        <w:t>(osteoarthritis index score), and CGI were also significantly improved. The treatment of pain with duloxetine was achieved by a direct analgesic effect, rather than its antidepressant effect</w:t>
      </w:r>
      <w:r>
        <w:rPr>
          <w:rFonts w:ascii="Book Antiqua" w:eastAsia="宋体" w:hAnsi="Book Antiqua"/>
          <w:bCs/>
          <w:kern w:val="2"/>
          <w:vertAlign w:val="superscript"/>
          <w:lang w:eastAsia="zh-CN"/>
        </w:rPr>
        <w:t>[16]</w:t>
      </w:r>
      <w:r>
        <w:rPr>
          <w:rFonts w:ascii="Book Antiqua" w:eastAsia="宋体" w:hAnsi="Book Antiqua"/>
          <w:kern w:val="2"/>
          <w:lang w:eastAsia="zh-CN"/>
        </w:rPr>
        <w:t xml:space="preserve">. Forty-three to sixty-seven percent of patients achieved </w:t>
      </w:r>
      <w:r w:rsidR="00543064">
        <w:rPr>
          <w:rFonts w:ascii="Book Antiqua" w:eastAsia="宋体" w:hAnsi="Book Antiqua"/>
          <w:kern w:val="2"/>
          <w:lang w:eastAsia="zh-CN"/>
        </w:rPr>
        <w:t>pain relief</w:t>
      </w:r>
      <w:r>
        <w:rPr>
          <w:rFonts w:ascii="Book Antiqua" w:eastAsia="宋体" w:hAnsi="Book Antiqua"/>
          <w:kern w:val="2"/>
          <w:lang w:eastAsia="zh-CN"/>
        </w:rPr>
        <w:t xml:space="preserve"> (≥ 30% or ≥ 50% reduction in pain score, improvement in physical function, and subjective improvement) after 13 wk</w:t>
      </w:r>
      <w:r w:rsidR="00543064">
        <w:rPr>
          <w:rFonts w:ascii="Book Antiqua" w:eastAsia="宋体" w:hAnsi="Book Antiqua"/>
          <w:kern w:val="2"/>
          <w:lang w:eastAsia="zh-CN"/>
        </w:rPr>
        <w:t>s</w:t>
      </w:r>
      <w:r>
        <w:rPr>
          <w:rFonts w:ascii="Book Antiqua" w:eastAsia="宋体" w:hAnsi="Book Antiqua"/>
          <w:kern w:val="2"/>
          <w:lang w:eastAsia="zh-CN"/>
        </w:rPr>
        <w:t xml:space="preserve"> treatment with duloxetine (60</w:t>
      </w:r>
      <w:r w:rsidR="007137E2">
        <w:rPr>
          <w:rFonts w:ascii="Book Antiqua" w:eastAsia="宋体" w:hAnsi="Book Antiqua"/>
          <w:kern w:val="2"/>
          <w:lang w:eastAsia="zh-CN"/>
        </w:rPr>
        <w:t>-</w:t>
      </w:r>
      <w:r>
        <w:rPr>
          <w:rFonts w:ascii="Book Antiqua" w:eastAsia="宋体" w:hAnsi="Book Antiqua"/>
          <w:kern w:val="2"/>
          <w:lang w:eastAsia="zh-CN"/>
        </w:rPr>
        <w:t xml:space="preserve">120 mg, </w:t>
      </w:r>
      <w:r>
        <w:rPr>
          <w:rFonts w:ascii="Book Antiqua" w:eastAsia="宋体" w:hAnsi="Book Antiqua" w:hint="eastAsia"/>
          <w:kern w:val="2"/>
          <w:lang w:eastAsia="zh-CN"/>
        </w:rPr>
        <w:t>qd</w:t>
      </w:r>
      <w:r>
        <w:rPr>
          <w:rFonts w:ascii="Book Antiqua" w:eastAsia="宋体" w:hAnsi="Book Antiqua"/>
          <w:kern w:val="2"/>
          <w:lang w:eastAsia="zh-CN"/>
        </w:rPr>
        <w:t>); however, it is not recommended to continue the treatment if there is no improvement after more than 4 wk</w:t>
      </w:r>
      <w:r w:rsidR="00543064">
        <w:rPr>
          <w:rFonts w:ascii="Book Antiqua" w:eastAsia="宋体" w:hAnsi="Book Antiqua"/>
          <w:kern w:val="2"/>
          <w:lang w:eastAsia="zh-CN"/>
        </w:rPr>
        <w:t>s</w:t>
      </w:r>
      <w:r>
        <w:rPr>
          <w:rFonts w:ascii="Book Antiqua" w:eastAsia="宋体" w:hAnsi="Book Antiqua"/>
          <w:kern w:val="2"/>
          <w:lang w:eastAsia="zh-CN"/>
        </w:rPr>
        <w:t xml:space="preserve"> of continuous treatment.</w:t>
      </w:r>
    </w:p>
    <w:p w14:paraId="37285C4E" w14:textId="54B9090C"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 xml:space="preserve">Three </w:t>
      </w:r>
      <w:r>
        <w:rPr>
          <w:rFonts w:ascii="Book Antiqua" w:eastAsia="宋体" w:hAnsi="Book Antiqua" w:hint="eastAsia"/>
          <w:kern w:val="2"/>
          <w:lang w:eastAsia="zh-CN"/>
        </w:rPr>
        <w:t>r</w:t>
      </w:r>
      <w:r>
        <w:rPr>
          <w:rFonts w:ascii="Book Antiqua" w:eastAsia="宋体" w:hAnsi="Book Antiqua"/>
          <w:kern w:val="2"/>
          <w:lang w:eastAsia="zh-CN"/>
        </w:rPr>
        <w:t>andomi</w:t>
      </w:r>
      <w:r>
        <w:rPr>
          <w:rFonts w:ascii="Book Antiqua" w:eastAsia="宋体" w:hAnsi="Book Antiqua" w:hint="eastAsia"/>
          <w:kern w:val="2"/>
          <w:lang w:eastAsia="zh-CN"/>
        </w:rPr>
        <w:t>z</w:t>
      </w:r>
      <w:r>
        <w:rPr>
          <w:rFonts w:ascii="Book Antiqua" w:eastAsia="宋体" w:hAnsi="Book Antiqua"/>
          <w:kern w:val="2"/>
          <w:lang w:eastAsia="zh-CN"/>
        </w:rPr>
        <w:t>ed controlled trials investigating duloxetine for the treatment of chronic low back pain (CLBP) have concluded consistently that the study group had significantly lower pain scores and improvements in other secondary outcomes when compared with placebo groups</w:t>
      </w:r>
      <w:r>
        <w:rPr>
          <w:rFonts w:ascii="Book Antiqua" w:eastAsia="宋体" w:hAnsi="Book Antiqua"/>
          <w:bCs/>
          <w:kern w:val="2"/>
          <w:vertAlign w:val="superscript"/>
          <w:lang w:eastAsia="zh-CN"/>
        </w:rPr>
        <w:t>[17-19]</w:t>
      </w:r>
      <w:r>
        <w:rPr>
          <w:rFonts w:ascii="Book Antiqua" w:eastAsia="宋体" w:hAnsi="Book Antiqua"/>
          <w:kern w:val="2"/>
          <w:lang w:eastAsia="zh-CN"/>
        </w:rPr>
        <w:t>. Another study showed that duloxetine was effective in reducing opioid consumption compared to other treatments</w:t>
      </w:r>
      <w:r>
        <w:rPr>
          <w:rFonts w:ascii="Book Antiqua" w:eastAsia="宋体" w:hAnsi="Book Antiqua"/>
          <w:bCs/>
          <w:kern w:val="2"/>
          <w:vertAlign w:val="superscript"/>
          <w:lang w:eastAsia="zh-CN"/>
        </w:rPr>
        <w:t>[20]</w:t>
      </w:r>
      <w:r>
        <w:rPr>
          <w:rFonts w:ascii="Book Antiqua" w:eastAsia="宋体" w:hAnsi="Book Antiqua"/>
          <w:kern w:val="2"/>
          <w:lang w:eastAsia="zh-CN"/>
        </w:rPr>
        <w:t>. In the 2017 American College of Physicians guideline, duloxetine was listed as a treatment option for CLBP, with a moderate grade of recommendation</w:t>
      </w:r>
      <w:r>
        <w:rPr>
          <w:rFonts w:ascii="Book Antiqua" w:eastAsia="宋体" w:hAnsi="Book Antiqua"/>
          <w:bCs/>
          <w:kern w:val="2"/>
          <w:vertAlign w:val="superscript"/>
          <w:lang w:eastAsia="zh-CN"/>
        </w:rPr>
        <w:t>[21]</w:t>
      </w:r>
      <w:r>
        <w:rPr>
          <w:rFonts w:ascii="Book Antiqua" w:eastAsia="宋体" w:hAnsi="Book Antiqua"/>
          <w:kern w:val="2"/>
          <w:lang w:eastAsia="zh-CN"/>
        </w:rPr>
        <w:t>. At present, there</w:t>
      </w:r>
      <w:r w:rsidR="00543064">
        <w:rPr>
          <w:rFonts w:ascii="Book Antiqua" w:eastAsia="宋体" w:hAnsi="Book Antiqua"/>
          <w:kern w:val="2"/>
          <w:lang w:eastAsia="zh-CN"/>
        </w:rPr>
        <w:t xml:space="preserve"> are</w:t>
      </w:r>
      <w:r>
        <w:rPr>
          <w:rFonts w:ascii="Book Antiqua" w:eastAsia="宋体" w:hAnsi="Book Antiqua"/>
          <w:kern w:val="2"/>
          <w:lang w:eastAsia="zh-CN"/>
        </w:rPr>
        <w:t xml:space="preserve"> few clinical studies on SNRIs for the treatment of CLBP in China that can provide clinical evidence to support their role in CLBP management.</w:t>
      </w:r>
    </w:p>
    <w:p w14:paraId="2269E46B" w14:textId="11AC8AD8"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Fibromyalgia causes extensive pain in the muscles and soft tissues in the whole body, and the cause of the disease remains unknown. Duloxetine has been shown to significantly reduce pain score in patients with fibromyalgia, with many patients achieving significant improvement during the first week of treatment, regardless of concomitant depression status</w:t>
      </w:r>
      <w:r w:rsidR="00543064">
        <w:rPr>
          <w:rFonts w:ascii="Book Antiqua" w:eastAsia="宋体" w:hAnsi="Book Antiqua"/>
          <w:kern w:val="2"/>
          <w:lang w:eastAsia="zh-CN"/>
        </w:rPr>
        <w:t xml:space="preserve"> at the dose of 60 mg/day</w:t>
      </w:r>
      <w:r>
        <w:rPr>
          <w:rFonts w:ascii="Book Antiqua" w:eastAsia="宋体" w:hAnsi="Book Antiqua"/>
          <w:bCs/>
          <w:kern w:val="2"/>
          <w:vertAlign w:val="superscript"/>
          <w:lang w:eastAsia="zh-CN"/>
        </w:rPr>
        <w:t>[22]</w:t>
      </w:r>
      <w:r>
        <w:rPr>
          <w:rFonts w:ascii="Book Antiqua" w:eastAsia="宋体" w:hAnsi="Book Antiqua"/>
          <w:kern w:val="2"/>
          <w:lang w:eastAsia="zh-CN"/>
        </w:rPr>
        <w:t>.</w:t>
      </w:r>
    </w:p>
    <w:p w14:paraId="536CACAB" w14:textId="77777777"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MPS is a local pain syndrome caused by aseptic inflammation of skeletal muscle. Patients are often accompanied by anxiety, depression and insomnia. SNRIs can be used as an adjuvant therapy, but there is no clear clinical evidence to support their efficacy.</w:t>
      </w:r>
    </w:p>
    <w:p w14:paraId="0B29071F" w14:textId="18AC70A7"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Dry mouth and nausea are common among the adverse reactions of SNRIs. Other adverse reactions include dizziness, drowsiness, constipation and loss of appetite. SNRIs have a favorable safety profile when compared with NSAIDs in terms of gastrointestinal and cardiovascular adverse reactions; and when compared with other antidepressants in terms of cardiovascular risks. The incidence of adverse effects is lower when duloxetine is administered at a starting dose of 30 mg/d</w:t>
      </w:r>
      <w:r w:rsidR="00EC63F5">
        <w:rPr>
          <w:rFonts w:ascii="Book Antiqua" w:eastAsia="宋体" w:hAnsi="Book Antiqua" w:hint="eastAsia"/>
          <w:kern w:val="2"/>
          <w:lang w:eastAsia="zh-CN"/>
        </w:rPr>
        <w:t>ay</w:t>
      </w:r>
      <w:r>
        <w:rPr>
          <w:rFonts w:ascii="Book Antiqua" w:eastAsia="宋体" w:hAnsi="Book Antiqua"/>
          <w:kern w:val="2"/>
          <w:lang w:eastAsia="zh-CN"/>
        </w:rPr>
        <w:t>. The incidence of dose-related adverse effects of duloxetine at 120 mg/d</w:t>
      </w:r>
      <w:r w:rsidR="00543064">
        <w:rPr>
          <w:rFonts w:ascii="Book Antiqua" w:eastAsia="宋体" w:hAnsi="Book Antiqua"/>
          <w:kern w:val="2"/>
          <w:lang w:eastAsia="zh-CN"/>
        </w:rPr>
        <w:t>ay</w:t>
      </w:r>
      <w:r>
        <w:rPr>
          <w:rFonts w:ascii="Book Antiqua" w:eastAsia="宋体" w:hAnsi="Book Antiqua"/>
          <w:kern w:val="2"/>
          <w:lang w:eastAsia="zh-CN"/>
        </w:rPr>
        <w:t xml:space="preserve"> is significantly higher than that at 60 mg/d</w:t>
      </w:r>
      <w:r w:rsidR="00543064">
        <w:rPr>
          <w:rFonts w:ascii="Book Antiqua" w:eastAsia="宋体" w:hAnsi="Book Antiqua"/>
          <w:kern w:val="2"/>
          <w:lang w:eastAsia="zh-CN"/>
        </w:rPr>
        <w:t>ay</w:t>
      </w:r>
      <w:r>
        <w:rPr>
          <w:rFonts w:ascii="Book Antiqua" w:eastAsia="宋体" w:hAnsi="Book Antiqua"/>
          <w:kern w:val="2"/>
          <w:lang w:eastAsia="zh-CN"/>
        </w:rPr>
        <w:t xml:space="preserve"> dose.</w:t>
      </w:r>
    </w:p>
    <w:p w14:paraId="4002F26C" w14:textId="77777777" w:rsidR="000F0D29" w:rsidRDefault="000F0D29">
      <w:pPr>
        <w:widowControl w:val="0"/>
        <w:adjustRightInd w:val="0"/>
        <w:snapToGrid w:val="0"/>
        <w:spacing w:line="360" w:lineRule="auto"/>
        <w:jc w:val="both"/>
        <w:rPr>
          <w:rFonts w:ascii="Book Antiqua" w:eastAsia="宋体" w:hAnsi="Book Antiqua"/>
          <w:kern w:val="2"/>
          <w:lang w:eastAsia="zh-CN"/>
        </w:rPr>
      </w:pPr>
    </w:p>
    <w:p w14:paraId="4C1B01FC" w14:textId="77777777" w:rsidR="000F0D29" w:rsidRDefault="00712A8D">
      <w:pPr>
        <w:widowControl w:val="0"/>
        <w:adjustRightInd w:val="0"/>
        <w:snapToGrid w:val="0"/>
        <w:spacing w:line="360" w:lineRule="auto"/>
        <w:jc w:val="both"/>
        <w:rPr>
          <w:rFonts w:ascii="Book Antiqua" w:eastAsia="宋体" w:hAnsi="Book Antiqua"/>
          <w:b/>
          <w:bCs/>
          <w:kern w:val="2"/>
          <w:u w:val="single"/>
          <w:lang w:eastAsia="zh-CN"/>
        </w:rPr>
      </w:pPr>
      <w:r>
        <w:rPr>
          <w:rFonts w:ascii="Book Antiqua" w:eastAsia="宋体" w:hAnsi="Book Antiqua"/>
          <w:b/>
          <w:bCs/>
          <w:kern w:val="2"/>
          <w:u w:val="single"/>
          <w:lang w:eastAsia="zh-CN"/>
        </w:rPr>
        <w:t>MUSCLE RELAXANT</w:t>
      </w:r>
    </w:p>
    <w:p w14:paraId="4327F7D7" w14:textId="77777777"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Muscle relaxants can be divided into two categories: skeletal muscle relaxant and central relaxant. </w:t>
      </w:r>
    </w:p>
    <w:p w14:paraId="6F5BBE08" w14:textId="77777777" w:rsidR="000F0D29" w:rsidRDefault="000F0D29">
      <w:pPr>
        <w:widowControl w:val="0"/>
        <w:adjustRightInd w:val="0"/>
        <w:snapToGrid w:val="0"/>
        <w:spacing w:line="360" w:lineRule="auto"/>
        <w:jc w:val="both"/>
        <w:rPr>
          <w:rFonts w:ascii="Book Antiqua" w:eastAsia="宋体" w:hAnsi="Book Antiqua"/>
          <w:i/>
          <w:kern w:val="2"/>
          <w:lang w:eastAsia="zh-CN"/>
        </w:rPr>
      </w:pPr>
    </w:p>
    <w:p w14:paraId="2D962B53" w14:textId="08B49122" w:rsidR="000F0D29" w:rsidRDefault="00712A8D">
      <w:pPr>
        <w:widowControl w:val="0"/>
        <w:adjustRightInd w:val="0"/>
        <w:snapToGrid w:val="0"/>
        <w:spacing w:line="360" w:lineRule="auto"/>
        <w:jc w:val="both"/>
        <w:rPr>
          <w:rFonts w:ascii="Book Antiqua" w:eastAsia="宋体" w:hAnsi="Book Antiqua"/>
          <w:b/>
          <w:i/>
          <w:kern w:val="2"/>
          <w:lang w:eastAsia="zh-CN"/>
        </w:rPr>
      </w:pPr>
      <w:r>
        <w:rPr>
          <w:rFonts w:ascii="Book Antiqua" w:eastAsia="宋体" w:hAnsi="Book Antiqua"/>
          <w:b/>
          <w:i/>
          <w:kern w:val="2"/>
          <w:lang w:eastAsia="zh-CN"/>
        </w:rPr>
        <w:t xml:space="preserve">Skeletal muscle relaxants: </w:t>
      </w:r>
      <w:r w:rsidR="007137E2">
        <w:rPr>
          <w:rFonts w:ascii="Book Antiqua" w:eastAsia="宋体" w:hAnsi="Book Antiqua"/>
          <w:b/>
          <w:i/>
          <w:kern w:val="2"/>
          <w:lang w:eastAsia="zh-CN"/>
        </w:rPr>
        <w:t>B</w:t>
      </w:r>
      <w:r>
        <w:rPr>
          <w:rFonts w:ascii="Book Antiqua" w:eastAsia="宋体" w:hAnsi="Book Antiqua"/>
          <w:b/>
          <w:i/>
          <w:kern w:val="2"/>
          <w:lang w:eastAsia="zh-CN"/>
        </w:rPr>
        <w:t>aclofen and dantrolene</w:t>
      </w:r>
    </w:p>
    <w:p w14:paraId="7508D0B6" w14:textId="77777777"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Baclofen, which mainly acts on presynaptic GABA receptors by reducing synaptic conduction</w:t>
      </w:r>
      <w:r>
        <w:rPr>
          <w:rFonts w:ascii="Book Antiqua" w:eastAsia="宋体" w:hAnsi="Book Antiqua"/>
          <w:bCs/>
          <w:kern w:val="2"/>
          <w:vertAlign w:val="superscript"/>
          <w:lang w:eastAsia="zh-CN"/>
        </w:rPr>
        <w:t>[23]</w:t>
      </w:r>
      <w:r>
        <w:rPr>
          <w:rFonts w:ascii="Book Antiqua" w:eastAsia="宋体" w:hAnsi="Book Antiqua"/>
          <w:kern w:val="2"/>
          <w:lang w:eastAsia="zh-CN"/>
        </w:rPr>
        <w:t>. Indication: Multiple sclerosis, muscle spasms caused by spinal cord disease, and brain-derived muscle spasms</w:t>
      </w:r>
      <w:r>
        <w:rPr>
          <w:rFonts w:ascii="Book Antiqua" w:eastAsia="宋体" w:hAnsi="Book Antiqua"/>
          <w:bCs/>
          <w:kern w:val="2"/>
          <w:vertAlign w:val="superscript"/>
          <w:lang w:eastAsia="zh-CN"/>
        </w:rPr>
        <w:t>[24]</w:t>
      </w:r>
      <w:r>
        <w:rPr>
          <w:rFonts w:ascii="Book Antiqua" w:eastAsia="宋体" w:hAnsi="Book Antiqua"/>
          <w:kern w:val="2"/>
          <w:lang w:eastAsia="zh-CN"/>
        </w:rPr>
        <w:t>. Adverse reactions include drowsiness, sedation, nausea and hypotension. Dosage should be gradually reduced during long-term treatment</w:t>
      </w:r>
      <w:r>
        <w:rPr>
          <w:rFonts w:ascii="Book Antiqua" w:eastAsia="宋体" w:hAnsi="Book Antiqua"/>
          <w:bCs/>
          <w:kern w:val="2"/>
          <w:vertAlign w:val="superscript"/>
          <w:lang w:eastAsia="zh-CN"/>
        </w:rPr>
        <w:t>[25]</w:t>
      </w:r>
      <w:r>
        <w:rPr>
          <w:rFonts w:ascii="Book Antiqua" w:eastAsia="宋体" w:hAnsi="Book Antiqua"/>
          <w:kern w:val="2"/>
          <w:lang w:eastAsia="zh-CN"/>
        </w:rPr>
        <w:t>.</w:t>
      </w:r>
    </w:p>
    <w:p w14:paraId="6E3BD3D8" w14:textId="77777777"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Dantrolene produces muscle relaxation effects mainly by inhibiting the release of calcium ions</w:t>
      </w:r>
      <w:r>
        <w:rPr>
          <w:rFonts w:ascii="Book Antiqua" w:eastAsia="宋体" w:hAnsi="Book Antiqua"/>
          <w:bCs/>
          <w:kern w:val="2"/>
          <w:vertAlign w:val="superscript"/>
          <w:lang w:eastAsia="zh-CN"/>
        </w:rPr>
        <w:t>[26]</w:t>
      </w:r>
      <w:r>
        <w:rPr>
          <w:rFonts w:ascii="Book Antiqua" w:eastAsia="宋体" w:hAnsi="Book Antiqua"/>
          <w:kern w:val="2"/>
          <w:lang w:eastAsia="zh-CN"/>
        </w:rPr>
        <w:t xml:space="preserve"> and can be used to treat spasms caused by upper nervous system diseases</w:t>
      </w:r>
      <w:r>
        <w:rPr>
          <w:rFonts w:ascii="Book Antiqua" w:eastAsia="宋体" w:hAnsi="Book Antiqua"/>
          <w:bCs/>
          <w:kern w:val="2"/>
          <w:vertAlign w:val="superscript"/>
          <w:lang w:eastAsia="zh-CN"/>
        </w:rPr>
        <w:t>[27]</w:t>
      </w:r>
      <w:r>
        <w:rPr>
          <w:rFonts w:ascii="Book Antiqua" w:eastAsia="宋体" w:hAnsi="Book Antiqua"/>
          <w:kern w:val="2"/>
          <w:lang w:eastAsia="zh-CN"/>
        </w:rPr>
        <w:t>, and is currently mainly used to treat malignant hyperthermia.</w:t>
      </w:r>
    </w:p>
    <w:p w14:paraId="083AFDE2" w14:textId="77777777" w:rsidR="000F0D29" w:rsidRDefault="000F0D29">
      <w:pPr>
        <w:widowControl w:val="0"/>
        <w:adjustRightInd w:val="0"/>
        <w:snapToGrid w:val="0"/>
        <w:spacing w:line="360" w:lineRule="auto"/>
        <w:jc w:val="both"/>
        <w:rPr>
          <w:rFonts w:ascii="Book Antiqua" w:eastAsia="宋体" w:hAnsi="Book Antiqua"/>
          <w:i/>
          <w:kern w:val="2"/>
          <w:lang w:eastAsia="zh-CN"/>
        </w:rPr>
      </w:pPr>
    </w:p>
    <w:p w14:paraId="5A2A76AE" w14:textId="77777777" w:rsidR="000F0D29" w:rsidRDefault="00712A8D">
      <w:pPr>
        <w:widowControl w:val="0"/>
        <w:adjustRightInd w:val="0"/>
        <w:snapToGrid w:val="0"/>
        <w:spacing w:line="360" w:lineRule="auto"/>
        <w:jc w:val="both"/>
        <w:rPr>
          <w:rFonts w:ascii="Book Antiqua" w:eastAsia="宋体" w:hAnsi="Book Antiqua"/>
          <w:b/>
          <w:i/>
          <w:kern w:val="2"/>
          <w:lang w:eastAsia="zh-CN"/>
        </w:rPr>
      </w:pPr>
      <w:r>
        <w:rPr>
          <w:rFonts w:ascii="Book Antiqua" w:eastAsia="宋体" w:hAnsi="Book Antiqua"/>
          <w:b/>
          <w:i/>
          <w:kern w:val="2"/>
          <w:lang w:eastAsia="zh-CN"/>
        </w:rPr>
        <w:t>Central relaxant: benzodiazepines, non-benzodiazepines and tizanidine</w:t>
      </w:r>
    </w:p>
    <w:p w14:paraId="2A17D82A" w14:textId="77777777"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The representative drugs of benzodiazepines in clinical practice are diazepam, oxazepam, estazolam, lorazepam, midazolam, alprazolam and clonazepam. They act mainly by elevating the inhibitory neurotransmitter GABA</w:t>
      </w:r>
      <w:r>
        <w:rPr>
          <w:rFonts w:ascii="Book Antiqua" w:eastAsia="宋体" w:hAnsi="Book Antiqua"/>
          <w:bCs/>
          <w:kern w:val="2"/>
          <w:vertAlign w:val="superscript"/>
          <w:lang w:eastAsia="zh-CN"/>
        </w:rPr>
        <w:t>[23]</w:t>
      </w:r>
      <w:r>
        <w:rPr>
          <w:rFonts w:ascii="Book Antiqua" w:eastAsia="宋体" w:hAnsi="Book Antiqua"/>
          <w:kern w:val="2"/>
          <w:lang w:eastAsia="zh-CN"/>
        </w:rPr>
        <w:t>, producing hyperpolarization effects. It has sedative, hypnotic, anxiolytic, and myorelaxant effects. A common adverse effect is excessive sedation.</w:t>
      </w:r>
    </w:p>
    <w:p w14:paraId="6FCC8CC3" w14:textId="77777777"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The representative drug of non-benzodiazepines in clinical practice is eperisone, which acts on spinal motor neurons and skeletal muscle, relaxes muscle spasm, improves local microcirculation of blood, blocks the vicious cycle of "pain-muscle tension-local blood circulation disorder", thus improving CMP, especially in chronic low back pain as the first-line treatment option. The most common adverse reactions are mild adverse reactions such as nausea and anorexia.</w:t>
      </w:r>
    </w:p>
    <w:p w14:paraId="1540F5F3" w14:textId="77777777"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Tizanidine is an α2 receptor agonist that acts through presynaptic inhibition of motor neurons</w:t>
      </w:r>
      <w:r>
        <w:rPr>
          <w:rFonts w:ascii="Book Antiqua" w:eastAsia="宋体" w:hAnsi="Book Antiqua"/>
          <w:bCs/>
          <w:kern w:val="2"/>
          <w:vertAlign w:val="superscript"/>
          <w:lang w:eastAsia="zh-CN"/>
        </w:rPr>
        <w:t>[23]</w:t>
      </w:r>
      <w:r>
        <w:rPr>
          <w:rFonts w:ascii="Book Antiqua" w:eastAsia="宋体" w:hAnsi="Book Antiqua"/>
          <w:kern w:val="2"/>
          <w:lang w:eastAsia="zh-CN"/>
        </w:rPr>
        <w:t>. Indications: Neck, shoulder and low back pain, multiple sclerosis, cerebrovascular events and other types of myotonia. It has been reported in the literature that it is not recommended as a first-line drug for the treatment of chronic musculoskeletal pain. Tizanidine is known to have sedative and antihypertensive effects, and should be administered at a low dose when initiating the treatment</w:t>
      </w:r>
      <w:r>
        <w:rPr>
          <w:rFonts w:ascii="Book Antiqua" w:eastAsia="宋体" w:hAnsi="Book Antiqua"/>
          <w:bCs/>
          <w:kern w:val="2"/>
          <w:vertAlign w:val="superscript"/>
          <w:lang w:eastAsia="zh-CN"/>
        </w:rPr>
        <w:t>[28]</w:t>
      </w:r>
      <w:r>
        <w:rPr>
          <w:rFonts w:ascii="Book Antiqua" w:eastAsia="宋体" w:hAnsi="Book Antiqua"/>
          <w:kern w:val="2"/>
          <w:lang w:eastAsia="zh-CN"/>
        </w:rPr>
        <w:t>.</w:t>
      </w:r>
    </w:p>
    <w:p w14:paraId="78282E56" w14:textId="77777777" w:rsidR="000F0D29" w:rsidRDefault="000F0D29">
      <w:pPr>
        <w:widowControl w:val="0"/>
        <w:adjustRightInd w:val="0"/>
        <w:snapToGrid w:val="0"/>
        <w:spacing w:line="360" w:lineRule="auto"/>
        <w:jc w:val="both"/>
        <w:rPr>
          <w:rFonts w:ascii="Book Antiqua" w:eastAsia="宋体" w:hAnsi="Book Antiqua"/>
          <w:kern w:val="2"/>
          <w:lang w:eastAsia="zh-CN"/>
        </w:rPr>
      </w:pPr>
    </w:p>
    <w:p w14:paraId="388688E3" w14:textId="77777777" w:rsidR="000F0D29" w:rsidRDefault="00712A8D">
      <w:pPr>
        <w:widowControl w:val="0"/>
        <w:adjustRightInd w:val="0"/>
        <w:snapToGrid w:val="0"/>
        <w:spacing w:line="360" w:lineRule="auto"/>
        <w:jc w:val="both"/>
        <w:rPr>
          <w:rFonts w:ascii="Book Antiqua" w:eastAsia="宋体" w:hAnsi="Book Antiqua"/>
          <w:b/>
          <w:bCs/>
          <w:kern w:val="2"/>
          <w:u w:val="single"/>
          <w:lang w:eastAsia="zh-CN"/>
        </w:rPr>
      </w:pPr>
      <w:r>
        <w:rPr>
          <w:rFonts w:ascii="Book Antiqua" w:eastAsia="宋体" w:hAnsi="Book Antiqua"/>
          <w:b/>
          <w:bCs/>
          <w:kern w:val="2"/>
          <w:u w:val="single"/>
          <w:lang w:eastAsia="zh-CN"/>
        </w:rPr>
        <w:t>ION CHANNEL DRUGS</w:t>
      </w:r>
    </w:p>
    <w:p w14:paraId="1C3E38D2" w14:textId="2844A4D5"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The ion channel drugs used in clinical practice include three categories: </w:t>
      </w:r>
      <w:r w:rsidR="00A7169B">
        <w:rPr>
          <w:rFonts w:ascii="Book Antiqua" w:eastAsia="宋体" w:hAnsi="Book Antiqua"/>
          <w:kern w:val="2"/>
          <w:lang w:eastAsia="zh-CN"/>
        </w:rPr>
        <w:t>C</w:t>
      </w:r>
      <w:r>
        <w:rPr>
          <w:rFonts w:ascii="Book Antiqua" w:eastAsia="宋体" w:hAnsi="Book Antiqua"/>
          <w:kern w:val="2"/>
          <w:lang w:eastAsia="zh-CN"/>
        </w:rPr>
        <w:t xml:space="preserve">alcium ion channel modulators (gabapentin, pregabalin), sodium channel blockers (carbamazepine, oxcarbazepine, lidocaine, </w:t>
      </w:r>
      <w:r>
        <w:rPr>
          <w:rFonts w:ascii="Book Antiqua" w:eastAsia="宋体" w:hAnsi="Book Antiqua"/>
          <w:i/>
          <w:kern w:val="2"/>
          <w:lang w:eastAsia="zh-CN"/>
        </w:rPr>
        <w:t>etc</w:t>
      </w:r>
      <w:r w:rsidR="00A7169B">
        <w:rPr>
          <w:rFonts w:ascii="Book Antiqua" w:eastAsia="宋体" w:hAnsi="Book Antiqua"/>
          <w:i/>
          <w:kern w:val="2"/>
          <w:lang w:eastAsia="zh-CN"/>
        </w:rPr>
        <w:t>.</w:t>
      </w:r>
      <w:r>
        <w:rPr>
          <w:rFonts w:ascii="Book Antiqua" w:eastAsia="宋体" w:hAnsi="Book Antiqua"/>
          <w:kern w:val="2"/>
          <w:lang w:eastAsia="zh-CN"/>
        </w:rPr>
        <w:t>) and potassium channel openers (flupirtine), among which calcium ion channel modulators are most widely used in chronic musculoskeletal pain. Calcium ion channels play an important role in many physiological processes of the nervous system, such as the regulation of neuronal excitability, the release of transmitters at synaptic sites, synaptic plasticity, and gene transcription, all of which are achieved through the regulation of calcium influx by calcium ion channels. Calcium ion channel blockers relieve pain by inhibiting calcium influx and reducing the release of neurotransmitters, thereby reducing the abnormal excitation of pain conduction pathways</w:t>
      </w:r>
      <w:r>
        <w:rPr>
          <w:rFonts w:ascii="Book Antiqua" w:eastAsia="宋体" w:hAnsi="Book Antiqua"/>
          <w:bCs/>
          <w:kern w:val="2"/>
          <w:vertAlign w:val="superscript"/>
          <w:lang w:eastAsia="zh-CN"/>
        </w:rPr>
        <w:t>[29]</w:t>
      </w:r>
      <w:r>
        <w:rPr>
          <w:rFonts w:ascii="Book Antiqua" w:eastAsia="宋体" w:hAnsi="Book Antiqua"/>
          <w:kern w:val="2"/>
          <w:lang w:eastAsia="zh-CN"/>
        </w:rPr>
        <w:t>. Among them, potassium channel openers have been withdrawn from market because of their hepatotoxicity</w:t>
      </w:r>
      <w:r>
        <w:rPr>
          <w:rFonts w:ascii="Book Antiqua" w:eastAsia="宋体" w:hAnsi="Book Antiqua"/>
          <w:bCs/>
          <w:kern w:val="2"/>
          <w:vertAlign w:val="superscript"/>
          <w:lang w:eastAsia="zh-CN"/>
        </w:rPr>
        <w:t>[30]</w:t>
      </w:r>
      <w:r>
        <w:rPr>
          <w:rFonts w:ascii="Book Antiqua" w:eastAsia="宋体" w:hAnsi="Book Antiqua"/>
          <w:kern w:val="2"/>
          <w:lang w:eastAsia="zh-CN"/>
        </w:rPr>
        <w:t>.</w:t>
      </w:r>
    </w:p>
    <w:p w14:paraId="1A16874A" w14:textId="77777777" w:rsidR="000F0D29" w:rsidRDefault="000F0D29">
      <w:pPr>
        <w:widowControl w:val="0"/>
        <w:adjustRightInd w:val="0"/>
        <w:snapToGrid w:val="0"/>
        <w:spacing w:line="360" w:lineRule="auto"/>
        <w:jc w:val="both"/>
        <w:rPr>
          <w:rFonts w:ascii="Book Antiqua" w:eastAsia="宋体" w:hAnsi="Book Antiqua"/>
          <w:b/>
          <w:i/>
          <w:kern w:val="2"/>
          <w:lang w:eastAsia="zh-CN"/>
        </w:rPr>
      </w:pPr>
    </w:p>
    <w:p w14:paraId="6D50E1CB" w14:textId="77777777" w:rsidR="000F0D29" w:rsidRDefault="00712A8D">
      <w:pPr>
        <w:widowControl w:val="0"/>
        <w:adjustRightInd w:val="0"/>
        <w:snapToGrid w:val="0"/>
        <w:spacing w:line="360" w:lineRule="auto"/>
        <w:jc w:val="both"/>
        <w:rPr>
          <w:rFonts w:ascii="Book Antiqua" w:eastAsia="宋体" w:hAnsi="Book Antiqua"/>
          <w:b/>
          <w:i/>
          <w:kern w:val="2"/>
          <w:lang w:eastAsia="zh-CN"/>
        </w:rPr>
      </w:pPr>
      <w:r>
        <w:rPr>
          <w:rFonts w:ascii="Book Antiqua" w:eastAsia="宋体" w:hAnsi="Book Antiqua"/>
          <w:b/>
          <w:i/>
          <w:kern w:val="2"/>
          <w:lang w:eastAsia="zh-CN"/>
        </w:rPr>
        <w:t xml:space="preserve">Common ion channel drugs </w:t>
      </w:r>
    </w:p>
    <w:p w14:paraId="52F326A0" w14:textId="77777777"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b/>
          <w:kern w:val="2"/>
          <w:lang w:eastAsia="zh-CN"/>
        </w:rPr>
        <w:t>Gabapentin</w:t>
      </w:r>
      <w:r>
        <w:rPr>
          <w:rFonts w:ascii="Book Antiqua" w:eastAsia="宋体" w:hAnsi="Book Antiqua" w:hint="eastAsia"/>
          <w:b/>
          <w:kern w:val="2"/>
          <w:lang w:eastAsia="zh-CN"/>
        </w:rPr>
        <w:t>:</w:t>
      </w:r>
      <w:r>
        <w:rPr>
          <w:rFonts w:ascii="Book Antiqua" w:eastAsia="宋体" w:hAnsi="Book Antiqua"/>
          <w:b/>
          <w:kern w:val="2"/>
          <w:lang w:eastAsia="zh-CN"/>
        </w:rPr>
        <w:t xml:space="preserve"> </w:t>
      </w:r>
      <w:r>
        <w:rPr>
          <w:rFonts w:ascii="Book Antiqua" w:eastAsia="宋体" w:hAnsi="Book Antiqua"/>
          <w:kern w:val="2"/>
          <w:lang w:eastAsia="zh-CN"/>
        </w:rPr>
        <w:t>Gabapentin was first used to control seizures and was subsequently found to have a role in the treatment of neuropathic pain as well</w:t>
      </w:r>
      <w:r>
        <w:rPr>
          <w:rFonts w:ascii="Book Antiqua" w:eastAsia="宋体" w:hAnsi="Book Antiqua"/>
          <w:bCs/>
          <w:kern w:val="2"/>
          <w:vertAlign w:val="superscript"/>
          <w:lang w:eastAsia="zh-CN"/>
        </w:rPr>
        <w:t>[31]</w:t>
      </w:r>
      <w:r>
        <w:rPr>
          <w:rFonts w:ascii="Book Antiqua" w:eastAsia="宋体" w:hAnsi="Book Antiqua"/>
          <w:kern w:val="2"/>
          <w:lang w:eastAsia="zh-CN"/>
        </w:rPr>
        <w:t>. Its structure is similar to that of GABA, but it does not target GABA receptors and does not affect the synthesis and uptake of GABA. The α2δ-1 subunit of the voltage-gated calcium ion channel is the target site of gabapentin, and the specific binding can block the transport of α1 units of calcium ion channels from the cytoplasm to the cell membrane in dorsal root ganglia and spinal dorsal horn neurons. In addition, the axoplasmic transport of α2δ-1 subunits from the dorsal root ganglia to the spinal dorsal horn can also be blocked by gabapentin. Gabapentin can also inhibit pain via other targets, such as transient receptor voltage channels, NMDA receptors, protein kinases, and inflammatory factors</w:t>
      </w:r>
      <w:r>
        <w:rPr>
          <w:rFonts w:ascii="Book Antiqua" w:eastAsia="宋体" w:hAnsi="Book Antiqua"/>
          <w:bCs/>
          <w:kern w:val="2"/>
          <w:vertAlign w:val="superscript"/>
          <w:lang w:eastAsia="zh-CN"/>
        </w:rPr>
        <w:t>[32]</w:t>
      </w:r>
      <w:r>
        <w:rPr>
          <w:rFonts w:ascii="Book Antiqua" w:eastAsia="宋体" w:hAnsi="Book Antiqua"/>
          <w:kern w:val="2"/>
          <w:lang w:eastAsia="zh-CN"/>
        </w:rPr>
        <w:t>.</w:t>
      </w:r>
    </w:p>
    <w:p w14:paraId="551DA7F5" w14:textId="77777777"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The clinical role of gabapentin in chronic musculoskeletal pain is mainly for some "tunnel" syndromes such as carpal tunnel syndrome, cubital tunnel syndrome and other musculoskeletal pain caused by corresponding nerve entrapment as well as fibromyalgia, chronic nerve or traumatic body pain</w:t>
      </w:r>
      <w:r>
        <w:rPr>
          <w:rFonts w:ascii="Book Antiqua" w:eastAsia="宋体" w:hAnsi="Book Antiqua"/>
          <w:bCs/>
          <w:kern w:val="2"/>
          <w:vertAlign w:val="superscript"/>
          <w:lang w:eastAsia="zh-CN"/>
        </w:rPr>
        <w:t>[33]</w:t>
      </w:r>
      <w:r>
        <w:rPr>
          <w:rFonts w:ascii="Book Antiqua" w:eastAsia="宋体" w:hAnsi="Book Antiqua"/>
          <w:kern w:val="2"/>
          <w:lang w:eastAsia="zh-CN"/>
        </w:rPr>
        <w:t>. Common adverse effects include vertigo, drowsiness, ataxia, and peripheral edema</w:t>
      </w:r>
      <w:r>
        <w:rPr>
          <w:rFonts w:ascii="Book Antiqua" w:eastAsia="宋体" w:hAnsi="Book Antiqua"/>
          <w:bCs/>
          <w:kern w:val="2"/>
          <w:vertAlign w:val="superscript"/>
          <w:lang w:eastAsia="zh-CN"/>
        </w:rPr>
        <w:t>[34]</w:t>
      </w:r>
      <w:r>
        <w:rPr>
          <w:rFonts w:ascii="Book Antiqua" w:eastAsia="宋体" w:hAnsi="Book Antiqua"/>
          <w:kern w:val="2"/>
          <w:lang w:eastAsia="zh-CN"/>
        </w:rPr>
        <w:t>.</w:t>
      </w:r>
    </w:p>
    <w:p w14:paraId="6DC1480E" w14:textId="77777777" w:rsidR="000F0D29" w:rsidRDefault="000F0D29">
      <w:pPr>
        <w:widowControl w:val="0"/>
        <w:adjustRightInd w:val="0"/>
        <w:snapToGrid w:val="0"/>
        <w:spacing w:line="360" w:lineRule="auto"/>
        <w:jc w:val="both"/>
        <w:rPr>
          <w:rFonts w:ascii="Book Antiqua" w:eastAsia="宋体" w:hAnsi="Book Antiqua"/>
          <w:kern w:val="2"/>
          <w:lang w:eastAsia="zh-CN"/>
        </w:rPr>
      </w:pPr>
    </w:p>
    <w:p w14:paraId="2AF62A10" w14:textId="77777777" w:rsidR="000F0D29" w:rsidRDefault="00712A8D">
      <w:pPr>
        <w:widowControl w:val="0"/>
        <w:adjustRightInd w:val="0"/>
        <w:snapToGrid w:val="0"/>
        <w:spacing w:line="360" w:lineRule="auto"/>
        <w:jc w:val="both"/>
        <w:rPr>
          <w:rFonts w:ascii="Book Antiqua" w:eastAsia="宋体" w:hAnsi="Book Antiqua"/>
          <w:b/>
          <w:kern w:val="2"/>
          <w:lang w:eastAsia="zh-CN"/>
        </w:rPr>
      </w:pPr>
      <w:r>
        <w:rPr>
          <w:rFonts w:ascii="Book Antiqua" w:eastAsia="宋体" w:hAnsi="Book Antiqua"/>
          <w:b/>
          <w:kern w:val="2"/>
          <w:lang w:eastAsia="zh-CN"/>
        </w:rPr>
        <w:t>Pregabalin</w:t>
      </w:r>
      <w:r>
        <w:rPr>
          <w:rFonts w:ascii="Book Antiqua" w:eastAsia="宋体" w:hAnsi="Book Antiqua" w:hint="eastAsia"/>
          <w:b/>
          <w:kern w:val="2"/>
          <w:lang w:eastAsia="zh-CN"/>
        </w:rPr>
        <w:t xml:space="preserve">: </w:t>
      </w:r>
      <w:r>
        <w:rPr>
          <w:rFonts w:ascii="Book Antiqua" w:eastAsia="宋体" w:hAnsi="Book Antiqua"/>
          <w:kern w:val="2"/>
          <w:lang w:eastAsia="zh-CN"/>
        </w:rPr>
        <w:t>Like gabapentin, Pregabalin blocks the influx of extracellular calcium, thereby reducing the release of excitatory amino acids.</w:t>
      </w:r>
    </w:p>
    <w:p w14:paraId="40B86DB9" w14:textId="77777777" w:rsidR="000F0D29" w:rsidRDefault="00712A8D">
      <w:pPr>
        <w:widowControl w:val="0"/>
        <w:adjustRightInd w:val="0"/>
        <w:snapToGrid w:val="0"/>
        <w:spacing w:line="360" w:lineRule="auto"/>
        <w:ind w:firstLineChars="100" w:firstLine="240"/>
        <w:jc w:val="both"/>
        <w:rPr>
          <w:rFonts w:ascii="Book Antiqua" w:eastAsia="宋体" w:hAnsi="Book Antiqua"/>
          <w:kern w:val="2"/>
          <w:lang w:eastAsia="zh-CN"/>
        </w:rPr>
      </w:pPr>
      <w:r>
        <w:rPr>
          <w:rFonts w:ascii="Book Antiqua" w:eastAsia="宋体" w:hAnsi="Book Antiqua"/>
          <w:kern w:val="2"/>
          <w:lang w:eastAsia="zh-CN"/>
        </w:rPr>
        <w:t>The clinical role of pregabalin in chronic musculoskeletal pain is also similar to that of gabapentin. The adverse reactions of pregabalin include peripheral edema, PR interval prolongation, dizziness, drowsiness, ataxia, headache, language disorder, tremor, etc. The adverse reactions of metabolic/endocrine system are weight gain, with an incidence of 4%</w:t>
      </w:r>
      <w:r>
        <w:rPr>
          <w:rFonts w:ascii="Book Antiqua" w:eastAsia="宋体" w:hAnsi="Book Antiqua" w:hint="eastAsia"/>
          <w:kern w:val="2"/>
          <w:lang w:eastAsia="zh-CN"/>
        </w:rPr>
        <w:t>-</w:t>
      </w:r>
      <w:r>
        <w:rPr>
          <w:rFonts w:ascii="Book Antiqua" w:eastAsia="宋体" w:hAnsi="Book Antiqua"/>
          <w:kern w:val="2"/>
          <w:lang w:eastAsia="zh-CN"/>
        </w:rPr>
        <w:t xml:space="preserve">12%; elevated creatine kinase level and myoclonus are observed in the musculoskeletal system, and rhabdomyolysis has been reported in individual cases; mild and transient elevation of liver enzyme level, lack of saliva, constipation, visible thrombocytopenia, blurred vision, diplopia, amblyopia, </w:t>
      </w:r>
      <w:r>
        <w:rPr>
          <w:rFonts w:ascii="Book Antiqua" w:eastAsia="宋体" w:hAnsi="Book Antiqua"/>
          <w:i/>
          <w:kern w:val="2"/>
          <w:lang w:eastAsia="zh-CN"/>
        </w:rPr>
        <w:t>etc</w:t>
      </w:r>
      <w:r>
        <w:rPr>
          <w:rFonts w:ascii="Book Antiqua" w:eastAsia="宋体" w:hAnsi="Book Antiqua"/>
          <w:kern w:val="2"/>
          <w:lang w:eastAsia="zh-CN"/>
        </w:rPr>
        <w:t>. are infrequently reported with pregabalin.</w:t>
      </w:r>
    </w:p>
    <w:p w14:paraId="7E5617BD" w14:textId="77777777" w:rsidR="000F0D29" w:rsidRDefault="000F0D29">
      <w:pPr>
        <w:widowControl w:val="0"/>
        <w:adjustRightInd w:val="0"/>
        <w:snapToGrid w:val="0"/>
        <w:spacing w:line="360" w:lineRule="auto"/>
        <w:jc w:val="both"/>
        <w:rPr>
          <w:rFonts w:ascii="Book Antiqua" w:eastAsia="宋体" w:hAnsi="Book Antiqua"/>
          <w:b/>
          <w:kern w:val="2"/>
          <w:lang w:eastAsia="zh-CN"/>
        </w:rPr>
      </w:pPr>
    </w:p>
    <w:p w14:paraId="47D99D14" w14:textId="2D8D5BAD"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b/>
          <w:kern w:val="2"/>
          <w:lang w:eastAsia="zh-CN"/>
        </w:rPr>
        <w:t>Carbamazepine</w:t>
      </w:r>
      <w:r>
        <w:rPr>
          <w:rFonts w:ascii="Book Antiqua" w:eastAsia="宋体" w:hAnsi="Book Antiqua" w:hint="eastAsia"/>
          <w:b/>
          <w:kern w:val="2"/>
          <w:lang w:eastAsia="zh-CN"/>
        </w:rPr>
        <w:t xml:space="preserve">: </w:t>
      </w:r>
      <w:r>
        <w:rPr>
          <w:rFonts w:ascii="Book Antiqua" w:eastAsia="宋体" w:hAnsi="Book Antiqua"/>
          <w:kern w:val="2"/>
          <w:lang w:eastAsia="zh-CN"/>
        </w:rPr>
        <w:t>Carbamazepine is a commonly used antiepileptic drug with membrane stabilizing potential, which can inhibit sodium ion channels in the cell membrane, reduce neurotransmitter release and neural cell excitability. It is commonly used in antiepileptic therapy and treatment for trigeminal neuralgia and glosso</w:t>
      </w:r>
      <w:r w:rsidR="00F14DE5">
        <w:rPr>
          <w:rFonts w:ascii="Book Antiqua" w:eastAsia="宋体" w:hAnsi="Book Antiqua" w:hint="eastAsia"/>
          <w:kern w:val="2"/>
          <w:lang w:eastAsia="zh-CN"/>
        </w:rPr>
        <w:t>-</w:t>
      </w:r>
      <w:r>
        <w:rPr>
          <w:rFonts w:ascii="Book Antiqua" w:eastAsia="宋体" w:hAnsi="Book Antiqua"/>
          <w:kern w:val="2"/>
          <w:lang w:eastAsia="zh-CN"/>
        </w:rPr>
        <w:t>pharyngeal neuralgia. It is not commonly used for chronic musculoskeletal pain</w:t>
      </w:r>
      <w:r>
        <w:rPr>
          <w:rFonts w:ascii="Book Antiqua" w:eastAsia="宋体" w:hAnsi="Book Antiqua"/>
          <w:bCs/>
          <w:kern w:val="2"/>
          <w:vertAlign w:val="superscript"/>
          <w:lang w:eastAsia="zh-CN"/>
        </w:rPr>
        <w:t>[35]</w:t>
      </w:r>
      <w:r>
        <w:rPr>
          <w:rFonts w:ascii="Book Antiqua" w:eastAsia="宋体" w:hAnsi="Book Antiqua"/>
          <w:kern w:val="2"/>
          <w:lang w:eastAsia="zh-CN"/>
        </w:rPr>
        <w:t>.</w:t>
      </w:r>
    </w:p>
    <w:p w14:paraId="026BE601" w14:textId="77777777" w:rsidR="000F0D29" w:rsidRDefault="000F0D29">
      <w:pPr>
        <w:widowControl w:val="0"/>
        <w:adjustRightInd w:val="0"/>
        <w:snapToGrid w:val="0"/>
        <w:spacing w:line="360" w:lineRule="auto"/>
        <w:jc w:val="both"/>
        <w:rPr>
          <w:rFonts w:ascii="Book Antiqua" w:eastAsia="宋体" w:hAnsi="Book Antiqua"/>
          <w:b/>
          <w:kern w:val="2"/>
          <w:lang w:eastAsia="zh-CN"/>
        </w:rPr>
      </w:pPr>
    </w:p>
    <w:p w14:paraId="006370C2" w14:textId="77777777" w:rsidR="000F0D29" w:rsidRDefault="00712A8D">
      <w:pPr>
        <w:widowControl w:val="0"/>
        <w:adjustRightInd w:val="0"/>
        <w:snapToGrid w:val="0"/>
        <w:spacing w:line="360" w:lineRule="auto"/>
        <w:jc w:val="both"/>
        <w:rPr>
          <w:rFonts w:ascii="Book Antiqua" w:eastAsia="宋体" w:hAnsi="Book Antiqua"/>
          <w:b/>
          <w:kern w:val="2"/>
          <w:lang w:eastAsia="zh-CN"/>
        </w:rPr>
      </w:pPr>
      <w:r>
        <w:rPr>
          <w:rFonts w:ascii="Book Antiqua" w:eastAsia="宋体" w:hAnsi="Book Antiqua"/>
          <w:b/>
          <w:kern w:val="2"/>
          <w:lang w:eastAsia="zh-CN"/>
        </w:rPr>
        <w:t>Oxcarbazepine</w:t>
      </w:r>
      <w:r>
        <w:rPr>
          <w:rFonts w:ascii="Book Antiqua" w:eastAsia="宋体" w:hAnsi="Book Antiqua" w:hint="eastAsia"/>
          <w:b/>
          <w:kern w:val="2"/>
          <w:lang w:eastAsia="zh-CN"/>
        </w:rPr>
        <w:t>:</w:t>
      </w:r>
      <w:r>
        <w:rPr>
          <w:rFonts w:ascii="Book Antiqua" w:eastAsia="宋体" w:hAnsi="Book Antiqua"/>
          <w:b/>
          <w:kern w:val="2"/>
          <w:lang w:eastAsia="zh-CN"/>
        </w:rPr>
        <w:t xml:space="preserve"> </w:t>
      </w:r>
      <w:r>
        <w:rPr>
          <w:rFonts w:ascii="Book Antiqua" w:eastAsia="宋体" w:hAnsi="Book Antiqua"/>
          <w:kern w:val="2"/>
          <w:lang w:eastAsia="zh-CN"/>
        </w:rPr>
        <w:t>Oxcarbazepine, known as a 10-ketone derivative of carbamazepine, is a brand-new antiepileptic prodrug of its active metabolite 10-hydroxycarbamazepine (MHD)</w:t>
      </w:r>
      <w:r>
        <w:rPr>
          <w:rFonts w:ascii="Book Antiqua" w:eastAsia="宋体" w:hAnsi="Book Antiqua"/>
          <w:bCs/>
          <w:kern w:val="2"/>
          <w:vertAlign w:val="superscript"/>
          <w:lang w:eastAsia="zh-CN"/>
        </w:rPr>
        <w:t>[36]</w:t>
      </w:r>
      <w:r>
        <w:rPr>
          <w:rFonts w:ascii="Book Antiqua" w:eastAsia="宋体" w:hAnsi="Book Antiqua"/>
          <w:kern w:val="2"/>
          <w:lang w:eastAsia="zh-CN"/>
        </w:rPr>
        <w:t>. Oxcarbazepine acts similarly to carbamazepine by blocking voltage-dependent sodium ion channels, stabilizing neuronal cell membranes, inhibiting neuronal repetitive firing and reducing synaptic impulse firing. Its clinical use is similar to that of carbamazepine and less commonly used for chronic musculoskeletal pain.</w:t>
      </w:r>
    </w:p>
    <w:p w14:paraId="01E98565" w14:textId="77777777" w:rsidR="000F0D29" w:rsidRDefault="000F0D29">
      <w:pPr>
        <w:widowControl w:val="0"/>
        <w:adjustRightInd w:val="0"/>
        <w:snapToGrid w:val="0"/>
        <w:spacing w:line="360" w:lineRule="auto"/>
        <w:jc w:val="both"/>
        <w:rPr>
          <w:rFonts w:ascii="Book Antiqua" w:eastAsia="宋体" w:hAnsi="Book Antiqua"/>
          <w:kern w:val="2"/>
          <w:lang w:eastAsia="zh-CN"/>
        </w:rPr>
      </w:pPr>
    </w:p>
    <w:p w14:paraId="76AF1FAA" w14:textId="77777777" w:rsidR="000F0D29" w:rsidRDefault="00712A8D">
      <w:pPr>
        <w:widowControl w:val="0"/>
        <w:adjustRightInd w:val="0"/>
        <w:snapToGrid w:val="0"/>
        <w:spacing w:line="360" w:lineRule="auto"/>
        <w:jc w:val="both"/>
        <w:rPr>
          <w:rFonts w:ascii="Book Antiqua" w:eastAsia="宋体" w:hAnsi="Book Antiqua"/>
          <w:kern w:val="2"/>
          <w:u w:val="single"/>
          <w:lang w:eastAsia="zh-CN"/>
        </w:rPr>
      </w:pPr>
      <w:r>
        <w:rPr>
          <w:rFonts w:ascii="Book Antiqua" w:eastAsia="宋体" w:hAnsi="Book Antiqua"/>
          <w:b/>
          <w:bCs/>
          <w:kern w:val="2"/>
          <w:u w:val="single"/>
          <w:lang w:eastAsia="zh-CN"/>
        </w:rPr>
        <w:t>TOPICAL DRUGS</w:t>
      </w:r>
      <w:r>
        <w:rPr>
          <w:rFonts w:ascii="Book Antiqua" w:eastAsia="宋体" w:hAnsi="Book Antiqua"/>
          <w:kern w:val="2"/>
          <w:u w:val="single"/>
          <w:lang w:eastAsia="zh-CN"/>
        </w:rPr>
        <w:t xml:space="preserve"> </w:t>
      </w:r>
    </w:p>
    <w:p w14:paraId="375EC49D" w14:textId="503B434A"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Topical non-opioid analgesics for the treatment of CMP include NSAIDs, local anesthetics, capsaicin, and traditional </w:t>
      </w:r>
      <w:r>
        <w:rPr>
          <w:rFonts w:ascii="Book Antiqua" w:eastAsia="宋体" w:hAnsi="Book Antiqua" w:hint="eastAsia"/>
          <w:kern w:val="2"/>
          <w:lang w:eastAsia="zh-CN"/>
        </w:rPr>
        <w:t>C</w:t>
      </w:r>
      <w:r>
        <w:rPr>
          <w:rFonts w:ascii="Book Antiqua" w:eastAsia="宋体" w:hAnsi="Book Antiqua"/>
          <w:kern w:val="2"/>
          <w:lang w:eastAsia="zh-CN"/>
        </w:rPr>
        <w:t xml:space="preserve">hinese medicines (TCMs). The common dosage forms are cream/emulsion, solution, spray, gel, and patch. Topical drugs penetrate through the skin directly to the affected tissue to exert analgesic effects, with the advantages of rapid onset, high local concentration, less systemic exposure and less systemic adverse effects, which make </w:t>
      </w:r>
      <w:r w:rsidR="00A4405B">
        <w:rPr>
          <w:rFonts w:ascii="Book Antiqua" w:eastAsia="宋体" w:hAnsi="Book Antiqua"/>
          <w:kern w:val="2"/>
          <w:lang w:eastAsia="zh-CN"/>
        </w:rPr>
        <w:t xml:space="preserve">them </w:t>
      </w:r>
      <w:r>
        <w:rPr>
          <w:rFonts w:ascii="Book Antiqua" w:eastAsia="宋体" w:hAnsi="Book Antiqua"/>
          <w:kern w:val="2"/>
          <w:lang w:eastAsia="zh-CN"/>
        </w:rPr>
        <w:t xml:space="preserve">more </w:t>
      </w:r>
      <w:r w:rsidR="00A4405B">
        <w:rPr>
          <w:rFonts w:ascii="Book Antiqua" w:eastAsia="宋体" w:hAnsi="Book Antiqua"/>
          <w:kern w:val="2"/>
          <w:lang w:eastAsia="zh-CN"/>
        </w:rPr>
        <w:t xml:space="preserve">appropriate </w:t>
      </w:r>
      <w:r>
        <w:rPr>
          <w:rFonts w:ascii="Book Antiqua" w:eastAsia="宋体" w:hAnsi="Book Antiqua"/>
          <w:kern w:val="2"/>
          <w:lang w:eastAsia="zh-CN"/>
        </w:rPr>
        <w:t>for long-term CMP management than oral formulations</w:t>
      </w:r>
      <w:r>
        <w:rPr>
          <w:rFonts w:ascii="Book Antiqua" w:eastAsia="宋体" w:hAnsi="Book Antiqua"/>
          <w:bCs/>
          <w:kern w:val="2"/>
          <w:vertAlign w:val="superscript"/>
          <w:lang w:eastAsia="zh-CN"/>
        </w:rPr>
        <w:t>[33,37</w:t>
      </w:r>
      <w:r>
        <w:rPr>
          <w:rFonts w:ascii="Book Antiqua" w:eastAsia="宋体" w:hAnsi="Book Antiqua" w:hint="eastAsia"/>
          <w:bCs/>
          <w:kern w:val="2"/>
          <w:vertAlign w:val="superscript"/>
          <w:lang w:eastAsia="zh-CN"/>
        </w:rPr>
        <w:t>,</w:t>
      </w:r>
      <w:r>
        <w:rPr>
          <w:rFonts w:ascii="Book Antiqua" w:eastAsia="宋体" w:hAnsi="Book Antiqua"/>
          <w:bCs/>
          <w:kern w:val="2"/>
          <w:vertAlign w:val="superscript"/>
          <w:lang w:eastAsia="zh-CN"/>
        </w:rPr>
        <w:t>38]</w:t>
      </w:r>
      <w:r>
        <w:rPr>
          <w:rFonts w:ascii="Book Antiqua" w:eastAsia="宋体" w:hAnsi="Book Antiqua"/>
          <w:kern w:val="2"/>
          <w:lang w:eastAsia="zh-CN"/>
        </w:rPr>
        <w:t>.</w:t>
      </w:r>
    </w:p>
    <w:p w14:paraId="49A989EF" w14:textId="77777777" w:rsidR="000F0D29" w:rsidRDefault="000F0D29">
      <w:pPr>
        <w:widowControl w:val="0"/>
        <w:adjustRightInd w:val="0"/>
        <w:snapToGrid w:val="0"/>
        <w:spacing w:line="360" w:lineRule="auto"/>
        <w:jc w:val="both"/>
        <w:rPr>
          <w:rFonts w:ascii="Book Antiqua" w:eastAsia="宋体" w:hAnsi="Book Antiqua"/>
          <w:kern w:val="2"/>
          <w:lang w:eastAsia="zh-CN"/>
        </w:rPr>
      </w:pPr>
    </w:p>
    <w:p w14:paraId="081D79EF" w14:textId="77777777" w:rsidR="000F0D29" w:rsidRDefault="00712A8D">
      <w:pPr>
        <w:widowControl w:val="0"/>
        <w:adjustRightInd w:val="0"/>
        <w:snapToGrid w:val="0"/>
        <w:spacing w:line="360" w:lineRule="auto"/>
        <w:jc w:val="both"/>
        <w:rPr>
          <w:rFonts w:ascii="Book Antiqua" w:eastAsia="宋体" w:hAnsi="Book Antiqua"/>
          <w:b/>
          <w:i/>
          <w:kern w:val="2"/>
          <w:lang w:eastAsia="zh-CN"/>
        </w:rPr>
      </w:pPr>
      <w:r>
        <w:rPr>
          <w:rFonts w:ascii="Book Antiqua" w:eastAsia="宋体" w:hAnsi="Book Antiqua"/>
          <w:b/>
          <w:i/>
          <w:kern w:val="2"/>
          <w:lang w:eastAsia="zh-CN"/>
        </w:rPr>
        <w:t>NSAID preparations</w:t>
      </w:r>
    </w:p>
    <w:p w14:paraId="6DDB6CB6" w14:textId="1DF876D0"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Several CMP-related guidelines and expert consensus have pointed out</w:t>
      </w:r>
      <w:r>
        <w:rPr>
          <w:rFonts w:ascii="Book Antiqua" w:eastAsia="宋体" w:hAnsi="Book Antiqua"/>
          <w:bCs/>
          <w:kern w:val="2"/>
          <w:vertAlign w:val="superscript"/>
          <w:lang w:eastAsia="zh-CN"/>
        </w:rPr>
        <w:t>[33,37-44]</w:t>
      </w:r>
      <w:r>
        <w:rPr>
          <w:rFonts w:ascii="Book Antiqua" w:eastAsia="宋体" w:hAnsi="Book Antiqua"/>
          <w:kern w:val="2"/>
          <w:lang w:eastAsia="zh-CN"/>
        </w:rPr>
        <w:t xml:space="preserve"> that topical NSAIDs have a confirmed analgesic effect and are the most clinically well-documented and prescribed topical analgesics, which can be used as first-line treatment for mild to moderate CMP, either for local short-term treatment or as initial treatment before oral NSAIDs in combination with oral preparations for patients with moderate and severe pain. Topical NSAIDs include ketoprofen, ibuprofen, flurbiprofen, diclofenac, and indomethacin. Different dosage forms have different efficac</w:t>
      </w:r>
      <w:r w:rsidR="00A4405B">
        <w:rPr>
          <w:rFonts w:ascii="Book Antiqua" w:eastAsia="宋体" w:hAnsi="Book Antiqua"/>
          <w:kern w:val="2"/>
          <w:lang w:eastAsia="zh-CN"/>
        </w:rPr>
        <w:t>ies</w:t>
      </w:r>
      <w:r>
        <w:rPr>
          <w:rFonts w:ascii="Book Antiqua" w:eastAsia="宋体" w:hAnsi="Book Antiqua"/>
          <w:kern w:val="2"/>
          <w:lang w:eastAsia="zh-CN"/>
        </w:rPr>
        <w:t>, which mainly depend on the skin permeation characteristics (permeability coefficient), water content, and whether it contributes to the dissolution and migration of active drugs. Generally gels are superior to other dosage forms</w:t>
      </w:r>
      <w:r>
        <w:rPr>
          <w:rFonts w:ascii="Book Antiqua" w:eastAsia="宋体" w:hAnsi="Book Antiqua"/>
          <w:bCs/>
          <w:kern w:val="2"/>
          <w:vertAlign w:val="superscript"/>
          <w:lang w:eastAsia="zh-CN"/>
        </w:rPr>
        <w:t>[45]</w:t>
      </w:r>
      <w:r>
        <w:rPr>
          <w:rFonts w:ascii="Book Antiqua" w:eastAsia="宋体" w:hAnsi="Book Antiqua"/>
          <w:kern w:val="2"/>
          <w:lang w:eastAsia="zh-CN"/>
        </w:rPr>
        <w:t>. Some experts suggest that topical NSAIDs gel is often used in ultrasonic drug penetration therapy, during which it helps local penetration and absorption and improves the efficacy</w:t>
      </w:r>
      <w:r>
        <w:rPr>
          <w:rFonts w:ascii="Book Antiqua" w:eastAsia="宋体" w:hAnsi="Book Antiqua"/>
          <w:bCs/>
          <w:kern w:val="2"/>
          <w:vertAlign w:val="superscript"/>
          <w:lang w:eastAsia="zh-CN"/>
        </w:rPr>
        <w:t>[37]</w:t>
      </w:r>
      <w:r>
        <w:rPr>
          <w:rFonts w:ascii="Book Antiqua" w:eastAsia="宋体" w:hAnsi="Book Antiqua"/>
          <w:kern w:val="2"/>
          <w:lang w:eastAsia="zh-CN"/>
        </w:rPr>
        <w:t xml:space="preserve">. Topical NSAIDs are well tolerated and safe to patients, and common adverse reactions are mild or transient skin irritation reactions (erythema, itching, </w:t>
      </w:r>
      <w:r>
        <w:rPr>
          <w:rFonts w:ascii="Book Antiqua" w:eastAsia="宋体" w:hAnsi="Book Antiqua"/>
          <w:i/>
          <w:kern w:val="2"/>
          <w:lang w:eastAsia="zh-CN"/>
        </w:rPr>
        <w:t>etc</w:t>
      </w:r>
      <w:r w:rsidR="00A7169B">
        <w:rPr>
          <w:rFonts w:ascii="Book Antiqua" w:eastAsia="宋体" w:hAnsi="Book Antiqua"/>
          <w:i/>
          <w:kern w:val="2"/>
          <w:lang w:eastAsia="zh-CN"/>
        </w:rPr>
        <w:t>.</w:t>
      </w:r>
      <w:r>
        <w:rPr>
          <w:rFonts w:ascii="Book Antiqua" w:eastAsia="宋体" w:hAnsi="Book Antiqua"/>
          <w:kern w:val="2"/>
          <w:lang w:eastAsia="zh-CN"/>
        </w:rPr>
        <w:t>) at the application site.</w:t>
      </w:r>
    </w:p>
    <w:p w14:paraId="15E66660" w14:textId="77777777" w:rsidR="000F0D29" w:rsidRDefault="000F0D29">
      <w:pPr>
        <w:widowControl w:val="0"/>
        <w:adjustRightInd w:val="0"/>
        <w:snapToGrid w:val="0"/>
        <w:spacing w:line="360" w:lineRule="auto"/>
        <w:jc w:val="both"/>
        <w:rPr>
          <w:rFonts w:ascii="Book Antiqua" w:eastAsia="宋体" w:hAnsi="Book Antiqua"/>
          <w:kern w:val="2"/>
          <w:lang w:eastAsia="zh-CN"/>
        </w:rPr>
      </w:pPr>
    </w:p>
    <w:p w14:paraId="42F225D9" w14:textId="77777777" w:rsidR="000F0D29" w:rsidRDefault="00712A8D">
      <w:pPr>
        <w:widowControl w:val="0"/>
        <w:adjustRightInd w:val="0"/>
        <w:snapToGrid w:val="0"/>
        <w:spacing w:line="360" w:lineRule="auto"/>
        <w:jc w:val="both"/>
        <w:rPr>
          <w:rFonts w:ascii="Book Antiqua" w:eastAsia="宋体" w:hAnsi="Book Antiqua"/>
          <w:b/>
          <w:i/>
          <w:kern w:val="2"/>
          <w:lang w:eastAsia="zh-CN"/>
        </w:rPr>
      </w:pPr>
      <w:r>
        <w:rPr>
          <w:rFonts w:ascii="Book Antiqua" w:eastAsia="宋体" w:hAnsi="Book Antiqua"/>
          <w:b/>
          <w:i/>
          <w:kern w:val="2"/>
          <w:lang w:eastAsia="zh-CN"/>
        </w:rPr>
        <w:t>Lidocaine preparations</w:t>
      </w:r>
    </w:p>
    <w:p w14:paraId="5EA2DFC7" w14:textId="0189B4EF"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Lidocaine exerts its analgesic effect by blocking peripheral nerve pain receptor-gated sodium channels and </w:t>
      </w:r>
      <w:r w:rsidR="00A4405B">
        <w:rPr>
          <w:rFonts w:ascii="Book Antiqua" w:eastAsia="宋体" w:hAnsi="Book Antiqua"/>
          <w:kern w:val="2"/>
          <w:lang w:eastAsia="zh-CN"/>
        </w:rPr>
        <w:t>can be</w:t>
      </w:r>
      <w:r>
        <w:rPr>
          <w:rFonts w:ascii="Book Antiqua" w:eastAsia="宋体" w:hAnsi="Book Antiqua"/>
          <w:kern w:val="2"/>
          <w:lang w:eastAsia="zh-CN"/>
        </w:rPr>
        <w:t xml:space="preserve"> used to relieves mild to moderate CMP, and concomitant neuropathic pain (especially those with cutaneous hyperalgesia)</w:t>
      </w:r>
      <w:r>
        <w:rPr>
          <w:rFonts w:ascii="Book Antiqua" w:eastAsia="宋体" w:hAnsi="Book Antiqua"/>
          <w:bCs/>
          <w:kern w:val="2"/>
          <w:vertAlign w:val="superscript"/>
          <w:lang w:eastAsia="zh-CN"/>
        </w:rPr>
        <w:t>[33]</w:t>
      </w:r>
      <w:r>
        <w:rPr>
          <w:rFonts w:ascii="Book Antiqua" w:eastAsia="宋体" w:hAnsi="Book Antiqua"/>
          <w:kern w:val="2"/>
          <w:lang w:eastAsia="zh-CN"/>
        </w:rPr>
        <w:t xml:space="preserve">. </w:t>
      </w:r>
      <w:r w:rsidR="00A7169B">
        <w:rPr>
          <w:rFonts w:ascii="Book Antiqua" w:eastAsia="宋体" w:hAnsi="Book Antiqua"/>
          <w:kern w:val="2"/>
          <w:lang w:eastAsia="zh-CN"/>
        </w:rPr>
        <w:t xml:space="preserve"> </w:t>
      </w:r>
      <w:r>
        <w:rPr>
          <w:rFonts w:ascii="Book Antiqua" w:eastAsia="宋体" w:hAnsi="Book Antiqua"/>
          <w:kern w:val="2"/>
          <w:lang w:eastAsia="zh-CN"/>
        </w:rPr>
        <w:t>5% gel plaster and compound ointment are commonly used, and the main adverse reaction is mild to moderate local skin irritation</w:t>
      </w:r>
      <w:r>
        <w:rPr>
          <w:rFonts w:ascii="Book Antiqua" w:eastAsia="宋体" w:hAnsi="Book Antiqua"/>
          <w:bCs/>
          <w:kern w:val="2"/>
          <w:vertAlign w:val="superscript"/>
          <w:lang w:eastAsia="zh-CN"/>
        </w:rPr>
        <w:t>[46]</w:t>
      </w:r>
      <w:r>
        <w:rPr>
          <w:rFonts w:ascii="Book Antiqua" w:eastAsia="宋体" w:hAnsi="Book Antiqua"/>
          <w:kern w:val="2"/>
          <w:lang w:eastAsia="zh-CN"/>
        </w:rPr>
        <w:t>.</w:t>
      </w:r>
    </w:p>
    <w:p w14:paraId="296FCF5A" w14:textId="77777777" w:rsidR="000F0D29" w:rsidRDefault="000F0D29">
      <w:pPr>
        <w:widowControl w:val="0"/>
        <w:adjustRightInd w:val="0"/>
        <w:snapToGrid w:val="0"/>
        <w:spacing w:line="360" w:lineRule="auto"/>
        <w:jc w:val="both"/>
        <w:rPr>
          <w:rFonts w:ascii="Book Antiqua" w:eastAsia="宋体" w:hAnsi="Book Antiqua"/>
          <w:kern w:val="2"/>
          <w:lang w:eastAsia="zh-CN"/>
        </w:rPr>
      </w:pPr>
    </w:p>
    <w:p w14:paraId="4172856A" w14:textId="77777777" w:rsidR="000F0D29" w:rsidRDefault="00712A8D">
      <w:pPr>
        <w:widowControl w:val="0"/>
        <w:adjustRightInd w:val="0"/>
        <w:snapToGrid w:val="0"/>
        <w:spacing w:line="360" w:lineRule="auto"/>
        <w:jc w:val="both"/>
        <w:rPr>
          <w:rFonts w:ascii="Book Antiqua" w:eastAsia="宋体" w:hAnsi="Book Antiqua"/>
          <w:b/>
          <w:i/>
          <w:kern w:val="2"/>
          <w:lang w:eastAsia="zh-CN"/>
        </w:rPr>
      </w:pPr>
      <w:r>
        <w:rPr>
          <w:rFonts w:ascii="Book Antiqua" w:eastAsia="宋体" w:hAnsi="Book Antiqua"/>
          <w:b/>
          <w:i/>
          <w:kern w:val="2"/>
          <w:lang w:eastAsia="zh-CN"/>
        </w:rPr>
        <w:t>Capsaicin preparations</w:t>
      </w:r>
    </w:p>
    <w:p w14:paraId="6175058D" w14:textId="77777777"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Topical capsaicin acts on peripheral nerve axons, reducing the synthesis and release of substance P to produce analgesic and antipruritic effects. It is capable of effectively relieving neuropathic and OA pain</w:t>
      </w:r>
      <w:r>
        <w:rPr>
          <w:rFonts w:ascii="Book Antiqua" w:eastAsia="宋体" w:hAnsi="Book Antiqua"/>
          <w:bCs/>
          <w:kern w:val="2"/>
          <w:vertAlign w:val="superscript"/>
          <w:lang w:eastAsia="zh-CN"/>
        </w:rPr>
        <w:t>[47]</w:t>
      </w:r>
      <w:r>
        <w:rPr>
          <w:rFonts w:ascii="Book Antiqua" w:eastAsia="宋体" w:hAnsi="Book Antiqua"/>
          <w:kern w:val="2"/>
          <w:lang w:eastAsia="zh-CN"/>
        </w:rPr>
        <w:t>. Patches and ointments are commonly used.</w:t>
      </w:r>
    </w:p>
    <w:p w14:paraId="6162EE74" w14:textId="77777777" w:rsidR="000F0D29" w:rsidRDefault="000F0D29">
      <w:pPr>
        <w:widowControl w:val="0"/>
        <w:adjustRightInd w:val="0"/>
        <w:snapToGrid w:val="0"/>
        <w:spacing w:line="360" w:lineRule="auto"/>
        <w:jc w:val="both"/>
        <w:rPr>
          <w:rFonts w:ascii="Book Antiqua" w:eastAsia="宋体" w:hAnsi="Book Antiqua"/>
          <w:kern w:val="2"/>
          <w:lang w:eastAsia="zh-CN"/>
        </w:rPr>
      </w:pPr>
    </w:p>
    <w:p w14:paraId="2B62B820" w14:textId="77777777" w:rsidR="000F0D29" w:rsidRDefault="00712A8D">
      <w:pPr>
        <w:widowControl w:val="0"/>
        <w:adjustRightInd w:val="0"/>
        <w:snapToGrid w:val="0"/>
        <w:spacing w:line="360" w:lineRule="auto"/>
        <w:jc w:val="both"/>
        <w:rPr>
          <w:rFonts w:ascii="Book Antiqua" w:eastAsia="宋体" w:hAnsi="Book Antiqua"/>
          <w:b/>
          <w:i/>
          <w:kern w:val="2"/>
          <w:lang w:eastAsia="zh-CN"/>
        </w:rPr>
      </w:pPr>
      <w:r>
        <w:rPr>
          <w:rFonts w:ascii="Book Antiqua" w:eastAsia="宋体" w:hAnsi="Book Antiqua"/>
          <w:b/>
          <w:i/>
          <w:kern w:val="2"/>
          <w:lang w:eastAsia="zh-CN"/>
        </w:rPr>
        <w:t>TCMs</w:t>
      </w:r>
    </w:p>
    <w:p w14:paraId="053E7141" w14:textId="77777777"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Yunnan Baiyao (ointment, aerosol), Qingpeng ointment, Qizheng Xiaotong plaster and other topical Chinese patent medicines commonly used in clinical practice have certain effects of improving microcirculation and analgesia, but high-quality evidence are needed to support the mechanism of action and long-term efficacy.</w:t>
      </w:r>
    </w:p>
    <w:p w14:paraId="478B84FB" w14:textId="77777777" w:rsidR="000F0D29" w:rsidRDefault="000F0D29">
      <w:pPr>
        <w:widowControl w:val="0"/>
        <w:adjustRightInd w:val="0"/>
        <w:snapToGrid w:val="0"/>
        <w:spacing w:line="360" w:lineRule="auto"/>
        <w:jc w:val="both"/>
        <w:rPr>
          <w:rFonts w:ascii="Book Antiqua" w:eastAsia="宋体" w:hAnsi="Book Antiqua"/>
          <w:kern w:val="2"/>
          <w:lang w:eastAsia="zh-CN"/>
        </w:rPr>
      </w:pPr>
    </w:p>
    <w:p w14:paraId="4E797E21" w14:textId="77777777" w:rsidR="000F0D29" w:rsidRDefault="00712A8D">
      <w:pPr>
        <w:widowControl w:val="0"/>
        <w:adjustRightInd w:val="0"/>
        <w:snapToGrid w:val="0"/>
        <w:spacing w:line="360" w:lineRule="auto"/>
        <w:jc w:val="both"/>
        <w:rPr>
          <w:rFonts w:ascii="Book Antiqua" w:eastAsia="宋体" w:hAnsi="Book Antiqua"/>
          <w:kern w:val="2"/>
          <w:u w:val="single"/>
          <w:lang w:eastAsia="zh-CN"/>
        </w:rPr>
      </w:pPr>
      <w:r>
        <w:rPr>
          <w:rFonts w:ascii="Book Antiqua" w:eastAsia="宋体" w:hAnsi="Book Antiqua"/>
          <w:b/>
          <w:bCs/>
          <w:kern w:val="2"/>
          <w:u w:val="single"/>
          <w:lang w:eastAsia="zh-CN"/>
        </w:rPr>
        <w:t>OTHERS</w:t>
      </w:r>
      <w:r>
        <w:rPr>
          <w:rFonts w:ascii="Book Antiqua" w:eastAsia="宋体" w:hAnsi="Book Antiqua"/>
          <w:kern w:val="2"/>
          <w:u w:val="single"/>
          <w:lang w:eastAsia="zh-CN"/>
        </w:rPr>
        <w:t xml:space="preserve"> </w:t>
      </w:r>
    </w:p>
    <w:p w14:paraId="25E895E0" w14:textId="504363C6" w:rsidR="000F0D29" w:rsidRDefault="00712A8D">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Other medications used to treat CMP include: </w:t>
      </w:r>
      <w:r>
        <w:rPr>
          <w:rFonts w:ascii="Book Antiqua" w:eastAsia="宋体" w:hAnsi="Book Antiqua" w:hint="eastAsia"/>
          <w:kern w:val="2"/>
          <w:lang w:eastAsia="zh-CN"/>
        </w:rPr>
        <w:t>(</w:t>
      </w:r>
      <w:r>
        <w:rPr>
          <w:rFonts w:ascii="Book Antiqua" w:eastAsia="宋体" w:hAnsi="Book Antiqua"/>
          <w:kern w:val="2"/>
          <w:lang w:eastAsia="zh-CN"/>
        </w:rPr>
        <w:t>1) Anti-osteoporosis drugs bisphosphonates</w:t>
      </w:r>
      <w:r>
        <w:rPr>
          <w:rFonts w:ascii="Book Antiqua" w:eastAsia="宋体" w:hAnsi="Book Antiqua"/>
          <w:bCs/>
          <w:kern w:val="2"/>
          <w:vertAlign w:val="superscript"/>
          <w:lang w:eastAsia="zh-CN"/>
        </w:rPr>
        <w:t>[48]</w:t>
      </w:r>
      <w:r>
        <w:rPr>
          <w:rFonts w:ascii="Book Antiqua" w:eastAsia="宋体" w:hAnsi="Book Antiqua" w:hint="eastAsia"/>
          <w:kern w:val="2"/>
          <w:lang w:eastAsia="zh-CN"/>
        </w:rPr>
        <w:t>;</w:t>
      </w:r>
      <w:r>
        <w:rPr>
          <w:rFonts w:ascii="Book Antiqua" w:eastAsia="宋体" w:hAnsi="Book Antiqua"/>
          <w:kern w:val="2"/>
          <w:lang w:eastAsia="zh-CN"/>
        </w:rPr>
        <w:t xml:space="preserve"> </w:t>
      </w:r>
      <w:r>
        <w:rPr>
          <w:rFonts w:ascii="Book Antiqua" w:eastAsia="宋体" w:hAnsi="Book Antiqua" w:hint="eastAsia"/>
          <w:kern w:val="2"/>
          <w:lang w:eastAsia="zh-CN"/>
        </w:rPr>
        <w:t>(</w:t>
      </w:r>
      <w:r>
        <w:rPr>
          <w:rFonts w:ascii="Book Antiqua" w:eastAsia="宋体" w:hAnsi="Book Antiqua"/>
          <w:kern w:val="2"/>
          <w:lang w:eastAsia="zh-CN"/>
        </w:rPr>
        <w:t>2) Biologics such as TNF-α antagonists, IL-1 antagonists, CD20 monoclonal antibodies, and cytotoxic T cell activation antigen-4 antibodies can be used for CMP treatment caused by rheumatoid arthritis and ankylosing spondylitis</w:t>
      </w:r>
      <w:r>
        <w:rPr>
          <w:rFonts w:ascii="Book Antiqua" w:eastAsia="宋体" w:hAnsi="Book Antiqua"/>
          <w:bCs/>
          <w:kern w:val="2"/>
          <w:vertAlign w:val="superscript"/>
          <w:lang w:eastAsia="zh-CN"/>
        </w:rPr>
        <w:t>[49]</w:t>
      </w:r>
      <w:r>
        <w:rPr>
          <w:rFonts w:ascii="Book Antiqua" w:eastAsia="宋体" w:hAnsi="Book Antiqua" w:hint="eastAsia"/>
          <w:kern w:val="2"/>
          <w:lang w:eastAsia="zh-CN"/>
        </w:rPr>
        <w:t>;</w:t>
      </w:r>
      <w:r>
        <w:rPr>
          <w:rFonts w:ascii="Book Antiqua" w:eastAsia="宋体" w:hAnsi="Book Antiqua"/>
          <w:kern w:val="2"/>
          <w:lang w:eastAsia="zh-CN"/>
        </w:rPr>
        <w:t xml:space="preserve"> </w:t>
      </w:r>
      <w:r>
        <w:rPr>
          <w:rFonts w:ascii="Book Antiqua" w:eastAsia="宋体" w:hAnsi="Book Antiqua" w:hint="eastAsia"/>
          <w:kern w:val="2"/>
          <w:lang w:eastAsia="zh-CN"/>
        </w:rPr>
        <w:t>(</w:t>
      </w:r>
      <w:r>
        <w:rPr>
          <w:rFonts w:ascii="Book Antiqua" w:eastAsia="宋体" w:hAnsi="Book Antiqua"/>
          <w:kern w:val="2"/>
          <w:lang w:eastAsia="zh-CN"/>
        </w:rPr>
        <w:t>3) Recent studies have</w:t>
      </w:r>
      <w:r w:rsidR="00A64400">
        <w:rPr>
          <w:rFonts w:ascii="Book Antiqua" w:eastAsia="宋体" w:hAnsi="Book Antiqua"/>
          <w:kern w:val="2"/>
          <w:lang w:eastAsia="zh-CN"/>
        </w:rPr>
        <w:t xml:space="preserve"> shown that nerve growth factor</w:t>
      </w:r>
      <w:r>
        <w:rPr>
          <w:rFonts w:ascii="Book Antiqua" w:eastAsia="宋体" w:hAnsi="Book Antiqua"/>
          <w:kern w:val="2"/>
          <w:lang w:eastAsia="zh-CN"/>
        </w:rPr>
        <w:t xml:space="preserve"> may benefit CMP patients</w:t>
      </w:r>
      <w:r>
        <w:rPr>
          <w:rFonts w:ascii="Book Antiqua" w:eastAsia="宋体" w:hAnsi="Book Antiqua"/>
          <w:bCs/>
          <w:kern w:val="2"/>
          <w:vertAlign w:val="superscript"/>
          <w:lang w:eastAsia="zh-CN"/>
        </w:rPr>
        <w:t>[50]</w:t>
      </w:r>
      <w:r>
        <w:rPr>
          <w:rFonts w:ascii="Book Antiqua" w:eastAsia="宋体" w:hAnsi="Book Antiqua" w:hint="eastAsia"/>
          <w:kern w:val="2"/>
          <w:lang w:eastAsia="zh-CN"/>
        </w:rPr>
        <w:t>;</w:t>
      </w:r>
      <w:r>
        <w:rPr>
          <w:rFonts w:ascii="Book Antiqua" w:eastAsia="宋体" w:hAnsi="Book Antiqua"/>
          <w:kern w:val="2"/>
          <w:lang w:eastAsia="zh-CN"/>
        </w:rPr>
        <w:t xml:space="preserve"> </w:t>
      </w:r>
      <w:r w:rsidR="005D6FBB">
        <w:rPr>
          <w:rFonts w:ascii="Book Antiqua" w:eastAsia="宋体" w:hAnsi="Book Antiqua" w:hint="eastAsia"/>
          <w:kern w:val="2"/>
          <w:lang w:eastAsia="zh-CN"/>
        </w:rPr>
        <w:t xml:space="preserve">and </w:t>
      </w:r>
      <w:r>
        <w:rPr>
          <w:rFonts w:ascii="Book Antiqua" w:eastAsia="宋体" w:hAnsi="Book Antiqua" w:hint="eastAsia"/>
          <w:kern w:val="2"/>
          <w:lang w:eastAsia="zh-CN"/>
        </w:rPr>
        <w:t>(</w:t>
      </w:r>
      <w:r>
        <w:rPr>
          <w:rFonts w:ascii="Book Antiqua" w:eastAsia="宋体" w:hAnsi="Book Antiqua"/>
          <w:kern w:val="2"/>
          <w:lang w:eastAsia="zh-CN"/>
        </w:rPr>
        <w:t xml:space="preserve">4) </w:t>
      </w:r>
      <w:r>
        <w:rPr>
          <w:rFonts w:ascii="Book Antiqua" w:eastAsia="宋体" w:hAnsi="Book Antiqua" w:hint="eastAsia"/>
          <w:kern w:val="2"/>
          <w:lang w:eastAsia="zh-CN"/>
        </w:rPr>
        <w:t>TCM</w:t>
      </w:r>
      <w:r>
        <w:rPr>
          <w:rFonts w:ascii="Book Antiqua" w:eastAsia="宋体" w:hAnsi="Book Antiqua"/>
          <w:kern w:val="2"/>
          <w:lang w:eastAsia="zh-CN"/>
        </w:rPr>
        <w:t xml:space="preserve"> (drug and therapy) for CMP is also widely used in clinical practice.</w:t>
      </w:r>
    </w:p>
    <w:p w14:paraId="66CA7CB4" w14:textId="77777777" w:rsidR="000F0D29" w:rsidRDefault="000F0D29">
      <w:pPr>
        <w:spacing w:line="360" w:lineRule="auto"/>
        <w:jc w:val="both"/>
        <w:rPr>
          <w:lang w:eastAsia="zh-CN"/>
        </w:rPr>
      </w:pPr>
    </w:p>
    <w:p w14:paraId="011EE66D" w14:textId="77777777" w:rsidR="000F0D29" w:rsidRDefault="00712A8D">
      <w:pPr>
        <w:spacing w:line="360" w:lineRule="auto"/>
        <w:jc w:val="both"/>
      </w:pPr>
      <w:r>
        <w:rPr>
          <w:rFonts w:ascii="Book Antiqua" w:eastAsia="Book Antiqua" w:hAnsi="Book Antiqua" w:cs="Book Antiqua"/>
          <w:b/>
          <w:caps/>
          <w:color w:val="000000"/>
          <w:u w:val="single"/>
        </w:rPr>
        <w:t>CONCLUSION</w:t>
      </w:r>
    </w:p>
    <w:p w14:paraId="197A9FB1" w14:textId="77777777" w:rsidR="000F0D29" w:rsidRDefault="00712A8D">
      <w:pPr>
        <w:spacing w:line="360" w:lineRule="auto"/>
        <w:jc w:val="both"/>
      </w:pPr>
      <w:r>
        <w:rPr>
          <w:rFonts w:ascii="Book Antiqua" w:eastAsia="Book Antiqua" w:hAnsi="Book Antiqua" w:cs="Book Antiqua"/>
          <w:color w:val="000000"/>
        </w:rPr>
        <w:t>CMP refers to persistent or recurrent pain in muscles, tendons, bones, and related soft tissues. The pathogenesis of CMP is complex, and its development involves a variety of factors, including tissue degeneration, traumatic, immune, metabolic, neurological, psychiatric and affective factors.</w:t>
      </w:r>
    </w:p>
    <w:p w14:paraId="104D16B5" w14:textId="77777777" w:rsidR="000F0D29" w:rsidRDefault="00712A8D">
      <w:pPr>
        <w:spacing w:line="360" w:lineRule="auto"/>
        <w:ind w:firstLineChars="100" w:firstLine="240"/>
        <w:jc w:val="both"/>
      </w:pPr>
      <w:r>
        <w:rPr>
          <w:rFonts w:ascii="Book Antiqua" w:eastAsia="Book Antiqua" w:hAnsi="Book Antiqua" w:cs="Book Antiqua"/>
          <w:color w:val="000000"/>
        </w:rPr>
        <w:t xml:space="preserve">Pharmacological treatments are the basic treatment component for CMP, and the commonly used non-opioid pharmacological treatments are NSAIDs and muscle relaxants. Recently, the indication for the treatment of CMP has been approved for the antidepressant drug duloxetine, which is considered to be a new option for CMP management. Drugs targeted on ion channels should be considered for CMP with neuropathic pain. </w:t>
      </w:r>
    </w:p>
    <w:p w14:paraId="786CCEB7" w14:textId="77777777" w:rsidR="000F0D29" w:rsidRDefault="00712A8D">
      <w:pPr>
        <w:spacing w:line="360" w:lineRule="auto"/>
        <w:ind w:firstLineChars="100" w:firstLine="240"/>
        <w:jc w:val="both"/>
      </w:pPr>
      <w:r>
        <w:rPr>
          <w:rFonts w:ascii="Book Antiqua" w:eastAsia="Book Antiqua" w:hAnsi="Book Antiqua" w:cs="Book Antiqua"/>
          <w:color w:val="000000"/>
        </w:rPr>
        <w:t>In the clinical management of CMP with non-opioid drugs, the approved label indications and adverse reactions should be carefully considered before prescription. The goal is to balance the effectiveness and risk of the drugs, maximize the therapeutic effect while avoiding the adverse reactions. The pharmacological combination treatment should be designed with prudence to increase the clinical effects, and reduce the dose of individual drugs as well as potential adverse reactions.</w:t>
      </w:r>
    </w:p>
    <w:p w14:paraId="01434A71" w14:textId="77777777" w:rsidR="000F0D29" w:rsidRDefault="000F0D29">
      <w:pPr>
        <w:spacing w:line="360" w:lineRule="auto"/>
        <w:jc w:val="both"/>
      </w:pPr>
    </w:p>
    <w:p w14:paraId="0D8B87FA" w14:textId="77777777" w:rsidR="000F0D29" w:rsidRDefault="00712A8D">
      <w:pPr>
        <w:adjustRightInd w:val="0"/>
        <w:snapToGrid w:val="0"/>
        <w:spacing w:line="360" w:lineRule="auto"/>
        <w:jc w:val="both"/>
        <w:rPr>
          <w:rFonts w:ascii="Book Antiqua" w:hAnsi="Book Antiqua"/>
        </w:rPr>
      </w:pPr>
      <w:r>
        <w:rPr>
          <w:rFonts w:ascii="Book Antiqua" w:eastAsia="Book Antiqua" w:hAnsi="Book Antiqua" w:cs="Book Antiqua"/>
          <w:b/>
        </w:rPr>
        <w:t>REFERENCES</w:t>
      </w:r>
    </w:p>
    <w:p w14:paraId="3CEC3AC4"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bookmarkStart w:id="8" w:name="OLE_LINK2569"/>
      <w:bookmarkStart w:id="9" w:name="OLE_LINK18"/>
      <w:r>
        <w:rPr>
          <w:rFonts w:ascii="Book Antiqua" w:hAnsi="Book Antiqua"/>
        </w:rPr>
        <w:t>1 </w:t>
      </w:r>
      <w:r>
        <w:rPr>
          <w:rFonts w:ascii="Book Antiqua" w:hAnsi="Book Antiqua"/>
          <w:b/>
          <w:bCs/>
        </w:rPr>
        <w:t>Crofford LJ</w:t>
      </w:r>
      <w:r>
        <w:rPr>
          <w:rFonts w:ascii="Book Antiqua" w:hAnsi="Book Antiqua"/>
        </w:rPr>
        <w:t>. Chronic Pain: Where the Body Meets the Brain. </w:t>
      </w:r>
      <w:r>
        <w:rPr>
          <w:rFonts w:ascii="Book Antiqua" w:hAnsi="Book Antiqua"/>
          <w:i/>
          <w:iCs/>
        </w:rPr>
        <w:t>Trans Am Clin Climatol Assoc</w:t>
      </w:r>
      <w:r>
        <w:rPr>
          <w:rFonts w:ascii="Book Antiqua" w:hAnsi="Book Antiqua"/>
        </w:rPr>
        <w:t> 2015; </w:t>
      </w:r>
      <w:r>
        <w:rPr>
          <w:rFonts w:ascii="Book Antiqua" w:hAnsi="Book Antiqua"/>
          <w:b/>
          <w:bCs/>
        </w:rPr>
        <w:t>126</w:t>
      </w:r>
      <w:r>
        <w:rPr>
          <w:rFonts w:ascii="Book Antiqua" w:hAnsi="Book Antiqua"/>
        </w:rPr>
        <w:t>: 167-183 [PMID: 26330672]</w:t>
      </w:r>
    </w:p>
    <w:p w14:paraId="4D975857"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r>
        <w:rPr>
          <w:rFonts w:ascii="Book Antiqua" w:hAnsi="Book Antiqua"/>
          <w:b/>
          <w:bCs/>
        </w:rPr>
        <w:t>Buscemi V</w:t>
      </w:r>
      <w:r>
        <w:rPr>
          <w:rFonts w:ascii="Book Antiqua" w:hAnsi="Book Antiqua"/>
        </w:rPr>
        <w:t>, Chang WJ, Liston MB, McAuley JH, Schabrun S. The role of psychosocial stress in the development of chronic musculoskeletal pain disorders: protocol for a systematic review and meta-analysis. </w:t>
      </w:r>
      <w:r>
        <w:rPr>
          <w:rFonts w:ascii="Book Antiqua" w:hAnsi="Book Antiqua"/>
          <w:i/>
          <w:iCs/>
        </w:rPr>
        <w:t>Syst Rev</w:t>
      </w:r>
      <w:r>
        <w:rPr>
          <w:rFonts w:ascii="Book Antiqua" w:hAnsi="Book Antiqua"/>
        </w:rPr>
        <w:t> 2017; </w:t>
      </w:r>
      <w:r>
        <w:rPr>
          <w:rFonts w:ascii="Book Antiqua" w:hAnsi="Book Antiqua"/>
          <w:b/>
          <w:bCs/>
        </w:rPr>
        <w:t>6</w:t>
      </w:r>
      <w:r>
        <w:rPr>
          <w:rFonts w:ascii="Book Antiqua" w:hAnsi="Book Antiqua"/>
        </w:rPr>
        <w:t>: 224 [PMID: 29100499 DOI: 10.1186/s13643-017-0618-0]</w:t>
      </w:r>
    </w:p>
    <w:p w14:paraId="4224EFC0"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Clauw DJ</w:t>
      </w:r>
      <w:r>
        <w:rPr>
          <w:rFonts w:ascii="Book Antiqua" w:hAnsi="Book Antiqua"/>
        </w:rPr>
        <w:t>. Diagnosing and treating chronic musculoskeletal pain based on the underlying mechanism(s). </w:t>
      </w:r>
      <w:r>
        <w:rPr>
          <w:rFonts w:ascii="Book Antiqua" w:hAnsi="Book Antiqua"/>
          <w:i/>
          <w:iCs/>
        </w:rPr>
        <w:t>Best Pract Res Clin Rheumatol</w:t>
      </w:r>
      <w:r>
        <w:rPr>
          <w:rFonts w:ascii="Book Antiqua" w:hAnsi="Book Antiqua"/>
        </w:rPr>
        <w:t> 2015; </w:t>
      </w:r>
      <w:r>
        <w:rPr>
          <w:rFonts w:ascii="Book Antiqua" w:hAnsi="Book Antiqua"/>
          <w:b/>
          <w:bCs/>
        </w:rPr>
        <w:t>29</w:t>
      </w:r>
      <w:r>
        <w:rPr>
          <w:rFonts w:ascii="Book Antiqua" w:hAnsi="Book Antiqua"/>
        </w:rPr>
        <w:t>: 6-19 [PMID: 26266995 DOI: 10.1016/j.berh.2015.04.024]</w:t>
      </w:r>
    </w:p>
    <w:p w14:paraId="1E0E730A"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Uçeyler N</w:t>
      </w:r>
      <w:r>
        <w:rPr>
          <w:rFonts w:ascii="Book Antiqua" w:hAnsi="Book Antiqua"/>
        </w:rPr>
        <w:t>, Häuser W, Sommer C. Systematic review with meta-analysis: cytokines in fibromyalgia syndrome. </w:t>
      </w:r>
      <w:r>
        <w:rPr>
          <w:rFonts w:ascii="Book Antiqua" w:hAnsi="Book Antiqua"/>
          <w:i/>
          <w:iCs/>
        </w:rPr>
        <w:t>BMC Musculoskelet Disord</w:t>
      </w:r>
      <w:r>
        <w:rPr>
          <w:rFonts w:ascii="Book Antiqua" w:hAnsi="Book Antiqua"/>
        </w:rPr>
        <w:t> 2011; </w:t>
      </w:r>
      <w:r>
        <w:rPr>
          <w:rFonts w:ascii="Book Antiqua" w:hAnsi="Book Antiqua"/>
          <w:b/>
          <w:bCs/>
        </w:rPr>
        <w:t>12</w:t>
      </w:r>
      <w:r>
        <w:rPr>
          <w:rFonts w:ascii="Book Antiqua" w:hAnsi="Book Antiqua"/>
        </w:rPr>
        <w:t>: 245 [PMID: 22034969 DOI: 10.1186/1471-2474-12-245]</w:t>
      </w:r>
    </w:p>
    <w:p w14:paraId="2B601BC1"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r>
        <w:rPr>
          <w:rFonts w:ascii="Book Antiqua" w:hAnsi="Book Antiqua"/>
          <w:b/>
          <w:bCs/>
        </w:rPr>
        <w:t>Generaal E</w:t>
      </w:r>
      <w:r>
        <w:rPr>
          <w:rFonts w:ascii="Book Antiqua" w:hAnsi="Book Antiqua"/>
        </w:rPr>
        <w:t>, Vogelzangs N, Macfarlane GJ, Geenen R, Smit JH, Dekker J, Penninx BWJH. Basal inflammation and innate immune response in chronic multisite musculoskeletal pain. </w:t>
      </w:r>
      <w:r>
        <w:rPr>
          <w:rFonts w:ascii="Book Antiqua" w:hAnsi="Book Antiqua"/>
          <w:i/>
          <w:iCs/>
        </w:rPr>
        <w:t>Pain</w:t>
      </w:r>
      <w:r>
        <w:rPr>
          <w:rFonts w:ascii="Book Antiqua" w:hAnsi="Book Antiqua"/>
        </w:rPr>
        <w:t> 2014; </w:t>
      </w:r>
      <w:r>
        <w:rPr>
          <w:rFonts w:ascii="Book Antiqua" w:hAnsi="Book Antiqua"/>
          <w:b/>
          <w:bCs/>
        </w:rPr>
        <w:t>155</w:t>
      </w:r>
      <w:r>
        <w:rPr>
          <w:rFonts w:ascii="Book Antiqua" w:hAnsi="Book Antiqua"/>
        </w:rPr>
        <w:t>: 1605-1612 [PMID: 24813297 DOI: 10.1016/j.pain.2014.05.007]</w:t>
      </w:r>
    </w:p>
    <w:p w14:paraId="21157BC7"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r>
        <w:rPr>
          <w:rFonts w:ascii="Book Antiqua" w:hAnsi="Book Antiqua"/>
          <w:b/>
          <w:bCs/>
        </w:rPr>
        <w:t>Suzuki M</w:t>
      </w:r>
      <w:r>
        <w:rPr>
          <w:rFonts w:ascii="Book Antiqua" w:hAnsi="Book Antiqua"/>
        </w:rPr>
        <w:t>, Millecamps M, Naso L, Ohtori S, Mori C, Stone LS. Chronic Osteoporotic Pain in Mice: Cutaneous and Deep Musculoskeletal Pain Are Partially Independent of Bone Resorption and Differentially Sensitive to Pharmacological Interventions. </w:t>
      </w:r>
      <w:r>
        <w:rPr>
          <w:rFonts w:ascii="Book Antiqua" w:hAnsi="Book Antiqua"/>
          <w:i/>
          <w:iCs/>
        </w:rPr>
        <w:t>J Osteoporos</w:t>
      </w:r>
      <w:r>
        <w:rPr>
          <w:rFonts w:ascii="Book Antiqua" w:hAnsi="Book Antiqua"/>
        </w:rPr>
        <w:t> 2017; </w:t>
      </w:r>
      <w:r>
        <w:rPr>
          <w:rFonts w:ascii="Book Antiqua" w:hAnsi="Book Antiqua"/>
          <w:b/>
          <w:bCs/>
        </w:rPr>
        <w:t>2017</w:t>
      </w:r>
      <w:r>
        <w:rPr>
          <w:rFonts w:ascii="Book Antiqua" w:hAnsi="Book Antiqua"/>
        </w:rPr>
        <w:t>: 7582716 [PMID: 28299231 DOI: 10.1155/2017/7582716]</w:t>
      </w:r>
    </w:p>
    <w:p w14:paraId="503A51C4"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Smart KM</w:t>
      </w:r>
      <w:r>
        <w:rPr>
          <w:rFonts w:ascii="Book Antiqua" w:hAnsi="Book Antiqua"/>
        </w:rPr>
        <w:t>, Blake C, Staines A, Thacker M, Doody C. Mechanisms-based classifications of musculoskeletal pain: part 1 of 3: symptoms and signs of central sensitisation in patients with low back (± leg) pain. </w:t>
      </w:r>
      <w:r>
        <w:rPr>
          <w:rFonts w:ascii="Book Antiqua" w:hAnsi="Book Antiqua"/>
          <w:i/>
          <w:iCs/>
        </w:rPr>
        <w:t>Man Ther</w:t>
      </w:r>
      <w:r>
        <w:rPr>
          <w:rFonts w:ascii="Book Antiqua" w:hAnsi="Book Antiqua"/>
        </w:rPr>
        <w:t> 2012; </w:t>
      </w:r>
      <w:r>
        <w:rPr>
          <w:rFonts w:ascii="Book Antiqua" w:hAnsi="Book Antiqua"/>
          <w:b/>
          <w:bCs/>
        </w:rPr>
        <w:t>17</w:t>
      </w:r>
      <w:r>
        <w:rPr>
          <w:rFonts w:ascii="Book Antiqua" w:hAnsi="Book Antiqua"/>
        </w:rPr>
        <w:t>: 336-344 [PMID: 22534654 DOI: 10.1016/j.math.2012.03.013]</w:t>
      </w:r>
    </w:p>
    <w:p w14:paraId="685FA930"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r>
        <w:rPr>
          <w:rFonts w:ascii="Book Antiqua" w:hAnsi="Book Antiqua"/>
          <w:b/>
          <w:bCs/>
        </w:rPr>
        <w:t>Nijs J</w:t>
      </w:r>
      <w:r>
        <w:rPr>
          <w:rFonts w:ascii="Book Antiqua" w:hAnsi="Book Antiqua"/>
        </w:rPr>
        <w:t>, Van Houdenhove B. From acute musculoskeletal pain to chronic widespread pain and fibromyalgia: application of pain neurophysiology in manual therapy practice. </w:t>
      </w:r>
      <w:r>
        <w:rPr>
          <w:rFonts w:ascii="Book Antiqua" w:hAnsi="Book Antiqua"/>
          <w:i/>
          <w:iCs/>
        </w:rPr>
        <w:t>Man Ther</w:t>
      </w:r>
      <w:r>
        <w:rPr>
          <w:rFonts w:ascii="Book Antiqua" w:hAnsi="Book Antiqua"/>
        </w:rPr>
        <w:t> 2009; </w:t>
      </w:r>
      <w:r>
        <w:rPr>
          <w:rFonts w:ascii="Book Antiqua" w:hAnsi="Book Antiqua"/>
          <w:b/>
          <w:bCs/>
        </w:rPr>
        <w:t>14</w:t>
      </w:r>
      <w:r>
        <w:rPr>
          <w:rFonts w:ascii="Book Antiqua" w:hAnsi="Book Antiqua"/>
        </w:rPr>
        <w:t>: 3-12 [PMID: 18511329 DOI: 10.1016/j.math.2008.03.001]</w:t>
      </w:r>
    </w:p>
    <w:p w14:paraId="38EA803D"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r>
        <w:rPr>
          <w:rFonts w:ascii="Book Antiqua" w:hAnsi="Book Antiqua"/>
          <w:b/>
          <w:bCs/>
        </w:rPr>
        <w:t>Vane JR</w:t>
      </w:r>
      <w:r>
        <w:rPr>
          <w:rFonts w:ascii="Book Antiqua" w:hAnsi="Book Antiqua"/>
        </w:rPr>
        <w:t>, Botting RM. Mechanism of action of nonsteroidal anti-inflammatory drugs. </w:t>
      </w:r>
      <w:r>
        <w:rPr>
          <w:rFonts w:ascii="Book Antiqua" w:hAnsi="Book Antiqua"/>
          <w:i/>
          <w:iCs/>
        </w:rPr>
        <w:t>Am J Med</w:t>
      </w:r>
      <w:r>
        <w:rPr>
          <w:rFonts w:ascii="Book Antiqua" w:hAnsi="Book Antiqua"/>
        </w:rPr>
        <w:t> 1998; </w:t>
      </w:r>
      <w:r>
        <w:rPr>
          <w:rFonts w:ascii="Book Antiqua" w:hAnsi="Book Antiqua"/>
          <w:b/>
          <w:bCs/>
        </w:rPr>
        <w:t>104</w:t>
      </w:r>
      <w:r>
        <w:rPr>
          <w:rFonts w:ascii="Book Antiqua" w:hAnsi="Book Antiqua"/>
        </w:rPr>
        <w:t>: 2S-8S; discussion 21S-22S [PMID: 9572314 DOI: 10.1016/s0002-9343(97)00203-9]</w:t>
      </w:r>
    </w:p>
    <w:p w14:paraId="174669EC"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10 </w:t>
      </w:r>
      <w:r>
        <w:rPr>
          <w:rFonts w:ascii="Book Antiqua" w:hAnsi="Book Antiqua"/>
          <w:b/>
          <w:bCs/>
        </w:rPr>
        <w:t>Harirforoosh S</w:t>
      </w:r>
      <w:r>
        <w:rPr>
          <w:rFonts w:ascii="Book Antiqua" w:hAnsi="Book Antiqua"/>
        </w:rPr>
        <w:t>, Asghar W, Jamali F. Adverse effects of nonsteroidal antiinflammatory drugs: an update of gastrointestinal, cardiovascular and renal complications. </w:t>
      </w:r>
      <w:r>
        <w:rPr>
          <w:rFonts w:ascii="Book Antiqua" w:hAnsi="Book Antiqua"/>
          <w:i/>
          <w:iCs/>
        </w:rPr>
        <w:t>J Pharm Pharm Sci</w:t>
      </w:r>
      <w:r>
        <w:rPr>
          <w:rFonts w:ascii="Book Antiqua" w:hAnsi="Book Antiqua"/>
        </w:rPr>
        <w:t> 2013; </w:t>
      </w:r>
      <w:r>
        <w:rPr>
          <w:rFonts w:ascii="Book Antiqua" w:hAnsi="Book Antiqua"/>
          <w:b/>
          <w:bCs/>
        </w:rPr>
        <w:t>16</w:t>
      </w:r>
      <w:r>
        <w:rPr>
          <w:rFonts w:ascii="Book Antiqua" w:hAnsi="Book Antiqua"/>
        </w:rPr>
        <w:t>: 821-847 [PMID: 24393558 DOI: 10.18433/j3vw2f]</w:t>
      </w:r>
    </w:p>
    <w:p w14:paraId="035A3A56"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Tan T</w:t>
      </w:r>
      <w:r>
        <w:rPr>
          <w:rFonts w:ascii="Book Antiqua" w:hAnsi="Book Antiqua"/>
        </w:rPr>
        <w:t>, Barry P, Reken S, Baker M; Guideline Development Group. Pharmacological management of neuropathic pain in non-specialist settings: summary of NICE guidance. </w:t>
      </w:r>
      <w:r>
        <w:rPr>
          <w:rFonts w:ascii="Book Antiqua" w:hAnsi="Book Antiqua"/>
          <w:i/>
          <w:iCs/>
        </w:rPr>
        <w:t>BMJ</w:t>
      </w:r>
      <w:r>
        <w:rPr>
          <w:rFonts w:ascii="Book Antiqua" w:hAnsi="Book Antiqua"/>
        </w:rPr>
        <w:t> 2010; </w:t>
      </w:r>
      <w:r>
        <w:rPr>
          <w:rFonts w:ascii="Book Antiqua" w:hAnsi="Book Antiqua"/>
          <w:b/>
          <w:bCs/>
        </w:rPr>
        <w:t>340</w:t>
      </w:r>
      <w:r>
        <w:rPr>
          <w:rFonts w:ascii="Book Antiqua" w:hAnsi="Book Antiqua"/>
        </w:rPr>
        <w:t>: c1079 [PMID: 20335333 DOI: 10.1136/bmj.c1079]</w:t>
      </w:r>
    </w:p>
    <w:p w14:paraId="377CA02D"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Dworkin RH</w:t>
      </w:r>
      <w:r>
        <w:rPr>
          <w:rFonts w:ascii="Book Antiqua" w:hAnsi="Book Antiqua"/>
        </w:rPr>
        <w:t>, O'Connor AB, Audette J, Baron R, Gourlay GK, Haanpää ML, Kent JL, Krane EJ, Lebel AA, Levy RM, Mackey SC, Mayer J, Miaskowski C, Raja SN, Rice AS, Schmader KE, Stacey B, Stanos S, Treede RD, Turk DC, Walco GA, Wells CD. Recommendations for the pharmacological management of neuropathic pain: an overview and literature update. </w:t>
      </w:r>
      <w:r>
        <w:rPr>
          <w:rFonts w:ascii="Book Antiqua" w:hAnsi="Book Antiqua"/>
          <w:i/>
          <w:iCs/>
        </w:rPr>
        <w:t>Mayo Clin Proc</w:t>
      </w:r>
      <w:r>
        <w:rPr>
          <w:rFonts w:ascii="Book Antiqua" w:hAnsi="Book Antiqua"/>
        </w:rPr>
        <w:t> 2010; </w:t>
      </w:r>
      <w:r>
        <w:rPr>
          <w:rFonts w:ascii="Book Antiqua" w:hAnsi="Book Antiqua"/>
          <w:b/>
          <w:bCs/>
        </w:rPr>
        <w:t>85</w:t>
      </w:r>
      <w:r>
        <w:rPr>
          <w:rFonts w:ascii="Book Antiqua" w:hAnsi="Book Antiqua"/>
        </w:rPr>
        <w:t>: S3-14 [PMID: 20194146 DOI: 10.4065/mcp.2009.0649]</w:t>
      </w:r>
    </w:p>
    <w:p w14:paraId="4319BB42"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r>
        <w:rPr>
          <w:rFonts w:ascii="Book Antiqua" w:hAnsi="Book Antiqua"/>
          <w:b/>
          <w:bCs/>
        </w:rPr>
        <w:t>McAlindon TE</w:t>
      </w:r>
      <w:r>
        <w:rPr>
          <w:rFonts w:ascii="Book Antiqua" w:hAnsi="Book Antiqua"/>
        </w:rPr>
        <w:t>, Bannuru RR, Sullivan MC, Arden NK, Berenbaum F, Bierma-Zeinstra SM, Hawker GA, Henrotin Y, Hunter DJ, Kawaguchi H, Kwoh K, Lohmander S, Rannou F, Roos EM, Underwood M. OARSI guidelines for the non-surgical management of knee osteoarthritis. </w:t>
      </w:r>
      <w:r>
        <w:rPr>
          <w:rFonts w:ascii="Book Antiqua" w:hAnsi="Book Antiqua"/>
          <w:i/>
          <w:iCs/>
        </w:rPr>
        <w:t>Osteoarthritis Cartilage</w:t>
      </w:r>
      <w:r>
        <w:rPr>
          <w:rFonts w:ascii="Book Antiqua" w:hAnsi="Book Antiqua"/>
        </w:rPr>
        <w:t> 2014; </w:t>
      </w:r>
      <w:r>
        <w:rPr>
          <w:rFonts w:ascii="Book Antiqua" w:hAnsi="Book Antiqua"/>
          <w:b/>
          <w:bCs/>
        </w:rPr>
        <w:t>22</w:t>
      </w:r>
      <w:r>
        <w:rPr>
          <w:rFonts w:ascii="Book Antiqua" w:hAnsi="Book Antiqua"/>
        </w:rPr>
        <w:t>: 363-388 [PMID: 24462672 DOI: 10.1016/j.joca.2014.01.003]</w:t>
      </w:r>
    </w:p>
    <w:p w14:paraId="4D31B5CE"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Frakes EP</w:t>
      </w:r>
      <w:r>
        <w:rPr>
          <w:rFonts w:ascii="Book Antiqua" w:hAnsi="Book Antiqua"/>
        </w:rPr>
        <w:t>, Risser RC, Ball TD, Hochberg MC, Wohlreich MM. Duloxetine added to oral nonsteroidal anti-inflammatory drugs for treatment of knee pain due to osteoarthritis: results of a randomized, double-blind, placebo-controlled trial. </w:t>
      </w:r>
      <w:r>
        <w:rPr>
          <w:rFonts w:ascii="Book Antiqua" w:hAnsi="Book Antiqua"/>
          <w:i/>
          <w:iCs/>
        </w:rPr>
        <w:t>Curr Med Res Opin</w:t>
      </w:r>
      <w:r>
        <w:rPr>
          <w:rFonts w:ascii="Book Antiqua" w:hAnsi="Book Antiqua"/>
        </w:rPr>
        <w:t> 2011; </w:t>
      </w:r>
      <w:r>
        <w:rPr>
          <w:rFonts w:ascii="Book Antiqua" w:hAnsi="Book Antiqua"/>
          <w:b/>
          <w:bCs/>
        </w:rPr>
        <w:t>27</w:t>
      </w:r>
      <w:r>
        <w:rPr>
          <w:rFonts w:ascii="Book Antiqua" w:hAnsi="Book Antiqua"/>
        </w:rPr>
        <w:t>: 2361-2372 [PMID: 22017192 DOI: 10.1185/03007995.2011.633502]</w:t>
      </w:r>
    </w:p>
    <w:p w14:paraId="07189015"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Wohlreich MM</w:t>
      </w:r>
      <w:r>
        <w:rPr>
          <w:rFonts w:ascii="Book Antiqua" w:hAnsi="Book Antiqua"/>
        </w:rPr>
        <w:t>, Sullivan MD, Mallinckrodt CH, Chappell AS, Oakes TM, Watkin JG, Raskin J. Duloxetine for the treatment of recurrent major depressive disorder in elderly patients: treatment outcomes in patients with comorbid arthritis. </w:t>
      </w:r>
      <w:r>
        <w:rPr>
          <w:rFonts w:ascii="Book Antiqua" w:hAnsi="Book Antiqua"/>
          <w:i/>
          <w:iCs/>
        </w:rPr>
        <w:t>Psychosomatics</w:t>
      </w:r>
      <w:r>
        <w:rPr>
          <w:rFonts w:ascii="Book Antiqua" w:hAnsi="Book Antiqua"/>
        </w:rPr>
        <w:t> 2009; </w:t>
      </w:r>
      <w:r>
        <w:rPr>
          <w:rFonts w:ascii="Book Antiqua" w:hAnsi="Book Antiqua"/>
          <w:b/>
          <w:bCs/>
        </w:rPr>
        <w:t>50</w:t>
      </w:r>
      <w:r>
        <w:rPr>
          <w:rFonts w:ascii="Book Antiqua" w:hAnsi="Book Antiqua"/>
        </w:rPr>
        <w:t>: 402-412 [PMID: 19687181 DOI: 10.1176/appi.psy.50.4.402]</w:t>
      </w:r>
    </w:p>
    <w:p w14:paraId="545C2CDA"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Wang G</w:t>
      </w:r>
      <w:r>
        <w:rPr>
          <w:rFonts w:ascii="Book Antiqua" w:hAnsi="Book Antiqua"/>
        </w:rPr>
        <w:t>, Bi L, Li X, Li Z, Zhao D, Chen J, He D, Wang CN, Dueñas H, Skljarevski V, Yue L. Efficacy and safety of duloxetine in Chinese patients with chronic pain due to osteoarthritis: a randomized, double-blind, placebo-controlled study. </w:t>
      </w:r>
      <w:r>
        <w:rPr>
          <w:rFonts w:ascii="Book Antiqua" w:hAnsi="Book Antiqua"/>
          <w:i/>
          <w:iCs/>
        </w:rPr>
        <w:t>Osteoarthritis Cartilage</w:t>
      </w:r>
      <w:r>
        <w:rPr>
          <w:rFonts w:ascii="Book Antiqua" w:hAnsi="Book Antiqua"/>
        </w:rPr>
        <w:t> 2017; </w:t>
      </w:r>
      <w:r>
        <w:rPr>
          <w:rFonts w:ascii="Book Antiqua" w:hAnsi="Book Antiqua"/>
          <w:b/>
          <w:bCs/>
        </w:rPr>
        <w:t>25</w:t>
      </w:r>
      <w:r>
        <w:rPr>
          <w:rFonts w:ascii="Book Antiqua" w:hAnsi="Book Antiqua"/>
        </w:rPr>
        <w:t>: 832-838 [PMID: 28043937 DOI: 10.1016/j.joca.2016.12.025]</w:t>
      </w:r>
    </w:p>
    <w:p w14:paraId="6F317C03"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Skljarevski V</w:t>
      </w:r>
      <w:r>
        <w:rPr>
          <w:rFonts w:ascii="Book Antiqua" w:hAnsi="Book Antiqua"/>
        </w:rPr>
        <w:t>, Desaiah D, Liu-Seifert H, Zhang Q, Chappell AS, Detke MJ, Iyengar S, Atkinson JH, Backonja M. Efficacy and safety of duloxetine in patients with chronic low back pain. </w:t>
      </w:r>
      <w:r>
        <w:rPr>
          <w:rFonts w:ascii="Book Antiqua" w:hAnsi="Book Antiqua"/>
          <w:i/>
          <w:iCs/>
        </w:rPr>
        <w:t>Spine (Phila Pa 1976)</w:t>
      </w:r>
      <w:r>
        <w:rPr>
          <w:rFonts w:ascii="Book Antiqua" w:hAnsi="Book Antiqua"/>
        </w:rPr>
        <w:t> 2010; </w:t>
      </w:r>
      <w:r>
        <w:rPr>
          <w:rFonts w:ascii="Book Antiqua" w:hAnsi="Book Antiqua"/>
          <w:b/>
          <w:bCs/>
        </w:rPr>
        <w:t>35</w:t>
      </w:r>
      <w:r>
        <w:rPr>
          <w:rFonts w:ascii="Book Antiqua" w:hAnsi="Book Antiqua"/>
        </w:rPr>
        <w:t>: E578-E585 [PMID: 20461028 DOI: 10.1097/BRS.0b013e3181d3cef6]</w:t>
      </w:r>
    </w:p>
    <w:p w14:paraId="586F709B"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Skljarevski V</w:t>
      </w:r>
      <w:r>
        <w:rPr>
          <w:rFonts w:ascii="Book Antiqua" w:hAnsi="Book Antiqua"/>
        </w:rPr>
        <w:t>, Zhang S, Desaiah D, Alaka KJ, Palacios S, Miazgowski T, Patrick K. Duloxetine versus placebo in patients with chronic low back pain: a 12-week, fixed-dose, randomized, double-blind trial. </w:t>
      </w:r>
      <w:r>
        <w:rPr>
          <w:rFonts w:ascii="Book Antiqua" w:hAnsi="Book Antiqua"/>
          <w:i/>
          <w:iCs/>
        </w:rPr>
        <w:t>J Pain</w:t>
      </w:r>
      <w:r>
        <w:rPr>
          <w:rFonts w:ascii="Book Antiqua" w:hAnsi="Book Antiqua"/>
        </w:rPr>
        <w:t> 2010; </w:t>
      </w:r>
      <w:r>
        <w:rPr>
          <w:rFonts w:ascii="Book Antiqua" w:hAnsi="Book Antiqua"/>
          <w:b/>
          <w:bCs/>
        </w:rPr>
        <w:t>11</w:t>
      </w:r>
      <w:r>
        <w:rPr>
          <w:rFonts w:ascii="Book Antiqua" w:hAnsi="Book Antiqua"/>
        </w:rPr>
        <w:t>: 1282-1290 [PMID: 20472510 DOI: 10.1016/j.jpain.2010.03.002]</w:t>
      </w:r>
    </w:p>
    <w:p w14:paraId="463FCB57"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Skljarevski V</w:t>
      </w:r>
      <w:r>
        <w:rPr>
          <w:rFonts w:ascii="Book Antiqua" w:hAnsi="Book Antiqua"/>
        </w:rPr>
        <w:t>, Ossanna M, Liu-Seifert H, Zhang Q, Chappell A, Iyengar S, Detke M, Backonja M. A double-blind, randomized trial of duloxetine versus placebo in the management of chronic low back pain. </w:t>
      </w:r>
      <w:r>
        <w:rPr>
          <w:rFonts w:ascii="Book Antiqua" w:hAnsi="Book Antiqua"/>
          <w:i/>
          <w:iCs/>
        </w:rPr>
        <w:t>Eur J Neurol</w:t>
      </w:r>
      <w:r>
        <w:rPr>
          <w:rFonts w:ascii="Book Antiqua" w:hAnsi="Book Antiqua"/>
        </w:rPr>
        <w:t> 2009; </w:t>
      </w:r>
      <w:r>
        <w:rPr>
          <w:rFonts w:ascii="Book Antiqua" w:hAnsi="Book Antiqua"/>
          <w:b/>
          <w:bCs/>
        </w:rPr>
        <w:t>16</w:t>
      </w:r>
      <w:r>
        <w:rPr>
          <w:rFonts w:ascii="Book Antiqua" w:hAnsi="Book Antiqua"/>
        </w:rPr>
        <w:t>: 1041-1048 [PMID: 19469829 DOI: 10.1111/j.1468-1331.2009.02648.x]</w:t>
      </w:r>
    </w:p>
    <w:p w14:paraId="1868AB10"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r>
        <w:rPr>
          <w:rFonts w:ascii="Book Antiqua" w:hAnsi="Book Antiqua"/>
          <w:b/>
          <w:bCs/>
        </w:rPr>
        <w:t>Andrews JS</w:t>
      </w:r>
      <w:r>
        <w:rPr>
          <w:rFonts w:ascii="Book Antiqua" w:hAnsi="Book Antiqua"/>
        </w:rPr>
        <w:t>, Wu N, Chen SY, Yu X, Peng X, Novick D. Real-world treatment patterns and opioid use in chronic low back pain patients initiating duloxetine versus standard of care. </w:t>
      </w:r>
      <w:r>
        <w:rPr>
          <w:rFonts w:ascii="Book Antiqua" w:hAnsi="Book Antiqua"/>
          <w:i/>
          <w:iCs/>
        </w:rPr>
        <w:t>J Pain Res</w:t>
      </w:r>
      <w:r>
        <w:rPr>
          <w:rFonts w:ascii="Book Antiqua" w:hAnsi="Book Antiqua"/>
        </w:rPr>
        <w:t> 2013; </w:t>
      </w:r>
      <w:r>
        <w:rPr>
          <w:rFonts w:ascii="Book Antiqua" w:hAnsi="Book Antiqua"/>
          <w:b/>
          <w:bCs/>
        </w:rPr>
        <w:t>6</w:t>
      </w:r>
      <w:r>
        <w:rPr>
          <w:rFonts w:ascii="Book Antiqua" w:hAnsi="Book Antiqua"/>
        </w:rPr>
        <w:t>: 825-835 [PMID: 24379695 DOI: 10.2147/JPR.S50323]</w:t>
      </w:r>
    </w:p>
    <w:p w14:paraId="02775238"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Chou R</w:t>
      </w:r>
      <w:r>
        <w:rPr>
          <w:rFonts w:ascii="Book Antiqua" w:hAnsi="Book Antiqua"/>
        </w:rPr>
        <w:t>, Deyo R, Friedly J, Skelly A, Hashimoto R, Weimer M, Fu R, Dana T, Kraegel P, Griffin J, Grusing S, Brodt ED. Nonpharmacologic Therapies for Low Back Pain: A Systematic Review for an American College of Physicians Clinical Practice Guideline. </w:t>
      </w:r>
      <w:r>
        <w:rPr>
          <w:rFonts w:ascii="Book Antiqua" w:hAnsi="Book Antiqua"/>
          <w:i/>
          <w:iCs/>
        </w:rPr>
        <w:t>Ann Intern Med</w:t>
      </w:r>
      <w:r>
        <w:rPr>
          <w:rFonts w:ascii="Book Antiqua" w:hAnsi="Book Antiqua"/>
        </w:rPr>
        <w:t> 2017; </w:t>
      </w:r>
      <w:r>
        <w:rPr>
          <w:rFonts w:ascii="Book Antiqua" w:hAnsi="Book Antiqua"/>
          <w:b/>
          <w:bCs/>
        </w:rPr>
        <w:t>166</w:t>
      </w:r>
      <w:r>
        <w:rPr>
          <w:rFonts w:ascii="Book Antiqua" w:hAnsi="Book Antiqua"/>
        </w:rPr>
        <w:t>: 493-505 [PMID: 28192793 DOI: 10.7326/M16-2459]</w:t>
      </w:r>
    </w:p>
    <w:p w14:paraId="3699D3CF"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r>
        <w:rPr>
          <w:rFonts w:ascii="Book Antiqua" w:hAnsi="Book Antiqua"/>
          <w:b/>
          <w:bCs/>
        </w:rPr>
        <w:t>Arnold LM</w:t>
      </w:r>
      <w:r>
        <w:rPr>
          <w:rFonts w:ascii="Book Antiqua" w:hAnsi="Book Antiqua"/>
        </w:rPr>
        <w:t>, Lu Y, Crofford LJ, Wohlreich M, Detke MJ, Iyengar S, Goldstein DJ. A double-blind, multicenter trial comparing duloxetine with placebo in the treatment of fibromyalgia patients with or without major depressive disorder. </w:t>
      </w:r>
      <w:r>
        <w:rPr>
          <w:rFonts w:ascii="Book Antiqua" w:hAnsi="Book Antiqua"/>
          <w:i/>
          <w:iCs/>
        </w:rPr>
        <w:t>Arthritis Rheum</w:t>
      </w:r>
      <w:r>
        <w:rPr>
          <w:rFonts w:ascii="Book Antiqua" w:hAnsi="Book Antiqua"/>
        </w:rPr>
        <w:t> 2004; </w:t>
      </w:r>
      <w:r>
        <w:rPr>
          <w:rFonts w:ascii="Book Antiqua" w:hAnsi="Book Antiqua"/>
          <w:b/>
          <w:bCs/>
        </w:rPr>
        <w:t>50</w:t>
      </w:r>
      <w:r>
        <w:rPr>
          <w:rFonts w:ascii="Book Antiqua" w:hAnsi="Book Antiqua"/>
        </w:rPr>
        <w:t>: 2974-2984 [PMID: 15457467 DOI: 10.1002/art.20485]</w:t>
      </w:r>
    </w:p>
    <w:p w14:paraId="465F7F26"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Witenko C</w:t>
      </w:r>
      <w:r>
        <w:rPr>
          <w:rFonts w:ascii="Book Antiqua" w:hAnsi="Book Antiqua"/>
        </w:rPr>
        <w:t>, Moorman-Li R, Motycka C, Duane K, Hincapie-Castillo J, Leonard P, Valaer C. Considerations for the appropriate use of skeletal muscle relaxants for the management of acute low back pain. </w:t>
      </w:r>
      <w:r>
        <w:rPr>
          <w:rFonts w:ascii="Book Antiqua" w:hAnsi="Book Antiqua"/>
          <w:i/>
          <w:iCs/>
        </w:rPr>
        <w:t>P T</w:t>
      </w:r>
      <w:r>
        <w:rPr>
          <w:rFonts w:ascii="Book Antiqua" w:hAnsi="Book Antiqua"/>
        </w:rPr>
        <w:t> 2014; </w:t>
      </w:r>
      <w:r>
        <w:rPr>
          <w:rFonts w:ascii="Book Antiqua" w:hAnsi="Book Antiqua"/>
          <w:b/>
          <w:bCs/>
        </w:rPr>
        <w:t>39</w:t>
      </w:r>
      <w:r>
        <w:rPr>
          <w:rFonts w:ascii="Book Antiqua" w:hAnsi="Book Antiqua"/>
        </w:rPr>
        <w:t>: 427-435 [PMID: 25050056]</w:t>
      </w:r>
    </w:p>
    <w:p w14:paraId="589DA234" w14:textId="31D8FB1F" w:rsidR="000F0D29" w:rsidRPr="008D3260"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24 </w:t>
      </w:r>
      <w:bookmarkStart w:id="10" w:name="OLE_LINK2570"/>
      <w:r w:rsidRPr="008D3260">
        <w:rPr>
          <w:rFonts w:ascii="Book Antiqua" w:hAnsi="Book Antiqua"/>
          <w:b/>
          <w:bCs/>
        </w:rPr>
        <w:t xml:space="preserve">Baclofen </w:t>
      </w:r>
      <w:r w:rsidR="00CA11AF">
        <w:rPr>
          <w:rFonts w:ascii="Book Antiqua" w:hAnsi="Book Antiqua"/>
          <w:b/>
          <w:bCs/>
        </w:rPr>
        <w:t>t</w:t>
      </w:r>
      <w:r w:rsidRPr="008D3260">
        <w:rPr>
          <w:rFonts w:ascii="Book Antiqua" w:hAnsi="Book Antiqua"/>
          <w:b/>
          <w:bCs/>
        </w:rPr>
        <w:t>ablet package insert</w:t>
      </w:r>
      <w:r w:rsidRPr="008D3260">
        <w:rPr>
          <w:rFonts w:ascii="Book Antiqua" w:hAnsi="Book Antiqua"/>
        </w:rPr>
        <w:t>. Sellersville, Pennsylvania: Teva Pharmaceuticals</w:t>
      </w:r>
      <w:r w:rsidR="000666C0" w:rsidRPr="008D3260">
        <w:rPr>
          <w:rFonts w:ascii="Book Antiqua" w:hAnsi="Book Antiqua"/>
        </w:rPr>
        <w:t>,</w:t>
      </w:r>
      <w:r w:rsidRPr="008D3260">
        <w:rPr>
          <w:rFonts w:ascii="Book Antiqua" w:hAnsi="Book Antiqua"/>
        </w:rPr>
        <w:t xml:space="preserve"> </w:t>
      </w:r>
      <w:bookmarkEnd w:id="10"/>
      <w:r w:rsidRPr="008D3260">
        <w:rPr>
          <w:rFonts w:ascii="Book Antiqua" w:hAnsi="Book Antiqua"/>
        </w:rPr>
        <w:t>USA</w:t>
      </w:r>
      <w:r w:rsidR="000666C0" w:rsidRPr="008D3260">
        <w:rPr>
          <w:rFonts w:ascii="Book Antiqua" w:hAnsi="Book Antiqua"/>
        </w:rPr>
        <w:t>;</w:t>
      </w:r>
      <w:r w:rsidRPr="008D3260">
        <w:rPr>
          <w:rFonts w:ascii="Book Antiqua" w:hAnsi="Book Antiqua"/>
        </w:rPr>
        <w:t xml:space="preserve"> 2010</w:t>
      </w:r>
    </w:p>
    <w:p w14:paraId="32649715" w14:textId="687B7E89" w:rsidR="000F0D29" w:rsidRPr="008D3260"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25 </w:t>
      </w:r>
      <w:bookmarkStart w:id="11" w:name="OLE_LINK2571"/>
      <w:r w:rsidRPr="008D3260">
        <w:rPr>
          <w:rFonts w:ascii="Book Antiqua" w:hAnsi="Book Antiqua"/>
          <w:b/>
          <w:bCs/>
        </w:rPr>
        <w:t>Baclofen tablets</w:t>
      </w:r>
      <w:r w:rsidRPr="008D3260">
        <w:rPr>
          <w:rFonts w:ascii="Book Antiqua" w:hAnsi="Book Antiqua"/>
        </w:rPr>
        <w:t xml:space="preserve">. </w:t>
      </w:r>
      <w:bookmarkEnd w:id="11"/>
      <w:r w:rsidRPr="008D3260">
        <w:rPr>
          <w:rFonts w:ascii="Book Antiqua" w:hAnsi="Book Antiqua"/>
        </w:rPr>
        <w:t xml:space="preserve">Medication Reference, Medlive.cn </w:t>
      </w:r>
      <w:r w:rsidR="00A7169B" w:rsidRPr="008D3260">
        <w:rPr>
          <w:rFonts w:ascii="Book Antiqua" w:hAnsi="Book Antiqua"/>
        </w:rPr>
        <w:t>China</w:t>
      </w:r>
      <w:r w:rsidR="000666C0" w:rsidRPr="008D3260">
        <w:rPr>
          <w:rFonts w:ascii="Book Antiqua" w:hAnsi="Book Antiqua"/>
        </w:rPr>
        <w:t>;</w:t>
      </w:r>
      <w:r w:rsidRPr="008D3260">
        <w:rPr>
          <w:rFonts w:ascii="Book Antiqua" w:hAnsi="Book Antiqua"/>
        </w:rPr>
        <w:t xml:space="preserve"> 2020</w:t>
      </w:r>
    </w:p>
    <w:p w14:paraId="5804D393" w14:textId="7BDC752E" w:rsidR="000F0D29" w:rsidRPr="008D3260"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26 </w:t>
      </w:r>
      <w:r w:rsidRPr="008D3260">
        <w:rPr>
          <w:rFonts w:ascii="Book Antiqua" w:hAnsi="Book Antiqua"/>
          <w:b/>
          <w:bCs/>
        </w:rPr>
        <w:t>Dantrolene package insert</w:t>
      </w:r>
      <w:r w:rsidRPr="008D3260">
        <w:rPr>
          <w:rFonts w:ascii="Book Antiqua" w:hAnsi="Book Antiqua"/>
        </w:rPr>
        <w:t>. Rochester, Minnesota: JHP Pharmaceuticals, LLC</w:t>
      </w:r>
      <w:r w:rsidR="000666C0" w:rsidRPr="008D3260">
        <w:rPr>
          <w:rFonts w:ascii="Book Antiqua" w:hAnsi="Book Antiqua"/>
        </w:rPr>
        <w:t>;</w:t>
      </w:r>
      <w:r w:rsidRPr="008D3260">
        <w:rPr>
          <w:rFonts w:ascii="Book Antiqua" w:hAnsi="Book Antiqua"/>
        </w:rPr>
        <w:t xml:space="preserve"> 2008</w:t>
      </w:r>
    </w:p>
    <w:p w14:paraId="4C358B2A" w14:textId="1E016392" w:rsidR="000F0D29" w:rsidRPr="008D3260"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27 </w:t>
      </w:r>
      <w:r w:rsidRPr="008D3260">
        <w:rPr>
          <w:rFonts w:ascii="Book Antiqua" w:hAnsi="Book Antiqua"/>
          <w:b/>
          <w:bCs/>
        </w:rPr>
        <w:t>Liu F</w:t>
      </w:r>
      <w:r w:rsidRPr="008D3260">
        <w:rPr>
          <w:rFonts w:ascii="Book Antiqua" w:hAnsi="Book Antiqua"/>
        </w:rPr>
        <w:t>, Lu</w:t>
      </w:r>
      <w:r w:rsidR="00A7169B" w:rsidRPr="008D3260">
        <w:rPr>
          <w:rFonts w:ascii="Book Antiqua" w:hAnsi="Book Antiqua"/>
        </w:rPr>
        <w:t xml:space="preserve"> </w:t>
      </w:r>
      <w:r w:rsidRPr="008D3260">
        <w:rPr>
          <w:rFonts w:ascii="Book Antiqua" w:hAnsi="Book Antiqua"/>
        </w:rPr>
        <w:t xml:space="preserve">Z. Interpretation of expert consensus for the clinical use of benzodiazepines. </w:t>
      </w:r>
      <w:r w:rsidR="00A7169B" w:rsidRPr="008D3260">
        <w:rPr>
          <w:rFonts w:ascii="Book Antiqua" w:hAnsi="Book Antiqua"/>
          <w:i/>
          <w:iCs/>
        </w:rPr>
        <w:t>World Clini Drugs</w:t>
      </w:r>
      <w:r w:rsidRPr="008D3260">
        <w:rPr>
          <w:rFonts w:ascii="Book Antiqua" w:hAnsi="Book Antiqua"/>
        </w:rPr>
        <w:t xml:space="preserve"> 2018; 39: 716-720 [DOI:10.13683/j.wph.2018.10.014]</w:t>
      </w:r>
    </w:p>
    <w:p w14:paraId="3D289F27" w14:textId="02BEBC1A"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28 </w:t>
      </w:r>
      <w:r w:rsidRPr="008D3260">
        <w:rPr>
          <w:rFonts w:ascii="Book Antiqua" w:hAnsi="Book Antiqua"/>
          <w:b/>
          <w:bCs/>
        </w:rPr>
        <w:t xml:space="preserve">Tizanidine </w:t>
      </w:r>
      <w:r w:rsidR="00CA11AF" w:rsidRPr="008D3260">
        <w:rPr>
          <w:rFonts w:ascii="Book Antiqua" w:hAnsi="Book Antiqua"/>
          <w:b/>
          <w:bCs/>
        </w:rPr>
        <w:t>hydrochloride t</w:t>
      </w:r>
      <w:r w:rsidRPr="008D3260">
        <w:rPr>
          <w:rFonts w:ascii="Book Antiqua" w:hAnsi="Book Antiqua"/>
          <w:b/>
          <w:bCs/>
        </w:rPr>
        <w:t xml:space="preserve">ablets. </w:t>
      </w:r>
      <w:r w:rsidRPr="008D3260">
        <w:rPr>
          <w:rFonts w:ascii="Book Antiqua" w:hAnsi="Book Antiqua"/>
          <w:bCs/>
        </w:rPr>
        <w:t>Medication Reference,</w:t>
      </w:r>
      <w:r w:rsidRPr="008D3260">
        <w:rPr>
          <w:rFonts w:ascii="Book Antiqua" w:hAnsi="Book Antiqua"/>
        </w:rPr>
        <w:t xml:space="preserve"> Medlive.cn </w:t>
      </w:r>
      <w:r w:rsidR="002F1CA1" w:rsidRPr="008D3260">
        <w:rPr>
          <w:rFonts w:ascii="Book Antiqua" w:hAnsi="Book Antiqua"/>
        </w:rPr>
        <w:t>China</w:t>
      </w:r>
      <w:r w:rsidR="000666C0" w:rsidRPr="008D3260">
        <w:rPr>
          <w:rFonts w:ascii="Book Antiqua" w:hAnsi="Book Antiqua"/>
        </w:rPr>
        <w:t>;</w:t>
      </w:r>
      <w:r w:rsidRPr="008D3260">
        <w:rPr>
          <w:rFonts w:ascii="Book Antiqua" w:hAnsi="Book Antiqua"/>
        </w:rPr>
        <w:t xml:space="preserve"> 2020</w:t>
      </w:r>
    </w:p>
    <w:p w14:paraId="5A6E6D4A"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Taylor CP</w:t>
      </w:r>
      <w:r>
        <w:rPr>
          <w:rFonts w:ascii="Book Antiqua" w:hAnsi="Book Antiqua"/>
        </w:rPr>
        <w:t>, Angelotti T, Fauman E. Pharmacology and mechanism of action of pregabalin: the calcium channel alpha2-delta (alpha2-delta) subunit as a target for antiepileptic drug discovery. </w:t>
      </w:r>
      <w:r>
        <w:rPr>
          <w:rFonts w:ascii="Book Antiqua" w:hAnsi="Book Antiqua"/>
          <w:i/>
          <w:iCs/>
        </w:rPr>
        <w:t>Epilepsy Res</w:t>
      </w:r>
      <w:r>
        <w:rPr>
          <w:rFonts w:ascii="Book Antiqua" w:hAnsi="Book Antiqua"/>
        </w:rPr>
        <w:t> 2007; </w:t>
      </w:r>
      <w:r>
        <w:rPr>
          <w:rFonts w:ascii="Book Antiqua" w:hAnsi="Book Antiqua"/>
          <w:b/>
          <w:bCs/>
        </w:rPr>
        <w:t>73</w:t>
      </w:r>
      <w:r>
        <w:rPr>
          <w:rFonts w:ascii="Book Antiqua" w:hAnsi="Book Antiqua"/>
        </w:rPr>
        <w:t>: 137-150 [PMID: 17126531 DOI: 10.1016/j.eplepsyres.2006.09.008]</w:t>
      </w:r>
    </w:p>
    <w:p w14:paraId="59638CB8"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Michel MC</w:t>
      </w:r>
      <w:r>
        <w:rPr>
          <w:rFonts w:ascii="Book Antiqua" w:hAnsi="Book Antiqua"/>
        </w:rPr>
        <w:t>, Radziszewski P, Falconer C, Marschall-Kehrel D, Blot K. Unexpected frequent hepatotoxicity of a prescription drug, flupirtine, marketed for about 30 years. </w:t>
      </w:r>
      <w:r>
        <w:rPr>
          <w:rFonts w:ascii="Book Antiqua" w:hAnsi="Book Antiqua"/>
          <w:i/>
          <w:iCs/>
        </w:rPr>
        <w:t>Br J Clin Pharmacol</w:t>
      </w:r>
      <w:r>
        <w:rPr>
          <w:rFonts w:ascii="Book Antiqua" w:hAnsi="Book Antiqua"/>
        </w:rPr>
        <w:t> 2012; </w:t>
      </w:r>
      <w:r>
        <w:rPr>
          <w:rFonts w:ascii="Book Antiqua" w:hAnsi="Book Antiqua"/>
          <w:b/>
          <w:bCs/>
        </w:rPr>
        <w:t>73</w:t>
      </w:r>
      <w:r>
        <w:rPr>
          <w:rFonts w:ascii="Book Antiqua" w:hAnsi="Book Antiqua"/>
        </w:rPr>
        <w:t>: 821-825 [PMID: 22044433 DOI: 10.1111/j.1365-2125.2011.04138.x]</w:t>
      </w:r>
    </w:p>
    <w:p w14:paraId="5B1A4AB4"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r>
        <w:rPr>
          <w:rFonts w:ascii="Book Antiqua" w:hAnsi="Book Antiqua"/>
          <w:b/>
          <w:bCs/>
        </w:rPr>
        <w:t>Honarmand A</w:t>
      </w:r>
      <w:r>
        <w:rPr>
          <w:rFonts w:ascii="Book Antiqua" w:hAnsi="Book Antiqua"/>
        </w:rPr>
        <w:t>, Safavi M, Zare M. Gabapentin: An update of its pharmacological properties and therapeutic use in epilepsy. </w:t>
      </w:r>
      <w:r>
        <w:rPr>
          <w:rFonts w:ascii="Book Antiqua" w:hAnsi="Book Antiqua"/>
          <w:i/>
          <w:iCs/>
        </w:rPr>
        <w:t>J Res Med Sci</w:t>
      </w:r>
      <w:r>
        <w:rPr>
          <w:rFonts w:ascii="Book Antiqua" w:hAnsi="Book Antiqua"/>
        </w:rPr>
        <w:t> 2011; </w:t>
      </w:r>
      <w:r>
        <w:rPr>
          <w:rFonts w:ascii="Book Antiqua" w:hAnsi="Book Antiqua"/>
          <w:b/>
          <w:bCs/>
        </w:rPr>
        <w:t>16</w:t>
      </w:r>
      <w:r>
        <w:rPr>
          <w:rFonts w:ascii="Book Antiqua" w:hAnsi="Book Antiqua"/>
        </w:rPr>
        <w:t>: 1062-1069 [PMID: 22279483]</w:t>
      </w:r>
    </w:p>
    <w:p w14:paraId="1AB0CFC2"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32 </w:t>
      </w:r>
      <w:r>
        <w:rPr>
          <w:rFonts w:ascii="Book Antiqua" w:hAnsi="Book Antiqua"/>
          <w:b/>
          <w:bCs/>
        </w:rPr>
        <w:t>Kukkar A</w:t>
      </w:r>
      <w:r>
        <w:rPr>
          <w:rFonts w:ascii="Book Antiqua" w:hAnsi="Book Antiqua"/>
        </w:rPr>
        <w:t>, Bali A, Singh N, Jaggi AS. Implications and mechanism of action of gabapentin in neuropathic pain. </w:t>
      </w:r>
      <w:r>
        <w:rPr>
          <w:rFonts w:ascii="Book Antiqua" w:hAnsi="Book Antiqua"/>
          <w:i/>
          <w:iCs/>
        </w:rPr>
        <w:t>Arch Pharm Res</w:t>
      </w:r>
      <w:r>
        <w:rPr>
          <w:rFonts w:ascii="Book Antiqua" w:hAnsi="Book Antiqua"/>
        </w:rPr>
        <w:t> 2013; </w:t>
      </w:r>
      <w:r>
        <w:rPr>
          <w:rFonts w:ascii="Book Antiqua" w:hAnsi="Book Antiqua"/>
          <w:b/>
          <w:bCs/>
        </w:rPr>
        <w:t>36</w:t>
      </w:r>
      <w:r>
        <w:rPr>
          <w:rFonts w:ascii="Book Antiqua" w:hAnsi="Book Antiqua"/>
        </w:rPr>
        <w:t>: 237-251 [PMID: 23435945 DOI: 10.1007/s12272-013-0057-y]</w:t>
      </w:r>
    </w:p>
    <w:p w14:paraId="0C1EFC54"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r>
        <w:rPr>
          <w:rFonts w:ascii="Book Antiqua" w:hAnsi="Book Antiqua"/>
          <w:b/>
          <w:bCs/>
        </w:rPr>
        <w:t>Uhl RL</w:t>
      </w:r>
      <w:r>
        <w:rPr>
          <w:rFonts w:ascii="Book Antiqua" w:hAnsi="Book Antiqua"/>
        </w:rPr>
        <w:t>, Roberts TT, Papaliodis DN, Mulligan MT, Dubin AH. Management of chronic musculoskeletal pain. </w:t>
      </w:r>
      <w:r>
        <w:rPr>
          <w:rFonts w:ascii="Book Antiqua" w:hAnsi="Book Antiqua"/>
          <w:i/>
          <w:iCs/>
        </w:rPr>
        <w:t>J Am Acad Orthop Surg</w:t>
      </w:r>
      <w:r>
        <w:rPr>
          <w:rFonts w:ascii="Book Antiqua" w:hAnsi="Book Antiqua"/>
        </w:rPr>
        <w:t> 2014; </w:t>
      </w:r>
      <w:r>
        <w:rPr>
          <w:rFonts w:ascii="Book Antiqua" w:hAnsi="Book Antiqua"/>
          <w:b/>
          <w:bCs/>
        </w:rPr>
        <w:t>22</w:t>
      </w:r>
      <w:r>
        <w:rPr>
          <w:rFonts w:ascii="Book Antiqua" w:hAnsi="Book Antiqua"/>
        </w:rPr>
        <w:t>: 101-110 [PMID: 24486756 DOI: 10.5435/JAAOS-22-02-101]</w:t>
      </w:r>
    </w:p>
    <w:p w14:paraId="1BC2D47F"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34 </w:t>
      </w:r>
      <w:r>
        <w:rPr>
          <w:rFonts w:ascii="Book Antiqua" w:hAnsi="Book Antiqua"/>
          <w:b/>
          <w:bCs/>
        </w:rPr>
        <w:t>Mersfelder TL</w:t>
      </w:r>
      <w:r>
        <w:rPr>
          <w:rFonts w:ascii="Book Antiqua" w:hAnsi="Book Antiqua"/>
        </w:rPr>
        <w:t>, Nichols WH. Gabapentin: Abuse, Dependence, and Withdrawal. </w:t>
      </w:r>
      <w:r>
        <w:rPr>
          <w:rFonts w:ascii="Book Antiqua" w:hAnsi="Book Antiqua"/>
          <w:i/>
          <w:iCs/>
        </w:rPr>
        <w:t>Ann Pharmacother</w:t>
      </w:r>
      <w:r>
        <w:rPr>
          <w:rFonts w:ascii="Book Antiqua" w:hAnsi="Book Antiqua"/>
        </w:rPr>
        <w:t> 2016; </w:t>
      </w:r>
      <w:r>
        <w:rPr>
          <w:rFonts w:ascii="Book Antiqua" w:hAnsi="Book Antiqua"/>
          <w:b/>
          <w:bCs/>
        </w:rPr>
        <w:t>50</w:t>
      </w:r>
      <w:r>
        <w:rPr>
          <w:rFonts w:ascii="Book Antiqua" w:hAnsi="Book Antiqua"/>
        </w:rPr>
        <w:t>: 229-233 [PMID: 26721643 DOI: 10.1177/1060028015620800]</w:t>
      </w:r>
    </w:p>
    <w:p w14:paraId="1C5EC589"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35 </w:t>
      </w:r>
      <w:r>
        <w:rPr>
          <w:rFonts w:ascii="Book Antiqua" w:hAnsi="Book Antiqua"/>
          <w:b/>
          <w:bCs/>
        </w:rPr>
        <w:t>Cruccu G</w:t>
      </w:r>
      <w:r>
        <w:rPr>
          <w:rFonts w:ascii="Book Antiqua" w:hAnsi="Book Antiqua"/>
        </w:rPr>
        <w:t>, Gronseth G, Alksne J, Argoff C, Brainin M, Burchiel K, Nurmikko T, Zakrzewska JM; American Academy of Neurology Society; European Federation of Neurological Society. AAN-EFNS guidelines on trigeminal neuralgia management. </w:t>
      </w:r>
      <w:r>
        <w:rPr>
          <w:rFonts w:ascii="Book Antiqua" w:hAnsi="Book Antiqua"/>
          <w:i/>
          <w:iCs/>
        </w:rPr>
        <w:t>Eur J Neurol</w:t>
      </w:r>
      <w:r>
        <w:rPr>
          <w:rFonts w:ascii="Book Antiqua" w:hAnsi="Book Antiqua"/>
        </w:rPr>
        <w:t> 2008; </w:t>
      </w:r>
      <w:r>
        <w:rPr>
          <w:rFonts w:ascii="Book Antiqua" w:hAnsi="Book Antiqua"/>
          <w:b/>
          <w:bCs/>
        </w:rPr>
        <w:t>15</w:t>
      </w:r>
      <w:r>
        <w:rPr>
          <w:rFonts w:ascii="Book Antiqua" w:hAnsi="Book Antiqua"/>
        </w:rPr>
        <w:t>: 1013-1028 [PMID: 18721143 DOI: 10.1111/j.1468-1331.2008.02185.x]</w:t>
      </w:r>
    </w:p>
    <w:p w14:paraId="7ACCD17D"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36 </w:t>
      </w:r>
      <w:r>
        <w:rPr>
          <w:rFonts w:ascii="Book Antiqua" w:hAnsi="Book Antiqua"/>
          <w:b/>
          <w:bCs/>
        </w:rPr>
        <w:t>Eisenberg E</w:t>
      </w:r>
      <w:r>
        <w:rPr>
          <w:rFonts w:ascii="Book Antiqua" w:hAnsi="Book Antiqua"/>
        </w:rPr>
        <w:t>, River Y, Shifrin A, Krivoy N. Antiepileptic drugs in the treatment of neuropathic pain. </w:t>
      </w:r>
      <w:r>
        <w:rPr>
          <w:rFonts w:ascii="Book Antiqua" w:hAnsi="Book Antiqua"/>
          <w:i/>
          <w:iCs/>
        </w:rPr>
        <w:t>Drugs</w:t>
      </w:r>
      <w:r>
        <w:rPr>
          <w:rFonts w:ascii="Book Antiqua" w:hAnsi="Book Antiqua"/>
        </w:rPr>
        <w:t> 2007; </w:t>
      </w:r>
      <w:r>
        <w:rPr>
          <w:rFonts w:ascii="Book Antiqua" w:hAnsi="Book Antiqua"/>
          <w:b/>
          <w:bCs/>
        </w:rPr>
        <w:t>67</w:t>
      </w:r>
      <w:r>
        <w:rPr>
          <w:rFonts w:ascii="Book Antiqua" w:hAnsi="Book Antiqua"/>
        </w:rPr>
        <w:t>: 1265-1289 [PMID: 17547471 DOI: 10.2165/00003495-200767090-00003]</w:t>
      </w:r>
    </w:p>
    <w:p w14:paraId="1E8D9582" w14:textId="476B18AD"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sidRPr="000666C0">
        <w:rPr>
          <w:rFonts w:ascii="Book Antiqua" w:hAnsi="Book Antiqua"/>
        </w:rPr>
        <w:t>37 </w:t>
      </w:r>
      <w:r w:rsidRPr="008D3260">
        <w:rPr>
          <w:rFonts w:ascii="Book Antiqua" w:hAnsi="Book Antiqua"/>
          <w:b/>
          <w:bCs/>
        </w:rPr>
        <w:t>Sports Medicine Branch of Chinese Medical Association, Chinese expert Committee on Pain Management for external use of NSAIDS</w:t>
      </w:r>
      <w:r w:rsidRPr="000666C0">
        <w:rPr>
          <w:rFonts w:ascii="Book Antiqua" w:hAnsi="Book Antiqua"/>
        </w:rPr>
        <w:t xml:space="preserve">. Non-steroidal anti-inflammatory drug for musculoskeletal pain: A consensus among Chinese experts. </w:t>
      </w:r>
      <w:r w:rsidR="000666C0" w:rsidRPr="000666C0">
        <w:rPr>
          <w:rFonts w:ascii="Book Antiqua" w:hAnsi="Book Antiqua"/>
          <w:i/>
          <w:iCs/>
        </w:rPr>
        <w:t>Zhonghua Yixue Qianyan Zazhi</w:t>
      </w:r>
      <w:r w:rsidRPr="000666C0">
        <w:rPr>
          <w:rFonts w:ascii="Book Antiqua" w:hAnsi="Book Antiqua"/>
        </w:rPr>
        <w:t xml:space="preserve"> 2016; </w:t>
      </w:r>
      <w:r w:rsidRPr="000666C0">
        <w:rPr>
          <w:rFonts w:ascii="Book Antiqua" w:hAnsi="Book Antiqua"/>
          <w:b/>
          <w:bCs/>
        </w:rPr>
        <w:t>8</w:t>
      </w:r>
      <w:r w:rsidRPr="000666C0">
        <w:rPr>
          <w:rFonts w:ascii="Book Antiqua" w:hAnsi="Book Antiqua"/>
        </w:rPr>
        <w:t>: 24-27</w:t>
      </w:r>
    </w:p>
    <w:p w14:paraId="38AD61B0" w14:textId="2D95A61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 xml:space="preserve">38 </w:t>
      </w:r>
      <w:r w:rsidRPr="008D3260">
        <w:rPr>
          <w:rFonts w:ascii="Book Antiqua" w:hAnsi="Book Antiqua"/>
          <w:b/>
          <w:bCs/>
        </w:rPr>
        <w:t>Osteoporosis Group of Chinese Orthopaedic Association</w:t>
      </w:r>
      <w:r w:rsidRPr="008D3260">
        <w:rPr>
          <w:rFonts w:ascii="Book Antiqua" w:hAnsi="Book Antiqua"/>
        </w:rPr>
        <w:t>. Guidelines for the diagnosis and treatment of osteoarthritis.</w:t>
      </w:r>
      <w:r w:rsidRPr="008D3260">
        <w:rPr>
          <w:rFonts w:ascii="Book Antiqua" w:hAnsi="Book Antiqua"/>
          <w:i/>
          <w:iCs/>
        </w:rPr>
        <w:t xml:space="preserve"> </w:t>
      </w:r>
      <w:r w:rsidR="008D3260" w:rsidRPr="008D3260">
        <w:rPr>
          <w:rFonts w:ascii="Book Antiqua" w:hAnsi="Book Antiqua"/>
          <w:i/>
          <w:iCs/>
        </w:rPr>
        <w:t>Zhonghua Guke Zazhi</w:t>
      </w:r>
      <w:r w:rsidRPr="008D3260">
        <w:rPr>
          <w:rFonts w:ascii="Book Antiqua" w:hAnsi="Book Antiqua"/>
        </w:rPr>
        <w:t xml:space="preserve"> 2018; </w:t>
      </w:r>
      <w:r w:rsidRPr="008D3260">
        <w:rPr>
          <w:rFonts w:ascii="Book Antiqua" w:hAnsi="Book Antiqua"/>
          <w:b/>
          <w:bCs/>
        </w:rPr>
        <w:t>38</w:t>
      </w:r>
      <w:r w:rsidRPr="008D3260">
        <w:rPr>
          <w:rFonts w:ascii="Book Antiqua" w:hAnsi="Book Antiqua"/>
        </w:rPr>
        <w:t>: 705-715</w:t>
      </w:r>
    </w:p>
    <w:p w14:paraId="6E895F06"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39 </w:t>
      </w:r>
      <w:r>
        <w:rPr>
          <w:rFonts w:ascii="Book Antiqua" w:hAnsi="Book Antiqua"/>
          <w:b/>
          <w:bCs/>
        </w:rPr>
        <w:t>Hochberg MC</w:t>
      </w:r>
      <w:r>
        <w:rPr>
          <w:rFonts w:ascii="Book Antiqua" w:hAnsi="Book Antiqua"/>
        </w:rPr>
        <w:t>, Altman RD, April KT, Benkhalti M, Guyatt G, McGowan J, Towheed T, Welch V, Wells G, Tugwell P; American College of Rheumatology. American College of Rheumatology 2012 recommendations for the use of nonpharmacologic and pharmacologic therapies in osteoarthritis of the hand, hip, and knee. </w:t>
      </w:r>
      <w:r>
        <w:rPr>
          <w:rFonts w:ascii="Book Antiqua" w:hAnsi="Book Antiqua"/>
          <w:i/>
          <w:iCs/>
        </w:rPr>
        <w:t>Arthritis Care Res (Hoboken)</w:t>
      </w:r>
      <w:r>
        <w:rPr>
          <w:rFonts w:ascii="Book Antiqua" w:hAnsi="Book Antiqua"/>
        </w:rPr>
        <w:t> 2012; </w:t>
      </w:r>
      <w:r>
        <w:rPr>
          <w:rFonts w:ascii="Book Antiqua" w:hAnsi="Book Antiqua"/>
          <w:b/>
          <w:bCs/>
        </w:rPr>
        <w:t>64</w:t>
      </w:r>
      <w:r>
        <w:rPr>
          <w:rFonts w:ascii="Book Antiqua" w:hAnsi="Book Antiqua"/>
        </w:rPr>
        <w:t>: 465-474 [PMID: 22563589 DOI: 10.1002/acr.21596]</w:t>
      </w:r>
    </w:p>
    <w:p w14:paraId="270F4AF7"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40 </w:t>
      </w:r>
      <w:r>
        <w:rPr>
          <w:rFonts w:ascii="Book Antiqua" w:hAnsi="Book Antiqua"/>
          <w:b/>
          <w:bCs/>
        </w:rPr>
        <w:t>Jevsevar DS</w:t>
      </w:r>
      <w:r>
        <w:rPr>
          <w:rFonts w:ascii="Book Antiqua" w:hAnsi="Book Antiqua"/>
        </w:rPr>
        <w:t>. Treatment of osteoarthritis of the knee: evidence-based guideline, 2nd edition. </w:t>
      </w:r>
      <w:r>
        <w:rPr>
          <w:rFonts w:ascii="Book Antiqua" w:hAnsi="Book Antiqua"/>
          <w:i/>
          <w:iCs/>
        </w:rPr>
        <w:t>J Am Acad Orthop Surg</w:t>
      </w:r>
      <w:r>
        <w:rPr>
          <w:rFonts w:ascii="Book Antiqua" w:hAnsi="Book Antiqua"/>
        </w:rPr>
        <w:t> 2013; </w:t>
      </w:r>
      <w:r>
        <w:rPr>
          <w:rFonts w:ascii="Book Antiqua" w:hAnsi="Book Antiqua"/>
          <w:b/>
          <w:bCs/>
        </w:rPr>
        <w:t>21</w:t>
      </w:r>
      <w:r>
        <w:rPr>
          <w:rFonts w:ascii="Book Antiqua" w:hAnsi="Book Antiqua"/>
        </w:rPr>
        <w:t>: 571-576 [PMID: 23996988 DOI: 10.5435/JAAOS-21-09-571]</w:t>
      </w:r>
    </w:p>
    <w:p w14:paraId="10BB9ADC"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41 </w:t>
      </w:r>
      <w:r>
        <w:rPr>
          <w:rFonts w:ascii="Book Antiqua" w:hAnsi="Book Antiqua"/>
          <w:b/>
          <w:bCs/>
        </w:rPr>
        <w:t>Zhang W</w:t>
      </w:r>
      <w:r>
        <w:rPr>
          <w:rFonts w:ascii="Book Antiqua" w:hAnsi="Book Antiqua"/>
        </w:rPr>
        <w:t>, Moskowitz RW, Nuki G, Abramson S, Altman RD, Arden N, Bierma-Zeinstra S, Brandt KD, Croft P, Doherty M, Dougados M, Hochberg M, Hunter DJ, Kwoh K, Lohmander LS, Tugwell P. OARSI recommendations for the management of hip and knee osteoarthritis, Part II: OARSI evidence-based, expert consensus guidelines. </w:t>
      </w:r>
      <w:r>
        <w:rPr>
          <w:rFonts w:ascii="Book Antiqua" w:hAnsi="Book Antiqua"/>
          <w:i/>
          <w:iCs/>
        </w:rPr>
        <w:t>Osteoarthritis Cartilage</w:t>
      </w:r>
      <w:r>
        <w:rPr>
          <w:rFonts w:ascii="Book Antiqua" w:hAnsi="Book Antiqua"/>
        </w:rPr>
        <w:t> 2008; </w:t>
      </w:r>
      <w:r>
        <w:rPr>
          <w:rFonts w:ascii="Book Antiqua" w:hAnsi="Book Antiqua"/>
          <w:b/>
          <w:bCs/>
        </w:rPr>
        <w:t>16</w:t>
      </w:r>
      <w:r>
        <w:rPr>
          <w:rFonts w:ascii="Book Antiqua" w:hAnsi="Book Antiqua"/>
        </w:rPr>
        <w:t>: 137-162 [PMID: 18279766 DOI: 10.1016/j.joca.2007.12.013]</w:t>
      </w:r>
    </w:p>
    <w:p w14:paraId="08309516" w14:textId="097D50C6"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2" w:name="OLE_LINK2572"/>
      <w:r w:rsidRPr="008D3260">
        <w:rPr>
          <w:rFonts w:ascii="Book Antiqua" w:hAnsi="Book Antiqua"/>
        </w:rPr>
        <w:t>42</w:t>
      </w:r>
      <w:r w:rsidRPr="008D3260">
        <w:rPr>
          <w:rFonts w:ascii="Book Antiqua" w:hAnsi="Book Antiqua"/>
          <w:b/>
          <w:bCs/>
        </w:rPr>
        <w:t xml:space="preserve"> National Collaborating Centre for Chronic Conditions (UK)</w:t>
      </w:r>
      <w:r w:rsidRPr="008D3260">
        <w:rPr>
          <w:rFonts w:ascii="Book Antiqua" w:hAnsi="Book Antiqua"/>
        </w:rPr>
        <w:t>. Osteoarthritis: National Clinical Guideline for Care and Mana-gement in Adults. London: Royal College of Physicians</w:t>
      </w:r>
      <w:r w:rsidR="00A7169B" w:rsidRPr="008D3260">
        <w:rPr>
          <w:rFonts w:ascii="Book Antiqua" w:hAnsi="Book Antiqua"/>
        </w:rPr>
        <w:t xml:space="preserve"> </w:t>
      </w:r>
      <w:r w:rsidRPr="008D3260">
        <w:rPr>
          <w:rFonts w:ascii="Book Antiqua" w:hAnsi="Book Antiqua"/>
        </w:rPr>
        <w:t>(UK)</w:t>
      </w:r>
      <w:r w:rsidR="008D3260" w:rsidRPr="008D3260">
        <w:rPr>
          <w:rFonts w:ascii="Book Antiqua" w:hAnsi="Book Antiqua"/>
        </w:rPr>
        <w:t>;</w:t>
      </w:r>
      <w:r w:rsidRPr="008D3260">
        <w:rPr>
          <w:rFonts w:ascii="Book Antiqua" w:hAnsi="Book Antiqua"/>
        </w:rPr>
        <w:t xml:space="preserve"> 2008</w:t>
      </w:r>
      <w:r w:rsidR="008D3260" w:rsidRPr="008D3260">
        <w:rPr>
          <w:rFonts w:ascii="Book Antiqua" w:hAnsi="Book Antiqua"/>
        </w:rPr>
        <w:t xml:space="preserve"> [PMID: 21290638]</w:t>
      </w:r>
    </w:p>
    <w:bookmarkEnd w:id="12"/>
    <w:p w14:paraId="4AD41215"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43 </w:t>
      </w:r>
      <w:r>
        <w:rPr>
          <w:rFonts w:ascii="Book Antiqua" w:hAnsi="Book Antiqua"/>
          <w:b/>
          <w:bCs/>
        </w:rPr>
        <w:t>Zhang W</w:t>
      </w:r>
      <w:r>
        <w:rPr>
          <w:rFonts w:ascii="Book Antiqua" w:hAnsi="Book Antiqua"/>
        </w:rPr>
        <w:t>, Doherty M, Leeb BF, Alekseeva L, Arden NK, Bijlsma JW, Dinçer F, Dziedzic K, Häuselmann HJ, Herrero-Beaumont G, Kaklamanis P, Lohmander S, Maheu E, Martín-Mola E, Pavelka K, Punzi L, Reiter S, Sautner J, Smolen J, Verbruggen G, Zimmermann-Górska I. EULAR evidence based recommendations for the management of hand osteoarthritis: report of a Task Force of the EULAR Standing Committee for International Clinical Studies Including Therapeutics (ESCISIT). </w:t>
      </w:r>
      <w:r>
        <w:rPr>
          <w:rFonts w:ascii="Book Antiqua" w:hAnsi="Book Antiqua"/>
          <w:i/>
          <w:iCs/>
        </w:rPr>
        <w:t>Ann Rheum Dis</w:t>
      </w:r>
      <w:r>
        <w:rPr>
          <w:rFonts w:ascii="Book Antiqua" w:hAnsi="Book Antiqua"/>
        </w:rPr>
        <w:t> 2007; </w:t>
      </w:r>
      <w:r>
        <w:rPr>
          <w:rFonts w:ascii="Book Antiqua" w:hAnsi="Book Antiqua"/>
          <w:b/>
          <w:bCs/>
        </w:rPr>
        <w:t>66</w:t>
      </w:r>
      <w:r>
        <w:rPr>
          <w:rFonts w:ascii="Book Antiqua" w:hAnsi="Book Antiqua"/>
        </w:rPr>
        <w:t>: 377-388 [PMID: 17046965 DOI: 10.1136/ard.2006.062091]</w:t>
      </w:r>
    </w:p>
    <w:p w14:paraId="44C68619" w14:textId="76F6CD00"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sidRPr="008D3260">
        <w:rPr>
          <w:rFonts w:ascii="Book Antiqua" w:hAnsi="Book Antiqua"/>
        </w:rPr>
        <w:t xml:space="preserve">44 </w:t>
      </w:r>
      <w:r w:rsidRPr="008D3260">
        <w:rPr>
          <w:rFonts w:ascii="Book Antiqua" w:hAnsi="Book Antiqua"/>
          <w:b/>
          <w:bCs/>
        </w:rPr>
        <w:t>National Clinical Guideline Centre (UK)</w:t>
      </w:r>
      <w:r w:rsidRPr="008D3260">
        <w:rPr>
          <w:rFonts w:ascii="Book Antiqua" w:hAnsi="Book Antiqua"/>
        </w:rPr>
        <w:t>. Osteoarthritis: the care and management of osteoarthritis in adults. London: National Institute for Health and Care Excellence (UK)</w:t>
      </w:r>
      <w:r w:rsidR="008D3260" w:rsidRPr="008D3260">
        <w:rPr>
          <w:rFonts w:ascii="Book Antiqua" w:hAnsi="Book Antiqua"/>
        </w:rPr>
        <w:t>;</w:t>
      </w:r>
      <w:r w:rsidRPr="008D3260">
        <w:rPr>
          <w:rFonts w:ascii="Book Antiqua" w:hAnsi="Book Antiqua"/>
        </w:rPr>
        <w:t xml:space="preserve"> 2014</w:t>
      </w:r>
      <w:r w:rsidR="008D3260" w:rsidRPr="008D3260">
        <w:rPr>
          <w:rFonts w:ascii="Book Antiqua" w:hAnsi="Book Antiqua"/>
        </w:rPr>
        <w:t xml:space="preserve"> [PMID: 25340227]</w:t>
      </w:r>
    </w:p>
    <w:p w14:paraId="0F133817"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45 </w:t>
      </w:r>
      <w:r>
        <w:rPr>
          <w:rFonts w:ascii="Book Antiqua" w:hAnsi="Book Antiqua"/>
          <w:b/>
          <w:bCs/>
        </w:rPr>
        <w:t>Komatsu T</w:t>
      </w:r>
      <w:r>
        <w:rPr>
          <w:rFonts w:ascii="Book Antiqua" w:hAnsi="Book Antiqua"/>
        </w:rPr>
        <w:t>, Sakurada T. Comparison of the efficacy and skin permeability of topical NSAID preparations used in Europe. </w:t>
      </w:r>
      <w:r>
        <w:rPr>
          <w:rFonts w:ascii="Book Antiqua" w:hAnsi="Book Antiqua"/>
          <w:i/>
          <w:iCs/>
        </w:rPr>
        <w:t>Eur J Pharm Sci</w:t>
      </w:r>
      <w:r>
        <w:rPr>
          <w:rFonts w:ascii="Book Antiqua" w:hAnsi="Book Antiqua"/>
        </w:rPr>
        <w:t> 2012; </w:t>
      </w:r>
      <w:r>
        <w:rPr>
          <w:rFonts w:ascii="Book Antiqua" w:hAnsi="Book Antiqua"/>
          <w:b/>
          <w:bCs/>
        </w:rPr>
        <w:t>47</w:t>
      </w:r>
      <w:r>
        <w:rPr>
          <w:rFonts w:ascii="Book Antiqua" w:hAnsi="Book Antiqua"/>
        </w:rPr>
        <w:t>: 890-895 [PMID: 22985876 DOI: 10.1016/j.ejps.2012.08.016]</w:t>
      </w:r>
    </w:p>
    <w:p w14:paraId="6F5B7703"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46 </w:t>
      </w:r>
      <w:r>
        <w:rPr>
          <w:rFonts w:ascii="Book Antiqua" w:hAnsi="Book Antiqua"/>
          <w:b/>
          <w:bCs/>
        </w:rPr>
        <w:t>Garnock-Jones KP</w:t>
      </w:r>
      <w:r>
        <w:rPr>
          <w:rFonts w:ascii="Book Antiqua" w:hAnsi="Book Antiqua"/>
        </w:rPr>
        <w:t>, Keating GM. Lidocaine 5% medicated plaster: a review of its use in postherpetic neuralgia. </w:t>
      </w:r>
      <w:r>
        <w:rPr>
          <w:rFonts w:ascii="Book Antiqua" w:hAnsi="Book Antiqua"/>
          <w:i/>
          <w:iCs/>
        </w:rPr>
        <w:t>Drugs</w:t>
      </w:r>
      <w:r>
        <w:rPr>
          <w:rFonts w:ascii="Book Antiqua" w:hAnsi="Book Antiqua"/>
        </w:rPr>
        <w:t> 2009; </w:t>
      </w:r>
      <w:r>
        <w:rPr>
          <w:rFonts w:ascii="Book Antiqua" w:hAnsi="Book Antiqua"/>
          <w:b/>
          <w:bCs/>
        </w:rPr>
        <w:t>69</w:t>
      </w:r>
      <w:r>
        <w:rPr>
          <w:rFonts w:ascii="Book Antiqua" w:hAnsi="Book Antiqua"/>
        </w:rPr>
        <w:t>: 2149-2165 [PMID: 19791831 DOI: 10.2165/11203220-000000000-00000]</w:t>
      </w:r>
    </w:p>
    <w:p w14:paraId="22F191D2"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47 </w:t>
      </w:r>
      <w:r>
        <w:rPr>
          <w:rFonts w:ascii="Book Antiqua" w:hAnsi="Book Antiqua"/>
          <w:b/>
          <w:bCs/>
        </w:rPr>
        <w:t>Zhang WY</w:t>
      </w:r>
      <w:r>
        <w:rPr>
          <w:rFonts w:ascii="Book Antiqua" w:hAnsi="Book Antiqua"/>
        </w:rPr>
        <w:t>, Li Wan Po A. The effectiveness of topically applied capsaicin. A meta-analysis. </w:t>
      </w:r>
      <w:r>
        <w:rPr>
          <w:rFonts w:ascii="Book Antiqua" w:hAnsi="Book Antiqua"/>
          <w:i/>
          <w:iCs/>
        </w:rPr>
        <w:t>Eur J Clin Pharmacol</w:t>
      </w:r>
      <w:r>
        <w:rPr>
          <w:rFonts w:ascii="Book Antiqua" w:hAnsi="Book Antiqua"/>
        </w:rPr>
        <w:t> 1994; </w:t>
      </w:r>
      <w:r>
        <w:rPr>
          <w:rFonts w:ascii="Book Antiqua" w:hAnsi="Book Antiqua"/>
          <w:b/>
          <w:bCs/>
        </w:rPr>
        <w:t>46</w:t>
      </w:r>
      <w:r>
        <w:rPr>
          <w:rFonts w:ascii="Book Antiqua" w:hAnsi="Book Antiqua"/>
        </w:rPr>
        <w:t>: 517-522 [PMID: 7995318 DOI: 10.1007/BF00196108]</w:t>
      </w:r>
    </w:p>
    <w:p w14:paraId="2873F623"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48 </w:t>
      </w:r>
      <w:r>
        <w:rPr>
          <w:rFonts w:ascii="Book Antiqua" w:hAnsi="Book Antiqua"/>
          <w:b/>
          <w:bCs/>
        </w:rPr>
        <w:t>Caplan L</w:t>
      </w:r>
      <w:r>
        <w:rPr>
          <w:rFonts w:ascii="Book Antiqua" w:hAnsi="Book Antiqua"/>
        </w:rPr>
        <w:t>, Pittman CB, Zeringue AL, Scherrer JF, Wehmeier KR, Cunningham FE, Eisen SA, McDonald JR. An observational study of musculoskeletal pain among patients receiving bisphosphonate therapy. </w:t>
      </w:r>
      <w:r>
        <w:rPr>
          <w:rFonts w:ascii="Book Antiqua" w:hAnsi="Book Antiqua"/>
          <w:i/>
          <w:iCs/>
        </w:rPr>
        <w:t>Mayo Clin Proc</w:t>
      </w:r>
      <w:r>
        <w:rPr>
          <w:rFonts w:ascii="Book Antiqua" w:hAnsi="Book Antiqua"/>
        </w:rPr>
        <w:t> 2010; </w:t>
      </w:r>
      <w:r>
        <w:rPr>
          <w:rFonts w:ascii="Book Antiqua" w:hAnsi="Book Antiqua"/>
          <w:b/>
          <w:bCs/>
        </w:rPr>
        <w:t>85</w:t>
      </w:r>
      <w:r>
        <w:rPr>
          <w:rFonts w:ascii="Book Antiqua" w:hAnsi="Book Antiqua"/>
        </w:rPr>
        <w:t>: 341-348 [PMID: 20231335 DOI: 10.4065/mcp.2009.0492]</w:t>
      </w:r>
    </w:p>
    <w:p w14:paraId="03B6762F"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49 </w:t>
      </w:r>
      <w:r>
        <w:rPr>
          <w:rFonts w:ascii="Book Antiqua" w:hAnsi="Book Antiqua"/>
          <w:b/>
          <w:bCs/>
        </w:rPr>
        <w:t>Gerdle B</w:t>
      </w:r>
      <w:r>
        <w:rPr>
          <w:rFonts w:ascii="Book Antiqua" w:hAnsi="Book Antiqua"/>
        </w:rPr>
        <w:t>, Ghafouri B, Ernberg M, Larsson B. Chronic musculoskeletal pain: review of mechanisms and biochemical biomarkers as assessed by the microdialysis technique. </w:t>
      </w:r>
      <w:r>
        <w:rPr>
          <w:rFonts w:ascii="Book Antiqua" w:hAnsi="Book Antiqua"/>
          <w:i/>
          <w:iCs/>
        </w:rPr>
        <w:t>J Pain Res</w:t>
      </w:r>
      <w:r>
        <w:rPr>
          <w:rFonts w:ascii="Book Antiqua" w:hAnsi="Book Antiqua"/>
        </w:rPr>
        <w:t> 2014; </w:t>
      </w:r>
      <w:r>
        <w:rPr>
          <w:rFonts w:ascii="Book Antiqua" w:hAnsi="Book Antiqua"/>
          <w:b/>
          <w:bCs/>
        </w:rPr>
        <w:t>7</w:t>
      </w:r>
      <w:r>
        <w:rPr>
          <w:rFonts w:ascii="Book Antiqua" w:hAnsi="Book Antiqua"/>
        </w:rPr>
        <w:t>: 313-326 [PMID: 24966693 DOI: 10.2147/JPR.S59144]</w:t>
      </w:r>
    </w:p>
    <w:p w14:paraId="09E097E8" w14:textId="77777777" w:rsidR="000F0D29" w:rsidRDefault="00712A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50 </w:t>
      </w:r>
      <w:r>
        <w:rPr>
          <w:rFonts w:ascii="Book Antiqua" w:hAnsi="Book Antiqua"/>
          <w:b/>
          <w:bCs/>
        </w:rPr>
        <w:t>Miller RE</w:t>
      </w:r>
      <w:r>
        <w:rPr>
          <w:rFonts w:ascii="Book Antiqua" w:hAnsi="Book Antiqua"/>
        </w:rPr>
        <w:t>, Malfait AM, Block JA. Current status of nerve growth factor antibodies for the treatment of osteoarthritis pain. </w:t>
      </w:r>
      <w:r>
        <w:rPr>
          <w:rFonts w:ascii="Book Antiqua" w:hAnsi="Book Antiqua"/>
          <w:i/>
          <w:iCs/>
        </w:rPr>
        <w:t>Clin Exp Rheumatol</w:t>
      </w:r>
      <w:r>
        <w:rPr>
          <w:rFonts w:ascii="Book Antiqua" w:hAnsi="Book Antiqua"/>
        </w:rPr>
        <w:t> 2017; </w:t>
      </w:r>
      <w:r>
        <w:rPr>
          <w:rFonts w:ascii="Book Antiqua" w:hAnsi="Book Antiqua"/>
          <w:b/>
          <w:bCs/>
        </w:rPr>
        <w:t>35 Suppl 107</w:t>
      </w:r>
      <w:r>
        <w:rPr>
          <w:rFonts w:ascii="Book Antiqua" w:hAnsi="Book Antiqua"/>
        </w:rPr>
        <w:t>: 85-87 [PMID: 28967370]</w:t>
      </w:r>
    </w:p>
    <w:bookmarkEnd w:id="8"/>
    <w:p w14:paraId="083066EB" w14:textId="77777777" w:rsidR="000F0D29" w:rsidRDefault="000F0D29">
      <w:pPr>
        <w:spacing w:line="360" w:lineRule="auto"/>
        <w:jc w:val="both"/>
      </w:pPr>
    </w:p>
    <w:bookmarkEnd w:id="9"/>
    <w:p w14:paraId="43E8EB5C" w14:textId="77777777" w:rsidR="000F0D29" w:rsidRDefault="000F0D29">
      <w:pPr>
        <w:spacing w:line="360" w:lineRule="auto"/>
        <w:jc w:val="both"/>
        <w:sectPr w:rsidR="000F0D29">
          <w:pgSz w:w="12240" w:h="15840"/>
          <w:pgMar w:top="1440" w:right="1440" w:bottom="1440" w:left="1440" w:header="720" w:footer="720" w:gutter="0"/>
          <w:cols w:space="720"/>
          <w:docGrid w:linePitch="360"/>
        </w:sectPr>
      </w:pPr>
    </w:p>
    <w:p w14:paraId="599A05C8" w14:textId="77777777" w:rsidR="000F0D29" w:rsidRDefault="00712A8D">
      <w:pPr>
        <w:spacing w:line="360" w:lineRule="auto"/>
        <w:jc w:val="both"/>
      </w:pPr>
      <w:r>
        <w:rPr>
          <w:rFonts w:ascii="Book Antiqua" w:eastAsia="Book Antiqua" w:hAnsi="Book Antiqua" w:cs="Book Antiqua"/>
          <w:b/>
          <w:color w:val="000000"/>
        </w:rPr>
        <w:t>Footnotes</w:t>
      </w:r>
    </w:p>
    <w:p w14:paraId="04DCAFF0" w14:textId="77777777" w:rsidR="000F0D29" w:rsidRDefault="00712A8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Authors declare no conflict of interests for this article.</w:t>
      </w:r>
    </w:p>
    <w:p w14:paraId="21563B58" w14:textId="77777777" w:rsidR="000F0D29" w:rsidRDefault="000F0D29">
      <w:pPr>
        <w:spacing w:line="360" w:lineRule="auto"/>
        <w:jc w:val="both"/>
      </w:pPr>
    </w:p>
    <w:p w14:paraId="042F5871" w14:textId="77777777" w:rsidR="000F0D29" w:rsidRDefault="00712A8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60A6BE" w14:textId="77777777" w:rsidR="000F0D29" w:rsidRDefault="000F0D29">
      <w:pPr>
        <w:spacing w:line="360" w:lineRule="auto"/>
        <w:jc w:val="both"/>
      </w:pPr>
    </w:p>
    <w:p w14:paraId="41E989A3" w14:textId="01F09D3D" w:rsidR="000F0D29" w:rsidRDefault="00712A8D">
      <w:pPr>
        <w:spacing w:line="360" w:lineRule="auto"/>
        <w:jc w:val="both"/>
      </w:pPr>
      <w:r>
        <w:rPr>
          <w:rFonts w:ascii="Book Antiqua" w:eastAsia="Book Antiqua" w:hAnsi="Book Antiqua" w:cs="Book Antiqua"/>
          <w:b/>
          <w:color w:val="000000"/>
        </w:rPr>
        <w:t xml:space="preserve">Manuscript source: </w:t>
      </w:r>
      <w:r w:rsidR="00B50BFD" w:rsidRPr="00B50BFD">
        <w:rPr>
          <w:rFonts w:ascii="Book Antiqua" w:eastAsia="Book Antiqua" w:hAnsi="Book Antiqua" w:cs="Book Antiqua"/>
          <w:color w:val="000000"/>
        </w:rPr>
        <w:t xml:space="preserve">Unsolicited </w:t>
      </w:r>
      <w:r w:rsidR="00B50BFD">
        <w:rPr>
          <w:rFonts w:ascii="Book Antiqua" w:eastAsia="Book Antiqua" w:hAnsi="Book Antiqua" w:cs="Book Antiqua"/>
          <w:color w:val="000000"/>
        </w:rPr>
        <w:t>m</w:t>
      </w:r>
      <w:r w:rsidR="00B50BFD" w:rsidRPr="00B50BFD">
        <w:rPr>
          <w:rFonts w:ascii="Book Antiqua" w:eastAsia="Book Antiqua" w:hAnsi="Book Antiqua" w:cs="Book Antiqua"/>
          <w:color w:val="000000"/>
        </w:rPr>
        <w:t>anuscript</w:t>
      </w:r>
    </w:p>
    <w:p w14:paraId="3751F80D" w14:textId="77777777" w:rsidR="000F0D29" w:rsidRDefault="000F0D29">
      <w:pPr>
        <w:spacing w:line="360" w:lineRule="auto"/>
        <w:jc w:val="both"/>
      </w:pPr>
    </w:p>
    <w:p w14:paraId="5EA5C949" w14:textId="77777777" w:rsidR="000F0D29" w:rsidRDefault="00712A8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30, 2020</w:t>
      </w:r>
    </w:p>
    <w:p w14:paraId="1927E910" w14:textId="77777777" w:rsidR="000F0D29" w:rsidRDefault="00712A8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2021</w:t>
      </w:r>
    </w:p>
    <w:p w14:paraId="2B24C1BD" w14:textId="761FF391" w:rsidR="000F0D29" w:rsidRDefault="00712A8D">
      <w:pPr>
        <w:spacing w:line="360" w:lineRule="auto"/>
        <w:jc w:val="both"/>
      </w:pPr>
      <w:r>
        <w:rPr>
          <w:rFonts w:ascii="Book Antiqua" w:eastAsia="Book Antiqua" w:hAnsi="Book Antiqua" w:cs="Book Antiqua"/>
          <w:b/>
          <w:color w:val="000000"/>
        </w:rPr>
        <w:t xml:space="preserve">Article in press: </w:t>
      </w:r>
      <w:r w:rsidR="00462F71" w:rsidRPr="00747931">
        <w:rPr>
          <w:rFonts w:ascii="Book Antiqua" w:eastAsia="Book Antiqua" w:hAnsi="Book Antiqua" w:cs="Book Antiqua"/>
          <w:color w:val="000000"/>
        </w:rPr>
        <w:t>March 9, 2021</w:t>
      </w:r>
    </w:p>
    <w:p w14:paraId="3C29289B" w14:textId="77777777" w:rsidR="000F0D29" w:rsidRDefault="000F0D29">
      <w:pPr>
        <w:spacing w:line="360" w:lineRule="auto"/>
        <w:jc w:val="both"/>
      </w:pPr>
    </w:p>
    <w:p w14:paraId="12079DF3" w14:textId="77777777" w:rsidR="000F0D29" w:rsidRDefault="00712A8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49432C5F" w14:textId="77777777" w:rsidR="000F0D29" w:rsidRDefault="00712A8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0A2216" w14:textId="77777777" w:rsidR="000F0D29" w:rsidRDefault="00712A8D">
      <w:pPr>
        <w:spacing w:line="360" w:lineRule="auto"/>
        <w:jc w:val="both"/>
      </w:pPr>
      <w:r>
        <w:rPr>
          <w:rFonts w:ascii="Book Antiqua" w:eastAsia="Book Antiqua" w:hAnsi="Book Antiqua" w:cs="Book Antiqua"/>
          <w:b/>
          <w:color w:val="000000"/>
        </w:rPr>
        <w:t>Peer-review report’s scientific quality classification</w:t>
      </w:r>
    </w:p>
    <w:p w14:paraId="6CCA7D35" w14:textId="77777777" w:rsidR="000F0D29" w:rsidRDefault="00712A8D">
      <w:pPr>
        <w:spacing w:line="360" w:lineRule="auto"/>
        <w:jc w:val="both"/>
      </w:pPr>
      <w:r>
        <w:rPr>
          <w:rFonts w:ascii="Book Antiqua" w:eastAsia="Book Antiqua" w:hAnsi="Book Antiqua" w:cs="Book Antiqua"/>
          <w:color w:val="000000"/>
        </w:rPr>
        <w:t>Grade A (Excellent): 0</w:t>
      </w:r>
    </w:p>
    <w:p w14:paraId="2F324494" w14:textId="77777777" w:rsidR="000F0D29" w:rsidRDefault="00712A8D">
      <w:pPr>
        <w:spacing w:line="360" w:lineRule="auto"/>
        <w:jc w:val="both"/>
      </w:pPr>
      <w:r>
        <w:rPr>
          <w:rFonts w:ascii="Book Antiqua" w:eastAsia="Book Antiqua" w:hAnsi="Book Antiqua" w:cs="Book Antiqua"/>
          <w:color w:val="000000"/>
        </w:rPr>
        <w:t>Grade B (Very good): B</w:t>
      </w:r>
    </w:p>
    <w:p w14:paraId="367DB204" w14:textId="77777777" w:rsidR="000F0D29" w:rsidRDefault="00712A8D">
      <w:pPr>
        <w:spacing w:line="360" w:lineRule="auto"/>
        <w:jc w:val="both"/>
      </w:pPr>
      <w:r>
        <w:rPr>
          <w:rFonts w:ascii="Book Antiqua" w:eastAsia="Book Antiqua" w:hAnsi="Book Antiqua" w:cs="Book Antiqua"/>
          <w:color w:val="000000"/>
        </w:rPr>
        <w:t>Grade C (Good): 0</w:t>
      </w:r>
    </w:p>
    <w:p w14:paraId="0F230B8A" w14:textId="77777777" w:rsidR="000F0D29" w:rsidRDefault="00712A8D">
      <w:pPr>
        <w:spacing w:line="360" w:lineRule="auto"/>
        <w:jc w:val="both"/>
      </w:pPr>
      <w:r>
        <w:rPr>
          <w:rFonts w:ascii="Book Antiqua" w:eastAsia="Book Antiqua" w:hAnsi="Book Antiqua" w:cs="Book Antiqua"/>
          <w:color w:val="000000"/>
        </w:rPr>
        <w:t>Grade D (Fair): 0</w:t>
      </w:r>
    </w:p>
    <w:p w14:paraId="4E7E5691" w14:textId="77777777" w:rsidR="000F0D29" w:rsidRDefault="00712A8D">
      <w:pPr>
        <w:spacing w:line="360" w:lineRule="auto"/>
        <w:jc w:val="both"/>
      </w:pPr>
      <w:r>
        <w:rPr>
          <w:rFonts w:ascii="Book Antiqua" w:eastAsia="Book Antiqua" w:hAnsi="Book Antiqua" w:cs="Book Antiqua"/>
          <w:color w:val="000000"/>
        </w:rPr>
        <w:t>Grade E (Poor): 0</w:t>
      </w:r>
    </w:p>
    <w:p w14:paraId="5FCBE3AC" w14:textId="77777777" w:rsidR="000F0D29" w:rsidRDefault="000F0D29">
      <w:pPr>
        <w:spacing w:line="360" w:lineRule="auto"/>
        <w:jc w:val="both"/>
      </w:pPr>
    </w:p>
    <w:p w14:paraId="2BEA2603" w14:textId="543DD291" w:rsidR="00211799" w:rsidRDefault="00712A8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Zhu XP</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w:t>
      </w:r>
      <w:r>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Pr>
          <w:rFonts w:ascii="Book Antiqua" w:eastAsia="Book Antiqua" w:hAnsi="Book Antiqua" w:cs="Book Antiqua"/>
          <w:b/>
          <w:color w:val="000000"/>
        </w:rPr>
        <w:t xml:space="preserve"> L-Editor:</w:t>
      </w:r>
      <w:r w:rsidRPr="00254A5E">
        <w:rPr>
          <w:rFonts w:ascii="Book Antiqua" w:eastAsia="Book Antiqua" w:hAnsi="Book Antiqua" w:cs="Book Antiqua"/>
          <w:color w:val="000000"/>
        </w:rPr>
        <w:t xml:space="preserve"> </w:t>
      </w:r>
      <w:r w:rsidR="00254A5E" w:rsidRPr="00254A5E">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Pr="00254A5E">
        <w:rPr>
          <w:rFonts w:ascii="Book Antiqua" w:eastAsia="Book Antiqua" w:hAnsi="Book Antiqua" w:cs="Book Antiqua"/>
          <w:color w:val="000000"/>
        </w:rPr>
        <w:t xml:space="preserve"> </w:t>
      </w:r>
      <w:bookmarkEnd w:id="0"/>
      <w:r w:rsidR="00254A5E" w:rsidRPr="00254A5E">
        <w:rPr>
          <w:rFonts w:ascii="Book Antiqua" w:eastAsia="Book Antiqua" w:hAnsi="Book Antiqua" w:cs="Book Antiqua" w:hint="eastAsia"/>
          <w:color w:val="000000"/>
        </w:rPr>
        <w:t>Wang LL</w:t>
      </w:r>
    </w:p>
    <w:p w14:paraId="62C3DB24" w14:textId="77777777" w:rsidR="00211799" w:rsidRDefault="00211799">
      <w:pPr>
        <w:rPr>
          <w:rFonts w:ascii="Book Antiqua" w:eastAsia="Book Antiqua" w:hAnsi="Book Antiqua" w:cs="Book Antiqua"/>
          <w:color w:val="000000"/>
        </w:rPr>
      </w:pPr>
      <w:r>
        <w:rPr>
          <w:rFonts w:ascii="Book Antiqua" w:eastAsia="Book Antiqua" w:hAnsi="Book Antiqua" w:cs="Book Antiqua"/>
          <w:color w:val="000000"/>
        </w:rPr>
        <w:br w:type="page"/>
      </w:r>
    </w:p>
    <w:p w14:paraId="65E0EFF6" w14:textId="77777777" w:rsidR="00211799" w:rsidRDefault="00211799" w:rsidP="00211799">
      <w:pPr>
        <w:jc w:val="center"/>
        <w:rPr>
          <w:rFonts w:ascii="Book Antiqua" w:hAnsi="Book Antiqua"/>
          <w:lang w:eastAsia="zh-CN"/>
        </w:rPr>
      </w:pPr>
    </w:p>
    <w:p w14:paraId="01628CAF" w14:textId="77777777" w:rsidR="00211799" w:rsidRDefault="00211799" w:rsidP="00211799">
      <w:pPr>
        <w:jc w:val="center"/>
        <w:rPr>
          <w:rFonts w:ascii="Book Antiqua" w:hAnsi="Book Antiqua"/>
          <w:lang w:eastAsia="zh-CN"/>
        </w:rPr>
      </w:pPr>
    </w:p>
    <w:p w14:paraId="3CBBC0A9" w14:textId="77777777" w:rsidR="00211799" w:rsidRDefault="00211799" w:rsidP="00211799">
      <w:pPr>
        <w:jc w:val="center"/>
        <w:rPr>
          <w:rFonts w:ascii="Book Antiqua" w:hAnsi="Book Antiqua"/>
          <w:lang w:eastAsia="zh-CN"/>
        </w:rPr>
      </w:pPr>
    </w:p>
    <w:p w14:paraId="09DAD7E2" w14:textId="77777777" w:rsidR="00211799" w:rsidRDefault="00211799" w:rsidP="00211799">
      <w:pPr>
        <w:jc w:val="center"/>
        <w:rPr>
          <w:rFonts w:ascii="Book Antiqua" w:hAnsi="Book Antiqua"/>
          <w:lang w:eastAsia="zh-CN"/>
        </w:rPr>
      </w:pPr>
    </w:p>
    <w:p w14:paraId="2B98B8CB" w14:textId="77777777" w:rsidR="00211799" w:rsidRDefault="00211799" w:rsidP="00211799">
      <w:pPr>
        <w:jc w:val="center"/>
        <w:rPr>
          <w:rFonts w:ascii="Book Antiqua" w:hAnsi="Book Antiqua"/>
          <w:lang w:eastAsia="zh-CN"/>
        </w:rPr>
      </w:pPr>
    </w:p>
    <w:p w14:paraId="1CF6065C" w14:textId="77777777" w:rsidR="00211799" w:rsidRDefault="00211799" w:rsidP="00211799">
      <w:pPr>
        <w:jc w:val="center"/>
        <w:rPr>
          <w:rFonts w:ascii="Book Antiqua" w:hAnsi="Book Antiqua"/>
          <w:lang w:eastAsia="zh-CN"/>
        </w:rPr>
      </w:pPr>
      <w:r>
        <w:rPr>
          <w:rFonts w:ascii="Book Antiqua" w:hAnsi="Book Antiqua"/>
          <w:noProof/>
          <w:lang w:eastAsia="zh-CN"/>
        </w:rPr>
        <w:drawing>
          <wp:inline distT="0" distB="0" distL="0" distR="0" wp14:anchorId="6D3C826B" wp14:editId="456422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5EBD42" w14:textId="77777777" w:rsidR="00211799" w:rsidRDefault="00211799" w:rsidP="00211799">
      <w:pPr>
        <w:jc w:val="center"/>
        <w:rPr>
          <w:rFonts w:ascii="Book Antiqua" w:hAnsi="Book Antiqua"/>
          <w:lang w:eastAsia="zh-CN"/>
        </w:rPr>
      </w:pPr>
    </w:p>
    <w:p w14:paraId="3E8F4B8B" w14:textId="77777777" w:rsidR="00211799" w:rsidRPr="00763D22" w:rsidRDefault="00211799" w:rsidP="0021179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A51E0AD" w14:textId="77777777" w:rsidR="00211799" w:rsidRPr="00763D22" w:rsidRDefault="00211799" w:rsidP="002117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22503C5" w14:textId="77777777" w:rsidR="00211799" w:rsidRPr="00763D22" w:rsidRDefault="00211799" w:rsidP="002117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0E7BDF" w14:textId="77777777" w:rsidR="00211799" w:rsidRPr="00763D22" w:rsidRDefault="00211799" w:rsidP="002117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B31C03" w14:textId="77777777" w:rsidR="00211799" w:rsidRPr="00763D22" w:rsidRDefault="00211799" w:rsidP="002117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467EA0" w14:textId="77777777" w:rsidR="00211799" w:rsidRPr="00763D22" w:rsidRDefault="00211799" w:rsidP="0021179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0748A4E" w14:textId="77777777" w:rsidR="00211799" w:rsidRDefault="00211799" w:rsidP="00211799">
      <w:pPr>
        <w:jc w:val="center"/>
        <w:rPr>
          <w:rFonts w:ascii="Book Antiqua" w:hAnsi="Book Antiqua"/>
          <w:lang w:eastAsia="zh-CN"/>
        </w:rPr>
      </w:pPr>
    </w:p>
    <w:p w14:paraId="51EAA56E" w14:textId="77777777" w:rsidR="00211799" w:rsidRDefault="00211799" w:rsidP="00211799">
      <w:pPr>
        <w:jc w:val="center"/>
        <w:rPr>
          <w:rFonts w:ascii="Book Antiqua" w:hAnsi="Book Antiqua"/>
          <w:lang w:eastAsia="zh-CN"/>
        </w:rPr>
      </w:pPr>
    </w:p>
    <w:p w14:paraId="31D957A9" w14:textId="77777777" w:rsidR="00211799" w:rsidRDefault="00211799" w:rsidP="00211799">
      <w:pPr>
        <w:jc w:val="center"/>
        <w:rPr>
          <w:rFonts w:ascii="Book Antiqua" w:hAnsi="Book Antiqua"/>
          <w:lang w:eastAsia="zh-CN"/>
        </w:rPr>
      </w:pPr>
    </w:p>
    <w:p w14:paraId="7A04BB0B" w14:textId="77777777" w:rsidR="00211799" w:rsidRDefault="00211799" w:rsidP="00211799">
      <w:pPr>
        <w:jc w:val="center"/>
        <w:rPr>
          <w:rFonts w:ascii="Book Antiqua" w:hAnsi="Book Antiqua"/>
          <w:lang w:eastAsia="zh-CN"/>
        </w:rPr>
      </w:pPr>
      <w:r>
        <w:rPr>
          <w:rFonts w:ascii="Book Antiqua" w:hAnsi="Book Antiqua"/>
          <w:noProof/>
          <w:lang w:eastAsia="zh-CN"/>
        </w:rPr>
        <w:drawing>
          <wp:inline distT="0" distB="0" distL="0" distR="0" wp14:anchorId="2D943985" wp14:editId="2A6F6CE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888E3B" w14:textId="77777777" w:rsidR="00211799" w:rsidRDefault="00211799" w:rsidP="00211799">
      <w:pPr>
        <w:jc w:val="center"/>
        <w:rPr>
          <w:rFonts w:ascii="Book Antiqua" w:hAnsi="Book Antiqua"/>
          <w:lang w:eastAsia="zh-CN"/>
        </w:rPr>
      </w:pPr>
    </w:p>
    <w:p w14:paraId="6BC54339" w14:textId="77777777" w:rsidR="00211799" w:rsidRDefault="00211799" w:rsidP="00211799">
      <w:pPr>
        <w:jc w:val="center"/>
        <w:rPr>
          <w:rFonts w:ascii="Book Antiqua" w:hAnsi="Book Antiqua"/>
          <w:lang w:eastAsia="zh-CN"/>
        </w:rPr>
      </w:pPr>
    </w:p>
    <w:p w14:paraId="09B0E117" w14:textId="77777777" w:rsidR="00211799" w:rsidRDefault="00211799" w:rsidP="00211799">
      <w:pPr>
        <w:jc w:val="center"/>
        <w:rPr>
          <w:rFonts w:ascii="Book Antiqua" w:hAnsi="Book Antiqua"/>
          <w:lang w:eastAsia="zh-CN"/>
        </w:rPr>
      </w:pPr>
    </w:p>
    <w:p w14:paraId="61B7DABD" w14:textId="77777777" w:rsidR="00211799" w:rsidRDefault="00211799" w:rsidP="00211799">
      <w:pPr>
        <w:jc w:val="center"/>
        <w:rPr>
          <w:rFonts w:ascii="Book Antiqua" w:hAnsi="Book Antiqua"/>
          <w:lang w:eastAsia="zh-CN"/>
        </w:rPr>
      </w:pPr>
    </w:p>
    <w:p w14:paraId="654F6504" w14:textId="77777777" w:rsidR="00211799" w:rsidRDefault="00211799" w:rsidP="00211799">
      <w:pPr>
        <w:jc w:val="center"/>
        <w:rPr>
          <w:rFonts w:ascii="Book Antiqua" w:hAnsi="Book Antiqua"/>
          <w:lang w:eastAsia="zh-CN"/>
        </w:rPr>
      </w:pPr>
    </w:p>
    <w:p w14:paraId="31E33AEC" w14:textId="77777777" w:rsidR="00211799" w:rsidRDefault="00211799" w:rsidP="00211799">
      <w:pPr>
        <w:jc w:val="center"/>
        <w:rPr>
          <w:rFonts w:ascii="Book Antiqua" w:hAnsi="Book Antiqua"/>
          <w:lang w:eastAsia="zh-CN"/>
        </w:rPr>
      </w:pPr>
    </w:p>
    <w:p w14:paraId="75583BDC" w14:textId="77777777" w:rsidR="00211799" w:rsidRDefault="00211799" w:rsidP="00211799">
      <w:pPr>
        <w:jc w:val="center"/>
        <w:rPr>
          <w:rFonts w:ascii="Book Antiqua" w:hAnsi="Book Antiqua"/>
          <w:lang w:eastAsia="zh-CN"/>
        </w:rPr>
      </w:pPr>
    </w:p>
    <w:p w14:paraId="54FD55BD" w14:textId="77777777" w:rsidR="00211799" w:rsidRDefault="00211799" w:rsidP="00211799">
      <w:pPr>
        <w:jc w:val="center"/>
        <w:rPr>
          <w:rFonts w:ascii="Book Antiqua" w:hAnsi="Book Antiqua"/>
          <w:lang w:eastAsia="zh-CN"/>
        </w:rPr>
      </w:pPr>
    </w:p>
    <w:p w14:paraId="15CF2661" w14:textId="77777777" w:rsidR="00211799" w:rsidRDefault="00211799" w:rsidP="00211799">
      <w:pPr>
        <w:jc w:val="center"/>
        <w:rPr>
          <w:rFonts w:ascii="Book Antiqua" w:hAnsi="Book Antiqua"/>
          <w:lang w:eastAsia="zh-CN"/>
        </w:rPr>
      </w:pPr>
    </w:p>
    <w:p w14:paraId="47000E3C" w14:textId="77777777" w:rsidR="00211799" w:rsidRPr="00763D22" w:rsidRDefault="00211799" w:rsidP="00211799">
      <w:pPr>
        <w:jc w:val="right"/>
        <w:rPr>
          <w:rFonts w:ascii="Book Antiqua" w:hAnsi="Book Antiqua"/>
          <w:color w:val="000000" w:themeColor="text1"/>
          <w:lang w:eastAsia="zh-CN"/>
        </w:rPr>
      </w:pPr>
    </w:p>
    <w:p w14:paraId="682EFA12" w14:textId="77777777" w:rsidR="00211799" w:rsidRPr="00763D22" w:rsidRDefault="00211799" w:rsidP="0021179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68CD7C1" w14:textId="77777777" w:rsidR="000F0D29" w:rsidRPr="00254A5E" w:rsidRDefault="000F0D29">
      <w:pPr>
        <w:spacing w:line="360" w:lineRule="auto"/>
        <w:jc w:val="both"/>
        <w:rPr>
          <w:rFonts w:ascii="Book Antiqua" w:eastAsia="Book Antiqua" w:hAnsi="Book Antiqua" w:cs="Book Antiqua"/>
          <w:color w:val="000000"/>
        </w:rPr>
      </w:pPr>
    </w:p>
    <w:sectPr w:rsidR="000F0D29" w:rsidRPr="00254A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686BF" w14:textId="77777777" w:rsidR="00C0645E" w:rsidRDefault="00C0645E">
      <w:r>
        <w:separator/>
      </w:r>
    </w:p>
  </w:endnote>
  <w:endnote w:type="continuationSeparator" w:id="0">
    <w:p w14:paraId="6666AEA9" w14:textId="77777777" w:rsidR="00C0645E" w:rsidRDefault="00C0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274178"/>
      <w:docPartObj>
        <w:docPartGallery w:val="AutoText"/>
      </w:docPartObj>
    </w:sdtPr>
    <w:sdtEndPr/>
    <w:sdtContent>
      <w:sdt>
        <w:sdtPr>
          <w:id w:val="860082579"/>
          <w:docPartObj>
            <w:docPartGallery w:val="AutoText"/>
          </w:docPartObj>
        </w:sdtPr>
        <w:sdtEndPr/>
        <w:sdtContent>
          <w:p w14:paraId="0B5E8D63" w14:textId="77777777" w:rsidR="000F0D29" w:rsidRDefault="00712A8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0645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0645E">
              <w:rPr>
                <w:b/>
                <w:bCs/>
                <w:noProof/>
              </w:rPr>
              <w:t>1</w:t>
            </w:r>
            <w:r>
              <w:rPr>
                <w:b/>
                <w:bCs/>
                <w:sz w:val="24"/>
                <w:szCs w:val="24"/>
              </w:rPr>
              <w:fldChar w:fldCharType="end"/>
            </w:r>
          </w:p>
        </w:sdtContent>
      </w:sdt>
    </w:sdtContent>
  </w:sdt>
  <w:p w14:paraId="4562CA15" w14:textId="77777777" w:rsidR="000F0D29" w:rsidRDefault="000F0D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F887" w14:textId="77777777" w:rsidR="00C0645E" w:rsidRDefault="00C0645E">
      <w:r>
        <w:separator/>
      </w:r>
    </w:p>
  </w:footnote>
  <w:footnote w:type="continuationSeparator" w:id="0">
    <w:p w14:paraId="138DEF24" w14:textId="77777777" w:rsidR="00C0645E" w:rsidRDefault="00C06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66C0"/>
    <w:rsid w:val="000C50AB"/>
    <w:rsid w:val="000D3582"/>
    <w:rsid w:val="000F0D29"/>
    <w:rsid w:val="000F73CD"/>
    <w:rsid w:val="00105D5F"/>
    <w:rsid w:val="001964EC"/>
    <w:rsid w:val="001A6D7D"/>
    <w:rsid w:val="001A7787"/>
    <w:rsid w:val="001B7975"/>
    <w:rsid w:val="00211799"/>
    <w:rsid w:val="00214B5C"/>
    <w:rsid w:val="00254A5E"/>
    <w:rsid w:val="002A407A"/>
    <w:rsid w:val="002F1CA1"/>
    <w:rsid w:val="00376E4E"/>
    <w:rsid w:val="003A3EB1"/>
    <w:rsid w:val="003D6828"/>
    <w:rsid w:val="00410047"/>
    <w:rsid w:val="00455683"/>
    <w:rsid w:val="00457052"/>
    <w:rsid w:val="00462F71"/>
    <w:rsid w:val="00496A7E"/>
    <w:rsid w:val="004B6271"/>
    <w:rsid w:val="004B708F"/>
    <w:rsid w:val="004D7CAB"/>
    <w:rsid w:val="004E1959"/>
    <w:rsid w:val="00543064"/>
    <w:rsid w:val="005536EA"/>
    <w:rsid w:val="005C5AF2"/>
    <w:rsid w:val="005C779F"/>
    <w:rsid w:val="005D6FBB"/>
    <w:rsid w:val="005F4B93"/>
    <w:rsid w:val="00621459"/>
    <w:rsid w:val="00622512"/>
    <w:rsid w:val="00627876"/>
    <w:rsid w:val="00636BD8"/>
    <w:rsid w:val="00660FDB"/>
    <w:rsid w:val="006732C0"/>
    <w:rsid w:val="00684055"/>
    <w:rsid w:val="00684B2A"/>
    <w:rsid w:val="006911CA"/>
    <w:rsid w:val="006F15B0"/>
    <w:rsid w:val="006F56F9"/>
    <w:rsid w:val="0070330B"/>
    <w:rsid w:val="00712A8D"/>
    <w:rsid w:val="007137E2"/>
    <w:rsid w:val="00733F12"/>
    <w:rsid w:val="00747931"/>
    <w:rsid w:val="00783A1D"/>
    <w:rsid w:val="007943D7"/>
    <w:rsid w:val="007C4DFD"/>
    <w:rsid w:val="007E2075"/>
    <w:rsid w:val="00890A23"/>
    <w:rsid w:val="008A215D"/>
    <w:rsid w:val="008A6F80"/>
    <w:rsid w:val="008D3260"/>
    <w:rsid w:val="00901C17"/>
    <w:rsid w:val="009142D5"/>
    <w:rsid w:val="009306BF"/>
    <w:rsid w:val="00953E70"/>
    <w:rsid w:val="00955991"/>
    <w:rsid w:val="009629C5"/>
    <w:rsid w:val="009A48FE"/>
    <w:rsid w:val="009B6062"/>
    <w:rsid w:val="00A163B0"/>
    <w:rsid w:val="00A4405B"/>
    <w:rsid w:val="00A5725C"/>
    <w:rsid w:val="00A63D14"/>
    <w:rsid w:val="00A64400"/>
    <w:rsid w:val="00A7169B"/>
    <w:rsid w:val="00A77B3E"/>
    <w:rsid w:val="00AF22CB"/>
    <w:rsid w:val="00B50BFD"/>
    <w:rsid w:val="00B91B0A"/>
    <w:rsid w:val="00B93B7A"/>
    <w:rsid w:val="00BA3A7C"/>
    <w:rsid w:val="00BB2263"/>
    <w:rsid w:val="00C05780"/>
    <w:rsid w:val="00C0645E"/>
    <w:rsid w:val="00C12BD0"/>
    <w:rsid w:val="00C22052"/>
    <w:rsid w:val="00C5269B"/>
    <w:rsid w:val="00C636AA"/>
    <w:rsid w:val="00CA11AF"/>
    <w:rsid w:val="00CA2A55"/>
    <w:rsid w:val="00CF008B"/>
    <w:rsid w:val="00D54247"/>
    <w:rsid w:val="00D84A76"/>
    <w:rsid w:val="00D937F8"/>
    <w:rsid w:val="00DC2005"/>
    <w:rsid w:val="00DC36B1"/>
    <w:rsid w:val="00DC5AAF"/>
    <w:rsid w:val="00DC6C68"/>
    <w:rsid w:val="00DF7073"/>
    <w:rsid w:val="00E565E2"/>
    <w:rsid w:val="00E70D8D"/>
    <w:rsid w:val="00E715B2"/>
    <w:rsid w:val="00EC218A"/>
    <w:rsid w:val="00EC63F5"/>
    <w:rsid w:val="00EE2819"/>
    <w:rsid w:val="00F025A1"/>
    <w:rsid w:val="00F14DE5"/>
    <w:rsid w:val="00F16F70"/>
    <w:rsid w:val="00F31632"/>
    <w:rsid w:val="00F37C54"/>
    <w:rsid w:val="00F64702"/>
    <w:rsid w:val="00F674D1"/>
    <w:rsid w:val="00F742A7"/>
    <w:rsid w:val="00F92455"/>
    <w:rsid w:val="00FA55F4"/>
    <w:rsid w:val="00FB49B6"/>
    <w:rsid w:val="00FB75BA"/>
    <w:rsid w:val="00FC7796"/>
    <w:rsid w:val="00FE24AC"/>
    <w:rsid w:val="00FF49FA"/>
    <w:rsid w:val="384E5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9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character" w:styleId="a9">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8"/>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character" w:styleId="a9">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8"/>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5660</Words>
  <Characters>32264</Characters>
  <Application>Microsoft Office Word</Application>
  <DocSecurity>0</DocSecurity>
  <Lines>268</Lines>
  <Paragraphs>75</Paragraphs>
  <ScaleCrop>false</ScaleCrop>
  <Company/>
  <LinksUpToDate>false</LinksUpToDate>
  <CharactersWithSpaces>37849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liujihong2008@qq.con</cp:lastModifiedBy>
  <cp:revision>14</cp:revision>
  <dcterms:created xsi:type="dcterms:W3CDTF">2021-03-24T02:36:00Z</dcterms:created>
  <dcterms:modified xsi:type="dcterms:W3CDTF">2021-03-26T00:58:00Z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