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551F" w14:textId="0418DFF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Name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Journal: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World</w:t>
      </w:r>
      <w:r w:rsidR="002D689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Journal</w:t>
      </w:r>
      <w:r w:rsidR="002D689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of</w:t>
      </w:r>
      <w:r w:rsidR="002D689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4B926B0A" w14:textId="23060DA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Manuscript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NO: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63350</w:t>
      </w:r>
    </w:p>
    <w:p w14:paraId="4B21444F" w14:textId="1DC60778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Manuscript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Type: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3AE9" w:rsidRPr="00E5152A">
        <w:rPr>
          <w:rFonts w:ascii="Book Antiqua" w:eastAsia="Book Antiqua" w:hAnsi="Book Antiqua" w:cs="Book Antiqua"/>
          <w:color w:val="000000"/>
        </w:rPr>
        <w:t>MINIREVIEWS</w:t>
      </w:r>
    </w:p>
    <w:p w14:paraId="56467732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57939A" w14:textId="3E63678B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biological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changes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obesity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diabetes</w:t>
      </w:r>
    </w:p>
    <w:p w14:paraId="02C65E01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1104CA" w14:textId="6F1C6FF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biological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</w:p>
    <w:p w14:paraId="1AF1643F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9F8B78" w14:textId="0B965EDB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Shirou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Tomomi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Fusa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Jun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Rieko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Sakamoto,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Kimotoshi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</w:p>
    <w:p w14:paraId="38B6587B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6D3103" w14:textId="772CE61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Shirou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Matsumoto,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Fusa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Nagamatsu,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Kido,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Kimotoshi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Nakamura,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Faculty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860-8556,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</w:p>
    <w:p w14:paraId="65FE211F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4984B7" w14:textId="51930EA1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Tomomi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Nakamura,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Rieko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Sakamoto,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Perinatal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Hospital,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860-8556,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</w:p>
    <w:p w14:paraId="5C75543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2DC0B7" w14:textId="3F4EEDCC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contributed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equally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Sakamoto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designed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research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searching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 xml:space="preserve">of the </w:t>
      </w:r>
      <w:r w:rsidRPr="00E5152A">
        <w:rPr>
          <w:rFonts w:ascii="Book Antiqua" w:eastAsia="Book Antiqua" w:hAnsi="Book Antiqua" w:cs="Book Antiqua"/>
          <w:color w:val="000000"/>
        </w:rPr>
        <w:t>literature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independently</w:t>
      </w:r>
      <w:r w:rsidRPr="00E5152A">
        <w:rPr>
          <w:rFonts w:ascii="Book Antiqua" w:eastAsia="Book Antiqua" w:hAnsi="Book Antiqua" w:cs="Book Antiqua"/>
          <w:color w:val="000000"/>
        </w:rPr>
        <w:t>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wrote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manuscript;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A</w:t>
      </w:r>
      <w:r w:rsidRPr="00E5152A">
        <w:rPr>
          <w:rFonts w:ascii="Book Antiqua" w:eastAsia="Book Antiqua" w:hAnsi="Book Antiqua" w:cs="Book Antiqua"/>
          <w:color w:val="000000"/>
        </w:rPr>
        <w:t>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authors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read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approve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manuscript.</w:t>
      </w:r>
    </w:p>
    <w:p w14:paraId="2246FF6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D83EE9" w14:textId="2E238766" w:rsidR="00BD340C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Promotion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JP15K09625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part);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International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Council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Research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Funding,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ICAASJ001.</w:t>
      </w:r>
    </w:p>
    <w:p w14:paraId="0AE13714" w14:textId="77777777" w:rsidR="00BD340C" w:rsidRPr="00E5152A" w:rsidRDefault="00BD340C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A9988C" w14:textId="304559F2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Shirou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Matsumoto,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Faculty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1-1-1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Honjo,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Chu-o-ku,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860-8556,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s-pediat@gpo.kumamoto-u.ac.jp</w:t>
      </w:r>
    </w:p>
    <w:p w14:paraId="714E0FB1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CFB86" w14:textId="0E81A9D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January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27,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1F0A3832" w14:textId="4CA60E9A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23,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661A9AF2" w14:textId="3CBE760C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0C2E" w:rsidRPr="00F40C2E">
        <w:rPr>
          <w:rFonts w:ascii="Book Antiqua" w:eastAsia="Book Antiqua" w:hAnsi="Book Antiqua" w:cs="Book Antiqua"/>
          <w:color w:val="000000"/>
        </w:rPr>
        <w:t>April 23, 2021</w:t>
      </w:r>
    </w:p>
    <w:p w14:paraId="153F5B61" w14:textId="77777777" w:rsidR="00D97E67" w:rsidRPr="00E5152A" w:rsidRDefault="0040272F" w:rsidP="00D97E6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97E67" w:rsidRPr="002011D5">
        <w:rPr>
          <w:rFonts w:ascii="Book Antiqua" w:eastAsia="Book Antiqua" w:hAnsi="Book Antiqua" w:cs="Book Antiqua"/>
          <w:color w:val="000000" w:themeColor="text1"/>
        </w:rPr>
        <w:t>April 2</w:t>
      </w:r>
      <w:r w:rsidR="00D97E67">
        <w:rPr>
          <w:rFonts w:ascii="Book Antiqua" w:hAnsi="Book Antiqua" w:cs="Book Antiqua" w:hint="eastAsia"/>
          <w:color w:val="000000" w:themeColor="text1"/>
          <w:lang w:eastAsia="zh-CN"/>
        </w:rPr>
        <w:t>8</w:t>
      </w:r>
      <w:r w:rsidR="00D97E67" w:rsidRPr="002011D5">
        <w:rPr>
          <w:rFonts w:ascii="Book Antiqua" w:eastAsia="Book Antiqua" w:hAnsi="Book Antiqua" w:cs="Book Antiqua"/>
          <w:color w:val="000000" w:themeColor="text1"/>
        </w:rPr>
        <w:t>, 2021</w:t>
      </w:r>
    </w:p>
    <w:p w14:paraId="25B72C61" w14:textId="729B6AB8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2E3F61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5152A" w:rsidSect="00BF20F8">
          <w:footerReference w:type="default" r:id="rId8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C426AA5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01FFE8" w14:textId="7950B93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Organization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serious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challenges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21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century.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Overweightness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le</w:t>
      </w:r>
      <w:r w:rsidR="009815D4">
        <w:rPr>
          <w:rFonts w:ascii="Book Antiqua" w:eastAsia="Book Antiqua" w:hAnsi="Book Antiqua" w:cs="Book Antiqua"/>
          <w:color w:val="000000"/>
        </w:rPr>
        <w:t>a</w:t>
      </w:r>
      <w:r w:rsidR="00950BC8" w:rsidRPr="00E5152A">
        <w:rPr>
          <w:rFonts w:ascii="Book Antiqua" w:eastAsia="Book Antiqua" w:hAnsi="Book Antiqua" w:cs="Book Antiqua"/>
          <w:color w:val="000000"/>
        </w:rPr>
        <w:t>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overweightness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adulthood,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conferring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chronic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inflammatory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conditions,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cardiovascular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non-alcoholic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cancers.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Therefore,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targeted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screening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very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indicated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could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pathways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searched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clinical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addressing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8A60CE" w:rsidRPr="00E5152A">
        <w:rPr>
          <w:rFonts w:ascii="Book Antiqua" w:eastAsia="Book Antiqua" w:hAnsi="Book Antiqua" w:cs="Book Antiqua"/>
          <w:color w:val="000000"/>
        </w:rPr>
        <w:t>IR)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inception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February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 w:rsidRPr="00E5152A">
        <w:rPr>
          <w:rFonts w:ascii="Book Antiqua" w:eastAsia="Book Antiqua" w:hAnsi="Book Antiqua" w:cs="Book Antiqua"/>
          <w:color w:val="000000"/>
        </w:rPr>
        <w:t>Medline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Web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815D4" w:rsidRPr="00E5152A">
        <w:rPr>
          <w:rFonts w:ascii="Book Antiqua" w:eastAsia="Book Antiqua" w:hAnsi="Book Antiqua" w:cs="Book Antiqua"/>
          <w:color w:val="000000"/>
        </w:rPr>
        <w:t>Scopus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According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our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search,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BCAAs),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aromatic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phenylalanine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could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nondiabetic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known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regulates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950BC8"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IR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interpret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behind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very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pathways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combinations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summarize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</w:p>
    <w:p w14:paraId="66C31117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7386D4" w14:textId="64A9D504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0AF1B0BA" w14:textId="77777777" w:rsidR="0069720C" w:rsidRDefault="0069720C" w:rsidP="0069720C">
      <w:pPr>
        <w:spacing w:line="360" w:lineRule="auto"/>
        <w:jc w:val="both"/>
        <w:rPr>
          <w:lang w:eastAsia="zh-CN"/>
        </w:rPr>
      </w:pPr>
    </w:p>
    <w:p w14:paraId="75159061" w14:textId="77777777" w:rsidR="0069720C" w:rsidRPr="00026CB8" w:rsidRDefault="0069720C" w:rsidP="0069720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5750DE03" w14:textId="77777777" w:rsidR="0069720C" w:rsidRPr="009C101B" w:rsidRDefault="0069720C" w:rsidP="0069720C">
      <w:pPr>
        <w:spacing w:line="360" w:lineRule="auto"/>
        <w:jc w:val="both"/>
        <w:rPr>
          <w:lang w:eastAsia="zh-CN"/>
        </w:rPr>
      </w:pPr>
    </w:p>
    <w:p w14:paraId="4F102FEA" w14:textId="4A7D3FE5" w:rsidR="0069720C" w:rsidRDefault="0069720C" w:rsidP="0069720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Matsumoto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Nagamatsu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Kido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J,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Sakamoto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Nakamura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biological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changes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diabetes.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2021;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94EE7" w:rsidRPr="009F5A26">
        <w:rPr>
          <w:rFonts w:ascii="Book Antiqua" w:eastAsia="Book Antiqua" w:hAnsi="Book Antiqua" w:cs="Book Antiqua"/>
          <w:color w:val="000000"/>
        </w:rPr>
        <w:t>2021; 9(</w:t>
      </w:r>
      <w:r w:rsidR="00894EE7">
        <w:rPr>
          <w:rFonts w:ascii="Book Antiqua" w:hAnsi="Book Antiqua" w:cs="Book Antiqua" w:hint="eastAsia"/>
          <w:color w:val="000000"/>
          <w:lang w:eastAsia="zh-CN"/>
        </w:rPr>
        <w:t>2</w:t>
      </w:r>
      <w:r w:rsidR="00894EE7" w:rsidRPr="009F5A26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/>
          <w:color w:val="000000"/>
          <w:lang w:eastAsia="zh-CN"/>
        </w:rPr>
        <w:t>153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hAnsi="Book Antiqua" w:cs="Book Antiqua"/>
          <w:color w:val="000000"/>
          <w:lang w:eastAsia="zh-CN"/>
        </w:rPr>
        <w:t>163</w:t>
      </w:r>
    </w:p>
    <w:p w14:paraId="2E5A3345" w14:textId="28DE2496" w:rsidR="0069720C" w:rsidRDefault="00894EE7" w:rsidP="0069720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F5A26">
        <w:rPr>
          <w:rFonts w:ascii="Book Antiqua" w:eastAsia="Book Antiqua" w:hAnsi="Book Antiqua" w:cs="Book Antiqua"/>
          <w:color w:val="000000"/>
        </w:rPr>
        <w:lastRenderedPageBreak/>
        <w:t>URL: https://www.wjgnet.com/2308-3840/full/v9/i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9F5A26">
        <w:rPr>
          <w:rFonts w:ascii="Book Antiqua" w:eastAsia="Book Antiqua" w:hAnsi="Book Antiqua" w:cs="Book Antiqua"/>
          <w:color w:val="000000"/>
        </w:rPr>
        <w:t>/</w:t>
      </w:r>
      <w:r w:rsidR="0069720C">
        <w:rPr>
          <w:rFonts w:ascii="Book Antiqua" w:hAnsi="Book Antiqua" w:cs="Book Antiqua"/>
          <w:color w:val="000000"/>
          <w:lang w:eastAsia="zh-CN"/>
        </w:rPr>
        <w:t>153</w:t>
      </w:r>
      <w:r w:rsidRPr="009F5A26">
        <w:rPr>
          <w:rFonts w:ascii="Book Antiqua" w:eastAsia="Book Antiqua" w:hAnsi="Book Antiqua" w:cs="Book Antiqua"/>
          <w:color w:val="000000"/>
        </w:rPr>
        <w:t xml:space="preserve">.htm  </w:t>
      </w:r>
    </w:p>
    <w:p w14:paraId="4155E73C" w14:textId="388CBE7A" w:rsidR="00A77B3E" w:rsidRPr="00E5152A" w:rsidRDefault="00894EE7" w:rsidP="0069720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F5A26">
        <w:rPr>
          <w:rFonts w:ascii="Book Antiqua" w:eastAsia="Book Antiqua" w:hAnsi="Book Antiqua" w:cs="Book Antiqua"/>
          <w:color w:val="000000"/>
        </w:rPr>
        <w:t>DOI: https://dx.doi.org/10.13105/wjma.v9.i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9F5A26">
        <w:rPr>
          <w:rFonts w:ascii="Book Antiqua" w:eastAsia="Book Antiqua" w:hAnsi="Book Antiqua" w:cs="Book Antiqua"/>
          <w:color w:val="000000"/>
        </w:rPr>
        <w:t>.</w:t>
      </w:r>
      <w:r w:rsidR="0069720C">
        <w:rPr>
          <w:rFonts w:ascii="Book Antiqua" w:hAnsi="Book Antiqua" w:cs="Book Antiqua"/>
          <w:color w:val="000000"/>
          <w:lang w:eastAsia="zh-CN"/>
        </w:rPr>
        <w:t>153</w:t>
      </w:r>
    </w:p>
    <w:p w14:paraId="1794AE7C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F67BAD" w14:textId="28DF9D1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tool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reliable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literature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however,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concerning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limited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lack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regarding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Here,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explain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discuss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biological/metabolic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features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overgrown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enhanced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understanding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33F37144" w14:textId="24E67E25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480CA4" w14:textId="77777777" w:rsidR="002D6897" w:rsidRDefault="002D6897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2D6897" w:rsidSect="00BF20F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D4D1A3E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70DF5CD" w14:textId="38372CED" w:rsidR="00907C01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overweight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15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5 years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2016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41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2D689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Symptomatic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present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5</w:t>
      </w:r>
      <w:r w:rsidR="00907C01" w:rsidRPr="00E5152A">
        <w:rPr>
          <w:rFonts w:ascii="Book Antiqua" w:hAnsi="Book Antiqua" w:cs="Book Antiqua"/>
          <w:color w:val="000000"/>
          <w:lang w:eastAsia="zh-CN"/>
        </w:rPr>
        <w:t>%-</w:t>
      </w:r>
      <w:r w:rsidRPr="00E5152A">
        <w:rPr>
          <w:rFonts w:ascii="Book Antiqua" w:eastAsia="Book Antiqua" w:hAnsi="Book Antiqua" w:cs="Book Antiqua"/>
          <w:color w:val="000000"/>
        </w:rPr>
        <w:t>15%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onset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elementary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grade.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Although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published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underlying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remain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partially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understood.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hyperlipidemia,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hypertension,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mellitus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T2DM),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cardiovascular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disorders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Moreover,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hyperlipidemia,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Between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1980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2014,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number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million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422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million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accounting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&gt;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90%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cases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detection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prevent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0B598C14" w14:textId="2F1D2F23" w:rsidR="00A77B3E" w:rsidRPr="00E5152A" w:rsidRDefault="0040272F" w:rsidP="00E5152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Recently,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conducted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screening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diagnosis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avails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information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indications.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About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141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reliable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articles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published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Samples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collected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blood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urine.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Detection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methods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varied,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liquid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chromatography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tandem-mass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07C01" w:rsidRPr="00E5152A">
        <w:rPr>
          <w:rFonts w:ascii="Book Antiqua" w:eastAsia="Book Antiqua" w:hAnsi="Book Antiqua" w:cs="Book Antiqua"/>
          <w:color w:val="000000"/>
        </w:rPr>
        <w:t>spectrometry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chromatography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tandem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spectrometry,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time-of-flight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spectrometry,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nuclear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magnetic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resonance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spectroscopy.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Detected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IR),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upregulated: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isoleucine,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glutamate,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palmitic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2-aminoadipic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lysine;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downregulated: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citrulline),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palmitic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propionyl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carnitine,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carnitine,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2-aminoadipic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Evidently,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complex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manner;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however,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seems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according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literature.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focus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explain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established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date.</w:t>
      </w:r>
    </w:p>
    <w:p w14:paraId="055F909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3BBD76" w14:textId="1A86429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SYSTEMATIC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REVIEW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METABOLOMICS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PEDIATRIC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OBESITY</w:t>
      </w:r>
      <w:r w:rsidR="002D689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6EDCE4D" w14:textId="59058466" w:rsidR="00907C01" w:rsidRPr="00907C01" w:rsidRDefault="00907C01" w:rsidP="00E5152A">
      <w:pPr>
        <w:adjustRightInd w:val="0"/>
        <w:snapToGrid w:val="0"/>
        <w:spacing w:line="360" w:lineRule="auto"/>
        <w:jc w:val="both"/>
        <w:rPr>
          <w:rFonts w:ascii="Book Antiqua" w:eastAsia="Yu Mincho" w:hAnsi="Book Antiqua" w:cs="宋体"/>
          <w:color w:val="000000"/>
          <w:lang w:eastAsia="zh-CN"/>
        </w:rPr>
      </w:pPr>
      <w:r w:rsidRPr="00907C01">
        <w:rPr>
          <w:rFonts w:ascii="Book Antiqua" w:eastAsia="Yu Mincho" w:hAnsi="Book Antiqua" w:cs="宋体"/>
          <w:color w:val="000000"/>
          <w:lang w:eastAsia="zh-CN"/>
        </w:rPr>
        <w:t>We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searched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clinical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data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addressing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metabolomic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profiles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and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IR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children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with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obesity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from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inception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to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February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2021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="009815D4">
        <w:rPr>
          <w:rFonts w:ascii="Book Antiqua" w:eastAsia="Yu Mincho" w:hAnsi="Book Antiqua" w:cs="宋体"/>
          <w:color w:val="000000"/>
          <w:lang w:eastAsia="zh-CN"/>
        </w:rPr>
        <w:t>i</w:t>
      </w:r>
      <w:r w:rsidRPr="00907C01">
        <w:rPr>
          <w:rFonts w:ascii="Book Antiqua" w:eastAsia="Yu Mincho" w:hAnsi="Book Antiqua" w:cs="宋体"/>
          <w:color w:val="000000"/>
          <w:lang w:eastAsia="zh-CN"/>
        </w:rPr>
        <w:t>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="009815D4">
        <w:rPr>
          <w:rFonts w:ascii="Book Antiqua" w:eastAsia="Yu Mincho" w:hAnsi="Book Antiqua" w:cs="宋体"/>
          <w:color w:val="000000"/>
          <w:lang w:eastAsia="zh-CN"/>
        </w:rPr>
        <w:t>M</w:t>
      </w:r>
      <w:r w:rsidR="009815D4" w:rsidRPr="00907C01">
        <w:rPr>
          <w:rFonts w:ascii="Book Antiqua" w:eastAsia="Yu Mincho" w:hAnsi="Book Antiqua" w:cs="宋体"/>
          <w:color w:val="000000"/>
          <w:lang w:eastAsia="zh-CN"/>
        </w:rPr>
        <w:t>edline</w:t>
      </w:r>
      <w:r w:rsidRPr="00907C01">
        <w:rPr>
          <w:rFonts w:ascii="Book Antiqua" w:eastAsia="Yu Mincho" w:hAnsi="Book Antiqua" w:cs="宋体"/>
          <w:color w:val="000000"/>
          <w:lang w:eastAsia="zh-CN"/>
        </w:rPr>
        <w:t>,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Web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of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Science,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and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E5152A">
        <w:rPr>
          <w:rFonts w:ascii="Book Antiqua" w:eastAsia="Yu Mincho" w:hAnsi="Book Antiqua" w:cs="宋体"/>
          <w:color w:val="000000"/>
          <w:lang w:eastAsia="zh-CN"/>
        </w:rPr>
        <w:t>Scopus</w:t>
      </w:r>
      <w:r w:rsidRPr="00907C01">
        <w:rPr>
          <w:rFonts w:ascii="Book Antiqua" w:eastAsia="Yu Mincho" w:hAnsi="Book Antiqua" w:cs="宋体"/>
          <w:color w:val="000000"/>
          <w:lang w:eastAsia="zh-CN"/>
        </w:rPr>
        <w:t>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lastRenderedPageBreak/>
        <w:t>search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strategy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was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based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medical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subject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headings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terms.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Variant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combinations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of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following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terms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were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applied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during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search: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“childhood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obesity,”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“obese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children,”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“pediatric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obesity,”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“IR,”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“metabolomics,”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“amino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acids,”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and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“lipids”.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Inclusion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and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exclusion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criteria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have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been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described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previous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study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="003E69D4" w:rsidRPr="00E5152A">
        <w:rPr>
          <w:rFonts w:ascii="Book Antiqua" w:eastAsia="Yu Mincho" w:hAnsi="Book Antiqua" w:cs="宋体"/>
          <w:color w:val="000000"/>
          <w:lang w:eastAsia="zh-CN"/>
        </w:rPr>
        <w:t>(</w:t>
      </w:r>
      <w:r w:rsidRPr="00907C01">
        <w:rPr>
          <w:rFonts w:ascii="Book Antiqua" w:eastAsia="Yu Mincho" w:hAnsi="Book Antiqua" w:cs="宋体"/>
          <w:color w:val="000000"/>
          <w:lang w:eastAsia="zh-CN"/>
        </w:rPr>
        <w:t>39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Using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Metabolomic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Profiles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Biomarkers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for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Insulin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Resistance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Childhood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Obesity: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Systematic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Review).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="003F752D" w:rsidRPr="00E5152A">
        <w:rPr>
          <w:rFonts w:ascii="Book Antiqua" w:eastAsia="Yu Mincho" w:hAnsi="Book Antiqua" w:cs="宋体"/>
          <w:color w:val="000000"/>
          <w:lang w:eastAsia="zh-CN"/>
        </w:rPr>
        <w:t>QUADOMICS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was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used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to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evaluate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methodological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quality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of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included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studies.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performed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literature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selection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according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to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PRISMA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protocol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shown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Figure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1</w:t>
      </w:r>
      <w:r w:rsidRPr="00907C01">
        <w:rPr>
          <w:rFonts w:ascii="Book Antiqua" w:eastAsia="Yu Mincho" w:hAnsi="Book Antiqua" w:cs="宋体"/>
          <w:color w:val="000000"/>
          <w:vertAlign w:val="superscript"/>
          <w:lang w:eastAsia="zh-CN"/>
        </w:rPr>
        <w:t>[7]</w:t>
      </w:r>
      <w:r w:rsidRPr="00907C01">
        <w:rPr>
          <w:rFonts w:ascii="Book Antiqua" w:eastAsia="Yu Mincho" w:hAnsi="Book Antiqua" w:cs="宋体"/>
          <w:color w:val="000000"/>
          <w:lang w:eastAsia="zh-CN"/>
        </w:rPr>
        <w:t>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this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review,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summarize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not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only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systematically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reviewed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data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but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also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basic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studies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that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help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understanding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metabolic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changes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in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children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with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obesity.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were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able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to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detect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13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reliable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clinical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studies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after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systematic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selection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="003E69D4" w:rsidRPr="00E5152A">
        <w:rPr>
          <w:rFonts w:ascii="Book Antiqua" w:eastAsia="Yu Mincho" w:hAnsi="Book Antiqua" w:cs="宋体"/>
          <w:color w:val="000000"/>
          <w:lang w:eastAsia="zh-CN"/>
        </w:rPr>
        <w:t>(</w:t>
      </w:r>
      <w:r w:rsidRPr="00907C01">
        <w:rPr>
          <w:rFonts w:ascii="Book Antiqua" w:eastAsia="Yu Mincho" w:hAnsi="Book Antiqua" w:cs="宋体"/>
          <w:color w:val="000000"/>
          <w:lang w:eastAsia="zh-CN"/>
        </w:rPr>
        <w:t>Table</w:t>
      </w:r>
      <w:r w:rsidR="002D6897">
        <w:rPr>
          <w:rFonts w:ascii="Book Antiqua" w:eastAsia="Yu Mincho" w:hAnsi="Book Antiqua" w:cs="宋体"/>
          <w:color w:val="000000"/>
          <w:lang w:eastAsia="zh-CN"/>
        </w:rPr>
        <w:t xml:space="preserve"> </w:t>
      </w:r>
      <w:r w:rsidRPr="00907C01">
        <w:rPr>
          <w:rFonts w:ascii="Book Antiqua" w:eastAsia="Yu Mincho" w:hAnsi="Book Antiqua" w:cs="宋体"/>
          <w:color w:val="000000"/>
          <w:lang w:eastAsia="zh-CN"/>
        </w:rPr>
        <w:t>1).</w:t>
      </w:r>
    </w:p>
    <w:p w14:paraId="14E03D53" w14:textId="2BB2D6F9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9D4A61" w14:textId="3F4374A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AMINO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ACID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PROFILES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DURING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CHILDHOOD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HEALTHY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CHILDREN</w:t>
      </w:r>
    </w:p>
    <w:p w14:paraId="70AFC8DE" w14:textId="153C20DE" w:rsidR="003F752D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tends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construction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bodies.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summarized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namely,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arginine,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asparagine,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methionine,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ornithine,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phenylalanine,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threonine,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first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birth.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 xml:space="preserve">1 </w:t>
      </w:r>
      <w:r w:rsidRPr="00E5152A">
        <w:rPr>
          <w:rFonts w:ascii="Book Antiqua" w:eastAsia="Book Antiqua" w:hAnsi="Book Antiqua" w:cs="Book Antiqua"/>
          <w:color w:val="000000"/>
        </w:rPr>
        <w:t>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throughout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adolescence.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namely,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cystine,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glutamine,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histidine,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isoleucine,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lysine,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tryptophan,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steady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throughout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infancy,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adolescence.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namely,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aspartic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citrulline,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glutamic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taurine,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show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steady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throughout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58C72B90" w14:textId="3D589613" w:rsidR="00A77B3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similar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described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</w:t>
      </w:r>
      <w:r w:rsidR="00156032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sensitivity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observed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likely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hormone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secretion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differences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="002D6897" w:rsidRP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peripheral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Particularly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puberty,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cardiovascular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BMI),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IGF-1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l</w:t>
      </w:r>
      <w:r w:rsidRPr="00E5152A">
        <w:rPr>
          <w:rFonts w:ascii="Book Antiqua" w:eastAsia="Book Antiqua" w:hAnsi="Book Antiqua" w:cs="Book Antiqua"/>
          <w:color w:val="000000"/>
        </w:rPr>
        <w:t>evel,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triglyceride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 xml:space="preserve">(TG) </w:t>
      </w:r>
      <w:r w:rsidRPr="00E5152A">
        <w:rPr>
          <w:rFonts w:ascii="Book Antiqua" w:eastAsia="Book Antiqua" w:hAnsi="Book Antiqua" w:cs="Book Antiqua"/>
          <w:color w:val="000000"/>
        </w:rPr>
        <w:t>level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Hosking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ED7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B6ED7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BCAAs),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0B6ED7" w:rsidRPr="00E5152A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ketobutyrate,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citrate,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</w:t>
      </w:r>
      <w:r w:rsidR="000B6ED7" w:rsidRPr="00E5152A">
        <w:rPr>
          <w:rFonts w:ascii="Book Antiqua" w:eastAsia="宋体" w:hAnsi="Book Antiqua" w:cs="宋体"/>
          <w:color w:val="000000"/>
          <w:lang w:eastAsia="zh-CN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hydroxybutyrate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lactate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alanine.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portray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biochemical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consequences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rapid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ketogenesis,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pyruvate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oxidation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normal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development.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undergo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potentially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body,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should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considered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thoroughly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matched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sufficiently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evaluating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results.</w:t>
      </w:r>
    </w:p>
    <w:p w14:paraId="6BDF1CA9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5B6811" w14:textId="36BBFBB1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REGULATES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GLUCOSE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METABOLISM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MODIFIES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AMINO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ACID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METABOLISM</w:t>
      </w:r>
    </w:p>
    <w:p w14:paraId="653679CC" w14:textId="7DDF8E4F" w:rsidR="000B6ED7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regulates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mainly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gluconeogenesis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glycogenolysis,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storage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promotes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uptake,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storage,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responsible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potassium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transport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differentiation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adipocytes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production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ovaries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retention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sodium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kidney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functions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specific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kinase-type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transmembrane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receptor.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receptors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transduction,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insulin-receptor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substrate-1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PI3K,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activates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phosphorylates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GSK-3b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activity,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Figure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09ABAF35" w14:textId="2DA0012B" w:rsidR="00A77B3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degradation,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reduces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essential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post-absorptive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infusion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hypoaminoacidemia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does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stimulate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skeletal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splanchnic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tissues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post-absorptive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infusion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muscle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degradation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does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enhance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intake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[10,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growing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Table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1A6D4BD0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022FF2" w14:textId="31089288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PREDIABETES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0B6ED7"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T2DM</w:t>
      </w:r>
    </w:p>
    <w:p w14:paraId="321B7A4B" w14:textId="67B97A7D" w:rsidR="008A60C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summarized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Figure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known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phenomenon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first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Felig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1969.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aromatic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ArAAs),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individuals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compared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age-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sex-matched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Consequently,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Newgard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2009</w:t>
      </w:r>
      <w:r w:rsidR="002D689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principal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component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datasets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comprised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organic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identified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cluster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comprising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 w:rsidRPr="00E5152A">
        <w:rPr>
          <w:rFonts w:ascii="Book Antiqua" w:eastAsia="Book Antiqua" w:hAnsi="Book Antiqua" w:cs="Book Antiqua"/>
          <w:color w:val="000000"/>
        </w:rPr>
        <w:t>ArAAs</w:t>
      </w:r>
      <w:r w:rsidR="00156032" w:rsidRPr="00E5152A" w:rsidDel="00156032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Glu/Gln,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suggesting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fundamental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alteration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insulin-resistant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hand,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negatively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measured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model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assessment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HOMA)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hyperinsulinemic-euglycemic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clamp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patients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1.5-fold,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2-fold,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healthy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below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1.5-fold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1.2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1.3).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reproducible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statistically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</w:p>
    <w:p w14:paraId="7C4BC228" w14:textId="540E010D" w:rsidR="008A60C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cross-sectional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syndrome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varying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Asian-Indian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Singapore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controlled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average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24)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extremes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sensitivity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Atherosclerosis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effects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combined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aerobic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training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insulin-resistant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1ABB446F" w14:textId="46A9F459" w:rsidR="008A60C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Another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candidate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2-aminoadipic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2-AAA),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strongly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incident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T2DM,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quartile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&gt;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4-fold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2-AAA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independent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because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 w:rsidRPr="00E5152A">
        <w:rPr>
          <w:rFonts w:ascii="Book Antiqua" w:eastAsia="Book Antiqua" w:hAnsi="Book Antiqua" w:cs="Book Antiqua"/>
          <w:color w:val="000000"/>
        </w:rPr>
        <w:t>ArAAs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study.</w:t>
      </w:r>
    </w:p>
    <w:p w14:paraId="1ED455F2" w14:textId="010FE6FB" w:rsidR="00A77B3E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between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certain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commonly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measured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clinical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chemistry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laboratories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-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TG</w:t>
      </w:r>
      <w:r w:rsidR="00156032" w:rsidRPr="00E5152A">
        <w:rPr>
          <w:rFonts w:ascii="Book Antiqua" w:eastAsia="Book Antiqua" w:hAnsi="Book Antiqua" w:cs="Book Antiqua"/>
          <w:color w:val="000000"/>
        </w:rPr>
        <w:t>s</w:t>
      </w:r>
      <w:r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cholesterol,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nonesterified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-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recognized,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conclude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driven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perturbed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homeostasis.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Application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broader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appreciation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maladies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cases,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outcomes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development.</w:t>
      </w:r>
    </w:p>
    <w:p w14:paraId="52F1E32E" w14:textId="77777777" w:rsidR="00A77B3E" w:rsidRPr="00E5152A" w:rsidRDefault="00A77B3E" w:rsidP="00E5152A">
      <w:pPr>
        <w:adjustRightInd w:val="0"/>
        <w:snapToGrid w:val="0"/>
        <w:spacing w:line="360" w:lineRule="auto"/>
        <w:ind w:firstLine="120"/>
        <w:jc w:val="both"/>
        <w:rPr>
          <w:rFonts w:ascii="Book Antiqua" w:hAnsi="Book Antiqua"/>
        </w:rPr>
      </w:pPr>
    </w:p>
    <w:p w14:paraId="24A53361" w14:textId="4451814C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OBESITY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A60CE" w:rsidRPr="00E5152A">
        <w:rPr>
          <w:rFonts w:ascii="Book Antiqua" w:eastAsia="Book Antiqua" w:hAnsi="Book Antiqua" w:cs="Book Antiqua"/>
          <w:b/>
          <w:bCs/>
          <w:color w:val="000000"/>
          <w:u w:val="single"/>
        </w:rPr>
        <w:t>IR</w:t>
      </w:r>
    </w:p>
    <w:p w14:paraId="0922CD4C" w14:textId="1392D656" w:rsidR="00473AE9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Perng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262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6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</w:t>
      </w:r>
      <w:r w:rsidR="00156032">
        <w:rPr>
          <w:rFonts w:ascii="Book Antiqua" w:eastAsia="Book Antiqua" w:hAnsi="Book Antiqua" w:cs="Book Antiqua"/>
          <w:color w:val="000000"/>
        </w:rPr>
        <w:t xml:space="preserve"> of age</w:t>
      </w:r>
      <w:r w:rsidRPr="00E5152A">
        <w:rPr>
          <w:rFonts w:ascii="Book Antiqua" w:eastAsia="Book Antiqua" w:hAnsi="Book Antiqua" w:cs="Book Antiqua"/>
          <w:color w:val="000000"/>
        </w:rPr>
        <w:t>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androgen-hormone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adiposity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cardiometabolic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corresponded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6%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95%</w:t>
      </w:r>
      <w:r w:rsidR="00156032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Pr="00E5152A">
        <w:rPr>
          <w:rFonts w:ascii="Book Antiqua" w:eastAsia="Book Antiqua" w:hAnsi="Book Antiqua" w:cs="Book Antiqua"/>
          <w:color w:val="000000"/>
        </w:rPr>
        <w:t>CI</w:t>
      </w:r>
      <w:r w:rsidR="00156032">
        <w:rPr>
          <w:rFonts w:ascii="Book Antiqua" w:eastAsia="Book Antiqua" w:hAnsi="Book Antiqua" w:cs="Book Antiqua"/>
          <w:color w:val="000000"/>
        </w:rPr>
        <w:t>)</w:t>
      </w:r>
      <w:r w:rsidRPr="00E5152A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1%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13%)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HOMA-IR.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8A60CE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also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corresponding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4.82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95%CI: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0.92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8.71)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mg/dL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fasting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TG</w:t>
      </w:r>
      <w:r w:rsidR="00156032" w:rsidRPr="00E5152A">
        <w:rPr>
          <w:rFonts w:ascii="Book Antiqua" w:eastAsia="Book Antiqua" w:hAnsi="Book Antiqua" w:cs="Book Antiqua"/>
          <w:color w:val="000000"/>
        </w:rPr>
        <w:t>s</w:t>
      </w:r>
      <w:r w:rsidR="00156032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4.17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0.03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8.32</w:t>
      </w:r>
      <w:r w:rsidR="008A60CE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mg/dL</w:t>
      </w:r>
      <w:r w:rsidR="008A60CE" w:rsidRPr="00E5152A">
        <w:rPr>
          <w:rFonts w:ascii="Book Antiqua" w:eastAsia="Book Antiqua" w:hAnsi="Book Antiqua" w:cs="Book Antiqua"/>
          <w:color w:val="000000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androgen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pattern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leptin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A60CE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-2.35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-4.34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-0.35</w:t>
      </w:r>
      <w:r w:rsidR="008A60CE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ng/dL</w:t>
      </w:r>
      <w:r w:rsidR="008A60CE" w:rsidRPr="00E5152A">
        <w:rPr>
          <w:rFonts w:ascii="Book Antiqua" w:eastAsia="Book Antiqua" w:hAnsi="Book Antiqua" w:cs="Book Antiqua"/>
          <w:color w:val="000000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C-reactive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670F78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0.28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0.03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0.54</w:t>
      </w:r>
      <w:r w:rsidR="00670F78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mg/dL</w:t>
      </w:r>
      <w:r w:rsidR="00670F78" w:rsidRPr="00E5152A">
        <w:rPr>
          <w:rFonts w:ascii="Book Antiqua" w:eastAsia="Book Antiqua" w:hAnsi="Book Antiqua" w:cs="Book Antiqua"/>
          <w:color w:val="000000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relationships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percentile.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differences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biomarkers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Newbern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byproducts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teenage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girls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comparable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BMI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z-scores.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comprising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positively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HOMA-IR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TG-to-high-density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lipoprotein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ratio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females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inversely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adiponectin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females.</w:t>
      </w:r>
    </w:p>
    <w:p w14:paraId="7BD563D6" w14:textId="0C5DC9AB" w:rsidR="00473AE9" w:rsidRPr="00E5152A" w:rsidRDefault="0040272F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Perng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also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overweight/obesity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phenotypes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524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approximately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demonstrated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diacylglycerols,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steroid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hormones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status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phenotype.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Xia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urinary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overweight/obesity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l</w:t>
      </w:r>
      <w:r w:rsidRPr="00E5152A">
        <w:rPr>
          <w:rFonts w:ascii="Book Antiqua" w:eastAsia="Book Antiqua" w:hAnsi="Book Antiqua" w:cs="Book Antiqua"/>
          <w:color w:val="000000"/>
        </w:rPr>
        <w:t>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discovered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mono-n-butyl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phthalate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MnBP)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exposure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overweight/obesity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disrupted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arginine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might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played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important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role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putative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obesogenesis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MnBP.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Moran-Ramos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Research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Mexican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conducted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Mexico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included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control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1120),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cross-sectional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554),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longitudinal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301)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6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12-year-old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Principal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component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presented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composed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arginine,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leucine/isoleucine,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phenylalanine,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73AE9" w:rsidRPr="00E5152A">
        <w:rPr>
          <w:rFonts w:ascii="Book Antiqua" w:eastAsia="Book Antiqua" w:hAnsi="Book Antiqua" w:cs="Book Antiqua"/>
          <w:color w:val="000000"/>
        </w:rPr>
        <w:t>[</w:t>
      </w:r>
      <w:r w:rsidRPr="00E5152A">
        <w:rPr>
          <w:rFonts w:ascii="Book Antiqua" w:eastAsia="Book Antiqua" w:hAnsi="Book Antiqua" w:cs="Book Antiqua"/>
          <w:color w:val="000000"/>
        </w:rPr>
        <w:t>odds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ratio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473AE9" w:rsidRPr="00E5152A">
        <w:rPr>
          <w:rFonts w:ascii="Book Antiqua" w:eastAsia="Book Antiqua" w:hAnsi="Book Antiqua" w:cs="Book Antiqua"/>
          <w:color w:val="000000"/>
        </w:rPr>
        <w:t>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1.57;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95%CI: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1.45</w:t>
      </w:r>
      <w:r w:rsidR="002D6897">
        <w:rPr>
          <w:rFonts w:ascii="Book Antiqua" w:eastAsia="Book Antiqua" w:hAnsi="Book Antiqua" w:cs="Book Antiqua"/>
          <w:color w:val="000000"/>
        </w:rPr>
        <w:t>-</w:t>
      </w:r>
      <w:r w:rsidRPr="00E5152A">
        <w:rPr>
          <w:rFonts w:ascii="Book Antiqua" w:eastAsia="Book Antiqua" w:hAnsi="Book Antiqua" w:cs="Book Antiqua"/>
          <w:color w:val="000000"/>
        </w:rPr>
        <w:t>1.69,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3.84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×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10-31)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56032">
        <w:rPr>
          <w:rFonts w:ascii="Book Antiqua" w:eastAsia="Book Antiqua" w:hAnsi="Book Antiqua" w:cs="Book Antiqua"/>
          <w:color w:val="000000"/>
        </w:rPr>
        <w:t>TG</w:t>
      </w:r>
      <w:r w:rsidR="00156032" w:rsidRPr="00E5152A">
        <w:rPr>
          <w:rFonts w:ascii="Book Antiqua" w:eastAsia="Book Antiqua" w:hAnsi="Book Antiqua" w:cs="Book Antiqua"/>
          <w:color w:val="000000"/>
        </w:rPr>
        <w:t>s</w:t>
      </w:r>
      <w:r w:rsidR="00156032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β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0.067,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4.5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×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10-21).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longitudinal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cohort,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hypertriglyceridemia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1.19;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95%CI: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1.03–1.39,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0.016).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independent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hypertriglyceridemia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Goffredo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78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30)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48)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non-alcoholic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liver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NAFLD)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assessed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magnetic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resonance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imaging.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Adolescents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NAFLD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had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0.02),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isoleucine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0.03),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tryptophan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0.02),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lysine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0.02)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adjustment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confounding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negatively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peripheral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hepatic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sensitivity.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valine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hepatic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follow-up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=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0.01).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Hellmuth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studied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80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before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70608C">
        <w:rPr>
          <w:rFonts w:ascii="Book Antiqua" w:eastAsia="Book Antiqua" w:hAnsi="Book Antiqua" w:cs="Book Antiqua"/>
          <w:color w:val="000000"/>
        </w:rPr>
        <w:t>1</w:t>
      </w:r>
      <w:r w:rsidRPr="00E5152A">
        <w:rPr>
          <w:rFonts w:ascii="Book Antiqua" w:eastAsia="Book Antiqua" w:hAnsi="Book Antiqua" w:cs="Book Antiqua"/>
          <w:color w:val="000000"/>
        </w:rPr>
        <w:t>-year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lifestyle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program.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73AE9"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&lt;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0.05)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end</w:t>
      </w:r>
      <w:r w:rsidR="0070608C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intervention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73AE9" w:rsidRPr="00E5152A">
        <w:rPr>
          <w:rFonts w:ascii="Book Antiqua" w:eastAsia="Book Antiqua" w:hAnsi="Book Antiqua" w:cs="Book Antiqua"/>
          <w:i/>
          <w:iCs/>
          <w:color w:val="000000"/>
        </w:rPr>
        <w:t>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&lt;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0.05).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47D82" w:rsidRPr="00E5152A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47D82" w:rsidRPr="00E5152A">
        <w:rPr>
          <w:rFonts w:ascii="Book Antiqua" w:eastAsia="Book Antiqua" w:hAnsi="Book Antiqua" w:cs="Book Antiqua"/>
          <w:color w:val="000000"/>
        </w:rPr>
        <w:t>1</w:t>
      </w:r>
      <w:r w:rsidRPr="00E5152A">
        <w:rPr>
          <w:rFonts w:ascii="Book Antiqua" w:eastAsia="Book Antiqua" w:hAnsi="Book Antiqua" w:cs="Book Antiqua"/>
          <w:color w:val="000000"/>
        </w:rPr>
        <w:t>86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109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Korean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years.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higher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observed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lower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acyl-alkyl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phosphatidylcholines.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positively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HOMA-IR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continuous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metabolic-risk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score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2-year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follow-up.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Baseline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concentration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identified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future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risk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syndrome.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C79A7" w:rsidRPr="00E5152A">
        <w:rPr>
          <w:rFonts w:ascii="Book Antiqua" w:eastAsia="Book Antiqua" w:hAnsi="Book Antiqua" w:cs="Book Antiqua"/>
          <w:color w:val="000000"/>
        </w:rPr>
        <w:t>Butte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C79A7" w:rsidRPr="00E5152A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analyzed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353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Hispanic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450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lastRenderedPageBreak/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BCAA-catabolites,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propionylcarnitine,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butyrylcarnitine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significantly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elevated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7ECF5978" w14:textId="63038F76" w:rsidR="00A77B3E" w:rsidRPr="00E5152A" w:rsidRDefault="00DD0FE1" w:rsidP="00E5152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Mastrangelo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2016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profiles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prepubertal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found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ArAA</w:t>
      </w:r>
      <w:r w:rsidR="0070608C">
        <w:rPr>
          <w:rFonts w:ascii="Book Antiqua" w:eastAsia="Book Antiqua" w:hAnsi="Book Antiqua" w:cs="Book Antiqua"/>
          <w:color w:val="000000"/>
        </w:rPr>
        <w:t>s</w:t>
      </w:r>
      <w:r w:rsidR="0040272F" w:rsidRPr="00E5152A">
        <w:rPr>
          <w:rFonts w:ascii="Book Antiqua" w:eastAsia="Book Antiqua" w:hAnsi="Book Antiqua" w:cs="Book Antiqua"/>
          <w:color w:val="000000"/>
        </w:rPr>
        <w:t>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alanine,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ketoisocaproic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pyruvate,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C4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acylcarnitines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both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color w:val="000000"/>
        </w:rPr>
        <w:t>Figure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4).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addition,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carnitine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3-hydroxyutyrate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presenting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IR.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Because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potentially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compete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transport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mammalian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cells,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elevation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serum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indicate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disruption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transportation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brain,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excess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Suzuki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473AE9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2019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about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relationship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among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lipids,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metabolism.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study,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HOMA-IR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positively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correlated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ArAAs,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Glu/Gln,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statistical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significance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0272F"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mechanism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underlying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profiling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determined;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however,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hypothesis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been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suggested.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Pozefsky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suggested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impaired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activity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utilization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muscles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levels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owing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uptake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muscles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lifestyle-related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diseases.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Newgard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reasoned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circulating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blood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insulin-resistant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subjects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partly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results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decline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color w:val="000000"/>
        </w:rPr>
        <w:t>AA)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Readily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usable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lipid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substrates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considered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obviate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need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catabolism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downregulation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enzymes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through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suppression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peroxisome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proliferator-activated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receptor-γ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signaling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adaptations.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73AE9" w:rsidRPr="00E5152A">
        <w:rPr>
          <w:rFonts w:ascii="Book Antiqua" w:eastAsia="Book Antiqua" w:hAnsi="Book Antiqua" w:cs="Book Antiqua"/>
          <w:color w:val="000000"/>
        </w:rPr>
        <w:t>Würtz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gluconeogenesis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substrates,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including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adults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impaired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glucose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tolerance.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Moreover,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Shimizu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D689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reported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depletion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serves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plasma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fibroblast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growth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factor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21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values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enhance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liver-fat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communication,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resulting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activation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lipolytic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genes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circulating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result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part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oxidation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adipose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tissue,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coordinated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transcriptional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suppression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enzymes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phosphorylation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inactivation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ketoacid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dehydrogenase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color w:val="000000"/>
        </w:rPr>
        <w:t>BCKDH)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complex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liver,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fewer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taken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up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blood.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Rodent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models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exhibit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hepatic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inhibitory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BCKDH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kinase,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BDK,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reduced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expression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activating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BCKDH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phosphatase,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PPM1K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0272F"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Transplantation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from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humans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germ-free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causes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significant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increase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circulating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obesity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37820" w:rsidRPr="00E5152A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40272F" w:rsidRPr="00E5152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0272F"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candidate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donor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BCAA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biosynthetic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pathways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induced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gut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obese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compared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lean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color w:val="000000"/>
        </w:rPr>
        <w:t>humans.</w:t>
      </w:r>
    </w:p>
    <w:p w14:paraId="73A85C1B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E28068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E4D31DC" w14:textId="79DE6FE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Obesity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several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complications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adulthood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critical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issue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resolved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protected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against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Metabolomics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common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tool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investigating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adult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also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children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data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potentially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provide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clear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fundamental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mechanism</w:t>
      </w:r>
      <w:r w:rsidR="00950BC8" w:rsidRPr="00E5152A">
        <w:rPr>
          <w:rFonts w:ascii="Book Antiqua" w:eastAsia="Book Antiqua" w:hAnsi="Book Antiqua" w:cs="Book Antiqua"/>
          <w:color w:val="000000"/>
        </w:rPr>
        <w:t>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evaluations.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Nutrient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factors,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glucose,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lipids,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relate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each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nevertheless,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critical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modifier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obesity.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Because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reflect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change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intestinal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microbiota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modulators,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monitoring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metabolome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analysis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useful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method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predict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disorders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during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childhood.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427E6C42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0C07AE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38F60AB" w14:textId="38B3A780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We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thank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staff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our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institution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cooperated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collection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patient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samples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well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those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Department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Central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Clinical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Laboratory,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Kumamoto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University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Hospital,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performed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laboratory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examinations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cervical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ultrasonography.</w:t>
      </w:r>
    </w:p>
    <w:p w14:paraId="5E7C84BE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29F165" w14:textId="79BBDFBC" w:rsidR="00D84BD6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9A0C25" w14:textId="0DA0A901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0" w:name="OLE_LINK2902"/>
      <w:bookmarkStart w:id="1" w:name="OLE_LINK2903"/>
      <w:r w:rsidRPr="00E5152A">
        <w:rPr>
          <w:rFonts w:ascii="Book Antiqua" w:hAnsi="Book Antiqua"/>
        </w:rPr>
        <w:t>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Must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Strauss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consequences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Int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Obes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Relat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Disord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23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Suppl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S2-11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10340798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10.1038/sj.ijo.0800852]</w:t>
      </w:r>
    </w:p>
    <w:p w14:paraId="40D0C21B" w14:textId="35815D13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Styne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DM</w:t>
      </w:r>
      <w:r w:rsidRPr="00E5152A">
        <w:rPr>
          <w:rFonts w:ascii="Book Antiqua" w:hAnsi="Book Antiqua"/>
        </w:rPr>
        <w:t>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Prevalence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significance.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North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2001;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823-854,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11494639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10.1016/s0031-3955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05)70344-8]</w:t>
      </w:r>
    </w:p>
    <w:p w14:paraId="23B35768" w14:textId="6C5CA3E4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lastRenderedPageBreak/>
        <w:t>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NCD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Risk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Factor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Collaboration</w:t>
      </w:r>
      <w:r w:rsidR="002D6897">
        <w:rPr>
          <w:rFonts w:ascii="Book Antiqua" w:hAnsi="Book Antiqua"/>
          <w:b/>
          <w:bCs/>
        </w:rPr>
        <w:t xml:space="preserve"> </w:t>
      </w:r>
      <w:r w:rsidR="003E69D4" w:rsidRPr="00E5152A">
        <w:rPr>
          <w:rFonts w:ascii="Book Antiqua" w:hAnsi="Book Antiqua"/>
          <w:b/>
          <w:bCs/>
        </w:rPr>
        <w:t>(</w:t>
      </w:r>
      <w:r w:rsidRPr="00E5152A">
        <w:rPr>
          <w:rFonts w:ascii="Book Antiqua" w:hAnsi="Book Antiqua"/>
          <w:b/>
          <w:bCs/>
        </w:rPr>
        <w:t>NCD-RisC)</w:t>
      </w:r>
      <w:r w:rsidRPr="00E5152A">
        <w:rPr>
          <w:rFonts w:ascii="Book Antiqua" w:hAnsi="Book Antiqua"/>
        </w:rPr>
        <w:t>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Worldwide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trends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1980: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pooled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analysis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751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population-based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studies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4.4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million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participants.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Lancet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387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1513-1530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27061677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10.1016/S0140-6736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16)00618-8]</w:t>
      </w:r>
    </w:p>
    <w:p w14:paraId="322D0334" w14:textId="7701D9BB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Howarth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FC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Shafiullah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Qureshi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Chronic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mellitus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cardiac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contraction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Goto-Kakizaki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rat.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Exp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1029-1036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17675413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10.1113/expphysiol.2007.038703]</w:t>
      </w:r>
    </w:p>
    <w:p w14:paraId="03E0B43E" w14:textId="33F77217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Groner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Joshi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Pediatric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precursors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adult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cardiovascular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disease: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noninvasive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assessment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early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vascular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changes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118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1683-1691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17015562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10.1542/peds.2005-2992]</w:t>
      </w:r>
    </w:p>
    <w:p w14:paraId="5E6F5389" w14:textId="0BDE5B6B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Long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mellitus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pre-diabetes: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systematic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review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meta-analysis.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BMC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Disord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2020;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33228610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10.1186/s12902-020-00653-x]</w:t>
      </w:r>
    </w:p>
    <w:p w14:paraId="6FE4A4A1" w14:textId="6E9858C4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Liberati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Tetzlaff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Mulrow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Gøtzsche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Ioannidis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Clarke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Devereaux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Kleijnen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Moher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PRISMA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statement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reporting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systematic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reviews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meta-analyses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studies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evaluate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interventions: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explanation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elaboration.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PLoS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e1000100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19621070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10.1371/journal.pmed.1000100]</w:t>
      </w:r>
    </w:p>
    <w:p w14:paraId="318CA9FA" w14:textId="68144E1B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Lepage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McDonald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Dallaire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Lambert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Age-specific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distribution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plasma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concentrations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pediatric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population.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Chem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2397-2402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9439460]</w:t>
      </w:r>
    </w:p>
    <w:p w14:paraId="7C61AE76" w14:textId="79C91332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Ballerini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MG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Bergadá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Rodríguez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Keselman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Bengolea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Pipman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Domené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Jasper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Ropelato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level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indices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Arch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Argent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114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329-336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bookmarkStart w:id="2" w:name="OLE_LINK2904"/>
      <w:bookmarkStart w:id="3" w:name="OLE_LINK2905"/>
      <w:r w:rsidRPr="00E5152A">
        <w:rPr>
          <w:rFonts w:ascii="Book Antiqua" w:hAnsi="Book Antiqua"/>
        </w:rPr>
        <w:t>27399010</w:t>
      </w:r>
      <w:bookmarkEnd w:id="2"/>
      <w:bookmarkEnd w:id="3"/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10.5546/aap.2016.eng.329]</w:t>
      </w:r>
    </w:p>
    <w:p w14:paraId="4A6EF27B" w14:textId="698107CC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Arslanian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SA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Heil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Becker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Drash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Sexual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dimorphism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insulin-dependent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mellitus.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1991;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72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920-926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2005219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10.1210/jcem-72-4-920]</w:t>
      </w:r>
    </w:p>
    <w:p w14:paraId="1D593E37" w14:textId="7368ED67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Guercio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G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Rivarola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Chaler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Maceiras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Belgorosky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Relationship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growth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hormone/insulin-like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growth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factor-I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axis,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adrenal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androgens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normal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girls.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88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1389-1393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12629134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10.1210/jc.2002-020979]</w:t>
      </w:r>
    </w:p>
    <w:p w14:paraId="03B47C2E" w14:textId="6FF924CE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lastRenderedPageBreak/>
        <w:t>12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Hoffman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Vicini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Sivitz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Cobelli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male-female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glucose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effectiveness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determined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compartment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minimal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model.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384-388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10960508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10.1203/00006450-200009000-00022]</w:t>
      </w:r>
    </w:p>
    <w:p w14:paraId="3E0CAD07" w14:textId="6594A94A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Moran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Jacobs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Steinberger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Steffen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Pankow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Sinaiko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Changes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cardiovascular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adolescence: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establishment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differential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females.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Circulation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2008;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117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2361-2368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18427135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10.1161/CIRCULATIONAHA.107.704569]</w:t>
      </w:r>
    </w:p>
    <w:p w14:paraId="0756C7DA" w14:textId="04399006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Hosking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Pinkney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Jeffery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Cominetti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Silva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Collino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Kussmann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Hager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FP.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normal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growth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development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distinct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blood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phenotype</w:t>
      </w:r>
      <w:r w:rsidR="002D6897">
        <w:rPr>
          <w:rFonts w:ascii="Book Antiqua" w:hAnsi="Book Antiqua"/>
        </w:rPr>
        <w:t xml:space="preserve"> 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Earlybird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72).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832-841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31254470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10.1111/pedi.12884]</w:t>
      </w:r>
    </w:p>
    <w:p w14:paraId="273DB5A9" w14:textId="5310842E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Fleig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WE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Nöther-Fleig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Steudter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Enderle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Ditschuneit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binding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glycogenesis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dexamethasone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cultured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hepatocytes.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Biochim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Biophys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Acta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1985;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847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352-361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3933576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10.1016/0167-4889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85)90041-2]</w:t>
      </w:r>
    </w:p>
    <w:p w14:paraId="056EE878" w14:textId="58BB02C4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Nahum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Aksanov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Bbs4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adipogenesis.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IUBMB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Life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489-499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28371235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10.1002/iub.1626]</w:t>
      </w:r>
    </w:p>
    <w:p w14:paraId="0AD8EF6E" w14:textId="2F65A387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Graham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EJ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Selgrade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JF.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model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ovulatory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examining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insulin-mediated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testosterone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production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ovulatory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function.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Theor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Biol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416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149-160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28069449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10.1016/j.jtbi.2017.01.007]</w:t>
      </w:r>
    </w:p>
    <w:p w14:paraId="3F660C67" w14:textId="321C53C0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Trevisan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Fioretto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Semplicini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Opocher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Mantero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Rocco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Remuzzi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Morocutti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Zanette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Donadon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atrial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natriuretic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peptide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sodium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retention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insulin-treated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IDDM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patients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isotonic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volume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expansion.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1990;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289-298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2137801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10.2337/diab.39.3.289]</w:t>
      </w:r>
    </w:p>
    <w:p w14:paraId="48F6A329" w14:textId="51771638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19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Nygren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Nair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Differential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regulation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dynamics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splanchnic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skeletal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healthy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subjects.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52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1377-1385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12765947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10.2337/diabetes.52.6.1377]</w:t>
      </w:r>
    </w:p>
    <w:p w14:paraId="38DE2A45" w14:textId="15637752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Chow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LS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Albright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Bigelow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Toffolo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Cobelli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Nair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Mechanism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insulin's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measurements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synthesis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breakdown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using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aminoacyl-tRNA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other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surrogate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measures.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lastRenderedPageBreak/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291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E729-E736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16705065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10.1152/ajpendo.00003.2006]</w:t>
      </w:r>
    </w:p>
    <w:p w14:paraId="3E0872C2" w14:textId="35525E8C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Barazzoni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R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Short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Asmann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Coenen-Schimke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Robinson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Nair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fails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enhance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mTOR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phosphorylation,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mitochondrial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synthesis,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production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skeletal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without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replacement.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2012;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303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E1117-E1125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22967500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10.1152/ajpendo.00067.2012]</w:t>
      </w:r>
    </w:p>
    <w:p w14:paraId="65274036" w14:textId="48909227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Felig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Marliss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Cahill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Plasma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levels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secretion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Engl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1969;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281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811-816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5809519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10.1056/NEJM196910092811503]</w:t>
      </w:r>
    </w:p>
    <w:p w14:paraId="2DD73940" w14:textId="1F82327C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Newgard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CB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Haqq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Arlotto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Slentz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Rochon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Gallup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Wenner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Yancy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Eisenson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Musante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Surwit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Millington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Butler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Svetkey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LP.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acid-related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differentiates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contributes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Cell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311-326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19356713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10.1016/j.cmet.2009.02.002]</w:t>
      </w:r>
    </w:p>
    <w:p w14:paraId="34BC19BA" w14:textId="2252E669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Thalacker-Mercer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AE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Ingram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Garvey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BMI,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RQ,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affect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relationships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clamp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measures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791-800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24130332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10.2337/db13-0396]</w:t>
      </w:r>
    </w:p>
    <w:p w14:paraId="2F33C75E" w14:textId="2EBD8441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Guasch-Ferré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M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Hruby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Toledo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Clish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Martínez-González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Salas-Salvadó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FB.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Systematic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Review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Meta-analysis.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833-846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27208380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10.2337/dc15-2251]</w:t>
      </w:r>
    </w:p>
    <w:p w14:paraId="70742FF8" w14:textId="2E7B1672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Roberts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LD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Koulman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Griffin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JL.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Towards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progress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from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Lancet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65-75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24622670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10.1016/S2213-8587</w:t>
      </w:r>
      <w:r w:rsidR="003E69D4" w:rsidRPr="00E5152A">
        <w:rPr>
          <w:rFonts w:ascii="Book Antiqua" w:hAnsi="Book Antiqua"/>
        </w:rPr>
        <w:t>(</w:t>
      </w:r>
      <w:r w:rsidRPr="00E5152A">
        <w:rPr>
          <w:rFonts w:ascii="Book Antiqua" w:hAnsi="Book Antiqua"/>
        </w:rPr>
        <w:t>13)70143-8]</w:t>
      </w:r>
    </w:p>
    <w:p w14:paraId="34614098" w14:textId="65BBA000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Savolainen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O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Fagerberg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Vendelbo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Sandberg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Bergström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type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development-Can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improve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existing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biomarkers?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PLoS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One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e0177738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28692646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10.1371/journal.pone.0177738]</w:t>
      </w:r>
    </w:p>
    <w:p w14:paraId="11F7D8AB" w14:textId="08700BCB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lastRenderedPageBreak/>
        <w:t>28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Huffman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KM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Slentz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Tanner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Kuchibhatla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Houmard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Kraus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Relationships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circulating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intermediates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inactive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women.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1678-1683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19502541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10.2337/dc08-2075]</w:t>
      </w:r>
    </w:p>
    <w:p w14:paraId="6C3FDC9A" w14:textId="3AB977FF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29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Tai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ES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Low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Goh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Wenner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Khoo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Shah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altered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protein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Chinese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Asian-Indian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Diabetologia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53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757-767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20076942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10.1007/s00125-009-1637-8]</w:t>
      </w:r>
    </w:p>
    <w:p w14:paraId="68FF00E5" w14:textId="5763C85C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Palmer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ND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Antinozzi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Anderson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Wagenknecht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Bowden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DW.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conversion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Atherosclerosis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100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E463-E468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25423564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10.1210/jc.2014-2357]</w:t>
      </w:r>
    </w:p>
    <w:p w14:paraId="19D24243" w14:textId="4D72F973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Glynn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EL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Huffman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Slentz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Elliot-Penry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AbouAssi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White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Porter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Starr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Volpi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Brosnan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Trimmer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Rolph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Kraus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Impact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combined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aerobic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exercise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training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turnover,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glycine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sensitivity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humans.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Diabetologia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58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2324-2335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26254576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10.1007/s00125-015-3705-6]</w:t>
      </w:r>
    </w:p>
    <w:p w14:paraId="3244BB7D" w14:textId="4A5DC60F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Wang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TJ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Ngo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Psychogios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Dejam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Larson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Vasan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Ghorbani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O'Sullivan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Rhee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Sinha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McCabe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O'Donnell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Florez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Magnusson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Pierce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Souza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Carter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Melander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Clish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Gerszten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2-Aminoadipic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diabetes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Invest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123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4309-4317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24091325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10.1172/JCI64801]</w:t>
      </w:r>
    </w:p>
    <w:p w14:paraId="11D97844" w14:textId="23CFAF44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Perng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Gillman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Fleisch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Michalek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Watkins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Isganaitis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Patti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Oken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Obesity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Silver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Spring)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2570-2578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25251340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10.1002/oby.20901]</w:t>
      </w:r>
    </w:p>
    <w:p w14:paraId="5EE7719D" w14:textId="5F83CCA0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Perng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Rifas-Shiman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Hivert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Chavarro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Oken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Androgen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Hormones,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Across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Early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Adolescence: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lastRenderedPageBreak/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Prospective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Project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Viva.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Obesity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Silver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Spring)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2018;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916-926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29575812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10.1002/oby.22164]</w:t>
      </w:r>
    </w:p>
    <w:p w14:paraId="6FFE749D" w14:textId="387F95DD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Newbern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D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Gumus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Balikcioglu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Balikcioglu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Stevens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Dolinsky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Armstrong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Irizarry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Freemark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differences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biomarkers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principal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components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analysis.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2014;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4730-4739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25202817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10.1210/jc.2014-2080]</w:t>
      </w:r>
    </w:p>
    <w:p w14:paraId="0FCCB069" w14:textId="63B1B918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Perng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W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Rifas-Shiman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Sordillo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Hivert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Oken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Overweight/Obesity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Phenotypes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Adolescence: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Cross-Sectional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Study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Project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Viva.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Obesity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Silver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Spring)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2020;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379-387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31876390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10.1002/oby.22694]</w:t>
      </w:r>
    </w:p>
    <w:p w14:paraId="3A986BE9" w14:textId="39D4E8A8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Xia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B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Q,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Q,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Zhou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Phthalate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exposure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overweight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Urinary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evidence.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Environ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Int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2018;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121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159-168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30208345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10.1016/j.envint.2018.09.001]</w:t>
      </w:r>
    </w:p>
    <w:p w14:paraId="0470933A" w14:textId="29DAF4CF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Moran-Ramos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S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Ocampo-Medina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Gutierrez-Aguilar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Macías-Kauffer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Villamil-Ramírez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López-Contreras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León-Mimila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Vega-Badillo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Gutierrez-Vidal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Villarruel-Vazquez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Serrano-Carbajal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Del-Río-Navarro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Huertas-Vázquez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Villarreal-Molina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Ibarra-Gonzalez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Vela-Amieva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Aguilar-Salinas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Canizales-Quinteros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2-Year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Hypertriglyceridemia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School-Age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Sci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Rep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7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5607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28717206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10.1038/s41598-017-05765-4]</w:t>
      </w:r>
    </w:p>
    <w:p w14:paraId="6DCCD9C8" w14:textId="393D8A5C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39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Goffredo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M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Santoro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Tricò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Giannini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D'Adamo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Zhao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X,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Pierpont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Caprio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Herzog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Acid-Related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Characterizes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Adolescents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Non-Alcoholic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Fatty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Liver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Disease.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Nutrients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28640216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10.3390/nu9070642]</w:t>
      </w:r>
    </w:p>
    <w:p w14:paraId="66CBB2F5" w14:textId="620991F5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Hellmuth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Kirchberg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Harder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Peissner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Koletzko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Reinehr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Tyrosine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Longitudinal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2016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2108909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26881241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10.1155/2016/2108909]</w:t>
      </w:r>
    </w:p>
    <w:p w14:paraId="2F9D5106" w14:textId="639A7C9F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41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Lee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Choi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Park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Prediction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future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risk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syndrome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based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lastRenderedPageBreak/>
        <w:t>Korean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boy's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Obes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Res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Pract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336-345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25465494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10.1016/j.orcp.2014.10.220]</w:t>
      </w:r>
    </w:p>
    <w:p w14:paraId="413A1BDC" w14:textId="6BE5C548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Butte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NF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Zakeri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Mohney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Mehta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Voruganti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Göring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Comuzzie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Global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targeting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Hispanic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population.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Nutr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102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256-267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26085512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10.3945/ajcn.115.111872]</w:t>
      </w:r>
    </w:p>
    <w:p w14:paraId="6D4BA81A" w14:textId="01ECC179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Mastrangelo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A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Martos-Moreno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GÁ,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García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Barrios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Rupérez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Chowen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Barbas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Argente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prepubertal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correlates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sex-dependent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early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onset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metabolomic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alterations.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Int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Obes</w:t>
      </w:r>
      <w:r w:rsidR="002D6897">
        <w:rPr>
          <w:rFonts w:ascii="Book Antiqua" w:hAnsi="Book Antiqua"/>
          <w:i/>
          <w:iCs/>
        </w:rPr>
        <w:t xml:space="preserve"> </w:t>
      </w:r>
      <w:r w:rsidR="003E69D4" w:rsidRPr="00E5152A">
        <w:rPr>
          <w:rFonts w:ascii="Book Antiqua" w:hAnsi="Book Antiqua"/>
          <w:i/>
          <w:iCs/>
        </w:rPr>
        <w:t>(</w:t>
      </w:r>
      <w:r w:rsidRPr="00E5152A">
        <w:rPr>
          <w:rFonts w:ascii="Book Antiqua" w:hAnsi="Book Antiqua"/>
          <w:i/>
          <w:iCs/>
        </w:rPr>
        <w:t>Lond)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2016;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40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1494-1502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27163744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10.1038/ijo.2016.92]</w:t>
      </w:r>
    </w:p>
    <w:p w14:paraId="0A7CDDD7" w14:textId="4558C20B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Suzuki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Y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Kido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Matsumoto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Shimizu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Nakamura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among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lipid,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glucose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metabolic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profiles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childhood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BMC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Pediatr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19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273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31387549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10.1186/s12887-019-1647-8]</w:t>
      </w:r>
    </w:p>
    <w:p w14:paraId="73574643" w14:textId="4447539D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Pozefsky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T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Felig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Tobin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JD,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Soeldner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Cahill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balance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across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tissues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the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forearm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postabsorptive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Effects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two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levels.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Clin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Invest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1969;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48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2273-2282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5355340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10.1172/JCI106193]</w:t>
      </w:r>
    </w:p>
    <w:p w14:paraId="762F6B47" w14:textId="46A003D4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Newgard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CB</w:t>
      </w:r>
      <w:r w:rsidRPr="00E5152A">
        <w:rPr>
          <w:rFonts w:ascii="Book Antiqua" w:hAnsi="Book Antiqua"/>
        </w:rPr>
        <w:t>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Interplay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between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lipids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development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insulin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resistance.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Cell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2012;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15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606-614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22560213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10.1016/j.cmet.2012.01.024]</w:t>
      </w:r>
    </w:p>
    <w:p w14:paraId="14337536" w14:textId="6916AD5B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Würtz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Tiainen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Mäkinen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Kangas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Soininen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Saltevo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Keinänen-Kiukaanniemi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Mäntyselkä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Lehtimäki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Laakso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Jula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Kähönen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Vanhala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Ala-Korpela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Circulating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predictors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glycemia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middle-aged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and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women.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Diabetes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2012;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35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1749-1756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22563043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10.2337/dc11-1838]</w:t>
      </w:r>
    </w:p>
    <w:p w14:paraId="15245A2F" w14:textId="5F99F6D7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48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Shimizu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N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Maruyama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Yoshikawa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Matsumiya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Ito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Tasaka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Kuribara-Souta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Miyata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Oike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Y,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Berger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Schütz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Takeda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Tanaka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muscle-liver-fat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signalling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axis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essential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central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control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of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adaptive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adipose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remodelling.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Nat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Commun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2015;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6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6693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25827749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10.1038/ncomms7693]</w:t>
      </w:r>
    </w:p>
    <w:p w14:paraId="2EA46E14" w14:textId="3FF11ACE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49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She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P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Horn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Hutson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SM,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Cooney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RN,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Lynch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CJ.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Obesity-related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elevations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plasma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leucine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are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associated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alterations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enzymes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involved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lastRenderedPageBreak/>
        <w:t>branched-chain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amino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acid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Am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J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Physiol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Endocrinol</w:t>
      </w:r>
      <w:r w:rsidR="002D6897">
        <w:rPr>
          <w:rFonts w:ascii="Book Antiqua" w:hAnsi="Book Antiqua"/>
          <w:i/>
          <w:iCs/>
        </w:rPr>
        <w:t xml:space="preserve"> </w:t>
      </w:r>
      <w:r w:rsidRPr="00E5152A">
        <w:rPr>
          <w:rFonts w:ascii="Book Antiqua" w:hAnsi="Book Antiqua"/>
          <w:i/>
          <w:iCs/>
        </w:rPr>
        <w:t>Metab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2007;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293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E1552-E1563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17925455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10.1152/ajpendo.00134.2007]</w:t>
      </w:r>
    </w:p>
    <w:p w14:paraId="751FC729" w14:textId="10A94671" w:rsidR="0058136A" w:rsidRPr="00E5152A" w:rsidRDefault="0058136A" w:rsidP="00E5152A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5152A">
        <w:rPr>
          <w:rFonts w:ascii="Book Antiqua" w:hAnsi="Book Antiqua"/>
        </w:rPr>
        <w:t>50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Ridaura</w:t>
      </w:r>
      <w:r w:rsidR="002D6897">
        <w:rPr>
          <w:rFonts w:ascii="Book Antiqua" w:hAnsi="Book Antiqua"/>
          <w:b/>
          <w:bCs/>
        </w:rPr>
        <w:t xml:space="preserve"> </w:t>
      </w:r>
      <w:r w:rsidRPr="00E5152A">
        <w:rPr>
          <w:rFonts w:ascii="Book Antiqua" w:hAnsi="Book Antiqua"/>
          <w:b/>
          <w:bCs/>
        </w:rPr>
        <w:t>VK</w:t>
      </w:r>
      <w:r w:rsidRPr="00E5152A">
        <w:rPr>
          <w:rFonts w:ascii="Book Antiqua" w:hAnsi="Book Antiqua"/>
        </w:rPr>
        <w:t>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Faith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Rey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Cheng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Duncan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AE,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Kau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AL,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Griffin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Lombard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Henrissat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Bain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Muehlbauer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Ilkayeva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Semenkovich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CF,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Funai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Hayashi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Lyle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BJ,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Martini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Ursell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LK,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Clemente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Van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Treuren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Walters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WA,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Knight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R,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Newgard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CB,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Heath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AC,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Gordon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JI.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Gut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microbiota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from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twins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discordant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for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obesity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modulate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metabolism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in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mice.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i/>
          <w:iCs/>
        </w:rPr>
        <w:t>Science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2013;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  <w:b/>
          <w:bCs/>
        </w:rPr>
        <w:t>341</w:t>
      </w:r>
      <w:r w:rsidRPr="00E5152A">
        <w:rPr>
          <w:rFonts w:ascii="Book Antiqua" w:hAnsi="Book Antiqua"/>
        </w:rPr>
        <w:t>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1241214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[PMID: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24009397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DOI:</w:t>
      </w:r>
      <w:r w:rsidR="002D6897">
        <w:rPr>
          <w:rFonts w:ascii="Book Antiqua" w:hAnsi="Book Antiqua"/>
        </w:rPr>
        <w:t xml:space="preserve"> </w:t>
      </w:r>
      <w:r w:rsidRPr="00E5152A">
        <w:rPr>
          <w:rFonts w:ascii="Book Antiqua" w:hAnsi="Book Antiqua"/>
        </w:rPr>
        <w:t>10.1126/science.1241214]</w:t>
      </w:r>
    </w:p>
    <w:bookmarkEnd w:id="0"/>
    <w:bookmarkEnd w:id="1"/>
    <w:p w14:paraId="3517C77D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5152A" w:rsidSect="00BF20F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4CCDD0" w14:textId="77777777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980A8BC" w14:textId="55858420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authors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declare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conflicts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interest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associated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manuscript.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37D61E06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4A8AF9" w14:textId="1807B80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article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open-access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article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that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selected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in-house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editor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fully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peer-reviewed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external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reviewers.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distributed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accordance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with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Creative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Commons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Attribution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NonCommercial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CC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BY-NC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4.0)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license,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permits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others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distribute,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remix,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adapt,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build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upon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non-commercially,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license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their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derivative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different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terms,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provided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original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work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properly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use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non-commercial.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See: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2C22E2D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724546" w14:textId="3D2C1FA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Manuscript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source: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Invited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manuscript</w:t>
      </w:r>
    </w:p>
    <w:p w14:paraId="4E6F73D6" w14:textId="77777777" w:rsidR="00950BC8" w:rsidRPr="00E5152A" w:rsidRDefault="00950BC8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D8487F" w14:textId="17040B2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Corresponding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Author's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Membership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Professional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Societies: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Acid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Science;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Inherited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diseases;</w:t>
      </w:r>
      <w:r w:rsidR="002D6897">
        <w:rPr>
          <w:rFonts w:ascii="Book Antiqua" w:eastAsia="Book Antiqua" w:hAnsi="Book Antiqua" w:cs="Book Antiqua"/>
          <w:color w:val="000000"/>
        </w:rPr>
        <w:t xml:space="preserve"> and </w:t>
      </w:r>
      <w:bookmarkStart w:id="4" w:name="OLE_LINK2906"/>
      <w:bookmarkStart w:id="5" w:name="OLE_LINK2907"/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Society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2D6897" w:rsidRPr="00E5152A">
        <w:rPr>
          <w:rFonts w:ascii="Book Antiqua" w:eastAsia="Book Antiqua" w:hAnsi="Book Antiqua" w:cs="Book Antiqua"/>
          <w:color w:val="000000"/>
        </w:rPr>
        <w:t>Pediatric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2D6897" w:rsidRPr="00E5152A">
        <w:rPr>
          <w:rFonts w:ascii="Book Antiqua" w:eastAsia="Book Antiqua" w:hAnsi="Book Antiqua" w:cs="Book Antiqua"/>
          <w:color w:val="000000"/>
        </w:rPr>
        <w:t>Endocrinology</w:t>
      </w:r>
      <w:bookmarkEnd w:id="4"/>
      <w:bookmarkEnd w:id="5"/>
      <w:r w:rsidRPr="00E5152A">
        <w:rPr>
          <w:rFonts w:ascii="Book Antiqua" w:eastAsia="Book Antiqua" w:hAnsi="Book Antiqua" w:cs="Book Antiqua"/>
          <w:color w:val="000000"/>
        </w:rPr>
        <w:t>.</w:t>
      </w:r>
    </w:p>
    <w:p w14:paraId="34622793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94FA8F" w14:textId="1B135802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Peer-review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started: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January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27,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525D16B7" w14:textId="2A58B26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First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decision: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February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25,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2021</w:t>
      </w:r>
    </w:p>
    <w:p w14:paraId="583D515B" w14:textId="57090DB0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Article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press: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0122" w:rsidRPr="00F40C2E">
        <w:rPr>
          <w:rFonts w:ascii="Book Antiqua" w:eastAsia="Book Antiqua" w:hAnsi="Book Antiqua" w:cs="Book Antiqua"/>
          <w:color w:val="000000"/>
        </w:rPr>
        <w:t>April 23, 2021</w:t>
      </w:r>
    </w:p>
    <w:p w14:paraId="4366F8F5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69B43B" w14:textId="7ADE68B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Specialty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type: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Pediatrics</w:t>
      </w:r>
    </w:p>
    <w:p w14:paraId="5234247B" w14:textId="56E5C554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Country/Territory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origin: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Japan</w:t>
      </w:r>
    </w:p>
    <w:p w14:paraId="356875D9" w14:textId="1D738DA6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t>Peer-review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report’s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scientific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quality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7DE6A5" w14:textId="7748A76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Excellent):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</w:t>
      </w:r>
    </w:p>
    <w:p w14:paraId="1005EF22" w14:textId="238B77BD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Very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good):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</w:t>
      </w:r>
    </w:p>
    <w:p w14:paraId="4EB39EC0" w14:textId="45BA3FA1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Good):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</w:t>
      </w:r>
    </w:p>
    <w:p w14:paraId="5BDE1CD1" w14:textId="47EA6599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Fair):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D</w:t>
      </w:r>
    </w:p>
    <w:p w14:paraId="73045B6F" w14:textId="288E5A82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color w:val="000000"/>
        </w:rPr>
        <w:t>Grade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E5152A">
        <w:rPr>
          <w:rFonts w:ascii="Book Antiqua" w:eastAsia="Book Antiqua" w:hAnsi="Book Antiqua" w:cs="Book Antiqua"/>
          <w:color w:val="000000"/>
        </w:rPr>
        <w:t>(</w:t>
      </w:r>
      <w:r w:rsidRPr="00E5152A">
        <w:rPr>
          <w:rFonts w:ascii="Book Antiqua" w:eastAsia="Book Antiqua" w:hAnsi="Book Antiqua" w:cs="Book Antiqua"/>
          <w:color w:val="000000"/>
        </w:rPr>
        <w:t>Poor):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0</w:t>
      </w:r>
    </w:p>
    <w:p w14:paraId="0934A58B" w14:textId="77777777" w:rsidR="00A77B3E" w:rsidRPr="00E5152A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062272" w14:textId="2AC676FB" w:rsidR="00B35836" w:rsidRPr="00777C3C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Balbaa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Correa-Burrows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Gupta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Mrzljak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Saha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Zhao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CF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S-Editor: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Wang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JL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color w:val="000000"/>
        </w:rPr>
        <w:t>L-Editor: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60413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5152A">
        <w:rPr>
          <w:rFonts w:ascii="Book Antiqua" w:eastAsia="Book Antiqua" w:hAnsi="Book Antiqua" w:cs="Book Antiqua"/>
          <w:b/>
          <w:color w:val="000000"/>
        </w:rPr>
        <w:t>P-Editor:</w:t>
      </w:r>
      <w:r w:rsidR="00777C3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77C3C" w:rsidRPr="00777C3C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0F842C07" w14:textId="77777777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2A7AB9" w14:textId="77777777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9162082" w14:textId="22B68F45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color w:val="000000"/>
        </w:rPr>
        <w:br w:type="page"/>
      </w:r>
      <w:r w:rsidR="0040272F" w:rsidRPr="00E5152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D68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color w:val="000000"/>
        </w:rPr>
        <w:t>Legends</w:t>
      </w:r>
    </w:p>
    <w:p w14:paraId="10A6B73A" w14:textId="196F5D74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  <w:lang w:eastAsia="zh-CN"/>
        </w:rPr>
        <w:drawing>
          <wp:inline distT="0" distB="0" distL="0" distR="0" wp14:anchorId="44517619" wp14:editId="042C73B4">
            <wp:extent cx="5104762" cy="5752381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5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369B28E" w14:textId="530CFF0C" w:rsidR="00D84BD6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1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“metabolic/biological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obesity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Pr="00E5152A">
        <w:rPr>
          <w:rFonts w:ascii="Book Antiqua" w:eastAsia="Book Antiqua" w:hAnsi="Book Antiqua" w:cs="Book Antiqua"/>
          <w:color w:val="000000"/>
        </w:rPr>
        <w:t>”</w:t>
      </w:r>
      <w:r w:rsidR="00D84BD6" w:rsidRPr="001B39F7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7FD945A" w14:textId="77777777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color w:val="000000"/>
        </w:rPr>
        <w:br w:type="page"/>
      </w:r>
    </w:p>
    <w:p w14:paraId="11E225F0" w14:textId="2CAFA21D" w:rsidR="00B35836" w:rsidRPr="00E5152A" w:rsidRDefault="00B35836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  <w:lang w:eastAsia="zh-CN"/>
        </w:rPr>
        <w:drawing>
          <wp:inline distT="0" distB="0" distL="0" distR="0" wp14:anchorId="004B6878" wp14:editId="440F0DAB">
            <wp:extent cx="5943600" cy="46062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2EC4413" w14:textId="00FD62B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2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Pr="001B39F7">
        <w:rPr>
          <w:rFonts w:ascii="Book Antiqua" w:eastAsia="Book Antiqua" w:hAnsi="Book Antiqua" w:cs="Book Antiqua"/>
          <w:b/>
          <w:bCs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After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binds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receptor,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tyrosine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kinase,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transduction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insulin-receptor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substrate-1,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PI3K,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activated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by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phosphorylation.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AKT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phosphorylates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Ser9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site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GSK-3b,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950BC8" w:rsidRPr="00E5152A">
        <w:rPr>
          <w:rFonts w:ascii="Book Antiqua" w:eastAsia="Book Antiqua" w:hAnsi="Book Antiqua" w:cs="Book Antiqua"/>
          <w:color w:val="000000"/>
        </w:rPr>
        <w:t>which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inhibits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synthetase</w:t>
      </w:r>
      <w:r w:rsidR="00CE1529">
        <w:rPr>
          <w:rFonts w:ascii="Book Antiqua" w:eastAsia="Book Antiqua" w:hAnsi="Book Antiqua" w:cs="Book Antiqua"/>
          <w:color w:val="000000"/>
        </w:rPr>
        <w:t xml:space="preserve"> (GS)</w:t>
      </w:r>
      <w:r w:rsidRPr="00E5152A">
        <w:rPr>
          <w:rFonts w:ascii="Book Antiqua" w:eastAsia="Book Antiqua" w:hAnsi="Book Antiqua" w:cs="Book Antiqua"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Hence,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signaling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pathway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leads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glycogen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synthesis.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AMPK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MTOR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major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modulators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metabolism.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branched</w:t>
      </w:r>
      <w:r w:rsidR="00B35836" w:rsidRPr="00E5152A">
        <w:rPr>
          <w:rFonts w:ascii="Book Antiqua" w:eastAsia="Book Antiqua" w:hAnsi="Book Antiqua" w:cs="Book Antiqua"/>
          <w:color w:val="000000"/>
        </w:rPr>
        <w:t>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35836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35836" w:rsidRPr="00E5152A">
        <w:rPr>
          <w:rFonts w:ascii="Book Antiqua" w:eastAsia="Book Antiqua" w:hAnsi="Book Antiqua" w:cs="Book Antiqua"/>
          <w:color w:val="000000"/>
        </w:rPr>
        <w:t>acids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are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indicated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influence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these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mediators.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</w:p>
    <w:p w14:paraId="28027B50" w14:textId="77777777" w:rsidR="005C5123" w:rsidRPr="00E5152A" w:rsidRDefault="005C5123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E26566" w14:textId="77777777" w:rsidR="005C5123" w:rsidRPr="00E5152A" w:rsidRDefault="005C5123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4046F38" wp14:editId="592B6AD1">
            <wp:extent cx="5943600" cy="43872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7953" w14:textId="3D4FD6A5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3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D84BD6" w:rsidRPr="00E5152A">
        <w:rPr>
          <w:rFonts w:ascii="Book Antiqua" w:eastAsia="Book Antiqua" w:hAnsi="Book Antiqua" w:cs="Book Antiqua"/>
          <w:b/>
          <w:bCs/>
          <w:color w:val="000000"/>
        </w:rPr>
        <w:t>.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BCAAs: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acids;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5C5123" w:rsidRPr="00E5152A">
        <w:rPr>
          <w:rFonts w:ascii="Book Antiqua" w:eastAsia="Book Antiqua" w:hAnsi="Book Antiqua" w:cs="Book Antiqua"/>
          <w:color w:val="000000"/>
        </w:rPr>
        <w:t>T2DM: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13051B" w:rsidRPr="00E5152A">
        <w:rPr>
          <w:rFonts w:ascii="Book Antiqua" w:eastAsia="Book Antiqua" w:hAnsi="Book Antiqua" w:cs="Book Antiqua"/>
          <w:color w:val="000000"/>
        </w:rPr>
        <w:t>mellitus.</w:t>
      </w:r>
    </w:p>
    <w:p w14:paraId="0AA182CE" w14:textId="77777777" w:rsidR="00BF20F8" w:rsidRPr="00E5152A" w:rsidRDefault="00BF20F8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A497D19" w14:textId="48FD0697" w:rsidR="00BF20F8" w:rsidRPr="00E5152A" w:rsidRDefault="00BF20F8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C347736" wp14:editId="1EA4A146">
            <wp:extent cx="5943600" cy="57683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3121643" w14:textId="56055F43" w:rsidR="00BF20F8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4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Metabolic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change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obesity</w:t>
      </w:r>
      <w:r w:rsidR="00D84BD6" w:rsidRPr="00E5152A">
        <w:rPr>
          <w:rFonts w:ascii="Book Antiqua" w:eastAsia="Book Antiqua" w:hAnsi="Book Antiqua" w:cs="Book Antiqua"/>
          <w:b/>
          <w:bCs/>
          <w:color w:val="000000"/>
        </w:rPr>
        <w:t>.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BCAAs: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Branched-chain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amino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acids;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T2DM: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Type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2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diabetes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BF20F8" w:rsidRPr="00E5152A">
        <w:rPr>
          <w:rFonts w:ascii="Book Antiqua" w:eastAsia="Book Antiqua" w:hAnsi="Book Antiqua" w:cs="Book Antiqua"/>
          <w:color w:val="000000"/>
        </w:rPr>
        <w:t>mellitus.</w:t>
      </w:r>
    </w:p>
    <w:p w14:paraId="1DC4D04F" w14:textId="12A0EF89" w:rsidR="00BF20F8" w:rsidRPr="00E5152A" w:rsidRDefault="00BF20F8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BF20F8" w:rsidRPr="00E5152A" w:rsidSect="00BF20F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A4B4553" w14:textId="5D641F4F" w:rsidR="00A77B3E" w:rsidRPr="00E5152A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5152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1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identified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metabolomic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profiles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13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studies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011"/>
        <w:gridCol w:w="6583"/>
      </w:tblGrid>
      <w:tr w:rsidR="00AC37EE" w:rsidRPr="00E5152A" w14:paraId="2F3A73D0" w14:textId="77777777" w:rsidTr="003E69D4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14:paraId="5D95236F" w14:textId="79E34A69" w:rsidR="00AC37EE" w:rsidRPr="00E5152A" w:rsidRDefault="00AC37EE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E5152A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No.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D7D4453" w14:textId="165DC52C" w:rsidR="00AC37EE" w:rsidRPr="00E5152A" w:rsidRDefault="00AC37EE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E5152A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E651" w14:textId="7F6D87A2" w:rsidR="00AC37EE" w:rsidRPr="00E5152A" w:rsidRDefault="00AC37EE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Major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finding</w:t>
            </w:r>
          </w:p>
        </w:tc>
      </w:tr>
      <w:tr w:rsidR="003E69D4" w:rsidRPr="00E5152A" w14:paraId="0D010AB9" w14:textId="77777777" w:rsidTr="003E69D4"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14:paraId="7079C9DA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0B41A17E" w14:textId="449436EF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Perng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36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2020</w:t>
            </w:r>
          </w:p>
        </w:tc>
        <w:tc>
          <w:tcPr>
            <w:tcW w:w="6583" w:type="dxa"/>
            <w:tcBorders>
              <w:top w:val="single" w:sz="4" w:space="0" w:color="auto"/>
            </w:tcBorders>
            <w:vAlign w:val="center"/>
          </w:tcPr>
          <w:p w14:paraId="6FDD0476" w14:textId="13C1E4A0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levels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products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catabolism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higher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males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than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females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comparable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BMI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z-score</w:t>
            </w:r>
            <w:r w:rsidR="00CE1529">
              <w:rPr>
                <w:rFonts w:ascii="Book Antiqua" w:eastAsia="等线" w:hAnsi="Book Antiqua"/>
                <w:color w:val="000000"/>
              </w:rPr>
              <w:t>;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multivariate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analyses,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HOMA-IR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males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correlated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positively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BMI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z-score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signature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containing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uric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long-chain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acylcarnitines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negatively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byproducts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complete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fatty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oxidation</w:t>
            </w:r>
          </w:p>
        </w:tc>
      </w:tr>
      <w:tr w:rsidR="00F146D1" w:rsidRPr="00E5152A" w14:paraId="6B0B239D" w14:textId="77777777" w:rsidTr="003E69D4">
        <w:tc>
          <w:tcPr>
            <w:tcW w:w="649" w:type="dxa"/>
            <w:vAlign w:val="center"/>
          </w:tcPr>
          <w:p w14:paraId="7C050563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</w:t>
            </w:r>
          </w:p>
        </w:tc>
        <w:tc>
          <w:tcPr>
            <w:tcW w:w="2011" w:type="dxa"/>
            <w:vAlign w:val="center"/>
          </w:tcPr>
          <w:p w14:paraId="67ACB148" w14:textId="112B50E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Hosking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14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2019</w:t>
            </w:r>
          </w:p>
        </w:tc>
        <w:tc>
          <w:tcPr>
            <w:tcW w:w="6583" w:type="dxa"/>
            <w:vAlign w:val="center"/>
          </w:tcPr>
          <w:p w14:paraId="6719FCFB" w14:textId="3E37961F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longitudinal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analysis</w:t>
            </w:r>
            <w:r w:rsidR="00CE1529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associated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reduced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concentrations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2-ketobutyrate,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citrate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3-hydroxybutyrate,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higher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concentrations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lactate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alanine</w:t>
            </w:r>
          </w:p>
        </w:tc>
      </w:tr>
      <w:tr w:rsidR="00F146D1" w:rsidRPr="00E5152A" w14:paraId="17DD9001" w14:textId="77777777" w:rsidTr="003E69D4">
        <w:tc>
          <w:tcPr>
            <w:tcW w:w="649" w:type="dxa"/>
            <w:vAlign w:val="center"/>
          </w:tcPr>
          <w:p w14:paraId="25623699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</w:t>
            </w:r>
          </w:p>
        </w:tc>
        <w:tc>
          <w:tcPr>
            <w:tcW w:w="2011" w:type="dxa"/>
            <w:vAlign w:val="center"/>
          </w:tcPr>
          <w:p w14:paraId="43D54919" w14:textId="67EFCC9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Suzuki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44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2019</w:t>
            </w:r>
          </w:p>
        </w:tc>
        <w:tc>
          <w:tcPr>
            <w:tcW w:w="6583" w:type="dxa"/>
            <w:vAlign w:val="center"/>
          </w:tcPr>
          <w:p w14:paraId="686222CA" w14:textId="6B8FBBE9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HOMA-IR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positively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correlated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valine,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leucine,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isoleucine,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phenylalanine,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tryptophan,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methionine,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threonine,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lysine,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alanine,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tyrosine,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glutamate,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proline,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arginine,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ornithine,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total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free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amino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aspartate</w:t>
            </w:r>
            <w:r w:rsidR="00CE1529">
              <w:rPr>
                <w:rFonts w:ascii="Book Antiqua" w:eastAsia="等线" w:hAnsi="Book Antiqua"/>
                <w:color w:val="000000"/>
              </w:rPr>
              <w:t>;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Blood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uric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levels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positively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correlated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CE1529">
              <w:rPr>
                <w:rFonts w:ascii="Book Antiqua" w:eastAsia="等线" w:hAnsi="Book Antiqua"/>
                <w:color w:val="000000"/>
              </w:rPr>
              <w:t>l</w:t>
            </w:r>
            <w:r w:rsidRPr="00E5152A">
              <w:rPr>
                <w:rFonts w:ascii="Book Antiqua" w:eastAsia="等线" w:hAnsi="Book Antiqua"/>
                <w:color w:val="000000"/>
              </w:rPr>
              <w:t>eu</w:t>
            </w:r>
            <w:r w:rsidR="00CE1529">
              <w:rPr>
                <w:rFonts w:ascii="Book Antiqua" w:eastAsia="等线" w:hAnsi="Book Antiqua"/>
                <w:color w:val="000000"/>
              </w:rPr>
              <w:t>cine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CE1529" w:rsidRPr="00E5152A">
              <w:rPr>
                <w:rFonts w:ascii="Book Antiqua" w:eastAsia="等线" w:hAnsi="Book Antiqua"/>
                <w:color w:val="000000"/>
              </w:rPr>
              <w:t>glutamat</w:t>
            </w:r>
            <w:r w:rsidR="00CE1529">
              <w:rPr>
                <w:rFonts w:ascii="Book Antiqua" w:eastAsia="等线" w:hAnsi="Book Antiqua"/>
                <w:color w:val="000000"/>
              </w:rPr>
              <w:t>e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negatively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correlated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serine,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glycine,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asparagine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</w:p>
        </w:tc>
      </w:tr>
      <w:tr w:rsidR="00F146D1" w:rsidRPr="00E5152A" w14:paraId="3289F569" w14:textId="77777777" w:rsidTr="003E69D4">
        <w:tc>
          <w:tcPr>
            <w:tcW w:w="649" w:type="dxa"/>
            <w:vAlign w:val="center"/>
          </w:tcPr>
          <w:p w14:paraId="29EA2A11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</w:t>
            </w:r>
          </w:p>
        </w:tc>
        <w:tc>
          <w:tcPr>
            <w:tcW w:w="2011" w:type="dxa"/>
            <w:vAlign w:val="center"/>
          </w:tcPr>
          <w:p w14:paraId="175C8E64" w14:textId="2EEEAEA0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Perng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34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2018</w:t>
            </w:r>
          </w:p>
        </w:tc>
        <w:tc>
          <w:tcPr>
            <w:tcW w:w="6583" w:type="dxa"/>
            <w:vAlign w:val="center"/>
          </w:tcPr>
          <w:p w14:paraId="54CF5F5A" w14:textId="2D5CD59D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androgen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hormone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patterns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changes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parameters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sex-specific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manner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during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early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adolescence</w:t>
            </w:r>
          </w:p>
        </w:tc>
      </w:tr>
      <w:tr w:rsidR="00F146D1" w:rsidRPr="00E5152A" w14:paraId="48C0DBAF" w14:textId="77777777" w:rsidTr="003E69D4">
        <w:tc>
          <w:tcPr>
            <w:tcW w:w="649" w:type="dxa"/>
            <w:vAlign w:val="center"/>
          </w:tcPr>
          <w:p w14:paraId="71987E54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</w:t>
            </w:r>
          </w:p>
        </w:tc>
        <w:tc>
          <w:tcPr>
            <w:tcW w:w="2011" w:type="dxa"/>
            <w:vAlign w:val="center"/>
          </w:tcPr>
          <w:p w14:paraId="02335DC5" w14:textId="1590FBE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Xia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37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2018</w:t>
            </w:r>
          </w:p>
        </w:tc>
        <w:tc>
          <w:tcPr>
            <w:tcW w:w="6583" w:type="dxa"/>
            <w:vAlign w:val="center"/>
          </w:tcPr>
          <w:p w14:paraId="07A10EC9" w14:textId="28268DD8" w:rsidR="00F146D1" w:rsidRPr="00E5152A" w:rsidRDefault="00CE1529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等线" w:hAnsi="Book Antiqua"/>
                <w:color w:val="000000"/>
              </w:rPr>
              <w:t>D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isrupted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arginine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proline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metabolism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associated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phthalate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exposure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might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contribute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to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the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development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overweight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obesity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school-age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F146D1" w:rsidRPr="00E5152A">
              <w:rPr>
                <w:rFonts w:ascii="Book Antiqua" w:eastAsia="等线" w:hAnsi="Book Antiqua"/>
                <w:color w:val="000000"/>
              </w:rPr>
              <w:t>children</w:t>
            </w:r>
          </w:p>
        </w:tc>
      </w:tr>
      <w:tr w:rsidR="00F146D1" w:rsidRPr="00E5152A" w14:paraId="680D97CC" w14:textId="77777777" w:rsidTr="003E69D4">
        <w:tc>
          <w:tcPr>
            <w:tcW w:w="649" w:type="dxa"/>
            <w:vAlign w:val="center"/>
          </w:tcPr>
          <w:p w14:paraId="29B8AEEB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</w:t>
            </w:r>
          </w:p>
        </w:tc>
        <w:tc>
          <w:tcPr>
            <w:tcW w:w="2011" w:type="dxa"/>
            <w:vAlign w:val="center"/>
          </w:tcPr>
          <w:p w14:paraId="2D1B3C92" w14:textId="62349746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Moran-Ramos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38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2017</w:t>
            </w:r>
          </w:p>
        </w:tc>
        <w:tc>
          <w:tcPr>
            <w:tcW w:w="6583" w:type="dxa"/>
            <w:vAlign w:val="center"/>
          </w:tcPr>
          <w:p w14:paraId="08EF86A8" w14:textId="2071B8A9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Principal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component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analysis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showed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serum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amino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signature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composed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arginine,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leucine/isoleucine,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phenylalanine,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tyrosine,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valine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proline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significantly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associated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obesity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serum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triglycerides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</w:p>
        </w:tc>
      </w:tr>
      <w:tr w:rsidR="00F146D1" w:rsidRPr="00E5152A" w14:paraId="7EE72674" w14:textId="77777777" w:rsidTr="003E69D4">
        <w:tc>
          <w:tcPr>
            <w:tcW w:w="649" w:type="dxa"/>
            <w:vAlign w:val="center"/>
          </w:tcPr>
          <w:p w14:paraId="6C8552D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lastRenderedPageBreak/>
              <w:t>7</w:t>
            </w:r>
          </w:p>
        </w:tc>
        <w:tc>
          <w:tcPr>
            <w:tcW w:w="2011" w:type="dxa"/>
            <w:vAlign w:val="center"/>
          </w:tcPr>
          <w:p w14:paraId="51C8B563" w14:textId="02D697BD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Goffredo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39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2017</w:t>
            </w:r>
          </w:p>
        </w:tc>
        <w:tc>
          <w:tcPr>
            <w:tcW w:w="6583" w:type="dxa"/>
            <w:vAlign w:val="center"/>
          </w:tcPr>
          <w:p w14:paraId="1BE36D5C" w14:textId="45C5FBA5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branched-chain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amino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acid-related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metabolic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signature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characterizes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obese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adolescents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non-alcoholic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fatty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liver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disease</w:t>
            </w:r>
          </w:p>
        </w:tc>
      </w:tr>
      <w:tr w:rsidR="00F146D1" w:rsidRPr="00E5152A" w14:paraId="1BAD0FEA" w14:textId="77777777" w:rsidTr="003E69D4">
        <w:tc>
          <w:tcPr>
            <w:tcW w:w="649" w:type="dxa"/>
            <w:vAlign w:val="center"/>
          </w:tcPr>
          <w:p w14:paraId="04BB2DA6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8</w:t>
            </w:r>
          </w:p>
        </w:tc>
        <w:tc>
          <w:tcPr>
            <w:tcW w:w="2011" w:type="dxa"/>
            <w:vAlign w:val="center"/>
          </w:tcPr>
          <w:p w14:paraId="1BD2F660" w14:textId="5C81D5B9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Hellmuth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40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2016</w:t>
            </w:r>
          </w:p>
        </w:tc>
        <w:tc>
          <w:tcPr>
            <w:tcW w:w="6583" w:type="dxa"/>
            <w:vAlign w:val="center"/>
          </w:tcPr>
          <w:p w14:paraId="074275C7" w14:textId="5753B105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Tyrosine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alterations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association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insulin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resistance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precede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alteration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metabolism</w:t>
            </w:r>
          </w:p>
        </w:tc>
      </w:tr>
      <w:tr w:rsidR="00F146D1" w:rsidRPr="00E5152A" w14:paraId="3216BB8C" w14:textId="77777777" w:rsidTr="003E69D4">
        <w:tc>
          <w:tcPr>
            <w:tcW w:w="649" w:type="dxa"/>
            <w:vAlign w:val="center"/>
          </w:tcPr>
          <w:p w14:paraId="59483576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9</w:t>
            </w:r>
          </w:p>
        </w:tc>
        <w:tc>
          <w:tcPr>
            <w:tcW w:w="2011" w:type="dxa"/>
            <w:vAlign w:val="center"/>
          </w:tcPr>
          <w:p w14:paraId="4237C536" w14:textId="20698E68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Mastrangelo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43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2016</w:t>
            </w:r>
          </w:p>
        </w:tc>
        <w:tc>
          <w:tcPr>
            <w:tcW w:w="6583" w:type="dxa"/>
            <w:vAlign w:val="center"/>
          </w:tcPr>
          <w:p w14:paraId="70957E2F" w14:textId="616E1BD1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The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majority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metabolites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differing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between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groups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lysophospholipids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(</w:t>
            </w:r>
            <w:r w:rsidRPr="00E5152A">
              <w:rPr>
                <w:rFonts w:ascii="Book Antiqua" w:eastAsia="等线" w:hAnsi="Book Antiqua"/>
                <w:color w:val="000000"/>
              </w:rPr>
              <w:t>15)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amino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(</w:t>
            </w:r>
            <w:r w:rsidRPr="00E5152A">
              <w:rPr>
                <w:rFonts w:ascii="Book Antiqua" w:eastAsia="等线" w:hAnsi="Book Antiqua"/>
                <w:color w:val="000000"/>
              </w:rPr>
              <w:t>17),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indicating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inflammation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central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carbon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metabolism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the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most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altered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processes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impaired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insulin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signaling</w:t>
            </w:r>
          </w:p>
        </w:tc>
      </w:tr>
      <w:tr w:rsidR="00F146D1" w:rsidRPr="00E5152A" w14:paraId="28A111DC" w14:textId="77777777" w:rsidTr="003E69D4">
        <w:tc>
          <w:tcPr>
            <w:tcW w:w="649" w:type="dxa"/>
            <w:vAlign w:val="center"/>
          </w:tcPr>
          <w:p w14:paraId="2D25C80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10</w:t>
            </w:r>
          </w:p>
        </w:tc>
        <w:tc>
          <w:tcPr>
            <w:tcW w:w="2011" w:type="dxa"/>
            <w:vAlign w:val="center"/>
          </w:tcPr>
          <w:p w14:paraId="1D783433" w14:textId="67C3C838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Lee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41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2015</w:t>
            </w:r>
          </w:p>
        </w:tc>
        <w:tc>
          <w:tcPr>
            <w:tcW w:w="6583" w:type="dxa"/>
            <w:vAlign w:val="center"/>
          </w:tcPr>
          <w:p w14:paraId="27775914" w14:textId="6A1C586E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Obese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children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presented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significantly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higher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levels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several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acylcarnitines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lower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levels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acyl-alkyl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phosphatidylcholines</w:t>
            </w:r>
            <w:r w:rsidR="00CE1529">
              <w:rPr>
                <w:rFonts w:ascii="Book Antiqua" w:eastAsia="等线" w:hAnsi="Book Antiqua"/>
                <w:color w:val="000000"/>
              </w:rPr>
              <w:t>;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Baseline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significantly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positively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correlated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both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HOMA-IR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continuous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risk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score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the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2-year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follow-up</w:t>
            </w:r>
          </w:p>
        </w:tc>
      </w:tr>
      <w:tr w:rsidR="00F146D1" w:rsidRPr="00E5152A" w14:paraId="3B7AA5A1" w14:textId="77777777" w:rsidTr="003E69D4">
        <w:tc>
          <w:tcPr>
            <w:tcW w:w="649" w:type="dxa"/>
            <w:vAlign w:val="center"/>
          </w:tcPr>
          <w:p w14:paraId="4636E43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11</w:t>
            </w:r>
          </w:p>
        </w:tc>
        <w:tc>
          <w:tcPr>
            <w:tcW w:w="2011" w:type="dxa"/>
            <w:vAlign w:val="center"/>
          </w:tcPr>
          <w:p w14:paraId="42DEBE4B" w14:textId="2ACDA8F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Butte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42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2015</w:t>
            </w:r>
          </w:p>
        </w:tc>
        <w:tc>
          <w:tcPr>
            <w:tcW w:w="6583" w:type="dxa"/>
            <w:vAlign w:val="center"/>
          </w:tcPr>
          <w:p w14:paraId="76371DAE" w14:textId="726626D2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BCAAs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their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catabolites,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propionylcarnitine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butyrylcarnitine,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significantly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elevated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obese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children</w:t>
            </w:r>
            <w:r w:rsidR="00CE1529">
              <w:rPr>
                <w:rFonts w:ascii="Book Antiqua" w:eastAsia="等线" w:hAnsi="Book Antiqua"/>
                <w:color w:val="000000"/>
              </w:rPr>
              <w:t>;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CE1529">
              <w:rPr>
                <w:rFonts w:ascii="Book Antiqua" w:eastAsia="等线" w:hAnsi="Book Antiqua"/>
                <w:color w:val="000000"/>
              </w:rPr>
              <w:t>L</w:t>
            </w:r>
            <w:r w:rsidRPr="00E5152A">
              <w:rPr>
                <w:rFonts w:ascii="Book Antiqua" w:eastAsia="等线" w:hAnsi="Book Antiqua"/>
                <w:color w:val="000000"/>
              </w:rPr>
              <w:t>ower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lysolipids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dicarboxylated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fatty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seen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obese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children</w:t>
            </w:r>
            <w:r w:rsidR="00CE1529">
              <w:rPr>
                <w:rFonts w:ascii="Book Antiqua" w:eastAsia="等线" w:hAnsi="Book Antiqua"/>
                <w:color w:val="000000"/>
              </w:rPr>
              <w:t>;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Steroid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derivatives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markedly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higher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obese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children</w:t>
            </w:r>
            <w:r w:rsidR="00CE1529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markers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inflammation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oxidative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stress</w:t>
            </w:r>
          </w:p>
        </w:tc>
      </w:tr>
      <w:tr w:rsidR="00F146D1" w:rsidRPr="00E5152A" w14:paraId="6C8281C5" w14:textId="77777777" w:rsidTr="003E69D4">
        <w:tc>
          <w:tcPr>
            <w:tcW w:w="649" w:type="dxa"/>
            <w:vAlign w:val="center"/>
          </w:tcPr>
          <w:p w14:paraId="6B30F06C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</w:t>
            </w:r>
          </w:p>
        </w:tc>
        <w:tc>
          <w:tcPr>
            <w:tcW w:w="2011" w:type="dxa"/>
            <w:vAlign w:val="center"/>
          </w:tcPr>
          <w:p w14:paraId="4F843E65" w14:textId="12A39105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Perng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33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2014</w:t>
            </w:r>
          </w:p>
        </w:tc>
        <w:tc>
          <w:tcPr>
            <w:tcW w:w="6583" w:type="dxa"/>
            <w:vAlign w:val="center"/>
          </w:tcPr>
          <w:p w14:paraId="1F5A768B" w14:textId="55DEB003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androgen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metabolites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were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associated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adiposity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cardiometabolic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risk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during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mid-childhood</w:t>
            </w:r>
          </w:p>
        </w:tc>
      </w:tr>
      <w:tr w:rsidR="00F146D1" w:rsidRPr="00E5152A" w14:paraId="4ACF45C5" w14:textId="77777777" w:rsidTr="003E69D4">
        <w:tc>
          <w:tcPr>
            <w:tcW w:w="649" w:type="dxa"/>
            <w:vAlign w:val="center"/>
          </w:tcPr>
          <w:p w14:paraId="65B94326" w14:textId="77777777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13</w:t>
            </w:r>
          </w:p>
        </w:tc>
        <w:tc>
          <w:tcPr>
            <w:tcW w:w="2011" w:type="dxa"/>
            <w:vAlign w:val="center"/>
          </w:tcPr>
          <w:p w14:paraId="0F51E7E4" w14:textId="7E450E96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Newbern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et</w:t>
            </w:r>
            <w:r w:rsidR="002D6897">
              <w:rPr>
                <w:rFonts w:ascii="Book Antiqua" w:eastAsia="等线" w:hAnsi="Book Antiqua"/>
                <w:i/>
                <w:i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i/>
                <w:iCs/>
                <w:color w:val="000000"/>
              </w:rPr>
              <w:t>al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[</w:t>
            </w:r>
            <w:r w:rsidR="009D5F23" w:rsidRPr="00E5152A">
              <w:rPr>
                <w:rFonts w:ascii="Book Antiqua" w:eastAsia="等线" w:hAnsi="Book Antiqua"/>
                <w:color w:val="000000"/>
                <w:vertAlign w:val="superscript"/>
              </w:rPr>
              <w:t>35</w:t>
            </w:r>
            <w:r w:rsidRPr="00E5152A">
              <w:rPr>
                <w:rFonts w:ascii="Book Antiqua" w:eastAsia="等线" w:hAnsi="Book Antiqua"/>
                <w:color w:val="000000"/>
                <w:vertAlign w:val="superscript"/>
              </w:rPr>
              <w:t>]</w:t>
            </w:r>
            <w:r w:rsidRPr="00E5152A">
              <w:rPr>
                <w:rFonts w:ascii="Book Antiqua" w:eastAsia="等线" w:hAnsi="Book Antiqua"/>
                <w:color w:val="000000"/>
              </w:rPr>
              <w:t>,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9D5F23" w:rsidRPr="00E5152A">
              <w:rPr>
                <w:rFonts w:ascii="Book Antiqua" w:eastAsia="等线" w:hAnsi="Book Antiqua"/>
                <w:color w:val="000000"/>
              </w:rPr>
              <w:t>2014</w:t>
            </w:r>
          </w:p>
        </w:tc>
        <w:tc>
          <w:tcPr>
            <w:tcW w:w="6583" w:type="dxa"/>
            <w:vAlign w:val="center"/>
          </w:tcPr>
          <w:p w14:paraId="5439DC8F" w14:textId="53EC4AB0" w:rsidR="00F146D1" w:rsidRPr="00E5152A" w:rsidRDefault="00F146D1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levels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byproducts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catabolism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higher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obese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teenage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boys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than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girls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of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comparable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BMI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z-score</w:t>
            </w:r>
            <w:r w:rsidR="00CE1529">
              <w:rPr>
                <w:rFonts w:ascii="Book Antiqua" w:eastAsia="等线" w:hAnsi="Book Antiqua"/>
                <w:color w:val="000000"/>
              </w:rPr>
              <w:t>;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metabolic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signature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comprising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BCAA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uric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correlates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positively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HOMA-IR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males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TG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to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HDL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ratio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females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and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inversely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with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adiponectin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in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males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but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not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females</w:t>
            </w:r>
          </w:p>
        </w:tc>
      </w:tr>
    </w:tbl>
    <w:p w14:paraId="10744727" w14:textId="56B3309E" w:rsidR="003E69D4" w:rsidRPr="00E5152A" w:rsidRDefault="003E69D4" w:rsidP="00E5152A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r w:rsidRPr="00E5152A">
        <w:rPr>
          <w:rFonts w:ascii="Book Antiqua" w:eastAsia="等线" w:hAnsi="Book Antiqua"/>
          <w:color w:val="000000"/>
        </w:rPr>
        <w:t>BCAA: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Pr="00E5152A">
        <w:rPr>
          <w:rFonts w:ascii="Book Antiqua" w:eastAsia="等线" w:hAnsi="Book Antiqua"/>
          <w:color w:val="000000"/>
        </w:rPr>
        <w:t>Branched-chain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Pr="00E5152A">
        <w:rPr>
          <w:rFonts w:ascii="Book Antiqua" w:eastAsia="等线" w:hAnsi="Book Antiqua"/>
          <w:color w:val="000000"/>
        </w:rPr>
        <w:t>amino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Pr="00E5152A">
        <w:rPr>
          <w:rFonts w:ascii="Book Antiqua" w:eastAsia="等线" w:hAnsi="Book Antiqua"/>
          <w:color w:val="000000"/>
        </w:rPr>
        <w:t>acid;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BMI:</w:t>
      </w:r>
      <w:r w:rsidR="00CE1529">
        <w:rPr>
          <w:rFonts w:ascii="Book Antiqua" w:eastAsia="Book Antiqua" w:hAnsi="Book Antiqua" w:cs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Body</w:t>
      </w:r>
      <w:r w:rsidR="00CE1529">
        <w:rPr>
          <w:rFonts w:ascii="Book Antiqua" w:eastAsia="Book Antiqua" w:hAnsi="Book Antiqua" w:cs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mass</w:t>
      </w:r>
      <w:r w:rsidR="00CE1529">
        <w:rPr>
          <w:rFonts w:ascii="Book Antiqua" w:eastAsia="Book Antiqua" w:hAnsi="Book Antiqua" w:cs="Book Antiqua"/>
          <w:color w:val="000000"/>
        </w:rPr>
        <w:t xml:space="preserve"> </w:t>
      </w:r>
      <w:r w:rsidR="00CE1529" w:rsidRPr="00E5152A">
        <w:rPr>
          <w:rFonts w:ascii="Book Antiqua" w:eastAsia="Book Antiqua" w:hAnsi="Book Antiqua" w:cs="Book Antiqua"/>
          <w:color w:val="000000"/>
        </w:rPr>
        <w:t>index</w:t>
      </w:r>
      <w:r w:rsidR="00CE1529">
        <w:rPr>
          <w:rFonts w:ascii="Book Antiqua" w:eastAsia="Book Antiqua" w:hAnsi="Book Antiqua" w:cs="Book Antiqua"/>
          <w:color w:val="000000"/>
        </w:rPr>
        <w:t xml:space="preserve">; </w:t>
      </w:r>
      <w:r w:rsidRPr="00E5152A">
        <w:rPr>
          <w:rFonts w:ascii="Book Antiqua" w:eastAsia="等线" w:hAnsi="Book Antiqua"/>
          <w:color w:val="000000"/>
        </w:rPr>
        <w:t>HDL: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Pr="00E5152A">
        <w:rPr>
          <w:rFonts w:ascii="Book Antiqua" w:eastAsia="等线" w:hAnsi="Book Antiqua"/>
          <w:color w:val="000000"/>
        </w:rPr>
        <w:t>High-density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Pr="00E5152A">
        <w:rPr>
          <w:rFonts w:ascii="Book Antiqua" w:eastAsia="等线" w:hAnsi="Book Antiqua"/>
          <w:color w:val="000000"/>
        </w:rPr>
        <w:t>lipoprotein;</w:t>
      </w:r>
      <w:r w:rsidR="002D6897">
        <w:rPr>
          <w:rFonts w:ascii="Book Antiqua" w:eastAsia="等线" w:hAnsi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HOMA: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Homeostatic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model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assessment;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IR: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color w:val="000000"/>
        </w:rPr>
        <w:t>resistance;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CE1529">
        <w:rPr>
          <w:rFonts w:ascii="Book Antiqua" w:eastAsia="Book Antiqua" w:hAnsi="Book Antiqua" w:cs="Book Antiqua"/>
          <w:color w:val="000000"/>
        </w:rPr>
        <w:t>TG: Triglycerides.</w:t>
      </w:r>
    </w:p>
    <w:p w14:paraId="48C39741" w14:textId="36860629" w:rsidR="00A77B3E" w:rsidRPr="00E5152A" w:rsidRDefault="003E69D4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5152A">
        <w:rPr>
          <w:rFonts w:ascii="Book Antiqua" w:eastAsia="等线" w:hAnsi="Book Antiqua"/>
          <w:color w:val="000000"/>
        </w:rPr>
        <w:br w:type="page"/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2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Plasma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amino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values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152A">
        <w:rPr>
          <w:rFonts w:ascii="Book Antiqua" w:eastAsia="Book Antiqua" w:hAnsi="Book Antiqua" w:cs="Book Antiqua"/>
          <w:b/>
          <w:bCs/>
          <w:color w:val="000000"/>
        </w:rPr>
        <w:t>(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mol/L)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E5152A">
        <w:rPr>
          <w:rFonts w:ascii="Book Antiqua" w:eastAsia="Book Antiqua" w:hAnsi="Book Antiqua" w:cs="Book Antiqua"/>
          <w:b/>
          <w:bCs/>
          <w:color w:val="000000"/>
        </w:rPr>
        <w:t>childhood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3E69D4" w:rsidRPr="00E5152A" w14:paraId="2931D1ED" w14:textId="77777777" w:rsidTr="003E69D4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866B" w14:textId="335D136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Amino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acid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F9210" w14:textId="5B1333D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6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mo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="002D6897" w:rsidRP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32577" w14:textId="12777C9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2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y</w:t>
            </w:r>
            <w:r w:rsidR="00A13DEF" w:rsidRPr="00E5152A">
              <w:rPr>
                <w:rFonts w:ascii="Book Antiqua" w:eastAsia="等线" w:hAnsi="Book Antiqua"/>
                <w:b/>
                <w:bCs/>
                <w:color w:val="000000"/>
              </w:rPr>
              <w:t>r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FBCE" w14:textId="441B98C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6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y</w:t>
            </w:r>
            <w:r w:rsidR="00A13DEF" w:rsidRPr="00E5152A">
              <w:rPr>
                <w:rFonts w:ascii="Book Antiqua" w:eastAsia="等线" w:hAnsi="Book Antiqua"/>
                <w:b/>
                <w:bCs/>
                <w:color w:val="000000"/>
              </w:rPr>
              <w:t>r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8E2CF" w14:textId="7B7351C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16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y</w:t>
            </w:r>
            <w:r w:rsidR="00A13DEF" w:rsidRPr="00E5152A"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  <w:t>r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50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="002D6897" w:rsidRP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(10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-90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  <w:vertAlign w:val="superscript"/>
              </w:rPr>
              <w:t>th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)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quantile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b/>
                <w:bCs/>
                <w:color w:val="000000"/>
              </w:rPr>
              <w:t>value</w:t>
            </w:r>
            <w:r w:rsidR="002D6897">
              <w:rPr>
                <w:rFonts w:ascii="Book Antiqua" w:eastAsia="等线" w:hAnsi="Book Antiqua"/>
                <w:b/>
                <w:bCs/>
                <w:color w:val="000000"/>
              </w:rPr>
              <w:t xml:space="preserve"> </w:t>
            </w:r>
          </w:p>
        </w:tc>
      </w:tr>
      <w:tr w:rsidR="003E69D4" w:rsidRPr="00E5152A" w14:paraId="313AF9E0" w14:textId="77777777" w:rsidTr="003E69D4"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774F49CF" w14:textId="51F77F3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Alanine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37CF8CCD" w14:textId="49D1B46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248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(182-396)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30595F07" w14:textId="1AB49F9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229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(173-349)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F9F5F1D" w14:textId="52825B6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234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(182-319)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5010D7FE" w14:textId="09472F0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370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(240-482)</w:t>
            </w:r>
          </w:p>
        </w:tc>
      </w:tr>
      <w:tr w:rsidR="003E69D4" w:rsidRPr="00E5152A" w14:paraId="14A680E9" w14:textId="77777777" w:rsidTr="003E69D4">
        <w:tc>
          <w:tcPr>
            <w:tcW w:w="1848" w:type="dxa"/>
            <w:vAlign w:val="center"/>
          </w:tcPr>
          <w:p w14:paraId="3E90CE9B" w14:textId="46B414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Arginine</w:t>
            </w:r>
          </w:p>
        </w:tc>
        <w:tc>
          <w:tcPr>
            <w:tcW w:w="1848" w:type="dxa"/>
            <w:vAlign w:val="center"/>
          </w:tcPr>
          <w:p w14:paraId="5452EE0B" w14:textId="6BF07C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(43-120)</w:t>
            </w:r>
          </w:p>
        </w:tc>
        <w:tc>
          <w:tcPr>
            <w:tcW w:w="1849" w:type="dxa"/>
            <w:vAlign w:val="center"/>
          </w:tcPr>
          <w:p w14:paraId="0C82FEC1" w14:textId="1760A5D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(46-90)</w:t>
            </w:r>
          </w:p>
        </w:tc>
        <w:tc>
          <w:tcPr>
            <w:tcW w:w="1849" w:type="dxa"/>
            <w:vAlign w:val="center"/>
          </w:tcPr>
          <w:p w14:paraId="1873F507" w14:textId="7231D28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(50-99)</w:t>
            </w:r>
          </w:p>
        </w:tc>
        <w:tc>
          <w:tcPr>
            <w:tcW w:w="1849" w:type="dxa"/>
            <w:vAlign w:val="center"/>
          </w:tcPr>
          <w:p w14:paraId="338BC8E3" w14:textId="73CA8F2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96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(68-128)</w:t>
            </w:r>
          </w:p>
        </w:tc>
      </w:tr>
      <w:tr w:rsidR="003E69D4" w:rsidRPr="00E5152A" w14:paraId="4DE57ABE" w14:textId="77777777" w:rsidTr="003E69D4">
        <w:tc>
          <w:tcPr>
            <w:tcW w:w="1848" w:type="dxa"/>
            <w:vAlign w:val="center"/>
          </w:tcPr>
          <w:p w14:paraId="52AC3952" w14:textId="4A21517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Asparagine</w:t>
            </w:r>
          </w:p>
        </w:tc>
        <w:tc>
          <w:tcPr>
            <w:tcW w:w="1848" w:type="dxa"/>
            <w:vAlign w:val="center"/>
          </w:tcPr>
          <w:p w14:paraId="341FCDFD" w14:textId="633F11A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41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(31-56)</w:t>
            </w:r>
          </w:p>
        </w:tc>
        <w:tc>
          <w:tcPr>
            <w:tcW w:w="1849" w:type="dxa"/>
            <w:vAlign w:val="center"/>
          </w:tcPr>
          <w:p w14:paraId="432E3C86" w14:textId="46EE2F7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(29-56)</w:t>
            </w:r>
          </w:p>
        </w:tc>
        <w:tc>
          <w:tcPr>
            <w:tcW w:w="1849" w:type="dxa"/>
            <w:vAlign w:val="center"/>
          </w:tcPr>
          <w:p w14:paraId="5FD4C3CF" w14:textId="0B49F48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(31-67)</w:t>
            </w:r>
          </w:p>
        </w:tc>
        <w:tc>
          <w:tcPr>
            <w:tcW w:w="1849" w:type="dxa"/>
            <w:vAlign w:val="center"/>
          </w:tcPr>
          <w:p w14:paraId="0068C1F5" w14:textId="3ECCF5F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(37-81)</w:t>
            </w:r>
          </w:p>
        </w:tc>
      </w:tr>
      <w:tr w:rsidR="003E69D4" w:rsidRPr="00E5152A" w14:paraId="6C642FCA" w14:textId="77777777" w:rsidTr="003E69D4">
        <w:tc>
          <w:tcPr>
            <w:tcW w:w="1848" w:type="dxa"/>
            <w:vAlign w:val="center"/>
          </w:tcPr>
          <w:p w14:paraId="77A2A157" w14:textId="14BE8035" w:rsidR="003E69D4" w:rsidRPr="00E5152A" w:rsidRDefault="00E21F4C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Aspartic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="003E69D4" w:rsidRPr="00E5152A">
              <w:rPr>
                <w:rFonts w:ascii="Book Antiqua" w:eastAsia="等线" w:hAnsi="Book Antiqua"/>
                <w:color w:val="000000"/>
              </w:rPr>
              <w:t>acid</w:t>
            </w:r>
          </w:p>
        </w:tc>
        <w:tc>
          <w:tcPr>
            <w:tcW w:w="1848" w:type="dxa"/>
            <w:vAlign w:val="center"/>
          </w:tcPr>
          <w:p w14:paraId="3514786C" w14:textId="0878614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(4-18)</w:t>
            </w:r>
          </w:p>
        </w:tc>
        <w:tc>
          <w:tcPr>
            <w:tcW w:w="1849" w:type="dxa"/>
            <w:vAlign w:val="center"/>
          </w:tcPr>
          <w:p w14:paraId="6D5C9DC6" w14:textId="75F247B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(3-8)</w:t>
            </w:r>
          </w:p>
        </w:tc>
        <w:tc>
          <w:tcPr>
            <w:tcW w:w="1849" w:type="dxa"/>
            <w:vAlign w:val="center"/>
          </w:tcPr>
          <w:p w14:paraId="151DAD44" w14:textId="5E3A7F3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(3-6)</w:t>
            </w:r>
          </w:p>
        </w:tc>
        <w:tc>
          <w:tcPr>
            <w:tcW w:w="1849" w:type="dxa"/>
            <w:vAlign w:val="center"/>
          </w:tcPr>
          <w:p w14:paraId="2E8CD8C1" w14:textId="22D36A2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(2-5)</w:t>
            </w:r>
          </w:p>
        </w:tc>
      </w:tr>
      <w:tr w:rsidR="003E69D4" w:rsidRPr="00E5152A" w14:paraId="7C064F3F" w14:textId="77777777" w:rsidTr="003E69D4">
        <w:tc>
          <w:tcPr>
            <w:tcW w:w="1848" w:type="dxa"/>
            <w:vAlign w:val="center"/>
          </w:tcPr>
          <w:p w14:paraId="5A8A43C1" w14:textId="6B493BA8" w:rsidR="003E69D4" w:rsidRPr="00E5152A" w:rsidRDefault="00E21F4C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Citrulline</w:t>
            </w:r>
          </w:p>
        </w:tc>
        <w:tc>
          <w:tcPr>
            <w:tcW w:w="1848" w:type="dxa"/>
            <w:vAlign w:val="center"/>
          </w:tcPr>
          <w:p w14:paraId="05562832" w14:textId="3054D7B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(14-32)</w:t>
            </w:r>
          </w:p>
        </w:tc>
        <w:tc>
          <w:tcPr>
            <w:tcW w:w="1849" w:type="dxa"/>
            <w:vAlign w:val="center"/>
          </w:tcPr>
          <w:p w14:paraId="5550BAEA" w14:textId="5721A7B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(17-35)</w:t>
            </w:r>
          </w:p>
        </w:tc>
        <w:tc>
          <w:tcPr>
            <w:tcW w:w="1849" w:type="dxa"/>
            <w:vAlign w:val="center"/>
          </w:tcPr>
          <w:p w14:paraId="151F780E" w14:textId="643686B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(23-37)</w:t>
            </w:r>
          </w:p>
        </w:tc>
        <w:tc>
          <w:tcPr>
            <w:tcW w:w="1849" w:type="dxa"/>
            <w:vAlign w:val="center"/>
          </w:tcPr>
          <w:p w14:paraId="734D6AC7" w14:textId="5C43665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(23-39)</w:t>
            </w:r>
          </w:p>
        </w:tc>
      </w:tr>
      <w:tr w:rsidR="003E69D4" w:rsidRPr="00E5152A" w14:paraId="2E6E081D" w14:textId="77777777" w:rsidTr="003E69D4">
        <w:tc>
          <w:tcPr>
            <w:tcW w:w="1848" w:type="dxa"/>
            <w:vAlign w:val="center"/>
          </w:tcPr>
          <w:p w14:paraId="191B26F0" w14:textId="6BC7AA1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Cystine</w:t>
            </w:r>
          </w:p>
        </w:tc>
        <w:tc>
          <w:tcPr>
            <w:tcW w:w="1848" w:type="dxa"/>
            <w:vAlign w:val="center"/>
          </w:tcPr>
          <w:p w14:paraId="41B19330" w14:textId="741D767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(21-53)</w:t>
            </w:r>
          </w:p>
        </w:tc>
        <w:tc>
          <w:tcPr>
            <w:tcW w:w="1849" w:type="dxa"/>
            <w:vAlign w:val="center"/>
          </w:tcPr>
          <w:p w14:paraId="546875A6" w14:textId="6A0C830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41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(27-52)</w:t>
            </w:r>
          </w:p>
        </w:tc>
        <w:tc>
          <w:tcPr>
            <w:tcW w:w="1849" w:type="dxa"/>
            <w:vAlign w:val="center"/>
          </w:tcPr>
          <w:p w14:paraId="467639A5" w14:textId="3C998CF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(33-54)</w:t>
            </w:r>
          </w:p>
        </w:tc>
        <w:tc>
          <w:tcPr>
            <w:tcW w:w="1849" w:type="dxa"/>
            <w:vAlign w:val="center"/>
          </w:tcPr>
          <w:p w14:paraId="408E4EB3" w14:textId="6BE18A2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(36-61)</w:t>
            </w:r>
          </w:p>
        </w:tc>
      </w:tr>
      <w:tr w:rsidR="003E69D4" w:rsidRPr="00E5152A" w14:paraId="23E83ABD" w14:textId="77777777" w:rsidTr="003E69D4">
        <w:tc>
          <w:tcPr>
            <w:tcW w:w="1848" w:type="dxa"/>
            <w:vAlign w:val="center"/>
          </w:tcPr>
          <w:p w14:paraId="4E3A0744" w14:textId="3E97D3F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Glutamic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acid</w:t>
            </w:r>
          </w:p>
        </w:tc>
        <w:tc>
          <w:tcPr>
            <w:tcW w:w="1848" w:type="dxa"/>
            <w:vAlign w:val="center"/>
          </w:tcPr>
          <w:p w14:paraId="2335A787" w14:textId="18F631D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(31-113)</w:t>
            </w:r>
          </w:p>
        </w:tc>
        <w:tc>
          <w:tcPr>
            <w:tcW w:w="1849" w:type="dxa"/>
            <w:vAlign w:val="center"/>
          </w:tcPr>
          <w:p w14:paraId="5C68A821" w14:textId="2E8B7BD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(25-81)</w:t>
            </w:r>
          </w:p>
        </w:tc>
        <w:tc>
          <w:tcPr>
            <w:tcW w:w="1849" w:type="dxa"/>
            <w:vAlign w:val="center"/>
          </w:tcPr>
          <w:p w14:paraId="3606DBC5" w14:textId="6F83B97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(13-65)</w:t>
            </w:r>
          </w:p>
        </w:tc>
        <w:tc>
          <w:tcPr>
            <w:tcW w:w="1849" w:type="dxa"/>
            <w:vAlign w:val="center"/>
          </w:tcPr>
          <w:p w14:paraId="4029EFFB" w14:textId="716595D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(11-46)</w:t>
            </w:r>
          </w:p>
        </w:tc>
      </w:tr>
      <w:tr w:rsidR="003E69D4" w:rsidRPr="00E5152A" w14:paraId="123C037A" w14:textId="77777777" w:rsidTr="003E69D4">
        <w:tc>
          <w:tcPr>
            <w:tcW w:w="1848" w:type="dxa"/>
            <w:vAlign w:val="center"/>
          </w:tcPr>
          <w:p w14:paraId="1F22343D" w14:textId="4D7F9DF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Glutamine</w:t>
            </w:r>
          </w:p>
        </w:tc>
        <w:tc>
          <w:tcPr>
            <w:tcW w:w="1848" w:type="dxa"/>
            <w:vAlign w:val="center"/>
          </w:tcPr>
          <w:p w14:paraId="7E3AB7E3" w14:textId="1097175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583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(474-737)</w:t>
            </w:r>
          </w:p>
        </w:tc>
        <w:tc>
          <w:tcPr>
            <w:tcW w:w="1849" w:type="dxa"/>
            <w:vAlign w:val="center"/>
          </w:tcPr>
          <w:p w14:paraId="2DAD745B" w14:textId="5E13E26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580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(473-692)</w:t>
            </w:r>
          </w:p>
        </w:tc>
        <w:tc>
          <w:tcPr>
            <w:tcW w:w="1849" w:type="dxa"/>
            <w:vAlign w:val="center"/>
          </w:tcPr>
          <w:p w14:paraId="72558852" w14:textId="5B2393F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604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(493-724)</w:t>
            </w:r>
          </w:p>
        </w:tc>
        <w:tc>
          <w:tcPr>
            <w:tcW w:w="1849" w:type="dxa"/>
            <w:vAlign w:val="center"/>
          </w:tcPr>
          <w:p w14:paraId="565B93A5" w14:textId="03A609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680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(551-797)</w:t>
            </w:r>
          </w:p>
        </w:tc>
      </w:tr>
      <w:tr w:rsidR="003E69D4" w:rsidRPr="00E5152A" w14:paraId="1EC017B2" w14:textId="77777777" w:rsidTr="003E69D4">
        <w:tc>
          <w:tcPr>
            <w:tcW w:w="1848" w:type="dxa"/>
            <w:vAlign w:val="center"/>
          </w:tcPr>
          <w:p w14:paraId="235E0D54" w14:textId="1AD54C8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Glycine</w:t>
            </w:r>
          </w:p>
        </w:tc>
        <w:tc>
          <w:tcPr>
            <w:tcW w:w="1848" w:type="dxa"/>
            <w:vAlign w:val="center"/>
          </w:tcPr>
          <w:p w14:paraId="6A321738" w14:textId="677A08A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207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(138-276)</w:t>
            </w:r>
          </w:p>
        </w:tc>
        <w:tc>
          <w:tcPr>
            <w:tcW w:w="1849" w:type="dxa"/>
            <w:vAlign w:val="center"/>
          </w:tcPr>
          <w:p w14:paraId="1EB1B908" w14:textId="177C394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207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(138-276)</w:t>
            </w:r>
          </w:p>
        </w:tc>
        <w:tc>
          <w:tcPr>
            <w:tcW w:w="1849" w:type="dxa"/>
            <w:vAlign w:val="center"/>
          </w:tcPr>
          <w:p w14:paraId="23141AC9" w14:textId="1DE7765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213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(144-282)</w:t>
            </w:r>
          </w:p>
        </w:tc>
        <w:tc>
          <w:tcPr>
            <w:tcW w:w="1849" w:type="dxa"/>
            <w:vAlign w:val="center"/>
          </w:tcPr>
          <w:p w14:paraId="5554514F" w14:textId="59AE3BD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252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(183-322)</w:t>
            </w:r>
          </w:p>
        </w:tc>
      </w:tr>
      <w:tr w:rsidR="003E69D4" w:rsidRPr="00E5152A" w14:paraId="71825274" w14:textId="77777777" w:rsidTr="003E69D4">
        <w:tc>
          <w:tcPr>
            <w:tcW w:w="1848" w:type="dxa"/>
            <w:vAlign w:val="center"/>
          </w:tcPr>
          <w:p w14:paraId="4A59D2E4" w14:textId="7E75F02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Histidine</w:t>
            </w:r>
          </w:p>
        </w:tc>
        <w:tc>
          <w:tcPr>
            <w:tcW w:w="1848" w:type="dxa"/>
            <w:vAlign w:val="center"/>
          </w:tcPr>
          <w:p w14:paraId="72FC5CC0" w14:textId="24785E3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(61-91)</w:t>
            </w:r>
          </w:p>
        </w:tc>
        <w:tc>
          <w:tcPr>
            <w:tcW w:w="1849" w:type="dxa"/>
            <w:vAlign w:val="center"/>
          </w:tcPr>
          <w:p w14:paraId="567F2F7B" w14:textId="0B9BD17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(61-91)</w:t>
            </w:r>
          </w:p>
        </w:tc>
        <w:tc>
          <w:tcPr>
            <w:tcW w:w="1849" w:type="dxa"/>
            <w:vAlign w:val="center"/>
          </w:tcPr>
          <w:p w14:paraId="684D53BA" w14:textId="1B68527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(63-93)</w:t>
            </w:r>
          </w:p>
        </w:tc>
        <w:tc>
          <w:tcPr>
            <w:tcW w:w="1849" w:type="dxa"/>
            <w:vAlign w:val="center"/>
          </w:tcPr>
          <w:p w14:paraId="799202CC" w14:textId="3C3F669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92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(77-107)</w:t>
            </w:r>
          </w:p>
        </w:tc>
      </w:tr>
      <w:tr w:rsidR="003E69D4" w:rsidRPr="00E5152A" w14:paraId="40CD02F2" w14:textId="77777777" w:rsidTr="003E69D4">
        <w:tc>
          <w:tcPr>
            <w:tcW w:w="1848" w:type="dxa"/>
            <w:vAlign w:val="center"/>
          </w:tcPr>
          <w:p w14:paraId="2FA22035" w14:textId="14E4CA7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Isoleucine</w:t>
            </w:r>
          </w:p>
        </w:tc>
        <w:tc>
          <w:tcPr>
            <w:tcW w:w="1848" w:type="dxa"/>
            <w:vAlign w:val="center"/>
          </w:tcPr>
          <w:p w14:paraId="79BA52AA" w14:textId="6E78C62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(39-76)</w:t>
            </w:r>
          </w:p>
        </w:tc>
        <w:tc>
          <w:tcPr>
            <w:tcW w:w="1849" w:type="dxa"/>
            <w:vAlign w:val="center"/>
          </w:tcPr>
          <w:p w14:paraId="7C02338C" w14:textId="54E6E54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(4-78)</w:t>
            </w:r>
          </w:p>
        </w:tc>
        <w:tc>
          <w:tcPr>
            <w:tcW w:w="1849" w:type="dxa"/>
            <w:vAlign w:val="center"/>
          </w:tcPr>
          <w:p w14:paraId="7B80825C" w14:textId="615E58B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(40-69)</w:t>
            </w:r>
          </w:p>
        </w:tc>
        <w:tc>
          <w:tcPr>
            <w:tcW w:w="1849" w:type="dxa"/>
            <w:vAlign w:val="center"/>
          </w:tcPr>
          <w:p w14:paraId="0C15F10C" w14:textId="1F35FE4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(47-74)</w:t>
            </w:r>
          </w:p>
        </w:tc>
      </w:tr>
      <w:tr w:rsidR="003E69D4" w:rsidRPr="00E5152A" w14:paraId="56C214C1" w14:textId="77777777" w:rsidTr="003E69D4">
        <w:tc>
          <w:tcPr>
            <w:tcW w:w="1848" w:type="dxa"/>
            <w:vAlign w:val="center"/>
          </w:tcPr>
          <w:p w14:paraId="13F6D07D" w14:textId="5587E0B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Leucine</w:t>
            </w:r>
          </w:p>
        </w:tc>
        <w:tc>
          <w:tcPr>
            <w:tcW w:w="1848" w:type="dxa"/>
            <w:vAlign w:val="center"/>
          </w:tcPr>
          <w:p w14:paraId="7EA90554" w14:textId="6624E6A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115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(77-153)</w:t>
            </w:r>
          </w:p>
        </w:tc>
        <w:tc>
          <w:tcPr>
            <w:tcW w:w="1849" w:type="dxa"/>
            <w:vAlign w:val="center"/>
          </w:tcPr>
          <w:p w14:paraId="353E5104" w14:textId="331CFCC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111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(79-147)</w:t>
            </w:r>
          </w:p>
        </w:tc>
        <w:tc>
          <w:tcPr>
            <w:tcW w:w="1849" w:type="dxa"/>
            <w:vAlign w:val="center"/>
          </w:tcPr>
          <w:p w14:paraId="32B6D6B4" w14:textId="51CFEAC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110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(86-136)</w:t>
            </w:r>
          </w:p>
        </w:tc>
        <w:tc>
          <w:tcPr>
            <w:tcW w:w="1849" w:type="dxa"/>
            <w:vAlign w:val="center"/>
          </w:tcPr>
          <w:p w14:paraId="2B577F79" w14:textId="211B200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(101-159)</w:t>
            </w:r>
          </w:p>
        </w:tc>
      </w:tr>
      <w:tr w:rsidR="003E69D4" w:rsidRPr="00E5152A" w14:paraId="07ABFDF9" w14:textId="77777777" w:rsidTr="003E69D4">
        <w:tc>
          <w:tcPr>
            <w:tcW w:w="1848" w:type="dxa"/>
            <w:vAlign w:val="center"/>
          </w:tcPr>
          <w:p w14:paraId="6EA31B1C" w14:textId="0273DB3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Lysine</w:t>
            </w:r>
          </w:p>
        </w:tc>
        <w:tc>
          <w:tcPr>
            <w:tcW w:w="1848" w:type="dxa"/>
            <w:vAlign w:val="center"/>
          </w:tcPr>
          <w:p w14:paraId="0253E9B3" w14:textId="5E67324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(87-171)</w:t>
            </w:r>
          </w:p>
        </w:tc>
        <w:tc>
          <w:tcPr>
            <w:tcW w:w="1849" w:type="dxa"/>
            <w:vAlign w:val="center"/>
          </w:tcPr>
          <w:p w14:paraId="68393A7D" w14:textId="78D0227A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130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(88-172)</w:t>
            </w:r>
          </w:p>
        </w:tc>
        <w:tc>
          <w:tcPr>
            <w:tcW w:w="1849" w:type="dxa"/>
            <w:vAlign w:val="center"/>
          </w:tcPr>
          <w:p w14:paraId="7685ABAB" w14:textId="7DC0F44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139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(96-181)</w:t>
            </w:r>
          </w:p>
        </w:tc>
        <w:tc>
          <w:tcPr>
            <w:tcW w:w="1849" w:type="dxa"/>
            <w:vAlign w:val="center"/>
          </w:tcPr>
          <w:p w14:paraId="0117C34C" w14:textId="20C9F52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200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(157-242)</w:t>
            </w:r>
          </w:p>
        </w:tc>
      </w:tr>
      <w:tr w:rsidR="003E69D4" w:rsidRPr="00E5152A" w14:paraId="020FE497" w14:textId="77777777" w:rsidTr="003E69D4">
        <w:tc>
          <w:tcPr>
            <w:tcW w:w="1848" w:type="dxa"/>
            <w:vAlign w:val="center"/>
          </w:tcPr>
          <w:p w14:paraId="6C3AF83F" w14:textId="216A380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Methionine</w:t>
            </w:r>
          </w:p>
        </w:tc>
        <w:tc>
          <w:tcPr>
            <w:tcW w:w="1848" w:type="dxa"/>
            <w:vAlign w:val="center"/>
          </w:tcPr>
          <w:p w14:paraId="2D527679" w14:textId="71CC1B8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(25-103)</w:t>
            </w:r>
          </w:p>
        </w:tc>
        <w:tc>
          <w:tcPr>
            <w:tcW w:w="1849" w:type="dxa"/>
            <w:vAlign w:val="center"/>
          </w:tcPr>
          <w:p w14:paraId="4F97B947" w14:textId="6BA02B5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(13-22)</w:t>
            </w:r>
          </w:p>
        </w:tc>
        <w:tc>
          <w:tcPr>
            <w:tcW w:w="1849" w:type="dxa"/>
            <w:vAlign w:val="center"/>
          </w:tcPr>
          <w:p w14:paraId="0AABB0EA" w14:textId="25B187F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(14-25)</w:t>
            </w:r>
          </w:p>
        </w:tc>
        <w:tc>
          <w:tcPr>
            <w:tcW w:w="1849" w:type="dxa"/>
            <w:vAlign w:val="center"/>
          </w:tcPr>
          <w:p w14:paraId="77AEA57F" w14:textId="2704554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(20-34)</w:t>
            </w:r>
          </w:p>
        </w:tc>
      </w:tr>
      <w:tr w:rsidR="003E69D4" w:rsidRPr="00E5152A" w14:paraId="1008DB06" w14:textId="77777777" w:rsidTr="003E69D4">
        <w:tc>
          <w:tcPr>
            <w:tcW w:w="1848" w:type="dxa"/>
            <w:vAlign w:val="center"/>
          </w:tcPr>
          <w:p w14:paraId="36C11440" w14:textId="35EF053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Ornithine</w:t>
            </w:r>
          </w:p>
        </w:tc>
        <w:tc>
          <w:tcPr>
            <w:tcW w:w="1848" w:type="dxa"/>
            <w:vAlign w:val="center"/>
          </w:tcPr>
          <w:p w14:paraId="2832B937" w14:textId="56EF3709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(38-78)</w:t>
            </w:r>
          </w:p>
        </w:tc>
        <w:tc>
          <w:tcPr>
            <w:tcW w:w="1849" w:type="dxa"/>
            <w:vAlign w:val="center"/>
          </w:tcPr>
          <w:p w14:paraId="3CF834EB" w14:textId="74F30EE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(24-60)</w:t>
            </w:r>
          </w:p>
        </w:tc>
        <w:tc>
          <w:tcPr>
            <w:tcW w:w="1849" w:type="dxa"/>
            <w:vAlign w:val="center"/>
          </w:tcPr>
          <w:p w14:paraId="1912EF38" w14:textId="44DB058A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37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(25-50)</w:t>
            </w:r>
          </w:p>
        </w:tc>
        <w:tc>
          <w:tcPr>
            <w:tcW w:w="1849" w:type="dxa"/>
            <w:vAlign w:val="center"/>
          </w:tcPr>
          <w:p w14:paraId="066FF4A4" w14:textId="700363C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(37-62)</w:t>
            </w:r>
          </w:p>
        </w:tc>
      </w:tr>
      <w:tr w:rsidR="003E69D4" w:rsidRPr="00E5152A" w14:paraId="3B278F7E" w14:textId="77777777" w:rsidTr="003E69D4">
        <w:tc>
          <w:tcPr>
            <w:tcW w:w="1848" w:type="dxa"/>
            <w:vAlign w:val="center"/>
          </w:tcPr>
          <w:p w14:paraId="3EC7256F" w14:textId="6193345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Phenylalanine</w:t>
            </w:r>
          </w:p>
        </w:tc>
        <w:tc>
          <w:tcPr>
            <w:tcW w:w="1848" w:type="dxa"/>
            <w:vAlign w:val="center"/>
          </w:tcPr>
          <w:p w14:paraId="78F3EC43" w14:textId="7EAEB3B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(38-78)</w:t>
            </w:r>
          </w:p>
        </w:tc>
        <w:tc>
          <w:tcPr>
            <w:tcW w:w="1849" w:type="dxa"/>
            <w:vAlign w:val="center"/>
          </w:tcPr>
          <w:p w14:paraId="40BBB77B" w14:textId="4F9B3A4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(39-65)</w:t>
            </w:r>
          </w:p>
        </w:tc>
        <w:tc>
          <w:tcPr>
            <w:tcW w:w="1849" w:type="dxa"/>
            <w:vAlign w:val="center"/>
          </w:tcPr>
          <w:p w14:paraId="7C7ACE4F" w14:textId="4482AF0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49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(40-61)</w:t>
            </w:r>
          </w:p>
        </w:tc>
        <w:tc>
          <w:tcPr>
            <w:tcW w:w="1849" w:type="dxa"/>
            <w:vAlign w:val="center"/>
          </w:tcPr>
          <w:p w14:paraId="0E49AABB" w14:textId="7434FB8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(47-74)</w:t>
            </w:r>
          </w:p>
        </w:tc>
      </w:tr>
      <w:tr w:rsidR="003E69D4" w:rsidRPr="00E5152A" w14:paraId="1BCF28DC" w14:textId="77777777" w:rsidTr="003E69D4">
        <w:tc>
          <w:tcPr>
            <w:tcW w:w="1848" w:type="dxa"/>
            <w:vAlign w:val="center"/>
          </w:tcPr>
          <w:p w14:paraId="77B89A27" w14:textId="7BFDC75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Proline</w:t>
            </w:r>
          </w:p>
        </w:tc>
        <w:tc>
          <w:tcPr>
            <w:tcW w:w="1848" w:type="dxa"/>
            <w:vAlign w:val="center"/>
          </w:tcPr>
          <w:p w14:paraId="7FFED202" w14:textId="21831A4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93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(151-265)</w:t>
            </w:r>
          </w:p>
        </w:tc>
        <w:tc>
          <w:tcPr>
            <w:tcW w:w="1849" w:type="dxa"/>
            <w:vAlign w:val="center"/>
          </w:tcPr>
          <w:p w14:paraId="6DCBA311" w14:textId="7478D0A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(93-220)</w:t>
            </w:r>
          </w:p>
        </w:tc>
        <w:tc>
          <w:tcPr>
            <w:tcW w:w="1849" w:type="dxa"/>
            <w:vAlign w:val="center"/>
          </w:tcPr>
          <w:p w14:paraId="383BA542" w14:textId="1470060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127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(93-201)</w:t>
            </w:r>
          </w:p>
        </w:tc>
        <w:tc>
          <w:tcPr>
            <w:tcW w:w="1849" w:type="dxa"/>
            <w:vAlign w:val="center"/>
          </w:tcPr>
          <w:p w14:paraId="633FA5F9" w14:textId="3328B06A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184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(113-271)</w:t>
            </w:r>
          </w:p>
        </w:tc>
      </w:tr>
      <w:tr w:rsidR="003E69D4" w:rsidRPr="00E5152A" w14:paraId="73FAEF07" w14:textId="77777777" w:rsidTr="003E69D4">
        <w:tc>
          <w:tcPr>
            <w:tcW w:w="1848" w:type="dxa"/>
            <w:vAlign w:val="center"/>
          </w:tcPr>
          <w:p w14:paraId="755F4CDF" w14:textId="18F85BD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Serine</w:t>
            </w:r>
          </w:p>
        </w:tc>
        <w:tc>
          <w:tcPr>
            <w:tcW w:w="1848" w:type="dxa"/>
            <w:vAlign w:val="center"/>
          </w:tcPr>
          <w:p w14:paraId="6414F5C1" w14:textId="39E22BB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(98-160)</w:t>
            </w:r>
          </w:p>
        </w:tc>
        <w:tc>
          <w:tcPr>
            <w:tcW w:w="1849" w:type="dxa"/>
            <w:vAlign w:val="center"/>
          </w:tcPr>
          <w:p w14:paraId="1324D8F0" w14:textId="68C0F31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121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(97-154)</w:t>
            </w:r>
          </w:p>
        </w:tc>
        <w:tc>
          <w:tcPr>
            <w:tcW w:w="1849" w:type="dxa"/>
            <w:vAlign w:val="center"/>
          </w:tcPr>
          <w:p w14:paraId="07A33147" w14:textId="5A1CA31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118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(96-155)</w:t>
            </w:r>
          </w:p>
        </w:tc>
        <w:tc>
          <w:tcPr>
            <w:tcW w:w="1849" w:type="dxa"/>
            <w:vAlign w:val="center"/>
          </w:tcPr>
          <w:p w14:paraId="1AA62C37" w14:textId="0C356851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130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(101-177)</w:t>
            </w:r>
          </w:p>
        </w:tc>
      </w:tr>
      <w:tr w:rsidR="003E69D4" w:rsidRPr="00E5152A" w14:paraId="1CAD337D" w14:textId="77777777" w:rsidTr="003E69D4">
        <w:tc>
          <w:tcPr>
            <w:tcW w:w="1848" w:type="dxa"/>
            <w:vAlign w:val="center"/>
          </w:tcPr>
          <w:p w14:paraId="7CB0D075" w14:textId="47493E13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Taurine</w:t>
            </w:r>
          </w:p>
        </w:tc>
        <w:tc>
          <w:tcPr>
            <w:tcW w:w="1848" w:type="dxa"/>
            <w:vAlign w:val="center"/>
          </w:tcPr>
          <w:p w14:paraId="263A0E85" w14:textId="40B81E2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(39-111)</w:t>
            </w:r>
          </w:p>
        </w:tc>
        <w:tc>
          <w:tcPr>
            <w:tcW w:w="1849" w:type="dxa"/>
            <w:vAlign w:val="center"/>
          </w:tcPr>
          <w:p w14:paraId="1C4BBB17" w14:textId="035C62B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(39-80)</w:t>
            </w:r>
          </w:p>
        </w:tc>
        <w:tc>
          <w:tcPr>
            <w:tcW w:w="1849" w:type="dxa"/>
            <w:vAlign w:val="center"/>
          </w:tcPr>
          <w:p w14:paraId="205532BB" w14:textId="3A8512D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(41-69)</w:t>
            </w:r>
          </w:p>
        </w:tc>
        <w:tc>
          <w:tcPr>
            <w:tcW w:w="1849" w:type="dxa"/>
            <w:vAlign w:val="center"/>
          </w:tcPr>
          <w:p w14:paraId="7F87ED72" w14:textId="7635A5B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(41-66)</w:t>
            </w:r>
          </w:p>
        </w:tc>
      </w:tr>
      <w:tr w:rsidR="003E69D4" w:rsidRPr="00E5152A" w14:paraId="0EF7BFB8" w14:textId="77777777" w:rsidTr="003E69D4">
        <w:tc>
          <w:tcPr>
            <w:tcW w:w="1848" w:type="dxa"/>
            <w:vAlign w:val="center"/>
          </w:tcPr>
          <w:p w14:paraId="3B9D0CAA" w14:textId="66F12B8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Threonine</w:t>
            </w:r>
          </w:p>
        </w:tc>
        <w:tc>
          <w:tcPr>
            <w:tcW w:w="1848" w:type="dxa"/>
            <w:vAlign w:val="center"/>
          </w:tcPr>
          <w:p w14:paraId="12FBAFD3" w14:textId="2AE8D855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102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(61-162)</w:t>
            </w:r>
          </w:p>
        </w:tc>
        <w:tc>
          <w:tcPr>
            <w:tcW w:w="1849" w:type="dxa"/>
            <w:vAlign w:val="center"/>
          </w:tcPr>
          <w:p w14:paraId="5C94F1DD" w14:textId="7B80E560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91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(61-115)</w:t>
            </w:r>
          </w:p>
        </w:tc>
        <w:tc>
          <w:tcPr>
            <w:tcW w:w="1849" w:type="dxa"/>
            <w:vAlign w:val="center"/>
          </w:tcPr>
          <w:p w14:paraId="590F9EAC" w14:textId="7FFCA06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94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(65-125)</w:t>
            </w:r>
          </w:p>
        </w:tc>
        <w:tc>
          <w:tcPr>
            <w:tcW w:w="1849" w:type="dxa"/>
            <w:vAlign w:val="center"/>
          </w:tcPr>
          <w:p w14:paraId="47472232" w14:textId="7902982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131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(104-188)</w:t>
            </w:r>
          </w:p>
        </w:tc>
      </w:tr>
      <w:tr w:rsidR="003E69D4" w:rsidRPr="00E5152A" w14:paraId="24FE969C" w14:textId="77777777" w:rsidTr="003E69D4">
        <w:tc>
          <w:tcPr>
            <w:tcW w:w="1848" w:type="dxa"/>
            <w:vAlign w:val="center"/>
          </w:tcPr>
          <w:p w14:paraId="5182AA5E" w14:textId="16C1280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Tryptophan</w:t>
            </w:r>
          </w:p>
        </w:tc>
        <w:tc>
          <w:tcPr>
            <w:tcW w:w="1848" w:type="dxa"/>
            <w:vAlign w:val="center"/>
          </w:tcPr>
          <w:p w14:paraId="1CCEBEA7" w14:textId="40BE670E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(34-73)</w:t>
            </w:r>
          </w:p>
        </w:tc>
        <w:tc>
          <w:tcPr>
            <w:tcW w:w="1849" w:type="dxa"/>
            <w:vAlign w:val="center"/>
          </w:tcPr>
          <w:p w14:paraId="4274D2BA" w14:textId="668D305B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(35-73)</w:t>
            </w:r>
          </w:p>
        </w:tc>
        <w:tc>
          <w:tcPr>
            <w:tcW w:w="1849" w:type="dxa"/>
            <w:vAlign w:val="center"/>
          </w:tcPr>
          <w:p w14:paraId="16C4FD0B" w14:textId="76F09DA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(37-76)</w:t>
            </w:r>
          </w:p>
        </w:tc>
        <w:tc>
          <w:tcPr>
            <w:tcW w:w="1849" w:type="dxa"/>
            <w:vAlign w:val="center"/>
          </w:tcPr>
          <w:p w14:paraId="1E2C4FD0" w14:textId="41A36A37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74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(54-87)</w:t>
            </w:r>
          </w:p>
        </w:tc>
      </w:tr>
      <w:tr w:rsidR="003E69D4" w:rsidRPr="00E5152A" w14:paraId="4A7B34A5" w14:textId="77777777" w:rsidTr="003E69D4">
        <w:tc>
          <w:tcPr>
            <w:tcW w:w="1848" w:type="dxa"/>
            <w:vAlign w:val="center"/>
          </w:tcPr>
          <w:p w14:paraId="55E4B36A" w14:textId="1D96469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Tyrosine</w:t>
            </w:r>
          </w:p>
        </w:tc>
        <w:tc>
          <w:tcPr>
            <w:tcW w:w="1848" w:type="dxa"/>
            <w:vAlign w:val="center"/>
          </w:tcPr>
          <w:p w14:paraId="41C3D40E" w14:textId="563A913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60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(43-108)</w:t>
            </w:r>
          </w:p>
        </w:tc>
        <w:tc>
          <w:tcPr>
            <w:tcW w:w="1849" w:type="dxa"/>
            <w:vAlign w:val="center"/>
          </w:tcPr>
          <w:p w14:paraId="10AB022B" w14:textId="1750201D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(40-77)</w:t>
            </w:r>
          </w:p>
        </w:tc>
        <w:tc>
          <w:tcPr>
            <w:tcW w:w="1849" w:type="dxa"/>
            <w:vAlign w:val="center"/>
          </w:tcPr>
          <w:p w14:paraId="0B7EE060" w14:textId="50DFBA9C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55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(39-65)</w:t>
            </w:r>
          </w:p>
        </w:tc>
        <w:tc>
          <w:tcPr>
            <w:tcW w:w="1849" w:type="dxa"/>
            <w:vAlign w:val="center"/>
          </w:tcPr>
          <w:p w14:paraId="1D72718F" w14:textId="4B9B3B58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65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(46-87)</w:t>
            </w:r>
          </w:p>
        </w:tc>
      </w:tr>
      <w:tr w:rsidR="003E69D4" w:rsidRPr="00E5152A" w14:paraId="69F42D73" w14:textId="77777777" w:rsidTr="003E69D4">
        <w:tc>
          <w:tcPr>
            <w:tcW w:w="1848" w:type="dxa"/>
            <w:vAlign w:val="center"/>
          </w:tcPr>
          <w:p w14:paraId="739F7288" w14:textId="41C69516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Valine</w:t>
            </w:r>
          </w:p>
        </w:tc>
        <w:tc>
          <w:tcPr>
            <w:tcW w:w="1848" w:type="dxa"/>
            <w:vAlign w:val="center"/>
          </w:tcPr>
          <w:p w14:paraId="46F9CE61" w14:textId="4FF6D16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196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(135-260)</w:t>
            </w:r>
          </w:p>
        </w:tc>
        <w:tc>
          <w:tcPr>
            <w:tcW w:w="1849" w:type="dxa"/>
            <w:vAlign w:val="center"/>
          </w:tcPr>
          <w:p w14:paraId="786F4C8E" w14:textId="7D65BDDF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199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(147-255)</w:t>
            </w:r>
          </w:p>
        </w:tc>
        <w:tc>
          <w:tcPr>
            <w:tcW w:w="1849" w:type="dxa"/>
            <w:vAlign w:val="center"/>
          </w:tcPr>
          <w:p w14:paraId="60D8E450" w14:textId="71896762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199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(165-234)</w:t>
            </w:r>
          </w:p>
        </w:tc>
        <w:tc>
          <w:tcPr>
            <w:tcW w:w="1849" w:type="dxa"/>
            <w:vAlign w:val="center"/>
          </w:tcPr>
          <w:p w14:paraId="7BBBAD4C" w14:textId="7C3E63E4" w:rsidR="003E69D4" w:rsidRPr="00E5152A" w:rsidRDefault="003E69D4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5152A">
              <w:rPr>
                <w:rFonts w:ascii="Book Antiqua" w:eastAsia="等线" w:hAnsi="Book Antiqua"/>
                <w:color w:val="000000"/>
              </w:rPr>
              <w:t>233</w:t>
            </w:r>
            <w:r w:rsidR="002D6897">
              <w:rPr>
                <w:rFonts w:ascii="Book Antiqua" w:eastAsia="等线" w:hAnsi="Book Antiqua"/>
                <w:color w:val="000000"/>
              </w:rPr>
              <w:t xml:space="preserve"> </w:t>
            </w:r>
            <w:r w:rsidRPr="00E5152A">
              <w:rPr>
                <w:rFonts w:ascii="Book Antiqua" w:eastAsia="等线" w:hAnsi="Book Antiqua"/>
                <w:color w:val="000000"/>
              </w:rPr>
              <w:t>(178-275)</w:t>
            </w:r>
          </w:p>
        </w:tc>
      </w:tr>
    </w:tbl>
    <w:p w14:paraId="62E72F2C" w14:textId="77777777" w:rsidR="003E69D4" w:rsidRPr="00E5152A" w:rsidRDefault="003E69D4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12390" w14:textId="5A74F608" w:rsidR="00A77B3E" w:rsidRPr="003138FD" w:rsidRDefault="00A13DEF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5152A">
        <w:rPr>
          <w:rFonts w:ascii="Book Antiqua" w:hAnsi="Book Antiqua"/>
        </w:rPr>
        <w:br w:type="page"/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3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Insulin,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glucose/insulin,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homeostasis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38FD" w:rsidRPr="003138FD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0272F" w:rsidRPr="003138FD">
        <w:rPr>
          <w:rFonts w:ascii="Book Antiqua" w:eastAsia="Book Antiqua" w:hAnsi="Book Antiqua" w:cs="Book Antiqua"/>
          <w:b/>
          <w:bCs/>
          <w:color w:val="000000"/>
        </w:rPr>
        <w:t>childhood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453"/>
        <w:gridCol w:w="2351"/>
        <w:gridCol w:w="2756"/>
      </w:tblGrid>
      <w:tr w:rsidR="00D90AF8" w:rsidRPr="00E5152A" w14:paraId="52721B1C" w14:textId="77777777" w:rsidTr="007964AF">
        <w:trPr>
          <w:trHeight w:val="315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904" w14:textId="155C94B7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Group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2B4" w14:textId="1BC1F4AB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Insulin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04F1" w14:textId="7AD402D5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Glucose/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</w:t>
            </w:r>
            <w:r w:rsidRPr="00A13DE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nsulin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6DA4" w14:textId="327DA6DB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HOMA-IR</w:t>
            </w:r>
          </w:p>
        </w:tc>
      </w:tr>
      <w:tr w:rsidR="00D90AF8" w:rsidRPr="00E5152A" w14:paraId="3F704824" w14:textId="77777777" w:rsidTr="007964AF">
        <w:trPr>
          <w:trHeight w:val="315"/>
        </w:trPr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AFE8E9" w14:textId="60CE4C7E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Prepubertal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86FA0C" w14:textId="77777777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33A289" w14:textId="77777777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EF2522" w14:textId="77777777" w:rsidR="00D90AF8" w:rsidRPr="00A13DEF" w:rsidRDefault="00D90AF8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13DEF" w:rsidRPr="00E5152A" w14:paraId="0D1A3F4E" w14:textId="77777777" w:rsidTr="007964AF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E86DAB5" w14:textId="4ED3A1DA" w:rsidR="00A13DEF" w:rsidRPr="00A13DEF" w:rsidRDefault="00E5152A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ourier New"/>
                <w:color w:val="000000"/>
                <w:u w:val="single"/>
                <w:lang w:eastAsia="zh-CN"/>
              </w:rPr>
            </w:pPr>
            <w:r w:rsidRPr="00E5152A">
              <w:rPr>
                <w:rFonts w:ascii="Book Antiqua" w:eastAsia="等线" w:hAnsi="Book Antiqua" w:cs="Courier New"/>
                <w:color w:val="000000"/>
                <w:lang w:eastAsia="zh-CN"/>
              </w:rPr>
              <w:t>≤</w:t>
            </w:r>
            <w:r w:rsidR="002D6897">
              <w:rPr>
                <w:rFonts w:ascii="Book Antiqua" w:eastAsia="等线" w:hAnsi="Book Antiqua" w:cs="Courier New"/>
                <w:color w:val="000000"/>
                <w:lang w:eastAsia="zh-CN"/>
              </w:rPr>
              <w:t xml:space="preserve"> </w:t>
            </w:r>
            <w:r w:rsidR="00A13DEF" w:rsidRPr="00A13DEF">
              <w:rPr>
                <w:rFonts w:ascii="Book Antiqua" w:eastAsia="等线" w:hAnsi="Book Antiqua" w:cs="Courier New"/>
                <w:color w:val="000000"/>
                <w:lang w:eastAsia="zh-CN"/>
              </w:rPr>
              <w:t>7</w:t>
            </w:r>
            <w:r w:rsidRPr="00E5152A">
              <w:rPr>
                <w:rFonts w:ascii="Book Antiqua" w:eastAsia="等线" w:hAnsi="Book Antiqua" w:cs="Courier New"/>
                <w:color w:val="000000"/>
                <w:lang w:eastAsia="zh-CN"/>
              </w:rPr>
              <w:t>.</w:t>
            </w:r>
            <w:r w:rsidR="00A13DEF" w:rsidRPr="00A13DEF">
              <w:rPr>
                <w:rFonts w:ascii="Book Antiqua" w:eastAsia="等线" w:hAnsi="Book Antiqua" w:cs="Courier New"/>
                <w:color w:val="000000"/>
                <w:lang w:eastAsia="zh-CN"/>
              </w:rPr>
              <w:t>5</w:t>
            </w:r>
            <w:r w:rsidR="002D6897">
              <w:rPr>
                <w:rFonts w:ascii="Book Antiqua" w:eastAsia="等线" w:hAnsi="Book Antiqua" w:cs="Courier New"/>
                <w:color w:val="000000"/>
                <w:lang w:eastAsia="zh-CN"/>
              </w:rPr>
              <w:t xml:space="preserve"> </w:t>
            </w:r>
            <w:r w:rsidRPr="00E5152A">
              <w:rPr>
                <w:rFonts w:ascii="Book Antiqua" w:eastAsia="等线" w:hAnsi="Book Antiqua" w:cs="Courier New"/>
                <w:color w:val="000000"/>
                <w:lang w:eastAsia="zh-CN"/>
              </w:rPr>
              <w:t>yr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6815448" w14:textId="7B5F1BD4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2.9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(1.6-10.9)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7A8B11D0" w14:textId="5934D9E3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(12-50)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44375997" w14:textId="651730E5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0.6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(0.3-1.4)</w:t>
            </w:r>
          </w:p>
        </w:tc>
      </w:tr>
      <w:tr w:rsidR="00A13DEF" w:rsidRPr="00E5152A" w14:paraId="4205F121" w14:textId="77777777" w:rsidTr="007964AF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42FB5D71" w14:textId="7D204AEB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&gt;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7.5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E5152A" w:rsidRPr="00E5152A">
              <w:rPr>
                <w:rFonts w:ascii="Book Antiqua" w:eastAsia="等线" w:hAnsi="Book Antiqua" w:cs="Courier New"/>
                <w:color w:val="000000"/>
                <w:lang w:eastAsia="zh-CN"/>
              </w:rPr>
              <w:t>yr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403C842E" w14:textId="6FFAC07E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(1.7-9.6)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6CA7A12A" w14:textId="7B2178E9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(10-47)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5DEBAE5" w14:textId="7F7EF220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1.1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(0.3-2.0)</w:t>
            </w:r>
          </w:p>
        </w:tc>
      </w:tr>
      <w:tr w:rsidR="00A13DEF" w:rsidRPr="00E5152A" w14:paraId="29D4EA9E" w14:textId="77777777" w:rsidTr="007964AF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790054EE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Pubertal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CC7156A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1C8D4D2A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3D60CEF" w14:textId="7D2D5A5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13DEF" w:rsidRPr="00E5152A" w14:paraId="695324BF" w14:textId="77777777" w:rsidTr="007964AF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68397B99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Girls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00479260" w14:textId="77B0A573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6.7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(1.8-16.9)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54C70EAB" w14:textId="6F89957A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(7.9-44)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38A8CE3" w14:textId="6B82A802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1.6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(0.3-2.6)</w:t>
            </w:r>
          </w:p>
        </w:tc>
      </w:tr>
      <w:tr w:rsidR="00A13DEF" w:rsidRPr="00E5152A" w14:paraId="382281D1" w14:textId="77777777" w:rsidTr="007964AF">
        <w:trPr>
          <w:trHeight w:val="315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14:paraId="35B5ADF8" w14:textId="77777777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Boys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15DFE33B" w14:textId="1CC344A0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7.3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(2.2-12.9)</w:t>
            </w:r>
          </w:p>
        </w:tc>
        <w:tc>
          <w:tcPr>
            <w:tcW w:w="1272" w:type="pct"/>
            <w:shd w:val="clear" w:color="auto" w:fill="auto"/>
            <w:noWrap/>
            <w:vAlign w:val="center"/>
            <w:hideMark/>
          </w:tcPr>
          <w:p w14:paraId="491D03A2" w14:textId="66BF9F0D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(8.0-44)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14:paraId="79213657" w14:textId="6A339B5E" w:rsidR="00A13DEF" w:rsidRPr="00A13DEF" w:rsidRDefault="00A13DEF" w:rsidP="00E5152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1.1</w:t>
            </w:r>
            <w:r w:rsidR="002D6897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A13DEF">
              <w:rPr>
                <w:rFonts w:ascii="Book Antiqua" w:eastAsia="等线" w:hAnsi="Book Antiqua" w:cs="宋体"/>
                <w:color w:val="000000"/>
                <w:lang w:eastAsia="zh-CN"/>
              </w:rPr>
              <w:t>(0.3-2.4)</w:t>
            </w:r>
          </w:p>
        </w:tc>
      </w:tr>
    </w:tbl>
    <w:p w14:paraId="2C8E05C2" w14:textId="2C241B5A" w:rsidR="000F68AD" w:rsidRDefault="0040272F" w:rsidP="00E5152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C0EC8">
        <w:rPr>
          <w:rFonts w:ascii="Book Antiqua" w:eastAsia="Book Antiqua" w:hAnsi="Book Antiqua" w:cs="Book Antiqua"/>
          <w:color w:val="000000"/>
        </w:rPr>
        <w:t>G/Ins: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C0EC8" w:rsidRPr="008C0EC8">
        <w:rPr>
          <w:rFonts w:ascii="Book Antiqua" w:eastAsia="Book Antiqua" w:hAnsi="Book Antiqua" w:cs="Book Antiqua"/>
          <w:color w:val="000000"/>
        </w:rPr>
        <w:t>Glycemia</w:t>
      </w:r>
      <w:r w:rsidRPr="008C0EC8">
        <w:rPr>
          <w:rFonts w:ascii="Book Antiqua" w:eastAsia="Book Antiqua" w:hAnsi="Book Antiqua" w:cs="Book Antiqua"/>
          <w:color w:val="000000"/>
        </w:rPr>
        <w:t>/insulin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ratio;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HOMA-IR: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8C0EC8" w:rsidRPr="008C0EC8">
        <w:rPr>
          <w:rFonts w:ascii="Book Antiqua" w:eastAsia="Book Antiqua" w:hAnsi="Book Antiqua" w:cs="Book Antiqua"/>
          <w:color w:val="000000"/>
        </w:rPr>
        <w:t>Homeostasis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model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assessment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of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resistance;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Insulin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level</w:t>
      </w:r>
      <w:r w:rsidR="008C0EC8" w:rsidRPr="008C0EC8">
        <w:rPr>
          <w:rFonts w:ascii="Book Antiqua" w:eastAsia="宋体" w:hAnsi="Book Antiqua" w:cs="宋体"/>
          <w:color w:val="000000"/>
          <w:lang w:eastAsia="zh-CN"/>
        </w:rPr>
        <w:t>:</w:t>
      </w:r>
      <w:r w:rsidR="002D6897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μIU/mL</w:t>
      </w:r>
      <w:r w:rsidR="008C0EC8" w:rsidRPr="008C0EC8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G/Ins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ratio</w:t>
      </w:r>
      <w:r w:rsidR="00D36F8D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8C0EC8">
        <w:rPr>
          <w:rFonts w:ascii="Book Antiqua" w:eastAsia="Book Antiqua" w:hAnsi="Book Antiqua" w:cs="Book Antiqua"/>
          <w:color w:val="000000"/>
        </w:rPr>
        <w:t>(</w:t>
      </w:r>
      <w:r w:rsidRPr="008C0EC8">
        <w:rPr>
          <w:rFonts w:ascii="Book Antiqua" w:eastAsia="Book Antiqua" w:hAnsi="Book Antiqua" w:cs="Book Antiqua"/>
          <w:color w:val="000000"/>
        </w:rPr>
        <w:t>mg/dL)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and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8C0EC8">
        <w:rPr>
          <w:rFonts w:ascii="Book Antiqua" w:eastAsia="Book Antiqua" w:hAnsi="Book Antiqua" w:cs="Book Antiqua"/>
          <w:color w:val="000000"/>
        </w:rPr>
        <w:t>Ins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8C0EC8">
        <w:rPr>
          <w:rFonts w:ascii="Book Antiqua" w:eastAsia="Book Antiqua" w:hAnsi="Book Antiqua" w:cs="Book Antiqua"/>
          <w:color w:val="000000"/>
        </w:rPr>
        <w:t>(</w:t>
      </w:r>
      <w:r w:rsidRPr="008C0EC8">
        <w:rPr>
          <w:rFonts w:ascii="Book Antiqua" w:eastAsia="Book Antiqua" w:hAnsi="Book Antiqua" w:cs="Book Antiqua"/>
          <w:color w:val="000000"/>
        </w:rPr>
        <w:t>μIU/mL)</w:t>
      </w:r>
      <w:r w:rsidR="00D36F8D">
        <w:rPr>
          <w:rFonts w:ascii="Book Antiqua" w:eastAsia="Book Antiqua" w:hAnsi="Book Antiqua" w:cs="Book Antiqua"/>
          <w:color w:val="000000"/>
        </w:rPr>
        <w:t>;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eastAsia="Book Antiqua" w:hAnsi="Book Antiqua" w:cs="Book Antiqua"/>
          <w:color w:val="000000"/>
        </w:rPr>
        <w:t>HOMA-IR</w:t>
      </w:r>
      <w:r w:rsidR="00D36F8D" w:rsidRPr="0040272F">
        <w:rPr>
          <w:rFonts w:ascii="Book Antiqua" w:eastAsia="Book Antiqua" w:hAnsi="Book Antiqua" w:cs="Book Antiqua"/>
          <w:color w:val="000000"/>
        </w:rPr>
        <w:t>: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eastAsia="Book Antiqua" w:hAnsi="Book Antiqua" w:cs="Book Antiqua"/>
          <w:color w:val="000000"/>
        </w:rPr>
        <w:t>Ins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40272F">
        <w:rPr>
          <w:rFonts w:ascii="Book Antiqua" w:eastAsia="Book Antiqua" w:hAnsi="Book Antiqua" w:cs="Book Antiqua"/>
          <w:color w:val="000000"/>
        </w:rPr>
        <w:t>(</w:t>
      </w:r>
      <w:r w:rsidRPr="0040272F">
        <w:rPr>
          <w:rFonts w:ascii="Book Antiqua" w:eastAsia="Book Antiqua" w:hAnsi="Book Antiqua" w:cs="Book Antiqua"/>
          <w:color w:val="000000"/>
        </w:rPr>
        <w:t>μIU/mL)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hAnsi="Book Antiqua" w:cs="Book Antiqua"/>
          <w:color w:val="000000"/>
          <w:lang w:eastAsia="zh-CN"/>
        </w:rPr>
        <w:t>×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Pr="0040272F">
        <w:rPr>
          <w:rFonts w:ascii="Book Antiqua" w:eastAsia="Book Antiqua" w:hAnsi="Book Antiqua" w:cs="Book Antiqua"/>
          <w:color w:val="000000"/>
        </w:rPr>
        <w:t>G</w:t>
      </w:r>
      <w:r w:rsidR="002D6897">
        <w:rPr>
          <w:rFonts w:ascii="Book Antiqua" w:eastAsia="Book Antiqua" w:hAnsi="Book Antiqua" w:cs="Book Antiqua"/>
          <w:color w:val="000000"/>
        </w:rPr>
        <w:t xml:space="preserve"> </w:t>
      </w:r>
      <w:r w:rsidR="003E69D4" w:rsidRPr="0040272F">
        <w:rPr>
          <w:rFonts w:ascii="Book Antiqua" w:eastAsia="Book Antiqua" w:hAnsi="Book Antiqua" w:cs="Book Antiqua"/>
          <w:color w:val="000000"/>
        </w:rPr>
        <w:t>(</w:t>
      </w:r>
      <w:r w:rsidRPr="0040272F">
        <w:rPr>
          <w:rFonts w:ascii="Book Antiqua" w:eastAsia="Book Antiqua" w:hAnsi="Book Antiqua" w:cs="Book Antiqua"/>
          <w:color w:val="000000"/>
        </w:rPr>
        <w:t>mmol/L)/22.5.</w:t>
      </w:r>
      <w:r w:rsidR="002D689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03A131B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4EFBAA41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27BF6957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7538FBC7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262004F2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356A70EF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558858A" wp14:editId="7007D44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636E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4BA24E4C" w14:textId="77777777" w:rsidR="000F68AD" w:rsidRPr="00763D22" w:rsidRDefault="000F68AD" w:rsidP="000F68A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CA2A38F" w14:textId="77777777" w:rsidR="000F68AD" w:rsidRPr="00763D22" w:rsidRDefault="000F68AD" w:rsidP="000F68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66978A4" w14:textId="77777777" w:rsidR="000F68AD" w:rsidRPr="00763D22" w:rsidRDefault="000F68AD" w:rsidP="000F68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74627A9" w14:textId="77777777" w:rsidR="000F68AD" w:rsidRPr="00763D22" w:rsidRDefault="000F68AD" w:rsidP="000F68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96C5070" w14:textId="77777777" w:rsidR="000F68AD" w:rsidRPr="00763D22" w:rsidRDefault="000F68AD" w:rsidP="000F68A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B56D4EA" w14:textId="77777777" w:rsidR="000F68AD" w:rsidRPr="00763D22" w:rsidRDefault="000F68AD" w:rsidP="000F68AD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331B5B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3CAD3FC2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5D73DD2D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40F8F02C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668246" wp14:editId="32A0AE5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A63F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315085B2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7925CA16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39C6B8AF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17A7F3CF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214104B3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565DF8DB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6E20BB61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78C15F90" w14:textId="77777777" w:rsidR="000F68AD" w:rsidRDefault="000F68AD" w:rsidP="000F68AD">
      <w:pPr>
        <w:jc w:val="center"/>
        <w:rPr>
          <w:rFonts w:ascii="Book Antiqua" w:hAnsi="Book Antiqua"/>
          <w:lang w:eastAsia="zh-CN"/>
        </w:rPr>
      </w:pPr>
    </w:p>
    <w:p w14:paraId="2D7C03BC" w14:textId="77777777" w:rsidR="000F68AD" w:rsidRPr="00763D22" w:rsidRDefault="000F68AD" w:rsidP="000F68AD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9A816D8" w14:textId="77777777" w:rsidR="000F68AD" w:rsidRPr="00763D22" w:rsidRDefault="000F68AD" w:rsidP="000F68AD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A80D97B" w14:textId="10812441" w:rsidR="00A77B3E" w:rsidRPr="008C0EC8" w:rsidRDefault="00A77B3E" w:rsidP="00E5152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8C0EC8" w:rsidSect="00BF20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364E" w14:textId="77777777" w:rsidR="00C136E2" w:rsidRDefault="00C136E2" w:rsidP="00BD340C">
      <w:r>
        <w:separator/>
      </w:r>
    </w:p>
  </w:endnote>
  <w:endnote w:type="continuationSeparator" w:id="0">
    <w:p w14:paraId="09B52EF4" w14:textId="77777777" w:rsidR="00C136E2" w:rsidRDefault="00C136E2" w:rsidP="00BD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07879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E0AC509" w14:textId="7B64495F" w:rsidR="00BD340C" w:rsidRPr="001B39F7" w:rsidRDefault="00BD340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B39F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964AF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B39F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1B39F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964AF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1B39F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596E5D3" w14:textId="77777777" w:rsidR="00BD340C" w:rsidRDefault="00BD3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3B9A" w14:textId="77777777" w:rsidR="00C136E2" w:rsidRDefault="00C136E2" w:rsidP="00BD340C">
      <w:r>
        <w:separator/>
      </w:r>
    </w:p>
  </w:footnote>
  <w:footnote w:type="continuationSeparator" w:id="0">
    <w:p w14:paraId="1BE95989" w14:textId="77777777" w:rsidR="00C136E2" w:rsidRDefault="00C136E2" w:rsidP="00BD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82E"/>
    <w:multiLevelType w:val="hybridMultilevel"/>
    <w:tmpl w:val="4D6ED554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299"/>
    <w:rsid w:val="0009338C"/>
    <w:rsid w:val="00096461"/>
    <w:rsid w:val="000B6ED7"/>
    <w:rsid w:val="000F68AD"/>
    <w:rsid w:val="0013051B"/>
    <w:rsid w:val="00156032"/>
    <w:rsid w:val="00182C7A"/>
    <w:rsid w:val="001A505F"/>
    <w:rsid w:val="001B39F7"/>
    <w:rsid w:val="001C79A7"/>
    <w:rsid w:val="002976C8"/>
    <w:rsid w:val="002D6897"/>
    <w:rsid w:val="003138FD"/>
    <w:rsid w:val="00347D82"/>
    <w:rsid w:val="003E69D4"/>
    <w:rsid w:val="003F752D"/>
    <w:rsid w:val="0040272F"/>
    <w:rsid w:val="00416746"/>
    <w:rsid w:val="0044463C"/>
    <w:rsid w:val="00473AE9"/>
    <w:rsid w:val="004E5BF8"/>
    <w:rsid w:val="005765AB"/>
    <w:rsid w:val="0058136A"/>
    <w:rsid w:val="005C5123"/>
    <w:rsid w:val="006261D5"/>
    <w:rsid w:val="00670F78"/>
    <w:rsid w:val="0069720C"/>
    <w:rsid w:val="0070608C"/>
    <w:rsid w:val="00777C3C"/>
    <w:rsid w:val="00786243"/>
    <w:rsid w:val="007964AF"/>
    <w:rsid w:val="007B7517"/>
    <w:rsid w:val="007F25F7"/>
    <w:rsid w:val="00894EE7"/>
    <w:rsid w:val="008A60CE"/>
    <w:rsid w:val="008C0EC8"/>
    <w:rsid w:val="00907C01"/>
    <w:rsid w:val="00950BC8"/>
    <w:rsid w:val="009815D4"/>
    <w:rsid w:val="009D5F23"/>
    <w:rsid w:val="00A13DEF"/>
    <w:rsid w:val="00A77B3E"/>
    <w:rsid w:val="00AA0122"/>
    <w:rsid w:val="00AC37EE"/>
    <w:rsid w:val="00B35836"/>
    <w:rsid w:val="00B60413"/>
    <w:rsid w:val="00B71358"/>
    <w:rsid w:val="00BD340C"/>
    <w:rsid w:val="00BF20F8"/>
    <w:rsid w:val="00C136E2"/>
    <w:rsid w:val="00CA2A55"/>
    <w:rsid w:val="00CE1529"/>
    <w:rsid w:val="00D36F8D"/>
    <w:rsid w:val="00D84BD6"/>
    <w:rsid w:val="00D90AF8"/>
    <w:rsid w:val="00D97E67"/>
    <w:rsid w:val="00DD0FE1"/>
    <w:rsid w:val="00E21F4C"/>
    <w:rsid w:val="00E5152A"/>
    <w:rsid w:val="00EA262F"/>
    <w:rsid w:val="00F146D1"/>
    <w:rsid w:val="00F37820"/>
    <w:rsid w:val="00F40C2E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740F2"/>
  <w15:docId w15:val="{1C6E4B73-71D3-41ED-B211-B992DEA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34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4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40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9646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8">
    <w:name w:val="Table Grid"/>
    <w:basedOn w:val="a1"/>
    <w:rsid w:val="00B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A0122"/>
    <w:rPr>
      <w:sz w:val="18"/>
      <w:szCs w:val="18"/>
    </w:rPr>
  </w:style>
  <w:style w:type="character" w:customStyle="1" w:styleId="aa">
    <w:name w:val="批注框文本 字符"/>
    <w:basedOn w:val="a0"/>
    <w:link w:val="a9"/>
    <w:rsid w:val="00AA0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EE07-19BF-4F67-A502-ED565A7C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6655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61</cp:revision>
  <dcterms:created xsi:type="dcterms:W3CDTF">2021-04-22T01:52:00Z</dcterms:created>
  <dcterms:modified xsi:type="dcterms:W3CDTF">2021-04-28T08:10:00Z</dcterms:modified>
</cp:coreProperties>
</file>