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Name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Journal: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color w:val="000000"/>
        </w:rPr>
        <w:t>Cancer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Manuscript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NO: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65521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Manuscript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Type: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MINIREVIEWS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830"/>
      <w:bookmarkStart w:id="1" w:name="OLE_LINK2831"/>
      <w:r w:rsidRPr="00BC5299">
        <w:rPr>
          <w:rFonts w:ascii="Book Antiqua" w:eastAsia="Book Antiqua" w:hAnsi="Book Antiqua" w:cs="Book Antiqua"/>
          <w:b/>
          <w:color w:val="000000"/>
        </w:rPr>
        <w:t>Advances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application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imaging</w:t>
      </w:r>
    </w:p>
    <w:bookmarkEnd w:id="0"/>
    <w:bookmarkEnd w:id="1"/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Shao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Ying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Shao,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Yu-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Xuan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Huan-Huan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Shan-Shan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Shi-Chang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Jie-Xin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Department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Laboratory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Medicine,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People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Hospital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Jiangying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Jiangying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214400,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Jiangsu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Province,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China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Yu-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Xuan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Huan-Huan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Shi-Chang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Jie-Xin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Department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Laboratory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Medicine,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First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Affiliated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Hospital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Nanjing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University,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Nanjing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210029,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Jiangsu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Province,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China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Shan-Shan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Department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Radiology,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First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Affiliated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Hospital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Nanjing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University,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Nanjing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210029,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Jiangsu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Province,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China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Shao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YX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majority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writing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contribute</w:t>
      </w:r>
      <w:r w:rsidR="00BE21A8">
        <w:rPr>
          <w:rFonts w:ascii="Book Antiqua" w:eastAsia="Book Antiqua" w:hAnsi="Book Antiqua" w:cs="Book Antiqua"/>
          <w:color w:val="000000"/>
        </w:rPr>
        <w:t>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equally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minireview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provided</w:t>
      </w:r>
      <w:r w:rsidR="00BE21A8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input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writing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paper;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JX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designed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outline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coordinated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writing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paper.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6E18">
        <w:rPr>
          <w:rFonts w:ascii="Book Antiqua" w:eastAsiaTheme="minorEastAsia" w:hAnsi="Book Antiqua" w:cs="Book Antiqua" w:hint="eastAsia"/>
          <w:color w:val="000000"/>
          <w:lang w:eastAsia="zh-CN"/>
        </w:rPr>
        <w:t>T</w:t>
      </w:r>
      <w:r w:rsidRPr="00BC5299">
        <w:rPr>
          <w:rFonts w:ascii="Book Antiqua" w:eastAsia="Book Antiqua" w:hAnsi="Book Antiqua" w:cs="Book Antiqua"/>
          <w:color w:val="000000"/>
        </w:rPr>
        <w:t>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“The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Six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Talent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Project”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Jiangsu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Province,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WSW-004;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F7381C"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Natural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Science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Foundation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China,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81671836.</w:t>
      </w:r>
      <w:proofErr w:type="gramEnd"/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Jie-Xin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Department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Laboratory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Medicine,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First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Affiliated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Hospital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Nanjing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University,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Guangzhou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Road,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Nanjing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210029,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Jiangsu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Province,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China.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jiexinzhang@njmu.edu.cn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March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2021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April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2021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5035" w:rsidRPr="00BC5299">
        <w:rPr>
          <w:rFonts w:ascii="Book Antiqua" w:eastAsia="Book Antiqua" w:hAnsi="Book Antiqua" w:cs="Book Antiqua"/>
          <w:color w:val="000000"/>
        </w:rPr>
        <w:t>April 20, 2021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2D86" w:rsidRPr="00AF2D86">
        <w:rPr>
          <w:rFonts w:ascii="Book Antiqua" w:eastAsia="Book Antiqua" w:hAnsi="Book Antiqua" w:cs="Book Antiqua"/>
          <w:bCs/>
          <w:color w:val="000000"/>
        </w:rPr>
        <w:t>April 28, 2021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br w:type="page"/>
      </w:r>
      <w:r w:rsidRPr="00BC529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timely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crucial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reducing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cancer-related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mortality.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(AI)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greatly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relieved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workloads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changed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current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workflows.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searched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studies,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reports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referring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many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summarized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E21A8">
        <w:rPr>
          <w:rFonts w:ascii="Book Antiqua" w:eastAsia="Book Antiqua" w:hAnsi="Book Antiqua" w:cs="Book Antiqua"/>
          <w:color w:val="000000"/>
        </w:rPr>
        <w:t xml:space="preserve">a </w:t>
      </w:r>
      <w:r w:rsidRPr="00BC5299">
        <w:rPr>
          <w:rFonts w:ascii="Book Antiqua" w:eastAsia="Book Antiqua" w:hAnsi="Book Antiqua" w:cs="Book Antiqua"/>
          <w:color w:val="000000"/>
        </w:rPr>
        <w:t>single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type.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herein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systematically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advances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multiple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including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esophagus,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stomach,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intestine,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lung,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liver,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cervix,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pancreas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kidney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focus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continual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practice.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Oncology;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</w:p>
    <w:p w:rsidR="00897A3A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9C4C49" w:rsidRPr="00026CB8" w:rsidRDefault="009C4C49" w:rsidP="009C4C49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:rsidR="009C4C49" w:rsidRPr="00BC5299" w:rsidRDefault="009C4C49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9C4C49" w:rsidRPr="00D50240" w:rsidRDefault="009C4C49" w:rsidP="00BC529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9C4C49">
        <w:rPr>
          <w:rFonts w:ascii="Book Antiqua" w:eastAsia="Book Antiqua" w:hAnsi="Book Antiqua" w:cs="Book Antiqua"/>
          <w:b/>
          <w:color w:val="000000"/>
        </w:rPr>
        <w:t>Citation</w:t>
      </w:r>
      <w:r w:rsidRPr="009C4C49">
        <w:rPr>
          <w:rFonts w:asciiTheme="minorEastAsia" w:eastAsiaTheme="minorEastAsia" w:hAnsiTheme="minorEastAsia" w:cs="Book Antiqua" w:hint="eastAsia"/>
          <w:b/>
          <w:color w:val="000000"/>
          <w:lang w:eastAsia="zh-CN"/>
        </w:rPr>
        <w:t>:</w:t>
      </w:r>
      <w:r>
        <w:rPr>
          <w:rFonts w:asciiTheme="minorEastAsia" w:eastAsiaTheme="minorEastAsia" w:hAnsiTheme="minorEastAsia" w:cs="Book Antiqua" w:hint="eastAsia"/>
          <w:b/>
          <w:color w:val="000000"/>
          <w:lang w:eastAsia="zh-CN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Shao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YX,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Chen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HH,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Lu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SS,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SC,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JX.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97A3A" w:rsidRPr="00BC5299">
        <w:rPr>
          <w:rFonts w:ascii="Book Antiqua" w:eastAsia="Book Antiqua" w:hAnsi="Book Antiqua" w:cs="Book Antiqua"/>
          <w:color w:val="000000"/>
        </w:rPr>
        <w:t>Advances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application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imaging.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7A3A" w:rsidRPr="00BC5299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97A3A" w:rsidRPr="00BC5299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897A3A" w:rsidRPr="00BC5299">
        <w:rPr>
          <w:rFonts w:ascii="Book Antiqua" w:eastAsia="Book Antiqua" w:hAnsi="Book Antiqua" w:cs="Book Antiqua"/>
          <w:color w:val="000000"/>
        </w:rPr>
        <w:t>2021;</w:t>
      </w:r>
      <w:r w:rsidR="00AF2D86" w:rsidRPr="00AF2D86">
        <w:rPr>
          <w:rFonts w:ascii="Book Antiqua" w:eastAsia="Book Antiqua" w:hAnsi="Book Antiqua" w:cs="Book Antiqua"/>
          <w:color w:val="000000"/>
        </w:rPr>
        <w:t xml:space="preserve"> 2(2): </w:t>
      </w:r>
      <w:r w:rsidR="00D50240">
        <w:rPr>
          <w:rFonts w:ascii="Book Antiqua" w:eastAsiaTheme="minorEastAsia" w:hAnsi="Book Antiqua" w:cs="Book Antiqua" w:hint="eastAsia"/>
          <w:color w:val="000000"/>
          <w:lang w:eastAsia="zh-CN"/>
        </w:rPr>
        <w:t>12</w:t>
      </w:r>
      <w:r w:rsidR="00AF2D86" w:rsidRPr="00AF2D86">
        <w:rPr>
          <w:rFonts w:ascii="Book Antiqua" w:eastAsia="Book Antiqua" w:hAnsi="Book Antiqua" w:cs="Book Antiqua"/>
          <w:color w:val="000000"/>
        </w:rPr>
        <w:t>-</w:t>
      </w:r>
      <w:r w:rsidR="00D50240">
        <w:rPr>
          <w:rFonts w:ascii="Book Antiqua" w:eastAsiaTheme="minorEastAsia" w:hAnsi="Book Antiqua" w:cs="Book Antiqua" w:hint="eastAsia"/>
          <w:color w:val="000000"/>
          <w:lang w:eastAsia="zh-CN"/>
        </w:rPr>
        <w:t>24</w:t>
      </w:r>
    </w:p>
    <w:p w:rsidR="009C4C49" w:rsidRDefault="00AF2D86" w:rsidP="00BC529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9C4C49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AF2D86">
        <w:rPr>
          <w:rFonts w:ascii="Book Antiqua" w:eastAsia="Book Antiqua" w:hAnsi="Book Antiqua" w:cs="Book Antiqua"/>
          <w:color w:val="000000"/>
        </w:rPr>
        <w:t>https://www.wjgnet.com/2644-3228/full/v2/i2/</w:t>
      </w:r>
      <w:r w:rsidR="00D50240">
        <w:rPr>
          <w:rFonts w:ascii="Book Antiqua" w:eastAsiaTheme="minorEastAsia" w:hAnsi="Book Antiqua" w:cs="Book Antiqua" w:hint="eastAsia"/>
          <w:color w:val="000000"/>
          <w:lang w:eastAsia="zh-CN"/>
        </w:rPr>
        <w:t>12</w:t>
      </w:r>
      <w:r w:rsidRPr="00AF2D86">
        <w:rPr>
          <w:rFonts w:ascii="Book Antiqua" w:eastAsia="Book Antiqua" w:hAnsi="Book Antiqua" w:cs="Book Antiqua"/>
          <w:color w:val="000000"/>
        </w:rPr>
        <w:t>.htm</w:t>
      </w:r>
    </w:p>
    <w:p w:rsidR="00897A3A" w:rsidRPr="00D50240" w:rsidRDefault="00AF2D86" w:rsidP="00BC529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9C4C49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AF2D86">
        <w:rPr>
          <w:rFonts w:ascii="Book Antiqua" w:eastAsia="Book Antiqua" w:hAnsi="Book Antiqua" w:cs="Book Antiqua"/>
          <w:color w:val="000000"/>
        </w:rPr>
        <w:t>https://dx.doi.org/10.35713/aic.v2.i2.</w:t>
      </w:r>
      <w:r w:rsidR="00D50240">
        <w:rPr>
          <w:rFonts w:ascii="Book Antiqua" w:eastAsiaTheme="minorEastAsia" w:hAnsi="Book Antiqua" w:cs="Book Antiqua" w:hint="eastAsia"/>
          <w:color w:val="000000"/>
          <w:lang w:eastAsia="zh-CN"/>
        </w:rPr>
        <w:t>12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Many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summarized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E21A8">
        <w:rPr>
          <w:rFonts w:ascii="Book Antiqua" w:eastAsia="Book Antiqua" w:hAnsi="Book Antiqua" w:cs="Book Antiqua"/>
          <w:color w:val="000000"/>
        </w:rPr>
        <w:t xml:space="preserve">a </w:t>
      </w:r>
      <w:r w:rsidRPr="00BC5299">
        <w:rPr>
          <w:rFonts w:ascii="Book Antiqua" w:eastAsia="Book Antiqua" w:hAnsi="Book Antiqua" w:cs="Book Antiqua"/>
          <w:color w:val="000000"/>
        </w:rPr>
        <w:t>single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type.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However,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E21A8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first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systematically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E21A8" w:rsidRPr="00BC5299">
        <w:rPr>
          <w:rFonts w:ascii="Book Antiqua" w:eastAsia="Book Antiqua" w:hAnsi="Book Antiqua" w:cs="Book Antiqua"/>
          <w:color w:val="000000"/>
        </w:rPr>
        <w:t>artificial 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relieves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workloads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changes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current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workflows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maintaining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quality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precision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multiple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advantage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practice,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benefit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appropriate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BC529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currently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worldwide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health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problem.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timely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crucial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reducing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cancer-related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mortality.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common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technique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guide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interpretation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become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important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difficult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task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process.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(AI)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refers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information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science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researches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develops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theories,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methods,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simulate,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extend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human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rapid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development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machine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other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crucial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field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processing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years,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approaches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great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contributions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disease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prediction</w:t>
      </w:r>
      <w:r w:rsidR="000806DE">
        <w:rPr>
          <w:rFonts w:ascii="Book Antiqua" w:eastAsia="Book Antiqua" w:hAnsi="Book Antiqua" w:cs="Book Antiqua"/>
          <w:color w:val="000000"/>
        </w:rPr>
        <w:t xml:space="preserve"> 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therapy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evaluation</w:t>
      </w:r>
      <w:r w:rsidR="000806DE">
        <w:rPr>
          <w:rFonts w:ascii="Book Antiqua" w:eastAsia="Book Antiqua" w:hAnsi="Book Antiqua" w:cs="Book Antiqua"/>
          <w:color w:val="000000"/>
        </w:rPr>
        <w:t xml:space="preserve"> 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patterns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humans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cannot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recognize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2-4]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(Figure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Here,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advantage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</w:t>
      </w:r>
      <w:r w:rsidR="000806DE">
        <w:rPr>
          <w:rFonts w:ascii="Book Antiqua" w:eastAsia="Book Antiqua" w:hAnsi="Book Antiqua" w:cs="Book Antiqua"/>
          <w:color w:val="000000"/>
        </w:rPr>
        <w:t>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examination</w:t>
      </w:r>
      <w:r w:rsidR="000806DE">
        <w:rPr>
          <w:rFonts w:ascii="Book Antiqua" w:eastAsia="Book Antiqua" w:hAnsi="Book Antiqua" w:cs="Book Antiqua"/>
          <w:color w:val="000000"/>
        </w:rPr>
        <w:t>s 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multiple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highlight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great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benefits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optimizing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process,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assessment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current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precision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achieving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0806DE">
        <w:rPr>
          <w:rFonts w:ascii="Book Antiqua" w:eastAsia="Book Antiqua" w:hAnsi="Book Antiqua" w:cs="Book Antiqua"/>
          <w:color w:val="000000"/>
        </w:rPr>
        <w:t xml:space="preserve">results </w:t>
      </w:r>
      <w:r w:rsidRPr="00BC5299">
        <w:rPr>
          <w:rFonts w:ascii="Book Antiqua" w:eastAsia="Book Antiqua" w:hAnsi="Book Antiqua" w:cs="Book Antiqua"/>
          <w:color w:val="000000"/>
        </w:rPr>
        <w:t>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practical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literature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reports.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GASTROINTESTINAL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TUMORS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common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gastrointestinal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malignancies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present,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0E7B5C">
        <w:rPr>
          <w:rFonts w:ascii="Book Antiqua" w:eastAsia="Book Antiqua" w:hAnsi="Book Antiqua" w:cs="Book Antiqua"/>
          <w:color w:val="000000"/>
        </w:rPr>
        <w:t xml:space="preserve">a </w:t>
      </w:r>
      <w:r w:rsidRPr="00BC5299">
        <w:rPr>
          <w:rFonts w:ascii="Book Antiqua" w:eastAsia="Book Antiqua" w:hAnsi="Book Antiqua" w:cs="Book Antiqua"/>
          <w:color w:val="000000"/>
        </w:rPr>
        <w:t>poor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mortality.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still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0E7B5C">
        <w:rPr>
          <w:rFonts w:ascii="Book Antiqua" w:eastAsia="Book Antiqua" w:hAnsi="Book Antiqua" w:cs="Book Antiqua"/>
          <w:color w:val="000000"/>
        </w:rPr>
        <w:t>“</w:t>
      </w:r>
      <w:r w:rsidRPr="00BC5299">
        <w:rPr>
          <w:rFonts w:ascii="Book Antiqua" w:eastAsia="Book Antiqua" w:hAnsi="Book Antiqua" w:cs="Book Antiqua"/>
          <w:color w:val="000000"/>
        </w:rPr>
        <w:t>gold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standard</w:t>
      </w:r>
      <w:r w:rsidR="000E7B5C">
        <w:rPr>
          <w:rFonts w:ascii="Book Antiqua" w:eastAsia="Book Antiqua" w:hAnsi="Book Antiqua" w:cs="Book Antiqua"/>
          <w:color w:val="000000"/>
        </w:rPr>
        <w:t>”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shortcomings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example,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42%,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missed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relatively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high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Multipoint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sampling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risk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tissue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injury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C5299">
        <w:rPr>
          <w:rFonts w:ascii="Book Antiqua" w:eastAsia="Book Antiqua" w:hAnsi="Book Antiqua" w:cs="Book Antiqua"/>
          <w:color w:val="000000"/>
        </w:rPr>
        <w:t>gastrorrhagia</w:t>
      </w:r>
      <w:proofErr w:type="spell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techniques,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combined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laser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confocal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microscopy,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mucosal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surface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gastrointestinal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tract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Billah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capsule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along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convolutional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(CNN)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wavelet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features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gastrointestinal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polyps.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Urban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polyps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colonoscopy.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Lahner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established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decision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support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(DSS)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without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three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protocols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above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96%,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supports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promising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generalization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technologies.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Esophagus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squamous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299">
        <w:rPr>
          <w:rFonts w:ascii="Book Antiqua" w:eastAsia="Book Antiqua" w:hAnsi="Book Antiqua" w:cs="Book Antiqua"/>
          <w:color w:val="000000"/>
        </w:rPr>
        <w:t>Narrow-band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(NBI)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emerging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advanced,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noninvasive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strengthen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evaluation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surface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structure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microvascular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morphology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esophagus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diagnosis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NBI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squamous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various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results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judgments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doctors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Fukuda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NBI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video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A326E" w:rsidRPr="00BC5299">
        <w:rPr>
          <w:rFonts w:ascii="Book Antiqua" w:eastAsia="Book Antiqua" w:hAnsi="Book Antiqua" w:cs="Book Antiqua"/>
          <w:color w:val="000000"/>
        </w:rPr>
        <w:t>squamous cell carcinoma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(91.1%)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(88.3%).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authors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suggested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discover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&gt;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muscularis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mucosa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invasion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mis</w:t>
      </w:r>
      <w:r w:rsidR="00ED560E" w:rsidRPr="00BC5299">
        <w:rPr>
          <w:rFonts w:ascii="Book Antiqua" w:eastAsia="Book Antiqua" w:hAnsi="Book Antiqua" w:cs="Book Antiqua"/>
          <w:color w:val="000000"/>
        </w:rPr>
        <w:t>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ED560E"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Compared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Atrophied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gastritis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CNN</w:t>
      </w:r>
      <w:r w:rsidRPr="00BC5299">
        <w:rPr>
          <w:rFonts w:ascii="Book Antiqua" w:eastAsia="Book Antiqua" w:hAnsi="Book Antiqua" w:cs="Book Antiqua"/>
          <w:color w:val="000000"/>
        </w:rPr>
        <w:t>-chronic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approach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developed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good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recognizing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chronic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antrum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under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curve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(AUC)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0.99.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CNN-</w:t>
      </w:r>
      <w:r w:rsidR="00BA326E" w:rsidRPr="00BC5299">
        <w:rPr>
          <w:rFonts w:ascii="Book Antiqua" w:eastAsia="Book Antiqua" w:hAnsi="Book Antiqua" w:cs="Book Antiqua"/>
          <w:color w:val="000000"/>
        </w:rPr>
        <w:t>chronic atrophic 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field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above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0.94.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1458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cases,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1348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severe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tested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0.93,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0.95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0.99,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respectively,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indicating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good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consistency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BA326E">
        <w:rPr>
          <w:rFonts w:ascii="Book Antiqua" w:eastAsia="Book Antiqua" w:hAnsi="Book Antiqua" w:cs="Book Antiqua"/>
          <w:color w:val="000000"/>
        </w:rPr>
        <w:t xml:space="preserve"> 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recognition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BC5299">
        <w:rPr>
          <w:rFonts w:ascii="Book Antiqua" w:eastAsia="Book Antiqua" w:hAnsi="Book Antiqua" w:cs="Book Antiqua"/>
          <w:color w:val="000000"/>
        </w:rPr>
        <w:t>However,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literature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reported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stomach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esophageal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stomach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adenocarcinoma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susceptible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problems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related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morphology,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change,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uneven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mucosal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background,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leads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"/>
      <w:bookmarkStart w:id="3" w:name="OLE_LINK2"/>
      <w:r w:rsidRPr="00BC5299">
        <w:rPr>
          <w:rFonts w:ascii="Book Antiqua" w:eastAsia="Book Antiqua" w:hAnsi="Book Antiqua" w:cs="Book Antiqua"/>
          <w:color w:val="000000"/>
        </w:rPr>
        <w:t>low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bookmarkEnd w:id="2"/>
      <w:bookmarkEnd w:id="3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false</w:t>
      </w:r>
      <w:r w:rsidR="00BA326E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(FPR)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Several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indicated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BA326E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A326E">
        <w:rPr>
          <w:rFonts w:ascii="Book Antiqua" w:eastAsia="Book Antiqua" w:hAnsi="Book Antiqua" w:cs="Book Antiqua"/>
          <w:color w:val="000000"/>
        </w:rPr>
        <w:t>I</w:t>
      </w:r>
      <w:r w:rsidRPr="00BC5299">
        <w:rPr>
          <w:rFonts w:ascii="Book Antiqua" w:eastAsia="Book Antiqua" w:hAnsi="Book Antiqua" w:cs="Book Antiqua"/>
          <w:color w:val="000000"/>
        </w:rPr>
        <w:t>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combined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doctors,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A326E">
        <w:rPr>
          <w:rFonts w:ascii="Book Antiqua" w:eastAsia="Book Antiqua" w:hAnsi="Book Antiqua" w:cs="Book Antiqua"/>
          <w:color w:val="000000"/>
        </w:rPr>
        <w:t xml:space="preserve">then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doctors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gastritis,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avoid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unnecessary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biopsy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299">
        <w:rPr>
          <w:rFonts w:ascii="Book Antiqua" w:eastAsia="Book Antiqua" w:hAnsi="Book Antiqua" w:cs="Book Antiqua"/>
          <w:color w:val="000000"/>
        </w:rPr>
        <w:t>Regarding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small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anomalies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faster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doctors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(45.5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173</w:t>
      </w:r>
      <w:r w:rsidR="0029504C">
        <w:rPr>
          <w:rFonts w:ascii="Book Antiqua" w:eastAsia="Book Antiqua" w:hAnsi="Book Antiqua" w:cs="Book Antiqua"/>
          <w:color w:val="000000"/>
        </w:rPr>
        <w:t>.0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min),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also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(58.4%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31.9%).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However,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(PPV)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relatively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doctors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(26.0%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46.2%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87.3%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97.0%,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respectively)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computer-aided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design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(CAD)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stationary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magnifying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combined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NBI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85.3%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cannot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capture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29504C" w:rsidRPr="00BC5299">
        <w:rPr>
          <w:rFonts w:ascii="Book Antiqua" w:eastAsia="Book Antiqua" w:hAnsi="Book Antiqua" w:cs="Book Antiqua"/>
          <w:color w:val="000000"/>
        </w:rPr>
        <w:t xml:space="preserve">magnifying endoscopy combined with </w:t>
      </w:r>
      <w:r w:rsidRPr="00BC5299">
        <w:rPr>
          <w:rFonts w:ascii="Book Antiqua" w:eastAsia="Book Antiqua" w:hAnsi="Book Antiqua" w:cs="Book Antiqua"/>
          <w:color w:val="000000"/>
        </w:rPr>
        <w:t>NBI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video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29504C">
        <w:rPr>
          <w:rFonts w:ascii="Book Antiqua" w:eastAsia="Book Antiqua" w:hAnsi="Book Antiqua" w:cs="Book Antiqua"/>
          <w:color w:val="000000"/>
        </w:rPr>
        <w:t xml:space="preserve">the </w:t>
      </w:r>
      <w:r w:rsidRPr="00BC5299">
        <w:rPr>
          <w:rFonts w:ascii="Book Antiqua" w:eastAsia="Book Antiqua" w:hAnsi="Book Antiqua" w:cs="Book Antiqua"/>
          <w:color w:val="000000"/>
        </w:rPr>
        <w:t>CAD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real-time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Horiuchi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proposed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29504C" w:rsidRPr="00BC5299">
        <w:rPr>
          <w:rFonts w:ascii="Book Antiqua" w:eastAsia="Book Antiqua" w:hAnsi="Book Antiqua" w:cs="Book Antiqua"/>
          <w:color w:val="000000"/>
        </w:rPr>
        <w:t xml:space="preserve">magnifying endoscopy combined with </w:t>
      </w:r>
      <w:r w:rsidRPr="00BC5299">
        <w:rPr>
          <w:rFonts w:ascii="Book Antiqua" w:eastAsia="Book Antiqua" w:hAnsi="Book Antiqua" w:cs="Book Antiqua"/>
          <w:color w:val="000000"/>
        </w:rPr>
        <w:t>NBI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video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equal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experienced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0.8684,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29504C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85.1%,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87.4%,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82.8%,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83.5%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86.7%,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respectively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Colorectal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colonoscopy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key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technique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polyps.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However,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several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4"/>
      <w:r w:rsidRPr="00BC5299">
        <w:rPr>
          <w:rFonts w:ascii="Book Antiqua" w:eastAsia="Book Antiqua" w:hAnsi="Book Antiqua" w:cs="Book Antiqua"/>
          <w:color w:val="000000"/>
        </w:rPr>
        <w:t>15.4%</w:t>
      </w:r>
      <w:bookmarkEnd w:id="4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</w:t>
      </w:r>
      <w:r w:rsidRPr="00BC5299">
        <w:rPr>
          <w:rFonts w:ascii="Book Antiqua" w:hAnsi="Book Antiqua" w:cs="Book Antiqua"/>
          <w:color w:val="000000"/>
          <w:lang w:eastAsia="zh-CN"/>
        </w:rPr>
        <w:t>≤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mm)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adenomas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under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judged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normal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mucosa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3324C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examination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6"/>
      <w:bookmarkStart w:id="6" w:name="OLE_LINK7"/>
      <w:bookmarkStart w:id="7" w:name="OLE_LINK9"/>
      <w:proofErr w:type="spellStart"/>
      <w:r w:rsidRPr="00BC5299">
        <w:rPr>
          <w:rFonts w:ascii="Book Antiqua" w:eastAsia="Book Antiqua" w:hAnsi="Book Antiqua" w:cs="Book Antiqua"/>
          <w:color w:val="000000"/>
        </w:rPr>
        <w:t>Intraobserver</w:t>
      </w:r>
      <w:bookmarkEnd w:id="5"/>
      <w:bookmarkEnd w:id="6"/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5"/>
      <w:proofErr w:type="spellStart"/>
      <w:r w:rsidRPr="00BC5299">
        <w:rPr>
          <w:rFonts w:ascii="Book Antiqua" w:eastAsia="Book Antiqua" w:hAnsi="Book Antiqua" w:cs="Book Antiqua"/>
          <w:color w:val="000000"/>
        </w:rPr>
        <w:t>interobserver</w:t>
      </w:r>
      <w:bookmarkEnd w:id="7"/>
      <w:bookmarkEnd w:id="8"/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discrepancies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ED560E"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ED560E" w:rsidRPr="00BC5299">
        <w:rPr>
          <w:rFonts w:ascii="Book Antiqua" w:eastAsia="Book Antiqua" w:hAnsi="Book Antiqua" w:cs="Book Antiqua"/>
          <w:color w:val="000000"/>
        </w:rPr>
        <w:t>main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problem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Therefore,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suggested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techniques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combined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physicians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8"/>
      <w:proofErr w:type="gramStart"/>
      <w:r w:rsidRPr="00BC5299">
        <w:rPr>
          <w:rFonts w:ascii="Book Antiqua" w:eastAsia="Book Antiqua" w:hAnsi="Book Antiqua" w:cs="Book Antiqua"/>
          <w:color w:val="000000"/>
        </w:rPr>
        <w:t>prediction</w:t>
      </w:r>
      <w:bookmarkEnd w:id="9"/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proofErr w:type="spellStart"/>
      <w:r w:rsidRPr="00BC5299">
        <w:rPr>
          <w:rFonts w:ascii="Book Antiqua" w:eastAsia="Book Antiqua" w:hAnsi="Book Antiqua" w:cs="Book Antiqua"/>
          <w:color w:val="000000"/>
        </w:rPr>
        <w:t>Shahidi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established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real-time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assess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differences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between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results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≤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mm.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644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29504C">
        <w:rPr>
          <w:rFonts w:ascii="Book Antiqua" w:eastAsia="Book Antiqua" w:hAnsi="Book Antiqua" w:cs="Book Antiqua"/>
          <w:color w:val="000000"/>
        </w:rPr>
        <w:t>l</w:t>
      </w:r>
      <w:r w:rsidRPr="00BC5299">
        <w:rPr>
          <w:rFonts w:ascii="Book Antiqua" w:eastAsia="Book Antiqua" w:hAnsi="Book Antiqua" w:cs="Book Antiqua"/>
          <w:color w:val="000000"/>
        </w:rPr>
        <w:t>esions,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458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29504C">
        <w:rPr>
          <w:rFonts w:ascii="Book Antiqua" w:eastAsia="Book Antiqua" w:hAnsi="Book Antiqua" w:cs="Book Antiqua"/>
          <w:color w:val="000000"/>
        </w:rPr>
        <w:t>l</w:t>
      </w:r>
      <w:r w:rsidRPr="00BC5299">
        <w:rPr>
          <w:rFonts w:ascii="Book Antiqua" w:eastAsia="Book Antiqua" w:hAnsi="Book Antiqua" w:cs="Book Antiqua"/>
          <w:color w:val="000000"/>
        </w:rPr>
        <w:t>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reached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agreement,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significant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differences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(adenoma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under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normal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mucosa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examination).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0E7B5C">
        <w:rPr>
          <w:rFonts w:ascii="Book Antiqua" w:eastAsia="Book Antiqua" w:hAnsi="Book Antiqua" w:cs="Book Antiqua"/>
          <w:color w:val="000000"/>
        </w:rPr>
        <w:t xml:space="preserve">clinical </w:t>
      </w:r>
      <w:r w:rsidRPr="00BC5299">
        <w:rPr>
          <w:rFonts w:ascii="Book Antiqua" w:eastAsia="Book Antiqua" w:hAnsi="Book Antiqua" w:cs="Book Antiqua"/>
          <w:color w:val="000000"/>
        </w:rPr>
        <w:t>DSS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further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evaluation,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0E7B5C">
        <w:rPr>
          <w:rFonts w:ascii="Book Antiqua" w:eastAsia="Book Antiqua" w:hAnsi="Book Antiqua" w:cs="Book Antiqua"/>
          <w:color w:val="000000"/>
        </w:rPr>
        <w:t xml:space="preserve">clinical </w:t>
      </w:r>
      <w:r w:rsidRPr="00BC5299">
        <w:rPr>
          <w:rFonts w:ascii="Book Antiqua" w:eastAsia="Book Antiqua" w:hAnsi="Book Antiqua" w:cs="Book Antiqua"/>
          <w:color w:val="000000"/>
        </w:rPr>
        <w:t>DSS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conformed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(coincidence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90.9%),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supporting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objectivity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prior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examination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interpretation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proposed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0"/>
      <w:bookmarkStart w:id="11" w:name="OLE_LINK11"/>
      <w:r w:rsidRPr="00BC5299">
        <w:rPr>
          <w:rFonts w:ascii="Book Antiqua" w:eastAsia="Book Antiqua" w:hAnsi="Book Antiqua" w:cs="Book Antiqua"/>
          <w:color w:val="000000"/>
        </w:rPr>
        <w:t>diagnos</w:t>
      </w:r>
      <w:r w:rsidR="0029504C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bookmarkEnd w:id="10"/>
      <w:bookmarkEnd w:id="11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similar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(71.5%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ED560E" w:rsidRPr="00BC5299">
        <w:rPr>
          <w:rFonts w:ascii="Book Antiqua" w:eastAsia="Book Antiqua" w:hAnsi="Book Antiqua" w:cs="Book Antiqua"/>
          <w:color w:val="000000"/>
        </w:rPr>
        <w:t>67</w:t>
      </w:r>
      <w:r w:rsidRPr="00BC5299">
        <w:rPr>
          <w:rFonts w:ascii="Book Antiqua" w:eastAsia="Book Antiqua" w:hAnsi="Book Antiqua" w:cs="Book Antiqua"/>
          <w:color w:val="000000"/>
        </w:rPr>
        <w:t>.5%),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support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physicians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reduce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misdiagnosis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also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extend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discrimination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ability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between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noncancerous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doctors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choose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strategy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effectively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29504C">
        <w:rPr>
          <w:rFonts w:ascii="Book Antiqua" w:eastAsia="Book Antiqua" w:hAnsi="Book Antiqua" w:cs="Book Antiqua"/>
          <w:color w:val="000000"/>
        </w:rPr>
        <w:t>Randomized clinical trials are needed to determine i</w:t>
      </w:r>
      <w:r w:rsidRPr="00BC5299">
        <w:rPr>
          <w:rFonts w:ascii="Book Antiqua" w:eastAsia="Book Antiqua" w:hAnsi="Book Antiqua" w:cs="Book Antiqua"/>
          <w:color w:val="000000"/>
        </w:rPr>
        <w:t>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real-time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video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doctors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29504C">
        <w:rPr>
          <w:rFonts w:ascii="Book Antiqua" w:eastAsia="Book Antiqua" w:hAnsi="Book Antiqua" w:cs="Book Antiqua"/>
          <w:color w:val="000000"/>
        </w:rPr>
        <w:t>detect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tiny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negligible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examination.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explored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feasibility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faster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region-based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CNN </w:t>
      </w:r>
      <w:r w:rsidRPr="00BC5299">
        <w:rPr>
          <w:rFonts w:ascii="Book Antiqua" w:eastAsia="Book Antiqua" w:hAnsi="Book Antiqua" w:cs="Book Antiqua"/>
          <w:color w:val="000000"/>
        </w:rPr>
        <w:t>technology.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transfer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features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14"/>
      <w:bookmarkStart w:id="13" w:name="OLE_LINK13"/>
      <w:proofErr w:type="spellStart"/>
      <w:r w:rsidR="00ED560E" w:rsidRPr="00BC5299">
        <w:rPr>
          <w:rFonts w:ascii="Book Antiqua" w:eastAsia="Book Antiqua" w:hAnsi="Book Antiqua" w:cs="Book Antiqua"/>
          <w:color w:val="000000"/>
        </w:rPr>
        <w:t>ImageNet</w:t>
      </w:r>
      <w:bookmarkEnd w:id="12"/>
      <w:bookmarkEnd w:id="13"/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2"/>
      <w:r w:rsidRPr="00BC5299">
        <w:rPr>
          <w:rFonts w:ascii="Book Antiqua" w:eastAsia="Book Antiqua" w:hAnsi="Book Antiqua" w:cs="Book Antiqua"/>
          <w:color w:val="000000"/>
        </w:rPr>
        <w:t>VGG16</w:t>
      </w:r>
      <w:bookmarkEnd w:id="14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automatically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circumferential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margin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high-resolution</w:t>
      </w:r>
      <w:r w:rsidR="0029504C">
        <w:rPr>
          <w:rFonts w:ascii="Book Antiqua" w:eastAsia="Book Antiqua" w:hAnsi="Book Antiqua" w:cs="Book Antiqua"/>
          <w:color w:val="000000"/>
        </w:rPr>
        <w:t xml:space="preserve"> magnetic resonance 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29504C">
        <w:rPr>
          <w:rFonts w:ascii="Book Antiqua" w:eastAsia="Book Antiqua" w:hAnsi="Book Antiqua" w:cs="Book Antiqua"/>
          <w:color w:val="000000"/>
        </w:rPr>
        <w:t>(</w:t>
      </w:r>
      <w:r w:rsidRPr="00BC5299">
        <w:rPr>
          <w:rFonts w:ascii="Book Antiqua" w:eastAsia="Book Antiqua" w:hAnsi="Book Antiqua" w:cs="Book Antiqua"/>
          <w:color w:val="000000"/>
        </w:rPr>
        <w:t>MRI</w:t>
      </w:r>
      <w:r w:rsidR="0029504C">
        <w:rPr>
          <w:rFonts w:ascii="Book Antiqua" w:eastAsia="Book Antiqua" w:hAnsi="Book Antiqua" w:cs="Book Antiqua"/>
          <w:color w:val="000000"/>
        </w:rPr>
        <w:t>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93.2%,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83.8%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95.6%,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respectively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_GoBack"/>
      <w:r w:rsidR="00AB251E" w:rsidRPr="00BC529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AB251E" w:rsidRPr="00BC5299">
        <w:rPr>
          <w:rFonts w:ascii="Book Antiqua" w:eastAsia="Book Antiqua" w:hAnsi="Book Antiqua" w:cs="Book Antiqua"/>
          <w:color w:val="000000"/>
        </w:rPr>
        <w:t>F</w:t>
      </w:r>
      <w:r w:rsidR="00AB251E">
        <w:rPr>
          <w:rFonts w:ascii="Book Antiqua" w:eastAsiaTheme="minorEastAsia" w:hAnsi="Book Antiqua" w:cs="Book Antiqua" w:hint="eastAsia"/>
          <w:color w:val="000000"/>
          <w:vertAlign w:val="superscript"/>
          <w:lang w:eastAsia="zh-CN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fluorodeoxyglucose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-positron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emission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tomography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(PET)/computed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tomography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(CT)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assess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changes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glucose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metabolism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parameters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during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chemotherapy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efficacy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Traditional</w:t>
      </w:r>
      <w:r w:rsidR="00AB251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AB251E" w:rsidRPr="00BC529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AB251E" w:rsidRPr="00BC5299">
        <w:rPr>
          <w:rFonts w:ascii="Book Antiqua" w:eastAsia="Book Antiqua" w:hAnsi="Book Antiqua" w:cs="Book Antiqua"/>
          <w:color w:val="000000"/>
        </w:rPr>
        <w:t>F</w:t>
      </w:r>
      <w:r w:rsidR="00AB251E">
        <w:rPr>
          <w:rFonts w:ascii="Book Antiqua" w:eastAsiaTheme="minorEastAsia" w:hAnsi="Book Antiqua" w:cs="Book Antiqua" w:hint="eastAsia"/>
          <w:color w:val="000000"/>
          <w:vertAlign w:val="superscript"/>
          <w:lang w:eastAsia="zh-CN"/>
        </w:rPr>
        <w:t xml:space="preserve"> </w:t>
      </w:r>
      <w:proofErr w:type="spellStart"/>
      <w:r w:rsidR="00B62864" w:rsidRPr="00BC5299">
        <w:rPr>
          <w:rFonts w:ascii="Book Antiqua" w:eastAsia="Book Antiqua" w:hAnsi="Book Antiqua" w:cs="Book Antiqua"/>
          <w:color w:val="000000"/>
        </w:rPr>
        <w:t>fluorodeoxyglucose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-PET/CT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cannot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accurately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safely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select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organ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preservation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strategies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F56E19" w:rsidRPr="00BC5299">
        <w:rPr>
          <w:rFonts w:ascii="Book Antiqua" w:eastAsia="Book Antiqua" w:hAnsi="Book Antiqua" w:cs="Book Antiqua"/>
          <w:color w:val="000000"/>
        </w:rPr>
        <w:t>Williams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suggested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random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forest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type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technique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regression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evaluation.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62864" w:rsidRPr="00BC5299">
        <w:rPr>
          <w:rFonts w:ascii="Book Antiqua" w:eastAsia="Book Antiqua" w:hAnsi="Book Antiqua" w:cs="Book Antiqua"/>
          <w:color w:val="000000"/>
        </w:rPr>
        <w:t xml:space="preserve">random forest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demonstrate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obtained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baseline</w:t>
      </w:r>
      <w:r w:rsidR="00AB251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AB251E" w:rsidRPr="00BC529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AB251E" w:rsidRPr="00BC5299">
        <w:rPr>
          <w:rFonts w:ascii="Book Antiqua" w:eastAsia="Book Antiqua" w:hAnsi="Book Antiqua" w:cs="Book Antiqua"/>
          <w:color w:val="000000"/>
        </w:rPr>
        <w:t>F</w:t>
      </w:r>
      <w:r w:rsidR="00AB251E">
        <w:rPr>
          <w:rFonts w:ascii="Book Antiqua" w:eastAsiaTheme="minorEastAsia" w:hAnsi="Book Antiqua" w:cs="Book Antiqua" w:hint="eastAsia"/>
          <w:color w:val="000000"/>
          <w:vertAlign w:val="superscript"/>
          <w:lang w:eastAsia="zh-CN"/>
        </w:rPr>
        <w:t xml:space="preserve"> </w:t>
      </w:r>
      <w:bookmarkEnd w:id="15"/>
      <w:proofErr w:type="spellStart"/>
      <w:r w:rsidR="00B62864" w:rsidRPr="00BC5299">
        <w:rPr>
          <w:rFonts w:ascii="Book Antiqua" w:eastAsia="Book Antiqua" w:hAnsi="Book Antiqua" w:cs="Book Antiqua"/>
          <w:color w:val="000000"/>
        </w:rPr>
        <w:t>fluorodeoxyglucose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-PET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could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accurately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complete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95.3%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BREAST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</w:t>
      </w:r>
      <w:r w:rsidR="006D7F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common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techniques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examination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screening,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important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noninvasive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measurement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lymphatic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tiny,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aggressive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node-negative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cancer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However,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6D7F79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cancer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example,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axillary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often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neglected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especially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unspecific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characteristics,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unclear,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irregularly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shaped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edges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loss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Although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FPR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74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%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Molybdenum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target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X-rays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microcalcification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advantage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However,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regarding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probably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hidden,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molybdenum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target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X-ray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limitations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6D7F79">
        <w:rPr>
          <w:rFonts w:ascii="Book Antiqua" w:eastAsia="Book Antiqua" w:hAnsi="Book Antiqua" w:cs="Book Antiqua"/>
          <w:color w:val="000000"/>
        </w:rPr>
        <w:t xml:space="preserve">a </w:t>
      </w:r>
      <w:r w:rsidRPr="00BC5299">
        <w:rPr>
          <w:rFonts w:ascii="Book Antiqua" w:eastAsia="Book Antiqua" w:hAnsi="Book Antiqua" w:cs="Book Antiqua"/>
          <w:color w:val="000000"/>
        </w:rPr>
        <w:t>lower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rate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Zhou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proposed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according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characteristics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primary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under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approximately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90%,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above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80%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70%,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respectively.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Mango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59D6"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59D6" w:rsidRPr="00BC5299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integrated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their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decision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support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results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technique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helpful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>B</w:t>
      </w:r>
      <w:r w:rsidRPr="00BC5299">
        <w:rPr>
          <w:rFonts w:ascii="Book Antiqua" w:eastAsia="Book Antiqua" w:hAnsi="Book Antiqua" w:cs="Book Antiqua"/>
          <w:color w:val="000000"/>
        </w:rPr>
        <w:t>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>I</w:t>
      </w:r>
      <w:r w:rsidRPr="00BC5299">
        <w:rPr>
          <w:rFonts w:ascii="Book Antiqua" w:eastAsia="Book Antiqua" w:hAnsi="Book Antiqua" w:cs="Book Antiqua"/>
          <w:color w:val="000000"/>
        </w:rPr>
        <w:t>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>R</w:t>
      </w:r>
      <w:r w:rsidRPr="00BC5299">
        <w:rPr>
          <w:rFonts w:ascii="Book Antiqua" w:eastAsia="Book Antiqua" w:hAnsi="Book Antiqua" w:cs="Book Antiqua"/>
          <w:color w:val="000000"/>
        </w:rPr>
        <w:t>eporting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>D</w:t>
      </w:r>
      <w:r w:rsidRPr="00BC5299">
        <w:rPr>
          <w:rFonts w:ascii="Book Antiqua" w:eastAsia="Book Antiqua" w:hAnsi="Book Antiqua" w:cs="Book Antiqua"/>
          <w:color w:val="000000"/>
        </w:rPr>
        <w:t>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>S</w:t>
      </w:r>
      <w:r w:rsidRPr="00BC5299">
        <w:rPr>
          <w:rFonts w:ascii="Book Antiqua" w:eastAsia="Book Antiqua" w:hAnsi="Book Antiqua" w:cs="Book Antiqua"/>
          <w:color w:val="000000"/>
        </w:rPr>
        <w:t>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reducing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intraobserver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interobserver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variabilities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variability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incidence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>B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reast </w:t>
      </w:r>
      <w:r w:rsidR="00AE585B">
        <w:rPr>
          <w:rFonts w:ascii="Book Antiqua" w:eastAsia="Book Antiqua" w:hAnsi="Book Antiqua" w:cs="Book Antiqua"/>
          <w:color w:val="000000"/>
        </w:rPr>
        <w:t>I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maging </w:t>
      </w:r>
      <w:r w:rsidR="00AE585B">
        <w:rPr>
          <w:rFonts w:ascii="Book Antiqua" w:eastAsia="Book Antiqua" w:hAnsi="Book Antiqua" w:cs="Book Antiqua"/>
          <w:color w:val="000000"/>
        </w:rPr>
        <w:t>R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eporting and </w:t>
      </w:r>
      <w:r w:rsidR="00AE585B">
        <w:rPr>
          <w:rFonts w:ascii="Book Antiqua" w:eastAsia="Book Antiqua" w:hAnsi="Book Antiqua" w:cs="Book Antiqua"/>
          <w:color w:val="000000"/>
        </w:rPr>
        <w:t>D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ata </w:t>
      </w:r>
      <w:r w:rsidR="00AE585B">
        <w:rPr>
          <w:rFonts w:ascii="Book Antiqua" w:eastAsia="Book Antiqua" w:hAnsi="Book Antiqua" w:cs="Book Antiqua"/>
          <w:color w:val="000000"/>
        </w:rPr>
        <w:t>S</w:t>
      </w:r>
      <w:r w:rsidR="006D7F79" w:rsidRPr="00BC5299">
        <w:rPr>
          <w:rFonts w:ascii="Book Antiqua" w:eastAsia="Book Antiqua" w:hAnsi="Book Antiqua" w:cs="Book Antiqua"/>
          <w:color w:val="000000"/>
        </w:rPr>
        <w:t>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>B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reast </w:t>
      </w:r>
      <w:r w:rsidR="00AE585B">
        <w:rPr>
          <w:rFonts w:ascii="Book Antiqua" w:eastAsia="Book Antiqua" w:hAnsi="Book Antiqua" w:cs="Book Antiqua"/>
          <w:color w:val="000000"/>
        </w:rPr>
        <w:t>I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maging </w:t>
      </w:r>
      <w:r w:rsidR="00AE585B">
        <w:rPr>
          <w:rFonts w:ascii="Book Antiqua" w:eastAsia="Book Antiqua" w:hAnsi="Book Antiqua" w:cs="Book Antiqua"/>
          <w:color w:val="000000"/>
        </w:rPr>
        <w:t>R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eporting and </w:t>
      </w:r>
      <w:r w:rsidR="00AE585B">
        <w:rPr>
          <w:rFonts w:ascii="Book Antiqua" w:eastAsia="Book Antiqua" w:hAnsi="Book Antiqua" w:cs="Book Antiqua"/>
          <w:color w:val="000000"/>
        </w:rPr>
        <w:t>D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ata </w:t>
      </w:r>
      <w:r w:rsidR="00AE585B">
        <w:rPr>
          <w:rFonts w:ascii="Book Antiqua" w:eastAsia="Book Antiqua" w:hAnsi="Book Antiqua" w:cs="Book Antiqua"/>
          <w:color w:val="000000"/>
        </w:rPr>
        <w:t>S</w:t>
      </w:r>
      <w:r w:rsidR="006D7F79" w:rsidRPr="00BC5299">
        <w:rPr>
          <w:rFonts w:ascii="Book Antiqua" w:eastAsia="Book Antiqua" w:hAnsi="Book Antiqua" w:cs="Book Antiqua"/>
          <w:color w:val="000000"/>
        </w:rPr>
        <w:t>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above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13.6%,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decreased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10.8%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combined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6D7F79" w:rsidRPr="00BC5299">
        <w:rPr>
          <w:rFonts w:ascii="Book Antiqua" w:eastAsia="Book Antiqua" w:hAnsi="Book Antiqua" w:cs="Book Antiqua"/>
          <w:color w:val="000000"/>
        </w:rPr>
        <w:t>decision support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Spick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diffusion-weighted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MRI-guided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vacuum-assisted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could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reduce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FPR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30%.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Penco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verified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MRI-guided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vacuum-assisted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comparison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results.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results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exhibited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94%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84%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77%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97%.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Adachi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compared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dynamic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contrast-enhanced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magnetic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resonance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RetinaNet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readers;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former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(AUC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0.925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0.884).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support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readers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significantly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(AUC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0.899).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independent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0.926,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0.847,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0.889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0.828,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0.841,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0.823</w:t>
      </w:r>
      <w:r w:rsidR="00D5244B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respectively.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However,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misdiagnose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normal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tissue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malignant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background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parenchymal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enhancement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tissue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density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misdiagnose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invasive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ductal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axilla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normal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axillary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nodes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Sasaki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FE381C" w:rsidRPr="00BC529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proposed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Transpara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reduced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differences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between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computers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3324C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molybdenum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targets.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89%;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Transpara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malignant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95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%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When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interpreting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images,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A59D6" w:rsidRPr="00BC5299">
        <w:rPr>
          <w:rFonts w:ascii="Book Antiqua" w:eastAsia="Book Antiqua" w:hAnsi="Book Antiqua" w:cs="Book Antiqua"/>
          <w:color w:val="000000"/>
        </w:rPr>
        <w:t>Transpara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significantly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increase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AUC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without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increasing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3A59D6" w:rsidRPr="00BC5299">
        <w:rPr>
          <w:rFonts w:ascii="Book Antiqua" w:eastAsia="Book Antiqua" w:hAnsi="Book Antiqua" w:cs="Book Antiqua"/>
          <w:color w:val="000000"/>
        </w:rPr>
        <w:t>reading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A59D6" w:rsidRPr="00BC5299">
        <w:rPr>
          <w:rFonts w:ascii="Book Antiqua" w:eastAsia="Book Antiqua" w:hAnsi="Book Antiqua" w:cs="Book Antiqua"/>
          <w:color w:val="000000"/>
        </w:rPr>
        <w:t>time</w:t>
      </w:r>
      <w:r w:rsidR="003A59D6"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59D6" w:rsidRPr="00BC5299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3A59D6"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summary,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latent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maintaining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also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reduces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variability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interpretation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THYROID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</w:t>
      </w:r>
      <w:r w:rsidR="006D7F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years,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incidence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prioritized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5"/>
      <w:r w:rsidRPr="00BC5299">
        <w:rPr>
          <w:rFonts w:ascii="Book Antiqua" w:eastAsia="Book Antiqua" w:hAnsi="Book Antiqua" w:cs="Book Antiqua"/>
          <w:color w:val="000000"/>
        </w:rPr>
        <w:t>clinical</w:t>
      </w:r>
      <w:bookmarkEnd w:id="16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intervention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noninvasive,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easily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accessible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economical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examination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tool,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according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professional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backgrounds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readers.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BC5299">
        <w:rPr>
          <w:rFonts w:ascii="Book Antiqua" w:eastAsia="Book Antiqua" w:hAnsi="Book Antiqua" w:cs="Book Antiqua"/>
          <w:color w:val="000000"/>
        </w:rPr>
        <w:t>Barczyński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verified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S-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Detect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real-time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</w:t>
      </w:r>
      <w:r w:rsidR="006D7F79">
        <w:rPr>
          <w:rFonts w:ascii="Book Antiqua" w:eastAsia="Book Antiqua" w:hAnsi="Book Antiqua" w:cs="Book Antiqua"/>
          <w:color w:val="000000"/>
        </w:rPr>
        <w:t>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significant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experienced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radiologists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overall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disease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evaluation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76%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doctors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skills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82%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doctors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experience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system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6D7F79">
        <w:rPr>
          <w:rFonts w:ascii="Book Antiqua" w:eastAsia="Book Antiqua" w:hAnsi="Book Antiqua" w:cs="Book Antiqua"/>
          <w:color w:val="000000"/>
        </w:rPr>
        <w:t xml:space="preserve">the </w:t>
      </w:r>
      <w:r w:rsidRPr="00BC5299">
        <w:rPr>
          <w:rFonts w:ascii="Book Antiqua" w:eastAsia="Book Antiqua" w:hAnsi="Book Antiqua" w:cs="Book Antiqua"/>
          <w:color w:val="000000"/>
        </w:rPr>
        <w:t>CAD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6D7F79">
        <w:rPr>
          <w:rFonts w:ascii="Book Antiqua" w:eastAsia="Book Antiqua" w:hAnsi="Book Antiqua" w:cs="Book Antiqua"/>
          <w:color w:val="000000"/>
        </w:rPr>
        <w:t>wa</w:t>
      </w:r>
      <w:r w:rsidRPr="00BC5299">
        <w:rPr>
          <w:rFonts w:ascii="Book Antiqua" w:eastAsia="Book Antiqua" w:hAnsi="Book Antiqua" w:cs="Book Antiqua"/>
          <w:color w:val="000000"/>
        </w:rPr>
        <w:t>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similar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further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</w:t>
      </w:r>
      <w:r w:rsidR="006D7F79">
        <w:rPr>
          <w:rFonts w:ascii="Book Antiqua" w:eastAsia="Book Antiqua" w:hAnsi="Book Antiqua" w:cs="Book Antiqua"/>
          <w:color w:val="000000"/>
        </w:rPr>
        <w:t>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locate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nodules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further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puncture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cytology.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Nevertheless,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S-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Detect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</w:t>
      </w:r>
      <w:r w:rsidR="006D7F79">
        <w:rPr>
          <w:rFonts w:ascii="Book Antiqua" w:eastAsia="Book Antiqua" w:hAnsi="Book Antiqua" w:cs="Book Antiqua"/>
          <w:color w:val="000000"/>
        </w:rPr>
        <w:t>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defects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calcifications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lastRenderedPageBreak/>
        <w:t>Postoperative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key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factor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recurrence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necessary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judge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whether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present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before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surgery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conducted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confirmed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neck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preoperative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0.884,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6D7F79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82.8%,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80.2%,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83.0%,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83.0%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80.2%,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respectively.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PROSTATE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Serum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AE585B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antigen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(PSA),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digital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examination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transrectal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ultrasound-guided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puncture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methods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cancer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High-level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>PSA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(&gt;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ng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/mL)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important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indicator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postoperative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monitoring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 xml:space="preserve">the </w:t>
      </w:r>
      <w:r w:rsidRPr="00BC5299">
        <w:rPr>
          <w:rFonts w:ascii="Book Antiqua" w:eastAsia="Book Antiqua" w:hAnsi="Book Antiqua" w:cs="Book Antiqua"/>
          <w:color w:val="000000"/>
        </w:rPr>
        <w:t>recurrence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cancer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guided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MRI/ultrasound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cancer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44,45]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changes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Reporting</w:t>
      </w:r>
      <w:r w:rsidR="00191A73">
        <w:rPr>
          <w:rFonts w:ascii="Book Antiqua" w:eastAsia="Book Antiqua" w:hAnsi="Book Antiqua" w:cs="Book Antiqua"/>
          <w:color w:val="000000"/>
        </w:rPr>
        <w:t xml:space="preserve"> 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affected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intrareader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</w:t>
      </w:r>
      <w:r w:rsidR="00ED560E" w:rsidRPr="00BC5299">
        <w:rPr>
          <w:rFonts w:ascii="Book Antiqua" w:eastAsia="Book Antiqua" w:hAnsi="Book Antiqua" w:cs="Book Antiqua"/>
          <w:color w:val="000000"/>
        </w:rPr>
        <w:t>-</w:t>
      </w:r>
      <w:r w:rsidRPr="00BC5299">
        <w:rPr>
          <w:rFonts w:ascii="Book Antiqua" w:eastAsia="Book Antiqua" w:hAnsi="Book Antiqua" w:cs="Book Antiqua"/>
          <w:color w:val="000000"/>
        </w:rPr>
        <w:t>reader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consistency,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40%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targeted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converge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 w:rsidRPr="00BC5299">
        <w:rPr>
          <w:rFonts w:ascii="Book Antiqua" w:eastAsia="Book Antiqua" w:hAnsi="Book Antiqua" w:cs="Book Antiqua"/>
          <w:color w:val="000000"/>
        </w:rPr>
        <w:t>Prostate Imaging Reporting</w:t>
      </w:r>
      <w:r w:rsidR="00191A73">
        <w:rPr>
          <w:rFonts w:ascii="Book Antiqua" w:eastAsia="Book Antiqua" w:hAnsi="Book Antiqua" w:cs="Book Antiqua"/>
          <w:color w:val="000000"/>
        </w:rPr>
        <w:t xml:space="preserve"> and</w:t>
      </w:r>
      <w:r w:rsidR="00AE585B" w:rsidRPr="00BC5299">
        <w:rPr>
          <w:rFonts w:ascii="Book Antiqua" w:eastAsia="Book Antiqua" w:hAnsi="Book Antiqua" w:cs="Book Antiqua"/>
          <w:color w:val="000000"/>
        </w:rPr>
        <w:t xml:space="preserve"> Data System</w:t>
      </w:r>
      <w:r w:rsidR="00AE585B" w:rsidRPr="00BC5299" w:rsidDel="00AE585B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reader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consistency,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achieving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(86%)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agreement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results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diagnosis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bookmarkStart w:id="17" w:name="OLE_LINK16"/>
      <w:bookmarkStart w:id="18" w:name="OLE_LINK17"/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bookmarkEnd w:id="17"/>
      <w:bookmarkEnd w:id="18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field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malignant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widely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585B">
        <w:rPr>
          <w:rFonts w:ascii="Book Antiqua" w:eastAsia="Book Antiqua" w:hAnsi="Book Antiqua" w:cs="Book Antiqua"/>
          <w:color w:val="000000"/>
        </w:rPr>
        <w:t>MRI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Although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surgery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serum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 w:rsidRPr="00BC5299">
        <w:rPr>
          <w:rFonts w:ascii="Book Antiqua" w:eastAsia="Book Antiqua" w:hAnsi="Book Antiqua" w:cs="Book Antiqua"/>
          <w:color w:val="000000"/>
        </w:rPr>
        <w:t>prostate</w:t>
      </w:r>
      <w:r w:rsidR="00AE585B">
        <w:rPr>
          <w:rFonts w:ascii="Book Antiqua" w:eastAsia="Book Antiqua" w:hAnsi="Book Antiqua" w:cs="Book Antiqua"/>
          <w:color w:val="000000"/>
        </w:rPr>
        <w:t xml:space="preserve"> </w:t>
      </w:r>
      <w:r w:rsidR="00AE585B" w:rsidRPr="00BC5299">
        <w:rPr>
          <w:rFonts w:ascii="Book Antiqua" w:eastAsia="Book Antiqua" w:hAnsi="Book Antiqua" w:cs="Book Antiqua"/>
          <w:color w:val="000000"/>
        </w:rPr>
        <w:t>specific antigen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&lt;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BC5299">
        <w:rPr>
          <w:rFonts w:ascii="Book Antiqua" w:eastAsia="Book Antiqua" w:hAnsi="Book Antiqua" w:cs="Book Antiqua"/>
          <w:color w:val="000000"/>
        </w:rPr>
        <w:t>C-choline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PET/CT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still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20.5%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rate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uptake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BC5299">
        <w:rPr>
          <w:rFonts w:ascii="Book Antiqua" w:eastAsia="Book Antiqua" w:hAnsi="Book Antiqua" w:cs="Book Antiqua"/>
          <w:color w:val="000000"/>
        </w:rPr>
        <w:t>F-choline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associated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overall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survival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making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important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serum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 w:rsidRPr="00BC5299">
        <w:rPr>
          <w:rFonts w:ascii="Book Antiqua" w:eastAsia="Book Antiqua" w:hAnsi="Book Antiqua" w:cs="Book Antiqua"/>
          <w:color w:val="000000"/>
        </w:rPr>
        <w:t>prostate</w:t>
      </w:r>
      <w:r w:rsidR="00AE585B">
        <w:rPr>
          <w:rFonts w:ascii="Book Antiqua" w:eastAsia="Book Antiqua" w:hAnsi="Book Antiqua" w:cs="Book Antiqua"/>
          <w:color w:val="000000"/>
        </w:rPr>
        <w:t xml:space="preserve"> </w:t>
      </w:r>
      <w:r w:rsidR="00AE585B" w:rsidRPr="00BC5299">
        <w:rPr>
          <w:rFonts w:ascii="Book Antiqua" w:eastAsia="Book Antiqua" w:hAnsi="Book Antiqua" w:cs="Book Antiqua"/>
          <w:color w:val="000000"/>
        </w:rPr>
        <w:t>specific antigen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Gleason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scores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identifying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high-risk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low-risk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Polymeri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automatic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estimation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method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obtained</w:t>
      </w:r>
      <w:r w:rsidR="00FE381C" w:rsidRPr="00BC529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BC5299">
        <w:rPr>
          <w:rFonts w:ascii="Book Antiqua" w:eastAsia="Book Antiqua" w:hAnsi="Book Antiqua" w:cs="Book Antiqua"/>
          <w:color w:val="000000"/>
        </w:rPr>
        <w:t>F-choline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uptake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(71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mL)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could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radiologists’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visual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estimates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(65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mL)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seconds.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approach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significantly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precision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PET/CT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proofErr w:type="spellStart"/>
      <w:r w:rsidRPr="00BC5299">
        <w:rPr>
          <w:rFonts w:ascii="Book Antiqua" w:eastAsia="Book Antiqua" w:hAnsi="Book Antiqua" w:cs="Book Antiqua"/>
          <w:color w:val="000000"/>
        </w:rPr>
        <w:lastRenderedPageBreak/>
        <w:t>Raciti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software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Paige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Alpha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significantly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maintaining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Especially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small,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poorly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differentiated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AE585B">
        <w:rPr>
          <w:rFonts w:ascii="Book Antiqua" w:eastAsia="Book Antiqua" w:hAnsi="Book Antiqua" w:cs="Book Antiqua"/>
          <w:color w:val="000000"/>
        </w:rPr>
        <w:t xml:space="preserve">to </w:t>
      </w:r>
      <w:r w:rsidRPr="00BC5299">
        <w:rPr>
          <w:rFonts w:ascii="Book Antiqua" w:eastAsia="Book Antiqua" w:hAnsi="Book Antiqua" w:cs="Book Antiqua"/>
          <w:color w:val="000000"/>
        </w:rPr>
        <w:t>30%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ED560E" w:rsidRPr="00BC5299">
        <w:rPr>
          <w:rFonts w:ascii="Book Antiqua" w:eastAsia="Book Antiqua" w:hAnsi="Book Antiqua" w:cs="Book Antiqua"/>
          <w:color w:val="000000"/>
        </w:rPr>
        <w:t>up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90%.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Similar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also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micrometastases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LUNG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When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screen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pulmonary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nodules,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lung-</w:t>
      </w:r>
      <w:r w:rsidR="00191A73" w:rsidRPr="00BC5299">
        <w:rPr>
          <w:rFonts w:ascii="Book Antiqua" w:eastAsia="Book Antiqua" w:hAnsi="Book Antiqua" w:cs="Book Antiqua"/>
          <w:color w:val="000000"/>
        </w:rPr>
        <w:t>Reporting</w:t>
      </w:r>
      <w:r w:rsidR="00191A73">
        <w:rPr>
          <w:rFonts w:ascii="Book Antiqua" w:eastAsia="Book Antiqua" w:hAnsi="Book Antiqua" w:cs="Book Antiqua"/>
          <w:color w:val="000000"/>
        </w:rPr>
        <w:t xml:space="preserve"> and</w:t>
      </w:r>
      <w:r w:rsidR="00191A73" w:rsidRPr="00BC5299">
        <w:rPr>
          <w:rFonts w:ascii="Book Antiqua" w:eastAsia="Book Antiqua" w:hAnsi="Book Antiqua" w:cs="Book Antiqua"/>
          <w:color w:val="000000"/>
        </w:rPr>
        <w:t xml:space="preserve"> Data 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FPR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also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high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method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100%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extremely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(up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8.2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false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nodules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scan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)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PET/CT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peripheral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(≤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cm)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92%-94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%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BC5299">
        <w:rPr>
          <w:rFonts w:ascii="Book Antiqua" w:eastAsia="Book Antiqua" w:hAnsi="Book Antiqua" w:cs="Book Antiqua"/>
          <w:color w:val="000000"/>
        </w:rPr>
        <w:t>Chauvie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attempted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methods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digital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tomosynthesis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(1)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946E18">
        <w:rPr>
          <w:rFonts w:ascii="Book Antiqua" w:eastAsiaTheme="minorEastAsia" w:hAnsi="Book Antiqua" w:cs="Book Antiqua" w:hint="eastAsia"/>
          <w:color w:val="000000"/>
          <w:lang w:eastAsia="zh-CN"/>
        </w:rPr>
        <w:t>B</w:t>
      </w:r>
      <w:r w:rsidRPr="00BC5299">
        <w:rPr>
          <w:rFonts w:ascii="Book Antiqua" w:eastAsia="Book Antiqua" w:hAnsi="Book Antiqua" w:cs="Book Antiqua"/>
          <w:color w:val="000000"/>
        </w:rPr>
        <w:t>inomial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visual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analysis,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(0.14)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(0.95);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(2)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946E18">
        <w:rPr>
          <w:rFonts w:ascii="Book Antiqua" w:eastAsiaTheme="minorEastAsia" w:hAnsi="Book Antiqua" w:cs="Book Antiqua" w:hint="eastAsia"/>
          <w:color w:val="000000"/>
          <w:lang w:eastAsia="zh-CN"/>
        </w:rPr>
        <w:t>P</w:t>
      </w:r>
      <w:r w:rsidRPr="00BC5299">
        <w:rPr>
          <w:rFonts w:ascii="Book Antiqua" w:eastAsia="Book Antiqua" w:hAnsi="Book Antiqua" w:cs="Book Antiqua"/>
          <w:color w:val="000000"/>
        </w:rPr>
        <w:t>ulmonary-</w:t>
      </w:r>
      <w:r w:rsidR="00B0444B" w:rsidRPr="00BC5299">
        <w:rPr>
          <w:rFonts w:ascii="Book Antiqua" w:eastAsia="Book Antiqua" w:hAnsi="Book Antiqua" w:cs="Book Antiqua"/>
          <w:color w:val="000000"/>
        </w:rPr>
        <w:t>Reporting</w:t>
      </w:r>
      <w:r w:rsidR="00B0444B">
        <w:rPr>
          <w:rFonts w:ascii="Book Antiqua" w:eastAsia="Book Antiqua" w:hAnsi="Book Antiqua" w:cs="Book Antiqua"/>
          <w:color w:val="000000"/>
        </w:rPr>
        <w:t xml:space="preserve"> and</w:t>
      </w:r>
      <w:r w:rsidR="00B0444B" w:rsidRPr="00BC5299">
        <w:rPr>
          <w:rFonts w:ascii="Book Antiqua" w:eastAsia="Book Antiqua" w:hAnsi="Book Antiqua" w:cs="Book Antiqua"/>
          <w:color w:val="000000"/>
        </w:rPr>
        <w:t xml:space="preserve"> Data System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(0.19)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(0.65);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(3)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946E18">
        <w:rPr>
          <w:rFonts w:ascii="Book Antiqua" w:eastAsiaTheme="minorEastAsia" w:hAnsi="Book Antiqua" w:cs="Book Antiqua" w:hint="eastAsia"/>
          <w:color w:val="000000"/>
          <w:lang w:eastAsia="zh-CN"/>
        </w:rPr>
        <w:t>L</w:t>
      </w:r>
      <w:r w:rsidRPr="00BC5299">
        <w:rPr>
          <w:rFonts w:ascii="Book Antiqua" w:eastAsia="Book Antiqua" w:hAnsi="Book Antiqua" w:cs="Book Antiqua"/>
          <w:color w:val="000000"/>
        </w:rPr>
        <w:t>ogistic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regression,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(0.29)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(0.20);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(4)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946E18">
        <w:rPr>
          <w:rFonts w:ascii="Book Antiqua" w:eastAsiaTheme="minorEastAsia" w:hAnsi="Book Antiqua" w:cs="Book Antiqua" w:hint="eastAsia"/>
          <w:color w:val="000000"/>
          <w:lang w:eastAsia="zh-CN"/>
        </w:rPr>
        <w:t>R</w:t>
      </w:r>
      <w:r w:rsidRPr="00BC5299">
        <w:rPr>
          <w:rFonts w:ascii="Book Antiqua" w:eastAsia="Book Antiqua" w:hAnsi="Book Antiqua" w:cs="Book Antiqua"/>
          <w:color w:val="000000"/>
        </w:rPr>
        <w:t>andom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forest,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(0.40)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(0.30);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(5)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946E18">
        <w:rPr>
          <w:rFonts w:ascii="Book Antiqua" w:eastAsiaTheme="minorEastAsia" w:hAnsi="Book Antiqua" w:cs="Book Antiqua" w:hint="eastAsia"/>
          <w:color w:val="000000"/>
          <w:lang w:eastAsia="zh-CN"/>
        </w:rPr>
        <w:t>N</w:t>
      </w:r>
      <w:r w:rsidRPr="00BC5299">
        <w:rPr>
          <w:rFonts w:ascii="Book Antiqua" w:eastAsia="Book Antiqua" w:hAnsi="Book Antiqua" w:cs="Book Antiqua"/>
          <w:color w:val="000000"/>
        </w:rPr>
        <w:t>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(0.95)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(0.90).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indicated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analyze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characteristics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primary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evaluate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existence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newly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non-small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0.74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±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0.32,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±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0.16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0.80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±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0.17,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respectively;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0.45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±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0.08,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0.79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±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0.06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0.63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±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0.05,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respectively.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distant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(24%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prophase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45%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monitoring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period).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(91%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group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79%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follow-up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group),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PPV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follow-up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(54.5%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68.6</w:t>
      </w:r>
      <w:r w:rsidR="00B0444B">
        <w:rPr>
          <w:rFonts w:ascii="Book Antiqua" w:eastAsia="Book Antiqua" w:hAnsi="Book Antiqua" w:cs="Book Antiqua"/>
          <w:color w:val="000000"/>
        </w:rPr>
        <w:t>%</w:t>
      </w:r>
      <w:r w:rsidRPr="00BC5299">
        <w:rPr>
          <w:rFonts w:ascii="Book Antiqua" w:eastAsia="Book Antiqua" w:hAnsi="Book Antiqua" w:cs="Book Antiqua"/>
          <w:color w:val="000000"/>
        </w:rPr>
        <w:t>).</w:t>
      </w:r>
    </w:p>
    <w:p w:rsidR="00897A3A" w:rsidRPr="00BC5299" w:rsidRDefault="00897A3A" w:rsidP="00BC5299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OTHER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SOLID</w:t>
      </w:r>
      <w:r w:rsidR="00FE381C"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TUMORS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Hepatocellular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carcinoma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29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texture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analysis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contrast-enhanced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magnetic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resonance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considered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hepatocellular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before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chemoembolization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(TACE)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treatment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evaluation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complete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remission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incomplete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remission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0444B">
        <w:rPr>
          <w:rFonts w:ascii="Book Antiqua" w:eastAsia="Book Antiqua" w:hAnsi="Book Antiqua" w:cs="Book Antiqua"/>
          <w:color w:val="000000"/>
        </w:rPr>
        <w:t>wa</w:t>
      </w:r>
      <w:r w:rsidRPr="00BC5299">
        <w:rPr>
          <w:rFonts w:ascii="Book Antiqua" w:eastAsia="Book Antiqua" w:hAnsi="Book Antiqua" w:cs="Book Antiqua"/>
          <w:color w:val="000000"/>
        </w:rPr>
        <w:t>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0.76.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Preoperative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dynamic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texture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analysis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0444B" w:rsidRPr="00BC5299">
        <w:rPr>
          <w:rFonts w:ascii="Book Antiqua" w:eastAsia="Book Antiqua" w:hAnsi="Book Antiqua" w:cs="Book Antiqua"/>
          <w:color w:val="000000"/>
        </w:rPr>
        <w:t>hepatocellular 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certain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Peng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technique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(transfer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compensated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result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insufficient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information.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Further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three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groups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(one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training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two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validation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sets)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showed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0444B">
        <w:rPr>
          <w:rFonts w:ascii="Book Antiqua" w:eastAsia="Book Antiqua" w:hAnsi="Book Antiqua" w:cs="Book Antiqua"/>
          <w:color w:val="000000"/>
        </w:rPr>
        <w:t>c</w:t>
      </w:r>
      <w:r w:rsidRPr="00BC5299">
        <w:rPr>
          <w:rFonts w:ascii="Book Antiqua" w:eastAsia="Book Antiqua" w:hAnsi="Book Antiqua" w:cs="Book Antiqua"/>
          <w:color w:val="000000"/>
        </w:rPr>
        <w:t>omplete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(0.97</w:t>
      </w:r>
      <w:r w:rsidR="00B0444B">
        <w:rPr>
          <w:rFonts w:ascii="Book Antiqua" w:eastAsia="Book Antiqua" w:hAnsi="Book Antiqua" w:cs="Book Antiqua"/>
          <w:color w:val="000000"/>
        </w:rPr>
        <w:t xml:space="preserve">, </w:t>
      </w:r>
      <w:r w:rsidRPr="00BC5299">
        <w:rPr>
          <w:rFonts w:ascii="Book Antiqua" w:eastAsia="Book Antiqua" w:hAnsi="Book Antiqua" w:cs="Book Antiqua"/>
          <w:color w:val="000000"/>
        </w:rPr>
        <w:t>0.98</w:t>
      </w:r>
      <w:r w:rsidR="00B0444B">
        <w:rPr>
          <w:rFonts w:ascii="Book Antiqua" w:eastAsia="Book Antiqua" w:hAnsi="Book Antiqua" w:cs="Book Antiqua"/>
          <w:color w:val="000000"/>
        </w:rPr>
        <w:t xml:space="preserve">, </w:t>
      </w:r>
      <w:r w:rsidRPr="00BC5299">
        <w:rPr>
          <w:rFonts w:ascii="Book Antiqua" w:eastAsia="Book Antiqua" w:hAnsi="Book Antiqua" w:cs="Book Antiqua"/>
          <w:color w:val="000000"/>
        </w:rPr>
        <w:t>0.97),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partial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(0.96</w:t>
      </w:r>
      <w:r w:rsidR="00B0444B">
        <w:rPr>
          <w:rFonts w:ascii="Book Antiqua" w:eastAsia="Book Antiqua" w:hAnsi="Book Antiqua" w:cs="Book Antiqua"/>
          <w:color w:val="000000"/>
        </w:rPr>
        <w:t xml:space="preserve">, </w:t>
      </w:r>
      <w:r w:rsidRPr="00BC5299">
        <w:rPr>
          <w:rFonts w:ascii="Book Antiqua" w:eastAsia="Book Antiqua" w:hAnsi="Book Antiqua" w:cs="Book Antiqua"/>
          <w:color w:val="000000"/>
        </w:rPr>
        <w:t>0.96</w:t>
      </w:r>
      <w:r w:rsidR="00B0444B">
        <w:rPr>
          <w:rFonts w:ascii="Book Antiqua" w:eastAsia="Book Antiqua" w:hAnsi="Book Antiqua" w:cs="Book Antiqua"/>
          <w:color w:val="000000"/>
        </w:rPr>
        <w:t xml:space="preserve">, </w:t>
      </w:r>
      <w:r w:rsidRPr="00BC5299">
        <w:rPr>
          <w:rFonts w:ascii="Book Antiqua" w:eastAsia="Book Antiqua" w:hAnsi="Book Antiqua" w:cs="Book Antiqua"/>
          <w:color w:val="000000"/>
        </w:rPr>
        <w:t>0.96),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stable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condition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(0.95</w:t>
      </w:r>
      <w:r w:rsidR="00B0444B">
        <w:rPr>
          <w:rFonts w:ascii="Book Antiqua" w:eastAsia="Book Antiqua" w:hAnsi="Book Antiqua" w:cs="Book Antiqua"/>
          <w:color w:val="000000"/>
        </w:rPr>
        <w:t xml:space="preserve">, </w:t>
      </w:r>
      <w:r w:rsidRPr="00BC5299">
        <w:rPr>
          <w:rFonts w:ascii="Book Antiqua" w:eastAsia="Book Antiqua" w:hAnsi="Book Antiqua" w:cs="Book Antiqua"/>
          <w:color w:val="000000"/>
        </w:rPr>
        <w:t>0.95</w:t>
      </w:r>
      <w:r w:rsidR="00B0444B">
        <w:rPr>
          <w:rFonts w:ascii="Book Antiqua" w:eastAsia="Book Antiqua" w:hAnsi="Book Antiqua" w:cs="Book Antiqua"/>
          <w:color w:val="000000"/>
        </w:rPr>
        <w:t xml:space="preserve">, </w:t>
      </w:r>
      <w:r w:rsidRPr="00BC5299">
        <w:rPr>
          <w:rFonts w:ascii="Book Antiqua" w:eastAsia="Book Antiqua" w:hAnsi="Book Antiqua" w:cs="Book Antiqua"/>
          <w:color w:val="000000"/>
        </w:rPr>
        <w:t>0.94)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disease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progression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(0.96</w:t>
      </w:r>
      <w:r w:rsidR="00B0444B">
        <w:rPr>
          <w:rFonts w:ascii="Book Antiqua" w:eastAsia="Book Antiqua" w:hAnsi="Book Antiqua" w:cs="Book Antiqua"/>
          <w:color w:val="000000"/>
        </w:rPr>
        <w:t xml:space="preserve">, </w:t>
      </w:r>
      <w:r w:rsidRPr="00BC5299">
        <w:rPr>
          <w:rFonts w:ascii="Book Antiqua" w:eastAsia="Book Antiqua" w:hAnsi="Book Antiqua" w:cs="Book Antiqua"/>
          <w:color w:val="000000"/>
        </w:rPr>
        <w:t>0.94</w:t>
      </w:r>
      <w:r w:rsidR="00B0444B">
        <w:rPr>
          <w:rFonts w:ascii="Book Antiqua" w:eastAsia="Book Antiqua" w:hAnsi="Book Antiqua" w:cs="Book Antiqua"/>
          <w:color w:val="000000"/>
        </w:rPr>
        <w:t xml:space="preserve">, </w:t>
      </w:r>
      <w:r w:rsidRPr="00BC5299">
        <w:rPr>
          <w:rFonts w:ascii="Book Antiqua" w:eastAsia="Book Antiqua" w:hAnsi="Book Antiqua" w:cs="Book Antiqua"/>
          <w:color w:val="000000"/>
        </w:rPr>
        <w:t>0.97);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simultaneously,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reached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84</w:t>
      </w:r>
      <w:r w:rsidR="00B0444B">
        <w:rPr>
          <w:rFonts w:ascii="Book Antiqua" w:eastAsia="Book Antiqua" w:hAnsi="Book Antiqua" w:cs="Book Antiqua"/>
          <w:color w:val="000000"/>
        </w:rPr>
        <w:t>.0</w:t>
      </w:r>
      <w:r w:rsidRPr="00BC5299">
        <w:rPr>
          <w:rFonts w:ascii="Book Antiqua" w:eastAsia="Book Antiqua" w:hAnsi="Book Antiqua" w:cs="Book Antiqua"/>
          <w:color w:val="000000"/>
        </w:rPr>
        <w:t>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85.1%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82.8%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Therefore,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physicians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preliminarily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estimate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initial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0444B" w:rsidRPr="00BC5299">
        <w:rPr>
          <w:rFonts w:ascii="Book Antiqua" w:eastAsia="Book Antiqua" w:hAnsi="Book Antiqua" w:cs="Book Antiqua"/>
          <w:color w:val="000000"/>
        </w:rPr>
        <w:t>hepatocellular 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therapeutic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effect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TACE.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9" w:name="OLE_LINK18"/>
      <w:bookmarkStart w:id="20" w:name="OLE_LINK19"/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Cervical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bookmarkEnd w:id="19"/>
    <w:bookmarkEnd w:id="20"/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299">
        <w:rPr>
          <w:rFonts w:ascii="Book Antiqua" w:eastAsia="Book Antiqua" w:hAnsi="Book Antiqua" w:cs="Book Antiqua"/>
          <w:color w:val="000000"/>
        </w:rPr>
        <w:t>Colposcopy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widely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cervical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intraepithelial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neoplasia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guide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cervical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women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suspected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cytological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abnormalities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0444B">
        <w:rPr>
          <w:rFonts w:ascii="Book Antiqua" w:eastAsia="Book Antiqua" w:hAnsi="Book Antiqua" w:cs="Book Antiqua"/>
          <w:color w:val="000000"/>
        </w:rPr>
        <w:t xml:space="preserve">human papillomavirus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infection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55,56]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low-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middle-income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countries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lack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tools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colposcopy,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cervical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0444B" w:rsidRPr="00BC5299">
        <w:rPr>
          <w:rFonts w:ascii="Book Antiqua" w:eastAsia="Book Antiqua" w:hAnsi="Book Antiqua" w:cs="Book Antiqua"/>
          <w:color w:val="000000"/>
        </w:rPr>
        <w:t xml:space="preserve">cervical intraepithelial </w:t>
      </w:r>
      <w:proofErr w:type="spellStart"/>
      <w:r w:rsidR="00B0444B" w:rsidRPr="00BC5299">
        <w:rPr>
          <w:rFonts w:ascii="Book Antiqua" w:eastAsia="Book Antiqua" w:hAnsi="Book Antiqua" w:cs="Book Antiqua"/>
          <w:color w:val="000000"/>
        </w:rPr>
        <w:t>neoplasia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quite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(30%-70%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)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development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AI-guided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7F1082"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support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vector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machine)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digital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colposcopy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bottlenecks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screening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effectiveness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cervical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understand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characteristics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20"/>
      <w:bookmarkStart w:id="22" w:name="OLE_LINK21"/>
      <w:r w:rsidRPr="00BC5299">
        <w:rPr>
          <w:rFonts w:ascii="Book Antiqua" w:eastAsia="Book Antiqua" w:hAnsi="Book Antiqua" w:cs="Book Antiqua"/>
          <w:color w:val="000000"/>
        </w:rPr>
        <w:t>cervical</w:t>
      </w:r>
      <w:bookmarkEnd w:id="21"/>
      <w:bookmarkEnd w:id="22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lesions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Another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advantage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“real-time”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report,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continues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optimize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ED560E"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D560E" w:rsidRPr="00BC5299">
        <w:rPr>
          <w:rFonts w:ascii="Book Antiqua" w:eastAsia="Book Antiqua" w:hAnsi="Book Antiqua" w:cs="Book Antiqua"/>
          <w:color w:val="000000"/>
        </w:rPr>
        <w:t>workflows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299">
        <w:rPr>
          <w:rFonts w:ascii="Book Antiqua" w:eastAsia="Book Antiqua" w:hAnsi="Book Antiqua" w:cs="Book Antiqua"/>
          <w:color w:val="000000"/>
        </w:rPr>
        <w:t>Accurate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segmentation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pancreas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important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training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assisted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guidance.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Wolz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5041C9" w:rsidRPr="00BC5299">
        <w:rPr>
          <w:rFonts w:ascii="Book Antiqua" w:eastAsia="Book Antiqua" w:hAnsi="Book Antiqua" w:cs="Book Antiqua"/>
          <w:color w:val="000000"/>
        </w:rPr>
        <w:t>multi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5041C9" w:rsidRPr="00BC5299">
        <w:rPr>
          <w:rFonts w:ascii="Book Antiqua" w:eastAsia="Book Antiqua" w:hAnsi="Book Antiqua" w:cs="Book Antiqua"/>
          <w:color w:val="000000"/>
        </w:rPr>
        <w:t>atlas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achieved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similarity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coefficient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(DSC)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0.70.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Summers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reached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DSC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0.78%.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proposed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interactive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convolutional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segmentation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pancreas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achieve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satisfactory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results.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Boers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assumed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latest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interactive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U-Net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structure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B0444B" w:rsidRPr="00BC5299">
        <w:rPr>
          <w:rFonts w:ascii="Book Antiqua" w:eastAsia="Book Antiqua" w:hAnsi="Book Antiqua" w:cs="Book Antiqua"/>
          <w:color w:val="000000"/>
        </w:rPr>
        <w:t>interactive fully convolutional network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because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produce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initial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segmentation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(DSC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78.1%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±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8.7%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DSC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72.3%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±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11.4%),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achieving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faster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division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(i</w:t>
      </w:r>
      <w:r w:rsidR="00B0444B">
        <w:rPr>
          <w:rFonts w:ascii="Book Antiqua" w:eastAsia="Book Antiqua" w:hAnsi="Book Antiqua" w:cs="Book Antiqua"/>
          <w:color w:val="000000"/>
        </w:rPr>
        <w:t xml:space="preserve">nteractive </w:t>
      </w:r>
      <w:r w:rsidRPr="00BC5299">
        <w:rPr>
          <w:rFonts w:ascii="Book Antiqua" w:eastAsia="Book Antiqua" w:hAnsi="Book Antiqua" w:cs="Book Antiqua"/>
          <w:color w:val="000000"/>
        </w:rPr>
        <w:t>U-net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86%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DSC,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segmentation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87.5%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DSC).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average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48.4%,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simultaneously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visceral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boundary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between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pancreas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surrounding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tissues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segmentation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Histopathology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gold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standard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evaluation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</w:t>
      </w:r>
      <w:r w:rsidR="00722D14">
        <w:rPr>
          <w:rFonts w:ascii="Book Antiqua" w:eastAsia="Book Antiqua" w:hAnsi="Book Antiqua" w:cs="Book Antiqua"/>
          <w:color w:val="000000"/>
        </w:rPr>
        <w:t xml:space="preserve">orld </w:t>
      </w:r>
      <w:r w:rsidRPr="00BC5299">
        <w:rPr>
          <w:rFonts w:ascii="Book Antiqua" w:eastAsia="Book Antiqua" w:hAnsi="Book Antiqua" w:cs="Book Antiqua"/>
          <w:color w:val="000000"/>
        </w:rPr>
        <w:t>H</w:t>
      </w:r>
      <w:r w:rsidR="00722D14">
        <w:rPr>
          <w:rFonts w:ascii="Book Antiqua" w:eastAsia="Book Antiqua" w:hAnsi="Book Antiqua" w:cs="Book Antiqua"/>
          <w:color w:val="000000"/>
        </w:rPr>
        <w:t xml:space="preserve">ealth </w:t>
      </w:r>
      <w:r w:rsidRPr="00BC5299">
        <w:rPr>
          <w:rFonts w:ascii="Book Antiqua" w:eastAsia="Book Antiqua" w:hAnsi="Book Antiqua" w:cs="Book Antiqua"/>
          <w:color w:val="000000"/>
        </w:rPr>
        <w:t>O</w:t>
      </w:r>
      <w:r w:rsidR="00722D14">
        <w:rPr>
          <w:rFonts w:ascii="Book Antiqua" w:eastAsia="Book Antiqua" w:hAnsi="Book Antiqua" w:cs="Book Antiqua"/>
          <w:color w:val="000000"/>
        </w:rPr>
        <w:t>rganization</w:t>
      </w:r>
      <w:r w:rsidRPr="00BC5299">
        <w:rPr>
          <w:rFonts w:ascii="Book Antiqua" w:eastAsia="Book Antiqua" w:hAnsi="Book Antiqua" w:cs="Book Antiqua"/>
          <w:color w:val="000000"/>
        </w:rPr>
        <w:t>/I</w:t>
      </w:r>
      <w:r w:rsidR="00722D14">
        <w:rPr>
          <w:rFonts w:ascii="Book Antiqua" w:eastAsia="Book Antiqua" w:hAnsi="Book Antiqua" w:cs="Book Antiqua"/>
          <w:color w:val="000000"/>
        </w:rPr>
        <w:t xml:space="preserve">nternational </w:t>
      </w:r>
      <w:r w:rsidRPr="00BC5299">
        <w:rPr>
          <w:rFonts w:ascii="Book Antiqua" w:eastAsia="Book Antiqua" w:hAnsi="Book Antiqua" w:cs="Book Antiqua"/>
          <w:color w:val="000000"/>
        </w:rPr>
        <w:t>S</w:t>
      </w:r>
      <w:r w:rsidR="00722D14">
        <w:rPr>
          <w:rFonts w:ascii="Book Antiqua" w:eastAsia="Book Antiqua" w:hAnsi="Book Antiqua" w:cs="Book Antiqua"/>
          <w:color w:val="000000"/>
        </w:rPr>
        <w:t xml:space="preserve">ociety of </w:t>
      </w:r>
      <w:r w:rsidRPr="00BC5299">
        <w:rPr>
          <w:rFonts w:ascii="Book Antiqua" w:eastAsia="Book Antiqua" w:hAnsi="Book Antiqua" w:cs="Book Antiqua"/>
          <w:color w:val="000000"/>
        </w:rPr>
        <w:t>U</w:t>
      </w:r>
      <w:r w:rsidR="00722D14">
        <w:rPr>
          <w:rFonts w:ascii="Book Antiqua" w:eastAsia="Book Antiqua" w:hAnsi="Book Antiqua" w:cs="Book Antiqua"/>
          <w:color w:val="000000"/>
        </w:rPr>
        <w:t xml:space="preserve">rological </w:t>
      </w:r>
      <w:r w:rsidRPr="00BC5299">
        <w:rPr>
          <w:rFonts w:ascii="Book Antiqua" w:eastAsia="Book Antiqua" w:hAnsi="Book Antiqua" w:cs="Book Antiqua"/>
          <w:color w:val="000000"/>
        </w:rPr>
        <w:t>P</w:t>
      </w:r>
      <w:r w:rsidR="00722D14">
        <w:rPr>
          <w:rFonts w:ascii="Book Antiqua" w:eastAsia="Book Antiqua" w:hAnsi="Book Antiqua" w:cs="Book Antiqua"/>
          <w:color w:val="000000"/>
        </w:rPr>
        <w:t>athology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grading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carcinoma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64-66]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indications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describe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grading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722D14" w:rsidRPr="00BC5299">
        <w:rPr>
          <w:rFonts w:ascii="Book Antiqua" w:eastAsia="Book Antiqua" w:hAnsi="Book Antiqua" w:cs="Book Antiqua"/>
          <w:color w:val="000000"/>
        </w:rPr>
        <w:t>clear cell renal cell 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often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influenced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subjective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factors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67-70]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Cui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studied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0806DE" w:rsidRPr="00BC5299">
        <w:rPr>
          <w:rFonts w:ascii="Book Antiqua" w:eastAsia="Book Antiqua" w:hAnsi="Book Antiqua" w:cs="Book Antiqua"/>
          <w:color w:val="000000"/>
        </w:rPr>
        <w:t>machine 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algorithm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extract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analyze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profiles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tiny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Further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grading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722D14" w:rsidRPr="00BC5299">
        <w:rPr>
          <w:rFonts w:ascii="Book Antiqua" w:eastAsia="Book Antiqua" w:hAnsi="Book Antiqua" w:cs="Book Antiqua"/>
          <w:color w:val="000000"/>
        </w:rPr>
        <w:t>clear cell renal cell 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multiparameter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</w:t>
      </w:r>
      <w:r w:rsidR="00643AB2">
        <w:rPr>
          <w:rFonts w:ascii="Book Antiqua" w:eastAsia="Book Antiqua" w:hAnsi="Book Antiqua" w:cs="Book Antiqua"/>
          <w:color w:val="000000"/>
        </w:rPr>
        <w:t>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multiphase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0806DE" w:rsidRPr="00BC5299">
        <w:rPr>
          <w:rFonts w:ascii="Book Antiqua" w:eastAsia="Book Antiqua" w:hAnsi="Book Antiqua" w:cs="Book Antiqua"/>
          <w:color w:val="000000"/>
        </w:rPr>
        <w:t>machine 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provides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valuable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noninvasive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assessment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clinicians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preoperative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tumors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299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BC5299">
        <w:rPr>
          <w:rFonts w:ascii="Book Antiqua" w:eastAsia="Book Antiqua" w:hAnsi="Book Antiqua" w:cs="Book Antiqua"/>
          <w:color w:val="000000"/>
        </w:rPr>
        <w:t>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characteristics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efficiency,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specificity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sensitivity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After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integration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optimizes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workflows,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decreases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discrepancy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between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readers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reduces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misdiagnosis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rate,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helps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clinicians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effectively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choose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appropriate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therapeutic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strategies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accurately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(Table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improvements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great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advantages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convenience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ED560E"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current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precision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medicine.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Nevertheless,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problems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still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exist.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example,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FPR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morphology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uneven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mucosal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background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failure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calcification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because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defects.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Therefore,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cannot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complete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replacement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human</w:t>
      </w:r>
      <w:r w:rsidR="00643AB2">
        <w:rPr>
          <w:rFonts w:ascii="Book Antiqua" w:eastAsia="Book Antiqua" w:hAnsi="Book Antiqua" w:cs="Book Antiqua"/>
          <w:color w:val="000000"/>
        </w:rPr>
        <w:t>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contemporary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situation.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believe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continuous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technology,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better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prospects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limited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="00643AB2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tumors.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REFERENCES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3" w:name="OLE_LINK2828"/>
      <w:bookmarkStart w:id="24" w:name="OLE_LINK2829"/>
      <w:r w:rsidRPr="00BC5299">
        <w:rPr>
          <w:rFonts w:ascii="Book Antiqua" w:eastAsia="Book Antiqua" w:hAnsi="Book Antiqua" w:cs="Book Antiqua"/>
          <w:color w:val="000000"/>
        </w:rPr>
        <w:t>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HX.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pancreatic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where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going?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231-241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28240774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10.1002/ijc.30670]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MQ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Cooper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Young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Precision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Oncology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beyond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Targeted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Therapy: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Combining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Omics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Machine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Matches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Majority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Effective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Therapeutics.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2018;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269-278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29133589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10.1158/1541-7786.MCR-17-0378]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Bibault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Giraud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Burgun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machine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oncology: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prospects.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Lett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2016;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110-117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27241666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10.1016/j.canlet.2016.05.033]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Fröhlich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Balling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Beerenwinkel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Kohlbacher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Kumar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Lengauer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Maathuis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Moreau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Murphy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Przytycka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Rebhan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Röst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Schuppert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Schwab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Spang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Stekhoven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Weber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Ziemek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Zupan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hype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reality: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science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enabling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personalized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medicine.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2018;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30145981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10.1186/s12916-018-1122-7]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5299">
        <w:rPr>
          <w:rFonts w:ascii="Book Antiqua" w:eastAsia="Book Antiqua" w:hAnsi="Book Antiqua" w:cs="Book Antiqua"/>
          <w:color w:val="000000"/>
        </w:rPr>
        <w:t>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Feng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Non-coding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RNAs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regulating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Chim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2019;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496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125-133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31276633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10.1016/j.cca.2019.07.003]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Du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Hou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Tian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Cui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Sheng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Zou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Xia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ZS;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Chinese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Chronic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Research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group.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Chronic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China: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multi-center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survey.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2014;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24502423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10.1186/1471-230X-14-21]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lastRenderedPageBreak/>
        <w:t>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Yuan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chronic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566-572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32061504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10.1016/j.dld.2019.12.146]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Guimarães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Keller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Fehlmann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Lammert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Casper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Deep-learning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precancerous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conditions.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4-6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31375599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10.1136/gutjnl-2019-319347]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Gong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Jiang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confocal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laser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endomicroscopy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narrow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chromoendoscopy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2015;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379-386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25485568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10.1097/MCG.0000000000000164]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5299">
        <w:rPr>
          <w:rFonts w:ascii="Book Antiqua" w:eastAsia="Book Antiqua" w:hAnsi="Book Antiqua" w:cs="Book Antiqua"/>
          <w:color w:val="000000"/>
        </w:rPr>
        <w:t>10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Billah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Waheed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Rahman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MM.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Automatic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Gastrointestinal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Polyp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Video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Wavelet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Convolutional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Features.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9545920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28894460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10.1155/2017/9545920]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11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Urban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Tripathi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Alkayali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Mittal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Jalali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Karnes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Localizes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Identifies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Polyps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96%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Screening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Colonoscopy.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2018;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1069-1078.e8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29928897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10.1053/j.gastro.2018.06.037]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12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Lahner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Grossi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Intraligi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Buscema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Corleto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Annibale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Possible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contribution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linear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discriminant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analysis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recognition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suspected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atrophic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body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2005;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5867-5873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16270400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10.3748/wjg.v11.i37.5867]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13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Muto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Minashi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Yano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Saito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Oda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Nonaka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Omori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Sugiura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Goda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Inoue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Ishikawa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Ochiai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Shimoda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Watanabe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Tajiri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Saito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superficial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squamous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head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neck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region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esophagus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narrow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multicenter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randomized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controlled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trial.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1566-1572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20177025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10.1200/JCO.2009.25.4680]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14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Ohmori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Ishihara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Aoyama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Nakagawa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Iwagami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Matsuura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Shichijo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Yamamoto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Nagaike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Nakahara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Inoue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Aoi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Okada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differentiation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esophageal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301-309.e1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31585124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10.1016/j.gie.2019.09.034]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15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Ishihara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Takeuchi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Chatani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Kidu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Inoue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Hanaoka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Yamamoto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Higashino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Uedo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Iishi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Tatsuta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Tomita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Ishiguro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Prospective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evaluation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narrow-band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screening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esophageal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squamous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mucosal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high-grade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neoplasia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experienced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experienced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endoscopists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480-486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20095991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10.1111/j.1442-2050.2009.01039.x]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16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Fukuda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Ishihara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Kato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Matsunaga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Nishida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Yamada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Ogiyama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Horie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Kinoshita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Comparison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versus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endoscopists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real-time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assisted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esophageal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squamous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video).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848-855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32505685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10.1016/j.gie.2020.05.043]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17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Iwagami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Ishihara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Aoyama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Fukuda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Shimamoto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Nakahira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Matsuura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Shichijo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Kanesaka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Kanzaki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Ishii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Nakatani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esophageal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esophagogastric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junctional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adenocarcinoma.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2021;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131-136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32511793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10.1111/jgh.15136]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18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Abe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Oda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endoscopists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adapt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collaborate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detection?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2021;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98-99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32455500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10.1111/den.13751]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19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Horiuchi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Hirasawa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Ishizuka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Tokai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Namikawa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Yoshimizu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Ishiyama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Yoshio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Tsuchida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Fujisaki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computer-aided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magnifying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videos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narrow-band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videos).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856-865.e1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32422155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10.1016/j.gie.2020.04.079]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20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Horiuchi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Aoyama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Tokai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Hirasawa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Yoshimizu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Ishiyama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Yoshio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Tsuchida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Fujisaki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Convolutional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Differentiating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Gastritis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Magnified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Narrow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Imaging.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1355-1363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31584138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10.1007/s10620-019-05862-6]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5299">
        <w:rPr>
          <w:rFonts w:ascii="Book Antiqua" w:eastAsia="Book Antiqua" w:hAnsi="Book Antiqua" w:cs="Book Antiqua"/>
          <w:color w:val="000000"/>
        </w:rPr>
        <w:t>21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Shahidi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Rex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Kaltenbach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Rastogi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Ghalehjegh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Byrne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MF.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Impression,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Interpretation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Resolve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Discrepancies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Between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Endoscopy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Analyses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Diminutive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Polyps.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783-785.e1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31863741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10.1053/j.gastro.2019.10.024]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22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Kim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Baik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GH.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Automated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Neoplasms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White-Light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Colonoscopy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32456309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10.3390/jcm9051593]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23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Zhou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Evaluation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Circumferential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Margin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Faster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Region-Based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Convolutional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High-Resolution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Magnetic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Resonance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143-151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31842158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10.1097/DCR.0000000000001519]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24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Guillem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Moore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Akhurst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Ruo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Mazumdar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Minsky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Saltz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Larson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Sequential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preoperative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fluorodeoxyglucose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-positron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emission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tomography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assessment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preoperative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chemoradiation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means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determining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longterm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outcomes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2004;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1-7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15217621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10.1016/j.jamcollsurg.2004.02.024]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25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Capirci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Rampin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Erba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Galeotti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Crepaldi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Banti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Gava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Fanti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Mariani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Muzzio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Rubello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Sequential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FDG-PET/CT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reliably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locally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advanced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neo-adjuvant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chemo-radiation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therapy.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2007;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1583-1593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17503039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10.1007/s00259-007-0426-1]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26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Joye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Deroose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Vandecaveye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Haustermans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role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diffusion-weighted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(18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)F</w:t>
      </w:r>
      <w:proofErr w:type="gramEnd"/>
      <w:r w:rsidRPr="00BC5299">
        <w:rPr>
          <w:rFonts w:ascii="Book Antiqua" w:eastAsia="Book Antiqua" w:hAnsi="Book Antiqua" w:cs="Book Antiqua"/>
          <w:color w:val="000000"/>
        </w:rPr>
        <w:t>-FDG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PET/CT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complete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after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radiochemotherapy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systematic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2014;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158-165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25483833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10.1016/j.radonc.2014.11.026]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5299">
        <w:rPr>
          <w:rFonts w:ascii="Book Antiqua" w:eastAsia="Book Antiqua" w:hAnsi="Book Antiqua" w:cs="Book Antiqua"/>
          <w:color w:val="000000"/>
        </w:rPr>
        <w:lastRenderedPageBreak/>
        <w:t>27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Williams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BC5299">
        <w:rPr>
          <w:rFonts w:ascii="Book Antiqua" w:eastAsia="Book Antiqua" w:hAnsi="Book Antiqua" w:cs="Book Antiqua"/>
          <w:color w:val="000000"/>
        </w:rPr>
        <w:t>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random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forests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aviation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turbulence.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Mach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Learn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2014;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51-70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26549933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10.1007/s10994-013-5346-7]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28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Shen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WC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Feng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Hsieh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Kao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complete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after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random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forest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BC5299">
        <w:rPr>
          <w:rFonts w:ascii="Book Antiqua" w:eastAsia="Book Antiqua" w:hAnsi="Book Antiqua" w:cs="Book Antiqua"/>
          <w:color w:val="000000"/>
        </w:rPr>
        <w:t>F-fluorodeoxyglucose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positron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emission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tomography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computed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tomography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32309354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10.21037/atm.2020.01.107]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29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LQ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Cui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Dietrich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CF.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Primary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294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19-28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31746687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10.1148/radiol.2019190372]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Mango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VL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Wynn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Should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Ignore,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Follow,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Biopsy?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Impact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Decision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Support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Assessment.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214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1445-1452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32319794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10.2214/AJR.19.21872]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Adachi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Fujioka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Kubota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Kikuchi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Xiaotong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Oyama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Kimura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Oda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Nakagawa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Uetake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assessment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Maximum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Intensity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Projection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Dynamic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Contrast-Enhanced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Magnetic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Resonance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Diagnostics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32443922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10.3390/diagnostics10050330]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Penco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Rotili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Pesapane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Trentin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Dominelli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Faggian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Farina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Marinucci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Bozzini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Pizzamiglio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Ierardi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Cassano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MRI-guided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vacuum-assisted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experience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single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tertiary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referral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prospects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future.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32221708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10.1007/s12032-020-01358-w]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Hu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molybdenum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target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combined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DCE-MRI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types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Lett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2019;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4056-4063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31516606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10.3892/ol.2019.10746]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5299">
        <w:rPr>
          <w:rFonts w:ascii="Book Antiqua" w:eastAsia="Book Antiqua" w:hAnsi="Book Antiqua" w:cs="Book Antiqua"/>
          <w:color w:val="000000"/>
        </w:rPr>
        <w:t>34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Spick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C</w:t>
      </w:r>
      <w:proofErr w:type="gramEnd"/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Pinker-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Domenig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Rudas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Helbich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Baltzer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MRI-only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diffusion-weighted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obviates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unnecessary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MR-guided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biopsies.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2014;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1204-1210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24706105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10.1007/s00330-014-3153-6]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Sasaki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Tozaki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Rodríguez-Ruiz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Yotsumoto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Ichiki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Terawaki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Oosako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Sagara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Sagara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mammography: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experience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ScreenPoint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Transpara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Japanese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women.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642-651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32052311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10.1007/s12282-020-01061-8]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Rodriguez-Ruiz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Lång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Gubern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-Merida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Broeders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Gennaro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Clauser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Helbich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Chevalier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Mertelmeier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Wallis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Andersson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Zackrisson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Mann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Sechopoulos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Stand-Alone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Breast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Mammography: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Comparison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Radiologists.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Natl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Inst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2019;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916-922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30834436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/djy222]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Chung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Kim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Choi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Hahn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Jeon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Jung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Kim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Kim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Kwak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JY;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Korean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Society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KSThR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Korean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Society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Radiology.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Ultrasonography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Management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Nodules: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Korean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Society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Radiology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Consensus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Statement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Recommendations.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2016;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370-395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27134526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10.3348/kjr.2016.17.3.370]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Haugen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BR</w:t>
      </w:r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American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Association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Management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Guidelines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Adult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Nodules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Differentiated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changed?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372-381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27741354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10.1002/cncr.30360]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39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Barczyński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Stopa-Barczyńska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Wojtczak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Czarniecka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Konturek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validation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S-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Detect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semi-automated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office.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Gland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S77-S85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32175248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10.21037/gs.2019.12.23]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5299">
        <w:rPr>
          <w:rFonts w:ascii="Book Antiqua" w:eastAsia="Book Antiqua" w:hAnsi="Book Antiqua" w:cs="Book Antiqua"/>
          <w:color w:val="000000"/>
        </w:rPr>
        <w:t>40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HL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Real-World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Performance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Computer-Aided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Nodules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Ultrasonography.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2019;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2672-2678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31262524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10.1016/j.ultrasmedbio.2019.05.032]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lastRenderedPageBreak/>
        <w:t>41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Kim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Jung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Heo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Application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cervical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lymph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thyroid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external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validation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utility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resident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training.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3066-3072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32065285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10.1007/s00330-019-06652-4]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42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Kroenig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Schaal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Benndorf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Soschynski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Lenz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Krauss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Drendel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Kayser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Kurz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Werner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Wetterauer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Schultze-Seemann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Langer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Jilg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Robot-Guided,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Software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MRI/TRUS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Risk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Population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Previously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Negative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Men.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2016;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2384894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27990424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10.1155/2016/2384894]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43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Raciti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Ceballos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Godrich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Kunz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Kapur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Reuter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Grady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Kanan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Fuchs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TJ.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Novel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system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increases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whole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slide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needle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biopsies.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2058-2066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32393768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10.1038/s41379-020-0551-y]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44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Siddiqui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Rais-Bahrami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Turkbey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George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Rothwax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Shakir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Okoro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Raskolnikov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Parnes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Linehan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Merino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Simon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Choyke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Wood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Pinto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Comparison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MR/ultrasound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fusion-guided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ultrasound-guided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2015;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313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390-397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25626035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10.1001/jama.2014.17942]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45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Kasivisvanathan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Rannikko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Panebianco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Mynderse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Vaarala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Briganti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Budäus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Hellawell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Hindley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Roobol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Eggener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Ghei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Villers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Bladou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Villeirs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Virdi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Boxler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Robert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Singh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Venderink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Ruffion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Margolis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Crouzet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Klotz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Taneja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Pinto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Gill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Allen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Giganti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Freeman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Morris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Punwani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Williams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Brew-Graves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Deeks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Takwoingi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Emberton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Moore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CM;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PRECISION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Group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Collaborators.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MRI-Targeted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Standard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Prostate-Cancer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2018;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378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1767-1777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29552975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10.1056/NEJMoa1801993]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46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Sanford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Harmon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Turkbey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Kesani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Tuncer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Madariaga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Sackett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Mehralivand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Wood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Merino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Pinto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Choyke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Turkbey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Deep-Learning-Based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PI-RADS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Assist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Multiparametric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Interpretation: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Development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Magn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Reson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1499-1507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32478955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10.1002/jmri.27204]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47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Reda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Khalil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Elmogy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Abou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Fetouh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Shalaby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Abou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Ghar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Elmaghraby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Ghazal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Baz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Role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Technol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2018;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1533034618775530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29804518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10.1177/1533034618775530]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48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Weinreb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Kong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Searching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automated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magnetic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resonance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classification: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non-deep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15415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29133818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10.1038/s41598-017-15720-y]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49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Giovacchini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Guglielmo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Mapelli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Incerti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Gajate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AMS,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Giovannini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Riondato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Briganti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Gianolli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Ciarmiello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Picchio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BC5299">
        <w:rPr>
          <w:rFonts w:ascii="Book Antiqua" w:eastAsia="Book Antiqua" w:hAnsi="Book Antiqua" w:cs="Book Antiqua"/>
          <w:color w:val="000000"/>
        </w:rPr>
        <w:t>C-choline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PET/CT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survival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PSA</w:t>
      </w:r>
      <w:r w:rsidRPr="00BC5299">
        <w:rPr>
          <w:rFonts w:ascii="MS Gothic" w:eastAsia="MS Gothic" w:hAnsi="MS Gothic" w:cs="MS Gothic"/>
          <w:color w:val="000000"/>
        </w:rPr>
        <w:t> </w:t>
      </w:r>
      <w:r w:rsidRPr="00BC5299">
        <w:rPr>
          <w:rFonts w:ascii="Book Antiqua" w:eastAsia="Book Antiqua" w:hAnsi="Book Antiqua" w:cs="Book Antiqua"/>
          <w:color w:val="000000"/>
        </w:rPr>
        <w:t>&lt;</w:t>
      </w:r>
      <w:r w:rsidRPr="00BC5299">
        <w:rPr>
          <w:rFonts w:ascii="MS Gothic" w:eastAsia="MS Gothic" w:hAnsi="MS Gothic" w:cs="MS Gothic"/>
          <w:color w:val="000000"/>
        </w:rPr>
        <w:t> </w:t>
      </w:r>
      <w:r w:rsidRPr="00BC5299">
        <w:rPr>
          <w:rFonts w:ascii="Book Antiqua" w:eastAsia="Book Antiqua" w:hAnsi="Book Antiqua" w:cs="Book Antiqua"/>
          <w:color w:val="000000"/>
        </w:rPr>
        <w:t>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2019;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921-929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30631911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10.1007/s00259-018-4253-3]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50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Polymeri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Sadik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Kaboteh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Borrelli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Enqvist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Ulén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Ohlsson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Trägårdh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Poulsen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Simonsen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Hoilund-Carlsen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Johnsson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ÅA,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Edenbrandt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learning-based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quantification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PET/CT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prostate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gland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uptake: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association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overall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survival.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106-113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31794112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10.1111/cpf.12611]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51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Chauvie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Maggi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Baralis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Dalmasso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Berchialla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Priotto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Violino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Mazza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Melloni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Grosso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Study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team.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enhance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positive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digital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chest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tomosynthesis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detection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clinical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trial.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4134-4140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32166491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10.1007/s00330-020-06783-z]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52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Tau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Stundzia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Yasufuku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Hussey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Metser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Convolutional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Nodal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Distant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Metastatic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Potential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Newly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Non-Small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Lung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FDG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215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192-197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32348182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10.2214/AJR.19.22346]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53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Yu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Zhou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DJ.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texture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analysis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enhanced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early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therapeutic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transcatheter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arterial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chemoembolisation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combined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high-intensity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focused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ultrasound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treatment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hepatocellular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2018;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758.e9-758.e18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29804627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10.1016/j.crad.2018.04.013]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54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Peng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Gong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Residual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convolutional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neural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network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response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chemoembolization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hepatocellular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413-424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31332558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10.1007/s00330-019-06318-1]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55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Werner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Darragh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Guido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Mathews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Moscicki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Mitchell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Schiffman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Wentzensen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Massad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Mayeaux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EJ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Waxman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Conageski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Einstein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WK.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ASCCP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Colposcopy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Standards: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Role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Colposcopy,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Benefits,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Potential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Harms,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Terminology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Colposcopic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Practice.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Low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Genit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Tract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223-229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28953110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10.1097/LGT.0000000000000338]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56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Mayeaux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EJ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Jr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Novetsky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Chelmow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Garcia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Choma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Papasozomenos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Einstein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Massad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Wentzensen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Waxman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Conageski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Khan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WK.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ASCCP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Colposcopy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Standards: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Colposcopy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Quality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Improvement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Recommendations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United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States.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Low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Genit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Tract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242-248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28953113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10.1097/LGT.0000000000000342]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5299">
        <w:rPr>
          <w:rFonts w:ascii="Book Antiqua" w:eastAsia="Book Antiqua" w:hAnsi="Book Antiqua" w:cs="Book Antiqua"/>
          <w:color w:val="000000"/>
        </w:rPr>
        <w:t>57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BH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Tidy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JA.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diagnostic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colposcopy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-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research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methodology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impact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outcomes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quality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assurance.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2019;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182-186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31302386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10.1016/j.ejogrb.2019.07.003]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58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MTA,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challenges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colposcopy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cervical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cancer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screening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LMICs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solutions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intelligence.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169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32493320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10.1186/s12916-020-01613-x]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59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Wolz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Misawa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Fujiwara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Mori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Rueckert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Automated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abdominal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multi-organ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segmentation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subject-specific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atlas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generation.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2013;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1723-1730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23744670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10.1109/TMI.2013.2265805]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60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Summers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Elton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Bagheri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Sandfort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Grayson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Mehta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Pinto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Linehan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Perez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Graffy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O'Connor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SD,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Pickhardt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PJ.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Atherosclerotic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Plaque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Burden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Abdominal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Automated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Assessment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Noncontrast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Contrast-enhanced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Scans.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32958429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10.1016/j.acra.2020.08.022]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61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Zuluaga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Pratt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Patel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Aertsen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Doel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David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Deprest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Ourselin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Vercauteren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Interactive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Medical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Segmentation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Deep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Learning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Image-Specific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Tuning.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2018;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1562-1573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29969407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10.1109/TMI.2018.2791721]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62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Boers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TGW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Gibson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Barratt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Bonmati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Krdzalic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Heijden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Hermans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Huisman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HJ.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Interactive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U-net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segmentation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pancreas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computed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tomography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scans.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Phys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065002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31978921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10.1088/1361-6560/ab6f99]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63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Halverson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Kunju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Bhalla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Gadzinski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Alderman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Miller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Montgomery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Weizer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Hafez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Wolf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Jr.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Accuracy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determining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small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management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risk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stratified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biopsies: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confirmation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final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2013;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441-446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23253955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10.1016/j.juro.2012.09.032]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64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Dagher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Delahunt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Rioux-Leclercq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Egevad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Srigley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Coughlin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Dunglinson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Gianduzzo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Kua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Malone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Martin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Preston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Pokorny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Wood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Yaxley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Samaratunga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validation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Health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Organization/International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Society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Urological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grading.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918-925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28718911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10.1111/his.13311]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65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Delahunt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Eble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Egevad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Samaratunga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Grading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2019;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4-17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30565310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10.1111/his.13735]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66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Inomoto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Uchida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Furuya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Komiyama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Kajiwara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Kobayashi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Nakamura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Miyajima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Verification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International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Society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Urological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Pathology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recommendations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Japanese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patients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2018;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1139-1148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29532874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10.3892/ijo.2018.4294]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67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Chen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Size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Iodine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Quantification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Distinguish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Low-Grade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High-Grade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Dual-Energy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Spectral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Computed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Tomography.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Assist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Tomogr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2016;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673-677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27224223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10.1097/RCT.0000000000000441]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5299">
        <w:rPr>
          <w:rFonts w:ascii="Book Antiqua" w:eastAsia="Book Antiqua" w:hAnsi="Book Antiqua" w:cs="Book Antiqua"/>
          <w:color w:val="000000"/>
        </w:rPr>
        <w:t>68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Parada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Villavicencio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Carthy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Miller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FH.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diffusion-weighted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magnetic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resonance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from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lastRenderedPageBreak/>
        <w:t>nuclear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tumors.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1241-1249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27904923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10.1007/s00261-016-0981-7]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BC5299">
        <w:rPr>
          <w:rFonts w:ascii="Book Antiqua" w:eastAsia="Book Antiqua" w:hAnsi="Book Antiqua" w:cs="Book Antiqua"/>
          <w:color w:val="000000"/>
        </w:rPr>
        <w:t>69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b/>
          <w:bCs/>
          <w:color w:val="000000"/>
        </w:rPr>
        <w:t>Aslan</w:t>
      </w:r>
      <w:proofErr w:type="spellEnd"/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İnan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İ,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Aktan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Ayaz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Aslan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Özkanlı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SŞ,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Yıkılmaz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utility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measurement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techniques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differentiation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low-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high-grade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RCC.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2018;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e446-e451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30655922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10.5114/pjr.2018.80207]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70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Kang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Wei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X.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Differentiation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low-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high-grade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Tumor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size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versus</w:t>
      </w:r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perfusion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parameters.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2017;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14-19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28686936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10.1016/j.clinimag.2017.06.010]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299">
        <w:rPr>
          <w:rFonts w:ascii="Book Antiqua" w:eastAsia="Book Antiqua" w:hAnsi="Book Antiqua" w:cs="Book Antiqua"/>
          <w:color w:val="000000"/>
        </w:rPr>
        <w:t>71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Q,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Lei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Lan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Zhou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Z,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Long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Predicting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ISUP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clear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cell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carcinoma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multiparametric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multiphase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Pr="00BC5299">
        <w:rPr>
          <w:rFonts w:ascii="Book Antiqua" w:eastAsia="Book Antiqua" w:hAnsi="Book Antiqua" w:cs="Book Antiqua"/>
          <w:color w:val="000000"/>
        </w:rPr>
        <w:t>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E381C" w:rsidRPr="00BC5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2020;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C5299">
        <w:rPr>
          <w:rFonts w:ascii="Book Antiqua" w:eastAsia="Book Antiqua" w:hAnsi="Book Antiqua" w:cs="Book Antiqua"/>
          <w:color w:val="000000"/>
        </w:rPr>
        <w:t>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2912-2921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[PMID: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32002635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DOI: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10.1007/s00330-019-06601-1]</w:t>
      </w:r>
    </w:p>
    <w:bookmarkEnd w:id="23"/>
    <w:bookmarkEnd w:id="24"/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7F1082" w:rsidRPr="00BC5299" w:rsidRDefault="007F1082" w:rsidP="00BC52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7F1082" w:rsidRPr="00BC5299">
          <w:footerReference w:type="default" r:id="rId8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897A3A" w:rsidRPr="00BC5299" w:rsidRDefault="00D5244B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  <w:r w:rsidR="00897A3A" w:rsidRPr="00BC529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authors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declare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have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conflict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interest.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article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open-access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article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that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selected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in-house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editor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fully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peer-reviewed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external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reviewers.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distributed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accordance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with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Creative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Commons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Attribution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29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(CC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BY-NC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4.0)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license,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which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permits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others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to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distribute,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remix,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adapt,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build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upon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non-commercially,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license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their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derivative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works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on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different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terms,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provided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original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work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properly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cited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and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the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use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is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non-commercial.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See: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Manuscript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source: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Invited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manuscript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Peer-review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started: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March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9,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2021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First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decision: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March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26,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2021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Article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in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press: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2C8D" w:rsidRPr="00022C8D">
        <w:rPr>
          <w:rFonts w:ascii="Book Antiqua" w:eastAsia="Book Antiqua" w:hAnsi="Book Antiqua" w:cs="Book Antiqua"/>
          <w:color w:val="000000"/>
        </w:rPr>
        <w:t>April 20, 2021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Specialty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type: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Methodology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Country/Territory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of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origin: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China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Peer-review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report’s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scientific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quality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299">
        <w:rPr>
          <w:rFonts w:ascii="Book Antiqua" w:eastAsia="Book Antiqua" w:hAnsi="Book Antiqua" w:cs="Book Antiqua"/>
          <w:color w:val="000000"/>
        </w:rPr>
        <w:t>A</w:t>
      </w:r>
      <w:proofErr w:type="gramEnd"/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(Excellent):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B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(Very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good):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(Good):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C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(Fair):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D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eastAsia="Book Antiqua" w:hAnsi="Book Antiqua" w:cs="Book Antiqua"/>
          <w:color w:val="000000"/>
        </w:rPr>
        <w:t>Grade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E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(Poor):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0</w:t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897A3A" w:rsidRPr="00E22922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t>P-Reviewer: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Hong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Y</w:t>
      </w:r>
      <w:r w:rsidR="007F1082" w:rsidRPr="00BC5299">
        <w:rPr>
          <w:rFonts w:ascii="Book Antiqua" w:eastAsia="Book Antiqua" w:hAnsi="Book Antiqua" w:cs="Book Antiqua"/>
          <w:color w:val="000000"/>
        </w:rPr>
        <w:t>Y</w:t>
      </w:r>
      <w:r w:rsidRPr="00BC5299">
        <w:rPr>
          <w:rFonts w:ascii="Book Antiqua" w:eastAsia="Book Antiqua" w:hAnsi="Book Antiqua" w:cs="Book Antiqua"/>
          <w:color w:val="000000"/>
        </w:rPr>
        <w:t>,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Liu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G</w:t>
      </w:r>
      <w:r w:rsidR="007F1082" w:rsidRPr="00BC5299">
        <w:rPr>
          <w:rFonts w:ascii="Book Antiqua" w:eastAsia="Book Antiqua" w:hAnsi="Book Antiqua" w:cs="Book Antiqua"/>
          <w:color w:val="000000"/>
        </w:rPr>
        <w:t>H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S-Editor: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Wang</w:t>
      </w:r>
      <w:r w:rsidR="00FE381C" w:rsidRPr="00BC5299">
        <w:rPr>
          <w:rFonts w:ascii="Book Antiqua" w:eastAsia="Book Antiqua" w:hAnsi="Book Antiqua" w:cs="Book Antiqua"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color w:val="000000"/>
        </w:rPr>
        <w:t>JL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L-Editor: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B5216" w:rsidRPr="00BC5299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P-Editor: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2D86" w:rsidRPr="00E22922">
        <w:rPr>
          <w:rFonts w:ascii="Book Antiqua" w:hAnsi="Book Antiqua" w:cs="Book Antiqua" w:hint="eastAsia"/>
          <w:color w:val="000000"/>
          <w:lang w:eastAsia="zh-CN"/>
        </w:rPr>
        <w:t>Yuan YY</w:t>
      </w:r>
    </w:p>
    <w:p w:rsidR="00643AB2" w:rsidRPr="00BC5299" w:rsidRDefault="00897A3A" w:rsidP="00643A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C5299">
        <w:rPr>
          <w:rFonts w:ascii="Book Antiqua" w:eastAsia="Book Antiqua" w:hAnsi="Book Antiqua" w:cs="Book Antiqua"/>
          <w:b/>
          <w:color w:val="000000"/>
        </w:rPr>
        <w:br w:type="page"/>
      </w:r>
      <w:r w:rsidRPr="00BC529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E381C" w:rsidRPr="00BC5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color w:val="000000"/>
        </w:rPr>
        <w:t>Legends</w:t>
      </w:r>
    </w:p>
    <w:p w:rsidR="00897A3A" w:rsidRPr="00BC5299" w:rsidRDefault="003A437B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>
            <wp:extent cx="5722620" cy="61233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897A3A" w:rsidRPr="00BC5299" w:rsidRDefault="00897A3A" w:rsidP="00BC5299">
      <w:pPr>
        <w:pStyle w:val="a6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C5299">
        <w:rPr>
          <w:rFonts w:ascii="Book Antiqua" w:hAnsi="Book Antiqua"/>
          <w:b/>
          <w:bCs/>
        </w:rPr>
        <w:t>Figure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1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A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flowchart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of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model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construction</w:t>
      </w:r>
      <w:r w:rsidR="00F334EC" w:rsidRPr="00BC5299">
        <w:rPr>
          <w:rFonts w:ascii="Book Antiqua" w:hAnsi="Book Antiqua"/>
          <w:b/>
          <w:bCs/>
        </w:rPr>
        <w:t xml:space="preserve">. </w:t>
      </w:r>
      <w:r w:rsidR="00F334EC" w:rsidRPr="00BC5299">
        <w:rPr>
          <w:rFonts w:ascii="Book Antiqua" w:hAnsi="Book Antiqua"/>
        </w:rPr>
        <w:t>AI:</w:t>
      </w:r>
      <w:r w:rsidR="00F334EC" w:rsidRPr="00BC5299">
        <w:rPr>
          <w:rFonts w:ascii="Book Antiqua" w:eastAsia="Book Antiqua" w:hAnsi="Book Antiqua" w:cs="Book Antiqua"/>
          <w:color w:val="000000"/>
        </w:rPr>
        <w:t xml:space="preserve"> Artificial intelligence.</w:t>
      </w:r>
    </w:p>
    <w:p w:rsidR="00F334EC" w:rsidRPr="00BC5299" w:rsidRDefault="00F334EC" w:rsidP="00BC5299">
      <w:pPr>
        <w:pStyle w:val="a6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:rsidR="00F334EC" w:rsidRPr="00BC5299" w:rsidRDefault="00F334EC" w:rsidP="00BC5299">
      <w:pPr>
        <w:pStyle w:val="a6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  <w:sectPr w:rsidR="00F334EC" w:rsidRPr="00BC5299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C5299">
        <w:rPr>
          <w:rFonts w:ascii="Book Antiqua" w:hAnsi="Book Antiqua"/>
          <w:b/>
          <w:bCs/>
        </w:rPr>
        <w:lastRenderedPageBreak/>
        <w:t>Table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1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Summary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of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FE381C" w:rsidRPr="00BC5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299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application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in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clinical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imaging</w:t>
      </w:r>
      <w:r w:rsidR="00FE381C" w:rsidRPr="00BC5299">
        <w:rPr>
          <w:rFonts w:ascii="Book Antiqua" w:hAnsi="Book Antiqua"/>
          <w:b/>
          <w:bCs/>
        </w:rPr>
        <w:t xml:space="preserve"> </w:t>
      </w:r>
      <w:r w:rsidRPr="00BC5299">
        <w:rPr>
          <w:rFonts w:ascii="Book Antiqua" w:hAnsi="Book Antiqua"/>
          <w:b/>
          <w:bCs/>
        </w:rPr>
        <w:t>examination</w:t>
      </w:r>
      <w:r w:rsidRPr="00BC5299">
        <w:rPr>
          <w:rFonts w:ascii="Book Antiqua" w:hAnsi="Book Antiqua"/>
          <w:b/>
          <w:bCs/>
        </w:rPr>
        <w:fldChar w:fldCharType="begin"/>
      </w:r>
      <w:r w:rsidRPr="00BC5299">
        <w:rPr>
          <w:rFonts w:ascii="Book Antiqua" w:hAnsi="Book Antiqua"/>
          <w:b/>
          <w:bCs/>
        </w:rPr>
        <w:instrText xml:space="preserve"> LINK Excel.Sheet.12 "C:\\Users\\jxZhang\\Desktop\\</w:instrText>
      </w:r>
      <w:r w:rsidRPr="00BC5299">
        <w:rPr>
          <w:rFonts w:ascii="Book Antiqua" w:hAnsi="Book Antiqua"/>
          <w:b/>
          <w:bCs/>
        </w:rPr>
        <w:instrText>表格</w:instrText>
      </w:r>
      <w:r w:rsidRPr="00BC5299">
        <w:rPr>
          <w:rFonts w:ascii="Book Antiqua" w:hAnsi="Book Antiqua"/>
          <w:b/>
          <w:bCs/>
        </w:rPr>
        <w:instrText xml:space="preserve">0331 (1).xlsx" "Sheet2!R1C1:R34C14" \a \f 4 \h  \* MERGEFORMAT </w:instrText>
      </w:r>
      <w:r w:rsidRPr="00BC5299">
        <w:rPr>
          <w:rFonts w:ascii="Book Antiqua" w:hAnsi="Book Antiqua"/>
          <w:b/>
          <w:bCs/>
        </w:rPr>
        <w:fldChar w:fldCharType="separate"/>
      </w:r>
    </w:p>
    <w:tbl>
      <w:tblPr>
        <w:tblW w:w="0" w:type="auto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114"/>
        <w:gridCol w:w="991"/>
        <w:gridCol w:w="1701"/>
        <w:gridCol w:w="1418"/>
        <w:gridCol w:w="1134"/>
        <w:gridCol w:w="1134"/>
        <w:gridCol w:w="850"/>
        <w:gridCol w:w="851"/>
        <w:gridCol w:w="1134"/>
        <w:gridCol w:w="1134"/>
        <w:gridCol w:w="992"/>
        <w:gridCol w:w="850"/>
        <w:gridCol w:w="993"/>
      </w:tblGrid>
      <w:tr w:rsidR="00897A3A" w:rsidRPr="00BC5299"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Publish</w:t>
            </w:r>
            <w:r w:rsidR="00FE381C" w:rsidRPr="00BC5299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b/>
                <w:bCs/>
                <w:color w:val="000000"/>
              </w:rPr>
              <w:t>date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Ref.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AI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Application</w:t>
            </w:r>
            <w:r w:rsidR="00FE381C" w:rsidRPr="00BC5299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b/>
                <w:bCs/>
                <w:color w:val="000000"/>
              </w:rPr>
              <w:t>scenarios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Sensitivity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Accuracy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Specificity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PPV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NPV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Detection</w:t>
            </w:r>
            <w:r w:rsidR="00FE381C" w:rsidRPr="00BC5299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b/>
                <w:bCs/>
                <w:color w:val="000000"/>
              </w:rPr>
              <w:t>t</w:t>
            </w:r>
            <w:r w:rsidRPr="00BC5299">
              <w:rPr>
                <w:rFonts w:ascii="Book Antiqua" w:hAnsi="Book Antiqua"/>
                <w:b/>
                <w:bCs/>
                <w:color w:val="000000"/>
              </w:rPr>
              <w:t>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Variation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Volume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AUC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BC5299">
              <w:rPr>
                <w:rFonts w:ascii="Book Antiqua" w:hAnsi="Book Antiqua"/>
                <w:b/>
                <w:bCs/>
                <w:color w:val="000000"/>
              </w:rPr>
              <w:t>DSC</w:t>
            </w:r>
          </w:p>
        </w:tc>
      </w:tr>
      <w:tr w:rsidR="00897A3A" w:rsidRPr="00BC5299">
        <w:tc>
          <w:tcPr>
            <w:tcW w:w="1298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10/2020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Fukuda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[16]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CNN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esophagus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squamous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cell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91.1%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88.3%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05/2020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Zhang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[7]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CNN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chronic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atrophic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gastritis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94.5%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94.2%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94.0%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0.99</w:t>
            </w: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10/2020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Horiuchi</w:t>
            </w:r>
            <w:proofErr w:type="spellEnd"/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[19]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CAD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early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gastric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87.4%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85.1%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82.8%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83.5%</w:t>
            </w: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86.7%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0.8684</w:t>
            </w: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02/2020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Wang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[23]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Faster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R-CNN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Circumferential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resection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margin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rectal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83.8%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93.2%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95.6%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03/2020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Shen</w:t>
            </w:r>
            <w:proofErr w:type="spellEnd"/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[28]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RF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Pathological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complete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lastRenderedPageBreak/>
              <w:t>response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rectal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95.3%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lastRenderedPageBreak/>
              <w:t>01/2021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Abe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[18]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CNN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gastric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58.4%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87.3%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26.0%</w:t>
            </w: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45.5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s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01/2020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Zhou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[29]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CNN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Lymph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n</w:t>
            </w:r>
            <w:r w:rsidRPr="00BC5299">
              <w:rPr>
                <w:rFonts w:ascii="Book Antiqua" w:hAnsi="Book Antiqua"/>
                <w:color w:val="000000"/>
              </w:rPr>
              <w:t>ode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m</w:t>
            </w:r>
            <w:r w:rsidRPr="00BC5299">
              <w:rPr>
                <w:rFonts w:ascii="Book Antiqua" w:hAnsi="Book Antiqua"/>
                <w:color w:val="000000"/>
              </w:rPr>
              <w:t>etastasis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p</w:t>
            </w:r>
            <w:r w:rsidRPr="00BC5299">
              <w:rPr>
                <w:rFonts w:ascii="Book Antiqua" w:hAnsi="Book Antiqua"/>
                <w:color w:val="000000"/>
              </w:rPr>
              <w:t>rediction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from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p</w:t>
            </w:r>
            <w:r w:rsidRPr="00BC5299">
              <w:rPr>
                <w:rFonts w:ascii="Book Antiqua" w:hAnsi="Book Antiqua"/>
                <w:color w:val="000000"/>
              </w:rPr>
              <w:t>rimary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b</w:t>
            </w:r>
            <w:r w:rsidRPr="00BC5299">
              <w:rPr>
                <w:rFonts w:ascii="Book Antiqua" w:hAnsi="Book Antiqua"/>
                <w:color w:val="000000"/>
              </w:rPr>
              <w:t>reast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c</w:t>
            </w:r>
            <w:r w:rsidRPr="00BC5299">
              <w:rPr>
                <w:rFonts w:ascii="Book Antiqua" w:hAnsi="Book Antiqua"/>
                <w:color w:val="000000"/>
              </w:rPr>
              <w:t>ancer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&gt;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80%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&gt;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70%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0.9</w:t>
            </w: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03/2020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Penco</w:t>
            </w:r>
            <w:proofErr w:type="spellEnd"/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[32]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DWI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MRI-guided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vacuum-assisted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breast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biopsy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84.0%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94.0%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77.0%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97.0%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05/2020</w:t>
            </w:r>
          </w:p>
        </w:tc>
        <w:tc>
          <w:tcPr>
            <w:tcW w:w="1114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Adachi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[31]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RetinaNet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breast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92.6%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82.8%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0.925</w:t>
            </w: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Readers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without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BC5299">
              <w:rPr>
                <w:rFonts w:ascii="Book Antiqua" w:hAnsi="Book Antiqua"/>
                <w:color w:val="000000"/>
              </w:rPr>
              <w:t>Retina</w:t>
            </w:r>
            <w:r w:rsidRPr="00BC5299">
              <w:rPr>
                <w:rFonts w:ascii="Book Antiqua" w:hAnsi="Book Antiqua"/>
                <w:color w:val="000000"/>
              </w:rPr>
              <w:lastRenderedPageBreak/>
              <w:t>Net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84.7%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84.1%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0.884</w:t>
            </w: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Readers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with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BC5299">
              <w:rPr>
                <w:rFonts w:ascii="Book Antiqua" w:hAnsi="Book Antiqua"/>
                <w:color w:val="000000"/>
              </w:rPr>
              <w:t>RetinaNet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88.9%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82.3%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0.899</w:t>
            </w: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97A3A" w:rsidRPr="00BC5299">
        <w:tc>
          <w:tcPr>
            <w:tcW w:w="1298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02/2020</w:t>
            </w:r>
          </w:p>
        </w:tc>
        <w:tc>
          <w:tcPr>
            <w:tcW w:w="1114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Sasaki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[3</w:t>
            </w:r>
            <w:r w:rsidR="0072447B" w:rsidRPr="00BC5299">
              <w:rPr>
                <w:rFonts w:ascii="Book Antiqua" w:hAnsi="Book Antiqua"/>
                <w:color w:val="000000"/>
                <w:vertAlign w:val="superscript"/>
              </w:rPr>
              <w:t>5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Experts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breast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89.0%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Experts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with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BC5299">
              <w:rPr>
                <w:rFonts w:ascii="Book Antiqua" w:hAnsi="Book Antiqua"/>
                <w:color w:val="000000"/>
              </w:rPr>
              <w:t>Transpara</w:t>
            </w:r>
            <w:proofErr w:type="spellEnd"/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system</w:t>
            </w:r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95.0%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06/2020</w:t>
            </w: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Mango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[30]</w:t>
            </w:r>
          </w:p>
        </w:tc>
        <w:tc>
          <w:tcPr>
            <w:tcW w:w="991" w:type="dxa"/>
            <w:shd w:val="clear" w:color="000000" w:fill="auto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US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BI-RADS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3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to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BI-RADS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4A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or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above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breast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13.6%</w:t>
            </w: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/>
            <w:shd w:val="clear" w:color="auto" w:fill="auto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shd w:val="clear" w:color="000000" w:fill="auto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US+DS</w:t>
            </w:r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10.8%</w:t>
            </w: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02/2020</w:t>
            </w:r>
          </w:p>
        </w:tc>
        <w:tc>
          <w:tcPr>
            <w:tcW w:w="1114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Barczyński</w:t>
            </w:r>
            <w:proofErr w:type="spellEnd"/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[39]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Doctors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withou</w:t>
            </w:r>
            <w:r w:rsidRPr="00BC5299">
              <w:rPr>
                <w:rFonts w:ascii="Book Antiqua" w:hAnsi="Book Antiqua"/>
                <w:color w:val="000000"/>
              </w:rPr>
              <w:lastRenderedPageBreak/>
              <w:t>t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CAD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lastRenderedPageBreak/>
              <w:t>Classification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thyroid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tumor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76.0%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Doctors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with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CAD</w:t>
            </w:r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82.0%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06/2020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Lee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[41]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CAD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thyroid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neck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lymph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node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metastasis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80.2%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82.8%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83.0%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83.0%</w:t>
            </w: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80.2%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0.884</w:t>
            </w: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03/2020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Polymeri</w:t>
            </w:r>
            <w:proofErr w:type="spellEnd"/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[50]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CNN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Prostate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gland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uptake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in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PET/CT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71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mL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10/2020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Raciti</w:t>
            </w:r>
            <w:proofErr w:type="spellEnd"/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[43]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Paige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Prostate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Alpha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prostate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90.0%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07/2020</w:t>
            </w:r>
          </w:p>
        </w:tc>
        <w:tc>
          <w:tcPr>
            <w:tcW w:w="1114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Chauvie</w:t>
            </w:r>
            <w:proofErr w:type="spellEnd"/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[51]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946E18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B</w:t>
            </w:r>
            <w:r w:rsidR="00897A3A" w:rsidRPr="00BC5299">
              <w:rPr>
                <w:rFonts w:ascii="Book Antiqua" w:hAnsi="Book Antiqua"/>
                <w:color w:val="000000"/>
              </w:rPr>
              <w:t>inomial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v</w:t>
            </w:r>
            <w:r w:rsidR="00897A3A" w:rsidRPr="00BC5299">
              <w:rPr>
                <w:rFonts w:ascii="Book Antiqua" w:hAnsi="Book Antiqua"/>
                <w:color w:val="000000"/>
              </w:rPr>
              <w:t>isual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a</w:t>
            </w:r>
            <w:r w:rsidR="00897A3A" w:rsidRPr="00BC5299">
              <w:rPr>
                <w:rFonts w:ascii="Book Antiqua" w:hAnsi="Book Antiqua"/>
                <w:color w:val="000000"/>
              </w:rPr>
              <w:t>nalysis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Lung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DTS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95.0%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14.0%</w:t>
            </w: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Pulmonary-RADS</w:t>
            </w:r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65.0%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19.0%</w:t>
            </w: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Logistic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regression</w:t>
            </w:r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20.0%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29.0%</w:t>
            </w: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RF</w:t>
            </w:r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30.0%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40.0%</w:t>
            </w: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Neural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n</w:t>
            </w:r>
            <w:r w:rsidRPr="00BC5299">
              <w:rPr>
                <w:rFonts w:ascii="Book Antiqua" w:hAnsi="Book Antiqua"/>
                <w:color w:val="000000"/>
              </w:rPr>
              <w:t>etwork</w:t>
            </w:r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90.0%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95.0%</w:t>
            </w: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07/2020</w:t>
            </w:r>
          </w:p>
        </w:tc>
        <w:tc>
          <w:tcPr>
            <w:tcW w:w="1114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Tau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[52]</w:t>
            </w:r>
          </w:p>
        </w:tc>
        <w:tc>
          <w:tcPr>
            <w:tcW w:w="991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CNN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Diagnosis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lymph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node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metastasis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lung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74%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eastAsia="仿宋" w:hAnsi="Book Antiqua"/>
                <w:color w:val="000000"/>
              </w:rPr>
              <w:t>±</w:t>
            </w:r>
            <w:r w:rsidR="00FE381C" w:rsidRPr="00BC5299">
              <w:rPr>
                <w:rFonts w:ascii="Book Antiqua" w:eastAsia="仿宋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32%</w:t>
            </w:r>
          </w:p>
        </w:tc>
        <w:tc>
          <w:tcPr>
            <w:tcW w:w="1134" w:type="dxa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80%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eastAsia="仿宋" w:hAnsi="Book Antiqua"/>
                <w:color w:val="000000"/>
              </w:rPr>
              <w:t>±</w:t>
            </w:r>
            <w:r w:rsidR="00FE381C" w:rsidRPr="00BC5299">
              <w:rPr>
                <w:rFonts w:ascii="Book Antiqua" w:eastAsia="仿宋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17%</w:t>
            </w:r>
          </w:p>
        </w:tc>
        <w:tc>
          <w:tcPr>
            <w:tcW w:w="1134" w:type="dxa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84%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eastAsia="仿宋" w:hAnsi="Book Antiqua"/>
                <w:color w:val="000000"/>
              </w:rPr>
              <w:t>±</w:t>
            </w:r>
            <w:r w:rsidR="00FE381C" w:rsidRPr="00BC5299">
              <w:rPr>
                <w:rFonts w:ascii="Book Antiqua" w:eastAsia="仿宋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16%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Predicting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distal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metastasis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lung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cancer</w:t>
            </w:r>
          </w:p>
        </w:tc>
        <w:tc>
          <w:tcPr>
            <w:tcW w:w="1418" w:type="dxa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45%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eastAsia="仿宋" w:hAnsi="Book Antiqua"/>
                <w:color w:val="000000"/>
              </w:rPr>
              <w:t>±</w:t>
            </w:r>
            <w:r w:rsidR="00FE381C" w:rsidRPr="00BC5299">
              <w:rPr>
                <w:rFonts w:ascii="Book Antiqua" w:eastAsia="仿宋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8%</w:t>
            </w:r>
          </w:p>
        </w:tc>
        <w:tc>
          <w:tcPr>
            <w:tcW w:w="1134" w:type="dxa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63%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eastAsia="仿宋" w:hAnsi="Book Antiqua"/>
                <w:color w:val="000000"/>
              </w:rPr>
              <w:t>±</w:t>
            </w:r>
            <w:r w:rsidR="00FE381C" w:rsidRPr="00BC5299">
              <w:rPr>
                <w:rFonts w:ascii="Book Antiqua" w:eastAsia="仿宋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5%</w:t>
            </w:r>
          </w:p>
        </w:tc>
        <w:tc>
          <w:tcPr>
            <w:tcW w:w="1134" w:type="dxa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79%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eastAsia="仿宋" w:hAnsi="Book Antiqua"/>
                <w:color w:val="000000"/>
              </w:rPr>
              <w:t>±</w:t>
            </w:r>
            <w:r w:rsidR="00FE381C" w:rsidRPr="00BC5299">
              <w:rPr>
                <w:rFonts w:ascii="Book Antiqua" w:eastAsia="仿宋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6%</w:t>
            </w: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54.5%</w:t>
            </w: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68.6%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01/2020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Peng</w:t>
            </w:r>
            <w:proofErr w:type="spellEnd"/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lastRenderedPageBreak/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[54]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lastRenderedPageBreak/>
              <w:t>Transf</w:t>
            </w:r>
            <w:r w:rsidRPr="00BC5299">
              <w:rPr>
                <w:rFonts w:ascii="Book Antiqua" w:hAnsi="Book Antiqua"/>
                <w:color w:val="000000"/>
              </w:rPr>
              <w:lastRenderedPageBreak/>
              <w:t>er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l</w:t>
            </w:r>
            <w:r w:rsidRPr="00BC5299">
              <w:rPr>
                <w:rFonts w:ascii="Book Antiqua" w:hAnsi="Book Antiqua"/>
                <w:color w:val="000000"/>
              </w:rPr>
              <w:t>earning</w:t>
            </w:r>
          </w:p>
        </w:tc>
        <w:tc>
          <w:tcPr>
            <w:tcW w:w="170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lastRenderedPageBreak/>
              <w:t>Predicting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lastRenderedPageBreak/>
              <w:t>TACE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treatment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response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hepatocellular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carcinoma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&gt;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82.8%</w:t>
            </w: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&gt;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0.94</w:t>
            </w: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lastRenderedPageBreak/>
              <w:t>09/2013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Wolz</w:t>
            </w:r>
            <w:proofErr w:type="spellEnd"/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[59]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Multi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a</w:t>
            </w:r>
            <w:r w:rsidRPr="00BC5299">
              <w:rPr>
                <w:rFonts w:ascii="Book Antiqua" w:hAnsi="Book Antiqua"/>
                <w:color w:val="000000"/>
              </w:rPr>
              <w:t>tlas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t</w:t>
            </w:r>
            <w:r w:rsidRPr="00BC5299">
              <w:rPr>
                <w:rFonts w:ascii="Book Antiqua" w:hAnsi="Book Antiqua"/>
                <w:color w:val="000000"/>
              </w:rPr>
              <w:t>echnology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Segmentation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of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the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pancreas</w:t>
            </w: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70.0%</w:t>
            </w:r>
          </w:p>
        </w:tc>
      </w:tr>
      <w:tr w:rsidR="00897A3A" w:rsidRPr="00BC5299">
        <w:tc>
          <w:tcPr>
            <w:tcW w:w="129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08/2020</w:t>
            </w:r>
          </w:p>
        </w:tc>
        <w:tc>
          <w:tcPr>
            <w:tcW w:w="111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Gibson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FE381C" w:rsidRPr="00BC5299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BC5299">
              <w:rPr>
                <w:rFonts w:ascii="Book Antiqua" w:hAnsi="Book Antiqua"/>
                <w:color w:val="000000"/>
                <w:vertAlign w:val="superscript"/>
              </w:rPr>
              <w:t>[62]</w:t>
            </w: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Deep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l</w:t>
            </w:r>
            <w:r w:rsidRPr="00BC5299">
              <w:rPr>
                <w:rFonts w:ascii="Book Antiqua" w:hAnsi="Book Antiqua"/>
                <w:color w:val="000000"/>
              </w:rPr>
              <w:t>earning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="00643AB2">
              <w:rPr>
                <w:rFonts w:ascii="Book Antiqua" w:hAnsi="Book Antiqua"/>
                <w:color w:val="000000"/>
              </w:rPr>
              <w:t>t</w:t>
            </w:r>
            <w:r w:rsidRPr="00BC5299">
              <w:rPr>
                <w:rFonts w:ascii="Book Antiqua" w:hAnsi="Book Antiqua"/>
                <w:color w:val="000000"/>
              </w:rPr>
              <w:t>echnology</w:t>
            </w:r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78.0%</w:t>
            </w:r>
          </w:p>
        </w:tc>
      </w:tr>
      <w:tr w:rsidR="00897A3A" w:rsidRPr="00BC5299">
        <w:tc>
          <w:tcPr>
            <w:tcW w:w="1298" w:type="dxa"/>
            <w:vMerge w:val="restart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BC5299">
              <w:rPr>
                <w:rFonts w:ascii="Book Antiqua" w:hAnsi="Book Antiqua"/>
                <w:color w:val="000000"/>
              </w:rPr>
              <w:t>iFCN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72.3%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±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11.4%</w:t>
            </w:r>
          </w:p>
        </w:tc>
      </w:tr>
      <w:tr w:rsidR="00897A3A" w:rsidRPr="00BC5299">
        <w:tc>
          <w:tcPr>
            <w:tcW w:w="1298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14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9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Artificial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segme</w:t>
            </w:r>
            <w:r w:rsidRPr="00BC5299">
              <w:rPr>
                <w:rFonts w:ascii="Book Antiqua" w:hAnsi="Book Antiqua"/>
                <w:color w:val="000000"/>
              </w:rPr>
              <w:lastRenderedPageBreak/>
              <w:t>ntation</w:t>
            </w:r>
          </w:p>
        </w:tc>
        <w:tc>
          <w:tcPr>
            <w:tcW w:w="1701" w:type="dxa"/>
            <w:vMerge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1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50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93" w:type="dxa"/>
            <w:noWrap/>
            <w:vAlign w:val="center"/>
          </w:tcPr>
          <w:p w:rsidR="00897A3A" w:rsidRPr="00BC5299" w:rsidRDefault="00897A3A" w:rsidP="00BC52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BC5299">
              <w:rPr>
                <w:rFonts w:ascii="Book Antiqua" w:hAnsi="Book Antiqua"/>
                <w:color w:val="000000"/>
              </w:rPr>
              <w:t>15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min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to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t>87.5%</w:t>
            </w:r>
            <w:r w:rsidR="00FE381C" w:rsidRPr="00BC5299">
              <w:rPr>
                <w:rFonts w:ascii="Book Antiqua" w:hAnsi="Book Antiqua"/>
                <w:color w:val="000000"/>
              </w:rPr>
              <w:t xml:space="preserve"> </w:t>
            </w:r>
            <w:r w:rsidRPr="00BC5299">
              <w:rPr>
                <w:rFonts w:ascii="Book Antiqua" w:hAnsi="Book Antiqua"/>
                <w:color w:val="000000"/>
              </w:rPr>
              <w:lastRenderedPageBreak/>
              <w:t>DSC</w:t>
            </w:r>
          </w:p>
        </w:tc>
      </w:tr>
    </w:tbl>
    <w:p w:rsidR="009C4C4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5299">
        <w:rPr>
          <w:rFonts w:ascii="Book Antiqua" w:hAnsi="Book Antiqua"/>
        </w:rPr>
        <w:lastRenderedPageBreak/>
        <w:fldChar w:fldCharType="end"/>
      </w:r>
      <w:r w:rsidRPr="00BC5299">
        <w:rPr>
          <w:rFonts w:ascii="Book Antiqua" w:hAnsi="Book Antiqua"/>
        </w:rPr>
        <w:t>AI</w:t>
      </w:r>
      <w:r w:rsidRPr="00BC5299">
        <w:rPr>
          <w:rFonts w:ascii="Book Antiqua" w:hAnsi="Book Antiqua"/>
          <w:lang w:eastAsia="zh-CN"/>
        </w:rPr>
        <w:t>:</w:t>
      </w:r>
      <w:r w:rsidR="00FE381C" w:rsidRPr="00BC5299">
        <w:rPr>
          <w:rFonts w:ascii="Book Antiqua" w:hAnsi="Book Antiqua"/>
          <w:lang w:eastAsia="zh-CN"/>
        </w:rPr>
        <w:t xml:space="preserve"> </w:t>
      </w:r>
      <w:r w:rsidR="007F1082" w:rsidRPr="00BC5299">
        <w:rPr>
          <w:rFonts w:ascii="Book Antiqua" w:hAnsi="Book Antiqua"/>
          <w:lang w:eastAsia="zh-CN"/>
        </w:rPr>
        <w:t>A</w:t>
      </w:r>
      <w:r w:rsidRPr="00BC5299">
        <w:rPr>
          <w:rFonts w:ascii="Book Antiqua" w:hAnsi="Book Antiqua"/>
          <w:lang w:eastAsia="zh-CN"/>
        </w:rPr>
        <w:t>rtificial</w:t>
      </w:r>
      <w:r w:rsidR="00FE381C" w:rsidRPr="00BC5299">
        <w:rPr>
          <w:rFonts w:ascii="Book Antiqua" w:hAnsi="Book Antiqua"/>
          <w:lang w:eastAsia="zh-CN"/>
        </w:rPr>
        <w:t xml:space="preserve"> </w:t>
      </w:r>
      <w:r w:rsidRPr="00BC5299">
        <w:rPr>
          <w:rFonts w:ascii="Book Antiqua" w:hAnsi="Book Antiqua"/>
          <w:lang w:eastAsia="zh-CN"/>
        </w:rPr>
        <w:t>intelligence;</w:t>
      </w:r>
      <w:r w:rsidR="00FE381C" w:rsidRPr="00BC5299">
        <w:rPr>
          <w:rFonts w:ascii="Book Antiqua" w:hAnsi="Book Antiqua"/>
          <w:lang w:eastAsia="zh-CN"/>
        </w:rPr>
        <w:t xml:space="preserve"> </w:t>
      </w:r>
      <w:r w:rsidRPr="00BC5299">
        <w:rPr>
          <w:rFonts w:ascii="Book Antiqua" w:hAnsi="Book Antiqua"/>
        </w:rPr>
        <w:t>PPV: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Positive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predictive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value;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NPV: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Negative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predictive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value;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AUC: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Area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under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the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curve;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DSC: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Dice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similarity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coefficient;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CNN: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Convolutional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neural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network;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Faster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R-CNN: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Faster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region-based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convolutional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neural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network;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RF: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Random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forest;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DWI: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Diffusion-weighted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imaging;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US: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Ultrasound;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DS: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Decision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support;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CAD: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Computer-aided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design;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DTS: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Digital</w:t>
      </w:r>
      <w:r w:rsidR="00FE381C" w:rsidRPr="00BC5299">
        <w:rPr>
          <w:rFonts w:ascii="Book Antiqua" w:hAnsi="Book Antiqua"/>
        </w:rPr>
        <w:t xml:space="preserve"> </w:t>
      </w:r>
      <w:proofErr w:type="spellStart"/>
      <w:r w:rsidRPr="00BC5299">
        <w:rPr>
          <w:rFonts w:ascii="Book Antiqua" w:hAnsi="Book Antiqua"/>
        </w:rPr>
        <w:t>tomosynthesis</w:t>
      </w:r>
      <w:proofErr w:type="spellEnd"/>
      <w:r w:rsidRPr="00BC5299">
        <w:rPr>
          <w:rFonts w:ascii="Book Antiqua" w:hAnsi="Book Antiqua"/>
        </w:rPr>
        <w:t>;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TACE:</w:t>
      </w:r>
      <w:r w:rsidR="00FE381C" w:rsidRPr="00BC5299">
        <w:rPr>
          <w:rFonts w:ascii="Book Antiqua" w:hAnsi="Book Antiqua"/>
        </w:rPr>
        <w:t xml:space="preserve"> </w:t>
      </w:r>
      <w:proofErr w:type="spellStart"/>
      <w:r w:rsidRPr="00BC5299">
        <w:rPr>
          <w:rFonts w:ascii="Book Antiqua" w:hAnsi="Book Antiqua"/>
        </w:rPr>
        <w:t>Transarterial</w:t>
      </w:r>
      <w:proofErr w:type="spellEnd"/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chemoembolization;</w:t>
      </w:r>
      <w:r w:rsidR="00FE381C" w:rsidRPr="00BC5299">
        <w:rPr>
          <w:rFonts w:ascii="Book Antiqua" w:hAnsi="Book Antiqua"/>
        </w:rPr>
        <w:t xml:space="preserve"> </w:t>
      </w:r>
      <w:proofErr w:type="spellStart"/>
      <w:r w:rsidRPr="00BC5299">
        <w:rPr>
          <w:rFonts w:ascii="Book Antiqua" w:hAnsi="Book Antiqua"/>
        </w:rPr>
        <w:t>iFCN</w:t>
      </w:r>
      <w:proofErr w:type="spellEnd"/>
      <w:r w:rsidRPr="00BC5299">
        <w:rPr>
          <w:rFonts w:ascii="Book Antiqua" w:hAnsi="Book Antiqua"/>
        </w:rPr>
        <w:t>: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Interactive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fully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convolutional</w:t>
      </w:r>
      <w:r w:rsidR="00FE381C" w:rsidRPr="00BC5299">
        <w:rPr>
          <w:rFonts w:ascii="Book Antiqua" w:hAnsi="Book Antiqua"/>
        </w:rPr>
        <w:t xml:space="preserve"> </w:t>
      </w:r>
      <w:r w:rsidRPr="00BC5299">
        <w:rPr>
          <w:rFonts w:ascii="Book Antiqua" w:hAnsi="Book Antiqua"/>
        </w:rPr>
        <w:t>network</w:t>
      </w:r>
      <w:r w:rsidR="006D7F79">
        <w:rPr>
          <w:rFonts w:ascii="Book Antiqua" w:hAnsi="Book Antiqua"/>
        </w:rPr>
        <w:t xml:space="preserve">; BI-RADS: </w:t>
      </w:r>
      <w:r w:rsidR="006D7F79">
        <w:rPr>
          <w:rFonts w:ascii="Book Antiqua" w:eastAsia="Book Antiqua" w:hAnsi="Book Antiqua" w:cs="Book Antiqua"/>
          <w:color w:val="000000"/>
        </w:rPr>
        <w:t>B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reast </w:t>
      </w:r>
      <w:r w:rsidR="00AE585B">
        <w:rPr>
          <w:rFonts w:ascii="Book Antiqua" w:eastAsia="Book Antiqua" w:hAnsi="Book Antiqua" w:cs="Book Antiqua"/>
          <w:color w:val="000000"/>
        </w:rPr>
        <w:t>I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maging </w:t>
      </w:r>
      <w:r w:rsidR="00AE585B">
        <w:rPr>
          <w:rFonts w:ascii="Book Antiqua" w:eastAsia="Book Antiqua" w:hAnsi="Book Antiqua" w:cs="Book Antiqua"/>
          <w:color w:val="000000"/>
        </w:rPr>
        <w:t>R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eporting and </w:t>
      </w:r>
      <w:r w:rsidR="00AE585B">
        <w:rPr>
          <w:rFonts w:ascii="Book Antiqua" w:eastAsia="Book Antiqua" w:hAnsi="Book Antiqua" w:cs="Book Antiqua"/>
          <w:color w:val="000000"/>
        </w:rPr>
        <w:t>D</w:t>
      </w:r>
      <w:r w:rsidR="006D7F79" w:rsidRPr="00BC5299">
        <w:rPr>
          <w:rFonts w:ascii="Book Antiqua" w:eastAsia="Book Antiqua" w:hAnsi="Book Antiqua" w:cs="Book Antiqua"/>
          <w:color w:val="000000"/>
        </w:rPr>
        <w:t xml:space="preserve">ata </w:t>
      </w:r>
      <w:r w:rsidR="00AE585B">
        <w:rPr>
          <w:rFonts w:ascii="Book Antiqua" w:eastAsia="Book Antiqua" w:hAnsi="Book Antiqua" w:cs="Book Antiqua"/>
          <w:color w:val="000000"/>
        </w:rPr>
        <w:t>S</w:t>
      </w:r>
      <w:r w:rsidR="006D7F79" w:rsidRPr="00BC5299">
        <w:rPr>
          <w:rFonts w:ascii="Book Antiqua" w:eastAsia="Book Antiqua" w:hAnsi="Book Antiqua" w:cs="Book Antiqua"/>
          <w:color w:val="000000"/>
        </w:rPr>
        <w:t>ystem</w:t>
      </w:r>
      <w:r w:rsidR="00D5244B">
        <w:rPr>
          <w:rFonts w:ascii="Book Antiqua" w:eastAsia="Book Antiqua" w:hAnsi="Book Antiqua" w:cs="Book Antiqua"/>
          <w:color w:val="000000"/>
        </w:rPr>
        <w:t>; MRI: Magnetic resonance imaging; PET/CT: P</w:t>
      </w:r>
      <w:r w:rsidR="00D5244B" w:rsidRPr="00BC5299">
        <w:rPr>
          <w:rFonts w:ascii="Book Antiqua" w:eastAsia="Book Antiqua" w:hAnsi="Book Antiqua" w:cs="Book Antiqua"/>
          <w:color w:val="000000"/>
        </w:rPr>
        <w:t>ositron emission tomography</w:t>
      </w:r>
      <w:r w:rsidR="00D5244B">
        <w:rPr>
          <w:rFonts w:ascii="Book Antiqua" w:eastAsia="Book Antiqua" w:hAnsi="Book Antiqua" w:cs="Book Antiqua"/>
          <w:color w:val="000000"/>
        </w:rPr>
        <w:t>/computed tomography; RADS: Reporting and Data System</w:t>
      </w:r>
      <w:r w:rsidRPr="00BC5299">
        <w:rPr>
          <w:rFonts w:ascii="Book Antiqua" w:hAnsi="Book Antiqua"/>
        </w:rPr>
        <w:t>.</w:t>
      </w:r>
    </w:p>
    <w:p w:rsidR="009C4C49" w:rsidRDefault="009C4C49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C4C49" w:rsidRDefault="009C4C49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C4C49">
          <w:pgSz w:w="18144" w:h="11907"/>
          <w:pgMar w:top="1440" w:right="1440" w:bottom="1440" w:left="1440" w:header="720" w:footer="720" w:gutter="0"/>
          <w:cols w:space="720"/>
          <w:docGrid w:linePitch="360"/>
        </w:sect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  <w:r w:rsidRPr="009C4C49">
        <w:rPr>
          <w:rFonts w:ascii="Book Antiqua" w:hAnsi="Book Antiqua"/>
          <w:noProof/>
          <w:kern w:val="2"/>
          <w:sz w:val="21"/>
          <w:szCs w:val="22"/>
          <w:lang w:eastAsia="zh-CN"/>
        </w:rPr>
        <w:drawing>
          <wp:inline distT="0" distB="0" distL="0" distR="0" wp14:anchorId="0B9798D9" wp14:editId="51CF861C">
            <wp:extent cx="2499360" cy="1440180"/>
            <wp:effectExtent l="0" t="0" r="0" b="7620"/>
            <wp:docPr id="2" name="图片 2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kern w:val="2"/>
          <w:sz w:val="28"/>
          <w:szCs w:val="28"/>
          <w:lang w:eastAsia="zh-CN"/>
        </w:rPr>
      </w:pPr>
      <w:r w:rsidRPr="009C4C49">
        <w:rPr>
          <w:rFonts w:ascii="Book Antiqua" w:eastAsia="TimesNewRomanPSMT" w:hAnsi="Book Antiqua" w:cs="TimesNewRomanPSMT"/>
          <w:color w:val="000000"/>
          <w:kern w:val="2"/>
          <w:sz w:val="28"/>
          <w:szCs w:val="28"/>
          <w:lang w:eastAsia="zh-CN"/>
        </w:rPr>
        <w:t xml:space="preserve">Published by </w:t>
      </w:r>
      <w:proofErr w:type="spellStart"/>
      <w:r w:rsidRPr="009C4C49">
        <w:rPr>
          <w:rFonts w:ascii="Book Antiqua" w:eastAsia="Garamond-Bold" w:hAnsi="Book Antiqua" w:cs="Garamond-Bold"/>
          <w:b/>
          <w:bCs/>
          <w:color w:val="000000"/>
          <w:kern w:val="2"/>
          <w:sz w:val="28"/>
          <w:szCs w:val="28"/>
          <w:lang w:eastAsia="zh-CN"/>
        </w:rPr>
        <w:t>Baishideng</w:t>
      </w:r>
      <w:proofErr w:type="spellEnd"/>
      <w:r w:rsidRPr="009C4C49">
        <w:rPr>
          <w:rFonts w:ascii="Book Antiqua" w:eastAsia="Garamond-Bold" w:hAnsi="Book Antiqua" w:cs="Garamond-Bold"/>
          <w:b/>
          <w:bCs/>
          <w:color w:val="000000"/>
          <w:kern w:val="2"/>
          <w:sz w:val="28"/>
          <w:szCs w:val="28"/>
          <w:lang w:eastAsia="zh-CN"/>
        </w:rPr>
        <w:t xml:space="preserve"> Publishing Group </w:t>
      </w:r>
      <w:proofErr w:type="spellStart"/>
      <w:r w:rsidRPr="009C4C49">
        <w:rPr>
          <w:rFonts w:ascii="Book Antiqua" w:eastAsia="Garamond-Bold" w:hAnsi="Book Antiqua" w:cs="Garamond-Bold"/>
          <w:b/>
          <w:bCs/>
          <w:color w:val="000000"/>
          <w:kern w:val="2"/>
          <w:sz w:val="28"/>
          <w:szCs w:val="28"/>
          <w:lang w:eastAsia="zh-CN"/>
        </w:rPr>
        <w:t>Inc</w:t>
      </w:r>
      <w:proofErr w:type="spellEnd"/>
    </w:p>
    <w:p w:rsidR="009C4C49" w:rsidRPr="009C4C49" w:rsidRDefault="009C4C49" w:rsidP="009C4C49">
      <w:pPr>
        <w:widowControl w:val="0"/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kern w:val="2"/>
          <w:sz w:val="28"/>
          <w:szCs w:val="28"/>
          <w:lang w:eastAsia="zh-CN"/>
        </w:rPr>
      </w:pPr>
      <w:r w:rsidRPr="009C4C49">
        <w:rPr>
          <w:rFonts w:ascii="Book Antiqua" w:eastAsia="TimesNewRomanPSMT" w:hAnsi="Book Antiqua" w:cs="Garamond"/>
          <w:color w:val="000000"/>
          <w:kern w:val="2"/>
          <w:sz w:val="28"/>
          <w:szCs w:val="28"/>
          <w:lang w:eastAsia="zh-CN"/>
        </w:rPr>
        <w:t>7041 Koll Center Parkway, Suite 160, Pleasanton, CA 94566, USA</w:t>
      </w:r>
    </w:p>
    <w:p w:rsidR="009C4C49" w:rsidRPr="009C4C49" w:rsidRDefault="009C4C49" w:rsidP="009C4C49">
      <w:pPr>
        <w:widowControl w:val="0"/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kern w:val="2"/>
          <w:sz w:val="28"/>
          <w:szCs w:val="28"/>
          <w:lang w:eastAsia="zh-CN"/>
        </w:rPr>
      </w:pPr>
      <w:r w:rsidRPr="009C4C49">
        <w:rPr>
          <w:rFonts w:ascii="Book Antiqua" w:eastAsia="Garamond-Bold" w:hAnsi="Book Antiqua" w:cs="Garamond-Bold"/>
          <w:b/>
          <w:bCs/>
          <w:color w:val="000000"/>
          <w:kern w:val="2"/>
          <w:sz w:val="28"/>
          <w:szCs w:val="28"/>
          <w:lang w:eastAsia="zh-CN"/>
        </w:rPr>
        <w:t xml:space="preserve">Telephone: </w:t>
      </w:r>
      <w:r w:rsidRPr="009C4C49">
        <w:rPr>
          <w:rFonts w:ascii="Book Antiqua" w:eastAsia="TimesNewRomanPSMT" w:hAnsi="Book Antiqua" w:cs="Garamond"/>
          <w:color w:val="000000"/>
          <w:kern w:val="2"/>
          <w:sz w:val="28"/>
          <w:szCs w:val="28"/>
          <w:lang w:eastAsia="zh-CN"/>
        </w:rPr>
        <w:t>+1-925-3991568</w:t>
      </w:r>
    </w:p>
    <w:p w:rsidR="009C4C49" w:rsidRPr="009C4C49" w:rsidRDefault="009C4C49" w:rsidP="009C4C49">
      <w:pPr>
        <w:widowControl w:val="0"/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kern w:val="2"/>
          <w:sz w:val="28"/>
          <w:szCs w:val="28"/>
          <w:lang w:eastAsia="zh-CN"/>
        </w:rPr>
      </w:pPr>
      <w:r w:rsidRPr="009C4C49">
        <w:rPr>
          <w:rFonts w:ascii="Book Antiqua" w:eastAsia="Garamond-Bold" w:hAnsi="Book Antiqua" w:cs="Garamond-Bold"/>
          <w:b/>
          <w:bCs/>
          <w:color w:val="000000"/>
          <w:kern w:val="2"/>
          <w:sz w:val="28"/>
          <w:szCs w:val="28"/>
          <w:lang w:eastAsia="zh-CN"/>
        </w:rPr>
        <w:t xml:space="preserve">E-mail: </w:t>
      </w:r>
      <w:r w:rsidRPr="009C4C49">
        <w:rPr>
          <w:rFonts w:ascii="Book Antiqua" w:eastAsia="TimesNewRomanPSMT" w:hAnsi="Book Antiqua" w:cs="Garamond"/>
          <w:color w:val="D56400"/>
          <w:kern w:val="2"/>
          <w:sz w:val="28"/>
          <w:szCs w:val="28"/>
          <w:lang w:eastAsia="zh-CN"/>
        </w:rPr>
        <w:t>bpgoffice@wjgnet.com</w:t>
      </w:r>
    </w:p>
    <w:p w:rsidR="009C4C49" w:rsidRPr="009C4C49" w:rsidRDefault="009C4C49" w:rsidP="009C4C49">
      <w:pPr>
        <w:widowControl w:val="0"/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kern w:val="2"/>
          <w:sz w:val="28"/>
          <w:szCs w:val="28"/>
          <w:lang w:eastAsia="zh-CN"/>
        </w:rPr>
      </w:pPr>
      <w:r w:rsidRPr="009C4C49">
        <w:rPr>
          <w:rFonts w:ascii="Book Antiqua" w:eastAsia="Garamond-Bold" w:hAnsi="Book Antiqua" w:cs="Garamond-Bold"/>
          <w:b/>
          <w:bCs/>
          <w:color w:val="000000"/>
          <w:kern w:val="2"/>
          <w:sz w:val="28"/>
          <w:szCs w:val="28"/>
          <w:lang w:eastAsia="zh-CN"/>
        </w:rPr>
        <w:t xml:space="preserve">Help Desk: </w:t>
      </w:r>
      <w:r w:rsidRPr="009C4C49">
        <w:rPr>
          <w:rFonts w:ascii="Book Antiqua" w:eastAsia="TimesNewRomanPSMT" w:hAnsi="Book Antiqua" w:cs="Garamond"/>
          <w:color w:val="D56400"/>
          <w:kern w:val="2"/>
          <w:sz w:val="28"/>
          <w:szCs w:val="28"/>
          <w:lang w:eastAsia="zh-CN"/>
        </w:rPr>
        <w:t>https://www.f6publishing.com/helpdesk</w:t>
      </w: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  <w:r w:rsidRPr="009C4C49">
        <w:rPr>
          <w:rFonts w:ascii="Book Antiqua" w:eastAsia="TimesNewRomanPSMT" w:hAnsi="Book Antiqua" w:cs="Garamond"/>
          <w:color w:val="D56400"/>
          <w:kern w:val="2"/>
          <w:sz w:val="28"/>
          <w:szCs w:val="28"/>
          <w:lang w:eastAsia="zh-CN"/>
        </w:rPr>
        <w:t>https://www.wjgnet.com</w:t>
      </w: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  <w:r w:rsidRPr="009C4C49">
        <w:rPr>
          <w:rFonts w:ascii="Book Antiqua" w:hAnsi="Book Antiqua"/>
          <w:noProof/>
          <w:kern w:val="2"/>
          <w:sz w:val="21"/>
          <w:szCs w:val="22"/>
          <w:lang w:eastAsia="zh-CN"/>
        </w:rPr>
        <w:drawing>
          <wp:inline distT="0" distB="0" distL="0" distR="0" wp14:anchorId="2158D2BD" wp14:editId="67996C15">
            <wp:extent cx="1447800" cy="1440180"/>
            <wp:effectExtent l="0" t="0" r="0" b="7620"/>
            <wp:docPr id="3" name="图片 3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right"/>
        <w:rPr>
          <w:rFonts w:ascii="Book Antiqua" w:hAnsi="Book Antiqua"/>
          <w:color w:val="000000"/>
          <w:kern w:val="2"/>
          <w:sz w:val="21"/>
          <w:szCs w:val="22"/>
          <w:lang w:eastAsia="zh-CN"/>
        </w:rPr>
      </w:pPr>
    </w:p>
    <w:p w:rsidR="009C4C49" w:rsidRPr="009C4C49" w:rsidRDefault="009C4C49" w:rsidP="009C4C49">
      <w:pPr>
        <w:widowControl w:val="0"/>
        <w:jc w:val="center"/>
        <w:rPr>
          <w:rFonts w:ascii="Book Antiqua" w:hAnsi="Book Antiqua"/>
          <w:color w:val="000000"/>
          <w:kern w:val="2"/>
          <w:sz w:val="21"/>
          <w:szCs w:val="22"/>
          <w:lang w:eastAsia="zh-CN"/>
        </w:rPr>
      </w:pPr>
      <w:r w:rsidRPr="009C4C49">
        <w:rPr>
          <w:rFonts w:ascii="Book Antiqua" w:eastAsia="BookAntiqua-Bold" w:hAnsi="Book Antiqua" w:cs="BookAntiqua-Bold"/>
          <w:b/>
          <w:bCs/>
          <w:color w:val="000000"/>
          <w:kern w:val="2"/>
          <w:sz w:val="21"/>
          <w:szCs w:val="22"/>
          <w:lang w:eastAsia="zh-CN"/>
        </w:rPr>
        <w:t xml:space="preserve">© 2021 </w:t>
      </w:r>
      <w:proofErr w:type="spellStart"/>
      <w:r w:rsidRPr="009C4C49">
        <w:rPr>
          <w:rFonts w:ascii="Book Antiqua" w:eastAsia="BookAntiqua-Bold" w:hAnsi="Book Antiqua" w:cs="BookAntiqua-Bold"/>
          <w:b/>
          <w:bCs/>
          <w:color w:val="000000"/>
          <w:kern w:val="2"/>
          <w:sz w:val="21"/>
          <w:szCs w:val="22"/>
          <w:lang w:eastAsia="zh-CN"/>
        </w:rPr>
        <w:t>Baishideng</w:t>
      </w:r>
      <w:proofErr w:type="spellEnd"/>
      <w:r w:rsidRPr="009C4C49">
        <w:rPr>
          <w:rFonts w:ascii="Book Antiqua" w:eastAsia="BookAntiqua-Bold" w:hAnsi="Book Antiqua" w:cs="BookAntiqua-Bold"/>
          <w:b/>
          <w:bCs/>
          <w:color w:val="000000"/>
          <w:kern w:val="2"/>
          <w:sz w:val="21"/>
          <w:szCs w:val="22"/>
          <w:lang w:eastAsia="zh-CN"/>
        </w:rPr>
        <w:t xml:space="preserve"> Publishing Group Inc. All rights reserved.</w:t>
      </w:r>
      <w:r w:rsidRPr="009C4C49">
        <w:rPr>
          <w:rFonts w:ascii="Book Antiqua" w:hAnsi="Book Antiqua"/>
          <w:color w:val="000000"/>
          <w:kern w:val="2"/>
          <w:sz w:val="21"/>
          <w:szCs w:val="22"/>
          <w:lang w:eastAsia="zh-CN"/>
        </w:rPr>
        <w:fldChar w:fldCharType="begin"/>
      </w:r>
      <w:r w:rsidRPr="009C4C49">
        <w:rPr>
          <w:rFonts w:ascii="Book Antiqua" w:hAnsi="Book Antiqua"/>
          <w:color w:val="000000"/>
          <w:kern w:val="2"/>
          <w:sz w:val="21"/>
          <w:szCs w:val="22"/>
          <w:lang w:eastAsia="zh-CN"/>
        </w:rPr>
        <w:instrText xml:space="preserve"> ADDIN EN.REFLIST </w:instrText>
      </w:r>
      <w:r w:rsidRPr="009C4C49">
        <w:rPr>
          <w:rFonts w:ascii="Book Antiqua" w:hAnsi="Book Antiqua"/>
          <w:color w:val="000000"/>
          <w:kern w:val="2"/>
          <w:sz w:val="21"/>
          <w:szCs w:val="22"/>
          <w:lang w:eastAsia="zh-CN"/>
        </w:rPr>
        <w:fldChar w:fldCharType="end"/>
      </w:r>
    </w:p>
    <w:p w:rsidR="00897A3A" w:rsidRPr="00BC5299" w:rsidRDefault="00897A3A" w:rsidP="00BC52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897A3A" w:rsidRPr="00BC5299" w:rsidSect="009C4C49">
      <w:pgSz w:w="11907" w:h="1814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ED" w:rsidRDefault="00E604ED">
      <w:r>
        <w:separator/>
      </w:r>
    </w:p>
  </w:endnote>
  <w:endnote w:type="continuationSeparator" w:id="0">
    <w:p w:rsidR="00E604ED" w:rsidRDefault="00E6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82" w:rsidRPr="003324C3" w:rsidRDefault="007F1082">
    <w:pPr>
      <w:pStyle w:val="a4"/>
      <w:jc w:val="right"/>
      <w:rPr>
        <w:rFonts w:ascii="Book Antiqua" w:hAnsi="Book Antiqua"/>
        <w:sz w:val="24"/>
        <w:szCs w:val="24"/>
      </w:rPr>
    </w:pPr>
    <w:r>
      <w:rPr>
        <w:lang w:val="zh-CN" w:eastAsia="zh-CN"/>
      </w:rPr>
      <w:t xml:space="preserve"> </w:t>
    </w:r>
    <w:r w:rsidRPr="003324C3">
      <w:rPr>
        <w:rFonts w:ascii="Book Antiqua" w:hAnsi="Book Antiqua"/>
        <w:sz w:val="24"/>
        <w:szCs w:val="24"/>
      </w:rPr>
      <w:fldChar w:fldCharType="begin"/>
    </w:r>
    <w:r w:rsidRPr="003324C3">
      <w:rPr>
        <w:rFonts w:ascii="Book Antiqua" w:hAnsi="Book Antiqua"/>
        <w:sz w:val="24"/>
        <w:szCs w:val="24"/>
      </w:rPr>
      <w:instrText>PAGE</w:instrText>
    </w:r>
    <w:r w:rsidRPr="003324C3">
      <w:rPr>
        <w:rFonts w:ascii="Book Antiqua" w:hAnsi="Book Antiqua"/>
        <w:sz w:val="24"/>
        <w:szCs w:val="24"/>
      </w:rPr>
      <w:fldChar w:fldCharType="separate"/>
    </w:r>
    <w:r w:rsidR="00AB251E">
      <w:rPr>
        <w:rFonts w:ascii="Book Antiqua" w:hAnsi="Book Antiqua"/>
        <w:noProof/>
        <w:sz w:val="24"/>
        <w:szCs w:val="24"/>
      </w:rPr>
      <w:t>7</w:t>
    </w:r>
    <w:r w:rsidRPr="003324C3">
      <w:rPr>
        <w:rFonts w:ascii="Book Antiqua" w:hAnsi="Book Antiqua"/>
        <w:sz w:val="24"/>
        <w:szCs w:val="24"/>
      </w:rPr>
      <w:fldChar w:fldCharType="end"/>
    </w:r>
    <w:r w:rsidRPr="003324C3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3324C3">
      <w:rPr>
        <w:rFonts w:ascii="Book Antiqua" w:hAnsi="Book Antiqua"/>
        <w:sz w:val="24"/>
        <w:szCs w:val="24"/>
      </w:rPr>
      <w:fldChar w:fldCharType="begin"/>
    </w:r>
    <w:r w:rsidRPr="003324C3">
      <w:rPr>
        <w:rFonts w:ascii="Book Antiqua" w:hAnsi="Book Antiqua"/>
        <w:sz w:val="24"/>
        <w:szCs w:val="24"/>
      </w:rPr>
      <w:instrText>NUMPAGES</w:instrText>
    </w:r>
    <w:r w:rsidRPr="003324C3">
      <w:rPr>
        <w:rFonts w:ascii="Book Antiqua" w:hAnsi="Book Antiqua"/>
        <w:sz w:val="24"/>
        <w:szCs w:val="24"/>
      </w:rPr>
      <w:fldChar w:fldCharType="separate"/>
    </w:r>
    <w:r w:rsidR="00AB251E">
      <w:rPr>
        <w:rFonts w:ascii="Book Antiqua" w:hAnsi="Book Antiqua"/>
        <w:noProof/>
        <w:sz w:val="24"/>
        <w:szCs w:val="24"/>
      </w:rPr>
      <w:t>34</w:t>
    </w:r>
    <w:r w:rsidRPr="003324C3">
      <w:rPr>
        <w:rFonts w:ascii="Book Antiqua" w:hAnsi="Book Antiqua"/>
        <w:sz w:val="24"/>
        <w:szCs w:val="24"/>
      </w:rPr>
      <w:fldChar w:fldCharType="end"/>
    </w:r>
  </w:p>
  <w:p w:rsidR="007F1082" w:rsidRDefault="007F10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ED" w:rsidRDefault="00E604ED">
      <w:r>
        <w:separator/>
      </w:r>
    </w:p>
  </w:footnote>
  <w:footnote w:type="continuationSeparator" w:id="0">
    <w:p w:rsidR="00E604ED" w:rsidRDefault="00E6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2B27"/>
    <w:rsid w:val="0001655C"/>
    <w:rsid w:val="00022C8D"/>
    <w:rsid w:val="000806DE"/>
    <w:rsid w:val="000E7B5C"/>
    <w:rsid w:val="00191A73"/>
    <w:rsid w:val="002557EA"/>
    <w:rsid w:val="0029504C"/>
    <w:rsid w:val="002B5216"/>
    <w:rsid w:val="002E5DCD"/>
    <w:rsid w:val="003118E1"/>
    <w:rsid w:val="00331F9B"/>
    <w:rsid w:val="003324C3"/>
    <w:rsid w:val="00334D64"/>
    <w:rsid w:val="003A18E8"/>
    <w:rsid w:val="003A437B"/>
    <w:rsid w:val="003A59D6"/>
    <w:rsid w:val="003D75A4"/>
    <w:rsid w:val="003E70E3"/>
    <w:rsid w:val="003F0006"/>
    <w:rsid w:val="003F47F9"/>
    <w:rsid w:val="00446307"/>
    <w:rsid w:val="004A10F6"/>
    <w:rsid w:val="004B62EC"/>
    <w:rsid w:val="004F0B61"/>
    <w:rsid w:val="005041C9"/>
    <w:rsid w:val="0055505F"/>
    <w:rsid w:val="005D5035"/>
    <w:rsid w:val="00643AB2"/>
    <w:rsid w:val="006D7F79"/>
    <w:rsid w:val="00722D14"/>
    <w:rsid w:val="0072447B"/>
    <w:rsid w:val="00733836"/>
    <w:rsid w:val="00770991"/>
    <w:rsid w:val="007E491E"/>
    <w:rsid w:val="007F1082"/>
    <w:rsid w:val="00857EA1"/>
    <w:rsid w:val="00876184"/>
    <w:rsid w:val="008858D1"/>
    <w:rsid w:val="00897A3A"/>
    <w:rsid w:val="008C624D"/>
    <w:rsid w:val="0093000F"/>
    <w:rsid w:val="00946E18"/>
    <w:rsid w:val="00947186"/>
    <w:rsid w:val="009C4C49"/>
    <w:rsid w:val="00A40D06"/>
    <w:rsid w:val="00A65AA0"/>
    <w:rsid w:val="00A77B3E"/>
    <w:rsid w:val="00AB251E"/>
    <w:rsid w:val="00AE585B"/>
    <w:rsid w:val="00AF2D86"/>
    <w:rsid w:val="00B0444B"/>
    <w:rsid w:val="00B62864"/>
    <w:rsid w:val="00B82894"/>
    <w:rsid w:val="00BA17CC"/>
    <w:rsid w:val="00BA326E"/>
    <w:rsid w:val="00BC5299"/>
    <w:rsid w:val="00BE21A8"/>
    <w:rsid w:val="00C072F3"/>
    <w:rsid w:val="00C32FA2"/>
    <w:rsid w:val="00C40FE9"/>
    <w:rsid w:val="00C664E5"/>
    <w:rsid w:val="00CA2A55"/>
    <w:rsid w:val="00D20D1B"/>
    <w:rsid w:val="00D37A07"/>
    <w:rsid w:val="00D40313"/>
    <w:rsid w:val="00D50240"/>
    <w:rsid w:val="00D51F5A"/>
    <w:rsid w:val="00D5244B"/>
    <w:rsid w:val="00D86254"/>
    <w:rsid w:val="00DD27FA"/>
    <w:rsid w:val="00E02EA7"/>
    <w:rsid w:val="00E075D9"/>
    <w:rsid w:val="00E2125F"/>
    <w:rsid w:val="00E22922"/>
    <w:rsid w:val="00E57C62"/>
    <w:rsid w:val="00E604ED"/>
    <w:rsid w:val="00EA760B"/>
    <w:rsid w:val="00ED560E"/>
    <w:rsid w:val="00F334EC"/>
    <w:rsid w:val="00F4162E"/>
    <w:rsid w:val="00F56E19"/>
    <w:rsid w:val="00F7381C"/>
    <w:rsid w:val="00FE381C"/>
    <w:rsid w:val="704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</w:style>
  <w:style w:type="character" w:customStyle="1" w:styleId="Char">
    <w:name w:val="批注文字 Char"/>
    <w:link w:val="a3"/>
    <w:semiHidden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a7">
    <w:name w:val="annotation subject"/>
    <w:basedOn w:val="a3"/>
    <w:next w:val="a3"/>
    <w:link w:val="Char2"/>
    <w:unhideWhenUsed/>
    <w:rPr>
      <w:b/>
      <w:bCs/>
    </w:rPr>
  </w:style>
  <w:style w:type="character" w:customStyle="1" w:styleId="Char2">
    <w:name w:val="批注主题 Char"/>
    <w:link w:val="a7"/>
    <w:semiHidden/>
    <w:rPr>
      <w:b/>
      <w:bCs/>
      <w:sz w:val="24"/>
      <w:szCs w:val="24"/>
    </w:rPr>
  </w:style>
  <w:style w:type="character" w:styleId="a8">
    <w:name w:val="annotation reference"/>
    <w:unhideWhenUsed/>
    <w:rPr>
      <w:sz w:val="21"/>
      <w:szCs w:val="21"/>
    </w:rPr>
  </w:style>
  <w:style w:type="paragraph" w:customStyle="1" w:styleId="Normal1">
    <w:name w:val="Normal1"/>
    <w:pPr>
      <w:jc w:val="both"/>
    </w:pPr>
    <w:rPr>
      <w:kern w:val="2"/>
      <w:sz w:val="21"/>
      <w:szCs w:val="21"/>
    </w:rPr>
  </w:style>
  <w:style w:type="paragraph" w:styleId="a9">
    <w:name w:val="Revision"/>
    <w:hidden/>
    <w:uiPriority w:val="99"/>
    <w:unhideWhenUsed/>
    <w:rsid w:val="0072447B"/>
    <w:rPr>
      <w:sz w:val="24"/>
      <w:szCs w:val="24"/>
      <w:lang w:eastAsia="en-US"/>
    </w:rPr>
  </w:style>
  <w:style w:type="paragraph" w:styleId="aa">
    <w:name w:val="Balloon Text"/>
    <w:basedOn w:val="a"/>
    <w:link w:val="Char3"/>
    <w:rsid w:val="00946E18"/>
    <w:rPr>
      <w:sz w:val="18"/>
      <w:szCs w:val="18"/>
    </w:rPr>
  </w:style>
  <w:style w:type="character" w:customStyle="1" w:styleId="Char3">
    <w:name w:val="批注框文本 Char"/>
    <w:basedOn w:val="a0"/>
    <w:link w:val="aa"/>
    <w:rsid w:val="00946E18"/>
    <w:rPr>
      <w:sz w:val="18"/>
      <w:szCs w:val="18"/>
      <w:lang w:eastAsia="en-US"/>
    </w:rPr>
  </w:style>
  <w:style w:type="character" w:styleId="ab">
    <w:name w:val="Hyperlink"/>
    <w:basedOn w:val="a0"/>
    <w:unhideWhenUsed/>
    <w:rsid w:val="009C4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</w:style>
  <w:style w:type="character" w:customStyle="1" w:styleId="Char">
    <w:name w:val="批注文字 Char"/>
    <w:link w:val="a3"/>
    <w:semiHidden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a7">
    <w:name w:val="annotation subject"/>
    <w:basedOn w:val="a3"/>
    <w:next w:val="a3"/>
    <w:link w:val="Char2"/>
    <w:unhideWhenUsed/>
    <w:rPr>
      <w:b/>
      <w:bCs/>
    </w:rPr>
  </w:style>
  <w:style w:type="character" w:customStyle="1" w:styleId="Char2">
    <w:name w:val="批注主题 Char"/>
    <w:link w:val="a7"/>
    <w:semiHidden/>
    <w:rPr>
      <w:b/>
      <w:bCs/>
      <w:sz w:val="24"/>
      <w:szCs w:val="24"/>
    </w:rPr>
  </w:style>
  <w:style w:type="character" w:styleId="a8">
    <w:name w:val="annotation reference"/>
    <w:unhideWhenUsed/>
    <w:rPr>
      <w:sz w:val="21"/>
      <w:szCs w:val="21"/>
    </w:rPr>
  </w:style>
  <w:style w:type="paragraph" w:customStyle="1" w:styleId="Normal1">
    <w:name w:val="Normal1"/>
    <w:pPr>
      <w:jc w:val="both"/>
    </w:pPr>
    <w:rPr>
      <w:kern w:val="2"/>
      <w:sz w:val="21"/>
      <w:szCs w:val="21"/>
    </w:rPr>
  </w:style>
  <w:style w:type="paragraph" w:styleId="a9">
    <w:name w:val="Revision"/>
    <w:hidden/>
    <w:uiPriority w:val="99"/>
    <w:unhideWhenUsed/>
    <w:rsid w:val="0072447B"/>
    <w:rPr>
      <w:sz w:val="24"/>
      <w:szCs w:val="24"/>
      <w:lang w:eastAsia="en-US"/>
    </w:rPr>
  </w:style>
  <w:style w:type="paragraph" w:styleId="aa">
    <w:name w:val="Balloon Text"/>
    <w:basedOn w:val="a"/>
    <w:link w:val="Char3"/>
    <w:rsid w:val="00946E18"/>
    <w:rPr>
      <w:sz w:val="18"/>
      <w:szCs w:val="18"/>
    </w:rPr>
  </w:style>
  <w:style w:type="character" w:customStyle="1" w:styleId="Char3">
    <w:name w:val="批注框文本 Char"/>
    <w:basedOn w:val="a0"/>
    <w:link w:val="aa"/>
    <w:rsid w:val="00946E18"/>
    <w:rPr>
      <w:sz w:val="18"/>
      <w:szCs w:val="18"/>
      <w:lang w:eastAsia="en-US"/>
    </w:rPr>
  </w:style>
  <w:style w:type="character" w:styleId="ab">
    <w:name w:val="Hyperlink"/>
    <w:basedOn w:val="a0"/>
    <w:unhideWhenUsed/>
    <w:rsid w:val="009C4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87ED-A6E9-4D17-B45E-57663CCC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7881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2021-04-25T06:53:00Z</dcterms:created>
  <dcterms:modified xsi:type="dcterms:W3CDTF">2021-04-26T11:02:00Z</dcterms:modified>
</cp:coreProperties>
</file>