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AD4D" w14:textId="3CEA22A9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Name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of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Journal: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color w:val="000000"/>
        </w:rPr>
        <w:t>Artificial</w:t>
      </w:r>
      <w:r w:rsidR="007D69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color w:val="000000"/>
        </w:rPr>
        <w:t>Intelligence</w:t>
      </w:r>
      <w:r w:rsidR="007D69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color w:val="000000"/>
        </w:rPr>
        <w:t>in</w:t>
      </w:r>
      <w:r w:rsidR="007D69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color w:val="000000"/>
        </w:rPr>
        <w:t>Gastrointestinal</w:t>
      </w:r>
      <w:r w:rsidR="007D69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color w:val="000000"/>
        </w:rPr>
        <w:t>Endoscopy</w:t>
      </w:r>
    </w:p>
    <w:p w14:paraId="62E238B0" w14:textId="0A76D924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Manuscript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NO: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68993</w:t>
      </w:r>
    </w:p>
    <w:p w14:paraId="1BA5B05A" w14:textId="009111D9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Manuscript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Type: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MINIREVIEWS</w:t>
      </w:r>
    </w:p>
    <w:p w14:paraId="3E6B1C33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25B083" w14:textId="685E9E05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cancer: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intelligence</w:t>
      </w:r>
    </w:p>
    <w:p w14:paraId="76F15F36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DEA1B7" w14:textId="624B6716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Yang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69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</w:p>
    <w:p w14:paraId="0BEEB024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E81391" w14:textId="0A933C07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Hang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Yang,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Hu</w:t>
      </w:r>
    </w:p>
    <w:p w14:paraId="08438E40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B4E84C" w14:textId="24CDA302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Hang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Bing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Department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Gastroenterology,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China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Hospital,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Sichuan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University,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Chengdu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610041,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Sichuan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Province,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China</w:t>
      </w:r>
    </w:p>
    <w:p w14:paraId="1140642F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5017DE" w14:textId="27B913D3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authors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participated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work;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Yang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contributed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design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draft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manuscript;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Hu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contributed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design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manuscript.</w:t>
      </w:r>
    </w:p>
    <w:p w14:paraId="11B093B7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1F94E5" w14:textId="1BC3A67B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by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1·3·5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project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disciplines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excellence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Clinical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Incubation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Project,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China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Hospital,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Sichuan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University,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China,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</w:t>
      </w:r>
      <w:r w:rsidR="004E2917" w:rsidRPr="002529C3">
        <w:rPr>
          <w:rFonts w:ascii="Book Antiqua" w:eastAsia="Book Antiqua" w:hAnsi="Book Antiqua" w:cs="Book Antiqua"/>
          <w:color w:val="000000"/>
        </w:rPr>
        <w:t>o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20HXFH016.</w:t>
      </w:r>
    </w:p>
    <w:p w14:paraId="5C9FDE9F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2C53E6" w14:textId="089C0A6E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Bing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Department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Gastroenterology,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China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Hospital,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Sichuan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University,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37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Guo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Xue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Xiang,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Wu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Hou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District,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Chengdu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610041,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Sichuan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Province,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China.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hubingnj@163.com</w:t>
      </w:r>
    </w:p>
    <w:p w14:paraId="4B9B8C19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5A8A81" w14:textId="5A6381DB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June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11,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2021</w:t>
      </w:r>
    </w:p>
    <w:p w14:paraId="11802E2A" w14:textId="0BB9B08A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June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25,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2021</w:t>
      </w:r>
    </w:p>
    <w:p w14:paraId="7D77B6AE" w14:textId="2DE23C48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81E" w:rsidRPr="002529C3">
        <w:rPr>
          <w:rFonts w:ascii="Book Antiqua" w:eastAsia="Book Antiqua" w:hAnsi="Book Antiqua" w:cs="Book Antiqua"/>
          <w:color w:val="000000"/>
        </w:rPr>
        <w:t>August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31681E" w:rsidRPr="002529C3">
        <w:rPr>
          <w:rFonts w:ascii="Book Antiqua" w:eastAsia="Book Antiqua" w:hAnsi="Book Antiqua" w:cs="Book Antiqua"/>
          <w:color w:val="000000"/>
        </w:rPr>
        <w:t>18,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31681E" w:rsidRPr="002529C3">
        <w:rPr>
          <w:rFonts w:ascii="Book Antiqua" w:eastAsia="Book Antiqua" w:hAnsi="Book Antiqua" w:cs="Book Antiqua"/>
          <w:color w:val="000000"/>
        </w:rPr>
        <w:t>2021</w:t>
      </w:r>
    </w:p>
    <w:p w14:paraId="3042C45E" w14:textId="00CE98C8" w:rsidR="006925FD" w:rsidRPr="008765F0" w:rsidRDefault="00BF61FC" w:rsidP="006925F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25FD" w:rsidRPr="008765F0">
        <w:rPr>
          <w:rFonts w:ascii="Book Antiqua" w:eastAsia="Book Antiqua" w:hAnsi="Book Antiqua" w:cs="Book Antiqua"/>
          <w:bCs/>
          <w:color w:val="000000"/>
        </w:rPr>
        <w:t>August</w:t>
      </w:r>
      <w:r w:rsidR="007D698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925FD" w:rsidRPr="008765F0">
        <w:rPr>
          <w:rFonts w:ascii="Book Antiqua" w:eastAsia="Book Antiqua" w:hAnsi="Book Antiqua" w:cs="Book Antiqua"/>
          <w:bCs/>
          <w:color w:val="000000"/>
        </w:rPr>
        <w:t>28,</w:t>
      </w:r>
      <w:r w:rsidR="007D698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925FD" w:rsidRPr="008765F0">
        <w:rPr>
          <w:rFonts w:ascii="Book Antiqua" w:eastAsia="Book Antiqua" w:hAnsi="Book Antiqua" w:cs="Book Antiqua"/>
          <w:bCs/>
          <w:color w:val="000000"/>
        </w:rPr>
        <w:t>2021</w:t>
      </w:r>
    </w:p>
    <w:p w14:paraId="74A81E9A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E7495E" w14:textId="77777777" w:rsidR="00392A3D" w:rsidRDefault="00392A3D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9A91692" w14:textId="77777777" w:rsidR="005C5EE8" w:rsidRPr="005C5EE8" w:rsidRDefault="005C5EE8" w:rsidP="002529C3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B6AC89E" w14:textId="77777777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Abstract</w:t>
      </w:r>
    </w:p>
    <w:p w14:paraId="7A9F3FB8" w14:textId="17E5BE93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gastrointestinal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(GI)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clinical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work.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treatment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tightly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associated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patients’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prognos</w:t>
      </w:r>
      <w:r w:rsidR="002529C3">
        <w:rPr>
          <w:rFonts w:ascii="Book Antiqua" w:eastAsia="Book Antiqua" w:hAnsi="Book Antiqua" w:cs="Book Antiqua"/>
          <w:color w:val="000000"/>
        </w:rPr>
        <w:t>e</w:t>
      </w:r>
      <w:r w:rsidRPr="002529C3">
        <w:rPr>
          <w:rFonts w:ascii="Book Antiqua" w:eastAsia="Book Antiqua" w:hAnsi="Book Antiqua" w:cs="Book Antiqua"/>
          <w:color w:val="000000"/>
        </w:rPr>
        <w:t>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novel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technology,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intelligence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improved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field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</w:t>
      </w:r>
      <w:r w:rsid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S</w:t>
      </w:r>
      <w:r w:rsidRPr="002529C3">
        <w:rPr>
          <w:rFonts w:ascii="Book Antiqua" w:eastAsia="Book Antiqua" w:hAnsi="Book Antiqua" w:cs="Book Antiqua"/>
          <w:color w:val="000000"/>
        </w:rPr>
        <w:t>tudies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4928D1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evaluation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diseases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development,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advanced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esophagus,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stomach,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concluded,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associated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process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Barrett’s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status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quo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 w:rsidRPr="002529C3">
        <w:rPr>
          <w:rFonts w:ascii="Book Antiqua" w:eastAsia="Book Antiqua" w:hAnsi="Book Antiqua" w:cs="Book Antiqua"/>
          <w:color w:val="000000"/>
        </w:rPr>
        <w:t>artificial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 w:rsidRPr="002529C3">
        <w:rPr>
          <w:rFonts w:ascii="Book Antiqua" w:eastAsia="Book Antiqua" w:hAnsi="Book Antiqua" w:cs="Book Antiqua"/>
          <w:color w:val="000000"/>
        </w:rPr>
        <w:t>intelligence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provided</w:t>
      </w:r>
      <w:r w:rsidRPr="002529C3">
        <w:rPr>
          <w:rFonts w:ascii="Book Antiqua" w:eastAsia="Book Antiqua" w:hAnsi="Book Antiqua" w:cs="Book Antiqua"/>
          <w:color w:val="000000"/>
        </w:rPr>
        <w:t>.</w:t>
      </w:r>
    </w:p>
    <w:p w14:paraId="4A5C6C74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B98CA9" w14:textId="4FB2948A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intelligence;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</w:p>
    <w:p w14:paraId="16217080" w14:textId="77777777" w:rsidR="00B45022" w:rsidRDefault="00B45022" w:rsidP="00B45022">
      <w:pPr>
        <w:rPr>
          <w:rFonts w:asciiTheme="minorEastAsia" w:hAnsiTheme="minorEastAsia"/>
          <w:b/>
        </w:rPr>
      </w:pPr>
    </w:p>
    <w:p w14:paraId="1BE5A037" w14:textId="77777777" w:rsidR="00B45022" w:rsidRDefault="00B45022" w:rsidP="00B45022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2756062A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71A04E" w14:textId="1C7975A1" w:rsidR="0032306F" w:rsidRDefault="0032306F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Citation: </w:t>
      </w:r>
      <w:r w:rsidR="00BF61FC" w:rsidRPr="002529C3">
        <w:rPr>
          <w:rFonts w:ascii="Book Antiqua" w:eastAsia="Book Antiqua" w:hAnsi="Book Antiqua" w:cs="Book Antiqua"/>
          <w:color w:val="000000"/>
        </w:rPr>
        <w:t>Yang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Hu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B.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gastrointestinal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cancer: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application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intelligence.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i/>
          <w:iCs/>
          <w:color w:val="000000"/>
        </w:rPr>
        <w:t>Artif</w:t>
      </w:r>
      <w:r w:rsidR="007D69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i/>
          <w:iCs/>
          <w:color w:val="000000"/>
        </w:rPr>
        <w:t>Intell</w:t>
      </w:r>
      <w:r w:rsidR="007D69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7D69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2021;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AC6446" w:rsidRPr="00AC6446">
        <w:rPr>
          <w:rFonts w:ascii="Book Antiqua" w:eastAsia="Book Antiqua" w:hAnsi="Book Antiqua" w:cs="Book Antiqua"/>
          <w:color w:val="000000"/>
        </w:rPr>
        <w:t>2(4):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523E7">
        <w:rPr>
          <w:rFonts w:ascii="Book Antiqua" w:hAnsi="Book Antiqua"/>
          <w:color w:val="000000"/>
        </w:rPr>
        <w:t>185</w:t>
      </w:r>
      <w:r w:rsidR="00AC6446" w:rsidRPr="00AC6446">
        <w:rPr>
          <w:rFonts w:ascii="Book Antiqua" w:eastAsia="Book Antiqua" w:hAnsi="Book Antiqua" w:cs="Book Antiqua"/>
          <w:color w:val="000000"/>
        </w:rPr>
        <w:t>-</w:t>
      </w:r>
      <w:r w:rsidR="00DC6E0F">
        <w:rPr>
          <w:rFonts w:ascii="Book Antiqua" w:hAnsi="Book Antiqua"/>
          <w:color w:val="000000"/>
        </w:rPr>
        <w:t xml:space="preserve">197 </w:t>
      </w:r>
    </w:p>
    <w:p w14:paraId="6491405F" w14:textId="7619E8AD" w:rsidR="0032306F" w:rsidRDefault="00AC6446" w:rsidP="002529C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7A22">
        <w:rPr>
          <w:rFonts w:ascii="Book Antiqua" w:eastAsia="Book Antiqua" w:hAnsi="Book Antiqua" w:cs="Book Antiqua"/>
          <w:b/>
          <w:bCs/>
          <w:color w:val="000000"/>
        </w:rPr>
        <w:t>URL: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32306F" w:rsidRPr="0032306F">
        <w:rPr>
          <w:rFonts w:ascii="Book Antiqua" w:eastAsia="Book Antiqua" w:hAnsi="Book Antiqua" w:cs="Book Antiqua"/>
          <w:color w:val="000000"/>
        </w:rPr>
        <w:t>https://www.wjgnet.com/2689-7164/full/v2/i4/</w:t>
      </w:r>
      <w:r w:rsidR="0032306F" w:rsidRPr="0032306F">
        <w:rPr>
          <w:rFonts w:ascii="Book Antiqua" w:hAnsi="Book Antiqua"/>
          <w:color w:val="000000"/>
        </w:rPr>
        <w:t>185</w:t>
      </w:r>
      <w:r w:rsidR="0032306F" w:rsidRPr="0032306F">
        <w:rPr>
          <w:rFonts w:ascii="Book Antiqua" w:eastAsia="Book Antiqua" w:hAnsi="Book Antiqua" w:cs="Book Antiqua"/>
          <w:color w:val="000000"/>
        </w:rPr>
        <w:t>.htm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23B02378" w14:textId="76C0CCE9" w:rsidR="00A77B3E" w:rsidRDefault="00AC6446" w:rsidP="002529C3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E7A22">
        <w:rPr>
          <w:rFonts w:ascii="Book Antiqua" w:eastAsia="Book Antiqua" w:hAnsi="Book Antiqua" w:cs="Book Antiqua"/>
          <w:b/>
          <w:bCs/>
          <w:color w:val="000000"/>
        </w:rPr>
        <w:t>DOI: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D4476">
        <w:rPr>
          <w:rFonts w:ascii="Book Antiqua" w:eastAsia="Book Antiqua" w:hAnsi="Book Antiqua" w:cs="Book Antiqua"/>
        </w:rPr>
        <w:t>https://dx.doi.org/10.</w:t>
      </w:r>
      <w:r w:rsidR="009E3A0B">
        <w:rPr>
          <w:rFonts w:ascii="Book Antiqua" w:eastAsia="Book Antiqua" w:hAnsi="Book Antiqua" w:cs="Book Antiqua"/>
        </w:rPr>
        <w:t>37126</w:t>
      </w:r>
      <w:r w:rsidR="00ED4476">
        <w:rPr>
          <w:rFonts w:ascii="Book Antiqua" w:eastAsia="Book Antiqua" w:hAnsi="Book Antiqua" w:cs="Book Antiqua"/>
        </w:rPr>
        <w:t>/aige.v2.i4.</w:t>
      </w:r>
      <w:r w:rsidR="00E523E7">
        <w:rPr>
          <w:rFonts w:ascii="Book Antiqua" w:hAnsi="Book Antiqua"/>
          <w:color w:val="000000"/>
        </w:rPr>
        <w:t>185</w:t>
      </w:r>
    </w:p>
    <w:p w14:paraId="5BF2BA02" w14:textId="77777777" w:rsidR="00AC6446" w:rsidRPr="00AC6446" w:rsidRDefault="00AC6446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74D7176" w14:textId="450C3A75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D</w:t>
      </w:r>
      <w:r w:rsidRPr="002529C3">
        <w:rPr>
          <w:rFonts w:ascii="Book Antiqua" w:eastAsia="Book Antiqua" w:hAnsi="Book Antiqua" w:cs="Book Antiqua"/>
          <w:color w:val="000000"/>
        </w:rPr>
        <w:t>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management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gastrointestinal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(GI)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cores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clinical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practice.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indispensable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tool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standard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surveillance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management.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intelligence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i</w:t>
      </w:r>
      <w:r w:rsidRPr="002529C3">
        <w:rPr>
          <w:rFonts w:ascii="Book Antiqua" w:eastAsia="Book Antiqua" w:hAnsi="Book Antiqua" w:cs="Book Antiqua"/>
          <w:color w:val="000000"/>
        </w:rPr>
        <w:t>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novel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technology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some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fields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Therefore,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provide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overview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introduce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lastRenderedPageBreak/>
        <w:t>how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a</w:t>
      </w:r>
      <w:r w:rsidR="002529C3" w:rsidRPr="002529C3">
        <w:rPr>
          <w:rFonts w:ascii="Book Antiqua" w:eastAsia="Book Antiqua" w:hAnsi="Book Antiqua" w:cs="Book Antiqua"/>
          <w:color w:val="000000"/>
        </w:rPr>
        <w:t>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 w:rsidRPr="002529C3">
        <w:rPr>
          <w:rFonts w:ascii="Book Antiqua" w:eastAsia="Book Antiqua" w:hAnsi="Book Antiqua" w:cs="Book Antiqua"/>
          <w:color w:val="000000"/>
        </w:rPr>
        <w:t>intelligence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mainly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esophagus,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stomach,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point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view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clinical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management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guidelines.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529C3">
        <w:rPr>
          <w:rFonts w:ascii="Book Antiqua" w:eastAsia="Book Antiqua" w:hAnsi="Book Antiqua" w:cs="Book Antiqua"/>
          <w:color w:val="000000"/>
        </w:rPr>
        <w:t>S</w:t>
      </w:r>
      <w:r w:rsidRPr="002529C3">
        <w:rPr>
          <w:rFonts w:ascii="Book Antiqua" w:eastAsia="Book Antiqua" w:hAnsi="Book Antiqua" w:cs="Book Antiqua"/>
          <w:color w:val="000000"/>
        </w:rPr>
        <w:t>tudies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quality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control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management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their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concluded.</w:t>
      </w:r>
    </w:p>
    <w:p w14:paraId="31067E8E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FF51DB" w14:textId="77777777" w:rsidR="002529C3" w:rsidRDefault="002529C3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131DA63" w14:textId="22B26CA9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E0A8D11" w14:textId="1D3BB625" w:rsidR="004928D1" w:rsidRDefault="00BF61FC" w:rsidP="002529C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9C3">
        <w:rPr>
          <w:rFonts w:ascii="Book Antiqua" w:eastAsia="Book Antiqua" w:hAnsi="Book Antiqua" w:cs="Book Antiqua"/>
          <w:color w:val="000000"/>
        </w:rPr>
        <w:t>Artificial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intelligence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(AI)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essentially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process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learning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human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thinking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transferring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human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experience.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Recognizing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neural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networks/convolutional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neural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networks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(CNNs)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novel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fields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Computer-aided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(CAD)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systems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designed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interpret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medical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</w:t>
      </w:r>
      <w:r w:rsidR="004928D1">
        <w:rPr>
          <w:rFonts w:ascii="Book Antiqua" w:eastAsia="Book Antiqua" w:hAnsi="Book Antiqua" w:cs="Book Antiqua"/>
          <w:color w:val="000000"/>
        </w:rPr>
        <w:t>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advances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learning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deep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learning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(DL)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mainly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three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groups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(CADe,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CADx,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CADm)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42712C91" w14:textId="2A6CB983" w:rsidR="004928D1" w:rsidRDefault="00BF61FC" w:rsidP="004928D1">
      <w:pPr>
        <w:adjustRightInd w:val="0"/>
        <w:snapToGrid w:val="0"/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widely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involved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>
        <w:rPr>
          <w:rFonts w:ascii="Book Antiqua" w:eastAsia="Book Antiqua" w:hAnsi="Book Antiqua" w:cs="Book Antiqua"/>
          <w:color w:val="000000"/>
        </w:rPr>
        <w:t>I</w:t>
      </w:r>
      <w:r w:rsidRPr="002529C3">
        <w:rPr>
          <w:rFonts w:ascii="Book Antiqua" w:eastAsia="Book Antiqua" w:hAnsi="Book Antiqua" w:cs="Book Antiqua"/>
          <w:color w:val="000000"/>
        </w:rPr>
        <w:t>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regard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digestive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>
        <w:rPr>
          <w:rFonts w:ascii="Book Antiqua" w:eastAsia="Book Antiqua" w:hAnsi="Book Antiqua" w:cs="Book Antiqua"/>
          <w:color w:val="000000"/>
        </w:rPr>
        <w:t>utilized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find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intelligent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ways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facilitate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evaluation,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prognosis.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instance,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radiomics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machine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learning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signature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hepatocellular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cirrhotic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indeterminate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liver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nodules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validated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multicenter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retrospective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cohort,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which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could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enhance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clinicians</w:t>
      </w:r>
      <w:r w:rsidR="004928D1">
        <w:rPr>
          <w:rFonts w:ascii="Book Antiqua" w:eastAsia="Book Antiqua" w:hAnsi="Book Antiqua" w:cs="Book Antiqua"/>
          <w:color w:val="000000"/>
        </w:rPr>
        <w:t>’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decision</w:t>
      </w:r>
      <w:r w:rsidR="004928D1">
        <w:rPr>
          <w:rFonts w:ascii="Book Antiqua" w:eastAsia="Book Antiqua" w:hAnsi="Book Antiqua" w:cs="Book Antiqua"/>
          <w:color w:val="000000"/>
        </w:rPr>
        <w:t>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5E98D88F" w14:textId="032D3409" w:rsidR="004928D1" w:rsidRDefault="00BF61FC" w:rsidP="004928D1">
      <w:pPr>
        <w:adjustRightInd w:val="0"/>
        <w:snapToGrid w:val="0"/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aspect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pancreatic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continues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deadliest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malignancies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10%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overall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survival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>
        <w:rPr>
          <w:rFonts w:ascii="Book Antiqua" w:eastAsia="Book Antiqua" w:hAnsi="Book Antiqua" w:cs="Book Antiqua"/>
          <w:color w:val="000000"/>
        </w:rPr>
        <w:t>S</w:t>
      </w:r>
      <w:r w:rsidRPr="002529C3">
        <w:rPr>
          <w:rFonts w:ascii="Book Antiqua" w:eastAsia="Book Antiqua" w:hAnsi="Book Antiqua" w:cs="Book Antiqua"/>
          <w:color w:val="000000"/>
        </w:rPr>
        <w:t>urvival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increase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pancreatic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stage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Intraductal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papillary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mucinous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neoplasms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precursor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pancreatic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adenocarcinoma.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shown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objective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malignancies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>
        <w:rPr>
          <w:rFonts w:ascii="Book Antiqua" w:eastAsia="Book Antiqua" w:hAnsi="Book Antiqua" w:cs="Book Antiqua"/>
          <w:color w:val="000000"/>
        </w:rPr>
        <w:t>i</w:t>
      </w:r>
      <w:r w:rsidR="004928D1" w:rsidRPr="002529C3">
        <w:rPr>
          <w:rFonts w:ascii="Book Antiqua" w:eastAsia="Book Antiqua" w:hAnsi="Book Antiqua" w:cs="Book Antiqua"/>
          <w:color w:val="000000"/>
        </w:rPr>
        <w:t>ntraductal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 w:rsidRPr="002529C3">
        <w:rPr>
          <w:rFonts w:ascii="Book Antiqua" w:eastAsia="Book Antiqua" w:hAnsi="Book Antiqua" w:cs="Book Antiqua"/>
          <w:color w:val="000000"/>
        </w:rPr>
        <w:t>papillary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 w:rsidRPr="002529C3">
        <w:rPr>
          <w:rFonts w:ascii="Book Antiqua" w:eastAsia="Book Antiqua" w:hAnsi="Book Antiqua" w:cs="Book Antiqua"/>
          <w:color w:val="000000"/>
        </w:rPr>
        <w:t>mucinous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 w:rsidRPr="002529C3">
        <w:rPr>
          <w:rFonts w:ascii="Book Antiqua" w:eastAsia="Book Antiqua" w:hAnsi="Book Antiqua" w:cs="Book Antiqua"/>
          <w:color w:val="000000"/>
        </w:rPr>
        <w:t>neoplasms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comparison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human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conventional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ultrasonography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(EUS)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Pancreatic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cystic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precursors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pancreatic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Radiomics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utilizing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quantitative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analysis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extract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features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conjunction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machine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learning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helped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differentiate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benign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>
        <w:rPr>
          <w:rFonts w:ascii="Book Antiqua" w:eastAsia="Book Antiqua" w:hAnsi="Book Antiqua" w:cs="Book Antiqua"/>
          <w:color w:val="000000"/>
        </w:rPr>
        <w:t>p</w:t>
      </w:r>
      <w:r w:rsidR="004928D1" w:rsidRPr="002529C3">
        <w:rPr>
          <w:rFonts w:ascii="Book Antiqua" w:eastAsia="Book Antiqua" w:hAnsi="Book Antiqua" w:cs="Book Antiqua"/>
          <w:color w:val="000000"/>
        </w:rPr>
        <w:t>ancreatic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 w:rsidRPr="002529C3">
        <w:rPr>
          <w:rFonts w:ascii="Book Antiqua" w:eastAsia="Book Antiqua" w:hAnsi="Book Antiqua" w:cs="Book Antiqua"/>
          <w:color w:val="000000"/>
        </w:rPr>
        <w:t>cystic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malignant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ones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F373F1" w:rsidRPr="002529C3">
        <w:rPr>
          <w:rFonts w:ascii="Book Antiqua" w:eastAsia="Book Antiqua" w:hAnsi="Book Antiqua" w:cs="Book Antiqua"/>
          <w:color w:val="000000"/>
        </w:rPr>
        <w:t>artificial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F373F1" w:rsidRPr="002529C3">
        <w:rPr>
          <w:rFonts w:ascii="Book Antiqua" w:eastAsia="Book Antiqua" w:hAnsi="Book Antiqua" w:cs="Book Antiqua"/>
          <w:color w:val="000000"/>
        </w:rPr>
        <w:t>neural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F373F1" w:rsidRPr="002529C3">
        <w:rPr>
          <w:rFonts w:ascii="Book Antiqua" w:eastAsia="Book Antiqua" w:hAnsi="Book Antiqua" w:cs="Book Antiqua"/>
          <w:color w:val="000000"/>
        </w:rPr>
        <w:t>network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help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pancreatic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ductal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gene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expression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AI-assisted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system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analysis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efficient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help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pancreatic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ductal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carcinoma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F373F1" w:rsidRPr="002529C3">
        <w:rPr>
          <w:rFonts w:ascii="Book Antiqua" w:eastAsia="Book Antiqua" w:hAnsi="Book Antiqua" w:cs="Book Antiqua"/>
          <w:color w:val="000000"/>
        </w:rPr>
        <w:t>artificial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F373F1" w:rsidRPr="002529C3">
        <w:rPr>
          <w:rFonts w:ascii="Book Antiqua" w:eastAsia="Book Antiqua" w:hAnsi="Book Antiqua" w:cs="Book Antiqua"/>
          <w:color w:val="000000"/>
        </w:rPr>
        <w:t>neural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F373F1" w:rsidRPr="002529C3">
        <w:rPr>
          <w:rFonts w:ascii="Book Antiqua" w:eastAsia="Book Antiqua" w:hAnsi="Book Antiqua" w:cs="Book Antiqua"/>
          <w:color w:val="000000"/>
        </w:rPr>
        <w:t>network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could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accurately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survival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pancreatic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useful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objective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decision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tool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complex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treatment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decisions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5093E8C6" w14:textId="3F09DA32" w:rsidR="00A77B3E" w:rsidRPr="002529C3" w:rsidRDefault="00BF61FC" w:rsidP="0053579E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lastRenderedPageBreak/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concluded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application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examination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gastrointestinal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(GI)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mainly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esophagus,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stomach,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4928D1">
        <w:rPr>
          <w:rFonts w:ascii="Book Antiqua" w:eastAsia="Book Antiqua" w:hAnsi="Book Antiqua" w:cs="Book Antiqua"/>
          <w:color w:val="000000"/>
        </w:rPr>
        <w:t>T</w:t>
      </w:r>
      <w:r w:rsidRPr="002529C3">
        <w:rPr>
          <w:rFonts w:ascii="Book Antiqua" w:eastAsia="Book Antiqua" w:hAnsi="Book Antiqua" w:cs="Book Antiqua"/>
          <w:color w:val="000000"/>
        </w:rPr>
        <w:t>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progress</w:t>
      </w:r>
      <w:r w:rsidR="004928D1">
        <w:rPr>
          <w:rFonts w:ascii="Book Antiqua" w:eastAsia="Book Antiqua" w:hAnsi="Book Antiqua" w:cs="Book Antiqua"/>
          <w:color w:val="000000"/>
        </w:rPr>
        <w:t>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carcinogenesis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Barrett’s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(BE)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(EEC),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(EGC),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(ECC)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detailed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histopathology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cancer.</w:t>
      </w:r>
    </w:p>
    <w:p w14:paraId="5555C17B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EC6572" w14:textId="5F187217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Literature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search</w:t>
      </w:r>
    </w:p>
    <w:p w14:paraId="68FCB77B" w14:textId="60272F30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This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aimed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make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qualitative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application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searched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PubMed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database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articles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published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last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>
        <w:rPr>
          <w:rFonts w:ascii="Book Antiqua" w:eastAsia="Book Antiqua" w:hAnsi="Book Antiqua" w:cs="Book Antiqua"/>
          <w:color w:val="000000"/>
        </w:rPr>
        <w:t>5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years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term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combinations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AI/DL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EEC,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squamous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cell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(ESCC),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(EAC),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EGC,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term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combinations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AI/DL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[BE/dysplasia/chronic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atrophic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gastritis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(CAG)/</w:t>
      </w:r>
      <w:r w:rsidR="008C71E6">
        <w:rPr>
          <w:rFonts w:ascii="Book Antiqua" w:eastAsia="Book Antiqua" w:hAnsi="Book Antiqua" w:cs="Book Antiqua"/>
          <w:color w:val="000000"/>
        </w:rPr>
        <w:t>gastric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>
        <w:rPr>
          <w:rFonts w:ascii="Book Antiqua" w:eastAsia="Book Antiqua" w:hAnsi="Book Antiqua" w:cs="Book Antiqua"/>
          <w:color w:val="000000"/>
        </w:rPr>
        <w:t>intestinal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>
        <w:rPr>
          <w:rFonts w:ascii="Book Antiqua" w:eastAsia="Book Antiqua" w:hAnsi="Book Antiqua" w:cs="Book Antiqua"/>
          <w:color w:val="000000"/>
        </w:rPr>
        <w:t>metaplasia</w:t>
      </w:r>
      <w:r w:rsidRPr="002529C3">
        <w:rPr>
          <w:rFonts w:ascii="Book Antiqua" w:eastAsia="Book Antiqua" w:hAnsi="Book Antiqua" w:cs="Book Antiqua"/>
          <w:color w:val="000000"/>
        </w:rPr>
        <w:t>/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7D69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2529C3">
        <w:rPr>
          <w:rFonts w:ascii="Book Antiqua" w:eastAsia="Book Antiqua" w:hAnsi="Book Antiqua" w:cs="Book Antiqua"/>
          <w:color w:val="000000"/>
        </w:rPr>
        <w:t>/adenoma/polyp/inflammatory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bowel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diseases]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>
        <w:rPr>
          <w:rFonts w:ascii="Book Antiqua" w:eastAsia="Book Antiqua" w:hAnsi="Book Antiqua" w:cs="Book Antiqua"/>
          <w:color w:val="000000"/>
        </w:rPr>
        <w:t>E</w:t>
      </w:r>
      <w:r w:rsidRPr="002529C3">
        <w:rPr>
          <w:rFonts w:ascii="Book Antiqua" w:eastAsia="Book Antiqua" w:hAnsi="Book Antiqua" w:cs="Book Antiqua"/>
          <w:color w:val="000000"/>
        </w:rPr>
        <w:t>ndoscopic-related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results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qualitatively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concluded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4217C732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419704" w14:textId="69C2F80E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Search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results</w:t>
      </w:r>
    </w:p>
    <w:p w14:paraId="604B43BA" w14:textId="73092C66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Initially,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total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424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articles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identified.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After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manually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screening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reading,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22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studies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tabulated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</w:t>
      </w:r>
      <w:r w:rsidR="00894626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>
        <w:rPr>
          <w:rFonts w:ascii="Book Antiqua" w:eastAsia="Book Antiqua" w:hAnsi="Book Antiqua" w:cs="Book Antiqua"/>
          <w:color w:val="000000"/>
        </w:rPr>
        <w:t>a</w:t>
      </w:r>
      <w:r w:rsidRPr="002529C3">
        <w:rPr>
          <w:rFonts w:ascii="Book Antiqua" w:eastAsia="Book Antiqua" w:hAnsi="Book Antiqua" w:cs="Book Antiqua"/>
          <w:color w:val="000000"/>
        </w:rPr>
        <w:t>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prospective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studies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Meanwhile,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13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studies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showed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flowchart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presented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Figure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1.</w:t>
      </w:r>
    </w:p>
    <w:p w14:paraId="42721727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EF122E" w14:textId="6068F41C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EEC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from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precancerous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lesions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EEC</w:t>
      </w:r>
    </w:p>
    <w:p w14:paraId="47992E7A" w14:textId="752EB31E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common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considerable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decline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health-related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quality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life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reduction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survival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two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histological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types.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Many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history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heavy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tobacco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alcohol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factors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polycyclic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aromatic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hydrocarbons,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lastRenderedPageBreak/>
        <w:t>high-temperature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foods,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diet,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health,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microbiome,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genetic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factors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Some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factors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considered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mainly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gastroesophageal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reflux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disease,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obesity,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tobacco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smoking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genetic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variants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Chronic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gastroesophageal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reflux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disease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cause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metaplasia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native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squamous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cell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mucosa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specialized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columnar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epithelium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squamous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epithelium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ESCC,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supposed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aims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EEC,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white-light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(WLI),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iodine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staining,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narrow-band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(NBI),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biopsy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widely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clinical</w:t>
      </w:r>
      <w:r w:rsidR="00894626">
        <w:rPr>
          <w:rFonts w:ascii="Book Antiqua" w:eastAsia="Book Antiqua" w:hAnsi="Book Antiqua" w:cs="Book Antiqua"/>
          <w:color w:val="000000"/>
        </w:rPr>
        <w:t>ly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5A98C7E6" w14:textId="6AF023C4" w:rsidR="00A77B3E" w:rsidRPr="002529C3" w:rsidRDefault="00BF61FC" w:rsidP="002529C3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There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study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involved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preclinical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stage.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instance,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ability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superficial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advanced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squamous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cell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characterized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</w:t>
      </w:r>
      <w:r w:rsidR="00894626">
        <w:rPr>
          <w:rFonts w:ascii="Book Antiqua" w:eastAsia="Book Antiqua" w:hAnsi="Book Antiqua" w:cs="Book Antiqua"/>
          <w:color w:val="000000"/>
        </w:rPr>
        <w:t>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</w:t>
      </w:r>
      <w:r w:rsidR="00894626">
        <w:rPr>
          <w:rFonts w:ascii="Book Antiqua" w:eastAsia="Book Antiqua" w:hAnsi="Book Antiqua" w:cs="Book Antiqua"/>
          <w:color w:val="000000"/>
        </w:rPr>
        <w:t>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(98%)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>
        <w:rPr>
          <w:rFonts w:ascii="Book Antiqua" w:eastAsia="Book Antiqua" w:hAnsi="Book Antiqua" w:cs="Book Antiqua"/>
          <w:color w:val="000000"/>
        </w:rPr>
        <w:t>efficient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894626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>
        <w:rPr>
          <w:rFonts w:ascii="Book Antiqua" w:eastAsia="Book Antiqua" w:hAnsi="Book Antiqua" w:cs="Book Antiqua"/>
          <w:color w:val="000000"/>
        </w:rPr>
        <w:t>S</w:t>
      </w:r>
      <w:r w:rsidRPr="002529C3">
        <w:rPr>
          <w:rFonts w:ascii="Book Antiqua" w:eastAsia="Book Antiqua" w:hAnsi="Book Antiqua" w:cs="Book Antiqua"/>
          <w:color w:val="000000"/>
        </w:rPr>
        <w:t>mall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10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size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could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detected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3239AAA2" w14:textId="75A78F79" w:rsidR="00A77B3E" w:rsidRPr="002529C3" w:rsidRDefault="00BF61FC" w:rsidP="002529C3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terms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superficial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esophagogastric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junctional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showed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favorable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(94%)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acceptable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(42%)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compared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experts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(CAD-DL)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two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datasets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two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different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kinds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NBI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EAC.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CAD-DL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reached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sensitivities/specificities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97%/88%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sensitivities/specificities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94%/80%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NBI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(Augsburg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dataset)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92%/100%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(another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dataset)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Additionally,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compared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several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regional-based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(R-CNN),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R-CNN,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Faster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R-CNN,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Single-Shot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Multibox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Detector.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 w:rsidRPr="002529C3">
        <w:rPr>
          <w:rFonts w:ascii="Book Antiqua" w:eastAsia="Book Antiqua" w:hAnsi="Book Antiqua" w:cs="Book Antiqua"/>
          <w:color w:val="000000"/>
        </w:rPr>
        <w:t>Single-Shot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 w:rsidRPr="002529C3">
        <w:rPr>
          <w:rFonts w:ascii="Book Antiqua" w:eastAsia="Book Antiqua" w:hAnsi="Book Antiqua" w:cs="Book Antiqua"/>
          <w:color w:val="000000"/>
        </w:rPr>
        <w:t>Multibox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 w:rsidRPr="002529C3">
        <w:rPr>
          <w:rFonts w:ascii="Book Antiqua" w:eastAsia="Book Antiqua" w:hAnsi="Book Antiqua" w:cs="Book Antiqua"/>
          <w:color w:val="000000"/>
        </w:rPr>
        <w:t>Detector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outperformed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achieving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96%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automatically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identify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EAC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6953C7CA" w14:textId="02DB660C" w:rsidR="00A77B3E" w:rsidRPr="002529C3" w:rsidRDefault="00BF61FC" w:rsidP="002529C3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terms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ESCC,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endocytoscopic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system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(ECS)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helps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virtual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realization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histology.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overall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92.6%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ECS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aim</w:t>
      </w:r>
      <w:r w:rsidR="00894626">
        <w:rPr>
          <w:rFonts w:ascii="Book Antiqua" w:eastAsia="Book Antiqua" w:hAnsi="Book Antiqua" w:cs="Book Antiqua"/>
          <w:color w:val="000000"/>
        </w:rPr>
        <w:t>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replacing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biopsy-based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histology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NBI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currently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regarded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standard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modality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ESCC.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lastRenderedPageBreak/>
        <w:t>applied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NBI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0E0371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showed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significant</w:t>
      </w:r>
      <w:r w:rsidR="000E0371">
        <w:rPr>
          <w:rFonts w:ascii="Book Antiqua" w:eastAsia="Book Antiqua" w:hAnsi="Book Antiqua" w:cs="Book Antiqua"/>
          <w:color w:val="000000"/>
        </w:rPr>
        <w:t>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(91%),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(51%),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(63%)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those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experts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Besides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NBI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ECS,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magnified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(ME).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89%,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71%,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95%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system,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87%,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50%,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99%</w:t>
      </w:r>
      <w:r w:rsidR="000E0371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0E0371">
        <w:rPr>
          <w:rFonts w:ascii="Book Antiqua" w:eastAsia="Book Antiqua" w:hAnsi="Book Antiqua" w:cs="Book Antiqua"/>
          <w:color w:val="000000"/>
        </w:rPr>
        <w:t>respectively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Furthermore,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(ER)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often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treat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intraepithelial–submucosal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layer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(tumor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0.5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muscularis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mucosae).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0E0371">
        <w:rPr>
          <w:rFonts w:ascii="Book Antiqua" w:eastAsia="Book Antiqua" w:hAnsi="Book Antiqua" w:cs="Book Antiqua"/>
          <w:color w:val="000000"/>
        </w:rPr>
        <w:t>T</w:t>
      </w:r>
      <w:r w:rsidRPr="002529C3">
        <w:rPr>
          <w:rFonts w:ascii="Book Antiqua" w:eastAsia="Book Antiqua" w:hAnsi="Book Antiqua" w:cs="Book Antiqua"/>
          <w:color w:val="000000"/>
        </w:rPr>
        <w:t>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superficial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calculated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NBI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which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demonstrated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0E0371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0E0371">
        <w:rPr>
          <w:rFonts w:ascii="Book Antiqua" w:eastAsia="Book Antiqua" w:hAnsi="Book Antiqua" w:cs="Book Antiqua"/>
          <w:color w:val="000000"/>
        </w:rPr>
        <w:t>intraepithelial</w:t>
      </w:r>
      <w:r w:rsidRPr="002529C3">
        <w:rPr>
          <w:rFonts w:ascii="Book Antiqua" w:eastAsia="Book Antiqua" w:hAnsi="Book Antiqua" w:cs="Book Antiqua"/>
          <w:color w:val="000000"/>
        </w:rPr>
        <w:t>-lamina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propria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muscularis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mucosa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groups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(91.2%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91.4%,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0E0371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0E0371" w:rsidRPr="002529C3">
        <w:rPr>
          <w:rFonts w:ascii="Book Antiqua" w:eastAsia="Book Antiqua" w:hAnsi="Book Antiqua" w:cs="Book Antiqua"/>
          <w:color w:val="000000"/>
        </w:rPr>
        <w:t>submucosal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0E0371" w:rsidRPr="002529C3">
        <w:rPr>
          <w:rFonts w:ascii="Book Antiqua" w:eastAsia="Book Antiqua" w:hAnsi="Book Antiqua" w:cs="Book Antiqua"/>
          <w:color w:val="000000"/>
        </w:rPr>
        <w:t>layer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group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(67.8%)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4E248066" w14:textId="43930B0C" w:rsidR="00A77B3E" w:rsidRPr="002529C3" w:rsidRDefault="00BF61FC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Recently,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some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application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precursor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EEC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squamous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epithelium.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instance,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could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enhance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volumetric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laser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endomicroscopy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facilitate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surveillance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developed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recognized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neoplasia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could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correctly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neoplasia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96.4%,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94.2%,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95.4%.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addition,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object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algorithm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draw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localization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box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around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average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75.33%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95.6</w:t>
      </w:r>
      <w:r w:rsidR="000E0371">
        <w:rPr>
          <w:rFonts w:ascii="Book Antiqua" w:eastAsia="Book Antiqua" w:hAnsi="Book Antiqua" w:cs="Book Antiqua"/>
          <w:color w:val="000000"/>
        </w:rPr>
        <w:t>0</w:t>
      </w:r>
      <w:r w:rsidRPr="002529C3">
        <w:rPr>
          <w:rFonts w:ascii="Book Antiqua" w:eastAsia="Book Antiqua" w:hAnsi="Book Antiqua" w:cs="Book Antiqua"/>
          <w:color w:val="000000"/>
        </w:rPr>
        <w:t>%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Another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similar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demonstrated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system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0E0371">
        <w:rPr>
          <w:rFonts w:ascii="Book Antiqua" w:eastAsia="Book Antiqua" w:hAnsi="Book Antiqua" w:cs="Book Antiqua"/>
          <w:color w:val="000000"/>
        </w:rPr>
        <w:t>five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independent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datasets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neoplasia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dataset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4,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classified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containing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neoplasms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non-dysplastic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89%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90%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88%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identified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optimal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biopsy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neoplasia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97%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cases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dataset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4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695EB819" w14:textId="3412F05D" w:rsidR="00A77B3E" w:rsidRPr="002529C3" w:rsidRDefault="00BF61FC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Moreover,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histopathology</w:t>
      </w:r>
      <w:r w:rsidR="000E0371">
        <w:rPr>
          <w:rFonts w:ascii="Book Antiqua" w:eastAsia="Book Antiqua" w:hAnsi="Book Antiqua" w:cs="Book Antiqua"/>
          <w:color w:val="000000"/>
        </w:rPr>
        <w:t>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attention-based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deep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neural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networks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</w:t>
      </w:r>
      <w:r w:rsidR="000E0371">
        <w:rPr>
          <w:rFonts w:ascii="Book Antiqua" w:eastAsia="Book Antiqua" w:hAnsi="Book Antiqua" w:cs="Book Antiqua"/>
          <w:color w:val="000000"/>
        </w:rPr>
        <w:t>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tissue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histopathological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slides.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Classification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proposed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85%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BE-no-dysplasia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class,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89%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BE-with-dysplasia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class,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88%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class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2529C3">
        <w:rPr>
          <w:rFonts w:ascii="Book Antiqua" w:eastAsia="Book Antiqua" w:hAnsi="Book Antiqua" w:cs="Book Antiqua"/>
          <w:color w:val="000000"/>
        </w:rPr>
        <w:t>.</w:t>
      </w:r>
    </w:p>
    <w:p w14:paraId="71C97843" w14:textId="77777777" w:rsidR="00A77B3E" w:rsidRPr="002529C3" w:rsidRDefault="00A77B3E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91792BB" w14:textId="0E339681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EGC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from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CAG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dysplasia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EGC</w:t>
      </w:r>
    </w:p>
    <w:p w14:paraId="7864FB74" w14:textId="5D7D3A73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EGC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deﬁned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conﬁned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mucosa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submucosa,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regardless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lymph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metastasis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(LNM).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Standard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enhancement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</w:t>
      </w:r>
      <w:r w:rsidR="003638FC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NBI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widely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screening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surveillance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EUS</w:t>
      </w:r>
      <w:r w:rsidR="0095290A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which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precise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assessment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LNM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EGC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factors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 w:rsidRPr="002529C3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7D69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C71E6" w:rsidRPr="002529C3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infection,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age,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salt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intake,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diets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low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fruit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vegetables,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genetic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factors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minimally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treatment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negligible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LNM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CAG,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intestinal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metaplasia,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3638FC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recommended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accept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regular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surveillance.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Virtual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chromoendoscopy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guide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biopsies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staging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atrophic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metaplastic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changes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target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neoplastic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5-year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survival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significantly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advanced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[31,32]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treatment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always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priorities.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7D35DED7" w14:textId="5D3EFA60" w:rsidR="003638FC" w:rsidRDefault="003638FC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regard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F61FC" w:rsidRPr="002529C3">
        <w:rPr>
          <w:rFonts w:ascii="Book Antiqua" w:eastAsia="Book Antiqua" w:hAnsi="Book Antiqua" w:cs="Book Antiqua"/>
          <w:color w:val="000000"/>
        </w:rPr>
        <w:t>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application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EGC,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there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some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considerations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both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related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promise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such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benefits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endoscopists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limitations</w:t>
      </w:r>
      <w:r w:rsidR="00BF61FC" w:rsidRPr="002529C3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BF61FC"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F61FC" w:rsidRPr="002529C3">
        <w:rPr>
          <w:rFonts w:ascii="Book Antiqua" w:eastAsia="Book Antiqua" w:hAnsi="Book Antiqua" w:cs="Book Antiqua"/>
          <w:color w:val="000000"/>
        </w:rPr>
        <w:t>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diagnose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EGC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NBI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(ME-NBI)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requires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considerable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experience</w:t>
      </w:r>
      <w:r>
        <w:rPr>
          <w:rFonts w:ascii="Book Antiqua" w:eastAsia="Book Antiqua" w:hAnsi="Book Antiqua" w:cs="Book Antiqua"/>
          <w:color w:val="000000"/>
        </w:rPr>
        <w:t>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AI-assisted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CAD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system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ME-NBI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constructed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diagnose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EGC,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overall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accuracy,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sensitivity,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98.7%,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.0</w:t>
      </w:r>
      <w:r w:rsidR="00BF61FC" w:rsidRPr="002529C3">
        <w:rPr>
          <w:rFonts w:ascii="Book Antiqua" w:eastAsia="Book Antiqua" w:hAnsi="Book Antiqua" w:cs="Book Antiqua"/>
          <w:color w:val="000000"/>
        </w:rPr>
        <w:t>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100%,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short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period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time</w:t>
      </w:r>
      <w:r w:rsidR="00BF61FC" w:rsidRPr="002529C3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BF61FC"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Different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methods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designed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(such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VGG,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 w:rsidRPr="002529C3">
        <w:rPr>
          <w:rFonts w:ascii="Book Antiqua" w:eastAsia="Book Antiqua" w:hAnsi="Book Antiqua" w:cs="Book Antiqua"/>
          <w:color w:val="000000"/>
        </w:rPr>
        <w:t>Single-Shot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 w:rsidRPr="002529C3">
        <w:rPr>
          <w:rFonts w:ascii="Book Antiqua" w:eastAsia="Book Antiqua" w:hAnsi="Book Antiqua" w:cs="Book Antiqua"/>
          <w:color w:val="000000"/>
        </w:rPr>
        <w:t>Multibox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 w:rsidRPr="002529C3">
        <w:rPr>
          <w:rFonts w:ascii="Book Antiqua" w:eastAsia="Book Antiqua" w:hAnsi="Book Antiqua" w:cs="Book Antiqua"/>
          <w:color w:val="000000"/>
        </w:rPr>
        <w:t>Detector</w:t>
      </w:r>
      <w:r w:rsidR="00BF61FC" w:rsidRPr="002529C3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ResNet)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different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image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types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(such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WLI,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NBI,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chromoendoscopy</w:t>
      </w:r>
      <w:r w:rsidR="00BF61FC" w:rsidRPr="002529C3">
        <w:rPr>
          <w:rFonts w:ascii="Book Antiqua" w:eastAsia="Book Antiqua" w:hAnsi="Book Antiqua" w:cs="Book Antiqua"/>
          <w:color w:val="000000"/>
        </w:rPr>
        <w:t>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mucosal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backgrounds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(normal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mucosa,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superficial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gastritis,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erosive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mucosa)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(show</w:t>
      </w:r>
      <w:r>
        <w:rPr>
          <w:rFonts w:ascii="Book Antiqua" w:eastAsia="Book Antiqua" w:hAnsi="Book Antiqua" w:cs="Book Antiqua"/>
          <w:color w:val="000000"/>
        </w:rPr>
        <w:t>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1).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There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differentiat</w:t>
      </w:r>
      <w:r>
        <w:rPr>
          <w:rFonts w:ascii="Book Antiqua" w:eastAsia="Book Antiqua" w:hAnsi="Book Antiqua" w:cs="Book Antiqua"/>
          <w:color w:val="000000"/>
        </w:rPr>
        <w:t>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EGC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gastritis</w:t>
      </w:r>
      <w:r w:rsidR="00BF61FC" w:rsidRPr="002529C3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peptic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ulcer</w:t>
      </w:r>
      <w:r w:rsidR="00BF61FC" w:rsidRPr="002529C3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achieving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reliable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F61FC" w:rsidRPr="002529C3">
        <w:rPr>
          <w:rFonts w:ascii="Book Antiqua" w:eastAsia="Book Antiqua" w:hAnsi="Book Antiqua" w:cs="Book Antiqua"/>
          <w:color w:val="000000"/>
        </w:rPr>
        <w:t>accuracy.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79BF9DDC" w14:textId="367356AC" w:rsidR="00E9664A" w:rsidRDefault="00BF61FC" w:rsidP="00D80E3F">
      <w:pPr>
        <w:adjustRightInd w:val="0"/>
        <w:snapToGrid w:val="0"/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2529C3">
        <w:rPr>
          <w:rFonts w:ascii="Book Antiqua" w:eastAsia="Book Antiqua" w:hAnsi="Book Antiqua" w:cs="Book Antiqua"/>
          <w:color w:val="000000"/>
        </w:rPr>
        <w:t>Moreover,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training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video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considered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improve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clinical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setting.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videos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demonstrated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(94.1%)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lastRenderedPageBreak/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processing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speed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Furthermore,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CNN-CAD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</w:t>
      </w:r>
      <w:r w:rsidR="00E9664A">
        <w:rPr>
          <w:rFonts w:ascii="Book Antiqua" w:eastAsia="Book Antiqua" w:hAnsi="Book Antiqua" w:cs="Book Antiqua"/>
          <w:color w:val="000000"/>
        </w:rPr>
        <w:t>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distinguish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</w:t>
      </w:r>
      <w:r w:rsidR="00E9664A">
        <w:rPr>
          <w:rFonts w:ascii="Book Antiqua" w:eastAsia="Book Antiqua" w:hAnsi="Book Antiqua" w:cs="Book Antiqua"/>
          <w:color w:val="000000"/>
        </w:rPr>
        <w:t>o</w:t>
      </w:r>
      <w:r w:rsidRPr="002529C3">
        <w:rPr>
          <w:rFonts w:ascii="Book Antiqua" w:eastAsia="Book Antiqua" w:hAnsi="Book Antiqua" w:cs="Book Antiqua"/>
          <w:color w:val="000000"/>
        </w:rPr>
        <w:t>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advanced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76.47%,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95.56%,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89.16%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>
        <w:rPr>
          <w:rFonts w:ascii="Book Antiqua" w:eastAsia="Book Antiqua" w:hAnsi="Book Antiqua" w:cs="Book Antiqua"/>
          <w:color w:val="000000"/>
        </w:rPr>
        <w:t>An</w:t>
      </w:r>
      <w:r w:rsidRPr="002529C3">
        <w:rPr>
          <w:rFonts w:ascii="Book Antiqua" w:eastAsia="Book Antiqua" w:hAnsi="Book Antiqua" w:cs="Book Antiqua"/>
          <w:color w:val="000000"/>
        </w:rPr>
        <w:t>other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involved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instance,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(lesion-based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VGG-16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classify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(91.0%),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(97.6%),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(98.1%),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>
        <w:rPr>
          <w:rFonts w:ascii="Book Antiqua" w:eastAsia="Book Antiqua" w:hAnsi="Book Antiqua" w:cs="Book Antiqua"/>
          <w:color w:val="000000"/>
        </w:rPr>
        <w:t>T</w:t>
      </w:r>
      <w:r w:rsidRPr="002529C3">
        <w:rPr>
          <w:rFonts w:ascii="Book Antiqua" w:eastAsia="Book Antiqua" w:hAnsi="Book Antiqua" w:cs="Book Antiqua"/>
          <w:color w:val="000000"/>
        </w:rPr>
        <w:t>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achieved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(79.2%),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(77.8%),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(85.1%),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results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non-lesion-based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E9664A">
        <w:rPr>
          <w:rFonts w:ascii="Book Antiqua" w:eastAsia="Book Antiqua" w:hAnsi="Book Antiqua" w:cs="Book Antiqua"/>
          <w:color w:val="000000"/>
        </w:rPr>
        <w:t>s</w:t>
      </w:r>
      <w:r w:rsidRPr="002529C3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indicating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lesion-based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appropriate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training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EGC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550F8414" w14:textId="05E19ABD" w:rsidR="00A77B3E" w:rsidRPr="002529C3" w:rsidRDefault="00BF61FC" w:rsidP="0053579E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terms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histopathology,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pixel-level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annotated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hematoxylin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eosin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whole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slide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achieved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100%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average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80.6%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aimed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alleviating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workload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increasing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Similarly,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automatically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classified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hematoxylin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eosin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histopathological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whole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slide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different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groups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demonstrated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favorable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results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Besides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machine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learning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radiographic-radiomic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could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help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adverse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histopathological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status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GC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Dual-energy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computed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tomography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radiomics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could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improve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LNM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GC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[44]</w:t>
      </w:r>
    </w:p>
    <w:p w14:paraId="4F4AE5AE" w14:textId="58EFB712" w:rsidR="00A77B3E" w:rsidRPr="002529C3" w:rsidRDefault="00BF61FC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aspect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conditions,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application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focused.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example,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atrophic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gastritis,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kind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condition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pretrained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achieved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93%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independent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dataset,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outperforming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expert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endoscopists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>
        <w:rPr>
          <w:rFonts w:ascii="Book Antiqua" w:eastAsia="Book Antiqua" w:hAnsi="Book Antiqua" w:cs="Book Antiqua"/>
          <w:color w:val="000000"/>
        </w:rPr>
        <w:t>T</w:t>
      </w:r>
      <w:r w:rsidRPr="002529C3">
        <w:rPr>
          <w:rFonts w:ascii="Book Antiqua" w:eastAsia="Book Antiqua" w:hAnsi="Book Antiqua" w:cs="Book Antiqua"/>
          <w:color w:val="000000"/>
        </w:rPr>
        <w:t>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antrum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CAG,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94.2%,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94.5%,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94.0%,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which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those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experts.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further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mild,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moderate,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severe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atrophic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gastritis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93%,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95%,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99%,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 w:rsidRPr="002529C3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7D69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C71E6" w:rsidRPr="002529C3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7D69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infection,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dominant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cause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(GoogLeNet)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(ResNet-50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model)</w:t>
      </w:r>
      <w:r w:rsidR="00E9664A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achieved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reliability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considerably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shorter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time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[47-49]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075A2C11" w14:textId="77777777" w:rsidR="00A77B3E" w:rsidRPr="002529C3" w:rsidRDefault="00A77B3E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29593236" w14:textId="60255C7A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ECC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from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polyps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adenoma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ECC</w:t>
      </w:r>
    </w:p>
    <w:p w14:paraId="5DE817A2" w14:textId="7207D3DB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ECC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defined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limited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submucosa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regardless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lymph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status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according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Royal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College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Pathologists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TNM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</w:t>
      </w:r>
      <w:r w:rsidRPr="002529C3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Pr="002529C3">
        <w:rPr>
          <w:rFonts w:ascii="Book Antiqua" w:eastAsia="Book Antiqua" w:hAnsi="Book Antiqua" w:cs="Book Antiqua"/>
          <w:color w:val="000000"/>
        </w:rPr>
        <w:t>N</w:t>
      </w:r>
      <w:r w:rsidRPr="002529C3">
        <w:rPr>
          <w:rFonts w:ascii="Book Antiqua" w:eastAsia="Book Antiqua" w:hAnsi="Book Antiqua" w:cs="Book Antiqua"/>
          <w:color w:val="000000"/>
          <w:vertAlign w:val="subscript"/>
        </w:rPr>
        <w:t>X</w:t>
      </w:r>
      <w:r w:rsidRPr="002529C3">
        <w:rPr>
          <w:rFonts w:ascii="Book Antiqua" w:eastAsia="Book Antiqua" w:hAnsi="Book Antiqua" w:cs="Book Antiqua"/>
          <w:color w:val="000000"/>
        </w:rPr>
        <w:t>M</w:t>
      </w:r>
      <w:r w:rsidRPr="002529C3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restricted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layer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epithelium,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defined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low-grade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high-grade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intraepithelial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neoplasia.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Mild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moderate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pathological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character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low-grade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intraepithelial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neoplasia</w:t>
      </w:r>
      <w:r w:rsidRPr="002529C3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severe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dysplasia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pathological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character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high-grade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intraepithelial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neoplasia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preinvasive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carcinoma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</w:t>
      </w:r>
      <w:r w:rsidR="00E9664A">
        <w:rPr>
          <w:rFonts w:ascii="Book Antiqua" w:eastAsia="Book Antiqua" w:hAnsi="Book Antiqua" w:cs="Book Antiqua"/>
          <w:color w:val="000000"/>
        </w:rPr>
        <w:t>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traditional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serrated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sessile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serrated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adenoma/polyps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[52,53]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submucosal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clinical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practice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considered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superficial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tumor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further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surrogate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nominal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LNM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Meanwhile,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general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criterion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identify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whether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eligible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local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surgery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Curative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indicated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confined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mucosal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layer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submucosal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layer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screening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proven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decrease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disease-specific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morbidity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mortality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Current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guidelines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recommend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screening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beginning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50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continuing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until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75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fecal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immunochemical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test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every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year,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flexible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sigmoidoscopy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every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>
        <w:rPr>
          <w:rFonts w:ascii="Book Antiqua" w:eastAsia="Book Antiqua" w:hAnsi="Book Antiqua" w:cs="Book Antiqua"/>
          <w:color w:val="000000"/>
        </w:rPr>
        <w:t>5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years,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and/or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every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10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years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treatment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pivotal.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localized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stage,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5-year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relative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survival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91.1%.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However,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5-year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relative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survival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carcinoma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regional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metastasis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distant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metastasis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71.7%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13.3%,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2BDF8FC6" w14:textId="43C61701" w:rsidR="00A77B3E" w:rsidRPr="002529C3" w:rsidRDefault="00BF61FC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widely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involved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aspect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classification,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histopathology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 w:rsidRPr="002529C3">
        <w:rPr>
          <w:rFonts w:ascii="Book Antiqua" w:eastAsia="Book Antiqua" w:hAnsi="Book Antiqua" w:cs="Book Antiqua"/>
          <w:color w:val="000000"/>
        </w:rPr>
        <w:t>inflammatory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 w:rsidRPr="002529C3">
        <w:rPr>
          <w:rFonts w:ascii="Book Antiqua" w:eastAsia="Book Antiqua" w:hAnsi="Book Antiqua" w:cs="Book Antiqua"/>
          <w:color w:val="000000"/>
        </w:rPr>
        <w:t>bowel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 w:rsidRPr="002529C3">
        <w:rPr>
          <w:rFonts w:ascii="Book Antiqua" w:eastAsia="Book Antiqua" w:hAnsi="Book Antiqua" w:cs="Book Antiqua"/>
          <w:color w:val="000000"/>
        </w:rPr>
        <w:t>diseases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associated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inflammation-dysplasia-colon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pattern.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Regarding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Faster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R-CNN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VGG16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videos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covering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(Tis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</w:t>
      </w:r>
      <w:r w:rsidRPr="002529C3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Pr="002529C3">
        <w:rPr>
          <w:rFonts w:ascii="Book Antiqua" w:eastAsia="Book Antiqua" w:hAnsi="Book Antiqua" w:cs="Book Antiqua"/>
          <w:color w:val="000000"/>
        </w:rPr>
        <w:t>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precursor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hyperplastic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polyp</w:t>
      </w:r>
      <w:r w:rsidR="00622817">
        <w:rPr>
          <w:rFonts w:ascii="Book Antiqua" w:eastAsia="Book Antiqua" w:hAnsi="Book Antiqua" w:cs="Book Antiqua"/>
          <w:color w:val="000000"/>
        </w:rPr>
        <w:t>s</w:t>
      </w:r>
      <w:r w:rsidRPr="002529C3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sessile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serrated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adenoma/polyps</w:t>
      </w:r>
      <w:r w:rsidRPr="002529C3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traditional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serrated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adenoma</w:t>
      </w:r>
      <w:r w:rsidRPr="002529C3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low-grade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intraepithelial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neoplasia</w:t>
      </w:r>
      <w:r w:rsidRPr="002529C3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high-grade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intraepithelial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neoplasia</w:t>
      </w:r>
      <w:r w:rsidRPr="002529C3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lastRenderedPageBreak/>
        <w:t>submucosal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>
        <w:rPr>
          <w:rFonts w:ascii="Book Antiqua" w:eastAsia="Book Antiqua" w:hAnsi="Book Antiqua" w:cs="Book Antiqua"/>
          <w:color w:val="000000"/>
        </w:rPr>
        <w:t>conducted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showed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97.3%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99.0%,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Another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two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WLI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ResNet-152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showed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under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curve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tubular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+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(0.818),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 w:rsidRPr="002529C3">
        <w:rPr>
          <w:rFonts w:ascii="Book Antiqua" w:eastAsia="Book Antiqua" w:hAnsi="Book Antiqua" w:cs="Book Antiqua"/>
          <w:color w:val="000000"/>
        </w:rPr>
        <w:t>area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 w:rsidRPr="002529C3">
        <w:rPr>
          <w:rFonts w:ascii="Book Antiqua" w:eastAsia="Book Antiqua" w:hAnsi="Book Antiqua" w:cs="Book Antiqua"/>
          <w:color w:val="000000"/>
        </w:rPr>
        <w:t>under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 w:rsidRPr="002529C3">
        <w:rPr>
          <w:rFonts w:ascii="Book Antiqua" w:eastAsia="Book Antiqua" w:hAnsi="Book Antiqua" w:cs="Book Antiqua"/>
          <w:color w:val="000000"/>
        </w:rPr>
        <w:t>curve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high-grade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intraepithelial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neoplasia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+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reached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0.876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ResNet-v2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Regarding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deeply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cT</w:t>
      </w:r>
      <w:r w:rsidRPr="002529C3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(SM)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(hereafter,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cT</w:t>
      </w:r>
      <w:r w:rsidRPr="002529C3">
        <w:rPr>
          <w:rFonts w:ascii="Book Antiqua" w:eastAsia="Book Antiqua" w:hAnsi="Book Antiqua" w:cs="Book Antiqua"/>
          <w:color w:val="000000"/>
          <w:vertAlign w:val="subscript"/>
        </w:rPr>
        <w:t>1b</w:t>
      </w:r>
      <w:r w:rsidRPr="002529C3">
        <w:rPr>
          <w:rFonts w:ascii="Book Antiqua" w:eastAsia="Book Antiqua" w:hAnsi="Book Antiqua" w:cs="Book Antiqua"/>
          <w:color w:val="000000"/>
        </w:rPr>
        <w:t>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deeper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colorectal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(CRC),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10%–15%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risk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lymph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metastases.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>
        <w:rPr>
          <w:rFonts w:ascii="Book Antiqua" w:eastAsia="Book Antiqua" w:hAnsi="Book Antiqua" w:cs="Book Antiqua"/>
          <w:color w:val="000000"/>
        </w:rPr>
        <w:t>F</w:t>
      </w:r>
      <w:r w:rsidRPr="002529C3">
        <w:rPr>
          <w:rFonts w:ascii="Book Antiqua" w:eastAsia="Book Antiqua" w:hAnsi="Book Antiqua" w:cs="Book Antiqua"/>
          <w:color w:val="000000"/>
        </w:rPr>
        <w:t>urther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surgical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lymph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dissection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required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assist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cT</w:t>
      </w:r>
      <w:r w:rsidRPr="002529C3">
        <w:rPr>
          <w:rFonts w:ascii="Book Antiqua" w:eastAsia="Book Antiqua" w:hAnsi="Book Antiqua" w:cs="Book Antiqua"/>
          <w:color w:val="000000"/>
          <w:vertAlign w:val="subscript"/>
        </w:rPr>
        <w:t>1b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demonstrated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cT</w:t>
      </w:r>
      <w:r w:rsidRPr="002529C3">
        <w:rPr>
          <w:rFonts w:ascii="Book Antiqua" w:eastAsia="Book Antiqua" w:hAnsi="Book Antiqua" w:cs="Book Antiqua"/>
          <w:color w:val="000000"/>
          <w:vertAlign w:val="subscript"/>
        </w:rPr>
        <w:t>1b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67.5%,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89.0%,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81.2%,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respectively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2529C3">
        <w:rPr>
          <w:rFonts w:ascii="Book Antiqua" w:eastAsia="Book Antiqua" w:hAnsi="Book Antiqua" w:cs="Book Antiqua"/>
          <w:color w:val="000000"/>
        </w:rPr>
        <w:t>.</w:t>
      </w:r>
    </w:p>
    <w:p w14:paraId="3A9B6450" w14:textId="0706E9FA" w:rsidR="00A77B3E" w:rsidRPr="002529C3" w:rsidRDefault="00BF61FC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application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polyps,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</w:t>
      </w:r>
      <w:r w:rsidR="00622817">
        <w:rPr>
          <w:rFonts w:ascii="Book Antiqua" w:eastAsia="Book Antiqua" w:hAnsi="Book Antiqua" w:cs="Book Antiqua"/>
          <w:color w:val="000000"/>
        </w:rPr>
        <w:t>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some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especially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retrospective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polyp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[62,63]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example,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local-feature-prioritized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automatic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system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could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>
        <w:rPr>
          <w:rFonts w:ascii="Book Antiqua" w:eastAsia="Book Antiqua" w:hAnsi="Book Antiqua" w:cs="Book Antiqua"/>
          <w:color w:val="000000"/>
        </w:rPr>
        <w:t>laterally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>
        <w:rPr>
          <w:rFonts w:ascii="Book Antiqua" w:eastAsia="Book Antiqua" w:hAnsi="Book Antiqua" w:cs="Book Antiqua"/>
          <w:color w:val="000000"/>
        </w:rPr>
        <w:t>spreading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>
        <w:rPr>
          <w:rFonts w:ascii="Book Antiqua" w:eastAsia="Book Antiqua" w:hAnsi="Book Antiqua" w:cs="Book Antiqua"/>
          <w:color w:val="000000"/>
        </w:rPr>
        <w:t>tumor</w:t>
      </w:r>
      <w:r w:rsidRPr="002529C3">
        <w:rPr>
          <w:rFonts w:ascii="Book Antiqua" w:eastAsia="Book Antiqua" w:hAnsi="Book Antiqua" w:cs="Book Antiqua"/>
          <w:color w:val="000000"/>
        </w:rPr>
        <w:t>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sessile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serrated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E9664A" w:rsidRPr="002529C3">
        <w:rPr>
          <w:rFonts w:ascii="Book Antiqua" w:eastAsia="Book Antiqua" w:hAnsi="Book Antiqua" w:cs="Book Antiqua"/>
          <w:color w:val="000000"/>
        </w:rPr>
        <w:t>adenoma/polyps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85.71%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100%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Besides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retrospective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designed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some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associated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prospective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instance,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multicenter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randomized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colorectal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neoplasia.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>
        <w:rPr>
          <w:rFonts w:ascii="Book Antiqua" w:eastAsia="Book Antiqua" w:hAnsi="Book Antiqua" w:cs="Book Antiqua"/>
          <w:color w:val="000000"/>
        </w:rPr>
        <w:t>I</w:t>
      </w:r>
      <w:r w:rsidRPr="002529C3">
        <w:rPr>
          <w:rFonts w:ascii="Book Antiqua" w:eastAsia="Book Antiqua" w:hAnsi="Book Antiqua" w:cs="Book Antiqua"/>
          <w:color w:val="000000"/>
        </w:rPr>
        <w:t>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showed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significant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increase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without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increasing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withdrawal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time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(54.8%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40.4%).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Additionally,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5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smaller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significantly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group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(33.7%)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control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group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Another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randomized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study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</w:t>
      </w:r>
      <w:r w:rsidR="002459DF">
        <w:rPr>
          <w:rFonts w:ascii="Book Antiqua" w:eastAsia="Book Antiqua" w:hAnsi="Book Antiqua" w:cs="Book Antiqua"/>
          <w:color w:val="000000"/>
        </w:rPr>
        <w:t>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achieved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increased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 w:rsidRPr="002529C3">
        <w:rPr>
          <w:rFonts w:ascii="Book Antiqua" w:eastAsia="Book Antiqua" w:hAnsi="Book Antiqua" w:cs="Book Antiqua"/>
          <w:color w:val="000000"/>
        </w:rPr>
        <w:t>adenoma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 w:rsidRPr="002529C3">
        <w:rPr>
          <w:rFonts w:ascii="Book Antiqua" w:eastAsia="Book Antiqua" w:hAnsi="Book Antiqua" w:cs="Book Antiqua"/>
          <w:color w:val="000000"/>
        </w:rPr>
        <w:t>rates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(29.1%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20.3%)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number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(0.53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0.31).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Similarly,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number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diminutive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found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(185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102)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>
        <w:rPr>
          <w:rFonts w:ascii="Book Antiqua" w:eastAsia="Book Antiqua" w:hAnsi="Book Antiqua" w:cs="Book Antiqua"/>
          <w:color w:val="000000"/>
        </w:rPr>
        <w:t>addition</w:t>
      </w:r>
      <w:r w:rsidRPr="002529C3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 w:rsidRPr="002529C3">
        <w:rPr>
          <w:rFonts w:ascii="Book Antiqua" w:eastAsia="Book Antiqua" w:hAnsi="Book Antiqua" w:cs="Book Antiqua"/>
          <w:color w:val="000000"/>
        </w:rPr>
        <w:t>inflammatory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 w:rsidRPr="002529C3">
        <w:rPr>
          <w:rFonts w:ascii="Book Antiqua" w:eastAsia="Book Antiqua" w:hAnsi="Book Antiqua" w:cs="Book Antiqua"/>
          <w:color w:val="000000"/>
        </w:rPr>
        <w:t>bowel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C71E6" w:rsidRPr="002529C3">
        <w:rPr>
          <w:rFonts w:ascii="Book Antiqua" w:eastAsia="Book Antiqua" w:hAnsi="Book Antiqua" w:cs="Book Antiqua"/>
          <w:color w:val="000000"/>
        </w:rPr>
        <w:t>diseases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Crohn’s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disease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ulcerative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colitis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also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associated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some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scoring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trained</w:t>
      </w:r>
      <w:r w:rsidR="002459DF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grading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disease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severity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ulcerative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colitis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remission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moderate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severe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Crohn’s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disease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2529C3">
        <w:rPr>
          <w:rFonts w:ascii="Book Antiqua" w:eastAsia="Book Antiqua" w:hAnsi="Book Antiqua" w:cs="Book Antiqua"/>
          <w:color w:val="000000"/>
        </w:rPr>
        <w:t>.</w:t>
      </w:r>
    </w:p>
    <w:p w14:paraId="7664328B" w14:textId="338835F7" w:rsidR="00A77B3E" w:rsidRPr="002529C3" w:rsidRDefault="00BF61FC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lastRenderedPageBreak/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aspect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histopathology,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systematic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concluded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CRC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pathology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analysis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gland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segmentation,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tumor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classification,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tumor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microenvironment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characterization,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prediction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approach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developed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recognize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four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different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tissue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development,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normal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mucosa,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preneoplastic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obtained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overall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95%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LNM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CRC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critical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determining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treatment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strategies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after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LNM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algorithm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submucosal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(T</w:t>
      </w:r>
      <w:r w:rsidRPr="002529C3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Pr="002529C3">
        <w:rPr>
          <w:rFonts w:ascii="Book Antiqua" w:eastAsia="Book Antiqua" w:hAnsi="Book Antiqua" w:cs="Book Antiqua"/>
          <w:color w:val="000000"/>
        </w:rPr>
        <w:t>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CRC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machine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learning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showed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better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LNM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ability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conventional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some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datasets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[71</w:t>
      </w:r>
      <w:r w:rsidR="00137233" w:rsidRPr="002529C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5C06D7" w:rsidRPr="002529C3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7CF3E465" w14:textId="77777777" w:rsidR="00A77B3E" w:rsidRPr="002529C3" w:rsidRDefault="00A77B3E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38DF818" w14:textId="51FEA6FA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Prospects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challenges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early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GI</w:t>
      </w:r>
      <w:r w:rsidR="007D698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68737EDE" w14:textId="686B7C52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Endoscopy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usually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first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choice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management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According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Clinical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Practice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Guideline,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standard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treatment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without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regional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LNM.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completely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removed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en</w:t>
      </w:r>
      <w:r w:rsidR="007D69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fashion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(resection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tumor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piece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without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visible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residual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tumor)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mucosal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and/or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submucosal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dissection.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High-definition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white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light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chromoendoscopy,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image-enhanced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C5770A">
        <w:rPr>
          <w:rFonts w:ascii="Book Antiqua" w:eastAsia="Book Antiqua" w:hAnsi="Book Antiqua" w:cs="Book Antiqua"/>
          <w:color w:val="000000"/>
        </w:rPr>
        <w:t>ME-NBI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assess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edge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delineation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boundaries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possibility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LNM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before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decision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Histopathological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evaluation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confirm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lymphovascular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From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novel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technology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penetrated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boundaries,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lymphovascular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prediction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videos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pathological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tissue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slides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obtained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after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4C94ED2D" w14:textId="57F2A3AC" w:rsidR="00C5770A" w:rsidRDefault="00BF61FC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 w:rsidRPr="002529C3">
        <w:rPr>
          <w:rFonts w:ascii="Book Antiqua" w:eastAsia="Book Antiqua" w:hAnsi="Book Antiqua" w:cs="Book Antiqua"/>
          <w:color w:val="000000"/>
        </w:rPr>
        <w:t>Both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high-quality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high-quality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construction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crucial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ensure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better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health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outcomes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benefits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Some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methods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designed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identify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assure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quality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improve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upper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tract,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missed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EGC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important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measure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lastRenderedPageBreak/>
        <w:t>quality.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C5770A">
        <w:rPr>
          <w:rFonts w:ascii="Book Antiqua" w:eastAsia="Book Antiqua" w:hAnsi="Book Antiqua" w:cs="Book Antiqua"/>
          <w:color w:val="000000"/>
        </w:rPr>
        <w:t>deep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built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monitor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blind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spots,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time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procedure,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automatically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generate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photo-documentation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during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esophagogastroduodenoscopy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Meanwhile,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colonoscopy,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poorer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 w:rsidRPr="002529C3">
        <w:rPr>
          <w:rFonts w:ascii="Book Antiqua" w:eastAsia="Book Antiqua" w:hAnsi="Book Antiqua" w:cs="Book Antiqua"/>
          <w:color w:val="000000"/>
        </w:rPr>
        <w:t>adenoma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2459DF" w:rsidRPr="002529C3">
        <w:rPr>
          <w:rFonts w:ascii="Book Antiqua" w:eastAsia="Book Antiqua" w:hAnsi="Book Antiqua" w:cs="Book Antiqua"/>
          <w:color w:val="000000"/>
        </w:rPr>
        <w:t>rates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associated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poorer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outcomes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post-colonoscopy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colonic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C5770A">
        <w:rPr>
          <w:rFonts w:ascii="Book Antiqua" w:eastAsia="Book Antiqua" w:hAnsi="Book Antiqua" w:cs="Book Antiqua"/>
          <w:color w:val="000000"/>
        </w:rPr>
        <w:t>deep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developed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timing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withdrawal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phase,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supervising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withdrawal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stability,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evaluating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bowel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preparation,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colorectal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polyp</w:t>
      </w:r>
      <w:r w:rsidR="00C5770A">
        <w:rPr>
          <w:rFonts w:ascii="Book Antiqua" w:eastAsia="Book Antiqua" w:hAnsi="Book Antiqua" w:cs="Book Antiqua"/>
          <w:color w:val="000000"/>
        </w:rPr>
        <w:t>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2529C3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</w:p>
    <w:p w14:paraId="31D6F5CC" w14:textId="669717A1" w:rsidR="00A77B3E" w:rsidRPr="002529C3" w:rsidRDefault="00BF61FC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aspect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quality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control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studies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some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limitations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should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concerned</w:t>
      </w:r>
      <w:r w:rsidR="00C5770A">
        <w:rPr>
          <w:rFonts w:ascii="Book Antiqua" w:eastAsia="Book Antiqua" w:hAnsi="Book Antiqua" w:cs="Book Antiqua"/>
          <w:color w:val="000000"/>
        </w:rPr>
        <w:t>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C5770A">
        <w:rPr>
          <w:rFonts w:ascii="Book Antiqua" w:eastAsia="Book Antiqua" w:hAnsi="Book Antiqua" w:cs="Book Antiqua"/>
          <w:color w:val="000000"/>
        </w:rPr>
        <w:t>D</w:t>
      </w:r>
      <w:r w:rsidRPr="002529C3">
        <w:rPr>
          <w:rFonts w:ascii="Book Antiqua" w:eastAsia="Book Antiqua" w:hAnsi="Book Antiqua" w:cs="Book Antiqua"/>
          <w:color w:val="000000"/>
        </w:rPr>
        <w:t>ifferent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CNN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models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C5770A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demonstrated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accuracies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 w:rsidRPr="002529C3">
        <w:rPr>
          <w:rFonts w:ascii="Book Antiqua" w:eastAsia="Book Antiqua" w:hAnsi="Book Antiqua" w:cs="Book Antiqua"/>
          <w:color w:val="000000"/>
        </w:rPr>
        <w:t>area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 w:rsidRPr="002529C3">
        <w:rPr>
          <w:rFonts w:ascii="Book Antiqua" w:eastAsia="Book Antiqua" w:hAnsi="Book Antiqua" w:cs="Book Antiqua"/>
          <w:color w:val="000000"/>
        </w:rPr>
        <w:t>under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22817" w:rsidRPr="002529C3">
        <w:rPr>
          <w:rFonts w:ascii="Book Antiqua" w:eastAsia="Book Antiqua" w:hAnsi="Book Antiqua" w:cs="Book Antiqua"/>
          <w:color w:val="000000"/>
        </w:rPr>
        <w:t>curve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7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out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22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90%/0.9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sensitivities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specificities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Table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limitations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concentrated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retrospective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research,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single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center,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small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sample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number,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still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background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high-quality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identified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gold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standard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pathology.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discount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reliability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results.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endoscopic-related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algorithms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trained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supervised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manner,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labeling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important.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Meanwhile,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videos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large,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heterogenous,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prospectively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collected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data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biases</w:t>
      </w:r>
      <w:r w:rsidRPr="002529C3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2529C3">
        <w:rPr>
          <w:rFonts w:ascii="Book Antiqua" w:eastAsia="Book Antiqua" w:hAnsi="Book Antiqua" w:cs="Book Antiqua"/>
          <w:color w:val="000000"/>
        </w:rPr>
        <w:t>.</w:t>
      </w:r>
    </w:p>
    <w:p w14:paraId="1EA06336" w14:textId="77777777" w:rsidR="00A77B3E" w:rsidRPr="002529C3" w:rsidRDefault="00A77B3E" w:rsidP="002529C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0A0AC8C4" w14:textId="77777777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AC4B8E1" w14:textId="5BE393F1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widely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medicine,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although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studies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remained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preclinical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stage.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</w:t>
      </w:r>
      <w:r w:rsidR="00C5770A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provided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overview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associated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application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including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EEC,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EGC,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well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their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precancerous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lesions.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classification,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invasion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depth,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histopathology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been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involved.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Indeed,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bring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benefits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patients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doctors.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provide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useful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support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during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endoscopies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achieve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precise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early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GI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cancer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after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more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intelligent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biopsy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high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efficiency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reduce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workload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fill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lack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of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clinical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resources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future.</w:t>
      </w:r>
    </w:p>
    <w:p w14:paraId="47F579FD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55A81E" w14:textId="77777777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REFERENCES</w:t>
      </w:r>
    </w:p>
    <w:p w14:paraId="7F77D9B6" w14:textId="76217F77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lastRenderedPageBreak/>
        <w:t>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Ahmad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OF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Soares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Mazomenos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Brandao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Vega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Seward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Stoyanov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Lovat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LB.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computer-aided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colonoscopy: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current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evidence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future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directions.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Lancet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Hepatol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4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71-80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30527583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10.1016/S2468-1253(18)30282-6]</w:t>
      </w:r>
    </w:p>
    <w:p w14:paraId="33E809CA" w14:textId="137F9577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Huang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prognosis: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Opportunities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challenges.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Cancer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Lett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471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61-71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31830558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10.1016/j.canlet.2019.12.007]</w:t>
      </w:r>
    </w:p>
    <w:p w14:paraId="67CC48CC" w14:textId="3E8DD51A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Mokrane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FZ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Vavasseur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Peron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Luk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Ammari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Saenger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Rousseau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Schwartz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Dercle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Radiomics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machine-learning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signature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hepatocellular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cirrhotic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patients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indeterminate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liver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nodules.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Eur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Radiol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30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558-570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31444598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10.1007/s00330-019-06347-w]</w:t>
      </w:r>
    </w:p>
    <w:p w14:paraId="23119FB7" w14:textId="43FC8D3B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Young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MR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Abrams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Ghosh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Rinaudo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JAS,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Marquez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Srivastava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Prediagnostic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Data,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Pancreatic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Tell-Tale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Sign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Pancreas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49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882-886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32675784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10.1097/MPA.0000000000001603]</w:t>
      </w:r>
    </w:p>
    <w:p w14:paraId="7628EEA4" w14:textId="74B68B25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Kuwahara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T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Mizuno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Okuno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Matsumoto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Obata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Kurita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Koda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Toriyama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Onishi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Tanaka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Tajika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Niwa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Usefulness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Analysis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Malignancy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Intraductal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Papillary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Mucinous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Neoplasms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Pancreas.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Clin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Transl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10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1-8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31117111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10.14309/ctg.0000000000000045]</w:t>
      </w:r>
    </w:p>
    <w:p w14:paraId="1B580E81" w14:textId="09448278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Dalal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V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Carmicheal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Dhaliwal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Jain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Kaur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Batra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SK.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Radiomics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stratification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pancreatic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cystic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lesions: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Machine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action.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Cancer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Lett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469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228-237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31629933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10.1016/j.canlet.2019.10.023]</w:t>
      </w:r>
    </w:p>
    <w:p w14:paraId="1C312755" w14:textId="40BE134B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Almeida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PP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Cardoso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Freitas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LM.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PDAC-ANN: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predict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pancreatic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ductal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gene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expression.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BMC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20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82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32005189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10.1186/s12885-020-6533-0]</w:t>
      </w:r>
    </w:p>
    <w:p w14:paraId="24BEB1C3" w14:textId="2B0EA4C5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Tonozuka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R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Itoi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Nagata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Kojima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Sofuni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Tsuchiya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Tanaka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Nagakawa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Mukai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analysis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pancreatic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lastRenderedPageBreak/>
        <w:t>endosonographic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pilot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study.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Hepatobiliary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Pancreat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Sci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2021;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95-104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32910528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10.1002/jhbp.825]</w:t>
      </w:r>
    </w:p>
    <w:p w14:paraId="42B63D10" w14:textId="77FEB8E1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Walczak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Velanovich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Evaluation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Predicting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Pancreatic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Survival.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Gastrointest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Surg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2017;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1606-1612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28776157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10.1007/s11605-017-3518-7]</w:t>
      </w:r>
    </w:p>
    <w:p w14:paraId="645163A1" w14:textId="3E49C1D1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10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Prabhu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A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Obi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KO,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Rubenstein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JH.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synergistic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effects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alcohol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tobacco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consumption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risk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squamous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cell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meta-analysis.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Am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2014;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109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822-827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24751582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10.1038/ajg.2014.71]</w:t>
      </w:r>
    </w:p>
    <w:p w14:paraId="21680902" w14:textId="10B47BB2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11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Abnet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CC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Arnold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Wei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WQ.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Epidemiology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Squamous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Cell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2018;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154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360-373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28823862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10.1053/j.gastro.2017.08.023]</w:t>
      </w:r>
    </w:p>
    <w:p w14:paraId="2F2E4C52" w14:textId="320C52A1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12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Coleman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HG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Xie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Lagergren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Epidemiology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Adenocarcinoma.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2018;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154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390-405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28780073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10.1053/j.gastro.2017.07.046]</w:t>
      </w:r>
    </w:p>
    <w:p w14:paraId="1E32C147" w14:textId="318FEEE2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13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Spechler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SJ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Souza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RF.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Barrett</w:t>
      </w:r>
      <w:r w:rsidR="00894626" w:rsidRPr="00043AF2">
        <w:rPr>
          <w:rFonts w:ascii="Book Antiqua" w:hAnsi="Book Antiqua"/>
          <w:color w:val="201F35"/>
        </w:rPr>
        <w:t>’</w:t>
      </w:r>
      <w:r w:rsidRPr="00043AF2">
        <w:rPr>
          <w:rFonts w:ascii="Book Antiqua" w:hAnsi="Book Antiqua"/>
          <w:color w:val="201F35"/>
        </w:rPr>
        <w:t>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esophagus.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N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Engl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Med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2014;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371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836-845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25162890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10.1056/NEJMra1314704]</w:t>
      </w:r>
    </w:p>
    <w:p w14:paraId="1C2D9251" w14:textId="1AC0A870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14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di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Pietro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M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MI,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Fitzgerald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RC.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Management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Squamous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Cell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Esophagus: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Screening,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Therapy.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2018;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154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421-436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28778650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10.1053/j.gastro.2017.07.041]</w:t>
      </w:r>
    </w:p>
    <w:p w14:paraId="1B52F8E2" w14:textId="72190E74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15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Horie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Aoyama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Yoshimizu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Horiuchi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Hirasawa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Tsuchida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Ozawa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Kumagai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Fujishiro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Maetani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Fujisaki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outcomes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Gastrointest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89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25-32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30120958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10.1016/j.gie.2018.07.037]</w:t>
      </w:r>
    </w:p>
    <w:p w14:paraId="5922A634" w14:textId="2E29D95B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16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Iwagami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Aoyama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Fukuda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Shimamoto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Kono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Nakahira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Matsuura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Shichijo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Kanesaka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Kanzaki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Nakatani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esophagogastric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junctional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lastRenderedPageBreak/>
        <w:t>adenocarcinoma.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Hepatol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2021;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36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131-136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32511793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10.1111/jgh.15136]</w:t>
      </w:r>
    </w:p>
    <w:p w14:paraId="214F0A42" w14:textId="12C9A861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17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Ebigbo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A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Mendel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Probst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Manzeneder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Souza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Papa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Palm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Messmann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Computer-aided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evaluation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adenocarcinoma.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Gut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68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1143-1145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30510110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10.1136/gutjnl-2018-317573]</w:t>
      </w:r>
    </w:p>
    <w:p w14:paraId="704958FF" w14:textId="6000BD7D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18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Ghatwary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N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Zolgharni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methods.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Int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Comput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Assist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Radiol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Surg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14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611-621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30666547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10.1007/s11548-019-01914-4]</w:t>
      </w:r>
    </w:p>
    <w:p w14:paraId="48E8125E" w14:textId="7A03A166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19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Kumagai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Takubo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Kawada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Aoyama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Ozawa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Hirasawa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Fujishiro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Tamaru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JI,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Mochiki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deep-learning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endocytoscopic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observation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esophagus.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Esophagus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16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180-187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30547352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10.1007/s10388-018-0651-7]</w:t>
      </w:r>
    </w:p>
    <w:p w14:paraId="0A157100" w14:textId="3163FB47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20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Fukuda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Matsunaga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Nishida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Ogiyama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Horie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Kinoshita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Comparison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performances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versus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expert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endoscopists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real-time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assisted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squamous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cell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video).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Gastrointest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92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848-855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32505685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10.1016/j.gie.2020.05.043]</w:t>
      </w:r>
    </w:p>
    <w:p w14:paraId="739CC019" w14:textId="312B330B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21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Shimamoto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Shoji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Inoue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Matsueda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Miyake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Waki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Kono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Fukuda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Matsuura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Nagaike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Aoi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Inoue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Nakahara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Nishihara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Real-time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assessment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video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squamous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cell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invasion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depth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55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1037-1045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32778959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10.1007/s00535-020-01716-5]</w:t>
      </w:r>
    </w:p>
    <w:p w14:paraId="5F827AA3" w14:textId="44BD4E3C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22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Tokai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Aoyama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Horie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Yoshimizu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Horiuchi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Tsuchida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Hirasawa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Sakakibara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Yamaguchi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Fujisaki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Application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determining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invasion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depth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squamous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cell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Esophagus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17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250-256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31980977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10.1007/s10388-020-00716-x]</w:t>
      </w:r>
    </w:p>
    <w:p w14:paraId="2BA7AD49" w14:textId="2E3CA64B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lastRenderedPageBreak/>
        <w:t>23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Trindade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AJ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McKinley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Leggett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Kahn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Pleskow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DK.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Surveillance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Barrett</w:t>
      </w:r>
      <w:r w:rsidR="00894626" w:rsidRPr="00043AF2">
        <w:rPr>
          <w:rFonts w:ascii="Book Antiqua" w:hAnsi="Book Antiqua"/>
          <w:color w:val="201F35"/>
        </w:rPr>
        <w:t>’</w:t>
      </w:r>
      <w:r w:rsidRPr="00043AF2">
        <w:rPr>
          <w:rFonts w:ascii="Book Antiqua" w:hAnsi="Book Antiqua"/>
          <w:color w:val="201F35"/>
        </w:rPr>
        <w:t>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Volumetric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Laser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Endomicroscopy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Enhancement.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157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303-305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31078625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10.1053/j.gastro.2019.04.048]</w:t>
      </w:r>
    </w:p>
    <w:p w14:paraId="5AAF9CD7" w14:textId="064E57C9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24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Hashimoto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R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Requa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Ninh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Lugo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El-Hage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Chehade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Karnes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Samarasena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JB.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real-time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neoplasia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Barrett</w:t>
      </w:r>
      <w:r w:rsidR="00894626" w:rsidRPr="00043AF2">
        <w:rPr>
          <w:rFonts w:ascii="Book Antiqua" w:hAnsi="Book Antiqua"/>
          <w:color w:val="201F35"/>
        </w:rPr>
        <w:t>’</w:t>
      </w:r>
      <w:r w:rsidRPr="00043AF2">
        <w:rPr>
          <w:rFonts w:ascii="Book Antiqua" w:hAnsi="Book Antiqua"/>
          <w:color w:val="201F35"/>
        </w:rPr>
        <w:t>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video).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Gastrointest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91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1264-1271.e1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31930967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10.1016/j.gie.2019.12.049]</w:t>
      </w:r>
    </w:p>
    <w:p w14:paraId="1E20BD59" w14:textId="5262C603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25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de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Groof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AJ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Struyvenberg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Putten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Sommen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Fockens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Curvers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Zinger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Pouw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Coron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Baldaque-Silva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Pech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Weusten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Meining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Neuhaus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Bisschops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Schoon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Bergman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JJ.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Deep-Learning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Neoplasia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Patients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Barrett</w:t>
      </w:r>
      <w:r w:rsidR="00894626" w:rsidRPr="00043AF2">
        <w:rPr>
          <w:rFonts w:ascii="Book Antiqua" w:hAnsi="Book Antiqua"/>
          <w:color w:val="201F35"/>
        </w:rPr>
        <w:t>’</w:t>
      </w:r>
      <w:r w:rsidRPr="00043AF2">
        <w:rPr>
          <w:rFonts w:ascii="Book Antiqua" w:hAnsi="Book Antiqua"/>
          <w:color w:val="201F35"/>
        </w:rPr>
        <w:t>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Higher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Accuracy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Endoscopists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Multistep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Training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Validation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Study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Benchmarking.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158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915-929.e4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31759929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10.1053/j.gastro.2019.11.030]</w:t>
      </w:r>
    </w:p>
    <w:p w14:paraId="690CBF9E" w14:textId="64909AAD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26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Tomita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N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Abdollahi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Wei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Suriawinata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Hassanpour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Attention-Based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Precancerous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Tissue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Histopathological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Slides.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JAMA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Netw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Open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e1914645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31693124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10.1001/jamanetworkopen.2019.14645]</w:t>
      </w:r>
    </w:p>
    <w:p w14:paraId="29200AC2" w14:textId="0AF6F420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27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Sumiyama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K</w:t>
      </w:r>
      <w:r w:rsidRPr="00043AF2">
        <w:rPr>
          <w:rFonts w:ascii="Book Antiqua" w:hAnsi="Book Antiqua"/>
          <w:color w:val="201F35"/>
        </w:rPr>
        <w:t>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Past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current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trends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stage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Japan.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Gastric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2017;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20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20-27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27734273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10.1007/s10120-016-0659-4]</w:t>
      </w:r>
    </w:p>
    <w:p w14:paraId="4D497FB4" w14:textId="3B7134B5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28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Kumar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Metz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Ellenberg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Kaplan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Goldberg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Risk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Factors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Incidence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After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Helicobacter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pylori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Infection: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Large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Cohort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Study.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158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527-536.e7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31654635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10.1053/j.gastro.2019.10.019]</w:t>
      </w:r>
    </w:p>
    <w:p w14:paraId="17B50452" w14:textId="6927667C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lastRenderedPageBreak/>
        <w:t>29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Hatta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W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Gotoda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Koike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Masamune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History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future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perspectives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Japanese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guidelines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resection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Dig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32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180-190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31529716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10.1111/den.13531]</w:t>
      </w:r>
    </w:p>
    <w:p w14:paraId="16736ECC" w14:textId="25798EFB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Pimentel-Nunes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Libânio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Marcos-Pinto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Areia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Leja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Esposito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Garrido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Kikuste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Megraud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Matysiak-Budnik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Annibale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Dumonceau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Barros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Fléjou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Carneiro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Hooft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Kuipers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Dinis-Ribeiro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Management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epithelial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precancerous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conditions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lesions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stomach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(MAPS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II):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European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Society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Gastrointestinal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(ESGE),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European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Helicobacter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Microbiota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Study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Group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(EHMSG),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European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Society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Pathology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(ESP),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Sociedade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Portuguesa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Digestiva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(SPED)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guideline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update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51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365-388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30841008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10.1055/a-0859-1883]</w:t>
      </w:r>
    </w:p>
    <w:p w14:paraId="656E33A4" w14:textId="59A71FA4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Suzuki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Abe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Sekiguchi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Mori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Nonaka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Yoshinaga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Saito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High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rate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5-year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survival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among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patients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undergoing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curative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submucosal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dissection.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Gastric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2016;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198-205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25616808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10.1007/s10120-015-0469-0]</w:t>
      </w:r>
    </w:p>
    <w:p w14:paraId="4FC008DF" w14:textId="13B76EB6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Shi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Qian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Luo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Long-term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oncologic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outcomes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randomized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controlled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comparing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laparoscopic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versus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open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gastrectomy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lymph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node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dissection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advanced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Surgery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165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1211-1216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30772006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10.1016/j.surg.2019.01.003]</w:t>
      </w:r>
    </w:p>
    <w:p w14:paraId="15213B3D" w14:textId="3E26FE0C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Mori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Berzin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Kudo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promise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ahead.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Gastrointest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89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816-817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30902205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10.1016/j.gie.2018.12.019]</w:t>
      </w:r>
    </w:p>
    <w:p w14:paraId="36EA600A" w14:textId="50340FD9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Ueyama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Akazawa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Yatagai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Komori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Takeda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Matsumoto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Ueda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Matsumoto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Hojo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Nagahara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Application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magnifying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narrow-band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imaging.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Hepatol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2021;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36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482-489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32681536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10.1111/jgh.15190]</w:t>
      </w:r>
    </w:p>
    <w:p w14:paraId="5873210B" w14:textId="47FB2315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Horiuchi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Aoyama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Tokai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Hirasawa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Yoshimizu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Tsuchida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Fujisaki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Differentiating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lastRenderedPageBreak/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from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Gastritis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Magnified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Narrow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Imaging.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Dig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Dis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Sci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65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1355-1363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31584138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10.1007/s10620-019-05862-6]</w:t>
      </w:r>
    </w:p>
    <w:p w14:paraId="53C792CA" w14:textId="230FE180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Namikawa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K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Hirasawa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Nakano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Ikenoyama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Ishioka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Shiroma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Tokai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Yoshimizu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Horiuchi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Tsuchida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Fujisaki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intelligence-based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classifying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ulcers: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comparison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between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original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newly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developed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52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1077-1083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32503056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10.1055/a-1194-8771]</w:t>
      </w:r>
    </w:p>
    <w:p w14:paraId="2A572986" w14:textId="4590EEE4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Ishioka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M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Hirasawa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from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video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Dig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31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e34-e35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30449050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10.1111/den.13306]</w:t>
      </w:r>
    </w:p>
    <w:p w14:paraId="6CE0C0DC" w14:textId="33A7984D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Zhu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Cheng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YQ,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LQ,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QL.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Application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invasion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depth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conventional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Gastrointest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89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806-815.e1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30452913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10.1016/j.gie.2018.11.011]</w:t>
      </w:r>
    </w:p>
    <w:p w14:paraId="0553A732" w14:textId="5F4FF39E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39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Yoon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HJ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Keum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SI,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Chun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Youn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Kwon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Choi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Noh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Lesion-Based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Improves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Depth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Prediction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Clin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Med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1310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31454949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10.3390/jcm8091310]</w:t>
      </w:r>
    </w:p>
    <w:p w14:paraId="7541D299" w14:textId="1C494B72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Song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Z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Huang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Yuan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Davis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Clinically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applicable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histopathological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Nat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Commun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4294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32855423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10.1038/s41467-020-18147-8]</w:t>
      </w:r>
    </w:p>
    <w:p w14:paraId="79392294" w14:textId="077E5394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Yoshida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Shimazu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Kiyuna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Marugame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Yamashita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Cosatto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Taniguchi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Sekine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Ochiai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Automated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histological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classification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whole-slide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biopsy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specimens.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Gastric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2018;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249-257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28577229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10.1007/s10120-017-0731-8]</w:t>
      </w:r>
    </w:p>
    <w:p w14:paraId="1FF0704B" w14:textId="0C8907BE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Sharma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Zerbe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Klempert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Hellwich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Hufnagl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automatic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classification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whole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slide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lastRenderedPageBreak/>
        <w:t>digital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histopathology.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Comput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Med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Imaging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Graph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2017;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61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2-13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28676295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10.1016/j.compmedimag.2017.06.001]</w:t>
      </w:r>
    </w:p>
    <w:p w14:paraId="6610AFB5" w14:textId="078A1494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Li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Q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Feng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YQ,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Machine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Learning-Based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Computational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Models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Derived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From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Large-Scale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Radiographic-Radiomic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Help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Predict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Adverse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Histopathological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Status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Clin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Transl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10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e00079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31577560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10.14309/ctg.0000000000000079]</w:t>
      </w:r>
    </w:p>
    <w:p w14:paraId="29319104" w14:textId="246415C6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Li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J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Tian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Dual-energy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CT-based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radiomics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improve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lymph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node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metastasis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risk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prediction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Eur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Radiol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30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2324-2333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31953668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10.1007/s00330-019-06621-x]</w:t>
      </w:r>
    </w:p>
    <w:p w14:paraId="6D950D42" w14:textId="38AA9A53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Guimarães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Keller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Fehlmann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Lammert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Casper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Deep-learning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precancerous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conditions.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Gut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69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4-6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31375599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10.1136/gutjnl-2019-319347]</w:t>
      </w:r>
    </w:p>
    <w:p w14:paraId="0A2A8FC5" w14:textId="482AB5D3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Zhang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Yuan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Huo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chronic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atrophic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gastritis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Dig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Liver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Dis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52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566-572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32061504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10.1016/j.dld.2019.12.146]</w:t>
      </w:r>
    </w:p>
    <w:p w14:paraId="1DDA3689" w14:textId="1B8B413B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Shichijo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Nomura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Aoyama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Nishikawa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Miura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Shinagawa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Takiyama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Tanimoto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Matsuo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Application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Helicobacter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pylori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Infection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</w:t>
      </w:r>
      <w:r w:rsidR="00894626" w:rsidRPr="00043AF2">
        <w:rPr>
          <w:rFonts w:ascii="Book Antiqua" w:hAnsi="Book Antiqua"/>
          <w:i/>
          <w:iCs/>
          <w:color w:val="201F35"/>
        </w:rPr>
        <w:t>b</w:t>
      </w:r>
      <w:r w:rsidRPr="00043AF2">
        <w:rPr>
          <w:rFonts w:ascii="Book Antiqua" w:hAnsi="Book Antiqua"/>
          <w:i/>
          <w:iCs/>
          <w:color w:val="201F35"/>
        </w:rPr>
        <w:t>ioMedicine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2017;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25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106-111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29056541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10.1016/j.ebiom.2017.10.014]</w:t>
      </w:r>
    </w:p>
    <w:p w14:paraId="576AE190" w14:textId="142B1571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Zheng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W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Luo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High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Accuracy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Evaluation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Helicobacter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pylori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Infection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Preliminary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Experience.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Clin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Transl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10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e00109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31833862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10.14309/ctg.0000000000000109]</w:t>
      </w:r>
    </w:p>
    <w:p w14:paraId="3A5C2934" w14:textId="253F19D0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49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Bang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CS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Baik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GH.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Prediction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Helicobacter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Pylori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Infection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Review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Meta-Analysis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lastRenderedPageBreak/>
        <w:t>Diagnostic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Test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Accuracy.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Med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Internet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Res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22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e21983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32936088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10.2196/21983]</w:t>
      </w:r>
    </w:p>
    <w:p w14:paraId="7CA58C33" w14:textId="3A2CFA1C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50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Bianco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F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Arezzo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Agresta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Coco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Faletti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Krivocapic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Rotondano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Santoro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Vettoretto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Franciscis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Belli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Romano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GM;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Italian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Society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Surgery.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Practice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parameters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management: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Italian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Society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Surgery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(Società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Italiana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Chirurgia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Colo-Rettale;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SICCR)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guidelines.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Tech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Coloproctol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2015;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577-585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26403233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10.1007/s10151-015-1361-y]</w:t>
      </w:r>
    </w:p>
    <w:p w14:paraId="76007856" w14:textId="08A4BAE0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51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Dumoulin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FL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Hildenbrand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resection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techniques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neoplasia: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Current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developments.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World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25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300-307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30686899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10.3748/wjg.v25.i3.300]</w:t>
      </w:r>
    </w:p>
    <w:p w14:paraId="0B15662B" w14:textId="39324B89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52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Murakami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T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Sakamoto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Nagahara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sessile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serrated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adenoma/polyp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without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dysplasia/carcinoma.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World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2018;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24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3250-3259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30090005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10.3748/wjg.v24.i29.3250]</w:t>
      </w:r>
    </w:p>
    <w:p w14:paraId="4EFD3AE4" w14:textId="37910890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53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Kawasaki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K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Fujii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Sugimoto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Ishikawa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Matano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Ohta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Toshimitsu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Takahashi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Hosoe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Sekine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Kanai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Chromosome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Engineering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Human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Colon-Derived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Organoids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Develop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Model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Traditional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Serrated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Adenoma.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158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638-651.e8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31622618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10.1053/j.gastro.2019.10.009]</w:t>
      </w:r>
    </w:p>
    <w:p w14:paraId="63C90A4D" w14:textId="1316C995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54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Itatani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Kawada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Sakai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Treatment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Elderly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Patients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Biomed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Res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Int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2018;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2018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2176056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29713641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10.1155/2018/2176056]</w:t>
      </w:r>
    </w:p>
    <w:p w14:paraId="329D2522" w14:textId="581C3A9C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55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Ladabaum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U</w:t>
      </w:r>
      <w:r w:rsidRPr="00043AF2">
        <w:rPr>
          <w:rFonts w:ascii="Book Antiqua" w:hAnsi="Book Antiqua"/>
          <w:color w:val="201F35"/>
        </w:rPr>
        <w:t>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Should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Get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Screened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Really.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JAMA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Netw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Open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e1910452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31469390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10.1001/jamanetworkopen.2019.10452]</w:t>
      </w:r>
    </w:p>
    <w:p w14:paraId="51A6582D" w14:textId="41C8A2F0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56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US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Preventive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Services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Task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Force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Bibbins-Domingo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Grossman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Curry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Davidson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Epling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JW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García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FAR,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Gillman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Harper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Kemper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Krist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Kurth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Landefeld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Mangione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Owens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Phillips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Phipps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Pignone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AL.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Screening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Preventive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Services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Task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Recommendation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Statement.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2016;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315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2564-2575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27304597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10.1001/jama.2016.5989]</w:t>
      </w:r>
    </w:p>
    <w:p w14:paraId="7591937B" w14:textId="7758C434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lastRenderedPageBreak/>
        <w:t>57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Siegel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RL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Miller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Fedewa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Ahnen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Meester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RGS,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Barzi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Jemal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statistics,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2017.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CA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Cancer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Clin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2017;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67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177-193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28248415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10.3322/caac.21395]</w:t>
      </w:r>
    </w:p>
    <w:p w14:paraId="6CD3CD6B" w14:textId="2330B592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58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Yamada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M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Saito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Imaoka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Saiko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Kondo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Takamaru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Sakamoto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Sese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Kuchiba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Shibata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Hamamoto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Development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real-time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support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technology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colonoscopy.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Sci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Rep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14465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31594962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10.1038/s41598-019-50567-5]</w:t>
      </w:r>
    </w:p>
    <w:p w14:paraId="147C65E7" w14:textId="0848008E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59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Yang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YJ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Jeong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Baik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GH.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Automated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Classification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Neoplasms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White-Light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via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Clin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Med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1593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32456309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10.3390/jcm9051593]</w:t>
      </w:r>
    </w:p>
    <w:p w14:paraId="035E1548" w14:textId="449355DF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Hashiguchi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Muro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Saito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Ajioka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Hamaguchi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Hasegawa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Hotta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Ishiguro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Kanemitsu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Kinugasa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Murofushi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Nakajima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Tanaka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Taniguchi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Tsuji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Uehara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Ueno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Yamanaka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Yamazaki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Itabashi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Sakamaki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Shimada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Tanaka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Uetake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Yamaguchi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Yamaguchi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Kobayashi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Matsuda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Kotake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Sugihara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Japanese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Society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Rectum.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Japanese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Society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Rectum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(JSCCR)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guidelines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treatment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Int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Clin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Oncol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25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1-42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31203527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10.1007/s10147-019-01485-z]</w:t>
      </w:r>
    </w:p>
    <w:p w14:paraId="4B630DC6" w14:textId="74A03198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Ito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N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Kawahira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Nakashima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Uesato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Miyauchi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Matsubara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Support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cT1b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Oncology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96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44-50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30130758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10.1159/000491636]</w:t>
      </w:r>
    </w:p>
    <w:p w14:paraId="32143B9F" w14:textId="7D962A3E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Hoerter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N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Gross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Polyp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Curr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Treat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Options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</w:t>
      </w:r>
      <w:r w:rsidR="007D6981" w:rsidRPr="00043AF2">
        <w:rPr>
          <w:rFonts w:ascii="Book Antiqua" w:hAnsi="Book Antiqua" w:hint="eastAsia"/>
          <w:color w:val="201F35"/>
        </w:rPr>
        <w:t xml:space="preserve">; </w:t>
      </w:r>
      <w:r w:rsidRPr="00043AF2">
        <w:rPr>
          <w:rFonts w:ascii="Book Antiqua" w:hAnsi="Book Antiqua"/>
          <w:color w:val="201F35"/>
        </w:rPr>
        <w:t>epub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ahead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print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31960282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10.1007/s11938-020-00274-2]</w:t>
      </w:r>
    </w:p>
    <w:p w14:paraId="4D4022AB" w14:textId="1B88D53E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Vinsard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DG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Mori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Misawa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Kudo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Rastogi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Bagci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Rex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Wallace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MB.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Quality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assurance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computer-aided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colonoscopy.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Gastrointest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90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55-63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30926431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10.1016/j.gie.2019.03.019]</w:t>
      </w:r>
    </w:p>
    <w:p w14:paraId="307EE725" w14:textId="58242A4E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Zhou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G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Xiao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Computer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aided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laterally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spreading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tumors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sessile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serrated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lastRenderedPageBreak/>
        <w:t>adenomas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during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colonoscopy.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P</w:t>
      </w:r>
      <w:r w:rsidR="00894626" w:rsidRPr="00043AF2">
        <w:rPr>
          <w:rFonts w:ascii="Book Antiqua" w:hAnsi="Book Antiqua"/>
          <w:i/>
          <w:iCs/>
          <w:color w:val="201F35"/>
        </w:rPr>
        <w:t>l</w:t>
      </w:r>
      <w:r w:rsidRPr="00043AF2">
        <w:rPr>
          <w:rFonts w:ascii="Book Antiqua" w:hAnsi="Book Antiqua"/>
          <w:i/>
          <w:iCs/>
          <w:color w:val="201F35"/>
        </w:rPr>
        <w:t>oS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One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15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e0231880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32315365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10.1371/journal.pone.0231880]</w:t>
      </w:r>
    </w:p>
    <w:p w14:paraId="0F7634EF" w14:textId="1197CAF8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Repici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A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Badalamenti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Maselli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Correale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Radaelli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Rondonotti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Ferrara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Spadaccini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Alkandari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Fugazza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Anderloni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Galtieri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Pellegatta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Carrara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Craviotto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Lamonaca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Lorenzetti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Andrealli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Antonelli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Wallace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Sharma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Rosch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Hassan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Efficacy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Real-Time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Computer-Aided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Neoplasia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Randomized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Trial.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159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512-520.e7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32371116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10.1053/j.gastro.2020.04.062]</w:t>
      </w:r>
    </w:p>
    <w:p w14:paraId="44D97B08" w14:textId="780B95A4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Wang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Berzin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Glissen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Brown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Bharadwaj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Becq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Xiao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Real-time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automatic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increases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polyp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rates: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prospective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="00894626" w:rsidRPr="00043AF2">
        <w:rPr>
          <w:rFonts w:ascii="Book Antiqua" w:hAnsi="Book Antiqua"/>
          <w:color w:val="201F35"/>
        </w:rPr>
        <w:pgNum/>
      </w:r>
      <w:r w:rsidR="00894626" w:rsidRPr="00043AF2">
        <w:rPr>
          <w:rFonts w:ascii="Book Antiqua" w:hAnsi="Book Antiqua"/>
          <w:color w:val="201F35"/>
        </w:rPr>
        <w:t>andomized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controlled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study.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Gut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68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1813-1819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30814121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10.1136/gutjnl-2018-317500]</w:t>
      </w:r>
    </w:p>
    <w:p w14:paraId="6651C350" w14:textId="5E4982DF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Stidham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RW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Bishu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Rice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Higgins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PDR,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Nallamothu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Waljee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AK.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Performance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Model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vs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Human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Reviewers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Grading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Disease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Severity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Patients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Ulcerative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Colitis.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JAMA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Netw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Open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e193963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31099869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10.1001/jamanetworkopen.2019.3963]</w:t>
      </w:r>
    </w:p>
    <w:p w14:paraId="69BEB2FF" w14:textId="788C9B8E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Waljee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AK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Wallace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BI,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Cohen-Mekelburg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Sauder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Stidham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Higgins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PDR.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Development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Validation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Machine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Models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Prediction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Remission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Patients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Moderate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Severe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Crohn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Disease.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JAMA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Netw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Open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e193721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31074823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10.1001/jamanetworkopen.2019.3721]</w:t>
      </w:r>
    </w:p>
    <w:p w14:paraId="53E5BFCB" w14:textId="7B330AA1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69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Thakur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N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Current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Trends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Artificial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Intelligence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Pathology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Analysis: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Review.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Cancers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(Basel)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12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1884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32668721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10.3390/cancers12071884]</w:t>
      </w:r>
    </w:p>
    <w:p w14:paraId="2FFBC2D0" w14:textId="07F5DDE2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70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Sena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Fioresi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Faglioni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Losi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Faglioni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Roncucci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techniques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preneoplastic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neoplastic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lesions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human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histological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Oncol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Lett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6101-6107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31788084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10.3892/ol.2019.10928]</w:t>
      </w:r>
    </w:p>
    <w:p w14:paraId="686D66E6" w14:textId="505ABBE4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lastRenderedPageBreak/>
        <w:t>71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Takamatsu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M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Yamamoto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Kawachi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Chino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Saito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Ueno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Ishikawa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Takazawa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Takeuchi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Prediction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metastasis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machine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digital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slide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Comput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Methods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Programs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Biomed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178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155-161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31416544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10.1016/j.cmpb.2019.06.022]</w:t>
      </w:r>
    </w:p>
    <w:p w14:paraId="48116E61" w14:textId="31F111E8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72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Guo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L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Xiao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Zeng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Xie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Cheung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Sharma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Real-time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automated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precancerous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lesions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squamous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cell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model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videos).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Gastrointest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91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41-51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31445040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10.1016/j.gie.2019.08.018]</w:t>
      </w:r>
    </w:p>
    <w:p w14:paraId="5FC45D7F" w14:textId="491F95AB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73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Cai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SL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LQ,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screening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squamous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cell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video).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Gastrointest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90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745-753.e2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31302091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10.1016/j.gie.2019.06.044]</w:t>
      </w:r>
    </w:p>
    <w:p w14:paraId="0B43BE50" w14:textId="54147F8C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74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Zhao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Xue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Sun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Feng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JM.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Computer-assisted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esophageal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squamous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cell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carcinoma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narrow-band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magnifying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51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333-341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30469155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10.1055/a-0756-8754]</w:t>
      </w:r>
    </w:p>
    <w:p w14:paraId="40E8A920" w14:textId="57A9D9DC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75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Sakai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Takemoto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Hori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Nishimura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Ikematsu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Yano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Yokota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Automatic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transferring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Annu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Int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Conf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IEEE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Eng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Med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Biol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Soc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2018;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2018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4138-4141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30441266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10.1109/EMBC.2018.8513274]</w:t>
      </w:r>
    </w:p>
    <w:p w14:paraId="38AD14F4" w14:textId="775B6B81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76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Zhang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L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lesions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through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Dig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2021;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33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788-796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32961597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10.1111/den.13844]</w:t>
      </w:r>
    </w:p>
    <w:p w14:paraId="6309B6CB" w14:textId="3509DCFA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77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Li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L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based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magnifying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narrow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imaging.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Gastric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23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126-132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31332619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10.1007/s10120-019-00992-2]</w:t>
      </w:r>
    </w:p>
    <w:p w14:paraId="06B68801" w14:textId="3ADB5861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lastRenderedPageBreak/>
        <w:t>78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Wu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L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Huang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Jiang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improves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without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blind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spots.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51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522-531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30861533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10.1055/a-0855-3532]</w:t>
      </w:r>
    </w:p>
    <w:p w14:paraId="238C4450" w14:textId="30543EC6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79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Ikenoyama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Y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Hirasawa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Ishioka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Namikawa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Yoshimizu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Horiuchi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Ishiyama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Yoshio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Tsuchida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Takeuchi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Shichijo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Katayama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Fujisaki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Tada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Comparison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between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diagnostic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ability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endoscopists.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Dig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2021;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33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141-150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32282110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10.1111/den.13688]</w:t>
      </w:r>
    </w:p>
    <w:p w14:paraId="57258282" w14:textId="1A95A479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80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Cho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BJ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Seo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SI,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Yoo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Choi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Baik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GH.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Automated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classification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neoplasms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images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convolutional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network.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51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1121-1129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31443108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10.1055/a-0981-6133]</w:t>
      </w:r>
    </w:p>
    <w:p w14:paraId="550CA013" w14:textId="584CC0E6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81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Urban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G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Tripathi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Alkayali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Mittal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Jalali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Karnes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Baldi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Localizes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Identifies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Polyps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Time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96%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Accuracy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Screening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Colonoscopy.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Gastroenterology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2018;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155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1069-1078.e8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29928897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10.1053/j.gastro.2018.06.037]</w:t>
      </w:r>
    </w:p>
    <w:p w14:paraId="6065D37D" w14:textId="1F1C1118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82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Wang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Berzin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Glissen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Brown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Guo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Xiong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Effect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deep-learning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computer-aided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during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(CADe-DB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trial):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double-blind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="00894626" w:rsidRPr="00043AF2">
        <w:rPr>
          <w:rFonts w:ascii="Book Antiqua" w:hAnsi="Book Antiqua"/>
          <w:color w:val="201F35"/>
        </w:rPr>
        <w:pgNum/>
      </w:r>
      <w:r w:rsidR="00894626" w:rsidRPr="00043AF2">
        <w:rPr>
          <w:rFonts w:ascii="Book Antiqua" w:hAnsi="Book Antiqua"/>
          <w:color w:val="201F35"/>
        </w:rPr>
        <w:t>andomized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study.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Lancet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Hepatol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5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343-351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31981517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10.1016/S2468-1253(19)30411-X]</w:t>
      </w:r>
    </w:p>
    <w:p w14:paraId="3D6F5367" w14:textId="1224B6FC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83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Park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CH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Yang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YW,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Bae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Chung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Choi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Kwak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Kim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Choi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Byeon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Park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JY,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Chun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HJ.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Clinical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Practice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Guideline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for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Resection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Early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Gastrointestinal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Cancer.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Clin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53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142-166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32252507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10.5946/ce.2020.032]</w:t>
      </w:r>
    </w:p>
    <w:p w14:paraId="72DF6CF5" w14:textId="2C2FEFAD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84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Lee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JK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Jensen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CD,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Levin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TR,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Zauber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AG,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Doubeni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CA,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WK,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Corley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DA.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Accurate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Identification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Quality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Polyp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Findings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Natural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lastRenderedPageBreak/>
        <w:t>Language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Processing.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J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Clin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Gastroenterol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53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e25-e30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28906424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10.1097/MCG.0000000000000929]</w:t>
      </w:r>
    </w:p>
    <w:p w14:paraId="0063EB58" w14:textId="1436088A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85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Rutter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MD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CJ.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Quality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gastrointestinal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endoscopy.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2014;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46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526-528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24788539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10.1055/s-0034-1365738]</w:t>
      </w:r>
    </w:p>
    <w:p w14:paraId="144837A8" w14:textId="5BFC7DE4" w:rsidR="00B607BC" w:rsidRPr="00043AF2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86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Su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JR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Shao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XJ,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Ji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Zhou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Liu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GQ,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YS,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Zuo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XL,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YQ.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Impact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real-time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automatic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quality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control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system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polyp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adenoma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detection: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prospective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randomized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controlled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study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(with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videos).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Gastrointest</w:t>
      </w:r>
      <w:r w:rsidR="007D6981" w:rsidRPr="00043AF2">
        <w:rPr>
          <w:rFonts w:ascii="Book Antiqua" w:hAnsi="Book Antiqua"/>
          <w:i/>
          <w:iCs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Endosc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2020;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91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415-424.e4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31454493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10.1016/j.gie.2019.08.026]</w:t>
      </w:r>
    </w:p>
    <w:p w14:paraId="318BF3B6" w14:textId="014F3BA0" w:rsidR="00B607BC" w:rsidRPr="002529C3" w:rsidRDefault="00B607BC" w:rsidP="002529C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43AF2">
        <w:rPr>
          <w:rFonts w:ascii="Book Antiqua" w:hAnsi="Book Antiqua"/>
          <w:color w:val="201F35"/>
        </w:rPr>
        <w:t>87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Byrne</w:t>
      </w:r>
      <w:r w:rsidR="007D6981" w:rsidRPr="00043AF2">
        <w:rPr>
          <w:rFonts w:ascii="Book Antiqua" w:hAnsi="Book Antiqua"/>
          <w:b/>
          <w:bCs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MF</w:t>
      </w:r>
      <w:r w:rsidRPr="00043AF2">
        <w:rPr>
          <w:rFonts w:ascii="Book Antiqua" w:hAnsi="Book Antiqua"/>
          <w:color w:val="201F35"/>
        </w:rPr>
        <w:t>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Chapados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Soudan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Oertel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Linares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Pérez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Kelly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Iqbal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N,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Chandelier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F,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Rex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DK.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Real-time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differentiation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adenomatous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hyperplastic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diminutive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colorectal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polyps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during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analysis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unaltered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videos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of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standard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colonoscopy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using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a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deep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learning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model.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i/>
          <w:iCs/>
          <w:color w:val="201F35"/>
        </w:rPr>
        <w:t>Gut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2019;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b/>
          <w:bCs/>
          <w:color w:val="201F35"/>
        </w:rPr>
        <w:t>68</w:t>
      </w:r>
      <w:r w:rsidRPr="00043AF2">
        <w:rPr>
          <w:rFonts w:ascii="Book Antiqua" w:hAnsi="Book Antiqua"/>
          <w:color w:val="201F35"/>
        </w:rPr>
        <w:t>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94-100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[PMID: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29066576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DOI:</w:t>
      </w:r>
      <w:r w:rsidR="007D6981" w:rsidRPr="00043AF2">
        <w:rPr>
          <w:rFonts w:ascii="Book Antiqua" w:hAnsi="Book Antiqua"/>
          <w:color w:val="201F35"/>
        </w:rPr>
        <w:t xml:space="preserve"> </w:t>
      </w:r>
      <w:r w:rsidRPr="00043AF2">
        <w:rPr>
          <w:rFonts w:ascii="Book Antiqua" w:hAnsi="Book Antiqua"/>
          <w:color w:val="201F35"/>
        </w:rPr>
        <w:t>10.1136/gutjnl-2017-314547]</w:t>
      </w:r>
    </w:p>
    <w:p w14:paraId="3FF671B1" w14:textId="77777777" w:rsidR="00392A3D" w:rsidRDefault="00392A3D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1D730A6A" w14:textId="77777777" w:rsidR="005C5EE8" w:rsidRDefault="005C5EE8" w:rsidP="002529C3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4E22891" w14:textId="77777777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Footnotes</w:t>
      </w:r>
    </w:p>
    <w:p w14:paraId="333B238F" w14:textId="2F8FE4C3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authors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declare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have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competing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interests.</w:t>
      </w:r>
    </w:p>
    <w:p w14:paraId="7ECFF977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A2463E" w14:textId="6FD621C2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D69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article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open-access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article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that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was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selected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in-house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editor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fully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peer-reviewed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external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reviewers.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distributed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accordance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with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Creative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Commons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Attribution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NonCommercial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(CC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BY-NC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4.0)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license,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which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permits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others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to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distribute,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remix,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adapt,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build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upon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work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non-commercially,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license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their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derivative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works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different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terms,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provided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original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work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properly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cited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use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non-commercial.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See: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894626" w:rsidRPr="001609D3">
        <w:rPr>
          <w:rFonts w:ascii="Book Antiqua" w:eastAsia="Book Antiqua" w:hAnsi="Book Antiqua" w:cs="Book Antiqua"/>
        </w:rPr>
        <w:t>http://creativecommons.org/Licenses/by-nc/4.0/</w:t>
      </w:r>
    </w:p>
    <w:p w14:paraId="6B6D5D50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A1A705" w14:textId="5804C4FD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Manuscript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source: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Unsolicit</w:t>
      </w:r>
      <w:r w:rsidR="00B607BC" w:rsidRPr="002529C3">
        <w:rPr>
          <w:rFonts w:ascii="Book Antiqua" w:eastAsia="Book Antiqua" w:hAnsi="Book Antiqua" w:cs="Book Antiqua"/>
          <w:color w:val="000000"/>
        </w:rPr>
        <w:t>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ma</w:t>
      </w:r>
      <w:r w:rsidRPr="002529C3">
        <w:rPr>
          <w:rFonts w:ascii="Book Antiqua" w:eastAsia="Book Antiqua" w:hAnsi="Book Antiqua" w:cs="Book Antiqua"/>
          <w:color w:val="000000"/>
        </w:rPr>
        <w:t>nuscript</w:t>
      </w:r>
    </w:p>
    <w:p w14:paraId="1D914675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48AF99" w14:textId="6F895866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started: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June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11,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2021</w:t>
      </w:r>
    </w:p>
    <w:p w14:paraId="24856A28" w14:textId="5B40EB7C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First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decision: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June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24,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2021</w:t>
      </w:r>
    </w:p>
    <w:p w14:paraId="2D4657C0" w14:textId="63B889BA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Article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in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press: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25FD" w:rsidRPr="002529C3">
        <w:rPr>
          <w:rFonts w:ascii="Book Antiqua" w:eastAsia="Book Antiqua" w:hAnsi="Book Antiqua" w:cs="Book Antiqua"/>
          <w:color w:val="000000"/>
        </w:rPr>
        <w:t>August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925FD" w:rsidRPr="002529C3">
        <w:rPr>
          <w:rFonts w:ascii="Book Antiqua" w:eastAsia="Book Antiqua" w:hAnsi="Book Antiqua" w:cs="Book Antiqua"/>
          <w:color w:val="000000"/>
        </w:rPr>
        <w:t>18,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925FD" w:rsidRPr="002529C3">
        <w:rPr>
          <w:rFonts w:ascii="Book Antiqua" w:eastAsia="Book Antiqua" w:hAnsi="Book Antiqua" w:cs="Book Antiqua"/>
          <w:color w:val="000000"/>
        </w:rPr>
        <w:t>2021</w:t>
      </w:r>
    </w:p>
    <w:p w14:paraId="7EA124B5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0A2A4B" w14:textId="0A3D1A7E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Specialty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type: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Gastroentero</w:t>
      </w:r>
      <w:r w:rsidR="00B607BC" w:rsidRPr="002529C3">
        <w:rPr>
          <w:rFonts w:ascii="Book Antiqua" w:eastAsia="Book Antiqua" w:hAnsi="Book Antiqua" w:cs="Book Antiqua"/>
          <w:color w:val="000000"/>
        </w:rPr>
        <w:t>logy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hepa</w:t>
      </w:r>
      <w:r w:rsidRPr="002529C3">
        <w:rPr>
          <w:rFonts w:ascii="Book Antiqua" w:eastAsia="Book Antiqua" w:hAnsi="Book Antiqua" w:cs="Book Antiqua"/>
          <w:color w:val="000000"/>
        </w:rPr>
        <w:t>tology</w:t>
      </w:r>
    </w:p>
    <w:p w14:paraId="2C054083" w14:textId="2DE128C2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Country/Territory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of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origin: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China</w:t>
      </w:r>
    </w:p>
    <w:p w14:paraId="60889D15" w14:textId="2263F57B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t>Peer-review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report’s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scientific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quality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FF1102" w14:textId="250C5F93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(Excellent):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0</w:t>
      </w:r>
    </w:p>
    <w:p w14:paraId="1B3C6686" w14:textId="6DCB8391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(Very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good):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0</w:t>
      </w:r>
    </w:p>
    <w:p w14:paraId="7735F2A0" w14:textId="0668D534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(Good):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</w:t>
      </w:r>
      <w:r w:rsidR="00B607BC" w:rsidRPr="002529C3">
        <w:rPr>
          <w:rFonts w:ascii="Book Antiqua" w:eastAsia="Book Antiqua" w:hAnsi="Book Antiqua" w:cs="Book Antiqua"/>
          <w:color w:val="000000"/>
        </w:rPr>
        <w:t>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C,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C</w:t>
      </w:r>
    </w:p>
    <w:p w14:paraId="6BA9DD0F" w14:textId="23F28F7B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(Fair):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</w:t>
      </w:r>
    </w:p>
    <w:p w14:paraId="6E9268E1" w14:textId="2328725D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color w:val="000000"/>
        </w:rPr>
        <w:t>Grade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(Poor):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0</w:t>
      </w:r>
    </w:p>
    <w:p w14:paraId="01CE7741" w14:textId="77777777" w:rsidR="00A77B3E" w:rsidRPr="002529C3" w:rsidRDefault="00A77B3E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066041" w14:textId="4A2FECAC" w:rsidR="00BE5E4B" w:rsidRDefault="00BF61FC" w:rsidP="002529C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BE5E4B" w:rsidSect="000165FD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29C3">
        <w:rPr>
          <w:rFonts w:ascii="Book Antiqua" w:eastAsia="Book Antiqua" w:hAnsi="Book Antiqua" w:cs="Book Antiqua"/>
          <w:b/>
          <w:color w:val="000000"/>
        </w:rPr>
        <w:t>P-Reviewer: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Balakrishnan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Lalmuanawma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Tanabe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S,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Vijh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S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S-Editor: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Liu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M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L-Editor: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218E" w:rsidRPr="002529C3">
        <w:rPr>
          <w:rFonts w:ascii="Book Antiqua" w:eastAsia="Book Antiqua" w:hAnsi="Book Antiqua" w:cs="Book Antiqua"/>
          <w:bCs/>
          <w:color w:val="000000"/>
        </w:rPr>
        <w:t>Filipodia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P-Editor: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25FD" w:rsidRPr="006925FD">
        <w:rPr>
          <w:rFonts w:ascii="Book Antiqua" w:eastAsia="Book Antiqua" w:hAnsi="Book Antiqua" w:cs="Book Antiqua"/>
          <w:color w:val="000000"/>
        </w:rPr>
        <w:t>Xing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6925FD" w:rsidRPr="006925FD">
        <w:rPr>
          <w:rFonts w:ascii="Book Antiqua" w:eastAsia="Book Antiqua" w:hAnsi="Book Antiqua" w:cs="Book Antiqua"/>
          <w:color w:val="000000"/>
        </w:rPr>
        <w:t>YX</w:t>
      </w:r>
    </w:p>
    <w:p w14:paraId="6755D2A7" w14:textId="301D31A5" w:rsidR="00A77B3E" w:rsidRPr="002529C3" w:rsidRDefault="00BF61F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D69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b/>
          <w:color w:val="000000"/>
        </w:rPr>
        <w:t>Legends</w:t>
      </w:r>
    </w:p>
    <w:p w14:paraId="627F2CAE" w14:textId="15CA8990" w:rsidR="00A77B3E" w:rsidRPr="002529C3" w:rsidRDefault="00B607BC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529C3">
        <w:rPr>
          <w:rFonts w:ascii="Book Antiqua" w:hAnsi="Book Antiqua"/>
          <w:noProof/>
          <w:lang w:eastAsia="zh-CN"/>
        </w:rPr>
        <w:drawing>
          <wp:inline distT="0" distB="0" distL="0" distR="0" wp14:anchorId="47551323" wp14:editId="379309A4">
            <wp:extent cx="3041073" cy="432524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48" cy="4329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E2923" w14:textId="60D799B0" w:rsidR="000165FD" w:rsidRPr="00D0129A" w:rsidRDefault="00AF5A3B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0165FD" w:rsidRPr="00D0129A" w:rsidSect="00BE5E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/>
          <w:b/>
          <w:bCs/>
        </w:rPr>
        <w:t>Figure</w:t>
      </w:r>
      <w:r w:rsidR="007D6981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7D6981">
        <w:rPr>
          <w:rFonts w:ascii="Book Antiqua" w:hAnsi="Book Antiqua" w:hint="eastAsia"/>
          <w:b/>
          <w:bCs/>
          <w:lang w:eastAsia="zh-CN"/>
        </w:rPr>
        <w:t xml:space="preserve">  </w:t>
      </w:r>
      <w:r w:rsidR="00B607BC" w:rsidRPr="002529C3">
        <w:rPr>
          <w:rFonts w:ascii="Book Antiqua" w:hAnsi="Book Antiqua"/>
          <w:b/>
          <w:bCs/>
        </w:rPr>
        <w:t>Flow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chart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of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study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selection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and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logic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arrangement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of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review</w:t>
      </w:r>
      <w:r w:rsidR="00B607BC" w:rsidRPr="002529C3">
        <w:rPr>
          <w:rFonts w:ascii="Book Antiqua" w:hAnsi="Book Antiqua"/>
          <w:b/>
          <w:bCs/>
          <w:lang w:eastAsia="zh-CN"/>
        </w:rPr>
        <w:t>.</w:t>
      </w:r>
      <w:r w:rsidR="007D6981">
        <w:rPr>
          <w:rFonts w:ascii="Book Antiqua" w:hAnsi="Book Antiqua"/>
          <w:b/>
          <w:bCs/>
          <w:lang w:eastAsia="zh-CN"/>
        </w:rPr>
        <w:t xml:space="preserve"> </w:t>
      </w:r>
      <w:r w:rsidR="00B607BC" w:rsidRPr="002529C3">
        <w:rPr>
          <w:rFonts w:ascii="Book Antiqua" w:hAnsi="Book Antiqua"/>
          <w:lang w:eastAsia="zh-CN"/>
        </w:rPr>
        <w:t>BE:</w:t>
      </w:r>
      <w:r w:rsidR="007D6981">
        <w:rPr>
          <w:rFonts w:ascii="Book Antiqua" w:hAnsi="Book Antiqua"/>
          <w:lang w:eastAsia="zh-CN"/>
        </w:rPr>
        <w:t xml:space="preserve"> </w:t>
      </w:r>
      <w:r w:rsidR="00B607BC" w:rsidRPr="002529C3">
        <w:rPr>
          <w:rFonts w:ascii="Book Antiqua" w:hAnsi="Book Antiqua"/>
        </w:rPr>
        <w:t>Barrett’s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esophagus;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CAG: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Chronic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atrophic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gastritis;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EAC: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Esophageal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adenocarcinoma;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ECC: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Early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colonic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cancer;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EEC: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Early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esophageal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cancer;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EGC: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Early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gastric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cancer;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ESCC: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Esophageal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squamous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cell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carcinoma;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GI: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Gastrointestinal;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GIM: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Gastric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intestinal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metaplasia;</w:t>
      </w:r>
      <w:r w:rsidR="007D6981">
        <w:rPr>
          <w:rFonts w:ascii="Book Antiqua" w:hAnsi="Book Antiqua"/>
        </w:rPr>
        <w:t xml:space="preserve"> </w:t>
      </w:r>
      <w:r w:rsidR="00E50F71">
        <w:rPr>
          <w:rFonts w:ascii="Book Antiqua" w:hAnsi="Book Antiqua"/>
          <w:i/>
          <w:iCs/>
        </w:rPr>
        <w:t>H.</w:t>
      </w:r>
      <w:r w:rsidR="007D6981">
        <w:rPr>
          <w:rFonts w:ascii="Book Antiqua" w:hAnsi="Book Antiqua"/>
          <w:i/>
          <w:iCs/>
        </w:rPr>
        <w:t xml:space="preserve"> </w:t>
      </w:r>
      <w:r w:rsidR="00E50F71">
        <w:rPr>
          <w:rFonts w:ascii="Book Antiqua" w:hAnsi="Book Antiqua"/>
          <w:i/>
          <w:iCs/>
        </w:rPr>
        <w:t>pylori</w:t>
      </w:r>
      <w:r w:rsidR="00E50F71">
        <w:rPr>
          <w:rFonts w:ascii="Book Antiqua" w:hAnsi="Book Antiqua"/>
        </w:rPr>
        <w:t>:</w:t>
      </w:r>
      <w:r w:rsidR="007D6981">
        <w:rPr>
          <w:rFonts w:ascii="Book Antiqua" w:hAnsi="Book Antiqua"/>
        </w:rPr>
        <w:t xml:space="preserve"> </w:t>
      </w:r>
      <w:r w:rsidR="00E50F71">
        <w:rPr>
          <w:rFonts w:ascii="Book Antiqua" w:hAnsi="Book Antiqua"/>
          <w:i/>
          <w:iCs/>
        </w:rPr>
        <w:t>Helicobacter</w:t>
      </w:r>
      <w:r w:rsidR="007D6981">
        <w:rPr>
          <w:rFonts w:ascii="Book Antiqua" w:hAnsi="Book Antiqua"/>
          <w:i/>
          <w:iCs/>
        </w:rPr>
        <w:t xml:space="preserve"> </w:t>
      </w:r>
      <w:r w:rsidR="00E50F71">
        <w:rPr>
          <w:rFonts w:ascii="Book Antiqua" w:hAnsi="Book Antiqua"/>
          <w:i/>
          <w:iCs/>
        </w:rPr>
        <w:t>pylori</w:t>
      </w:r>
      <w:r w:rsidR="00E50F71">
        <w:rPr>
          <w:rFonts w:ascii="Book Antiqua" w:hAnsi="Book Antiqua"/>
        </w:rPr>
        <w:t>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IBD: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Inflammatory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bowel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diseases.</w:t>
      </w:r>
    </w:p>
    <w:p w14:paraId="2D177D6B" w14:textId="520C8D1B" w:rsidR="00B607BC" w:rsidRPr="002529C3" w:rsidRDefault="005C5EE8" w:rsidP="002529C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7D6981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7D6981">
        <w:rPr>
          <w:rFonts w:ascii="Book Antiqua" w:hAnsi="Book Antiqua" w:hint="eastAsia"/>
          <w:b/>
          <w:bCs/>
          <w:lang w:eastAsia="zh-CN"/>
        </w:rPr>
        <w:t xml:space="preserve">  </w:t>
      </w:r>
      <w:r w:rsidR="00B607BC" w:rsidRPr="002529C3">
        <w:rPr>
          <w:rFonts w:ascii="Book Antiqua" w:hAnsi="Book Antiqua"/>
          <w:b/>
          <w:bCs/>
        </w:rPr>
        <w:t>Early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gastrointestinal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cancer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and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artificial</w:t>
      </w:r>
      <w:r w:rsidR="007D6981">
        <w:rPr>
          <w:rFonts w:ascii="Book Antiqua" w:hAnsi="Book Antiqua"/>
          <w:b/>
          <w:bCs/>
        </w:rPr>
        <w:t xml:space="preserve"> </w:t>
      </w:r>
      <w:r w:rsidR="00B607BC" w:rsidRPr="002529C3">
        <w:rPr>
          <w:rFonts w:ascii="Book Antiqua" w:hAnsi="Book Antiqua"/>
          <w:b/>
          <w:bCs/>
        </w:rPr>
        <w:t>intelligence</w:t>
      </w:r>
    </w:p>
    <w:tbl>
      <w:tblPr>
        <w:tblW w:w="17192" w:type="dxa"/>
        <w:tblInd w:w="93" w:type="dxa"/>
        <w:tblLook w:val="04A0" w:firstRow="1" w:lastRow="0" w:firstColumn="1" w:lastColumn="0" w:noHBand="0" w:noVBand="1"/>
      </w:tblPr>
      <w:tblGrid>
        <w:gridCol w:w="663"/>
        <w:gridCol w:w="1441"/>
        <w:gridCol w:w="2153"/>
        <w:gridCol w:w="1777"/>
        <w:gridCol w:w="1776"/>
        <w:gridCol w:w="1234"/>
        <w:gridCol w:w="1535"/>
        <w:gridCol w:w="2459"/>
        <w:gridCol w:w="2018"/>
        <w:gridCol w:w="1914"/>
        <w:gridCol w:w="222"/>
      </w:tblGrid>
      <w:tr w:rsidR="00C1053D" w:rsidRPr="00C1053D" w14:paraId="26AEF1CD" w14:textId="77777777" w:rsidTr="00C1053D">
        <w:trPr>
          <w:trHeight w:val="1260"/>
        </w:trPr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D83B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1BC8C" w14:textId="1CDF0B2B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Target</w:t>
            </w:r>
            <w:r w:rsidR="007D698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disease</w:t>
            </w:r>
            <w:r w:rsidR="007D698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B16E2" w14:textId="325353F5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Prospective/</w:t>
            </w:r>
            <w:r w:rsidR="007D6981">
              <w:rPr>
                <w:rFonts w:ascii="Book Antiqua" w:eastAsia="宋体" w:hAnsi="Book Antiqua" w:cs="宋体" w:hint="eastAsia"/>
                <w:b/>
                <w:bCs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9B5A5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bookmarkStart w:id="0" w:name="RANGE!D367"/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AI</w:t>
            </w:r>
            <w:bookmarkEnd w:id="0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A30BD" w14:textId="552334D9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Endoscopy</w:t>
            </w:r>
            <w:r w:rsidR="007D698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image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ACAC88" w14:textId="5753010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Training</w:t>
            </w:r>
            <w:r w:rsidR="007D698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dataset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3D07F" w14:textId="182BE1A5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Validation</w:t>
            </w:r>
            <w:r w:rsidR="007D6981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dataset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271F9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Sensitivity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B557E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Specificity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B9C2A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Accuracy</w:t>
            </w: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vertAlign w:val="superscript"/>
                <w:lang w:eastAsia="zh-CN"/>
              </w:rPr>
              <w:t>1</w:t>
            </w:r>
            <w:r w:rsidRPr="00C1053D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/AUC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2C57B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10AC97B2" w14:textId="77777777" w:rsidTr="00C1053D">
        <w:trPr>
          <w:trHeight w:val="93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1187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[1]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2988" w14:textId="5BF207DB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Diagnosing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ESCC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EAC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16CE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B2DA" w14:textId="5FF382ED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(SSD)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B431E" w14:textId="5F55F283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NBI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9B5B" w14:textId="272B1DC9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8428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DA83" w14:textId="5B520613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1118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8F02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98%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1B2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95%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FEA1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98%</w:t>
            </w:r>
            <w:r w:rsidRPr="00C1053D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5C6D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34F33D1B" w14:textId="77777777" w:rsidTr="00C1053D">
        <w:trPr>
          <w:trHeight w:val="93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2FD3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[2]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9946" w14:textId="037C03E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Diagnosing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ESCC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1AA6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F34B0" w14:textId="07890C25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CAD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(SegNet)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0A6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NBI/videos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AE77" w14:textId="3304F4D6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6473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B770" w14:textId="6766E3EC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6671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2F78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98.04%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EFC8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95.03%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6F52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0.989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8850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2D455DDC" w14:textId="77777777" w:rsidTr="00C1053D">
        <w:trPr>
          <w:trHeight w:val="93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F8B1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[3]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8DDF" w14:textId="798BD83D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EEC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BE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6952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494E" w14:textId="0FE2379F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CAD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(ResNet-UNet)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F90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294D" w14:textId="6AC4EB7D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494364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4092" w14:textId="356957B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1704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7F376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90%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C836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88%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B15D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89%</w:t>
            </w:r>
            <w:r w:rsidRPr="00C1053D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E5EC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01E3E1E1" w14:textId="77777777" w:rsidTr="00C1053D">
        <w:trPr>
          <w:trHeight w:val="93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9391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[4]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008ED" w14:textId="6B139913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E/J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cancers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517A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98604" w14:textId="7A05032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" w:name="RANGE!D371"/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(SSD)</w:t>
            </w:r>
            <w:bookmarkEnd w:id="1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3958" w14:textId="1FB61853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NBI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C268" w14:textId="6DBECEEC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3443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D6A9" w14:textId="638D7A55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232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0B28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94%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B76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42%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CC069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66%</w:t>
            </w:r>
            <w:r w:rsidRPr="00C1053D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2A27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644F0172" w14:textId="77777777" w:rsidTr="00C1053D">
        <w:trPr>
          <w:trHeight w:val="62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D21B3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[5]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82E7" w14:textId="66D55EDD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ESCC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4D593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2" w:name="RANGE!C372"/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  <w:bookmarkEnd w:id="2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3368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DCNNs-CAD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EFCE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NBI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6F33" w14:textId="33E61EC6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2428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EEAA" w14:textId="4ABEC952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187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C241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97.80%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510ED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85.40%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41B8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91.4%</w:t>
            </w:r>
            <w:r w:rsidRPr="00C1053D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FFB8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1358A57C" w14:textId="77777777" w:rsidTr="00C1053D">
        <w:trPr>
          <w:trHeight w:val="218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56D1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[6]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A790D" w14:textId="0D0DFEF2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Diagnosing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BE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EAC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2BB7E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FAD76" w14:textId="553D6C14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CAD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(ResNet)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55CB" w14:textId="0E43F10A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NBI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22FC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148/100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2060" w14:textId="38AE2491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Leave-one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patient-out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cross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validation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BBE5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97%(WLI)/94%(NBI)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C22CC" w14:textId="031C827A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88%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(WLI)/80%(NBI)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C772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4A5D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7B5CC02C" w14:textId="77777777" w:rsidTr="00C1053D">
        <w:trPr>
          <w:trHeight w:val="1248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3567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>[7]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8277" w14:textId="0B9D12AE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Diagnosing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ESCC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E519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D011" w14:textId="3F631D66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CAD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(FCN)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E9CC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ME-NBI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3E3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3DEA" w14:textId="352A07D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3-fold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cross-validation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F88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0CB5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5D29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CCD4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1DE685E6" w14:textId="77777777" w:rsidTr="00C1053D">
        <w:trPr>
          <w:trHeight w:val="62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4C0D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[8]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5022" w14:textId="009B15C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EAC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1825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1D95" w14:textId="438C3E5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(SSD)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A44F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C59F8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4ED2" w14:textId="7937ABF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100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8BF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96%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FC4A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92%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C64E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78000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1A646909" w14:textId="77777777" w:rsidTr="00C1053D">
        <w:trPr>
          <w:trHeight w:val="62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92CF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[9]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E943" w14:textId="1B784C98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EGC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95EC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2566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3" w:name="RANGE!D376"/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bookmarkEnd w:id="3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8968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1BF8" w14:textId="5428F4A2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348943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D3FC" w14:textId="56C0CB32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9650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2AB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80.00%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67FF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94.80%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751A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73FD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08EE1ED1" w14:textId="77777777" w:rsidTr="00C1053D">
        <w:trPr>
          <w:trHeight w:val="62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339F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[10]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1AD4" w14:textId="60B93C46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Diagnosing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EGC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F61A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4167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3CCEE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AF5D" w14:textId="60B09A4E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21217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41A7" w14:textId="4C91FC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1091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665C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36.8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7DDD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91.20%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41BB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707C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18693B85" w14:textId="77777777" w:rsidTr="00C1053D">
        <w:trPr>
          <w:trHeight w:val="93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DC4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[11]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FA37" w14:textId="6B9241F4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Diagnosing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EGC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DDD5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03A7" w14:textId="41F9BBE9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(Inception-v3)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FE4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ME-NBI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6BC42" w14:textId="454F7B3A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1702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1161B" w14:textId="00906A06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170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D377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91.18%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244E9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90.64%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7FD3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90.91%</w:t>
            </w:r>
            <w:r w:rsidRPr="00C1053D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B20C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67FAAAD8" w14:textId="77777777" w:rsidTr="00C1053D">
        <w:trPr>
          <w:trHeight w:val="936"/>
        </w:trPr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29E5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[12]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0218" w14:textId="169A8E6D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Diagnosing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EGC</w:t>
            </w:r>
          </w:p>
        </w:tc>
        <w:tc>
          <w:tcPr>
            <w:tcW w:w="2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2CA3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1B7E" w14:textId="12CD8ECC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(VGG16)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860B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2299" w14:textId="55805041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896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t1a-EGC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809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t1b-EGC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D0FD0" w14:textId="58276ED9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5-fold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cross-validation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7C4C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525D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A310" w14:textId="1D8747BA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Detection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(0.981)</w:t>
            </w:r>
          </w:p>
        </w:tc>
        <w:tc>
          <w:tcPr>
            <w:tcW w:w="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583B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6966C37C" w14:textId="77777777" w:rsidTr="00C1053D">
        <w:trPr>
          <w:trHeight w:val="1248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91163" w14:textId="77777777" w:rsidR="00C1053D" w:rsidRPr="00C1053D" w:rsidRDefault="00C1053D" w:rsidP="00C1053D">
            <w:pPr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CD28A" w14:textId="77777777" w:rsidR="00C1053D" w:rsidRPr="00C1053D" w:rsidRDefault="00C1053D" w:rsidP="00C1053D">
            <w:pPr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2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5CE3A" w14:textId="77777777" w:rsidR="00C1053D" w:rsidRPr="00C1053D" w:rsidRDefault="00C1053D" w:rsidP="00C1053D">
            <w:pPr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55598" w14:textId="77777777" w:rsidR="00C1053D" w:rsidRPr="00C1053D" w:rsidRDefault="00C1053D" w:rsidP="00C1053D">
            <w:pPr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18FD7" w14:textId="77777777" w:rsidR="00C1053D" w:rsidRPr="00C1053D" w:rsidRDefault="00C1053D" w:rsidP="00C1053D">
            <w:pPr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83353" w14:textId="77777777" w:rsidR="00C1053D" w:rsidRPr="00C1053D" w:rsidRDefault="00C1053D" w:rsidP="00C1053D">
            <w:pPr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5D989" w14:textId="77777777" w:rsidR="00C1053D" w:rsidRPr="00C1053D" w:rsidRDefault="00C1053D" w:rsidP="00C1053D">
            <w:pPr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2334" w14:textId="77777777" w:rsidR="00C1053D" w:rsidRPr="00C1053D" w:rsidRDefault="00C1053D" w:rsidP="00C1053D">
            <w:pPr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E51D8" w14:textId="77777777" w:rsidR="00C1053D" w:rsidRPr="00C1053D" w:rsidRDefault="00C1053D" w:rsidP="00C1053D">
            <w:pPr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77AD" w14:textId="5721F375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Depth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prediction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(0.851)</w:t>
            </w: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A0822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038AF9E3" w14:textId="77777777" w:rsidTr="00C1053D">
        <w:trPr>
          <w:trHeight w:val="15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62A9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[13]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B57A" w14:textId="3E28ED5E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EGC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D91E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3EE6" w14:textId="64FA199F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(VGG16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ResNet-50)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BFB8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4" w:name="RANGE!E381"/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WLI/NBI/BLI</w:t>
            </w:r>
            <w:bookmarkEnd w:id="4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BB83B" w14:textId="11F6D093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3170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786B9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587F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94.00%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F28E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91.00%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F325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92.5%</w:t>
            </w:r>
            <w:r w:rsidRPr="00C1053D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D02C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46047A5B" w14:textId="77777777" w:rsidTr="00C1053D">
        <w:trPr>
          <w:trHeight w:val="93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1B09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[14]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EA22" w14:textId="24818038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Diagnosing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EGC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E73B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83D9" w14:textId="590E1DB8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(ResNet-50)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E54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157B" w14:textId="7333CE0E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790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D6DE" w14:textId="0F215D42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203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CB8F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76.47%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D65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95.56%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78BA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89.16%</w:t>
            </w:r>
            <w:r w:rsidRPr="00C1053D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6438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5E22AD96" w14:textId="77777777" w:rsidTr="00C1053D">
        <w:trPr>
          <w:trHeight w:val="62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6CFDF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[15]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7D8C" w14:textId="332AAD38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EGC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2E09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08BB" w14:textId="5768B835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(SSD)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B24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CDB8" w14:textId="4088C4A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13584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DEB6" w14:textId="4D1A560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2940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E847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58.40%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9E71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87.30%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4D2A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0.76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FE54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7815EBA0" w14:textId="77777777" w:rsidTr="00C1053D">
        <w:trPr>
          <w:trHeight w:val="15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41DC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>[16]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841D" w14:textId="7BCF098F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Classifying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EGC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3BA7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5DD1" w14:textId="58E5134C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(Inception-ResNet-v2)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0732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F524" w14:textId="24083F83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5017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0FD0" w14:textId="26937CE4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5-fold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cross-validation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7F13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AD95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F103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0.85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EFA8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382E9937" w14:textId="77777777" w:rsidTr="00C1053D">
        <w:trPr>
          <w:trHeight w:val="93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5308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[17]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4820" w14:textId="21E6F2F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Diagnosing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EGC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D4F5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Retrospective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92F9" w14:textId="66B430E4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(ResNet-50)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176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ME-NBI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8B34" w14:textId="26BAE7F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4460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0EBF" w14:textId="7642EAEE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1114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B2D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98%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D850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100%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4D8D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98.7%</w:t>
            </w:r>
            <w:r w:rsidRPr="00C1053D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07EB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4AA6D4D1" w14:textId="77777777" w:rsidTr="00C1053D">
        <w:trPr>
          <w:trHeight w:val="1872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9A76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[18]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85A5" w14:textId="310A52B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localizing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colonic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adenoma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F09F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Representative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C9E4" w14:textId="67C5364D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(VGG16,19,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ResNet50)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A30A2" w14:textId="5EF095CE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NBI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8738A" w14:textId="6CE577E9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8641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images/9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videos,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11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videos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57A47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Cross-validation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0ED7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580E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CD8E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8A77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7E9EBD90" w14:textId="77777777" w:rsidTr="00C1053D">
        <w:trPr>
          <w:trHeight w:val="1248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F2ABE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[19]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AC89" w14:textId="48DB58A6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ECC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0B2A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Representative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02CCA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15D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34B0" w14:textId="5F958FF6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190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images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3981" w14:textId="4A8ED583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3-fold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cross-validation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BD31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67.50%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7C48A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89.00%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ABC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81.2%</w:t>
            </w:r>
            <w:r w:rsidRPr="00C1053D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/0.871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751D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72C61B9E" w14:textId="77777777" w:rsidTr="00C1053D">
        <w:trPr>
          <w:trHeight w:val="1248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29F6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[20]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58461" w14:textId="30221EAE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Classifying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ECC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580D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Representative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CA41" w14:textId="179641D8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CNNs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(ResNet-152)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1027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WLI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A1A1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61D3" w14:textId="1E459D7E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3-fold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cross-validation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A84D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95.40%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8B34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30.10%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460B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A135F" w14:textId="77777777" w:rsidR="00C1053D" w:rsidRPr="00C1053D" w:rsidRDefault="00C1053D" w:rsidP="00C1053D">
            <w:pPr>
              <w:rPr>
                <w:rFonts w:eastAsia="宋体"/>
                <w:color w:val="000000"/>
                <w:lang w:eastAsia="zh-CN"/>
              </w:rPr>
            </w:pPr>
          </w:p>
        </w:tc>
      </w:tr>
      <w:tr w:rsidR="00C1053D" w:rsidRPr="00C1053D" w14:paraId="046C0E6A" w14:textId="77777777" w:rsidTr="00C1053D">
        <w:trPr>
          <w:trHeight w:val="93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8332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[21]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E64F" w14:textId="42127020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colonic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adenoma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5A09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Prospective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DF658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Cade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572C" w14:textId="19DF628C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1058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patients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1E95" w14:textId="746DC315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ADR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(29.1%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20.3%)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0DAD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6DA1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93C7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1053D" w:rsidRPr="00C1053D" w14:paraId="47AD8265" w14:textId="77777777" w:rsidTr="00C1053D">
        <w:trPr>
          <w:trHeight w:val="948"/>
        </w:trPr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1B92C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[22]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99D75" w14:textId="663A0D1A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Detecting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colonic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adenoma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A6E7D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Prospective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D9B36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Cade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82C61" w14:textId="431287E2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962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patients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7B3CD6" w14:textId="6C23557B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ADR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(34%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vs</w:t>
            </w:r>
            <w:r w:rsidR="007D6981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>28%)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9AF0B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CEF8C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E8A53" w14:textId="77777777" w:rsidR="00C1053D" w:rsidRPr="00C1053D" w:rsidRDefault="00C1053D" w:rsidP="00C1053D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C1053D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　</w:t>
            </w:r>
          </w:p>
        </w:tc>
      </w:tr>
    </w:tbl>
    <w:p w14:paraId="7CC30E9D" w14:textId="59D19434" w:rsidR="006925FD" w:rsidRDefault="0063356B" w:rsidP="002529C3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529C3">
        <w:rPr>
          <w:rFonts w:ascii="Book Antiqua" w:hAnsi="Book Antiqua"/>
          <w:vertAlign w:val="superscript"/>
        </w:rPr>
        <w:t>1</w:t>
      </w:r>
      <w:r w:rsidRPr="002529C3">
        <w:rPr>
          <w:rFonts w:ascii="Book Antiqua" w:hAnsi="Book Antiqua"/>
        </w:rPr>
        <w:t>Accuracy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is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with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“</w:t>
      </w:r>
      <w:r w:rsidRPr="002529C3">
        <w:rPr>
          <w:rFonts w:ascii="Book Antiqua" w:hAnsi="Book Antiqua"/>
          <w:vertAlign w:val="superscript"/>
        </w:rPr>
        <w:t>1</w:t>
      </w:r>
      <w:r w:rsidRPr="002529C3">
        <w:rPr>
          <w:rFonts w:ascii="Book Antiqua" w:hAnsi="Book Antiqua"/>
        </w:rPr>
        <w:t>”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and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AUC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is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without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“</w:t>
      </w:r>
      <w:r w:rsidRPr="002529C3">
        <w:rPr>
          <w:rFonts w:ascii="Book Antiqua" w:hAnsi="Book Antiqua"/>
          <w:vertAlign w:val="superscript"/>
        </w:rPr>
        <w:t>1</w:t>
      </w:r>
      <w:r w:rsidRPr="002529C3">
        <w:rPr>
          <w:rFonts w:ascii="Book Antiqua" w:hAnsi="Book Antiqua"/>
        </w:rPr>
        <w:t>”</w:t>
      </w:r>
      <w:r w:rsidR="00AD2BD3">
        <w:rPr>
          <w:rFonts w:ascii="Book Antiqua" w:hAnsi="Book Antiqua"/>
        </w:rPr>
        <w:t>,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  <w:i/>
          <w:iCs/>
        </w:rPr>
        <w:t>e.g.</w:t>
      </w:r>
      <w:r w:rsidRPr="002529C3">
        <w:rPr>
          <w:rFonts w:ascii="Book Antiqua" w:hAnsi="Book Antiqua"/>
        </w:rPr>
        <w:t>,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100%</w:t>
      </w:r>
      <w:r w:rsidRPr="002529C3">
        <w:rPr>
          <w:rFonts w:ascii="Book Antiqua" w:hAnsi="Book Antiqua"/>
          <w:vertAlign w:val="superscript"/>
        </w:rPr>
        <w:t>1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means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accuracy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is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hAnsi="Book Antiqua"/>
        </w:rPr>
        <w:t>100%.</w:t>
      </w:r>
    </w:p>
    <w:p w14:paraId="306D9195" w14:textId="77777777" w:rsidR="00C207B4" w:rsidRDefault="00E50F71" w:rsidP="002529C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C207B4" w:rsidSect="000165F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2529C3">
        <w:rPr>
          <w:rFonts w:ascii="Book Antiqua" w:eastAsia="Book Antiqua" w:hAnsi="Book Antiqua" w:cs="Book Antiqua"/>
          <w:color w:val="000000"/>
        </w:rPr>
        <w:lastRenderedPageBreak/>
        <w:t>ADR: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Adenoma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detection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rates;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hAnsi="Book Antiqua"/>
        </w:rPr>
        <w:t>AI: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Artificial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intelligence;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AUC: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Area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under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the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curve</w:t>
      </w:r>
      <w:r>
        <w:rPr>
          <w:rFonts w:ascii="Book Antiqua" w:eastAsia="Book Antiqua" w:hAnsi="Book Antiqua" w:cs="Book Antiqua"/>
          <w:color w:val="000000"/>
        </w:rPr>
        <w:t>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Barrett’s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esophagus</w:t>
      </w:r>
      <w:r>
        <w:rPr>
          <w:rFonts w:ascii="Book Antiqua" w:eastAsia="Book Antiqua" w:hAnsi="Book Antiqua" w:cs="Book Antiqua"/>
          <w:color w:val="000000"/>
        </w:rPr>
        <w:t>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Bright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Computer-aided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</w:rPr>
        <w:t>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hAnsi="Book Antiqua"/>
        </w:rPr>
        <w:t>CNN: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Convolutional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neural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network;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DCNN: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Pr="002529C3">
        <w:rPr>
          <w:rFonts w:ascii="Book Antiqua" w:eastAsia="Book Antiqua" w:hAnsi="Book Antiqua" w:cs="Book Antiqua"/>
          <w:color w:val="000000"/>
        </w:rPr>
        <w:t>onvolutional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neural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network</w:t>
      </w:r>
      <w:r>
        <w:rPr>
          <w:rFonts w:ascii="Book Antiqua" w:eastAsia="Book Antiqua" w:hAnsi="Book Antiqua" w:cs="Book Antiqua"/>
          <w:color w:val="000000"/>
        </w:rPr>
        <w:t>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hAnsi="Book Antiqua"/>
        </w:rPr>
        <w:t>EAC: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Esophageal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adenocarcinoma;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ECC: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Early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colonic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cancer;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EEC: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Early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esophageal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cancer;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EGC: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Early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gastric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cancer;</w:t>
      </w:r>
      <w:r w:rsidR="007D6981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E/J: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Pr="002529C3">
        <w:rPr>
          <w:rFonts w:ascii="Book Antiqua" w:eastAsia="Book Antiqua" w:hAnsi="Book Antiqua" w:cs="Book Antiqua"/>
          <w:color w:val="000000"/>
        </w:rPr>
        <w:t>sophagogastric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junctional</w:t>
      </w:r>
      <w:r>
        <w:rPr>
          <w:rFonts w:ascii="Book Antiqua" w:eastAsia="Book Antiqua" w:hAnsi="Book Antiqua" w:cs="Book Antiqua"/>
          <w:color w:val="000000"/>
        </w:rPr>
        <w:t>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hAnsi="Book Antiqua"/>
        </w:rPr>
        <w:t>ESCC: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Esophageal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squamous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cell</w:t>
      </w:r>
      <w:r w:rsidR="007D6981">
        <w:rPr>
          <w:rFonts w:ascii="Book Antiqua" w:hAnsi="Book Antiqua"/>
        </w:rPr>
        <w:t xml:space="preserve"> </w:t>
      </w:r>
      <w:r w:rsidR="00B607BC" w:rsidRPr="002529C3">
        <w:rPr>
          <w:rFonts w:ascii="Book Antiqua" w:hAnsi="Book Antiqua"/>
        </w:rPr>
        <w:t>carcinoma;</w:t>
      </w:r>
      <w:r w:rsidR="007D6981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ME-NBI: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Magnifying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NBI: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Narrow-band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imaging;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SSD: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Single-Shot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Multibox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="00B607BC" w:rsidRPr="002529C3">
        <w:rPr>
          <w:rFonts w:ascii="Book Antiqua" w:eastAsia="Book Antiqua" w:hAnsi="Book Antiqua" w:cs="Book Antiqua"/>
          <w:color w:val="000000"/>
        </w:rPr>
        <w:t>Detector</w:t>
      </w:r>
      <w:r w:rsidR="00E24A1B" w:rsidRPr="002529C3">
        <w:rPr>
          <w:rFonts w:ascii="Book Antiqua" w:eastAsia="Book Antiqua" w:hAnsi="Book Antiqua" w:cs="Book Antiqua"/>
          <w:color w:val="000000"/>
        </w:rPr>
        <w:t>;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hAnsi="Book Antiqua"/>
        </w:rPr>
        <w:t>WLI:</w:t>
      </w:r>
      <w:r w:rsidR="007D6981">
        <w:rPr>
          <w:rFonts w:ascii="Book Antiqua" w:hAnsi="Book Antiqua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White-light</w:t>
      </w:r>
      <w:r w:rsidR="007D6981">
        <w:rPr>
          <w:rFonts w:ascii="Book Antiqua" w:eastAsia="Book Antiqua" w:hAnsi="Book Antiqua" w:cs="Book Antiqua"/>
          <w:color w:val="000000"/>
        </w:rPr>
        <w:t xml:space="preserve"> </w:t>
      </w:r>
      <w:r w:rsidRPr="002529C3">
        <w:rPr>
          <w:rFonts w:ascii="Book Antiqua" w:eastAsia="Book Antiqua" w:hAnsi="Book Antiqua" w:cs="Book Antiqua"/>
          <w:color w:val="000000"/>
        </w:rPr>
        <w:t>imaging</w:t>
      </w:r>
      <w:r w:rsidR="00E24A1B" w:rsidRPr="002529C3">
        <w:rPr>
          <w:rFonts w:ascii="Book Antiqua" w:eastAsia="Book Antiqua" w:hAnsi="Book Antiqua" w:cs="Book Antiqua"/>
          <w:color w:val="000000"/>
        </w:rPr>
        <w:t>.</w:t>
      </w:r>
    </w:p>
    <w:p w14:paraId="6EA66766" w14:textId="77777777" w:rsidR="00216A07" w:rsidRDefault="00216A07" w:rsidP="00216A07">
      <w:pPr>
        <w:jc w:val="center"/>
        <w:rPr>
          <w:rFonts w:ascii="Book Antiqua" w:hAnsi="Book Antiqua"/>
          <w:sz w:val="21"/>
          <w:szCs w:val="22"/>
        </w:rPr>
      </w:pPr>
    </w:p>
    <w:p w14:paraId="00D9AB45" w14:textId="77777777" w:rsidR="00216A07" w:rsidRDefault="00216A07" w:rsidP="00216A0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BDA461E" wp14:editId="3FC0B80D">
            <wp:extent cx="2491105" cy="1434465"/>
            <wp:effectExtent l="0" t="0" r="4445" b="0"/>
            <wp:docPr id="3" name="图片 3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C293E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51170BB0" w14:textId="77777777" w:rsidR="00216A07" w:rsidRDefault="00216A07" w:rsidP="00216A0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C282DE9" w14:textId="77777777" w:rsidR="00216A07" w:rsidRDefault="00216A07" w:rsidP="00216A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C762EB8" w14:textId="77777777" w:rsidR="00216A07" w:rsidRDefault="00216A07" w:rsidP="00216A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CEB120C" w14:textId="77777777" w:rsidR="00216A07" w:rsidRDefault="00216A07" w:rsidP="00216A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12041F4" w14:textId="77777777" w:rsidR="00216A07" w:rsidRDefault="00216A07" w:rsidP="00216A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D8F278C" w14:textId="77777777" w:rsidR="00216A07" w:rsidRDefault="00216A07" w:rsidP="00216A07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7ED1413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5D282499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6810D99F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69799302" w14:textId="77777777" w:rsidR="00216A07" w:rsidRDefault="00216A07" w:rsidP="00216A0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F61ABAE" wp14:editId="41040DB3">
            <wp:extent cx="1450340" cy="1434465"/>
            <wp:effectExtent l="0" t="0" r="0" b="0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A34B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24CA5FD8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02CBB505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5BEC223C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0CEA3217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0F90621E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3110D07F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6D1B696E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4FA8A43C" w14:textId="77777777" w:rsidR="00216A07" w:rsidRDefault="00216A07" w:rsidP="00216A07">
      <w:pPr>
        <w:jc w:val="center"/>
        <w:rPr>
          <w:rFonts w:ascii="Book Antiqua" w:hAnsi="Book Antiqua"/>
        </w:rPr>
      </w:pPr>
    </w:p>
    <w:p w14:paraId="13B174A1" w14:textId="77777777" w:rsidR="00216A07" w:rsidRDefault="00216A07" w:rsidP="00216A07">
      <w:pPr>
        <w:jc w:val="right"/>
        <w:rPr>
          <w:rFonts w:ascii="Book Antiqua" w:hAnsi="Book Antiqua"/>
          <w:color w:val="000000" w:themeColor="text1"/>
        </w:rPr>
      </w:pPr>
    </w:p>
    <w:p w14:paraId="19D40E5F" w14:textId="77777777" w:rsidR="00216A07" w:rsidRDefault="00216A07" w:rsidP="00216A07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73809BB" w14:textId="77777777" w:rsidR="00216A07" w:rsidRPr="002529C3" w:rsidRDefault="00216A07" w:rsidP="00216A0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43FA773" w14:textId="1E9E0D36" w:rsidR="002C2732" w:rsidRPr="002529C3" w:rsidRDefault="002C2732" w:rsidP="000165FD">
      <w:pPr>
        <w:rPr>
          <w:rFonts w:ascii="Book Antiqua" w:eastAsia="Book Antiqua" w:hAnsi="Book Antiqua" w:cs="Book Antiqua"/>
          <w:color w:val="000000"/>
        </w:rPr>
      </w:pPr>
    </w:p>
    <w:sectPr w:rsidR="002C2732" w:rsidRPr="002529C3" w:rsidSect="0001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3B0F" w14:textId="77777777" w:rsidR="005E68B5" w:rsidRDefault="005E68B5" w:rsidP="00B607BC">
      <w:r>
        <w:separator/>
      </w:r>
    </w:p>
  </w:endnote>
  <w:endnote w:type="continuationSeparator" w:id="0">
    <w:p w14:paraId="4FC7D86D" w14:textId="77777777" w:rsidR="005E68B5" w:rsidRDefault="005E68B5" w:rsidP="00B6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9234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E06057" w14:textId="5E5A969A" w:rsidR="005C5EE8" w:rsidRPr="002529C3" w:rsidRDefault="005C5EE8" w:rsidP="00E24A1B">
            <w:pPr>
              <w:pStyle w:val="a5"/>
              <w:jc w:val="right"/>
            </w:pPr>
            <w:r w:rsidRPr="002529C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3579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53579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53579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D6981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53579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2529C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3579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53579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53579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D6981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53579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76BDB81" w14:textId="77777777" w:rsidR="005C5EE8" w:rsidRDefault="005C5E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DC45" w14:textId="77777777" w:rsidR="005E68B5" w:rsidRDefault="005E68B5" w:rsidP="00B607BC">
      <w:r>
        <w:separator/>
      </w:r>
    </w:p>
  </w:footnote>
  <w:footnote w:type="continuationSeparator" w:id="0">
    <w:p w14:paraId="121C2141" w14:textId="77777777" w:rsidR="005E68B5" w:rsidRDefault="005E68B5" w:rsidP="00B6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2959"/>
    <w:multiLevelType w:val="hybridMultilevel"/>
    <w:tmpl w:val="B8869D36"/>
    <w:lvl w:ilvl="0" w:tplc="83327AC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Book Antiqua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65FD"/>
    <w:rsid w:val="0004066B"/>
    <w:rsid w:val="00043AF2"/>
    <w:rsid w:val="000719B2"/>
    <w:rsid w:val="000731AA"/>
    <w:rsid w:val="000E0371"/>
    <w:rsid w:val="0012696F"/>
    <w:rsid w:val="00137233"/>
    <w:rsid w:val="001609D3"/>
    <w:rsid w:val="001B3C1C"/>
    <w:rsid w:val="00214C56"/>
    <w:rsid w:val="00216A07"/>
    <w:rsid w:val="002459DF"/>
    <w:rsid w:val="002529C3"/>
    <w:rsid w:val="002C2732"/>
    <w:rsid w:val="0031681E"/>
    <w:rsid w:val="003228B2"/>
    <w:rsid w:val="0032306F"/>
    <w:rsid w:val="003378A9"/>
    <w:rsid w:val="003638FC"/>
    <w:rsid w:val="00363A39"/>
    <w:rsid w:val="0037528E"/>
    <w:rsid w:val="00392A3D"/>
    <w:rsid w:val="003D4603"/>
    <w:rsid w:val="004928D1"/>
    <w:rsid w:val="004C6ADB"/>
    <w:rsid w:val="004E2917"/>
    <w:rsid w:val="00533123"/>
    <w:rsid w:val="0053579E"/>
    <w:rsid w:val="005C06D7"/>
    <w:rsid w:val="005C5EE8"/>
    <w:rsid w:val="005D08C3"/>
    <w:rsid w:val="005D218E"/>
    <w:rsid w:val="005E68B5"/>
    <w:rsid w:val="00610F3B"/>
    <w:rsid w:val="00622817"/>
    <w:rsid w:val="0063356B"/>
    <w:rsid w:val="006925FD"/>
    <w:rsid w:val="007B3D38"/>
    <w:rsid w:val="007D6981"/>
    <w:rsid w:val="007F0ECE"/>
    <w:rsid w:val="00894626"/>
    <w:rsid w:val="008C71E6"/>
    <w:rsid w:val="00904FEE"/>
    <w:rsid w:val="00951F2A"/>
    <w:rsid w:val="0095290A"/>
    <w:rsid w:val="009E3A0B"/>
    <w:rsid w:val="00A249DF"/>
    <w:rsid w:val="00A77B3E"/>
    <w:rsid w:val="00AC6446"/>
    <w:rsid w:val="00AD2BD3"/>
    <w:rsid w:val="00AD63DF"/>
    <w:rsid w:val="00AF5A3B"/>
    <w:rsid w:val="00B31683"/>
    <w:rsid w:val="00B45022"/>
    <w:rsid w:val="00B47E7C"/>
    <w:rsid w:val="00B607BC"/>
    <w:rsid w:val="00BA720F"/>
    <w:rsid w:val="00BE5E4B"/>
    <w:rsid w:val="00BF61FC"/>
    <w:rsid w:val="00C072D8"/>
    <w:rsid w:val="00C1053D"/>
    <w:rsid w:val="00C207B4"/>
    <w:rsid w:val="00C5770A"/>
    <w:rsid w:val="00CA2A55"/>
    <w:rsid w:val="00D0129A"/>
    <w:rsid w:val="00D76938"/>
    <w:rsid w:val="00D80E3F"/>
    <w:rsid w:val="00DC6E0F"/>
    <w:rsid w:val="00DD7646"/>
    <w:rsid w:val="00DE0EC0"/>
    <w:rsid w:val="00E24A1B"/>
    <w:rsid w:val="00E50F71"/>
    <w:rsid w:val="00E523E7"/>
    <w:rsid w:val="00E92F32"/>
    <w:rsid w:val="00E9664A"/>
    <w:rsid w:val="00EA27E5"/>
    <w:rsid w:val="00ED4476"/>
    <w:rsid w:val="00F373F1"/>
    <w:rsid w:val="00F41CD0"/>
    <w:rsid w:val="00F61AE5"/>
    <w:rsid w:val="00F63342"/>
    <w:rsid w:val="00F80C31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BD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0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7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7B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607B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customStyle="1" w:styleId="41">
    <w:name w:val="无格式表格 41"/>
    <w:basedOn w:val="a1"/>
    <w:uiPriority w:val="44"/>
    <w:rsid w:val="00B607BC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3BF" w:themeFill="background1" w:themeFillShade="F2"/>
      </w:tcPr>
    </w:tblStylePr>
    <w:tblStylePr w:type="band1Horz">
      <w:tblPr/>
      <w:tcPr>
        <w:shd w:val="clear" w:color="auto" w:fill="BAE3BF" w:themeFill="background1" w:themeFillShade="F2"/>
      </w:tcPr>
    </w:tblStylePr>
  </w:style>
  <w:style w:type="character" w:styleId="a8">
    <w:name w:val="annotation reference"/>
    <w:basedOn w:val="a0"/>
    <w:semiHidden/>
    <w:unhideWhenUsed/>
    <w:rsid w:val="00E24A1B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E24A1B"/>
  </w:style>
  <w:style w:type="character" w:customStyle="1" w:styleId="aa">
    <w:name w:val="批注文字 字符"/>
    <w:basedOn w:val="a0"/>
    <w:link w:val="a9"/>
    <w:semiHidden/>
    <w:rsid w:val="00E24A1B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E24A1B"/>
    <w:rPr>
      <w:b/>
      <w:bCs/>
    </w:rPr>
  </w:style>
  <w:style w:type="character" w:customStyle="1" w:styleId="ac">
    <w:name w:val="批注主题 字符"/>
    <w:basedOn w:val="aa"/>
    <w:link w:val="ab"/>
    <w:semiHidden/>
    <w:rsid w:val="00E24A1B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4928D1"/>
    <w:rPr>
      <w:sz w:val="24"/>
      <w:szCs w:val="24"/>
    </w:rPr>
  </w:style>
  <w:style w:type="character" w:styleId="ae">
    <w:name w:val="Hyperlink"/>
    <w:basedOn w:val="a0"/>
    <w:unhideWhenUsed/>
    <w:rsid w:val="0089462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94626"/>
    <w:rPr>
      <w:color w:val="605E5C"/>
      <w:shd w:val="clear" w:color="auto" w:fill="E1DFDD"/>
    </w:rPr>
  </w:style>
  <w:style w:type="paragraph" w:styleId="af">
    <w:name w:val="Balloon Text"/>
    <w:basedOn w:val="a"/>
    <w:link w:val="af0"/>
    <w:rsid w:val="00363A39"/>
    <w:rPr>
      <w:sz w:val="18"/>
      <w:szCs w:val="18"/>
    </w:rPr>
  </w:style>
  <w:style w:type="character" w:customStyle="1" w:styleId="af0">
    <w:name w:val="批注框文本 字符"/>
    <w:basedOn w:val="a0"/>
    <w:link w:val="af"/>
    <w:rsid w:val="00363A39"/>
    <w:rPr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32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8289</Words>
  <Characters>47249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2021-08-26T18:25:00Z</dcterms:created>
  <dcterms:modified xsi:type="dcterms:W3CDTF">2021-09-03T12:02:00Z</dcterms:modified>
</cp:coreProperties>
</file>